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3C4242">
      <w:pPr>
        <w:pStyle w:val="13"/>
        <w:tabs>
          <w:tab w:val="left" w:pos="1050"/>
        </w:tabs>
        <w:jc w:val="left"/>
        <w:rPr>
          <w:rFonts w:hint="eastAsia" w:ascii="仿宋" w:hAnsi="仿宋" w:eastAsia="仿宋" w:cs="仿宋"/>
          <w:b/>
          <w:bCs/>
          <w:sz w:val="48"/>
          <w:szCs w:val="48"/>
          <w:highlight w:val="none"/>
        </w:rPr>
      </w:pPr>
      <w:r>
        <w:rPr>
          <w:rFonts w:hint="eastAsia" w:ascii="仿宋" w:hAnsi="仿宋" w:eastAsia="仿宋" w:cs="仿宋"/>
          <w:b/>
          <w:sz w:val="48"/>
          <w:szCs w:val="48"/>
          <w:highlight w:val="none"/>
        </w:rPr>
        <w:drawing>
          <wp:inline distT="0" distB="0" distL="0" distR="0">
            <wp:extent cx="1285875" cy="1195705"/>
            <wp:effectExtent l="0" t="0" r="9525" b="2540"/>
            <wp:docPr id="4" name="图片 4" descr="说明: 公司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公司标志"/>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85875" cy="1195705"/>
                    </a:xfrm>
                    <a:prstGeom prst="rect">
                      <a:avLst/>
                    </a:prstGeom>
                    <a:noFill/>
                    <a:ln>
                      <a:noFill/>
                    </a:ln>
                  </pic:spPr>
                </pic:pic>
              </a:graphicData>
            </a:graphic>
          </wp:inline>
        </w:drawing>
      </w:r>
      <w:r>
        <w:rPr>
          <w:rFonts w:hint="eastAsia" w:ascii="仿宋" w:hAnsi="仿宋" w:eastAsia="仿宋" w:cs="仿宋"/>
          <w:b/>
          <w:sz w:val="48"/>
          <w:szCs w:val="48"/>
          <w:highlight w:val="none"/>
        </w:rPr>
        <w:t xml:space="preserve">  </w:t>
      </w:r>
    </w:p>
    <w:p w14:paraId="74BB0A15">
      <w:pPr>
        <w:pStyle w:val="13"/>
        <w:jc w:val="center"/>
        <w:rPr>
          <w:rFonts w:hint="eastAsia" w:ascii="仿宋" w:hAnsi="仿宋" w:eastAsia="仿宋" w:cs="仿宋"/>
          <w:b/>
          <w:bCs/>
          <w:sz w:val="48"/>
          <w:szCs w:val="48"/>
          <w:highlight w:val="none"/>
        </w:rPr>
      </w:pPr>
    </w:p>
    <w:p w14:paraId="19DE3385">
      <w:pPr>
        <w:spacing w:line="480" w:lineRule="auto"/>
        <w:jc w:val="center"/>
        <w:rPr>
          <w:rFonts w:hint="eastAsia" w:ascii="仿宋" w:hAnsi="仿宋" w:eastAsia="仿宋" w:cs="仿宋"/>
          <w:highlight w:val="none"/>
        </w:rPr>
      </w:pPr>
      <w:r>
        <w:rPr>
          <w:rFonts w:hint="eastAsia" w:ascii="仿宋" w:hAnsi="仿宋" w:eastAsia="仿宋" w:cs="仿宋"/>
          <w:b/>
          <w:bCs/>
          <w:sz w:val="48"/>
          <w:szCs w:val="48"/>
          <w:highlight w:val="none"/>
          <w:lang w:eastAsia="zh-CN"/>
        </w:rPr>
        <w:t>新疆维吾尔自治区地质局昌吉地质大队物探技术服务项目</w:t>
      </w:r>
    </w:p>
    <w:p w14:paraId="4948C886">
      <w:pPr>
        <w:spacing w:line="480" w:lineRule="auto"/>
        <w:rPr>
          <w:rFonts w:hint="eastAsia" w:ascii="仿宋" w:hAnsi="仿宋" w:eastAsia="仿宋" w:cs="仿宋"/>
          <w:highlight w:val="none"/>
        </w:rPr>
      </w:pPr>
    </w:p>
    <w:p w14:paraId="0E1FCCD6">
      <w:pPr>
        <w:pStyle w:val="13"/>
        <w:spacing w:line="480" w:lineRule="auto"/>
        <w:rPr>
          <w:rFonts w:hint="eastAsia" w:ascii="仿宋" w:hAnsi="仿宋" w:eastAsia="仿宋" w:cs="仿宋"/>
          <w:highlight w:val="none"/>
        </w:rPr>
      </w:pPr>
    </w:p>
    <w:p w14:paraId="6BC5586D">
      <w:pPr>
        <w:spacing w:line="480" w:lineRule="auto"/>
        <w:jc w:val="center"/>
        <w:rPr>
          <w:rFonts w:hint="eastAsia" w:ascii="仿宋" w:hAnsi="仿宋" w:eastAsia="仿宋" w:cs="仿宋"/>
          <w:b/>
          <w:sz w:val="72"/>
          <w:szCs w:val="72"/>
          <w:highlight w:val="none"/>
        </w:rPr>
      </w:pPr>
      <w:r>
        <w:rPr>
          <w:rFonts w:hint="eastAsia" w:ascii="仿宋" w:hAnsi="仿宋" w:eastAsia="仿宋" w:cs="仿宋"/>
          <w:b/>
          <w:sz w:val="72"/>
          <w:szCs w:val="72"/>
          <w:highlight w:val="none"/>
        </w:rPr>
        <w:t>招 标 文 件</w:t>
      </w:r>
    </w:p>
    <w:p w14:paraId="496B24D6">
      <w:pPr>
        <w:adjustRightInd w:val="0"/>
        <w:snapToGrid w:val="0"/>
        <w:spacing w:line="480" w:lineRule="auto"/>
        <w:jc w:val="center"/>
        <w:rPr>
          <w:rFonts w:hint="eastAsia" w:ascii="仿宋" w:hAnsi="仿宋" w:eastAsia="仿宋" w:cs="仿宋"/>
          <w:b/>
          <w:sz w:val="28"/>
          <w:szCs w:val="18"/>
          <w:highlight w:val="none"/>
        </w:rPr>
      </w:pPr>
      <w:r>
        <w:rPr>
          <w:rFonts w:hint="eastAsia" w:ascii="仿宋" w:hAnsi="仿宋" w:eastAsia="仿宋" w:cs="仿宋"/>
          <w:b/>
          <w:sz w:val="28"/>
          <w:szCs w:val="18"/>
          <w:highlight w:val="none"/>
        </w:rPr>
        <w:t>（项目编号：</w:t>
      </w:r>
      <w:r>
        <w:rPr>
          <w:rFonts w:hint="eastAsia" w:ascii="仿宋" w:hAnsi="仿宋" w:eastAsia="仿宋" w:cs="仿宋"/>
          <w:b/>
          <w:sz w:val="28"/>
          <w:szCs w:val="18"/>
          <w:highlight w:val="none"/>
          <w:lang w:eastAsia="zh-CN"/>
        </w:rPr>
        <w:t>XJXSJ-2026(ZC)-110-1</w:t>
      </w:r>
      <w:r>
        <w:rPr>
          <w:rFonts w:hint="eastAsia" w:ascii="仿宋" w:hAnsi="仿宋" w:eastAsia="仿宋" w:cs="仿宋"/>
          <w:b/>
          <w:sz w:val="28"/>
          <w:szCs w:val="18"/>
          <w:highlight w:val="none"/>
        </w:rPr>
        <w:t>）</w:t>
      </w:r>
    </w:p>
    <w:p w14:paraId="430C25DB">
      <w:pPr>
        <w:adjustRightInd w:val="0"/>
        <w:snapToGrid w:val="0"/>
        <w:spacing w:line="480" w:lineRule="auto"/>
        <w:rPr>
          <w:rFonts w:hint="eastAsia" w:ascii="仿宋" w:hAnsi="仿宋" w:eastAsia="仿宋" w:cs="仿宋"/>
          <w:b/>
          <w:sz w:val="32"/>
          <w:highlight w:val="none"/>
        </w:rPr>
      </w:pPr>
      <w:r>
        <w:rPr>
          <w:rFonts w:hint="eastAsia" w:ascii="仿宋" w:hAnsi="仿宋" w:eastAsia="仿宋" w:cs="仿宋"/>
          <w:b/>
          <w:sz w:val="32"/>
          <w:highlight w:val="none"/>
        </w:rPr>
        <w:t xml:space="preserve">     </w:t>
      </w:r>
    </w:p>
    <w:p w14:paraId="2DC0825C">
      <w:pPr>
        <w:spacing w:line="480" w:lineRule="auto"/>
        <w:ind w:firstLine="420"/>
        <w:rPr>
          <w:rFonts w:hint="eastAsia" w:ascii="仿宋" w:hAnsi="仿宋" w:eastAsia="仿宋" w:cs="仿宋"/>
          <w:sz w:val="28"/>
          <w:szCs w:val="28"/>
          <w:highlight w:val="none"/>
        </w:rPr>
      </w:pPr>
    </w:p>
    <w:tbl>
      <w:tblPr>
        <w:tblStyle w:val="42"/>
        <w:tblpPr w:leftFromText="180" w:rightFromText="180" w:vertAnchor="text" w:horzAnchor="margin" w:tblpY="400"/>
        <w:tblW w:w="9399" w:type="dxa"/>
        <w:tblInd w:w="0" w:type="dxa"/>
        <w:tblLayout w:type="fixed"/>
        <w:tblCellMar>
          <w:top w:w="0" w:type="dxa"/>
          <w:left w:w="108" w:type="dxa"/>
          <w:bottom w:w="0" w:type="dxa"/>
          <w:right w:w="108" w:type="dxa"/>
        </w:tblCellMar>
      </w:tblPr>
      <w:tblGrid>
        <w:gridCol w:w="1756"/>
        <w:gridCol w:w="7643"/>
      </w:tblGrid>
      <w:tr w14:paraId="60DED848">
        <w:tblPrEx>
          <w:tblCellMar>
            <w:top w:w="0" w:type="dxa"/>
            <w:left w:w="108" w:type="dxa"/>
            <w:bottom w:w="0" w:type="dxa"/>
            <w:right w:w="108" w:type="dxa"/>
          </w:tblCellMar>
        </w:tblPrEx>
        <w:trPr>
          <w:trHeight w:val="1459" w:hRule="atLeast"/>
        </w:trPr>
        <w:tc>
          <w:tcPr>
            <w:tcW w:w="1756" w:type="dxa"/>
            <w:vAlign w:val="center"/>
          </w:tcPr>
          <w:p w14:paraId="7AC67508">
            <w:pPr>
              <w:tabs>
                <w:tab w:val="left" w:pos="8504"/>
              </w:tabs>
              <w:spacing w:line="480" w:lineRule="auto"/>
              <w:rPr>
                <w:rFonts w:hint="eastAsia" w:ascii="仿宋" w:hAnsi="仿宋" w:eastAsia="仿宋" w:cs="仿宋"/>
                <w:b/>
                <w:spacing w:val="14"/>
                <w:sz w:val="28"/>
                <w:szCs w:val="28"/>
                <w:highlight w:val="none"/>
              </w:rPr>
            </w:pPr>
            <w:r>
              <w:rPr>
                <w:rFonts w:hint="eastAsia" w:ascii="仿宋" w:hAnsi="仿宋" w:eastAsia="仿宋" w:cs="仿宋"/>
                <w:b/>
                <w:spacing w:val="14"/>
                <w:sz w:val="28"/>
                <w:szCs w:val="28"/>
                <w:highlight w:val="none"/>
              </w:rPr>
              <w:t>采 购 人：</w:t>
            </w:r>
          </w:p>
          <w:p w14:paraId="2B9205AF">
            <w:pPr>
              <w:tabs>
                <w:tab w:val="left" w:pos="8504"/>
              </w:tabs>
              <w:spacing w:line="480" w:lineRule="auto"/>
              <w:rPr>
                <w:rFonts w:hint="eastAsia" w:ascii="仿宋" w:hAnsi="仿宋" w:eastAsia="仿宋" w:cs="仿宋"/>
                <w:b/>
                <w:spacing w:val="14"/>
                <w:sz w:val="28"/>
                <w:szCs w:val="28"/>
                <w:highlight w:val="none"/>
              </w:rPr>
            </w:pPr>
            <w:r>
              <w:rPr>
                <w:rFonts w:hint="eastAsia" w:ascii="仿宋" w:hAnsi="仿宋" w:eastAsia="仿宋" w:cs="仿宋"/>
                <w:b/>
                <w:spacing w:val="14"/>
                <w:sz w:val="28"/>
                <w:szCs w:val="28"/>
                <w:highlight w:val="none"/>
              </w:rPr>
              <w:t>采购代理：</w:t>
            </w:r>
          </w:p>
        </w:tc>
        <w:tc>
          <w:tcPr>
            <w:tcW w:w="7643" w:type="dxa"/>
            <w:vAlign w:val="center"/>
          </w:tcPr>
          <w:p w14:paraId="18BAFFA1">
            <w:pPr>
              <w:tabs>
                <w:tab w:val="left" w:pos="8504"/>
              </w:tabs>
              <w:spacing w:line="480" w:lineRule="auto"/>
              <w:rPr>
                <w:rFonts w:hint="eastAsia" w:ascii="仿宋" w:hAnsi="仿宋" w:eastAsia="仿宋" w:cs="仿宋"/>
                <w:b/>
                <w:spacing w:val="14"/>
                <w:sz w:val="28"/>
                <w:szCs w:val="28"/>
                <w:highlight w:val="none"/>
                <w:lang w:eastAsia="zh-CN"/>
              </w:rPr>
            </w:pPr>
            <w:r>
              <w:rPr>
                <w:rFonts w:hint="eastAsia" w:ascii="仿宋" w:hAnsi="仿宋" w:eastAsia="仿宋" w:cs="仿宋"/>
                <w:b/>
                <w:spacing w:val="14"/>
                <w:sz w:val="28"/>
                <w:szCs w:val="28"/>
                <w:highlight w:val="none"/>
                <w:lang w:eastAsia="zh-CN"/>
              </w:rPr>
              <w:t>新疆维吾尔自治区地质局昌吉地质大队</w:t>
            </w:r>
          </w:p>
          <w:p w14:paraId="11BDC5EA">
            <w:pPr>
              <w:tabs>
                <w:tab w:val="left" w:pos="8504"/>
              </w:tabs>
              <w:spacing w:line="480" w:lineRule="auto"/>
              <w:rPr>
                <w:rFonts w:hint="eastAsia" w:ascii="仿宋" w:hAnsi="仿宋" w:eastAsia="仿宋" w:cs="仿宋"/>
                <w:highlight w:val="none"/>
              </w:rPr>
            </w:pPr>
            <w:r>
              <w:rPr>
                <w:rFonts w:hint="eastAsia" w:ascii="仿宋" w:hAnsi="仿宋" w:eastAsia="仿宋" w:cs="仿宋"/>
                <w:b/>
                <w:spacing w:val="14"/>
                <w:sz w:val="28"/>
                <w:szCs w:val="28"/>
                <w:highlight w:val="none"/>
              </w:rPr>
              <w:t>新疆新世纪招标有限公司</w:t>
            </w:r>
          </w:p>
        </w:tc>
      </w:tr>
    </w:tbl>
    <w:p w14:paraId="5119DED0">
      <w:pPr>
        <w:spacing w:line="480" w:lineRule="auto"/>
        <w:ind w:firstLine="3514" w:firstLineChars="1250"/>
        <w:rPr>
          <w:rFonts w:hint="eastAsia" w:ascii="仿宋" w:hAnsi="仿宋" w:eastAsia="仿宋" w:cs="仿宋"/>
          <w:b/>
          <w:sz w:val="28"/>
          <w:szCs w:val="28"/>
          <w:highlight w:val="none"/>
        </w:rPr>
      </w:pPr>
    </w:p>
    <w:p w14:paraId="6684C207">
      <w:pPr>
        <w:spacing w:line="480" w:lineRule="auto"/>
        <w:ind w:firstLine="3514" w:firstLineChars="1250"/>
        <w:rPr>
          <w:rFonts w:hint="eastAsia" w:ascii="仿宋" w:hAnsi="仿宋" w:eastAsia="仿宋" w:cs="仿宋"/>
          <w:b/>
          <w:sz w:val="28"/>
          <w:szCs w:val="28"/>
          <w:highlight w:val="none"/>
        </w:rPr>
      </w:pPr>
    </w:p>
    <w:p w14:paraId="584BCD31">
      <w:pPr>
        <w:spacing w:line="480" w:lineRule="auto"/>
        <w:ind w:firstLine="3514" w:firstLineChars="1250"/>
        <w:rPr>
          <w:rFonts w:hint="eastAsia" w:ascii="仿宋" w:hAnsi="仿宋" w:eastAsia="仿宋" w:cs="仿宋"/>
          <w:sz w:val="48"/>
          <w:szCs w:val="48"/>
          <w:highlight w:val="none"/>
        </w:rPr>
      </w:pPr>
      <w:r>
        <w:rPr>
          <w:rFonts w:hint="eastAsia" w:ascii="仿宋" w:hAnsi="仿宋" w:eastAsia="仿宋" w:cs="仿宋"/>
          <w:b/>
          <w:sz w:val="28"/>
          <w:szCs w:val="28"/>
          <w:highlight w:val="none"/>
        </w:rPr>
        <w:t>二〇二</w:t>
      </w:r>
      <w:r>
        <w:rPr>
          <w:rFonts w:hint="eastAsia" w:ascii="仿宋" w:hAnsi="仿宋" w:eastAsia="仿宋" w:cs="仿宋"/>
          <w:b/>
          <w:sz w:val="28"/>
          <w:szCs w:val="28"/>
          <w:highlight w:val="none"/>
          <w:lang w:val="en-US" w:eastAsia="zh-CN"/>
        </w:rPr>
        <w:t>六</w:t>
      </w:r>
      <w:r>
        <w:rPr>
          <w:rFonts w:hint="eastAsia" w:ascii="仿宋" w:hAnsi="仿宋" w:eastAsia="仿宋" w:cs="仿宋"/>
          <w:b/>
          <w:sz w:val="28"/>
          <w:szCs w:val="28"/>
          <w:highlight w:val="none"/>
        </w:rPr>
        <w:t>年</w:t>
      </w:r>
      <w:r>
        <w:rPr>
          <w:rFonts w:hint="eastAsia" w:ascii="仿宋" w:hAnsi="仿宋" w:eastAsia="仿宋" w:cs="仿宋"/>
          <w:b/>
          <w:sz w:val="28"/>
          <w:szCs w:val="28"/>
          <w:highlight w:val="none"/>
          <w:lang w:val="en-US" w:eastAsia="zh-CN"/>
        </w:rPr>
        <w:t>四</w:t>
      </w:r>
      <w:r>
        <w:rPr>
          <w:rFonts w:hint="eastAsia" w:ascii="仿宋" w:hAnsi="仿宋" w:eastAsia="仿宋" w:cs="仿宋"/>
          <w:b/>
          <w:sz w:val="28"/>
          <w:szCs w:val="28"/>
          <w:highlight w:val="none"/>
        </w:rPr>
        <w:t>月</w:t>
      </w:r>
    </w:p>
    <w:p w14:paraId="68DC9547">
      <w:pPr>
        <w:adjustRightInd w:val="0"/>
        <w:snapToGrid w:val="0"/>
        <w:spacing w:line="480" w:lineRule="auto"/>
        <w:rPr>
          <w:rFonts w:hint="eastAsia" w:ascii="仿宋" w:hAnsi="仿宋" w:eastAsia="仿宋" w:cs="仿宋"/>
          <w:bCs/>
          <w:sz w:val="32"/>
          <w:szCs w:val="32"/>
          <w:highlight w:val="none"/>
        </w:rPr>
      </w:pPr>
    </w:p>
    <w:p w14:paraId="258C071D">
      <w:pPr>
        <w:widowControl/>
        <w:jc w:val="left"/>
        <w:rPr>
          <w:rFonts w:hint="eastAsia" w:ascii="仿宋" w:hAnsi="仿宋" w:eastAsia="仿宋" w:cs="仿宋"/>
          <w:b/>
          <w:bCs/>
          <w:sz w:val="28"/>
          <w:szCs w:val="24"/>
          <w:highlight w:val="none"/>
        </w:rPr>
      </w:pPr>
      <w:r>
        <w:rPr>
          <w:rFonts w:hint="eastAsia" w:ascii="仿宋" w:hAnsi="仿宋" w:eastAsia="仿宋" w:cs="仿宋"/>
          <w:b/>
          <w:bCs/>
          <w:sz w:val="28"/>
          <w:szCs w:val="24"/>
          <w:highlight w:val="none"/>
        </w:rPr>
        <w:br w:type="page"/>
      </w:r>
    </w:p>
    <w:p w14:paraId="7F985402">
      <w:pPr>
        <w:jc w:val="center"/>
        <w:rPr>
          <w:rFonts w:hint="eastAsia" w:ascii="仿宋" w:hAnsi="仿宋" w:eastAsia="仿宋" w:cs="仿宋"/>
          <w:b/>
          <w:bCs/>
          <w:sz w:val="28"/>
          <w:szCs w:val="24"/>
          <w:highlight w:val="none"/>
        </w:rPr>
      </w:pPr>
      <w:r>
        <w:rPr>
          <w:rFonts w:hint="eastAsia" w:ascii="仿宋" w:hAnsi="仿宋" w:eastAsia="仿宋" w:cs="仿宋"/>
          <w:b/>
          <w:bCs/>
          <w:sz w:val="28"/>
          <w:szCs w:val="24"/>
          <w:highlight w:val="none"/>
        </w:rPr>
        <w:t>目录</w:t>
      </w:r>
    </w:p>
    <w:p w14:paraId="6325E162">
      <w:pPr>
        <w:pStyle w:val="27"/>
        <w:tabs>
          <w:tab w:val="right" w:leader="dot" w:pos="9354"/>
        </w:tabs>
        <w:rPr>
          <w:highlight w:val="none"/>
        </w:rPr>
      </w:pPr>
      <w:r>
        <w:rPr>
          <w:rStyle w:val="52"/>
          <w:rFonts w:hint="eastAsia" w:ascii="仿宋" w:hAnsi="仿宋" w:eastAsia="仿宋" w:cs="仿宋"/>
          <w:b/>
          <w:color w:val="auto"/>
          <w:sz w:val="24"/>
          <w:highlight w:val="none"/>
        </w:rPr>
        <w:fldChar w:fldCharType="begin"/>
      </w:r>
      <w:r>
        <w:rPr>
          <w:rStyle w:val="52"/>
          <w:rFonts w:hint="eastAsia" w:ascii="仿宋" w:hAnsi="仿宋" w:eastAsia="仿宋" w:cs="仿宋"/>
          <w:b/>
          <w:color w:val="auto"/>
          <w:sz w:val="24"/>
          <w:highlight w:val="none"/>
        </w:rPr>
        <w:instrText xml:space="preserve">TOC \o "1-3" \h \u </w:instrText>
      </w:r>
      <w:r>
        <w:rPr>
          <w:rStyle w:val="52"/>
          <w:rFonts w:hint="eastAsia" w:ascii="仿宋" w:hAnsi="仿宋" w:eastAsia="仿宋" w:cs="仿宋"/>
          <w:b/>
          <w:color w:val="auto"/>
          <w:sz w:val="24"/>
          <w:highlight w:val="none"/>
        </w:rPr>
        <w:fldChar w:fldCharType="separate"/>
      </w: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_Toc1186 </w:instrText>
      </w:r>
      <w:r>
        <w:rPr>
          <w:rFonts w:hint="eastAsia" w:ascii="仿宋" w:hAnsi="仿宋" w:eastAsia="仿宋" w:cs="仿宋"/>
          <w:highlight w:val="none"/>
        </w:rPr>
        <w:fldChar w:fldCharType="separate"/>
      </w:r>
      <w:r>
        <w:rPr>
          <w:rFonts w:hint="eastAsia" w:ascii="仿宋" w:hAnsi="仿宋" w:eastAsia="仿宋" w:cs="仿宋"/>
          <w:bCs/>
          <w:szCs w:val="28"/>
          <w:highlight w:val="none"/>
        </w:rPr>
        <w:t>公开招标公告</w:t>
      </w:r>
      <w:r>
        <w:rPr>
          <w:highlight w:val="none"/>
        </w:rPr>
        <w:tab/>
      </w:r>
      <w:r>
        <w:rPr>
          <w:highlight w:val="none"/>
        </w:rPr>
        <w:fldChar w:fldCharType="begin"/>
      </w:r>
      <w:r>
        <w:rPr>
          <w:highlight w:val="none"/>
        </w:rPr>
        <w:instrText xml:space="preserve"> PAGEREF _Toc1186 \h </w:instrText>
      </w:r>
      <w:r>
        <w:rPr>
          <w:highlight w:val="none"/>
        </w:rPr>
        <w:fldChar w:fldCharType="separate"/>
      </w:r>
      <w:r>
        <w:rPr>
          <w:highlight w:val="none"/>
        </w:rPr>
        <w:t>1</w:t>
      </w:r>
      <w:r>
        <w:rPr>
          <w:highlight w:val="none"/>
        </w:rPr>
        <w:fldChar w:fldCharType="end"/>
      </w:r>
      <w:r>
        <w:rPr>
          <w:rFonts w:hint="eastAsia" w:ascii="仿宋" w:hAnsi="仿宋" w:eastAsia="仿宋" w:cs="仿宋"/>
          <w:color w:val="auto"/>
          <w:highlight w:val="none"/>
        </w:rPr>
        <w:fldChar w:fldCharType="end"/>
      </w:r>
    </w:p>
    <w:p w14:paraId="234559F0">
      <w:pPr>
        <w:pStyle w:val="27"/>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_Toc31961 </w:instrText>
      </w:r>
      <w:r>
        <w:rPr>
          <w:rFonts w:hint="eastAsia" w:ascii="仿宋" w:hAnsi="仿宋" w:eastAsia="仿宋" w:cs="仿宋"/>
          <w:highlight w:val="none"/>
        </w:rPr>
        <w:fldChar w:fldCharType="separate"/>
      </w:r>
      <w:r>
        <w:rPr>
          <w:rFonts w:hint="eastAsia" w:ascii="仿宋" w:hAnsi="仿宋" w:eastAsia="仿宋" w:cs="仿宋"/>
          <w:szCs w:val="28"/>
          <w:highlight w:val="none"/>
        </w:rPr>
        <w:t>投标人须知前附表</w:t>
      </w:r>
      <w:r>
        <w:rPr>
          <w:highlight w:val="none"/>
        </w:rPr>
        <w:tab/>
      </w:r>
      <w:r>
        <w:rPr>
          <w:highlight w:val="none"/>
        </w:rPr>
        <w:fldChar w:fldCharType="begin"/>
      </w:r>
      <w:r>
        <w:rPr>
          <w:highlight w:val="none"/>
        </w:rPr>
        <w:instrText xml:space="preserve"> PAGEREF _Toc31961 \h </w:instrText>
      </w:r>
      <w:r>
        <w:rPr>
          <w:highlight w:val="none"/>
        </w:rPr>
        <w:fldChar w:fldCharType="separate"/>
      </w:r>
      <w:r>
        <w:rPr>
          <w:highlight w:val="none"/>
        </w:rPr>
        <w:t>4</w:t>
      </w:r>
      <w:r>
        <w:rPr>
          <w:highlight w:val="none"/>
        </w:rPr>
        <w:fldChar w:fldCharType="end"/>
      </w:r>
      <w:r>
        <w:rPr>
          <w:rFonts w:hint="eastAsia" w:ascii="仿宋" w:hAnsi="仿宋" w:eastAsia="仿宋" w:cs="仿宋"/>
          <w:highlight w:val="none"/>
        </w:rPr>
        <w:fldChar w:fldCharType="end"/>
      </w:r>
    </w:p>
    <w:p w14:paraId="138A025D">
      <w:pPr>
        <w:pStyle w:val="27"/>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_Toc21391 </w:instrText>
      </w:r>
      <w:r>
        <w:rPr>
          <w:rFonts w:hint="eastAsia" w:ascii="仿宋" w:hAnsi="仿宋" w:eastAsia="仿宋" w:cs="仿宋"/>
          <w:highlight w:val="none"/>
        </w:rPr>
        <w:fldChar w:fldCharType="separate"/>
      </w:r>
      <w:r>
        <w:rPr>
          <w:rFonts w:hint="eastAsia" w:ascii="仿宋" w:hAnsi="仿宋" w:eastAsia="仿宋" w:cs="仿宋"/>
          <w:szCs w:val="28"/>
          <w:highlight w:val="none"/>
        </w:rPr>
        <w:t>第一章 投标人须知</w:t>
      </w:r>
      <w:r>
        <w:rPr>
          <w:highlight w:val="none"/>
        </w:rPr>
        <w:tab/>
      </w:r>
      <w:r>
        <w:rPr>
          <w:highlight w:val="none"/>
        </w:rPr>
        <w:fldChar w:fldCharType="begin"/>
      </w:r>
      <w:r>
        <w:rPr>
          <w:highlight w:val="none"/>
        </w:rPr>
        <w:instrText xml:space="preserve"> PAGEREF _Toc21391 \h </w:instrText>
      </w:r>
      <w:r>
        <w:rPr>
          <w:highlight w:val="none"/>
        </w:rPr>
        <w:fldChar w:fldCharType="separate"/>
      </w:r>
      <w:r>
        <w:rPr>
          <w:highlight w:val="none"/>
        </w:rPr>
        <w:t>9</w:t>
      </w:r>
      <w:r>
        <w:rPr>
          <w:highlight w:val="none"/>
        </w:rPr>
        <w:fldChar w:fldCharType="end"/>
      </w:r>
      <w:r>
        <w:rPr>
          <w:rFonts w:hint="eastAsia" w:ascii="仿宋" w:hAnsi="仿宋" w:eastAsia="仿宋" w:cs="仿宋"/>
          <w:highlight w:val="none"/>
        </w:rPr>
        <w:fldChar w:fldCharType="end"/>
      </w:r>
    </w:p>
    <w:p w14:paraId="5B264432">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_Toc3661 </w:instrText>
      </w:r>
      <w:r>
        <w:rPr>
          <w:rFonts w:hint="eastAsia" w:ascii="仿宋" w:hAnsi="仿宋" w:eastAsia="仿宋" w:cs="仿宋"/>
          <w:highlight w:val="none"/>
        </w:rPr>
        <w:fldChar w:fldCharType="separate"/>
      </w:r>
      <w:r>
        <w:rPr>
          <w:rFonts w:hint="eastAsia" w:ascii="仿宋" w:hAnsi="仿宋" w:eastAsia="仿宋" w:cs="仿宋"/>
          <w:szCs w:val="24"/>
          <w:highlight w:val="none"/>
        </w:rPr>
        <w:t>1．总则</w:t>
      </w:r>
      <w:r>
        <w:rPr>
          <w:highlight w:val="none"/>
        </w:rPr>
        <w:tab/>
      </w:r>
      <w:r>
        <w:rPr>
          <w:highlight w:val="none"/>
        </w:rPr>
        <w:fldChar w:fldCharType="begin"/>
      </w:r>
      <w:r>
        <w:rPr>
          <w:highlight w:val="none"/>
        </w:rPr>
        <w:instrText xml:space="preserve"> PAGEREF _Toc3661 \h </w:instrText>
      </w:r>
      <w:r>
        <w:rPr>
          <w:highlight w:val="none"/>
        </w:rPr>
        <w:fldChar w:fldCharType="separate"/>
      </w:r>
      <w:r>
        <w:rPr>
          <w:highlight w:val="none"/>
        </w:rPr>
        <w:t>9</w:t>
      </w:r>
      <w:r>
        <w:rPr>
          <w:highlight w:val="none"/>
        </w:rPr>
        <w:fldChar w:fldCharType="end"/>
      </w:r>
      <w:r>
        <w:rPr>
          <w:rFonts w:hint="eastAsia" w:ascii="仿宋" w:hAnsi="仿宋" w:eastAsia="仿宋" w:cs="仿宋"/>
          <w:highlight w:val="none"/>
        </w:rPr>
        <w:fldChar w:fldCharType="end"/>
      </w:r>
    </w:p>
    <w:p w14:paraId="5661A8AD">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_Toc27298 </w:instrText>
      </w:r>
      <w:r>
        <w:rPr>
          <w:rFonts w:hint="eastAsia" w:ascii="仿宋" w:hAnsi="仿宋" w:eastAsia="仿宋" w:cs="仿宋"/>
          <w:highlight w:val="none"/>
        </w:rPr>
        <w:fldChar w:fldCharType="separate"/>
      </w:r>
      <w:r>
        <w:rPr>
          <w:rFonts w:hint="eastAsia" w:ascii="仿宋" w:hAnsi="仿宋" w:eastAsia="仿宋" w:cs="仿宋"/>
          <w:szCs w:val="24"/>
          <w:highlight w:val="none"/>
        </w:rPr>
        <w:t>2．招标文件</w:t>
      </w:r>
      <w:r>
        <w:rPr>
          <w:highlight w:val="none"/>
        </w:rPr>
        <w:tab/>
      </w:r>
      <w:r>
        <w:rPr>
          <w:highlight w:val="none"/>
        </w:rPr>
        <w:fldChar w:fldCharType="begin"/>
      </w:r>
      <w:r>
        <w:rPr>
          <w:highlight w:val="none"/>
        </w:rPr>
        <w:instrText xml:space="preserve"> PAGEREF _Toc27298 \h </w:instrText>
      </w:r>
      <w:r>
        <w:rPr>
          <w:highlight w:val="none"/>
        </w:rPr>
        <w:fldChar w:fldCharType="separate"/>
      </w:r>
      <w:r>
        <w:rPr>
          <w:highlight w:val="none"/>
        </w:rPr>
        <w:t>11</w:t>
      </w:r>
      <w:r>
        <w:rPr>
          <w:highlight w:val="none"/>
        </w:rPr>
        <w:fldChar w:fldCharType="end"/>
      </w:r>
      <w:r>
        <w:rPr>
          <w:rFonts w:hint="eastAsia" w:ascii="仿宋" w:hAnsi="仿宋" w:eastAsia="仿宋" w:cs="仿宋"/>
          <w:highlight w:val="none"/>
        </w:rPr>
        <w:fldChar w:fldCharType="end"/>
      </w:r>
    </w:p>
    <w:p w14:paraId="1F2AE8B4">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_Toc5223 </w:instrText>
      </w:r>
      <w:r>
        <w:rPr>
          <w:rFonts w:hint="eastAsia" w:ascii="仿宋" w:hAnsi="仿宋" w:eastAsia="仿宋" w:cs="仿宋"/>
          <w:highlight w:val="none"/>
        </w:rPr>
        <w:fldChar w:fldCharType="separate"/>
      </w:r>
      <w:r>
        <w:rPr>
          <w:rFonts w:hint="eastAsia" w:ascii="仿宋" w:hAnsi="仿宋" w:eastAsia="仿宋" w:cs="仿宋"/>
          <w:szCs w:val="24"/>
          <w:highlight w:val="none"/>
        </w:rPr>
        <w:t>3．投标文件</w:t>
      </w:r>
      <w:r>
        <w:rPr>
          <w:highlight w:val="none"/>
        </w:rPr>
        <w:tab/>
      </w:r>
      <w:r>
        <w:rPr>
          <w:highlight w:val="none"/>
        </w:rPr>
        <w:fldChar w:fldCharType="begin"/>
      </w:r>
      <w:r>
        <w:rPr>
          <w:highlight w:val="none"/>
        </w:rPr>
        <w:instrText xml:space="preserve"> PAGEREF _Toc5223 \h </w:instrText>
      </w:r>
      <w:r>
        <w:rPr>
          <w:highlight w:val="none"/>
        </w:rPr>
        <w:fldChar w:fldCharType="separate"/>
      </w:r>
      <w:r>
        <w:rPr>
          <w:highlight w:val="none"/>
        </w:rPr>
        <w:t>12</w:t>
      </w:r>
      <w:r>
        <w:rPr>
          <w:highlight w:val="none"/>
        </w:rPr>
        <w:fldChar w:fldCharType="end"/>
      </w:r>
      <w:r>
        <w:rPr>
          <w:rFonts w:hint="eastAsia" w:ascii="仿宋" w:hAnsi="仿宋" w:eastAsia="仿宋" w:cs="仿宋"/>
          <w:highlight w:val="none"/>
        </w:rPr>
        <w:fldChar w:fldCharType="end"/>
      </w:r>
    </w:p>
    <w:p w14:paraId="33BE5838">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_Toc28025 </w:instrText>
      </w:r>
      <w:r>
        <w:rPr>
          <w:rFonts w:hint="eastAsia" w:ascii="仿宋" w:hAnsi="仿宋" w:eastAsia="仿宋" w:cs="仿宋"/>
          <w:highlight w:val="none"/>
        </w:rPr>
        <w:fldChar w:fldCharType="separate"/>
      </w:r>
      <w:r>
        <w:rPr>
          <w:rFonts w:hint="eastAsia" w:ascii="仿宋" w:hAnsi="仿宋" w:eastAsia="仿宋" w:cs="仿宋"/>
          <w:szCs w:val="24"/>
          <w:highlight w:val="none"/>
        </w:rPr>
        <w:t>4．投标</w:t>
      </w:r>
      <w:r>
        <w:rPr>
          <w:highlight w:val="none"/>
        </w:rPr>
        <w:tab/>
      </w:r>
      <w:r>
        <w:rPr>
          <w:highlight w:val="none"/>
        </w:rPr>
        <w:fldChar w:fldCharType="begin"/>
      </w:r>
      <w:r>
        <w:rPr>
          <w:highlight w:val="none"/>
        </w:rPr>
        <w:instrText xml:space="preserve"> PAGEREF _Toc28025 \h </w:instrText>
      </w:r>
      <w:r>
        <w:rPr>
          <w:highlight w:val="none"/>
        </w:rPr>
        <w:fldChar w:fldCharType="separate"/>
      </w:r>
      <w:r>
        <w:rPr>
          <w:highlight w:val="none"/>
        </w:rPr>
        <w:t>15</w:t>
      </w:r>
      <w:r>
        <w:rPr>
          <w:highlight w:val="none"/>
        </w:rPr>
        <w:fldChar w:fldCharType="end"/>
      </w:r>
      <w:r>
        <w:rPr>
          <w:rFonts w:hint="eastAsia" w:ascii="仿宋" w:hAnsi="仿宋" w:eastAsia="仿宋" w:cs="仿宋"/>
          <w:highlight w:val="none"/>
        </w:rPr>
        <w:fldChar w:fldCharType="end"/>
      </w:r>
    </w:p>
    <w:p w14:paraId="22FD6271">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_Toc26385 </w:instrText>
      </w:r>
      <w:r>
        <w:rPr>
          <w:rFonts w:hint="eastAsia" w:ascii="仿宋" w:hAnsi="仿宋" w:eastAsia="仿宋" w:cs="仿宋"/>
          <w:highlight w:val="none"/>
        </w:rPr>
        <w:fldChar w:fldCharType="separate"/>
      </w:r>
      <w:r>
        <w:rPr>
          <w:rFonts w:hint="eastAsia" w:ascii="仿宋" w:hAnsi="仿宋" w:eastAsia="仿宋" w:cs="仿宋"/>
          <w:szCs w:val="24"/>
          <w:highlight w:val="none"/>
        </w:rPr>
        <w:t>5．开标</w:t>
      </w:r>
      <w:r>
        <w:rPr>
          <w:highlight w:val="none"/>
        </w:rPr>
        <w:tab/>
      </w:r>
      <w:r>
        <w:rPr>
          <w:highlight w:val="none"/>
        </w:rPr>
        <w:fldChar w:fldCharType="begin"/>
      </w:r>
      <w:r>
        <w:rPr>
          <w:highlight w:val="none"/>
        </w:rPr>
        <w:instrText xml:space="preserve"> PAGEREF _Toc26385 \h </w:instrText>
      </w:r>
      <w:r>
        <w:rPr>
          <w:highlight w:val="none"/>
        </w:rPr>
        <w:fldChar w:fldCharType="separate"/>
      </w:r>
      <w:r>
        <w:rPr>
          <w:highlight w:val="none"/>
        </w:rPr>
        <w:t>16</w:t>
      </w:r>
      <w:r>
        <w:rPr>
          <w:highlight w:val="none"/>
        </w:rPr>
        <w:fldChar w:fldCharType="end"/>
      </w:r>
      <w:r>
        <w:rPr>
          <w:rFonts w:hint="eastAsia" w:ascii="仿宋" w:hAnsi="仿宋" w:eastAsia="仿宋" w:cs="仿宋"/>
          <w:highlight w:val="none"/>
        </w:rPr>
        <w:fldChar w:fldCharType="end"/>
      </w:r>
    </w:p>
    <w:p w14:paraId="612825CF">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_Toc5139 </w:instrText>
      </w:r>
      <w:r>
        <w:rPr>
          <w:rFonts w:hint="eastAsia" w:ascii="仿宋" w:hAnsi="仿宋" w:eastAsia="仿宋" w:cs="仿宋"/>
          <w:highlight w:val="none"/>
        </w:rPr>
        <w:fldChar w:fldCharType="separate"/>
      </w:r>
      <w:r>
        <w:rPr>
          <w:rFonts w:hint="eastAsia" w:ascii="仿宋" w:hAnsi="仿宋" w:eastAsia="仿宋" w:cs="仿宋"/>
          <w:szCs w:val="24"/>
          <w:highlight w:val="none"/>
        </w:rPr>
        <w:t>6．评标</w:t>
      </w:r>
      <w:r>
        <w:rPr>
          <w:highlight w:val="none"/>
        </w:rPr>
        <w:tab/>
      </w:r>
      <w:r>
        <w:rPr>
          <w:highlight w:val="none"/>
        </w:rPr>
        <w:fldChar w:fldCharType="begin"/>
      </w:r>
      <w:r>
        <w:rPr>
          <w:highlight w:val="none"/>
        </w:rPr>
        <w:instrText xml:space="preserve"> PAGEREF _Toc5139 \h </w:instrText>
      </w:r>
      <w:r>
        <w:rPr>
          <w:highlight w:val="none"/>
        </w:rPr>
        <w:fldChar w:fldCharType="separate"/>
      </w:r>
      <w:r>
        <w:rPr>
          <w:highlight w:val="none"/>
        </w:rPr>
        <w:t>16</w:t>
      </w:r>
      <w:r>
        <w:rPr>
          <w:highlight w:val="none"/>
        </w:rPr>
        <w:fldChar w:fldCharType="end"/>
      </w:r>
      <w:r>
        <w:rPr>
          <w:rFonts w:hint="eastAsia" w:ascii="仿宋" w:hAnsi="仿宋" w:eastAsia="仿宋" w:cs="仿宋"/>
          <w:highlight w:val="none"/>
        </w:rPr>
        <w:fldChar w:fldCharType="end"/>
      </w:r>
    </w:p>
    <w:p w14:paraId="3BD5C640">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_Toc1820 </w:instrText>
      </w:r>
      <w:r>
        <w:rPr>
          <w:rFonts w:hint="eastAsia" w:ascii="仿宋" w:hAnsi="仿宋" w:eastAsia="仿宋" w:cs="仿宋"/>
          <w:highlight w:val="none"/>
        </w:rPr>
        <w:fldChar w:fldCharType="separate"/>
      </w:r>
      <w:r>
        <w:rPr>
          <w:rFonts w:hint="eastAsia" w:ascii="仿宋" w:hAnsi="仿宋" w:eastAsia="仿宋" w:cs="仿宋"/>
          <w:szCs w:val="24"/>
          <w:highlight w:val="none"/>
        </w:rPr>
        <w:t>7．定标及合同授予</w:t>
      </w:r>
      <w:r>
        <w:rPr>
          <w:highlight w:val="none"/>
        </w:rPr>
        <w:tab/>
      </w:r>
      <w:r>
        <w:rPr>
          <w:highlight w:val="none"/>
        </w:rPr>
        <w:fldChar w:fldCharType="begin"/>
      </w:r>
      <w:r>
        <w:rPr>
          <w:highlight w:val="none"/>
        </w:rPr>
        <w:instrText xml:space="preserve"> PAGEREF _Toc1820 \h </w:instrText>
      </w:r>
      <w:r>
        <w:rPr>
          <w:highlight w:val="none"/>
        </w:rPr>
        <w:fldChar w:fldCharType="separate"/>
      </w:r>
      <w:r>
        <w:rPr>
          <w:highlight w:val="none"/>
        </w:rPr>
        <w:t>17</w:t>
      </w:r>
      <w:r>
        <w:rPr>
          <w:highlight w:val="none"/>
        </w:rPr>
        <w:fldChar w:fldCharType="end"/>
      </w:r>
      <w:r>
        <w:rPr>
          <w:rFonts w:hint="eastAsia" w:ascii="仿宋" w:hAnsi="仿宋" w:eastAsia="仿宋" w:cs="仿宋"/>
          <w:highlight w:val="none"/>
        </w:rPr>
        <w:fldChar w:fldCharType="end"/>
      </w:r>
    </w:p>
    <w:p w14:paraId="77B157B1">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_Toc10630 </w:instrText>
      </w:r>
      <w:r>
        <w:rPr>
          <w:rFonts w:hint="eastAsia" w:ascii="仿宋" w:hAnsi="仿宋" w:eastAsia="仿宋" w:cs="仿宋"/>
          <w:highlight w:val="none"/>
        </w:rPr>
        <w:fldChar w:fldCharType="separate"/>
      </w:r>
      <w:r>
        <w:rPr>
          <w:rFonts w:hint="eastAsia" w:ascii="仿宋" w:hAnsi="仿宋" w:eastAsia="仿宋" w:cs="仿宋"/>
          <w:szCs w:val="24"/>
          <w:highlight w:val="none"/>
        </w:rPr>
        <w:t>8．纪律和监督</w:t>
      </w:r>
      <w:r>
        <w:rPr>
          <w:highlight w:val="none"/>
        </w:rPr>
        <w:tab/>
      </w:r>
      <w:r>
        <w:rPr>
          <w:highlight w:val="none"/>
        </w:rPr>
        <w:fldChar w:fldCharType="begin"/>
      </w:r>
      <w:r>
        <w:rPr>
          <w:highlight w:val="none"/>
        </w:rPr>
        <w:instrText xml:space="preserve"> PAGEREF _Toc10630 \h </w:instrText>
      </w:r>
      <w:r>
        <w:rPr>
          <w:highlight w:val="none"/>
        </w:rPr>
        <w:fldChar w:fldCharType="separate"/>
      </w:r>
      <w:r>
        <w:rPr>
          <w:highlight w:val="none"/>
        </w:rPr>
        <w:t>18</w:t>
      </w:r>
      <w:r>
        <w:rPr>
          <w:highlight w:val="none"/>
        </w:rPr>
        <w:fldChar w:fldCharType="end"/>
      </w:r>
      <w:r>
        <w:rPr>
          <w:rFonts w:hint="eastAsia" w:ascii="仿宋" w:hAnsi="仿宋" w:eastAsia="仿宋" w:cs="仿宋"/>
          <w:highlight w:val="none"/>
        </w:rPr>
        <w:fldChar w:fldCharType="end"/>
      </w:r>
    </w:p>
    <w:p w14:paraId="2CBB25E8">
      <w:pPr>
        <w:pStyle w:val="27"/>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_Toc21164 </w:instrText>
      </w:r>
      <w:r>
        <w:rPr>
          <w:rFonts w:hint="eastAsia" w:ascii="仿宋" w:hAnsi="仿宋" w:eastAsia="仿宋" w:cs="仿宋"/>
          <w:highlight w:val="none"/>
        </w:rPr>
        <w:fldChar w:fldCharType="separate"/>
      </w:r>
      <w:r>
        <w:rPr>
          <w:rFonts w:hint="eastAsia" w:ascii="仿宋" w:hAnsi="仿宋" w:eastAsia="仿宋" w:cs="仿宋"/>
          <w:szCs w:val="28"/>
          <w:highlight w:val="none"/>
        </w:rPr>
        <w:t>第二章 评标办法</w:t>
      </w:r>
      <w:r>
        <w:rPr>
          <w:highlight w:val="none"/>
        </w:rPr>
        <w:tab/>
      </w:r>
      <w:r>
        <w:rPr>
          <w:highlight w:val="none"/>
        </w:rPr>
        <w:fldChar w:fldCharType="begin"/>
      </w:r>
      <w:r>
        <w:rPr>
          <w:highlight w:val="none"/>
        </w:rPr>
        <w:instrText xml:space="preserve"> PAGEREF _Toc21164 \h </w:instrText>
      </w:r>
      <w:r>
        <w:rPr>
          <w:highlight w:val="none"/>
        </w:rPr>
        <w:fldChar w:fldCharType="separate"/>
      </w:r>
      <w:r>
        <w:rPr>
          <w:highlight w:val="none"/>
        </w:rPr>
        <w:t>19</w:t>
      </w:r>
      <w:r>
        <w:rPr>
          <w:highlight w:val="none"/>
        </w:rPr>
        <w:fldChar w:fldCharType="end"/>
      </w:r>
      <w:r>
        <w:rPr>
          <w:rFonts w:hint="eastAsia" w:ascii="仿宋" w:hAnsi="仿宋" w:eastAsia="仿宋" w:cs="仿宋"/>
          <w:highlight w:val="none"/>
        </w:rPr>
        <w:fldChar w:fldCharType="end"/>
      </w:r>
    </w:p>
    <w:p w14:paraId="3E51A2F0">
      <w:pPr>
        <w:pStyle w:val="19"/>
        <w:tabs>
          <w:tab w:val="right" w:leader="dot" w:pos="9354"/>
        </w:tabs>
        <w:ind w:left="0" w:leftChars="0" w:firstLine="420" w:firstLineChars="200"/>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_Toc23868 </w:instrText>
      </w:r>
      <w:r>
        <w:rPr>
          <w:rFonts w:hint="eastAsia" w:ascii="仿宋" w:hAnsi="仿宋" w:eastAsia="仿宋" w:cs="仿宋"/>
          <w:highlight w:val="none"/>
        </w:rPr>
        <w:fldChar w:fldCharType="separate"/>
      </w:r>
      <w:r>
        <w:rPr>
          <w:rFonts w:hint="eastAsia" w:ascii="仿宋" w:hAnsi="仿宋" w:eastAsia="仿宋" w:cs="仿宋"/>
          <w:szCs w:val="28"/>
          <w:highlight w:val="none"/>
        </w:rPr>
        <w:t>评审办法前附表</w:t>
      </w:r>
      <w:r>
        <w:rPr>
          <w:highlight w:val="none"/>
        </w:rPr>
        <w:tab/>
      </w:r>
      <w:r>
        <w:rPr>
          <w:highlight w:val="none"/>
        </w:rPr>
        <w:fldChar w:fldCharType="begin"/>
      </w:r>
      <w:r>
        <w:rPr>
          <w:highlight w:val="none"/>
        </w:rPr>
        <w:instrText xml:space="preserve"> PAGEREF _Toc23868 \h </w:instrText>
      </w:r>
      <w:r>
        <w:rPr>
          <w:highlight w:val="none"/>
        </w:rPr>
        <w:fldChar w:fldCharType="separate"/>
      </w:r>
      <w:r>
        <w:rPr>
          <w:highlight w:val="none"/>
        </w:rPr>
        <w:t>19</w:t>
      </w:r>
      <w:r>
        <w:rPr>
          <w:highlight w:val="none"/>
        </w:rPr>
        <w:fldChar w:fldCharType="end"/>
      </w:r>
      <w:r>
        <w:rPr>
          <w:rFonts w:hint="eastAsia" w:ascii="仿宋" w:hAnsi="仿宋" w:eastAsia="仿宋" w:cs="仿宋"/>
          <w:highlight w:val="none"/>
        </w:rPr>
        <w:fldChar w:fldCharType="end"/>
      </w:r>
    </w:p>
    <w:p w14:paraId="11CF54D2">
      <w:pPr>
        <w:pStyle w:val="19"/>
        <w:tabs>
          <w:tab w:val="right" w:leader="dot" w:pos="9354"/>
        </w:tabs>
        <w:ind w:left="0" w:leftChars="0" w:firstLine="420" w:firstLineChars="200"/>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_Toc17904 </w:instrText>
      </w:r>
      <w:r>
        <w:rPr>
          <w:rFonts w:hint="eastAsia" w:ascii="仿宋" w:hAnsi="仿宋" w:eastAsia="仿宋" w:cs="仿宋"/>
          <w:highlight w:val="none"/>
        </w:rPr>
        <w:fldChar w:fldCharType="separate"/>
      </w:r>
      <w:r>
        <w:rPr>
          <w:rFonts w:hint="eastAsia" w:ascii="仿宋" w:hAnsi="仿宋" w:eastAsia="仿宋" w:cs="仿宋"/>
          <w:szCs w:val="24"/>
          <w:highlight w:val="none"/>
        </w:rPr>
        <w:t>1. 评标方法</w:t>
      </w:r>
      <w:r>
        <w:rPr>
          <w:highlight w:val="none"/>
        </w:rPr>
        <w:tab/>
      </w:r>
      <w:r>
        <w:rPr>
          <w:highlight w:val="none"/>
        </w:rPr>
        <w:fldChar w:fldCharType="begin"/>
      </w:r>
      <w:r>
        <w:rPr>
          <w:highlight w:val="none"/>
        </w:rPr>
        <w:instrText xml:space="preserve"> PAGEREF _Toc17904 \h </w:instrText>
      </w:r>
      <w:r>
        <w:rPr>
          <w:highlight w:val="none"/>
        </w:rPr>
        <w:fldChar w:fldCharType="separate"/>
      </w:r>
      <w:r>
        <w:rPr>
          <w:highlight w:val="none"/>
        </w:rPr>
        <w:t>22</w:t>
      </w:r>
      <w:r>
        <w:rPr>
          <w:highlight w:val="none"/>
        </w:rPr>
        <w:fldChar w:fldCharType="end"/>
      </w:r>
      <w:r>
        <w:rPr>
          <w:rFonts w:hint="eastAsia" w:ascii="仿宋" w:hAnsi="仿宋" w:eastAsia="仿宋" w:cs="仿宋"/>
          <w:highlight w:val="none"/>
        </w:rPr>
        <w:fldChar w:fldCharType="end"/>
      </w:r>
    </w:p>
    <w:p w14:paraId="695A5C78">
      <w:pPr>
        <w:pStyle w:val="19"/>
        <w:tabs>
          <w:tab w:val="right" w:leader="dot" w:pos="9354"/>
        </w:tabs>
        <w:ind w:left="0" w:leftChars="0" w:firstLine="420" w:firstLineChars="200"/>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_Toc25431 </w:instrText>
      </w:r>
      <w:r>
        <w:rPr>
          <w:rFonts w:hint="eastAsia" w:ascii="仿宋" w:hAnsi="仿宋" w:eastAsia="仿宋" w:cs="仿宋"/>
          <w:highlight w:val="none"/>
        </w:rPr>
        <w:fldChar w:fldCharType="separate"/>
      </w:r>
      <w:r>
        <w:rPr>
          <w:rFonts w:hint="eastAsia" w:ascii="仿宋" w:hAnsi="仿宋" w:eastAsia="仿宋" w:cs="仿宋"/>
          <w:szCs w:val="24"/>
          <w:highlight w:val="none"/>
        </w:rPr>
        <w:t>2. 评标标准</w:t>
      </w:r>
      <w:r>
        <w:rPr>
          <w:highlight w:val="none"/>
        </w:rPr>
        <w:tab/>
      </w:r>
      <w:r>
        <w:rPr>
          <w:highlight w:val="none"/>
        </w:rPr>
        <w:fldChar w:fldCharType="begin"/>
      </w:r>
      <w:r>
        <w:rPr>
          <w:highlight w:val="none"/>
        </w:rPr>
        <w:instrText xml:space="preserve"> PAGEREF _Toc25431 \h </w:instrText>
      </w:r>
      <w:r>
        <w:rPr>
          <w:highlight w:val="none"/>
        </w:rPr>
        <w:fldChar w:fldCharType="separate"/>
      </w:r>
      <w:r>
        <w:rPr>
          <w:highlight w:val="none"/>
        </w:rPr>
        <w:t>22</w:t>
      </w:r>
      <w:r>
        <w:rPr>
          <w:highlight w:val="none"/>
        </w:rPr>
        <w:fldChar w:fldCharType="end"/>
      </w:r>
      <w:r>
        <w:rPr>
          <w:rFonts w:hint="eastAsia" w:ascii="仿宋" w:hAnsi="仿宋" w:eastAsia="仿宋" w:cs="仿宋"/>
          <w:highlight w:val="none"/>
        </w:rPr>
        <w:fldChar w:fldCharType="end"/>
      </w:r>
    </w:p>
    <w:p w14:paraId="34313C43">
      <w:pPr>
        <w:pStyle w:val="19"/>
        <w:tabs>
          <w:tab w:val="right" w:leader="dot" w:pos="9354"/>
        </w:tabs>
        <w:ind w:left="0" w:leftChars="0" w:firstLine="420" w:firstLineChars="200"/>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_Toc29324 </w:instrText>
      </w:r>
      <w:r>
        <w:rPr>
          <w:rFonts w:hint="eastAsia" w:ascii="仿宋" w:hAnsi="仿宋" w:eastAsia="仿宋" w:cs="仿宋"/>
          <w:highlight w:val="none"/>
        </w:rPr>
        <w:fldChar w:fldCharType="separate"/>
      </w:r>
      <w:r>
        <w:rPr>
          <w:rFonts w:hint="eastAsia" w:ascii="仿宋" w:hAnsi="仿宋" w:eastAsia="仿宋" w:cs="仿宋"/>
          <w:szCs w:val="24"/>
          <w:highlight w:val="none"/>
        </w:rPr>
        <w:t>3. 评标程序</w:t>
      </w:r>
      <w:r>
        <w:rPr>
          <w:highlight w:val="none"/>
        </w:rPr>
        <w:tab/>
      </w:r>
      <w:r>
        <w:rPr>
          <w:highlight w:val="none"/>
        </w:rPr>
        <w:fldChar w:fldCharType="begin"/>
      </w:r>
      <w:r>
        <w:rPr>
          <w:highlight w:val="none"/>
        </w:rPr>
        <w:instrText xml:space="preserve"> PAGEREF _Toc29324 \h </w:instrText>
      </w:r>
      <w:r>
        <w:rPr>
          <w:highlight w:val="none"/>
        </w:rPr>
        <w:fldChar w:fldCharType="separate"/>
      </w:r>
      <w:r>
        <w:rPr>
          <w:highlight w:val="none"/>
        </w:rPr>
        <w:t>23</w:t>
      </w:r>
      <w:r>
        <w:rPr>
          <w:highlight w:val="none"/>
        </w:rPr>
        <w:fldChar w:fldCharType="end"/>
      </w:r>
      <w:r>
        <w:rPr>
          <w:rFonts w:hint="eastAsia" w:ascii="仿宋" w:hAnsi="仿宋" w:eastAsia="仿宋" w:cs="仿宋"/>
          <w:highlight w:val="none"/>
        </w:rPr>
        <w:fldChar w:fldCharType="end"/>
      </w:r>
    </w:p>
    <w:p w14:paraId="1D04A6ED">
      <w:pPr>
        <w:pStyle w:val="27"/>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_Toc1253 </w:instrText>
      </w:r>
      <w:r>
        <w:rPr>
          <w:rFonts w:hint="eastAsia" w:ascii="仿宋" w:hAnsi="仿宋" w:eastAsia="仿宋" w:cs="仿宋"/>
          <w:highlight w:val="none"/>
        </w:rPr>
        <w:fldChar w:fldCharType="separate"/>
      </w:r>
      <w:r>
        <w:rPr>
          <w:rFonts w:hint="eastAsia" w:ascii="仿宋" w:hAnsi="仿宋" w:eastAsia="仿宋" w:cs="仿宋"/>
          <w:szCs w:val="24"/>
          <w:highlight w:val="none"/>
        </w:rPr>
        <w:t>第三章 合同条款</w:t>
      </w:r>
      <w:r>
        <w:rPr>
          <w:highlight w:val="none"/>
        </w:rPr>
        <w:tab/>
      </w:r>
      <w:r>
        <w:rPr>
          <w:highlight w:val="none"/>
        </w:rPr>
        <w:fldChar w:fldCharType="begin"/>
      </w:r>
      <w:r>
        <w:rPr>
          <w:highlight w:val="none"/>
        </w:rPr>
        <w:instrText xml:space="preserve"> PAGEREF _Toc1253 \h </w:instrText>
      </w:r>
      <w:r>
        <w:rPr>
          <w:highlight w:val="none"/>
        </w:rPr>
        <w:fldChar w:fldCharType="separate"/>
      </w:r>
      <w:r>
        <w:rPr>
          <w:highlight w:val="none"/>
        </w:rPr>
        <w:t>30</w:t>
      </w:r>
      <w:r>
        <w:rPr>
          <w:highlight w:val="none"/>
        </w:rPr>
        <w:fldChar w:fldCharType="end"/>
      </w:r>
      <w:r>
        <w:rPr>
          <w:rFonts w:hint="eastAsia" w:ascii="仿宋" w:hAnsi="仿宋" w:eastAsia="仿宋" w:cs="仿宋"/>
          <w:highlight w:val="none"/>
        </w:rPr>
        <w:fldChar w:fldCharType="end"/>
      </w:r>
    </w:p>
    <w:p w14:paraId="3375A58A">
      <w:pPr>
        <w:pStyle w:val="27"/>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_Toc27487 </w:instrText>
      </w:r>
      <w:r>
        <w:rPr>
          <w:rFonts w:hint="eastAsia" w:ascii="仿宋" w:hAnsi="仿宋" w:eastAsia="仿宋" w:cs="仿宋"/>
          <w:highlight w:val="none"/>
        </w:rPr>
        <w:fldChar w:fldCharType="separate"/>
      </w:r>
      <w:r>
        <w:rPr>
          <w:rFonts w:hint="eastAsia" w:ascii="仿宋" w:hAnsi="仿宋" w:eastAsia="仿宋" w:cs="仿宋"/>
          <w:szCs w:val="24"/>
          <w:highlight w:val="none"/>
        </w:rPr>
        <w:t>第四章 服务标准和要求</w:t>
      </w:r>
      <w:r>
        <w:rPr>
          <w:highlight w:val="none"/>
        </w:rPr>
        <w:tab/>
      </w:r>
      <w:r>
        <w:rPr>
          <w:highlight w:val="none"/>
        </w:rPr>
        <w:fldChar w:fldCharType="begin"/>
      </w:r>
      <w:r>
        <w:rPr>
          <w:highlight w:val="none"/>
        </w:rPr>
        <w:instrText xml:space="preserve"> PAGEREF _Toc27487 \h </w:instrText>
      </w:r>
      <w:r>
        <w:rPr>
          <w:highlight w:val="none"/>
        </w:rPr>
        <w:fldChar w:fldCharType="separate"/>
      </w:r>
      <w:r>
        <w:rPr>
          <w:highlight w:val="none"/>
        </w:rPr>
        <w:t>41</w:t>
      </w:r>
      <w:r>
        <w:rPr>
          <w:highlight w:val="none"/>
        </w:rPr>
        <w:fldChar w:fldCharType="end"/>
      </w:r>
      <w:r>
        <w:rPr>
          <w:rFonts w:hint="eastAsia" w:ascii="仿宋" w:hAnsi="仿宋" w:eastAsia="仿宋" w:cs="仿宋"/>
          <w:highlight w:val="none"/>
        </w:rPr>
        <w:fldChar w:fldCharType="end"/>
      </w:r>
    </w:p>
    <w:p w14:paraId="1E69DC2E">
      <w:pPr>
        <w:pStyle w:val="27"/>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_Toc1807 </w:instrText>
      </w:r>
      <w:r>
        <w:rPr>
          <w:rFonts w:hint="eastAsia" w:ascii="仿宋" w:hAnsi="仿宋" w:eastAsia="仿宋" w:cs="仿宋"/>
          <w:highlight w:val="none"/>
        </w:rPr>
        <w:fldChar w:fldCharType="separate"/>
      </w:r>
      <w:r>
        <w:rPr>
          <w:rFonts w:hint="eastAsia" w:ascii="仿宋" w:hAnsi="仿宋" w:eastAsia="仿宋" w:cs="仿宋"/>
          <w:szCs w:val="24"/>
          <w:highlight w:val="none"/>
        </w:rPr>
        <w:t>第五章 投标文件格式</w:t>
      </w:r>
      <w:r>
        <w:rPr>
          <w:highlight w:val="none"/>
        </w:rPr>
        <w:tab/>
      </w:r>
      <w:r>
        <w:rPr>
          <w:highlight w:val="none"/>
        </w:rPr>
        <w:fldChar w:fldCharType="begin"/>
      </w:r>
      <w:r>
        <w:rPr>
          <w:highlight w:val="none"/>
        </w:rPr>
        <w:instrText xml:space="preserve"> PAGEREF _Toc1807 \h </w:instrText>
      </w:r>
      <w:r>
        <w:rPr>
          <w:highlight w:val="none"/>
        </w:rPr>
        <w:fldChar w:fldCharType="separate"/>
      </w:r>
      <w:r>
        <w:rPr>
          <w:highlight w:val="none"/>
        </w:rPr>
        <w:t>41</w:t>
      </w:r>
      <w:r>
        <w:rPr>
          <w:highlight w:val="none"/>
        </w:rPr>
        <w:fldChar w:fldCharType="end"/>
      </w:r>
      <w:r>
        <w:rPr>
          <w:rFonts w:hint="eastAsia" w:ascii="仿宋" w:hAnsi="仿宋" w:eastAsia="仿宋" w:cs="仿宋"/>
          <w:highlight w:val="none"/>
        </w:rPr>
        <w:fldChar w:fldCharType="end"/>
      </w:r>
    </w:p>
    <w:p w14:paraId="027A0F9B">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_Toc3990 </w:instrText>
      </w:r>
      <w:r>
        <w:rPr>
          <w:rFonts w:hint="eastAsia" w:ascii="仿宋" w:hAnsi="仿宋" w:eastAsia="仿宋" w:cs="仿宋"/>
          <w:highlight w:val="none"/>
        </w:rPr>
        <w:fldChar w:fldCharType="separate"/>
      </w:r>
      <w:r>
        <w:rPr>
          <w:rFonts w:hint="eastAsia" w:ascii="仿宋" w:hAnsi="仿宋" w:eastAsia="仿宋" w:cs="仿宋"/>
          <w:szCs w:val="24"/>
          <w:highlight w:val="none"/>
        </w:rPr>
        <w:t>目录</w:t>
      </w:r>
      <w:r>
        <w:rPr>
          <w:highlight w:val="none"/>
        </w:rPr>
        <w:tab/>
      </w:r>
      <w:r>
        <w:rPr>
          <w:highlight w:val="none"/>
        </w:rPr>
        <w:fldChar w:fldCharType="begin"/>
      </w:r>
      <w:r>
        <w:rPr>
          <w:highlight w:val="none"/>
        </w:rPr>
        <w:instrText xml:space="preserve"> PAGEREF _Toc3990 \h </w:instrText>
      </w:r>
      <w:r>
        <w:rPr>
          <w:highlight w:val="none"/>
        </w:rPr>
        <w:fldChar w:fldCharType="separate"/>
      </w:r>
      <w:r>
        <w:rPr>
          <w:highlight w:val="none"/>
        </w:rPr>
        <w:t>176</w:t>
      </w:r>
      <w:r>
        <w:rPr>
          <w:highlight w:val="none"/>
        </w:rPr>
        <w:fldChar w:fldCharType="end"/>
      </w:r>
      <w:r>
        <w:rPr>
          <w:rFonts w:hint="eastAsia" w:ascii="仿宋" w:hAnsi="仿宋" w:eastAsia="仿宋" w:cs="仿宋"/>
          <w:highlight w:val="none"/>
        </w:rPr>
        <w:fldChar w:fldCharType="end"/>
      </w:r>
    </w:p>
    <w:p w14:paraId="492D9E2A">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_Toc18537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一、投标函</w:t>
      </w:r>
      <w:r>
        <w:rPr>
          <w:highlight w:val="none"/>
        </w:rPr>
        <w:tab/>
      </w:r>
      <w:r>
        <w:rPr>
          <w:highlight w:val="none"/>
        </w:rPr>
        <w:fldChar w:fldCharType="begin"/>
      </w:r>
      <w:r>
        <w:rPr>
          <w:highlight w:val="none"/>
        </w:rPr>
        <w:instrText xml:space="preserve"> PAGEREF _Toc18537 \h </w:instrText>
      </w:r>
      <w:r>
        <w:rPr>
          <w:highlight w:val="none"/>
        </w:rPr>
        <w:fldChar w:fldCharType="separate"/>
      </w:r>
      <w:r>
        <w:rPr>
          <w:highlight w:val="none"/>
        </w:rPr>
        <w:t>177</w:t>
      </w:r>
      <w:r>
        <w:rPr>
          <w:highlight w:val="none"/>
        </w:rPr>
        <w:fldChar w:fldCharType="end"/>
      </w:r>
      <w:r>
        <w:rPr>
          <w:rFonts w:hint="eastAsia" w:ascii="仿宋" w:hAnsi="仿宋" w:eastAsia="仿宋" w:cs="仿宋"/>
          <w:highlight w:val="none"/>
        </w:rPr>
        <w:fldChar w:fldCharType="end"/>
      </w:r>
    </w:p>
    <w:p w14:paraId="5006291B">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_Toc14116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二、开标一览表</w:t>
      </w:r>
      <w:r>
        <w:rPr>
          <w:highlight w:val="none"/>
        </w:rPr>
        <w:tab/>
      </w:r>
      <w:r>
        <w:rPr>
          <w:highlight w:val="none"/>
        </w:rPr>
        <w:fldChar w:fldCharType="begin"/>
      </w:r>
      <w:r>
        <w:rPr>
          <w:highlight w:val="none"/>
        </w:rPr>
        <w:instrText xml:space="preserve"> PAGEREF _Toc14116 \h </w:instrText>
      </w:r>
      <w:r>
        <w:rPr>
          <w:highlight w:val="none"/>
        </w:rPr>
        <w:fldChar w:fldCharType="separate"/>
      </w:r>
      <w:r>
        <w:rPr>
          <w:highlight w:val="none"/>
        </w:rPr>
        <w:t>178</w:t>
      </w:r>
      <w:r>
        <w:rPr>
          <w:highlight w:val="none"/>
        </w:rPr>
        <w:fldChar w:fldCharType="end"/>
      </w:r>
      <w:r>
        <w:rPr>
          <w:rFonts w:hint="eastAsia" w:ascii="仿宋" w:hAnsi="仿宋" w:eastAsia="仿宋" w:cs="仿宋"/>
          <w:highlight w:val="none"/>
        </w:rPr>
        <w:fldChar w:fldCharType="end"/>
      </w:r>
    </w:p>
    <w:p w14:paraId="0B8CD40C">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_Toc11784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三、投标价格明细表</w:t>
      </w:r>
      <w:r>
        <w:rPr>
          <w:highlight w:val="none"/>
        </w:rPr>
        <w:tab/>
      </w:r>
      <w:r>
        <w:rPr>
          <w:highlight w:val="none"/>
        </w:rPr>
        <w:fldChar w:fldCharType="begin"/>
      </w:r>
      <w:r>
        <w:rPr>
          <w:highlight w:val="none"/>
        </w:rPr>
        <w:instrText xml:space="preserve"> PAGEREF _Toc11784 \h </w:instrText>
      </w:r>
      <w:r>
        <w:rPr>
          <w:highlight w:val="none"/>
        </w:rPr>
        <w:fldChar w:fldCharType="separate"/>
      </w:r>
      <w:r>
        <w:rPr>
          <w:highlight w:val="none"/>
        </w:rPr>
        <w:t>179</w:t>
      </w:r>
      <w:r>
        <w:rPr>
          <w:highlight w:val="none"/>
        </w:rPr>
        <w:fldChar w:fldCharType="end"/>
      </w:r>
      <w:r>
        <w:rPr>
          <w:rFonts w:hint="eastAsia" w:ascii="仿宋" w:hAnsi="仿宋" w:eastAsia="仿宋" w:cs="仿宋"/>
          <w:highlight w:val="none"/>
        </w:rPr>
        <w:fldChar w:fldCharType="end"/>
      </w:r>
    </w:p>
    <w:p w14:paraId="3FD468B0">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_Toc5136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四、商务条款偏离表</w:t>
      </w:r>
      <w:r>
        <w:rPr>
          <w:highlight w:val="none"/>
        </w:rPr>
        <w:tab/>
      </w:r>
      <w:r>
        <w:rPr>
          <w:highlight w:val="none"/>
        </w:rPr>
        <w:fldChar w:fldCharType="begin"/>
      </w:r>
      <w:r>
        <w:rPr>
          <w:highlight w:val="none"/>
        </w:rPr>
        <w:instrText xml:space="preserve"> PAGEREF _Toc5136 \h </w:instrText>
      </w:r>
      <w:r>
        <w:rPr>
          <w:highlight w:val="none"/>
        </w:rPr>
        <w:fldChar w:fldCharType="separate"/>
      </w:r>
      <w:r>
        <w:rPr>
          <w:highlight w:val="none"/>
        </w:rPr>
        <w:t>180</w:t>
      </w:r>
      <w:r>
        <w:rPr>
          <w:highlight w:val="none"/>
        </w:rPr>
        <w:fldChar w:fldCharType="end"/>
      </w:r>
      <w:r>
        <w:rPr>
          <w:rFonts w:hint="eastAsia" w:ascii="仿宋" w:hAnsi="仿宋" w:eastAsia="仿宋" w:cs="仿宋"/>
          <w:highlight w:val="none"/>
        </w:rPr>
        <w:fldChar w:fldCharType="end"/>
      </w:r>
    </w:p>
    <w:p w14:paraId="595B29CF">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_Toc1549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五、技术条款偏离表</w:t>
      </w:r>
      <w:r>
        <w:rPr>
          <w:highlight w:val="none"/>
        </w:rPr>
        <w:tab/>
      </w:r>
      <w:r>
        <w:rPr>
          <w:highlight w:val="none"/>
        </w:rPr>
        <w:fldChar w:fldCharType="begin"/>
      </w:r>
      <w:r>
        <w:rPr>
          <w:highlight w:val="none"/>
        </w:rPr>
        <w:instrText xml:space="preserve"> PAGEREF _Toc1549 \h </w:instrText>
      </w:r>
      <w:r>
        <w:rPr>
          <w:highlight w:val="none"/>
        </w:rPr>
        <w:fldChar w:fldCharType="separate"/>
      </w:r>
      <w:r>
        <w:rPr>
          <w:highlight w:val="none"/>
        </w:rPr>
        <w:t>181</w:t>
      </w:r>
      <w:r>
        <w:rPr>
          <w:highlight w:val="none"/>
        </w:rPr>
        <w:fldChar w:fldCharType="end"/>
      </w:r>
      <w:r>
        <w:rPr>
          <w:rFonts w:hint="eastAsia" w:ascii="仿宋" w:hAnsi="仿宋" w:eastAsia="仿宋" w:cs="仿宋"/>
          <w:highlight w:val="none"/>
        </w:rPr>
        <w:fldChar w:fldCharType="end"/>
      </w:r>
    </w:p>
    <w:p w14:paraId="67231384">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_Toc30533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六、法定代表人身份证明书</w:t>
      </w:r>
      <w:r>
        <w:rPr>
          <w:highlight w:val="none"/>
        </w:rPr>
        <w:tab/>
      </w:r>
      <w:r>
        <w:rPr>
          <w:highlight w:val="none"/>
        </w:rPr>
        <w:fldChar w:fldCharType="begin"/>
      </w:r>
      <w:r>
        <w:rPr>
          <w:highlight w:val="none"/>
        </w:rPr>
        <w:instrText xml:space="preserve"> PAGEREF _Toc30533 \h </w:instrText>
      </w:r>
      <w:r>
        <w:rPr>
          <w:highlight w:val="none"/>
        </w:rPr>
        <w:fldChar w:fldCharType="separate"/>
      </w:r>
      <w:r>
        <w:rPr>
          <w:highlight w:val="none"/>
        </w:rPr>
        <w:t>182</w:t>
      </w:r>
      <w:r>
        <w:rPr>
          <w:highlight w:val="none"/>
        </w:rPr>
        <w:fldChar w:fldCharType="end"/>
      </w:r>
      <w:r>
        <w:rPr>
          <w:rFonts w:hint="eastAsia" w:ascii="仿宋" w:hAnsi="仿宋" w:eastAsia="仿宋" w:cs="仿宋"/>
          <w:highlight w:val="none"/>
        </w:rPr>
        <w:fldChar w:fldCharType="end"/>
      </w:r>
    </w:p>
    <w:p w14:paraId="5E921908">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_Toc29637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七、法定代表人授权委托书</w:t>
      </w:r>
      <w:r>
        <w:rPr>
          <w:highlight w:val="none"/>
        </w:rPr>
        <w:tab/>
      </w:r>
      <w:r>
        <w:rPr>
          <w:highlight w:val="none"/>
        </w:rPr>
        <w:fldChar w:fldCharType="begin"/>
      </w:r>
      <w:r>
        <w:rPr>
          <w:highlight w:val="none"/>
        </w:rPr>
        <w:instrText xml:space="preserve"> PAGEREF _Toc29637 \h </w:instrText>
      </w:r>
      <w:r>
        <w:rPr>
          <w:highlight w:val="none"/>
        </w:rPr>
        <w:fldChar w:fldCharType="separate"/>
      </w:r>
      <w:r>
        <w:rPr>
          <w:highlight w:val="none"/>
        </w:rPr>
        <w:t>183</w:t>
      </w:r>
      <w:r>
        <w:rPr>
          <w:highlight w:val="none"/>
        </w:rPr>
        <w:fldChar w:fldCharType="end"/>
      </w:r>
      <w:r>
        <w:rPr>
          <w:rFonts w:hint="eastAsia" w:ascii="仿宋" w:hAnsi="仿宋" w:eastAsia="仿宋" w:cs="仿宋"/>
          <w:highlight w:val="none"/>
        </w:rPr>
        <w:fldChar w:fldCharType="end"/>
      </w:r>
    </w:p>
    <w:p w14:paraId="4B2BEF74">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_Toc23743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八、投标人基本情况</w:t>
      </w:r>
      <w:r>
        <w:rPr>
          <w:highlight w:val="none"/>
        </w:rPr>
        <w:tab/>
      </w:r>
      <w:r>
        <w:rPr>
          <w:highlight w:val="none"/>
        </w:rPr>
        <w:fldChar w:fldCharType="begin"/>
      </w:r>
      <w:r>
        <w:rPr>
          <w:highlight w:val="none"/>
        </w:rPr>
        <w:instrText xml:space="preserve"> PAGEREF _Toc23743 \h </w:instrText>
      </w:r>
      <w:r>
        <w:rPr>
          <w:highlight w:val="none"/>
        </w:rPr>
        <w:fldChar w:fldCharType="separate"/>
      </w:r>
      <w:r>
        <w:rPr>
          <w:highlight w:val="none"/>
        </w:rPr>
        <w:t>184</w:t>
      </w:r>
      <w:r>
        <w:rPr>
          <w:highlight w:val="none"/>
        </w:rPr>
        <w:fldChar w:fldCharType="end"/>
      </w:r>
      <w:r>
        <w:rPr>
          <w:rFonts w:hint="eastAsia" w:ascii="仿宋" w:hAnsi="仿宋" w:eastAsia="仿宋" w:cs="仿宋"/>
          <w:highlight w:val="none"/>
        </w:rPr>
        <w:fldChar w:fldCharType="end"/>
      </w:r>
    </w:p>
    <w:p w14:paraId="6DA2A879">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_Toc22928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8.1、法人或者其他组织的营业执照等证明文件，自然人的身份证明</w:t>
      </w:r>
      <w:r>
        <w:rPr>
          <w:highlight w:val="none"/>
        </w:rPr>
        <w:tab/>
      </w:r>
      <w:r>
        <w:rPr>
          <w:highlight w:val="none"/>
        </w:rPr>
        <w:fldChar w:fldCharType="begin"/>
      </w:r>
      <w:r>
        <w:rPr>
          <w:highlight w:val="none"/>
        </w:rPr>
        <w:instrText xml:space="preserve"> PAGEREF _Toc22928 \h </w:instrText>
      </w:r>
      <w:r>
        <w:rPr>
          <w:highlight w:val="none"/>
        </w:rPr>
        <w:fldChar w:fldCharType="separate"/>
      </w:r>
      <w:r>
        <w:rPr>
          <w:highlight w:val="none"/>
        </w:rPr>
        <w:t>185</w:t>
      </w:r>
      <w:r>
        <w:rPr>
          <w:highlight w:val="none"/>
        </w:rPr>
        <w:fldChar w:fldCharType="end"/>
      </w:r>
      <w:r>
        <w:rPr>
          <w:rFonts w:hint="eastAsia" w:ascii="仿宋" w:hAnsi="仿宋" w:eastAsia="仿宋" w:cs="仿宋"/>
          <w:highlight w:val="none"/>
        </w:rPr>
        <w:fldChar w:fldCharType="end"/>
      </w:r>
    </w:p>
    <w:p w14:paraId="52031DB0">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_Toc591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8.2、财务状况报告，依法缴纳税收和社会保障资金的相关材料</w:t>
      </w:r>
      <w:r>
        <w:rPr>
          <w:highlight w:val="none"/>
        </w:rPr>
        <w:tab/>
      </w:r>
      <w:r>
        <w:rPr>
          <w:highlight w:val="none"/>
        </w:rPr>
        <w:fldChar w:fldCharType="begin"/>
      </w:r>
      <w:r>
        <w:rPr>
          <w:highlight w:val="none"/>
        </w:rPr>
        <w:instrText xml:space="preserve"> PAGEREF _Toc591 \h </w:instrText>
      </w:r>
      <w:r>
        <w:rPr>
          <w:highlight w:val="none"/>
        </w:rPr>
        <w:fldChar w:fldCharType="separate"/>
      </w:r>
      <w:r>
        <w:rPr>
          <w:highlight w:val="none"/>
        </w:rPr>
        <w:t>186</w:t>
      </w:r>
      <w:r>
        <w:rPr>
          <w:highlight w:val="none"/>
        </w:rPr>
        <w:fldChar w:fldCharType="end"/>
      </w:r>
      <w:r>
        <w:rPr>
          <w:rFonts w:hint="eastAsia" w:ascii="仿宋" w:hAnsi="仿宋" w:eastAsia="仿宋" w:cs="仿宋"/>
          <w:highlight w:val="none"/>
        </w:rPr>
        <w:fldChar w:fldCharType="end"/>
      </w:r>
    </w:p>
    <w:p w14:paraId="6990CDD3">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_Toc5928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8.3、具备履行合同所必需的设备和专业技术能力的证明材料</w:t>
      </w:r>
      <w:r>
        <w:rPr>
          <w:highlight w:val="none"/>
        </w:rPr>
        <w:tab/>
      </w:r>
      <w:r>
        <w:rPr>
          <w:highlight w:val="none"/>
        </w:rPr>
        <w:fldChar w:fldCharType="begin"/>
      </w:r>
      <w:r>
        <w:rPr>
          <w:highlight w:val="none"/>
        </w:rPr>
        <w:instrText xml:space="preserve"> PAGEREF _Toc5928 \h </w:instrText>
      </w:r>
      <w:r>
        <w:rPr>
          <w:highlight w:val="none"/>
        </w:rPr>
        <w:fldChar w:fldCharType="separate"/>
      </w:r>
      <w:r>
        <w:rPr>
          <w:highlight w:val="none"/>
        </w:rPr>
        <w:t>187</w:t>
      </w:r>
      <w:r>
        <w:rPr>
          <w:highlight w:val="none"/>
        </w:rPr>
        <w:fldChar w:fldCharType="end"/>
      </w:r>
      <w:r>
        <w:rPr>
          <w:rFonts w:hint="eastAsia" w:ascii="仿宋" w:hAnsi="仿宋" w:eastAsia="仿宋" w:cs="仿宋"/>
          <w:highlight w:val="none"/>
        </w:rPr>
        <w:fldChar w:fldCharType="end"/>
      </w:r>
    </w:p>
    <w:p w14:paraId="08C59579">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_Toc9548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8.4、参加政府采购活动前3年内在经营活动中没有重大违法记录的书面声明</w:t>
      </w:r>
      <w:r>
        <w:rPr>
          <w:highlight w:val="none"/>
        </w:rPr>
        <w:tab/>
      </w:r>
      <w:r>
        <w:rPr>
          <w:highlight w:val="none"/>
        </w:rPr>
        <w:fldChar w:fldCharType="begin"/>
      </w:r>
      <w:r>
        <w:rPr>
          <w:highlight w:val="none"/>
        </w:rPr>
        <w:instrText xml:space="preserve"> PAGEREF _Toc9548 \h </w:instrText>
      </w:r>
      <w:r>
        <w:rPr>
          <w:highlight w:val="none"/>
        </w:rPr>
        <w:fldChar w:fldCharType="separate"/>
      </w:r>
      <w:r>
        <w:rPr>
          <w:highlight w:val="none"/>
        </w:rPr>
        <w:t>188</w:t>
      </w:r>
      <w:r>
        <w:rPr>
          <w:highlight w:val="none"/>
        </w:rPr>
        <w:fldChar w:fldCharType="end"/>
      </w:r>
      <w:r>
        <w:rPr>
          <w:rFonts w:hint="eastAsia" w:ascii="仿宋" w:hAnsi="仿宋" w:eastAsia="仿宋" w:cs="仿宋"/>
          <w:highlight w:val="none"/>
        </w:rPr>
        <w:fldChar w:fldCharType="end"/>
      </w:r>
    </w:p>
    <w:p w14:paraId="13CB0662">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_Toc26372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8.5、具备法律、行政法规规定的其他条件的证明材料</w:t>
      </w:r>
      <w:r>
        <w:rPr>
          <w:highlight w:val="none"/>
        </w:rPr>
        <w:tab/>
      </w:r>
      <w:r>
        <w:rPr>
          <w:highlight w:val="none"/>
        </w:rPr>
        <w:fldChar w:fldCharType="begin"/>
      </w:r>
      <w:r>
        <w:rPr>
          <w:highlight w:val="none"/>
        </w:rPr>
        <w:instrText xml:space="preserve"> PAGEREF _Toc26372 \h </w:instrText>
      </w:r>
      <w:r>
        <w:rPr>
          <w:highlight w:val="none"/>
        </w:rPr>
        <w:fldChar w:fldCharType="separate"/>
      </w:r>
      <w:r>
        <w:rPr>
          <w:highlight w:val="none"/>
        </w:rPr>
        <w:t>189</w:t>
      </w:r>
      <w:r>
        <w:rPr>
          <w:highlight w:val="none"/>
        </w:rPr>
        <w:fldChar w:fldCharType="end"/>
      </w:r>
      <w:r>
        <w:rPr>
          <w:rFonts w:hint="eastAsia" w:ascii="仿宋" w:hAnsi="仿宋" w:eastAsia="仿宋" w:cs="仿宋"/>
          <w:highlight w:val="none"/>
        </w:rPr>
        <w:fldChar w:fldCharType="end"/>
      </w:r>
    </w:p>
    <w:p w14:paraId="0B898F19">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_Toc9955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九、</w:t>
      </w:r>
      <w:r>
        <w:rPr>
          <w:rFonts w:hint="eastAsia" w:ascii="仿宋" w:hAnsi="仿宋" w:eastAsia="仿宋" w:cs="仿宋"/>
          <w:bCs/>
          <w:szCs w:val="24"/>
          <w:highlight w:val="none"/>
          <w:shd w:val="clear" w:color="auto" w:fill="FFFFFF" w:themeFill="background1"/>
        </w:rPr>
        <w:t>投标人近三年类似项目业绩表</w:t>
      </w:r>
      <w:r>
        <w:rPr>
          <w:highlight w:val="none"/>
        </w:rPr>
        <w:tab/>
      </w:r>
      <w:r>
        <w:rPr>
          <w:highlight w:val="none"/>
        </w:rPr>
        <w:fldChar w:fldCharType="begin"/>
      </w:r>
      <w:r>
        <w:rPr>
          <w:highlight w:val="none"/>
        </w:rPr>
        <w:instrText xml:space="preserve"> PAGEREF _Toc9955 \h </w:instrText>
      </w:r>
      <w:r>
        <w:rPr>
          <w:highlight w:val="none"/>
        </w:rPr>
        <w:fldChar w:fldCharType="separate"/>
      </w:r>
      <w:r>
        <w:rPr>
          <w:highlight w:val="none"/>
        </w:rPr>
        <w:t>192</w:t>
      </w:r>
      <w:r>
        <w:rPr>
          <w:highlight w:val="none"/>
        </w:rPr>
        <w:fldChar w:fldCharType="end"/>
      </w:r>
      <w:r>
        <w:rPr>
          <w:rFonts w:hint="eastAsia" w:ascii="仿宋" w:hAnsi="仿宋" w:eastAsia="仿宋" w:cs="仿宋"/>
          <w:highlight w:val="none"/>
        </w:rPr>
        <w:fldChar w:fldCharType="end"/>
      </w:r>
    </w:p>
    <w:p w14:paraId="653929F0">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_Toc15333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十、</w:t>
      </w:r>
      <w:r>
        <w:rPr>
          <w:rFonts w:hint="eastAsia" w:ascii="仿宋" w:hAnsi="仿宋" w:eastAsia="仿宋" w:cs="仿宋"/>
          <w:bCs/>
          <w:szCs w:val="24"/>
          <w:highlight w:val="none"/>
          <w:shd w:val="clear" w:color="auto" w:fill="FFFFFF" w:themeFill="background1"/>
        </w:rPr>
        <w:t>项目负责人简历表</w:t>
      </w:r>
      <w:r>
        <w:rPr>
          <w:highlight w:val="none"/>
        </w:rPr>
        <w:tab/>
      </w:r>
      <w:r>
        <w:rPr>
          <w:highlight w:val="none"/>
        </w:rPr>
        <w:fldChar w:fldCharType="begin"/>
      </w:r>
      <w:r>
        <w:rPr>
          <w:highlight w:val="none"/>
        </w:rPr>
        <w:instrText xml:space="preserve"> PAGEREF _Toc15333 \h </w:instrText>
      </w:r>
      <w:r>
        <w:rPr>
          <w:highlight w:val="none"/>
        </w:rPr>
        <w:fldChar w:fldCharType="separate"/>
      </w:r>
      <w:r>
        <w:rPr>
          <w:highlight w:val="none"/>
        </w:rPr>
        <w:t>193</w:t>
      </w:r>
      <w:r>
        <w:rPr>
          <w:highlight w:val="none"/>
        </w:rPr>
        <w:fldChar w:fldCharType="end"/>
      </w:r>
      <w:r>
        <w:rPr>
          <w:rFonts w:hint="eastAsia" w:ascii="仿宋" w:hAnsi="仿宋" w:eastAsia="仿宋" w:cs="仿宋"/>
          <w:highlight w:val="none"/>
        </w:rPr>
        <w:fldChar w:fldCharType="end"/>
      </w:r>
    </w:p>
    <w:p w14:paraId="3A87EAD3">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_Toc5101 </w:instrText>
      </w:r>
      <w:r>
        <w:rPr>
          <w:rFonts w:hint="eastAsia" w:ascii="仿宋" w:hAnsi="仿宋" w:eastAsia="仿宋" w:cs="仿宋"/>
          <w:highlight w:val="none"/>
        </w:rPr>
        <w:fldChar w:fldCharType="separate"/>
      </w:r>
      <w:r>
        <w:rPr>
          <w:rFonts w:hint="eastAsia" w:ascii="仿宋" w:hAnsi="仿宋" w:eastAsia="仿宋" w:cs="仿宋"/>
          <w:bCs/>
          <w:szCs w:val="24"/>
          <w:highlight w:val="none"/>
          <w:shd w:val="clear" w:color="auto" w:fill="FFFFFF" w:themeFill="background1"/>
        </w:rPr>
        <w:t>十一、拟派本项目服务人员情况表</w:t>
      </w:r>
      <w:r>
        <w:rPr>
          <w:highlight w:val="none"/>
        </w:rPr>
        <w:tab/>
      </w:r>
      <w:r>
        <w:rPr>
          <w:highlight w:val="none"/>
        </w:rPr>
        <w:fldChar w:fldCharType="begin"/>
      </w:r>
      <w:r>
        <w:rPr>
          <w:highlight w:val="none"/>
        </w:rPr>
        <w:instrText xml:space="preserve"> PAGEREF _Toc5101 \h </w:instrText>
      </w:r>
      <w:r>
        <w:rPr>
          <w:highlight w:val="none"/>
        </w:rPr>
        <w:fldChar w:fldCharType="separate"/>
      </w:r>
      <w:r>
        <w:rPr>
          <w:highlight w:val="none"/>
        </w:rPr>
        <w:t>194</w:t>
      </w:r>
      <w:r>
        <w:rPr>
          <w:highlight w:val="none"/>
        </w:rPr>
        <w:fldChar w:fldCharType="end"/>
      </w:r>
      <w:r>
        <w:rPr>
          <w:rFonts w:hint="eastAsia" w:ascii="仿宋" w:hAnsi="仿宋" w:eastAsia="仿宋" w:cs="仿宋"/>
          <w:highlight w:val="none"/>
        </w:rPr>
        <w:fldChar w:fldCharType="end"/>
      </w:r>
    </w:p>
    <w:p w14:paraId="2819EEEC">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_Toc18396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十二、</w:t>
      </w:r>
      <w:r>
        <w:rPr>
          <w:rFonts w:hint="eastAsia" w:ascii="仿宋" w:hAnsi="仿宋" w:eastAsia="仿宋" w:cs="仿宋"/>
          <w:bCs/>
          <w:szCs w:val="24"/>
          <w:highlight w:val="none"/>
          <w:shd w:val="clear" w:color="auto" w:fill="FFFFFF" w:themeFill="background1"/>
        </w:rPr>
        <w:t>服务方案</w:t>
      </w:r>
      <w:r>
        <w:rPr>
          <w:highlight w:val="none"/>
        </w:rPr>
        <w:tab/>
      </w:r>
      <w:r>
        <w:rPr>
          <w:highlight w:val="none"/>
        </w:rPr>
        <w:fldChar w:fldCharType="begin"/>
      </w:r>
      <w:r>
        <w:rPr>
          <w:highlight w:val="none"/>
        </w:rPr>
        <w:instrText xml:space="preserve"> PAGEREF _Toc18396 \h </w:instrText>
      </w:r>
      <w:r>
        <w:rPr>
          <w:highlight w:val="none"/>
        </w:rPr>
        <w:fldChar w:fldCharType="separate"/>
      </w:r>
      <w:r>
        <w:rPr>
          <w:highlight w:val="none"/>
        </w:rPr>
        <w:t>195</w:t>
      </w:r>
      <w:r>
        <w:rPr>
          <w:highlight w:val="none"/>
        </w:rPr>
        <w:fldChar w:fldCharType="end"/>
      </w:r>
      <w:r>
        <w:rPr>
          <w:rFonts w:hint="eastAsia" w:ascii="仿宋" w:hAnsi="仿宋" w:eastAsia="仿宋" w:cs="仿宋"/>
          <w:highlight w:val="none"/>
        </w:rPr>
        <w:fldChar w:fldCharType="end"/>
      </w:r>
    </w:p>
    <w:p w14:paraId="6A400B77">
      <w:pPr>
        <w:pStyle w:val="33"/>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_Toc13425 </w:instrText>
      </w:r>
      <w:r>
        <w:rPr>
          <w:rFonts w:hint="eastAsia" w:ascii="仿宋" w:hAnsi="仿宋" w:eastAsia="仿宋" w:cs="仿宋"/>
          <w:highlight w:val="none"/>
        </w:rPr>
        <w:fldChar w:fldCharType="separate"/>
      </w:r>
      <w:r>
        <w:rPr>
          <w:rFonts w:hint="eastAsia" w:ascii="仿宋" w:hAnsi="仿宋" w:eastAsia="仿宋" w:cs="仿宋"/>
          <w:szCs w:val="24"/>
          <w:highlight w:val="none"/>
          <w:shd w:val="clear" w:color="auto" w:fill="FFFFFF" w:themeFill="background1"/>
        </w:rPr>
        <w:t>十三、其他需要提交的资料</w:t>
      </w:r>
      <w:r>
        <w:rPr>
          <w:highlight w:val="none"/>
        </w:rPr>
        <w:tab/>
      </w:r>
      <w:r>
        <w:rPr>
          <w:highlight w:val="none"/>
        </w:rPr>
        <w:fldChar w:fldCharType="begin"/>
      </w:r>
      <w:r>
        <w:rPr>
          <w:highlight w:val="none"/>
        </w:rPr>
        <w:instrText xml:space="preserve"> PAGEREF _Toc13425 \h </w:instrText>
      </w:r>
      <w:r>
        <w:rPr>
          <w:highlight w:val="none"/>
        </w:rPr>
        <w:fldChar w:fldCharType="separate"/>
      </w:r>
      <w:r>
        <w:rPr>
          <w:highlight w:val="none"/>
        </w:rPr>
        <w:t>195</w:t>
      </w:r>
      <w:r>
        <w:rPr>
          <w:highlight w:val="none"/>
        </w:rPr>
        <w:fldChar w:fldCharType="end"/>
      </w:r>
      <w:r>
        <w:rPr>
          <w:rFonts w:hint="eastAsia" w:ascii="仿宋" w:hAnsi="仿宋" w:eastAsia="仿宋" w:cs="仿宋"/>
          <w:highlight w:val="none"/>
        </w:rPr>
        <w:fldChar w:fldCharType="end"/>
      </w:r>
    </w:p>
    <w:p w14:paraId="1614ADFC">
      <w:pPr>
        <w:pStyle w:val="27"/>
        <w:tabs>
          <w:tab w:val="right" w:leader="dot" w:pos="9354"/>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\l _Toc24631 </w:instrText>
      </w:r>
      <w:r>
        <w:rPr>
          <w:rFonts w:hint="eastAsia" w:ascii="仿宋" w:hAnsi="仿宋" w:eastAsia="仿宋" w:cs="仿宋"/>
          <w:highlight w:val="none"/>
        </w:rPr>
        <w:fldChar w:fldCharType="separate"/>
      </w:r>
      <w:r>
        <w:rPr>
          <w:rFonts w:hint="eastAsia" w:ascii="仿宋" w:hAnsi="仿宋" w:eastAsia="仿宋" w:cs="仿宋"/>
          <w:szCs w:val="24"/>
          <w:highlight w:val="none"/>
        </w:rPr>
        <w:t>第六章 补充条款</w:t>
      </w:r>
      <w:r>
        <w:rPr>
          <w:highlight w:val="none"/>
        </w:rPr>
        <w:tab/>
      </w:r>
      <w:r>
        <w:rPr>
          <w:highlight w:val="none"/>
        </w:rPr>
        <w:fldChar w:fldCharType="begin"/>
      </w:r>
      <w:r>
        <w:rPr>
          <w:highlight w:val="none"/>
        </w:rPr>
        <w:instrText xml:space="preserve"> PAGEREF _Toc24631 \h </w:instrText>
      </w:r>
      <w:r>
        <w:rPr>
          <w:highlight w:val="none"/>
        </w:rPr>
        <w:fldChar w:fldCharType="separate"/>
      </w:r>
      <w:r>
        <w:rPr>
          <w:highlight w:val="none"/>
        </w:rPr>
        <w:t>196</w:t>
      </w:r>
      <w:r>
        <w:rPr>
          <w:highlight w:val="none"/>
        </w:rPr>
        <w:fldChar w:fldCharType="end"/>
      </w:r>
      <w:r>
        <w:rPr>
          <w:rFonts w:hint="eastAsia" w:ascii="仿宋" w:hAnsi="仿宋" w:eastAsia="仿宋" w:cs="仿宋"/>
          <w:highlight w:val="none"/>
        </w:rPr>
        <w:fldChar w:fldCharType="end"/>
      </w:r>
    </w:p>
    <w:p w14:paraId="688AAADA">
      <w:pPr>
        <w:pStyle w:val="27"/>
        <w:tabs>
          <w:tab w:val="right" w:leader="dot" w:pos="9344"/>
        </w:tabs>
        <w:spacing w:line="276" w:lineRule="auto"/>
        <w:rPr>
          <w:rFonts w:hint="eastAsia" w:ascii="仿宋" w:hAnsi="仿宋" w:eastAsia="仿宋" w:cs="仿宋"/>
          <w:b/>
          <w:bCs/>
          <w:highlight w:val="none"/>
        </w:rPr>
        <w:sectPr>
          <w:footerReference r:id="rId6" w:type="first"/>
          <w:headerReference r:id="rId3" w:type="default"/>
          <w:footerReference r:id="rId4" w:type="default"/>
          <w:footerReference r:id="rId5" w:type="even"/>
          <w:pgSz w:w="11906" w:h="16838"/>
          <w:pgMar w:top="1361" w:right="1134" w:bottom="1361" w:left="1418" w:header="851" w:footer="992" w:gutter="0"/>
          <w:pgNumType w:start="1"/>
          <w:cols w:space="720" w:num="1"/>
          <w:docGrid w:type="lines" w:linePitch="312" w:charSpace="0"/>
        </w:sectPr>
      </w:pPr>
      <w:r>
        <w:rPr>
          <w:rFonts w:hint="eastAsia" w:ascii="仿宋" w:hAnsi="仿宋" w:eastAsia="仿宋" w:cs="仿宋"/>
          <w:highlight w:val="none"/>
        </w:rPr>
        <w:fldChar w:fldCharType="end"/>
      </w:r>
    </w:p>
    <w:p w14:paraId="0341243B">
      <w:pPr>
        <w:keepNext/>
        <w:keepLines w:val="0"/>
        <w:pageBreakBefore w:val="0"/>
        <w:widowControl/>
        <w:kinsoku/>
        <w:wordWrap/>
        <w:overflowPunct/>
        <w:topLinePunct w:val="0"/>
        <w:autoSpaceDE/>
        <w:autoSpaceDN/>
        <w:bidi w:val="0"/>
        <w:adjustRightInd/>
        <w:snapToGrid/>
        <w:spacing w:after="120" w:afterLines="50" w:line="360" w:lineRule="auto"/>
        <w:jc w:val="center"/>
        <w:textAlignment w:val="auto"/>
        <w:outlineLvl w:val="9"/>
        <w:rPr>
          <w:rFonts w:hint="eastAsia" w:ascii="仿宋" w:hAnsi="仿宋" w:eastAsia="仿宋" w:cs="仿宋"/>
          <w:b/>
          <w:bCs/>
          <w:color w:val="000000"/>
          <w:sz w:val="28"/>
          <w:szCs w:val="28"/>
          <w:highlight w:val="none"/>
          <w:lang w:eastAsia="zh-CN"/>
        </w:rPr>
      </w:pPr>
      <w:bookmarkStart w:id="0" w:name="_Toc1186"/>
      <w:r>
        <w:rPr>
          <w:rFonts w:hint="eastAsia" w:ascii="仿宋" w:hAnsi="仿宋" w:eastAsia="仿宋" w:cs="仿宋"/>
          <w:b/>
          <w:bCs/>
          <w:color w:val="000000"/>
          <w:sz w:val="28"/>
          <w:szCs w:val="28"/>
          <w:highlight w:val="none"/>
          <w:lang w:eastAsia="zh-CN"/>
        </w:rPr>
        <w:t>新疆维吾尔自治区地质局昌吉地质大队物探技术服务项目</w:t>
      </w:r>
    </w:p>
    <w:p w14:paraId="7A518CD3">
      <w:pPr>
        <w:keepNext/>
        <w:widowControl/>
        <w:spacing w:after="120" w:afterLines="50" w:line="360" w:lineRule="auto"/>
        <w:jc w:val="center"/>
        <w:outlineLvl w:val="0"/>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rPr>
        <w:t>公开招标公告</w:t>
      </w:r>
      <w:bookmarkEnd w:id="0"/>
    </w:p>
    <w:p w14:paraId="1A38DB6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项目概况</w:t>
      </w:r>
    </w:p>
    <w:p w14:paraId="78B16DD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eastAsia="zh-CN"/>
        </w:rPr>
        <w:t>新疆维吾尔自治区地质局昌吉地质大队物探技术服务项目</w:t>
      </w:r>
      <w:r>
        <w:rPr>
          <w:rFonts w:hint="eastAsia" w:ascii="仿宋" w:hAnsi="仿宋" w:eastAsia="仿宋" w:cs="仿宋"/>
          <w:kern w:val="0"/>
          <w:sz w:val="24"/>
          <w:szCs w:val="24"/>
          <w:highlight w:val="none"/>
        </w:rPr>
        <w:t xml:space="preserve"> 招标项目的潜在投标人应在政采云平台http://www.zcygov.cn获取招标文件，并于</w:t>
      </w:r>
      <w:r>
        <w:rPr>
          <w:rFonts w:hint="eastAsia" w:ascii="仿宋" w:hAnsi="仿宋" w:eastAsia="仿宋" w:cs="仿宋"/>
          <w:color w:val="FF0000"/>
          <w:kern w:val="0"/>
          <w:sz w:val="24"/>
          <w:szCs w:val="24"/>
          <w:highlight w:val="none"/>
          <w:lang w:eastAsia="zh-CN"/>
        </w:rPr>
        <w:t>2026年</w:t>
      </w:r>
      <w:r>
        <w:rPr>
          <w:rFonts w:hint="eastAsia" w:ascii="仿宋" w:hAnsi="仿宋" w:eastAsia="仿宋" w:cs="仿宋"/>
          <w:color w:val="FF0000"/>
          <w:kern w:val="0"/>
          <w:sz w:val="24"/>
          <w:szCs w:val="24"/>
          <w:highlight w:val="none"/>
          <w:lang w:val="en-US" w:eastAsia="zh-CN"/>
        </w:rPr>
        <w:t>04</w:t>
      </w:r>
      <w:r>
        <w:rPr>
          <w:rFonts w:hint="eastAsia" w:ascii="仿宋" w:hAnsi="仿宋" w:eastAsia="仿宋" w:cs="仿宋"/>
          <w:color w:val="FF0000"/>
          <w:kern w:val="0"/>
          <w:sz w:val="24"/>
          <w:szCs w:val="24"/>
          <w:highlight w:val="none"/>
          <w:lang w:eastAsia="zh-CN"/>
        </w:rPr>
        <w:t>月</w:t>
      </w:r>
      <w:r>
        <w:rPr>
          <w:rFonts w:hint="eastAsia" w:ascii="仿宋" w:hAnsi="仿宋" w:eastAsia="仿宋" w:cs="仿宋"/>
          <w:color w:val="FF0000"/>
          <w:kern w:val="0"/>
          <w:sz w:val="24"/>
          <w:szCs w:val="24"/>
          <w:highlight w:val="none"/>
          <w:lang w:val="en-US" w:eastAsia="zh-CN"/>
        </w:rPr>
        <w:t>27</w:t>
      </w:r>
      <w:r>
        <w:rPr>
          <w:rFonts w:hint="eastAsia" w:ascii="仿宋" w:hAnsi="仿宋" w:eastAsia="仿宋" w:cs="仿宋"/>
          <w:color w:val="FF0000"/>
          <w:kern w:val="0"/>
          <w:sz w:val="24"/>
          <w:szCs w:val="24"/>
          <w:highlight w:val="none"/>
          <w:lang w:eastAsia="zh-CN"/>
        </w:rPr>
        <w:t>日11:00（北京时间）</w:t>
      </w:r>
      <w:r>
        <w:rPr>
          <w:rFonts w:hint="eastAsia" w:ascii="仿宋" w:hAnsi="仿宋" w:eastAsia="仿宋" w:cs="仿宋"/>
          <w:kern w:val="0"/>
          <w:sz w:val="24"/>
          <w:szCs w:val="24"/>
          <w:highlight w:val="none"/>
        </w:rPr>
        <w:t>前递交投标文件。</w:t>
      </w:r>
    </w:p>
    <w:p w14:paraId="359659D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一、项目基本情况</w:t>
      </w:r>
    </w:p>
    <w:p w14:paraId="777A13B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招标方式：公开招标</w:t>
      </w:r>
    </w:p>
    <w:p w14:paraId="4ECCDB2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项目编号：</w:t>
      </w:r>
      <w:r>
        <w:rPr>
          <w:rFonts w:hint="eastAsia" w:ascii="仿宋" w:hAnsi="仿宋" w:eastAsia="仿宋" w:cs="仿宋"/>
          <w:kern w:val="0"/>
          <w:sz w:val="24"/>
          <w:szCs w:val="24"/>
          <w:highlight w:val="none"/>
          <w:lang w:eastAsia="zh-CN"/>
        </w:rPr>
        <w:t>XJXSJ-2026(ZC)-110-1</w:t>
      </w:r>
    </w:p>
    <w:p w14:paraId="7E444CF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项目名称：</w:t>
      </w:r>
      <w:r>
        <w:rPr>
          <w:rFonts w:hint="eastAsia" w:ascii="仿宋" w:hAnsi="仿宋" w:eastAsia="仿宋" w:cs="仿宋"/>
          <w:kern w:val="0"/>
          <w:sz w:val="24"/>
          <w:szCs w:val="24"/>
          <w:highlight w:val="none"/>
          <w:lang w:eastAsia="zh-CN"/>
        </w:rPr>
        <w:t>新疆维吾尔自治区地质局昌吉地质大队物探技术服务项目</w:t>
      </w:r>
    </w:p>
    <w:p w14:paraId="51F5739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预算金额（元）：</w:t>
      </w:r>
      <w:r>
        <w:rPr>
          <w:rFonts w:hint="eastAsia" w:ascii="仿宋" w:hAnsi="仿宋" w:eastAsia="仿宋" w:cs="仿宋"/>
          <w:kern w:val="0"/>
          <w:sz w:val="24"/>
          <w:szCs w:val="24"/>
          <w:highlight w:val="none"/>
          <w:lang w:val="en-US" w:eastAsia="zh-CN"/>
        </w:rPr>
        <w:t>5477400</w:t>
      </w:r>
    </w:p>
    <w:p w14:paraId="7AFCBB9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最高限价（元）：</w:t>
      </w:r>
      <w:r>
        <w:rPr>
          <w:rFonts w:hint="eastAsia" w:ascii="仿宋" w:hAnsi="仿宋" w:eastAsia="仿宋" w:cs="仿宋"/>
          <w:kern w:val="0"/>
          <w:sz w:val="24"/>
          <w:szCs w:val="24"/>
          <w:highlight w:val="none"/>
          <w:lang w:val="en-US" w:eastAsia="zh-CN"/>
        </w:rPr>
        <w:t>5477400</w:t>
      </w:r>
    </w:p>
    <w:p w14:paraId="4B58211A">
      <w:pPr>
        <w:keepNext w:val="0"/>
        <w:keepLines w:val="0"/>
        <w:pageBreakBefore w:val="0"/>
        <w:widowControl/>
        <w:tabs>
          <w:tab w:val="left" w:pos="7125"/>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采购需求：</w:t>
      </w:r>
      <w:r>
        <w:rPr>
          <w:rFonts w:hint="eastAsia" w:ascii="仿宋" w:hAnsi="仿宋" w:eastAsia="仿宋" w:cs="仿宋"/>
          <w:kern w:val="0"/>
          <w:sz w:val="24"/>
          <w:szCs w:val="24"/>
          <w:highlight w:val="none"/>
        </w:rPr>
        <w:tab/>
      </w:r>
    </w:p>
    <w:p w14:paraId="34155F55">
      <w:pPr>
        <w:keepNext w:val="0"/>
        <w:keepLines w:val="0"/>
        <w:pageBreakBefore w:val="0"/>
        <w:widowControl/>
        <w:tabs>
          <w:tab w:val="left" w:pos="7125"/>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标项名称:</w:t>
      </w:r>
      <w:r>
        <w:rPr>
          <w:rFonts w:hint="eastAsia" w:ascii="仿宋" w:hAnsi="仿宋" w:eastAsia="仿宋" w:cs="仿宋"/>
          <w:kern w:val="0"/>
          <w:sz w:val="24"/>
          <w:szCs w:val="24"/>
          <w:highlight w:val="none"/>
          <w:lang w:eastAsia="zh-CN"/>
        </w:rPr>
        <w:t>新疆维吾尔自治区地质局昌吉地质大队物探技术服务项目</w:t>
      </w:r>
    </w:p>
    <w:p w14:paraId="11063B38">
      <w:pPr>
        <w:keepNext w:val="0"/>
        <w:keepLines w:val="0"/>
        <w:pageBreakBefore w:val="0"/>
        <w:widowControl/>
        <w:tabs>
          <w:tab w:val="left" w:pos="7125"/>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数量:不限</w:t>
      </w:r>
    </w:p>
    <w:p w14:paraId="05E899F0">
      <w:pPr>
        <w:keepNext w:val="0"/>
        <w:keepLines w:val="0"/>
        <w:pageBreakBefore w:val="0"/>
        <w:widowControl/>
        <w:tabs>
          <w:tab w:val="left" w:pos="7125"/>
        </w:tabs>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预算金额（元）:</w:t>
      </w:r>
      <w:r>
        <w:rPr>
          <w:rFonts w:hint="eastAsia" w:ascii="仿宋" w:hAnsi="仿宋" w:eastAsia="仿宋" w:cs="仿宋"/>
          <w:kern w:val="0"/>
          <w:sz w:val="24"/>
          <w:szCs w:val="24"/>
          <w:highlight w:val="none"/>
          <w:lang w:val="en-US" w:eastAsia="zh-CN"/>
        </w:rPr>
        <w:t>5477400</w:t>
      </w:r>
    </w:p>
    <w:p w14:paraId="06DC08F0">
      <w:pPr>
        <w:keepNext w:val="0"/>
        <w:keepLines w:val="0"/>
        <w:pageBreakBefore w:val="0"/>
        <w:widowControl/>
        <w:tabs>
          <w:tab w:val="left" w:pos="7125"/>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简要规格描述或项目基本概况介绍、用途：新疆博乐市阿拉山口西钨锡矿普查、新疆和静县乌龙沟一带铜锌矿普查、新疆和静县-托克逊县乌拉苏-阿拉沟一带金铜多金属矿普查、新疆阿图什市喀拉别勒斯一带铜矿调查评价、新疆鄯善县乔尕山-花梁子一带金多金属矿调查评价、新疆鄯善县康北铜镍矿普查、新疆吐鲁番市高昌区黑云山铜多金属矿调查评价、新疆哈巴河县塔勒德铜矿外围铜多金属矿普查、新疆青河县乔夏巴斯陶一带铬铁矿普查、新疆青河县喀拉干德一带金铜矿普查、新疆哈巴河县塔勒德金矿普查、新疆准东伊吾县琼河坝一带铜金矿勘查，共计12个项目的物探技术服务工作，具体采购要求详见招标文件第四章服务标准和要求。</w:t>
      </w:r>
    </w:p>
    <w:p w14:paraId="766781C1">
      <w:pPr>
        <w:keepNext w:val="0"/>
        <w:keepLines w:val="0"/>
        <w:pageBreakBefore w:val="0"/>
        <w:widowControl/>
        <w:tabs>
          <w:tab w:val="left" w:pos="7125"/>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备注：</w:t>
      </w:r>
    </w:p>
    <w:p w14:paraId="3BE3F9EC">
      <w:pPr>
        <w:keepNext w:val="0"/>
        <w:keepLines w:val="0"/>
        <w:pageBreakBefore w:val="0"/>
        <w:widowControl/>
        <w:tabs>
          <w:tab w:val="left" w:pos="7125"/>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shd w:val="clear" w:color="auto" w:fill="FFFFFF" w:themeFill="background1"/>
          <w:lang w:eastAsia="zh-CN"/>
        </w:rPr>
      </w:pPr>
      <w:r>
        <w:rPr>
          <w:rFonts w:hint="eastAsia" w:ascii="仿宋" w:hAnsi="仿宋" w:eastAsia="仿宋" w:cs="仿宋"/>
          <w:kern w:val="0"/>
          <w:sz w:val="24"/>
          <w:szCs w:val="24"/>
          <w:highlight w:val="none"/>
        </w:rPr>
        <w:t>合同履约期限：</w:t>
      </w:r>
      <w:r>
        <w:rPr>
          <w:rFonts w:hint="eastAsia" w:ascii="仿宋" w:hAnsi="仿宋" w:eastAsia="仿宋" w:cs="仿宋"/>
          <w:bCs/>
          <w:sz w:val="24"/>
          <w:szCs w:val="24"/>
          <w:highlight w:val="none"/>
          <w:lang w:eastAsia="zh-CN"/>
        </w:rPr>
        <w:t>自签订合同之日起至</w:t>
      </w:r>
      <w:r>
        <w:rPr>
          <w:rFonts w:hint="eastAsia" w:ascii="仿宋" w:hAnsi="仿宋" w:eastAsia="仿宋" w:cs="仿宋"/>
          <w:bCs/>
          <w:sz w:val="24"/>
          <w:szCs w:val="24"/>
          <w:highlight w:val="none"/>
        </w:rPr>
        <w:t>202</w:t>
      </w:r>
      <w:r>
        <w:rPr>
          <w:rFonts w:hint="eastAsia" w:ascii="仿宋" w:hAnsi="仿宋" w:eastAsia="仿宋" w:cs="仿宋"/>
          <w:bCs/>
          <w:sz w:val="24"/>
          <w:szCs w:val="24"/>
          <w:highlight w:val="none"/>
          <w:lang w:val="en-US" w:eastAsia="zh-CN"/>
        </w:rPr>
        <w:t>6</w:t>
      </w:r>
      <w:r>
        <w:rPr>
          <w:rFonts w:hint="eastAsia" w:ascii="仿宋" w:hAnsi="仿宋" w:eastAsia="仿宋" w:cs="仿宋"/>
          <w:bCs/>
          <w:sz w:val="24"/>
          <w:szCs w:val="24"/>
          <w:highlight w:val="none"/>
        </w:rPr>
        <w:t>年</w:t>
      </w:r>
      <w:r>
        <w:rPr>
          <w:rFonts w:hint="eastAsia" w:ascii="仿宋" w:hAnsi="仿宋" w:eastAsia="仿宋" w:cs="仿宋"/>
          <w:bCs/>
          <w:sz w:val="24"/>
          <w:szCs w:val="24"/>
          <w:highlight w:val="none"/>
          <w:lang w:val="en-US" w:eastAsia="zh-CN"/>
        </w:rPr>
        <w:t>12</w:t>
      </w:r>
      <w:r>
        <w:rPr>
          <w:rFonts w:hint="eastAsia" w:ascii="仿宋" w:hAnsi="仿宋" w:eastAsia="仿宋" w:cs="仿宋"/>
          <w:bCs/>
          <w:sz w:val="24"/>
          <w:szCs w:val="24"/>
          <w:highlight w:val="none"/>
        </w:rPr>
        <w:t>月3</w:t>
      </w:r>
      <w:r>
        <w:rPr>
          <w:rFonts w:hint="eastAsia" w:ascii="仿宋" w:hAnsi="仿宋" w:eastAsia="仿宋" w:cs="仿宋"/>
          <w:bCs/>
          <w:sz w:val="24"/>
          <w:szCs w:val="24"/>
          <w:highlight w:val="none"/>
          <w:lang w:val="en-US" w:eastAsia="zh-CN"/>
        </w:rPr>
        <w:t>1</w:t>
      </w:r>
      <w:r>
        <w:rPr>
          <w:rFonts w:hint="eastAsia" w:ascii="仿宋" w:hAnsi="仿宋" w:eastAsia="仿宋" w:cs="仿宋"/>
          <w:bCs/>
          <w:sz w:val="24"/>
          <w:szCs w:val="24"/>
          <w:highlight w:val="none"/>
        </w:rPr>
        <w:t>日</w:t>
      </w:r>
      <w:r>
        <w:rPr>
          <w:rFonts w:hint="eastAsia" w:ascii="仿宋" w:hAnsi="仿宋" w:eastAsia="仿宋" w:cs="仿宋"/>
          <w:kern w:val="0"/>
          <w:sz w:val="24"/>
          <w:szCs w:val="24"/>
          <w:highlight w:val="none"/>
          <w:lang w:val="en-US" w:eastAsia="zh-CN"/>
        </w:rPr>
        <w:t>。</w:t>
      </w:r>
    </w:p>
    <w:p w14:paraId="4457565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本项目</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不接受</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联合体投标。</w:t>
      </w:r>
    </w:p>
    <w:p w14:paraId="2A61264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二、申请人的资格要求：</w:t>
      </w:r>
    </w:p>
    <w:p w14:paraId="1FB5FF22">
      <w:pPr>
        <w:keepNext w:val="0"/>
        <w:keepLines w:val="0"/>
        <w:pageBreakBefore w:val="0"/>
        <w:widowControl/>
        <w:tabs>
          <w:tab w:val="left" w:pos="7125"/>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1.满足《中华人民共和国政府采购法》第二十二条规定；</w:t>
      </w:r>
    </w:p>
    <w:p w14:paraId="16305CA1">
      <w:pPr>
        <w:keepNext w:val="0"/>
        <w:keepLines w:val="0"/>
        <w:pageBreakBefore w:val="0"/>
        <w:widowControl/>
        <w:tabs>
          <w:tab w:val="left" w:pos="7125"/>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2.落实政府采购政策需满足的资格要求：符合政府采购优先（节约能源、保护环境）采购政策及促进中小企业（监狱企业、残疾人福利性单位）发展政策的，依据规定给予评审优惠。</w:t>
      </w:r>
    </w:p>
    <w:p w14:paraId="4DDC894F">
      <w:pPr>
        <w:keepNext w:val="0"/>
        <w:keepLines w:val="0"/>
        <w:pageBreakBefore w:val="0"/>
        <w:widowControl/>
        <w:tabs>
          <w:tab w:val="left" w:pos="7125"/>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3.本项目的特定资格要求：</w:t>
      </w:r>
    </w:p>
    <w:p w14:paraId="402EE752">
      <w:pPr>
        <w:keepNext w:val="0"/>
        <w:keepLines w:val="0"/>
        <w:pageBreakBefore w:val="0"/>
        <w:widowControl/>
        <w:tabs>
          <w:tab w:val="left" w:pos="7125"/>
        </w:tabs>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（1）</w:t>
      </w:r>
      <w:r>
        <w:rPr>
          <w:rFonts w:hint="eastAsia" w:ascii="仿宋" w:hAnsi="仿宋" w:eastAsia="仿宋" w:cs="仿宋"/>
          <w:kern w:val="0"/>
          <w:sz w:val="24"/>
          <w:szCs w:val="24"/>
          <w:highlight w:val="none"/>
          <w:lang w:val="en-US" w:eastAsia="zh-CN"/>
        </w:rPr>
        <w:t>投标人须具备有效的《安全生产许可证》。</w:t>
      </w:r>
    </w:p>
    <w:p w14:paraId="7FE0406A">
      <w:pPr>
        <w:keepNext w:val="0"/>
        <w:keepLines w:val="0"/>
        <w:pageBreakBefore w:val="0"/>
        <w:widowControl/>
        <w:tabs>
          <w:tab w:val="left" w:pos="7125"/>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w:t>
      </w:r>
      <w:r>
        <w:rPr>
          <w:rFonts w:hint="eastAsia" w:ascii="仿宋" w:hAnsi="仿宋" w:eastAsia="仿宋" w:cs="仿宋"/>
          <w:kern w:val="0"/>
          <w:sz w:val="24"/>
          <w:szCs w:val="24"/>
          <w:highlight w:val="none"/>
          <w:lang w:eastAsia="zh-CN"/>
        </w:rPr>
        <w:t>投标人</w:t>
      </w:r>
      <w:r>
        <w:rPr>
          <w:rFonts w:hint="eastAsia" w:ascii="仿宋" w:hAnsi="仿宋" w:eastAsia="仿宋" w:cs="仿宋"/>
          <w:kern w:val="0"/>
          <w:sz w:val="24"/>
          <w:szCs w:val="24"/>
          <w:highlight w:val="none"/>
        </w:rPr>
        <w:t>如在“信用中国”网站（www.creditchina.gov.cn）、中国政府采购网（www.ccgp.gov.cn）等渠道被列入失信被执行人、重大税收违法失信主体、政府采购严重违法失信行为记录名单及其它不符合《中华人民共和国政府采购法》第二十二条规定条件的</w:t>
      </w:r>
      <w:r>
        <w:rPr>
          <w:rFonts w:hint="eastAsia" w:ascii="仿宋" w:hAnsi="仿宋" w:eastAsia="仿宋" w:cs="仿宋"/>
          <w:kern w:val="0"/>
          <w:sz w:val="24"/>
          <w:szCs w:val="24"/>
          <w:highlight w:val="none"/>
          <w:lang w:eastAsia="zh-CN"/>
        </w:rPr>
        <w:t>投标人</w:t>
      </w:r>
      <w:r>
        <w:rPr>
          <w:rFonts w:hint="eastAsia" w:ascii="仿宋" w:hAnsi="仿宋" w:eastAsia="仿宋" w:cs="仿宋"/>
          <w:kern w:val="0"/>
          <w:sz w:val="24"/>
          <w:szCs w:val="24"/>
          <w:highlight w:val="none"/>
        </w:rPr>
        <w:t>，尚在处罚期内的将被拒绝参加本次</w:t>
      </w:r>
      <w:r>
        <w:rPr>
          <w:rFonts w:hint="eastAsia" w:ascii="仿宋" w:hAnsi="仿宋" w:eastAsia="仿宋" w:cs="仿宋"/>
          <w:kern w:val="0"/>
          <w:sz w:val="24"/>
          <w:szCs w:val="24"/>
          <w:highlight w:val="none"/>
          <w:lang w:eastAsia="zh-CN"/>
        </w:rPr>
        <w:t>招标</w:t>
      </w:r>
      <w:r>
        <w:rPr>
          <w:rFonts w:hint="eastAsia" w:ascii="仿宋" w:hAnsi="仿宋" w:eastAsia="仿宋" w:cs="仿宋"/>
          <w:kern w:val="0"/>
          <w:sz w:val="24"/>
          <w:szCs w:val="24"/>
          <w:highlight w:val="none"/>
        </w:rPr>
        <w:t>活动。</w:t>
      </w:r>
    </w:p>
    <w:p w14:paraId="2CBE7F4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三、获取招标文件</w:t>
      </w:r>
    </w:p>
    <w:p w14:paraId="087BA46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FF0000"/>
          <w:kern w:val="0"/>
          <w:sz w:val="24"/>
          <w:szCs w:val="24"/>
          <w:highlight w:val="none"/>
        </w:rPr>
      </w:pPr>
      <w:bookmarkStart w:id="600" w:name="_GoBack"/>
      <w:r>
        <w:rPr>
          <w:rFonts w:hint="eastAsia" w:ascii="仿宋" w:hAnsi="仿宋" w:eastAsia="仿宋" w:cs="仿宋"/>
          <w:color w:val="FF0000"/>
          <w:kern w:val="0"/>
          <w:sz w:val="24"/>
          <w:szCs w:val="24"/>
          <w:highlight w:val="none"/>
        </w:rPr>
        <w:t>时间：202</w:t>
      </w:r>
      <w:r>
        <w:rPr>
          <w:rFonts w:hint="eastAsia" w:ascii="仿宋" w:hAnsi="仿宋" w:eastAsia="仿宋" w:cs="仿宋"/>
          <w:color w:val="FF0000"/>
          <w:kern w:val="0"/>
          <w:sz w:val="24"/>
          <w:szCs w:val="24"/>
          <w:highlight w:val="none"/>
          <w:lang w:val="en-US" w:eastAsia="zh-CN"/>
        </w:rPr>
        <w:t>6</w:t>
      </w:r>
      <w:r>
        <w:rPr>
          <w:rFonts w:hint="eastAsia" w:ascii="仿宋" w:hAnsi="仿宋" w:eastAsia="仿宋" w:cs="仿宋"/>
          <w:color w:val="FF0000"/>
          <w:kern w:val="0"/>
          <w:sz w:val="24"/>
          <w:szCs w:val="24"/>
          <w:highlight w:val="none"/>
        </w:rPr>
        <w:t>年</w:t>
      </w:r>
      <w:r>
        <w:rPr>
          <w:rFonts w:hint="eastAsia" w:ascii="仿宋" w:hAnsi="仿宋" w:eastAsia="仿宋" w:cs="仿宋"/>
          <w:color w:val="FF0000"/>
          <w:kern w:val="0"/>
          <w:sz w:val="24"/>
          <w:szCs w:val="24"/>
          <w:highlight w:val="none"/>
          <w:lang w:val="en-US" w:eastAsia="zh-CN"/>
        </w:rPr>
        <w:t>04</w:t>
      </w:r>
      <w:r>
        <w:rPr>
          <w:rFonts w:hint="eastAsia" w:ascii="仿宋" w:hAnsi="仿宋" w:eastAsia="仿宋" w:cs="仿宋"/>
          <w:color w:val="FF0000"/>
          <w:kern w:val="0"/>
          <w:sz w:val="24"/>
          <w:szCs w:val="24"/>
          <w:highlight w:val="none"/>
        </w:rPr>
        <w:t>月</w:t>
      </w:r>
      <w:r>
        <w:rPr>
          <w:rFonts w:hint="eastAsia" w:ascii="仿宋" w:hAnsi="仿宋" w:eastAsia="仿宋" w:cs="仿宋"/>
          <w:color w:val="FF0000"/>
          <w:kern w:val="0"/>
          <w:sz w:val="24"/>
          <w:szCs w:val="24"/>
          <w:highlight w:val="none"/>
          <w:lang w:val="en-US" w:eastAsia="zh-CN"/>
        </w:rPr>
        <w:t>03</w:t>
      </w:r>
      <w:r>
        <w:rPr>
          <w:rFonts w:hint="eastAsia" w:ascii="仿宋" w:hAnsi="仿宋" w:eastAsia="仿宋" w:cs="仿宋"/>
          <w:color w:val="FF0000"/>
          <w:kern w:val="0"/>
          <w:sz w:val="24"/>
          <w:szCs w:val="24"/>
          <w:highlight w:val="none"/>
        </w:rPr>
        <w:t>日至202</w:t>
      </w:r>
      <w:r>
        <w:rPr>
          <w:rFonts w:hint="eastAsia" w:ascii="仿宋" w:hAnsi="仿宋" w:eastAsia="仿宋" w:cs="仿宋"/>
          <w:color w:val="FF0000"/>
          <w:kern w:val="0"/>
          <w:sz w:val="24"/>
          <w:szCs w:val="24"/>
          <w:highlight w:val="none"/>
          <w:lang w:val="en-US" w:eastAsia="zh-CN"/>
        </w:rPr>
        <w:t>6</w:t>
      </w:r>
      <w:r>
        <w:rPr>
          <w:rFonts w:hint="eastAsia" w:ascii="仿宋" w:hAnsi="仿宋" w:eastAsia="仿宋" w:cs="仿宋"/>
          <w:color w:val="FF0000"/>
          <w:kern w:val="0"/>
          <w:sz w:val="24"/>
          <w:szCs w:val="24"/>
          <w:highlight w:val="none"/>
        </w:rPr>
        <w:t>年</w:t>
      </w:r>
      <w:r>
        <w:rPr>
          <w:rFonts w:hint="eastAsia" w:ascii="仿宋" w:hAnsi="仿宋" w:eastAsia="仿宋" w:cs="仿宋"/>
          <w:color w:val="FF0000"/>
          <w:kern w:val="0"/>
          <w:sz w:val="24"/>
          <w:szCs w:val="24"/>
          <w:highlight w:val="none"/>
          <w:lang w:val="en-US" w:eastAsia="zh-CN"/>
        </w:rPr>
        <w:t>04</w:t>
      </w:r>
      <w:r>
        <w:rPr>
          <w:rFonts w:hint="eastAsia" w:ascii="仿宋" w:hAnsi="仿宋" w:eastAsia="仿宋" w:cs="仿宋"/>
          <w:color w:val="FF0000"/>
          <w:kern w:val="0"/>
          <w:sz w:val="24"/>
          <w:szCs w:val="24"/>
          <w:highlight w:val="none"/>
        </w:rPr>
        <w:t>月</w:t>
      </w:r>
      <w:r>
        <w:rPr>
          <w:rFonts w:hint="eastAsia" w:ascii="仿宋" w:hAnsi="仿宋" w:eastAsia="仿宋" w:cs="仿宋"/>
          <w:color w:val="FF0000"/>
          <w:kern w:val="0"/>
          <w:sz w:val="24"/>
          <w:szCs w:val="24"/>
          <w:highlight w:val="none"/>
          <w:lang w:val="en-US" w:eastAsia="zh-CN"/>
        </w:rPr>
        <w:t>24</w:t>
      </w:r>
      <w:r>
        <w:rPr>
          <w:rFonts w:hint="eastAsia" w:ascii="仿宋" w:hAnsi="仿宋" w:eastAsia="仿宋" w:cs="仿宋"/>
          <w:color w:val="FF0000"/>
          <w:kern w:val="0"/>
          <w:sz w:val="24"/>
          <w:szCs w:val="24"/>
          <w:highlight w:val="none"/>
        </w:rPr>
        <w:t>日，每天上午00:00至1</w:t>
      </w:r>
      <w:r>
        <w:rPr>
          <w:rFonts w:hint="eastAsia" w:ascii="仿宋" w:hAnsi="仿宋" w:eastAsia="仿宋" w:cs="仿宋"/>
          <w:color w:val="FF0000"/>
          <w:kern w:val="0"/>
          <w:sz w:val="24"/>
          <w:szCs w:val="24"/>
          <w:highlight w:val="none"/>
          <w:lang w:val="en-US" w:eastAsia="zh-CN"/>
        </w:rPr>
        <w:t>4</w:t>
      </w:r>
      <w:r>
        <w:rPr>
          <w:rFonts w:hint="eastAsia" w:ascii="仿宋" w:hAnsi="仿宋" w:eastAsia="仿宋" w:cs="仿宋"/>
          <w:color w:val="FF0000"/>
          <w:kern w:val="0"/>
          <w:sz w:val="24"/>
          <w:szCs w:val="24"/>
          <w:highlight w:val="none"/>
        </w:rPr>
        <w:t>:00，下午1</w:t>
      </w:r>
      <w:r>
        <w:rPr>
          <w:rFonts w:hint="eastAsia" w:ascii="仿宋" w:hAnsi="仿宋" w:eastAsia="仿宋" w:cs="仿宋"/>
          <w:color w:val="FF0000"/>
          <w:kern w:val="0"/>
          <w:sz w:val="24"/>
          <w:szCs w:val="24"/>
          <w:highlight w:val="none"/>
          <w:lang w:val="en-US" w:eastAsia="zh-CN"/>
        </w:rPr>
        <w:t>4</w:t>
      </w:r>
      <w:r>
        <w:rPr>
          <w:rFonts w:hint="eastAsia" w:ascii="仿宋" w:hAnsi="仿宋" w:eastAsia="仿宋" w:cs="仿宋"/>
          <w:color w:val="FF0000"/>
          <w:kern w:val="0"/>
          <w:sz w:val="24"/>
          <w:szCs w:val="24"/>
          <w:highlight w:val="none"/>
        </w:rPr>
        <w:t>:00至23:59（北京时间，法定节假日除外）</w:t>
      </w:r>
    </w:p>
    <w:bookmarkEnd w:id="600"/>
    <w:p w14:paraId="11C86AA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地点：政采云平台http://www.zcygov.cn</w:t>
      </w:r>
    </w:p>
    <w:p w14:paraId="41EE59B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方式：免费获取，</w:t>
      </w:r>
      <w:r>
        <w:rPr>
          <w:rFonts w:hint="eastAsia" w:ascii="仿宋" w:hAnsi="仿宋" w:eastAsia="仿宋" w:cs="仿宋"/>
          <w:kern w:val="0"/>
          <w:sz w:val="24"/>
          <w:szCs w:val="24"/>
          <w:highlight w:val="none"/>
          <w:lang w:eastAsia="zh-CN"/>
        </w:rPr>
        <w:t>投标人</w:t>
      </w:r>
      <w:r>
        <w:rPr>
          <w:rFonts w:hint="eastAsia" w:ascii="仿宋" w:hAnsi="仿宋" w:eastAsia="仿宋" w:cs="仿宋"/>
          <w:kern w:val="0"/>
          <w:sz w:val="24"/>
          <w:szCs w:val="24"/>
          <w:highlight w:val="none"/>
        </w:rPr>
        <w:t>登陆政采云账户（网址：https://www.zcygov.cn/）,在线申请获取招标文件（登录政府采购云平台→采购项目→获取采购文件→申请，审核通过后可下载招标文件，如有操作性问题，可与政采云在线客服进行咨询，咨询电话：95763</w:t>
      </w:r>
    </w:p>
    <w:p w14:paraId="179FC21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售价（元）：0</w:t>
      </w:r>
    </w:p>
    <w:p w14:paraId="778EE0C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四、提交投标文件截止时间、开标时间和地点</w:t>
      </w:r>
    </w:p>
    <w:p w14:paraId="7372819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提交投标文件截止时间：</w:t>
      </w:r>
      <w:r>
        <w:rPr>
          <w:rFonts w:hint="eastAsia" w:ascii="仿宋" w:hAnsi="仿宋" w:eastAsia="仿宋" w:cs="仿宋"/>
          <w:color w:val="FF0000"/>
          <w:kern w:val="0"/>
          <w:sz w:val="24"/>
          <w:szCs w:val="24"/>
          <w:highlight w:val="none"/>
          <w:lang w:eastAsia="zh-CN"/>
        </w:rPr>
        <w:t>2026年</w:t>
      </w:r>
      <w:r>
        <w:rPr>
          <w:rFonts w:hint="eastAsia" w:ascii="仿宋" w:hAnsi="仿宋" w:eastAsia="仿宋" w:cs="仿宋"/>
          <w:color w:val="FF0000"/>
          <w:kern w:val="0"/>
          <w:sz w:val="24"/>
          <w:szCs w:val="24"/>
          <w:highlight w:val="none"/>
          <w:lang w:val="en-US" w:eastAsia="zh-CN"/>
        </w:rPr>
        <w:t>04</w:t>
      </w:r>
      <w:r>
        <w:rPr>
          <w:rFonts w:hint="eastAsia" w:ascii="仿宋" w:hAnsi="仿宋" w:eastAsia="仿宋" w:cs="仿宋"/>
          <w:color w:val="FF0000"/>
          <w:kern w:val="0"/>
          <w:sz w:val="24"/>
          <w:szCs w:val="24"/>
          <w:highlight w:val="none"/>
          <w:lang w:eastAsia="zh-CN"/>
        </w:rPr>
        <w:t>月</w:t>
      </w:r>
      <w:r>
        <w:rPr>
          <w:rFonts w:hint="eastAsia" w:ascii="仿宋" w:hAnsi="仿宋" w:eastAsia="仿宋" w:cs="仿宋"/>
          <w:color w:val="FF0000"/>
          <w:kern w:val="0"/>
          <w:sz w:val="24"/>
          <w:szCs w:val="24"/>
          <w:highlight w:val="none"/>
          <w:lang w:val="en-US" w:eastAsia="zh-CN"/>
        </w:rPr>
        <w:t>27</w:t>
      </w:r>
      <w:r>
        <w:rPr>
          <w:rFonts w:hint="eastAsia" w:ascii="仿宋" w:hAnsi="仿宋" w:eastAsia="仿宋" w:cs="仿宋"/>
          <w:color w:val="FF0000"/>
          <w:kern w:val="0"/>
          <w:sz w:val="24"/>
          <w:szCs w:val="24"/>
          <w:highlight w:val="none"/>
          <w:lang w:eastAsia="zh-CN"/>
        </w:rPr>
        <w:t>日11:00（北京时间）</w:t>
      </w:r>
    </w:p>
    <w:p w14:paraId="0B4FC5A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Style w:val="214"/>
          <w:rFonts w:hint="eastAsia" w:ascii="仿宋" w:hAnsi="仿宋" w:eastAsia="仿宋" w:cs="仿宋"/>
          <w:sz w:val="24"/>
          <w:szCs w:val="24"/>
          <w:highlight w:val="none"/>
        </w:rPr>
      </w:pPr>
      <w:r>
        <w:rPr>
          <w:rFonts w:hint="eastAsia" w:ascii="仿宋" w:hAnsi="仿宋" w:eastAsia="仿宋" w:cs="仿宋"/>
          <w:kern w:val="0"/>
          <w:sz w:val="24"/>
          <w:szCs w:val="24"/>
          <w:highlight w:val="none"/>
        </w:rPr>
        <w:t>投标地点：</w:t>
      </w:r>
      <w:bookmarkStart w:id="1" w:name="_Hlk129254397"/>
      <w:r>
        <w:rPr>
          <w:rStyle w:val="214"/>
          <w:rFonts w:hint="eastAsia" w:ascii="仿宋" w:hAnsi="仿宋" w:eastAsia="仿宋" w:cs="仿宋"/>
          <w:sz w:val="24"/>
          <w:szCs w:val="24"/>
          <w:highlight w:val="none"/>
          <w:lang w:eastAsia="zh-CN"/>
        </w:rPr>
        <w:t>投标人</w:t>
      </w:r>
      <w:r>
        <w:rPr>
          <w:rStyle w:val="214"/>
          <w:rFonts w:hint="eastAsia" w:ascii="仿宋" w:hAnsi="仿宋" w:eastAsia="仿宋" w:cs="仿宋"/>
          <w:sz w:val="24"/>
          <w:szCs w:val="24"/>
          <w:highlight w:val="none"/>
        </w:rPr>
        <w:t>应在此之前将加密的投标文件上传至政采云平台对应位置 (逾期送达或不符合规定的投标文件将被拒绝接收)。</w:t>
      </w:r>
      <w:bookmarkEnd w:id="1"/>
    </w:p>
    <w:p w14:paraId="2B61393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开标时间：</w:t>
      </w:r>
      <w:r>
        <w:rPr>
          <w:rFonts w:hint="eastAsia" w:ascii="仿宋" w:hAnsi="仿宋" w:eastAsia="仿宋" w:cs="仿宋"/>
          <w:color w:val="FF0000"/>
          <w:kern w:val="0"/>
          <w:sz w:val="24"/>
          <w:szCs w:val="24"/>
          <w:highlight w:val="none"/>
          <w:lang w:eastAsia="zh-CN"/>
        </w:rPr>
        <w:t>2026年</w:t>
      </w:r>
      <w:r>
        <w:rPr>
          <w:rFonts w:hint="eastAsia" w:ascii="仿宋" w:hAnsi="仿宋" w:eastAsia="仿宋" w:cs="仿宋"/>
          <w:color w:val="FF0000"/>
          <w:kern w:val="0"/>
          <w:sz w:val="24"/>
          <w:szCs w:val="24"/>
          <w:highlight w:val="none"/>
          <w:lang w:val="en-US" w:eastAsia="zh-CN"/>
        </w:rPr>
        <w:t>04</w:t>
      </w:r>
      <w:r>
        <w:rPr>
          <w:rFonts w:hint="eastAsia" w:ascii="仿宋" w:hAnsi="仿宋" w:eastAsia="仿宋" w:cs="仿宋"/>
          <w:color w:val="FF0000"/>
          <w:kern w:val="0"/>
          <w:sz w:val="24"/>
          <w:szCs w:val="24"/>
          <w:highlight w:val="none"/>
          <w:lang w:eastAsia="zh-CN"/>
        </w:rPr>
        <w:t>月</w:t>
      </w:r>
      <w:r>
        <w:rPr>
          <w:rFonts w:hint="eastAsia" w:ascii="仿宋" w:hAnsi="仿宋" w:eastAsia="仿宋" w:cs="仿宋"/>
          <w:color w:val="FF0000"/>
          <w:kern w:val="0"/>
          <w:sz w:val="24"/>
          <w:szCs w:val="24"/>
          <w:highlight w:val="none"/>
          <w:lang w:val="en-US" w:eastAsia="zh-CN"/>
        </w:rPr>
        <w:t>27</w:t>
      </w:r>
      <w:r>
        <w:rPr>
          <w:rFonts w:hint="eastAsia" w:ascii="仿宋" w:hAnsi="仿宋" w:eastAsia="仿宋" w:cs="仿宋"/>
          <w:color w:val="FF0000"/>
          <w:kern w:val="0"/>
          <w:sz w:val="24"/>
          <w:szCs w:val="24"/>
          <w:highlight w:val="none"/>
          <w:lang w:eastAsia="zh-CN"/>
        </w:rPr>
        <w:t>日11:00（北京时间）</w:t>
      </w:r>
    </w:p>
    <w:p w14:paraId="331C87B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开标地点：</w:t>
      </w:r>
      <w:r>
        <w:rPr>
          <w:rStyle w:val="214"/>
          <w:rFonts w:hint="eastAsia" w:ascii="仿宋" w:hAnsi="仿宋" w:eastAsia="仿宋" w:cs="仿宋"/>
          <w:sz w:val="24"/>
          <w:szCs w:val="24"/>
          <w:highlight w:val="none"/>
        </w:rPr>
        <w:t>政采云平台https://www.zcygov.cn/不见面开标大厅</w:t>
      </w:r>
    </w:p>
    <w:p w14:paraId="0968F2A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五、公告期限</w:t>
      </w:r>
    </w:p>
    <w:p w14:paraId="50EB032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自本公告发布之日起5个工作日。</w:t>
      </w:r>
    </w:p>
    <w:p w14:paraId="4C74D26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六、其他补充事宜</w:t>
      </w:r>
    </w:p>
    <w:p w14:paraId="0BA5642E">
      <w:pPr>
        <w:keepNext w:val="0"/>
        <w:keepLines w:val="0"/>
        <w:pageBreakBefore w:val="0"/>
        <w:widowControl/>
        <w:tabs>
          <w:tab w:val="left" w:pos="7125"/>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1.本项目实行电子招投标，</w:t>
      </w:r>
      <w:r>
        <w:rPr>
          <w:rFonts w:hint="eastAsia" w:ascii="仿宋" w:hAnsi="仿宋" w:eastAsia="仿宋" w:cs="仿宋"/>
          <w:kern w:val="0"/>
          <w:sz w:val="24"/>
          <w:szCs w:val="24"/>
          <w:highlight w:val="none"/>
          <w:lang w:eastAsia="zh-CN"/>
        </w:rPr>
        <w:t>投标人</w:t>
      </w:r>
      <w:r>
        <w:rPr>
          <w:rFonts w:hint="eastAsia" w:ascii="仿宋" w:hAnsi="仿宋" w:eastAsia="仿宋" w:cs="仿宋"/>
          <w:kern w:val="0"/>
          <w:sz w:val="24"/>
          <w:szCs w:val="24"/>
          <w:highlight w:val="none"/>
        </w:rPr>
        <w:t>须登录政采云平台申请获取采购文件，并需要使用CA锁，登录政采云电子投标客户端制作投标文件，若</w:t>
      </w:r>
      <w:r>
        <w:rPr>
          <w:rFonts w:hint="eastAsia" w:ascii="仿宋" w:hAnsi="仿宋" w:eastAsia="仿宋" w:cs="仿宋"/>
          <w:kern w:val="0"/>
          <w:sz w:val="24"/>
          <w:szCs w:val="24"/>
          <w:highlight w:val="none"/>
          <w:lang w:eastAsia="zh-CN"/>
        </w:rPr>
        <w:t>投标人</w:t>
      </w:r>
      <w:r>
        <w:rPr>
          <w:rFonts w:hint="eastAsia" w:ascii="仿宋" w:hAnsi="仿宋" w:eastAsia="仿宋" w:cs="仿宋"/>
          <w:kern w:val="0"/>
          <w:sz w:val="24"/>
          <w:szCs w:val="24"/>
          <w:highlight w:val="none"/>
        </w:rPr>
        <w:t>参与投标,自行承担与投标有关的一切费用。</w:t>
      </w:r>
    </w:p>
    <w:p w14:paraId="7769A20C">
      <w:pPr>
        <w:keepNext w:val="0"/>
        <w:keepLines w:val="0"/>
        <w:pageBreakBefore w:val="0"/>
        <w:widowControl/>
        <w:tabs>
          <w:tab w:val="left" w:pos="7125"/>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2.各</w:t>
      </w:r>
      <w:r>
        <w:rPr>
          <w:rFonts w:hint="eastAsia" w:ascii="仿宋" w:hAnsi="仿宋" w:eastAsia="仿宋" w:cs="仿宋"/>
          <w:kern w:val="0"/>
          <w:sz w:val="24"/>
          <w:szCs w:val="24"/>
          <w:highlight w:val="none"/>
          <w:lang w:eastAsia="zh-CN"/>
        </w:rPr>
        <w:t>投标人</w:t>
      </w:r>
      <w:r>
        <w:rPr>
          <w:rFonts w:hint="eastAsia" w:ascii="仿宋" w:hAnsi="仿宋" w:eastAsia="仿宋" w:cs="仿宋"/>
          <w:kern w:val="0"/>
          <w:sz w:val="24"/>
          <w:szCs w:val="24"/>
          <w:highlight w:val="none"/>
        </w:rPr>
        <w:t>应在开标前确保是新疆维吾尔自治区政府采购网正式注册入库的</w:t>
      </w:r>
      <w:r>
        <w:rPr>
          <w:rFonts w:hint="eastAsia" w:ascii="仿宋" w:hAnsi="仿宋" w:eastAsia="仿宋" w:cs="仿宋"/>
          <w:kern w:val="0"/>
          <w:sz w:val="24"/>
          <w:szCs w:val="24"/>
          <w:highlight w:val="none"/>
          <w:lang w:eastAsia="zh-CN"/>
        </w:rPr>
        <w:t>投标人</w:t>
      </w:r>
      <w:r>
        <w:rPr>
          <w:rFonts w:hint="eastAsia" w:ascii="仿宋" w:hAnsi="仿宋" w:eastAsia="仿宋" w:cs="仿宋"/>
          <w:kern w:val="0"/>
          <w:sz w:val="24"/>
          <w:szCs w:val="24"/>
          <w:highlight w:val="none"/>
        </w:rPr>
        <w:t>，并完成CA数字证书申领。因未注册入库、未办理CA数字证书等原因造成无法投标或投标失败等后果的由</w:t>
      </w:r>
      <w:r>
        <w:rPr>
          <w:rFonts w:hint="eastAsia" w:ascii="仿宋" w:hAnsi="仿宋" w:eastAsia="仿宋" w:cs="仿宋"/>
          <w:kern w:val="0"/>
          <w:sz w:val="24"/>
          <w:szCs w:val="24"/>
          <w:highlight w:val="none"/>
          <w:lang w:eastAsia="zh-CN"/>
        </w:rPr>
        <w:t>投标人</w:t>
      </w:r>
      <w:r>
        <w:rPr>
          <w:rFonts w:hint="eastAsia" w:ascii="仿宋" w:hAnsi="仿宋" w:eastAsia="仿宋" w:cs="仿宋"/>
          <w:kern w:val="0"/>
          <w:sz w:val="24"/>
          <w:szCs w:val="24"/>
          <w:highlight w:val="none"/>
        </w:rPr>
        <w:t>自行承担</w:t>
      </w:r>
    </w:p>
    <w:p w14:paraId="308C2351">
      <w:pPr>
        <w:keepNext w:val="0"/>
        <w:keepLines w:val="0"/>
        <w:pageBreakBefore w:val="0"/>
        <w:widowControl/>
        <w:tabs>
          <w:tab w:val="left" w:pos="7125"/>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w:t>
      </w:r>
      <w:r>
        <w:rPr>
          <w:rFonts w:hint="eastAsia" w:ascii="仿宋" w:hAnsi="仿宋" w:eastAsia="仿宋" w:cs="仿宋"/>
          <w:kern w:val="0"/>
          <w:sz w:val="24"/>
          <w:szCs w:val="24"/>
          <w:highlight w:val="none"/>
          <w:lang w:eastAsia="zh-CN"/>
        </w:rPr>
        <w:t>投标人</w:t>
      </w:r>
      <w:r>
        <w:rPr>
          <w:rFonts w:hint="eastAsia" w:ascii="仿宋" w:hAnsi="仿宋" w:eastAsia="仿宋" w:cs="仿宋"/>
          <w:kern w:val="0"/>
          <w:sz w:val="24"/>
          <w:szCs w:val="24"/>
          <w:highlight w:val="none"/>
        </w:rPr>
        <w:t>可前往新疆政府采购网（http://www.ccgp-xinjiang.gov.cn/）下载专区，下载政采云电子投标客户端，安装完成后，可通过账号密码或CA登录客户端进行投标文件制作。</w:t>
      </w:r>
    </w:p>
    <w:p w14:paraId="3375C79F">
      <w:pPr>
        <w:keepNext w:val="0"/>
        <w:keepLines w:val="0"/>
        <w:pageBreakBefore w:val="0"/>
        <w:widowControl/>
        <w:tabs>
          <w:tab w:val="left" w:pos="7125"/>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w:t>
      </w:r>
      <w:r>
        <w:rPr>
          <w:rFonts w:hint="eastAsia" w:ascii="仿宋" w:hAnsi="仿宋" w:eastAsia="仿宋" w:cs="仿宋"/>
          <w:kern w:val="0"/>
          <w:sz w:val="24"/>
          <w:szCs w:val="24"/>
          <w:highlight w:val="none"/>
          <w:lang w:eastAsia="zh-CN"/>
        </w:rPr>
        <w:t>投标人</w:t>
      </w:r>
      <w:r>
        <w:rPr>
          <w:rFonts w:hint="eastAsia" w:ascii="仿宋" w:hAnsi="仿宋" w:eastAsia="仿宋" w:cs="仿宋"/>
          <w:kern w:val="0"/>
          <w:sz w:val="24"/>
          <w:szCs w:val="24"/>
          <w:highlight w:val="none"/>
        </w:rPr>
        <w:t>在开标时须携带制作加密电子投标文件所使用的CA锁，电脑须提前配置好浏览器，以便开标时在线解密。</w:t>
      </w:r>
    </w:p>
    <w:p w14:paraId="304D5343">
      <w:pPr>
        <w:keepNext w:val="0"/>
        <w:keepLines w:val="0"/>
        <w:pageBreakBefore w:val="0"/>
        <w:widowControl/>
        <w:tabs>
          <w:tab w:val="left" w:pos="7125"/>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5.投标</w:t>
      </w:r>
      <w:r>
        <w:rPr>
          <w:rFonts w:hint="eastAsia" w:ascii="仿宋" w:hAnsi="仿宋" w:eastAsia="仿宋" w:cs="仿宋"/>
          <w:kern w:val="0"/>
          <w:sz w:val="24"/>
          <w:szCs w:val="24"/>
          <w:highlight w:val="none"/>
          <w:lang w:eastAsia="zh-CN"/>
        </w:rPr>
        <w:t>投标人</w:t>
      </w:r>
      <w:r>
        <w:rPr>
          <w:rFonts w:hint="eastAsia" w:ascii="仿宋" w:hAnsi="仿宋" w:eastAsia="仿宋" w:cs="仿宋"/>
          <w:kern w:val="0"/>
          <w:sz w:val="24"/>
          <w:szCs w:val="24"/>
          <w:highlight w:val="none"/>
        </w:rPr>
        <w:t>应当在投标截止时间前，将生成的“电子加密投标文件”上传递交至“政府采购云平台”，投标截止时间以后上传递交的投标文件将被“政府采购云平台”拒收。</w:t>
      </w:r>
    </w:p>
    <w:p w14:paraId="4B2D5703">
      <w:pPr>
        <w:keepNext w:val="0"/>
        <w:keepLines w:val="0"/>
        <w:pageBreakBefore w:val="0"/>
        <w:widowControl/>
        <w:tabs>
          <w:tab w:val="left" w:pos="7125"/>
        </w:tabs>
        <w:kinsoku/>
        <w:wordWrap/>
        <w:overflowPunct/>
        <w:topLinePunct w:val="0"/>
        <w:autoSpaceDE/>
        <w:autoSpaceDN/>
        <w:bidi w:val="0"/>
        <w:adjustRightInd/>
        <w:snapToGrid/>
        <w:spacing w:line="360" w:lineRule="auto"/>
        <w:jc w:val="left"/>
        <w:textAlignment w:val="auto"/>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七、对本次采购提出询问，请按以下方式联系</w:t>
      </w:r>
    </w:p>
    <w:p w14:paraId="09782B9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1.采购人信息</w:t>
      </w:r>
    </w:p>
    <w:p w14:paraId="17665F9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名 称：</w:t>
      </w:r>
      <w:r>
        <w:rPr>
          <w:rFonts w:hint="eastAsia" w:ascii="仿宋" w:hAnsi="仿宋" w:eastAsia="仿宋" w:cs="仿宋"/>
          <w:kern w:val="0"/>
          <w:sz w:val="24"/>
          <w:szCs w:val="24"/>
          <w:highlight w:val="none"/>
          <w:lang w:eastAsia="zh-CN"/>
        </w:rPr>
        <w:t>新疆维吾尔自治区地质局昌吉地质大队</w:t>
      </w:r>
    </w:p>
    <w:p w14:paraId="695C603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地址：</w:t>
      </w:r>
      <w:r>
        <w:rPr>
          <w:rFonts w:hint="eastAsia" w:ascii="仿宋" w:hAnsi="仿宋" w:eastAsia="仿宋" w:cs="仿宋"/>
          <w:kern w:val="0"/>
          <w:sz w:val="24"/>
          <w:szCs w:val="24"/>
          <w:highlight w:val="none"/>
          <w:lang w:eastAsia="zh-CN"/>
        </w:rPr>
        <w:t>昌吉回族自治州昌吉市北京南路14号地质村办公大楼</w:t>
      </w:r>
    </w:p>
    <w:p w14:paraId="07401A9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项目联系人：马骏</w:t>
      </w:r>
    </w:p>
    <w:p w14:paraId="44AA46A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项目联系方式：15209947607</w:t>
      </w:r>
    </w:p>
    <w:p w14:paraId="6713E22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2.采购代理机构信息</w:t>
      </w:r>
    </w:p>
    <w:p w14:paraId="539A1AE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名称：新疆新世纪招标有限公司</w:t>
      </w:r>
    </w:p>
    <w:p w14:paraId="2A3A58B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地址：乌鲁木齐市新兴街20号凤凰科技大厦五楼</w:t>
      </w:r>
    </w:p>
    <w:p w14:paraId="32FD51F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联系方式：</w:t>
      </w:r>
      <w:r>
        <w:rPr>
          <w:rFonts w:hint="eastAsia" w:ascii="仿宋" w:hAnsi="仿宋" w:eastAsia="仿宋" w:cs="仿宋"/>
          <w:kern w:val="0"/>
          <w:sz w:val="24"/>
          <w:szCs w:val="24"/>
          <w:highlight w:val="none"/>
          <w:lang w:val="en-US" w:eastAsia="zh-CN"/>
        </w:rPr>
        <w:t>17609941920、13109969229</w:t>
      </w:r>
    </w:p>
    <w:p w14:paraId="79CDA96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3.项目联系方式</w:t>
      </w:r>
    </w:p>
    <w:p w14:paraId="6C23A6E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项目联系人：</w:t>
      </w:r>
      <w:r>
        <w:rPr>
          <w:rFonts w:hint="eastAsia" w:ascii="仿宋" w:hAnsi="仿宋" w:eastAsia="仿宋" w:cs="仿宋"/>
          <w:kern w:val="0"/>
          <w:sz w:val="24"/>
          <w:szCs w:val="24"/>
          <w:highlight w:val="none"/>
          <w:lang w:val="en-US" w:eastAsia="zh-CN"/>
        </w:rPr>
        <w:t>闵俊瑀、宋金龙</w:t>
      </w:r>
    </w:p>
    <w:p w14:paraId="7A2E1E4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项目联系方式：</w:t>
      </w:r>
      <w:r>
        <w:rPr>
          <w:rFonts w:hint="eastAsia" w:ascii="仿宋" w:hAnsi="仿宋" w:eastAsia="仿宋" w:cs="仿宋"/>
          <w:kern w:val="0"/>
          <w:sz w:val="24"/>
          <w:szCs w:val="24"/>
          <w:highlight w:val="none"/>
          <w:lang w:val="en-US" w:eastAsia="zh-CN"/>
        </w:rPr>
        <w:t>17609941920、13109969229</w:t>
      </w:r>
    </w:p>
    <w:p w14:paraId="413D1C85">
      <w:pPr>
        <w:rPr>
          <w:rFonts w:hint="eastAsia" w:ascii="仿宋" w:hAnsi="仿宋" w:eastAsia="仿宋" w:cs="仿宋"/>
          <w:b/>
          <w:sz w:val="28"/>
          <w:szCs w:val="28"/>
          <w:highlight w:val="none"/>
        </w:rPr>
      </w:pPr>
      <w:r>
        <w:rPr>
          <w:rFonts w:hint="eastAsia" w:ascii="仿宋" w:hAnsi="仿宋" w:eastAsia="仿宋" w:cs="仿宋"/>
          <w:b/>
          <w:sz w:val="28"/>
          <w:szCs w:val="28"/>
          <w:highlight w:val="none"/>
        </w:rPr>
        <w:br w:type="page"/>
      </w:r>
    </w:p>
    <w:p w14:paraId="2DAA0668">
      <w:pPr>
        <w:spacing w:line="440" w:lineRule="exact"/>
        <w:jc w:val="center"/>
        <w:outlineLvl w:val="0"/>
        <w:rPr>
          <w:rFonts w:hint="eastAsia" w:ascii="仿宋" w:hAnsi="仿宋" w:eastAsia="仿宋" w:cs="仿宋"/>
          <w:b/>
          <w:sz w:val="28"/>
          <w:szCs w:val="28"/>
          <w:highlight w:val="none"/>
        </w:rPr>
      </w:pPr>
      <w:r>
        <w:rPr>
          <w:rFonts w:hint="eastAsia" w:ascii="仿宋" w:hAnsi="仿宋" w:eastAsia="仿宋" w:cs="仿宋"/>
          <w:b/>
          <w:sz w:val="28"/>
          <w:szCs w:val="28"/>
          <w:highlight w:val="none"/>
        </w:rPr>
        <w:t>投标人须知前附表</w:t>
      </w:r>
    </w:p>
    <w:tbl>
      <w:tblPr>
        <w:tblStyle w:val="43"/>
        <w:tblpPr w:leftFromText="180" w:rightFromText="180" w:vertAnchor="text" w:horzAnchor="page" w:tblpXSpec="center" w:tblpY="425"/>
        <w:tblOverlap w:val="never"/>
        <w:tblW w:w="50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706"/>
        <w:gridCol w:w="1573"/>
        <w:gridCol w:w="6210"/>
      </w:tblGrid>
      <w:tr w14:paraId="4045F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tcBorders>
              <w:top w:val="single" w:color="auto" w:sz="4" w:space="0"/>
              <w:left w:val="single" w:color="auto" w:sz="4" w:space="0"/>
              <w:bottom w:val="single" w:color="auto" w:sz="4" w:space="0"/>
              <w:right w:val="single" w:color="auto" w:sz="4" w:space="0"/>
            </w:tcBorders>
            <w:shd w:val="clear" w:color="auto" w:fill="FFFFFF"/>
            <w:vAlign w:val="center"/>
          </w:tcPr>
          <w:p w14:paraId="333E7870">
            <w:pPr>
              <w:spacing w:line="360" w:lineRule="auto"/>
              <w:jc w:val="center"/>
              <w:rPr>
                <w:rFonts w:hint="eastAsia" w:ascii="仿宋" w:hAnsi="仿宋" w:eastAsia="仿宋" w:cs="仿宋"/>
                <w:b/>
                <w:bCs/>
                <w:color w:val="000000"/>
                <w:sz w:val="24"/>
                <w:szCs w:val="24"/>
                <w:highlight w:val="none"/>
              </w:rPr>
            </w:pPr>
            <w:bookmarkStart w:id="2" w:name="_Toc31961"/>
            <w:r>
              <w:rPr>
                <w:rFonts w:hint="eastAsia" w:ascii="仿宋" w:hAnsi="仿宋" w:eastAsia="仿宋" w:cs="仿宋"/>
                <w:b/>
                <w:bCs/>
                <w:color w:val="000000"/>
                <w:sz w:val="24"/>
                <w:szCs w:val="24"/>
                <w:highlight w:val="none"/>
              </w:rPr>
              <w:t>项号</w:t>
            </w:r>
          </w:p>
        </w:tc>
        <w:tc>
          <w:tcPr>
            <w:tcW w:w="4583"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F4FE1C4">
            <w:pPr>
              <w:spacing w:line="360" w:lineRule="auto"/>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编列内容</w:t>
            </w:r>
          </w:p>
        </w:tc>
      </w:tr>
      <w:tr w14:paraId="1249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vMerge w:val="restart"/>
            <w:tcBorders>
              <w:top w:val="single" w:color="auto" w:sz="4" w:space="0"/>
            </w:tcBorders>
            <w:shd w:val="clear" w:color="auto" w:fill="FFFFFF"/>
            <w:vAlign w:val="center"/>
          </w:tcPr>
          <w:p w14:paraId="7B092D64">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926" w:type="pct"/>
            <w:tcBorders>
              <w:top w:val="single" w:color="auto" w:sz="4" w:space="0"/>
            </w:tcBorders>
            <w:shd w:val="clear" w:color="auto" w:fill="FFFFFF"/>
            <w:vAlign w:val="center"/>
          </w:tcPr>
          <w:p w14:paraId="3BD42A91">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项目名称</w:t>
            </w:r>
          </w:p>
        </w:tc>
        <w:tc>
          <w:tcPr>
            <w:tcW w:w="3656" w:type="pct"/>
            <w:tcBorders>
              <w:top w:val="single" w:color="auto" w:sz="4" w:space="0"/>
            </w:tcBorders>
            <w:shd w:val="clear" w:color="auto" w:fill="FFFFFF"/>
            <w:vAlign w:val="center"/>
          </w:tcPr>
          <w:p w14:paraId="63FAE222">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新疆维吾尔自治区地质局昌吉地质大队物探技术服务项目</w:t>
            </w:r>
          </w:p>
        </w:tc>
      </w:tr>
      <w:tr w14:paraId="59C7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vMerge w:val="continue"/>
            <w:shd w:val="clear" w:color="auto" w:fill="FFFFFF"/>
            <w:vAlign w:val="center"/>
          </w:tcPr>
          <w:p w14:paraId="4818D26D">
            <w:pPr>
              <w:spacing w:line="360" w:lineRule="auto"/>
              <w:jc w:val="center"/>
              <w:rPr>
                <w:rFonts w:hint="eastAsia" w:ascii="仿宋" w:hAnsi="仿宋" w:eastAsia="仿宋" w:cs="仿宋"/>
                <w:color w:val="000000"/>
                <w:sz w:val="24"/>
                <w:szCs w:val="24"/>
                <w:highlight w:val="none"/>
              </w:rPr>
            </w:pPr>
          </w:p>
        </w:tc>
        <w:tc>
          <w:tcPr>
            <w:tcW w:w="926" w:type="pct"/>
            <w:shd w:val="clear" w:color="auto" w:fill="FFFFFF"/>
            <w:vAlign w:val="center"/>
          </w:tcPr>
          <w:p w14:paraId="3B6B1181">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项目编号</w:t>
            </w:r>
          </w:p>
        </w:tc>
        <w:tc>
          <w:tcPr>
            <w:tcW w:w="3656" w:type="pct"/>
            <w:shd w:val="clear" w:color="auto" w:fill="FFFFFF"/>
            <w:vAlign w:val="center"/>
          </w:tcPr>
          <w:p w14:paraId="7D9A46D3">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XJXSJ-2026(ZC)-110-1</w:t>
            </w:r>
          </w:p>
        </w:tc>
      </w:tr>
      <w:tr w14:paraId="5DD6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vMerge w:val="continue"/>
            <w:shd w:val="clear" w:color="auto" w:fill="FFFFFF"/>
            <w:vAlign w:val="center"/>
          </w:tcPr>
          <w:p w14:paraId="6108ADE1">
            <w:pPr>
              <w:spacing w:line="360" w:lineRule="auto"/>
              <w:jc w:val="center"/>
              <w:rPr>
                <w:rFonts w:hint="eastAsia" w:ascii="仿宋" w:hAnsi="仿宋" w:eastAsia="仿宋" w:cs="仿宋"/>
                <w:color w:val="000000"/>
                <w:sz w:val="24"/>
                <w:szCs w:val="24"/>
                <w:highlight w:val="none"/>
              </w:rPr>
            </w:pPr>
          </w:p>
        </w:tc>
        <w:tc>
          <w:tcPr>
            <w:tcW w:w="926" w:type="pct"/>
            <w:shd w:val="clear" w:color="auto" w:fill="FFFFFF"/>
            <w:vAlign w:val="center"/>
          </w:tcPr>
          <w:p w14:paraId="4E7FE941">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采购人</w:t>
            </w:r>
          </w:p>
        </w:tc>
        <w:tc>
          <w:tcPr>
            <w:tcW w:w="3656" w:type="pct"/>
            <w:shd w:val="clear" w:color="auto" w:fill="FFFFFF"/>
            <w:vAlign w:val="center"/>
          </w:tcPr>
          <w:p w14:paraId="70EC4C86">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新疆维吾尔自治区地质局昌吉地质大队</w:t>
            </w:r>
          </w:p>
        </w:tc>
      </w:tr>
      <w:tr w14:paraId="41CF5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vMerge w:val="continue"/>
            <w:shd w:val="clear" w:color="auto" w:fill="FFFFFF"/>
            <w:vAlign w:val="center"/>
          </w:tcPr>
          <w:p w14:paraId="5029766D">
            <w:pPr>
              <w:spacing w:line="360" w:lineRule="auto"/>
              <w:jc w:val="center"/>
              <w:rPr>
                <w:rFonts w:hint="eastAsia" w:ascii="仿宋" w:hAnsi="仿宋" w:eastAsia="仿宋" w:cs="仿宋"/>
                <w:color w:val="000000"/>
                <w:sz w:val="24"/>
                <w:szCs w:val="24"/>
                <w:highlight w:val="none"/>
              </w:rPr>
            </w:pPr>
          </w:p>
        </w:tc>
        <w:tc>
          <w:tcPr>
            <w:tcW w:w="926" w:type="pct"/>
            <w:shd w:val="clear" w:color="auto" w:fill="FFFFFF"/>
            <w:vAlign w:val="center"/>
          </w:tcPr>
          <w:p w14:paraId="79718873">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采购代理机构</w:t>
            </w:r>
          </w:p>
        </w:tc>
        <w:tc>
          <w:tcPr>
            <w:tcW w:w="3656" w:type="pct"/>
            <w:shd w:val="clear" w:color="auto" w:fill="FFFFFF"/>
            <w:vAlign w:val="center"/>
          </w:tcPr>
          <w:p w14:paraId="5D2ED7F6">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新疆新世纪招标有限公司</w:t>
            </w:r>
          </w:p>
        </w:tc>
      </w:tr>
      <w:tr w14:paraId="33EC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vMerge w:val="continue"/>
            <w:shd w:val="clear" w:color="auto" w:fill="FFFFFF"/>
            <w:vAlign w:val="center"/>
          </w:tcPr>
          <w:p w14:paraId="26823ED7">
            <w:pPr>
              <w:spacing w:line="360" w:lineRule="auto"/>
              <w:jc w:val="center"/>
              <w:rPr>
                <w:rFonts w:hint="eastAsia" w:ascii="仿宋" w:hAnsi="仿宋" w:eastAsia="仿宋" w:cs="仿宋"/>
                <w:color w:val="000000"/>
                <w:sz w:val="24"/>
                <w:szCs w:val="24"/>
                <w:highlight w:val="none"/>
              </w:rPr>
            </w:pPr>
          </w:p>
        </w:tc>
        <w:tc>
          <w:tcPr>
            <w:tcW w:w="926" w:type="pct"/>
            <w:shd w:val="clear" w:color="auto" w:fill="FFFFFF"/>
            <w:vAlign w:val="center"/>
          </w:tcPr>
          <w:p w14:paraId="256AD01F">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资金来源</w:t>
            </w:r>
          </w:p>
        </w:tc>
        <w:tc>
          <w:tcPr>
            <w:tcW w:w="3656" w:type="pct"/>
            <w:shd w:val="clear" w:color="auto" w:fill="FFFFFF"/>
            <w:vAlign w:val="center"/>
          </w:tcPr>
          <w:p w14:paraId="5616C8B3">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财政资金</w:t>
            </w:r>
          </w:p>
        </w:tc>
      </w:tr>
      <w:tr w14:paraId="76D4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vMerge w:val="continue"/>
            <w:shd w:val="clear" w:color="auto" w:fill="FFFFFF"/>
            <w:vAlign w:val="center"/>
          </w:tcPr>
          <w:p w14:paraId="761DC5CE">
            <w:pPr>
              <w:spacing w:line="360" w:lineRule="auto"/>
              <w:jc w:val="center"/>
              <w:rPr>
                <w:rFonts w:hint="eastAsia" w:ascii="仿宋" w:hAnsi="仿宋" w:eastAsia="仿宋" w:cs="仿宋"/>
                <w:color w:val="000000"/>
                <w:sz w:val="24"/>
                <w:szCs w:val="24"/>
                <w:highlight w:val="none"/>
              </w:rPr>
            </w:pPr>
          </w:p>
        </w:tc>
        <w:tc>
          <w:tcPr>
            <w:tcW w:w="926" w:type="pct"/>
            <w:shd w:val="clear" w:color="auto" w:fill="FFFFFF"/>
            <w:vAlign w:val="center"/>
          </w:tcPr>
          <w:p w14:paraId="54F7A709">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采购预算金额</w:t>
            </w:r>
          </w:p>
        </w:tc>
        <w:tc>
          <w:tcPr>
            <w:tcW w:w="3656" w:type="pct"/>
            <w:shd w:val="clear" w:color="auto" w:fill="FFFFFF"/>
            <w:vAlign w:val="center"/>
          </w:tcPr>
          <w:p w14:paraId="4082E108">
            <w:pPr>
              <w:widowControl/>
              <w:spacing w:line="360" w:lineRule="auto"/>
              <w:jc w:val="left"/>
              <w:rPr>
                <w:rFonts w:hint="default"/>
                <w:highlight w:val="none"/>
                <w:lang w:val="en-US" w:eastAsia="zh-CN"/>
              </w:rPr>
            </w:pPr>
            <w:r>
              <w:rPr>
                <w:rFonts w:hint="eastAsia" w:ascii="仿宋" w:hAnsi="仿宋" w:eastAsia="仿宋" w:cs="仿宋"/>
                <w:kern w:val="0"/>
                <w:sz w:val="24"/>
                <w:szCs w:val="24"/>
                <w:highlight w:val="none"/>
                <w:lang w:val="en-US" w:eastAsia="zh-CN"/>
              </w:rPr>
              <w:t>5477400</w:t>
            </w:r>
            <w:r>
              <w:rPr>
                <w:rFonts w:hint="eastAsia" w:ascii="仿宋" w:hAnsi="仿宋" w:eastAsia="仿宋" w:cs="仿宋"/>
                <w:color w:val="000000"/>
                <w:sz w:val="24"/>
                <w:szCs w:val="24"/>
                <w:highlight w:val="none"/>
                <w:lang w:val="en-US" w:eastAsia="zh-CN"/>
              </w:rPr>
              <w:t>元</w:t>
            </w:r>
          </w:p>
        </w:tc>
      </w:tr>
      <w:tr w14:paraId="5B8F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vMerge w:val="continue"/>
            <w:shd w:val="clear" w:color="auto" w:fill="FFFFFF"/>
            <w:vAlign w:val="center"/>
          </w:tcPr>
          <w:p w14:paraId="2B87ABF6">
            <w:pPr>
              <w:spacing w:line="360" w:lineRule="auto"/>
              <w:jc w:val="center"/>
              <w:rPr>
                <w:rFonts w:hint="eastAsia" w:ascii="仿宋" w:hAnsi="仿宋" w:eastAsia="仿宋" w:cs="仿宋"/>
                <w:color w:val="000000"/>
                <w:sz w:val="24"/>
                <w:szCs w:val="24"/>
                <w:highlight w:val="none"/>
              </w:rPr>
            </w:pPr>
          </w:p>
        </w:tc>
        <w:tc>
          <w:tcPr>
            <w:tcW w:w="926" w:type="pct"/>
            <w:shd w:val="clear" w:color="auto" w:fill="FFFFFF"/>
            <w:vAlign w:val="center"/>
          </w:tcPr>
          <w:p w14:paraId="187FC737">
            <w:pPr>
              <w:spacing w:line="360" w:lineRule="auto"/>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项目概况</w:t>
            </w:r>
          </w:p>
        </w:tc>
        <w:tc>
          <w:tcPr>
            <w:tcW w:w="3656" w:type="pct"/>
            <w:shd w:val="clear" w:color="auto" w:fill="FFFFFF"/>
            <w:vAlign w:val="center"/>
          </w:tcPr>
          <w:p w14:paraId="5424DD8D">
            <w:pPr>
              <w:widowControl/>
              <w:spacing w:line="360" w:lineRule="auto"/>
              <w:jc w:val="left"/>
              <w:rPr>
                <w:rFonts w:hint="default" w:ascii="仿宋" w:hAnsi="仿宋" w:eastAsia="仿宋" w:cs="仿宋"/>
                <w:color w:val="auto"/>
                <w:sz w:val="24"/>
                <w:szCs w:val="24"/>
                <w:highlight w:val="none"/>
                <w:lang w:val="en-US" w:eastAsia="zh-CN"/>
              </w:rPr>
            </w:pPr>
            <w:r>
              <w:rPr>
                <w:rFonts w:hint="eastAsia" w:ascii="仿宋" w:hAnsi="仿宋" w:eastAsia="仿宋" w:cs="仿宋"/>
                <w:kern w:val="0"/>
                <w:sz w:val="24"/>
                <w:szCs w:val="24"/>
                <w:highlight w:val="none"/>
                <w:lang w:eastAsia="zh-CN"/>
              </w:rPr>
              <w:t>新疆博乐市阿拉山口西钨锡矿普查、新疆和静县乌龙沟一带铜锌矿普查、新疆和静县-托克逊县乌拉苏-阿拉沟一带金铜多金属矿普查、新疆阿图什市喀拉别勒斯一带铜矿调查评价、新疆鄯善县乔尕山-花梁子一带金多金属矿调查评价、新疆鄯善县康北铜镍矿普查、新疆吐鲁番市高昌区黑云山铜多金属矿调查评价、新疆哈巴河县塔勒德铜矿外围铜多金属矿普查、新疆青河县乔夏巴斯陶一带铬铁矿普查、新疆青河县喀拉干德一带金铜矿普查、新疆哈巴河县塔勒德金矿普查、新疆准东伊吾县琼河坝一带铜金矿勘查，</w:t>
            </w:r>
            <w:r>
              <w:rPr>
                <w:rFonts w:hint="eastAsia" w:ascii="仿宋" w:hAnsi="仿宋" w:eastAsia="仿宋" w:cs="仿宋"/>
                <w:kern w:val="0"/>
                <w:sz w:val="24"/>
                <w:szCs w:val="24"/>
                <w:highlight w:val="none"/>
                <w:lang w:val="en-US" w:eastAsia="zh-CN"/>
              </w:rPr>
              <w:t>共计12个项目的物探技术服务工作，</w:t>
            </w:r>
            <w:r>
              <w:rPr>
                <w:rFonts w:hint="eastAsia" w:ascii="仿宋" w:hAnsi="仿宋" w:eastAsia="仿宋" w:cs="仿宋"/>
                <w:kern w:val="0"/>
                <w:sz w:val="24"/>
                <w:szCs w:val="24"/>
                <w:highlight w:val="none"/>
                <w:lang w:eastAsia="zh-CN"/>
              </w:rPr>
              <w:t>具体采购要求详见招标文件</w:t>
            </w:r>
            <w:r>
              <w:rPr>
                <w:rFonts w:hint="eastAsia" w:ascii="仿宋" w:hAnsi="仿宋" w:eastAsia="仿宋" w:cs="仿宋"/>
                <w:color w:val="000000"/>
                <w:sz w:val="24"/>
                <w:szCs w:val="24"/>
                <w:highlight w:val="none"/>
                <w:lang w:val="en-US" w:eastAsia="zh-CN"/>
              </w:rPr>
              <w:t>第四章服务标准和要求</w:t>
            </w:r>
            <w:r>
              <w:rPr>
                <w:rFonts w:hint="eastAsia" w:ascii="仿宋" w:hAnsi="仿宋" w:eastAsia="仿宋" w:cs="仿宋"/>
                <w:kern w:val="0"/>
                <w:sz w:val="24"/>
                <w:szCs w:val="24"/>
                <w:highlight w:val="none"/>
                <w:lang w:eastAsia="zh-CN"/>
              </w:rPr>
              <w:t>。</w:t>
            </w:r>
          </w:p>
        </w:tc>
      </w:tr>
      <w:tr w14:paraId="5142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vMerge w:val="continue"/>
            <w:shd w:val="clear" w:color="auto" w:fill="FFFFFF"/>
            <w:vAlign w:val="center"/>
          </w:tcPr>
          <w:p w14:paraId="61B70A86">
            <w:pPr>
              <w:spacing w:line="360" w:lineRule="auto"/>
              <w:jc w:val="center"/>
              <w:rPr>
                <w:rFonts w:hint="eastAsia" w:ascii="仿宋" w:hAnsi="仿宋" w:eastAsia="仿宋" w:cs="仿宋"/>
                <w:color w:val="000000"/>
                <w:sz w:val="24"/>
                <w:szCs w:val="24"/>
                <w:highlight w:val="none"/>
              </w:rPr>
            </w:pPr>
          </w:p>
        </w:tc>
        <w:tc>
          <w:tcPr>
            <w:tcW w:w="926" w:type="pct"/>
            <w:shd w:val="clear" w:color="auto" w:fill="FFFFFF"/>
            <w:vAlign w:val="center"/>
          </w:tcPr>
          <w:p w14:paraId="1C84AEB3">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服务周期</w:t>
            </w:r>
          </w:p>
        </w:tc>
        <w:tc>
          <w:tcPr>
            <w:tcW w:w="3656" w:type="pct"/>
            <w:shd w:val="clear" w:color="auto" w:fill="FFFFFF"/>
            <w:vAlign w:val="center"/>
          </w:tcPr>
          <w:p w14:paraId="74DB0C95">
            <w:pPr>
              <w:widowControl/>
              <w:spacing w:line="360" w:lineRule="auto"/>
              <w:jc w:val="left"/>
              <w:rPr>
                <w:rFonts w:hint="eastAsia"/>
                <w:color w:val="auto"/>
                <w:highlight w:val="none"/>
                <w:lang w:val="en-US" w:eastAsia="zh-CN"/>
              </w:rPr>
            </w:pPr>
            <w:r>
              <w:rPr>
                <w:rFonts w:hint="eastAsia" w:ascii="仿宋" w:hAnsi="仿宋" w:eastAsia="仿宋" w:cs="仿宋"/>
                <w:bCs/>
                <w:sz w:val="24"/>
                <w:szCs w:val="24"/>
                <w:highlight w:val="none"/>
                <w:lang w:eastAsia="zh-CN"/>
              </w:rPr>
              <w:t>自签订合同之日起至</w:t>
            </w:r>
            <w:r>
              <w:rPr>
                <w:rFonts w:hint="eastAsia" w:ascii="仿宋" w:hAnsi="仿宋" w:eastAsia="仿宋" w:cs="仿宋"/>
                <w:bCs/>
                <w:sz w:val="24"/>
                <w:szCs w:val="24"/>
                <w:highlight w:val="none"/>
              </w:rPr>
              <w:t>202</w:t>
            </w:r>
            <w:r>
              <w:rPr>
                <w:rFonts w:hint="eastAsia" w:ascii="仿宋" w:hAnsi="仿宋" w:eastAsia="仿宋" w:cs="仿宋"/>
                <w:bCs/>
                <w:sz w:val="24"/>
                <w:szCs w:val="24"/>
                <w:highlight w:val="none"/>
                <w:lang w:val="en-US" w:eastAsia="zh-CN"/>
              </w:rPr>
              <w:t>6</w:t>
            </w:r>
            <w:r>
              <w:rPr>
                <w:rFonts w:hint="eastAsia" w:ascii="仿宋" w:hAnsi="仿宋" w:eastAsia="仿宋" w:cs="仿宋"/>
                <w:bCs/>
                <w:sz w:val="24"/>
                <w:szCs w:val="24"/>
                <w:highlight w:val="none"/>
              </w:rPr>
              <w:t>年</w:t>
            </w:r>
            <w:r>
              <w:rPr>
                <w:rFonts w:hint="eastAsia" w:ascii="仿宋" w:hAnsi="仿宋" w:eastAsia="仿宋" w:cs="仿宋"/>
                <w:bCs/>
                <w:sz w:val="24"/>
                <w:szCs w:val="24"/>
                <w:highlight w:val="none"/>
                <w:lang w:val="en-US" w:eastAsia="zh-CN"/>
              </w:rPr>
              <w:t>12</w:t>
            </w:r>
            <w:r>
              <w:rPr>
                <w:rFonts w:hint="eastAsia" w:ascii="仿宋" w:hAnsi="仿宋" w:eastAsia="仿宋" w:cs="仿宋"/>
                <w:bCs/>
                <w:sz w:val="24"/>
                <w:szCs w:val="24"/>
                <w:highlight w:val="none"/>
              </w:rPr>
              <w:t>月3</w:t>
            </w:r>
            <w:r>
              <w:rPr>
                <w:rFonts w:hint="eastAsia" w:ascii="仿宋" w:hAnsi="仿宋" w:eastAsia="仿宋" w:cs="仿宋"/>
                <w:bCs/>
                <w:sz w:val="24"/>
                <w:szCs w:val="24"/>
                <w:highlight w:val="none"/>
                <w:lang w:val="en-US" w:eastAsia="zh-CN"/>
              </w:rPr>
              <w:t>1</w:t>
            </w:r>
            <w:r>
              <w:rPr>
                <w:rFonts w:hint="eastAsia" w:ascii="仿宋" w:hAnsi="仿宋" w:eastAsia="仿宋" w:cs="仿宋"/>
                <w:bCs/>
                <w:sz w:val="24"/>
                <w:szCs w:val="24"/>
                <w:highlight w:val="none"/>
              </w:rPr>
              <w:t>日</w:t>
            </w:r>
            <w:r>
              <w:rPr>
                <w:rFonts w:hint="eastAsia" w:ascii="仿宋" w:hAnsi="仿宋" w:eastAsia="仿宋" w:cs="仿宋"/>
                <w:kern w:val="0"/>
                <w:sz w:val="24"/>
                <w:szCs w:val="24"/>
                <w:highlight w:val="none"/>
                <w:lang w:val="en-US" w:eastAsia="zh-CN"/>
              </w:rPr>
              <w:t>。</w:t>
            </w:r>
          </w:p>
        </w:tc>
      </w:tr>
      <w:tr w14:paraId="3B5E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shd w:val="clear" w:color="auto" w:fill="FFFFFF"/>
            <w:vAlign w:val="center"/>
          </w:tcPr>
          <w:p w14:paraId="7B45F516">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w:t>
            </w:r>
          </w:p>
        </w:tc>
        <w:tc>
          <w:tcPr>
            <w:tcW w:w="926" w:type="pct"/>
            <w:shd w:val="clear" w:color="auto" w:fill="FFFFFF"/>
            <w:vAlign w:val="center"/>
          </w:tcPr>
          <w:p w14:paraId="374DE740">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采购范围</w:t>
            </w:r>
          </w:p>
        </w:tc>
        <w:tc>
          <w:tcPr>
            <w:tcW w:w="3656" w:type="pct"/>
            <w:shd w:val="clear" w:color="auto" w:fill="FFFFFF"/>
            <w:vAlign w:val="center"/>
          </w:tcPr>
          <w:p w14:paraId="14BAEB48">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新疆维吾尔自治区地质局昌吉地质大队物探技术服务项目范围内的所有工作内容，关于采购范围的详细说明见招标文件第四章“服务标准和要求”。</w:t>
            </w:r>
          </w:p>
        </w:tc>
      </w:tr>
      <w:tr w14:paraId="4C31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vMerge w:val="restart"/>
            <w:shd w:val="clear" w:color="auto" w:fill="FFFFFF"/>
            <w:vAlign w:val="center"/>
          </w:tcPr>
          <w:p w14:paraId="4DBDB09D">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w:t>
            </w:r>
          </w:p>
        </w:tc>
        <w:tc>
          <w:tcPr>
            <w:tcW w:w="926" w:type="pct"/>
            <w:shd w:val="clear" w:color="auto" w:fill="FFFFFF"/>
            <w:vAlign w:val="center"/>
          </w:tcPr>
          <w:p w14:paraId="2F835AAA">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采购方式</w:t>
            </w:r>
          </w:p>
        </w:tc>
        <w:tc>
          <w:tcPr>
            <w:tcW w:w="3656" w:type="pct"/>
            <w:shd w:val="clear" w:color="auto" w:fill="FFFFFF"/>
            <w:vAlign w:val="center"/>
          </w:tcPr>
          <w:p w14:paraId="3D01BFD2">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公开招标</w:t>
            </w:r>
          </w:p>
        </w:tc>
      </w:tr>
      <w:tr w14:paraId="2F3A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vMerge w:val="continue"/>
            <w:shd w:val="clear" w:color="auto" w:fill="FFFFFF"/>
            <w:vAlign w:val="center"/>
          </w:tcPr>
          <w:p w14:paraId="0A6A8ECA">
            <w:pPr>
              <w:spacing w:line="360" w:lineRule="auto"/>
              <w:jc w:val="center"/>
              <w:rPr>
                <w:rFonts w:hint="eastAsia" w:ascii="仿宋" w:hAnsi="仿宋" w:eastAsia="仿宋" w:cs="仿宋"/>
                <w:color w:val="000000"/>
                <w:sz w:val="24"/>
                <w:szCs w:val="24"/>
                <w:highlight w:val="none"/>
              </w:rPr>
            </w:pPr>
          </w:p>
        </w:tc>
        <w:tc>
          <w:tcPr>
            <w:tcW w:w="926" w:type="pct"/>
            <w:shd w:val="clear" w:color="auto" w:fill="FFFFFF"/>
            <w:vAlign w:val="center"/>
          </w:tcPr>
          <w:p w14:paraId="319ED996">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资格审查方式</w:t>
            </w:r>
          </w:p>
        </w:tc>
        <w:tc>
          <w:tcPr>
            <w:tcW w:w="3656" w:type="pct"/>
            <w:shd w:val="clear" w:color="auto" w:fill="FFFFFF"/>
            <w:vAlign w:val="center"/>
          </w:tcPr>
          <w:p w14:paraId="364663D8">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资格后审</w:t>
            </w:r>
          </w:p>
        </w:tc>
      </w:tr>
      <w:tr w14:paraId="67D0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vMerge w:val="restart"/>
            <w:shd w:val="clear" w:color="auto" w:fill="FFFFFF"/>
            <w:vAlign w:val="center"/>
          </w:tcPr>
          <w:p w14:paraId="24C7D07E">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w:t>
            </w:r>
          </w:p>
        </w:tc>
        <w:tc>
          <w:tcPr>
            <w:tcW w:w="926" w:type="pct"/>
            <w:shd w:val="clear" w:color="auto" w:fill="FFFFFF"/>
            <w:vAlign w:val="center"/>
          </w:tcPr>
          <w:p w14:paraId="0E2F2E87">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评标办法</w:t>
            </w:r>
          </w:p>
        </w:tc>
        <w:tc>
          <w:tcPr>
            <w:tcW w:w="3656" w:type="pct"/>
            <w:shd w:val="clear" w:color="auto" w:fill="FFFFFF"/>
            <w:vAlign w:val="center"/>
          </w:tcPr>
          <w:p w14:paraId="28669184">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综合评分法</w:t>
            </w:r>
          </w:p>
        </w:tc>
      </w:tr>
      <w:tr w14:paraId="7CD1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vMerge w:val="continue"/>
            <w:shd w:val="clear" w:color="auto" w:fill="FFFFFF"/>
            <w:vAlign w:val="center"/>
          </w:tcPr>
          <w:p w14:paraId="67B964A9">
            <w:pPr>
              <w:spacing w:line="360" w:lineRule="auto"/>
              <w:jc w:val="center"/>
              <w:rPr>
                <w:rFonts w:hint="eastAsia" w:ascii="仿宋" w:hAnsi="仿宋" w:eastAsia="仿宋" w:cs="仿宋"/>
                <w:color w:val="000000"/>
                <w:sz w:val="24"/>
                <w:szCs w:val="24"/>
                <w:highlight w:val="none"/>
              </w:rPr>
            </w:pPr>
          </w:p>
        </w:tc>
        <w:tc>
          <w:tcPr>
            <w:tcW w:w="926" w:type="pct"/>
            <w:shd w:val="clear" w:color="auto" w:fill="FFFFFF"/>
            <w:vAlign w:val="center"/>
          </w:tcPr>
          <w:p w14:paraId="2F2D420E">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定标方法</w:t>
            </w:r>
          </w:p>
        </w:tc>
        <w:tc>
          <w:tcPr>
            <w:tcW w:w="3656" w:type="pct"/>
            <w:shd w:val="clear" w:color="auto" w:fill="FFFFFF"/>
            <w:vAlign w:val="center"/>
          </w:tcPr>
          <w:p w14:paraId="02CFE704">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评标小组推荐三名中标候选人</w:t>
            </w:r>
          </w:p>
        </w:tc>
      </w:tr>
      <w:tr w14:paraId="172E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shd w:val="clear" w:color="auto" w:fill="FFFFFF"/>
            <w:vAlign w:val="center"/>
          </w:tcPr>
          <w:p w14:paraId="123B286D">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w:t>
            </w:r>
          </w:p>
        </w:tc>
        <w:tc>
          <w:tcPr>
            <w:tcW w:w="926" w:type="pct"/>
            <w:shd w:val="clear" w:color="auto" w:fill="FFFFFF"/>
            <w:vAlign w:val="center"/>
          </w:tcPr>
          <w:p w14:paraId="66BD975A">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投标人最低资格条件和能力</w:t>
            </w:r>
          </w:p>
        </w:tc>
        <w:tc>
          <w:tcPr>
            <w:tcW w:w="3656" w:type="pct"/>
            <w:shd w:val="clear" w:color="auto" w:fill="FFFFFF"/>
            <w:vAlign w:val="center"/>
          </w:tcPr>
          <w:p w14:paraId="094103CE">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1.满足《中华人民共和国政府采购法》第二十二条规定；</w:t>
            </w:r>
          </w:p>
          <w:p w14:paraId="1C1F3EE6">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2.落实政府采购政策需满足的资格要求：符合政府采购优先（节约能源、保护环境）采购政策及促进中小企业（监狱企业、残疾人福利性单位）发展政策的，依据规定给予评审优惠。</w:t>
            </w:r>
          </w:p>
          <w:p w14:paraId="1F4F9390">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3.本项目的特定资格要求：</w:t>
            </w:r>
          </w:p>
          <w:p w14:paraId="3F8BDA2A">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（1）投标人须具备有效的《安全生产许可证》。</w:t>
            </w:r>
          </w:p>
          <w:p w14:paraId="60B9749A">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投标人如在“信用中国”网站（www.creditchina.gov.cn）、中国政府采购网（www.ccgp.gov.cn）等渠道被列入失信被执行人、重大税收违法失信主体、政府采购严重违法失信行为记录名单及其它不符合《中华人民共和国政府采购法》第二十二条规定条件的投标人，尚在处罚期内的将被拒绝参加本次招标活动。</w:t>
            </w:r>
          </w:p>
        </w:tc>
      </w:tr>
      <w:tr w14:paraId="700A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shd w:val="clear" w:color="auto" w:fill="FFFFFF"/>
            <w:vAlign w:val="center"/>
          </w:tcPr>
          <w:p w14:paraId="615771C3">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w:t>
            </w:r>
          </w:p>
        </w:tc>
        <w:tc>
          <w:tcPr>
            <w:tcW w:w="926" w:type="pct"/>
            <w:shd w:val="clear" w:color="auto" w:fill="FFFFFF"/>
            <w:vAlign w:val="center"/>
          </w:tcPr>
          <w:p w14:paraId="5ECB8B9F">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招标文件费</w:t>
            </w:r>
          </w:p>
        </w:tc>
        <w:tc>
          <w:tcPr>
            <w:tcW w:w="3656" w:type="pct"/>
            <w:shd w:val="clear" w:color="auto" w:fill="FFFFFF"/>
            <w:vAlign w:val="center"/>
          </w:tcPr>
          <w:p w14:paraId="65BC38DC">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0元/份</w:t>
            </w:r>
          </w:p>
        </w:tc>
      </w:tr>
      <w:tr w14:paraId="14945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shd w:val="clear" w:color="auto" w:fill="FFFFFF"/>
            <w:vAlign w:val="center"/>
          </w:tcPr>
          <w:p w14:paraId="1A649D81">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7</w:t>
            </w:r>
          </w:p>
        </w:tc>
        <w:tc>
          <w:tcPr>
            <w:tcW w:w="926" w:type="pct"/>
            <w:shd w:val="clear" w:color="auto" w:fill="FFFFFF"/>
            <w:vAlign w:val="center"/>
          </w:tcPr>
          <w:p w14:paraId="567A6AF6">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投标保证金</w:t>
            </w:r>
          </w:p>
        </w:tc>
        <w:tc>
          <w:tcPr>
            <w:tcW w:w="3656" w:type="pct"/>
            <w:shd w:val="clear" w:color="auto" w:fill="FFFFFF"/>
            <w:vAlign w:val="center"/>
          </w:tcPr>
          <w:p w14:paraId="286C2DA7">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100000元整</w:t>
            </w:r>
          </w:p>
          <w:p w14:paraId="3AD99C16">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注：详见第一章3.4.2条</w:t>
            </w:r>
          </w:p>
        </w:tc>
      </w:tr>
      <w:tr w14:paraId="5BF3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shd w:val="clear" w:color="auto" w:fill="FFFFFF"/>
            <w:vAlign w:val="center"/>
          </w:tcPr>
          <w:p w14:paraId="60B6187A">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8</w:t>
            </w:r>
          </w:p>
        </w:tc>
        <w:tc>
          <w:tcPr>
            <w:tcW w:w="926" w:type="pct"/>
            <w:shd w:val="clear" w:color="auto" w:fill="FFFFFF"/>
            <w:vAlign w:val="center"/>
          </w:tcPr>
          <w:p w14:paraId="64F2AC3B">
            <w:pPr>
              <w:keepNext/>
              <w:widowControl/>
              <w:spacing w:line="360" w:lineRule="auto"/>
              <w:jc w:val="distribute"/>
              <w:rPr>
                <w:rFonts w:hint="eastAsia" w:ascii="仿宋" w:hAnsi="仿宋" w:eastAsia="仿宋" w:cs="仿宋"/>
                <w:color w:val="000000"/>
                <w:sz w:val="24"/>
                <w:szCs w:val="24"/>
                <w:highlight w:val="none"/>
              </w:rPr>
            </w:pPr>
            <w:r>
              <w:rPr>
                <w:rFonts w:hint="eastAsia" w:ascii="仿宋" w:hAnsi="仿宋" w:eastAsia="仿宋" w:cs="仿宋"/>
                <w:sz w:val="24"/>
                <w:szCs w:val="24"/>
                <w:highlight w:val="none"/>
              </w:rPr>
              <w:t>现场踏勘</w:t>
            </w:r>
          </w:p>
        </w:tc>
        <w:tc>
          <w:tcPr>
            <w:tcW w:w="3656" w:type="pct"/>
            <w:shd w:val="clear" w:color="auto" w:fill="FFFFFF"/>
            <w:vAlign w:val="center"/>
          </w:tcPr>
          <w:p w14:paraId="7BF59F3B">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sym w:font="Wingdings 2" w:char="0052"/>
            </w:r>
            <w:r>
              <w:rPr>
                <w:rFonts w:hint="eastAsia" w:ascii="仿宋" w:hAnsi="仿宋" w:eastAsia="仿宋" w:cs="仿宋"/>
                <w:color w:val="000000"/>
                <w:sz w:val="24"/>
                <w:szCs w:val="24"/>
                <w:highlight w:val="none"/>
                <w:lang w:val="en-US" w:eastAsia="zh-CN"/>
              </w:rPr>
              <w:t>不组织</w:t>
            </w:r>
          </w:p>
          <w:p w14:paraId="4DC45BCF">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□统一组织</w:t>
            </w:r>
          </w:p>
        </w:tc>
      </w:tr>
      <w:tr w14:paraId="3BA75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shd w:val="clear" w:color="auto" w:fill="FFFFFF"/>
            <w:vAlign w:val="center"/>
          </w:tcPr>
          <w:p w14:paraId="0DBDC409">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9</w:t>
            </w:r>
          </w:p>
        </w:tc>
        <w:tc>
          <w:tcPr>
            <w:tcW w:w="926" w:type="pct"/>
            <w:shd w:val="clear" w:color="auto" w:fill="FFFFFF"/>
            <w:vAlign w:val="center"/>
          </w:tcPr>
          <w:p w14:paraId="0A433EC0">
            <w:pPr>
              <w:keepNext/>
              <w:widowControl/>
              <w:spacing w:line="360" w:lineRule="auto"/>
              <w:jc w:val="distribute"/>
              <w:rPr>
                <w:rFonts w:hint="eastAsia" w:ascii="仿宋" w:hAnsi="仿宋" w:eastAsia="仿宋" w:cs="仿宋"/>
                <w:color w:val="000000"/>
                <w:sz w:val="24"/>
                <w:szCs w:val="24"/>
                <w:highlight w:val="none"/>
              </w:rPr>
            </w:pPr>
            <w:r>
              <w:rPr>
                <w:rFonts w:hint="eastAsia" w:ascii="仿宋" w:hAnsi="仿宋" w:eastAsia="仿宋" w:cs="仿宋"/>
                <w:sz w:val="24"/>
                <w:szCs w:val="24"/>
                <w:highlight w:val="none"/>
              </w:rPr>
              <w:t>是否允许联合体投标</w:t>
            </w:r>
          </w:p>
        </w:tc>
        <w:tc>
          <w:tcPr>
            <w:tcW w:w="3656" w:type="pct"/>
            <w:shd w:val="clear" w:color="auto" w:fill="FFFFFF"/>
            <w:vAlign w:val="center"/>
          </w:tcPr>
          <w:p w14:paraId="41E84F14">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☑否</w:t>
            </w:r>
          </w:p>
          <w:p w14:paraId="39C72151">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□是</w:t>
            </w:r>
          </w:p>
        </w:tc>
      </w:tr>
      <w:tr w14:paraId="6E2C7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shd w:val="clear" w:color="auto" w:fill="FFFFFF"/>
            <w:vAlign w:val="center"/>
          </w:tcPr>
          <w:p w14:paraId="7549844D">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10</w:t>
            </w:r>
          </w:p>
        </w:tc>
        <w:tc>
          <w:tcPr>
            <w:tcW w:w="926" w:type="pct"/>
            <w:shd w:val="clear" w:color="auto" w:fill="FFFFFF"/>
            <w:vAlign w:val="center"/>
          </w:tcPr>
          <w:p w14:paraId="1B4B2131">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招标答疑</w:t>
            </w:r>
          </w:p>
        </w:tc>
        <w:tc>
          <w:tcPr>
            <w:tcW w:w="3656" w:type="pct"/>
            <w:shd w:val="clear" w:color="auto" w:fill="FFFFFF"/>
            <w:vAlign w:val="center"/>
          </w:tcPr>
          <w:p w14:paraId="310FDDC7">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提出询问的，应当在投标文件递交截止时间15日前以书面形式（加盖公章）递交至新疆新世纪招标有限公司，否则采购人不作任何解释。</w:t>
            </w:r>
          </w:p>
          <w:p w14:paraId="3E41A5F3">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提出质疑的，应当在获取招标文件或者招标公告期限届满之日起7个工作日内一次性以书面形式（按照财政部制定的质疑函范本编写）提出并递交至采购代理机构。</w:t>
            </w:r>
          </w:p>
          <w:p w14:paraId="684C98D0">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质疑接收人：闵俊瑀；联系方式：0991-4661782。</w:t>
            </w:r>
          </w:p>
          <w:p w14:paraId="2B02A862">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注：①、投标人必须在法定质疑期内一次性提出针对同一采购程序环节的质疑；投标人投诉的事项不得超出已质疑事项的范围。②、投标人在国家法律规定的时间内未提出书面疑问，视为对招标文件的技术参数、资格条件、评标方法、合同文本等所有内容无异议，开标后不得对招标文件提出质疑。</w:t>
            </w:r>
          </w:p>
        </w:tc>
      </w:tr>
      <w:tr w14:paraId="3A52E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shd w:val="clear" w:color="auto" w:fill="FFFFFF"/>
            <w:vAlign w:val="center"/>
          </w:tcPr>
          <w:p w14:paraId="4879D7B9">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11</w:t>
            </w:r>
          </w:p>
        </w:tc>
        <w:tc>
          <w:tcPr>
            <w:tcW w:w="926" w:type="pct"/>
            <w:shd w:val="clear" w:color="auto" w:fill="FFFFFF"/>
            <w:vAlign w:val="center"/>
          </w:tcPr>
          <w:p w14:paraId="45087A3E">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投标文件</w:t>
            </w:r>
          </w:p>
        </w:tc>
        <w:tc>
          <w:tcPr>
            <w:tcW w:w="3656" w:type="pct"/>
            <w:shd w:val="clear" w:color="auto" w:fill="FFFFFF"/>
            <w:vAlign w:val="center"/>
          </w:tcPr>
          <w:p w14:paraId="1F4E34D3">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本次采购采用电子交易方式，电子交易平台为“政采云平台（https://www.zcygov.cn/）”。投标人参与本项目电子交易活动前，应注册成为政府采购云平台正式投标人。编制电子投标文件前还需申领CA证书并绑定帐号。投标人应充分考虑完成平台注册、申领CA证书等所需的时间。因未注册入库、未办理CA数字证书等原因造成无法投标或投标失败等后果由投标人自行承担。</w:t>
            </w:r>
          </w:p>
          <w:p w14:paraId="5FD65BD8">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投标人将政采云电子交易客户端下载、安装完成后，可通过账号密码或CA登录客户端进行投标文件制作。在使用政采云投标客户端时，建议使用WIN7及以上操作系统。客户端请至新疆政府采购网（www.ccgp-xinjiang.gov.cn）下载专区查看，如有问题可拨打政采云客户服务热线95763进行咨询。</w:t>
            </w:r>
          </w:p>
          <w:p w14:paraId="71F9825E">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3、加密的电子投标文件应在投标文件递交截止时间前通过政采云平台上传完成。逾期上传或者未上传指定地点的投标文件，不予受理。</w:t>
            </w:r>
          </w:p>
          <w:p w14:paraId="70CEE606">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4、投标人在开标前须提前配置好电脑浏览器，开标时请使用制作加密电子投标文件的CA锁进行解密及报价确认。本项目投标文件解密时间定为30分钟，如因自身原因导致无法正常解密，后果由投标人自行承担。</w:t>
            </w:r>
          </w:p>
          <w:p w14:paraId="2D633C33">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5、如遇“政采云平台（https://www.zcygov.cn/）”电子交易规则调整，以最新要求为准。</w:t>
            </w:r>
          </w:p>
        </w:tc>
      </w:tr>
      <w:tr w14:paraId="3156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shd w:val="clear" w:color="auto" w:fill="FFFFFF"/>
            <w:vAlign w:val="center"/>
          </w:tcPr>
          <w:p w14:paraId="4720BA30">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12</w:t>
            </w:r>
          </w:p>
        </w:tc>
        <w:tc>
          <w:tcPr>
            <w:tcW w:w="926" w:type="pct"/>
            <w:shd w:val="clear" w:color="auto" w:fill="FFFFFF"/>
            <w:vAlign w:val="center"/>
          </w:tcPr>
          <w:p w14:paraId="6925D79A">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投标文件递交</w:t>
            </w:r>
          </w:p>
        </w:tc>
        <w:tc>
          <w:tcPr>
            <w:tcW w:w="3656" w:type="pct"/>
            <w:shd w:val="clear" w:color="auto" w:fill="FFFFFF"/>
            <w:vAlign w:val="center"/>
          </w:tcPr>
          <w:p w14:paraId="0E040885">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截止时间：</w:t>
            </w:r>
            <w:r>
              <w:rPr>
                <w:rFonts w:hint="eastAsia" w:ascii="仿宋" w:hAnsi="仿宋" w:eastAsia="仿宋" w:cs="仿宋"/>
                <w:color w:val="FF0000"/>
                <w:sz w:val="24"/>
                <w:szCs w:val="24"/>
                <w:highlight w:val="none"/>
                <w:u w:val="single"/>
                <w:lang w:val="en-US" w:eastAsia="zh-CN"/>
              </w:rPr>
              <w:t>2026年04月27日11:00（北京时间）</w:t>
            </w:r>
          </w:p>
          <w:p w14:paraId="71B0F2ED">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递交地点：加密的电子响应文件（.jmbs格式）应在投标文件递交截止时间前通过政采云平台上传完成。</w:t>
            </w:r>
          </w:p>
        </w:tc>
      </w:tr>
      <w:tr w14:paraId="6E81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shd w:val="clear" w:color="auto" w:fill="FFFFFF"/>
            <w:vAlign w:val="center"/>
          </w:tcPr>
          <w:p w14:paraId="7B362AF1">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13</w:t>
            </w:r>
          </w:p>
        </w:tc>
        <w:tc>
          <w:tcPr>
            <w:tcW w:w="926" w:type="pct"/>
            <w:shd w:val="clear" w:color="auto" w:fill="FFFFFF"/>
            <w:vAlign w:val="center"/>
          </w:tcPr>
          <w:p w14:paraId="7407543D">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开标</w:t>
            </w:r>
          </w:p>
        </w:tc>
        <w:tc>
          <w:tcPr>
            <w:tcW w:w="3656" w:type="pct"/>
            <w:shd w:val="clear" w:color="auto" w:fill="FFFFFF"/>
            <w:vAlign w:val="center"/>
          </w:tcPr>
          <w:p w14:paraId="671EC746">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时间：</w:t>
            </w:r>
            <w:r>
              <w:rPr>
                <w:rFonts w:hint="eastAsia" w:ascii="仿宋" w:hAnsi="仿宋" w:eastAsia="仿宋" w:cs="仿宋"/>
                <w:color w:val="FF0000"/>
                <w:sz w:val="24"/>
                <w:szCs w:val="24"/>
                <w:highlight w:val="none"/>
                <w:u w:val="single"/>
                <w:lang w:val="en-US" w:eastAsia="zh-CN"/>
              </w:rPr>
              <w:t>2026年04月27日11:00（北京时间）</w:t>
            </w:r>
          </w:p>
          <w:p w14:paraId="1F2860E4">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地点：政采云平台（https://www.zcygov.cn/）</w:t>
            </w:r>
          </w:p>
        </w:tc>
      </w:tr>
      <w:tr w14:paraId="2051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shd w:val="clear" w:color="auto" w:fill="FFFFFF"/>
            <w:vAlign w:val="center"/>
          </w:tcPr>
          <w:p w14:paraId="369FF483">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14</w:t>
            </w:r>
          </w:p>
        </w:tc>
        <w:tc>
          <w:tcPr>
            <w:tcW w:w="926" w:type="pct"/>
            <w:shd w:val="clear" w:color="auto" w:fill="FFFFFF"/>
            <w:vAlign w:val="center"/>
          </w:tcPr>
          <w:p w14:paraId="269D0282">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投标有效期</w:t>
            </w:r>
          </w:p>
        </w:tc>
        <w:tc>
          <w:tcPr>
            <w:tcW w:w="3656" w:type="pct"/>
            <w:shd w:val="clear" w:color="auto" w:fill="FFFFFF"/>
            <w:vAlign w:val="center"/>
          </w:tcPr>
          <w:p w14:paraId="0FBC6F9A">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自投标截止之日90日历日</w:t>
            </w:r>
          </w:p>
        </w:tc>
      </w:tr>
      <w:tr w14:paraId="63BF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shd w:val="clear" w:color="auto" w:fill="FFFFFF"/>
            <w:vAlign w:val="center"/>
          </w:tcPr>
          <w:p w14:paraId="586E9620">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15</w:t>
            </w:r>
          </w:p>
        </w:tc>
        <w:tc>
          <w:tcPr>
            <w:tcW w:w="926" w:type="pct"/>
            <w:shd w:val="clear" w:color="auto" w:fill="FFFFFF"/>
            <w:vAlign w:val="center"/>
          </w:tcPr>
          <w:p w14:paraId="77FAFBC5">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公告发布媒体</w:t>
            </w:r>
          </w:p>
        </w:tc>
        <w:tc>
          <w:tcPr>
            <w:tcW w:w="3656" w:type="pct"/>
            <w:shd w:val="clear" w:color="auto" w:fill="FFFFFF"/>
            <w:vAlign w:val="center"/>
          </w:tcPr>
          <w:p w14:paraId="71CED029">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新疆政府采购网(http://www.ccgp-xinjiang.gov.cn/)</w:t>
            </w:r>
          </w:p>
        </w:tc>
      </w:tr>
      <w:tr w14:paraId="5C88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shd w:val="clear" w:color="auto" w:fill="FFFFFF"/>
            <w:vAlign w:val="center"/>
          </w:tcPr>
          <w:p w14:paraId="2DDBFBAF">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16</w:t>
            </w:r>
          </w:p>
        </w:tc>
        <w:tc>
          <w:tcPr>
            <w:tcW w:w="926" w:type="pct"/>
            <w:shd w:val="clear" w:color="auto" w:fill="FFFFFF"/>
            <w:vAlign w:val="center"/>
          </w:tcPr>
          <w:p w14:paraId="7E3E992B">
            <w:pPr>
              <w:keepNext/>
              <w:widowControl/>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kern w:val="0"/>
                <w:sz w:val="24"/>
                <w:szCs w:val="24"/>
                <w:highlight w:val="none"/>
              </w:rPr>
              <w:t>履约保证金</w:t>
            </w:r>
          </w:p>
        </w:tc>
        <w:tc>
          <w:tcPr>
            <w:tcW w:w="3656" w:type="pct"/>
            <w:shd w:val="clear" w:color="auto" w:fill="FFFFFF"/>
            <w:vAlign w:val="center"/>
          </w:tcPr>
          <w:p w14:paraId="19AF724F">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☑不交纳</w:t>
            </w:r>
          </w:p>
          <w:p w14:paraId="76BE75EE">
            <w:pPr>
              <w:widowControl/>
              <w:spacing w:line="360" w:lineRule="auto"/>
              <w:jc w:val="left"/>
              <w:rPr>
                <w:rFonts w:hint="eastAsia"/>
                <w:highlight w:val="none"/>
                <w:lang w:val="en-US" w:eastAsia="zh-CN"/>
              </w:rPr>
            </w:pPr>
            <w:r>
              <w:rPr>
                <w:rFonts w:hint="eastAsia" w:ascii="仿宋" w:hAnsi="仿宋" w:eastAsia="仿宋" w:cs="仿宋"/>
                <w:color w:val="000000"/>
                <w:sz w:val="24"/>
                <w:szCs w:val="24"/>
                <w:highlight w:val="none"/>
                <w:lang w:val="en-US" w:eastAsia="zh-CN"/>
              </w:rPr>
              <w:t>□交纳</w:t>
            </w:r>
          </w:p>
        </w:tc>
      </w:tr>
      <w:tr w14:paraId="644C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shd w:val="clear" w:color="auto" w:fill="FFFFFF"/>
            <w:vAlign w:val="center"/>
          </w:tcPr>
          <w:p w14:paraId="335670CA">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17</w:t>
            </w:r>
          </w:p>
        </w:tc>
        <w:tc>
          <w:tcPr>
            <w:tcW w:w="926" w:type="pct"/>
            <w:shd w:val="clear" w:color="auto" w:fill="FFFFFF"/>
            <w:vAlign w:val="center"/>
          </w:tcPr>
          <w:p w14:paraId="22736921">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中小企业政策说明</w:t>
            </w:r>
          </w:p>
        </w:tc>
        <w:tc>
          <w:tcPr>
            <w:tcW w:w="3656" w:type="pct"/>
            <w:shd w:val="clear" w:color="auto" w:fill="FFFFFF"/>
            <w:vAlign w:val="center"/>
          </w:tcPr>
          <w:p w14:paraId="3A213219">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68FCC0CD">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在政府采购活动中，投标人提供的货物、工程或者服务符合下列情形的，享受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w:t>
            </w:r>
          </w:p>
          <w:p w14:paraId="1276249A">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3、在货物采购项目中，投标人提供的货物既有中小企业制造货物，也有大型企业制造货物的，不享受本办法规定的中小企业扶持政策。</w:t>
            </w:r>
          </w:p>
          <w:p w14:paraId="77A0BC2E">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4、以联合体形式参加政府采购活动，联合体各方均为中小企业的，联合体视同中小企业。其中，联合体各方均为小微企业的，联合体视同小微企业。</w:t>
            </w:r>
          </w:p>
          <w:p w14:paraId="224E576B">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5、投标人经享受扶持政策获得政府采购合同的，小微企业不得将合同分包给大中型企业，中型企业不得将合同分包给大型企业；</w:t>
            </w:r>
          </w:p>
          <w:p w14:paraId="7DB624F1">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6、本项目中小企业扶持政策：①、符合政府采购优先(节约能源、保护环境) 采购政策及促进中小企业(监狱企业、残疾人福利性单位) 发展政策的，依据规定给予评审优惠。②、因落实政府采购政策对小微企业、残疾人福利性单位、监狱企业的价格给予10%价格扣除；以扣除后的价格参与评审，不重复享受价格扣除政策。</w:t>
            </w:r>
          </w:p>
          <w:p w14:paraId="0DCC8A3E">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7、根据“关于印发中小企业划型标准规定的通知(工信部联企业〔2011〕300号)”等有关规定，本项目标的所属行业为</w:t>
            </w:r>
            <w:r>
              <w:rPr>
                <w:rFonts w:hint="eastAsia" w:ascii="仿宋" w:hAnsi="仿宋" w:eastAsia="仿宋" w:cs="仿宋"/>
                <w:b/>
                <w:bCs/>
                <w:kern w:val="0"/>
                <w:sz w:val="24"/>
                <w:szCs w:val="24"/>
                <w:highlight w:val="none"/>
                <w:u w:val="single"/>
              </w:rPr>
              <w:t>其他未列明行业。</w:t>
            </w:r>
          </w:p>
        </w:tc>
      </w:tr>
      <w:tr w14:paraId="7DCE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shd w:val="clear" w:color="auto" w:fill="FFFFFF"/>
            <w:vAlign w:val="center"/>
          </w:tcPr>
          <w:p w14:paraId="28B7F989">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18</w:t>
            </w:r>
          </w:p>
        </w:tc>
        <w:tc>
          <w:tcPr>
            <w:tcW w:w="926" w:type="pct"/>
            <w:shd w:val="clear" w:color="auto" w:fill="FFFFFF"/>
            <w:vAlign w:val="center"/>
          </w:tcPr>
          <w:p w14:paraId="42B596AA">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招标代理费</w:t>
            </w:r>
          </w:p>
        </w:tc>
        <w:tc>
          <w:tcPr>
            <w:tcW w:w="3656" w:type="pct"/>
            <w:shd w:val="clear" w:color="auto" w:fill="FFFFFF"/>
            <w:vAlign w:val="center"/>
          </w:tcPr>
          <w:p w14:paraId="2DB55E35">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中标单位在收到中标通知书前，以中标价格为基准，计算标准和方法参照国家计委《招标代理服务费管理暂行办法》的通知(计价格[2002]1980号)下浮40%，由中标单位向新疆新世纪招标有限公司支付代理服务费。</w:t>
            </w:r>
          </w:p>
        </w:tc>
      </w:tr>
      <w:tr w14:paraId="5AF3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shd w:val="clear" w:color="auto" w:fill="FFFFFF"/>
            <w:vAlign w:val="center"/>
          </w:tcPr>
          <w:p w14:paraId="23A86FCC">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19</w:t>
            </w:r>
          </w:p>
        </w:tc>
        <w:tc>
          <w:tcPr>
            <w:tcW w:w="926" w:type="pct"/>
            <w:shd w:val="clear" w:color="auto" w:fill="FFFFFF"/>
            <w:vAlign w:val="center"/>
          </w:tcPr>
          <w:p w14:paraId="0875AE8A">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付款方式</w:t>
            </w:r>
          </w:p>
        </w:tc>
        <w:tc>
          <w:tcPr>
            <w:tcW w:w="3656" w:type="pct"/>
            <w:shd w:val="clear" w:color="auto" w:fill="FFFFFF"/>
            <w:vAlign w:val="center"/>
          </w:tcPr>
          <w:p w14:paraId="04A7A716">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1、付款币种：本次招标所述的项目资金均以人民币支付。</w:t>
            </w:r>
          </w:p>
          <w:p w14:paraId="2245F47F">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2、付款方式：最终付款方式以后期与甲方签订合同为准。</w:t>
            </w:r>
          </w:p>
        </w:tc>
      </w:tr>
      <w:tr w14:paraId="1C67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16" w:type="pct"/>
            <w:shd w:val="clear" w:color="auto" w:fill="FFFFFF"/>
            <w:vAlign w:val="center"/>
          </w:tcPr>
          <w:p w14:paraId="06BC2BBA">
            <w:pPr>
              <w:spacing w:line="360" w:lineRule="auto"/>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20</w:t>
            </w:r>
          </w:p>
        </w:tc>
        <w:tc>
          <w:tcPr>
            <w:tcW w:w="926" w:type="pct"/>
            <w:shd w:val="clear" w:color="auto" w:fill="FFFFFF"/>
            <w:vAlign w:val="center"/>
          </w:tcPr>
          <w:p w14:paraId="636845DF">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说明</w:t>
            </w:r>
          </w:p>
        </w:tc>
        <w:tc>
          <w:tcPr>
            <w:tcW w:w="3656" w:type="pct"/>
            <w:shd w:val="clear" w:color="auto" w:fill="FFFFFF"/>
            <w:vAlign w:val="center"/>
          </w:tcPr>
          <w:p w14:paraId="64B4A68C">
            <w:pPr>
              <w:widowControl/>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本表内容如与后文内容不一致处，以本表为准。</w:t>
            </w:r>
          </w:p>
        </w:tc>
      </w:tr>
      <w:bookmarkEnd w:id="2"/>
    </w:tbl>
    <w:p w14:paraId="344E556C">
      <w:pPr>
        <w:rPr>
          <w:rFonts w:hint="eastAsia" w:ascii="仿宋" w:hAnsi="仿宋" w:eastAsia="仿宋" w:cs="仿宋"/>
          <w:b/>
          <w:sz w:val="24"/>
          <w:szCs w:val="24"/>
          <w:highlight w:val="none"/>
        </w:rPr>
      </w:pPr>
      <w:r>
        <w:rPr>
          <w:rFonts w:hint="eastAsia" w:ascii="仿宋" w:hAnsi="仿宋" w:eastAsia="仿宋" w:cs="仿宋"/>
          <w:b/>
          <w:sz w:val="24"/>
          <w:szCs w:val="24"/>
          <w:highlight w:val="none"/>
        </w:rPr>
        <w:br w:type="page"/>
      </w:r>
    </w:p>
    <w:p w14:paraId="0FFC1C28">
      <w:pPr>
        <w:spacing w:line="360" w:lineRule="auto"/>
        <w:jc w:val="center"/>
        <w:outlineLvl w:val="0"/>
        <w:rPr>
          <w:rFonts w:hint="eastAsia" w:ascii="仿宋" w:hAnsi="仿宋" w:eastAsia="仿宋" w:cs="仿宋"/>
          <w:b/>
          <w:sz w:val="28"/>
          <w:szCs w:val="28"/>
          <w:highlight w:val="none"/>
        </w:rPr>
      </w:pPr>
      <w:bookmarkStart w:id="3" w:name="_Toc21391"/>
      <w:r>
        <w:rPr>
          <w:rFonts w:hint="eastAsia" w:ascii="仿宋" w:hAnsi="仿宋" w:eastAsia="仿宋" w:cs="仿宋"/>
          <w:b/>
          <w:sz w:val="28"/>
          <w:szCs w:val="28"/>
          <w:highlight w:val="none"/>
        </w:rPr>
        <w:t>第一章 投标人须知</w:t>
      </w:r>
      <w:bookmarkEnd w:id="3"/>
      <w:bookmarkStart w:id="4" w:name="_BookMark_2"/>
      <w:bookmarkEnd w:id="4"/>
    </w:p>
    <w:p w14:paraId="7EDE3CD7">
      <w:pPr>
        <w:tabs>
          <w:tab w:val="center" w:pos="4832"/>
          <w:tab w:val="left" w:pos="7140"/>
        </w:tabs>
        <w:spacing w:line="360" w:lineRule="auto"/>
        <w:ind w:firstLine="472" w:firstLineChars="196"/>
        <w:jc w:val="left"/>
        <w:outlineLvl w:val="1"/>
        <w:rPr>
          <w:rFonts w:hint="eastAsia" w:ascii="仿宋" w:hAnsi="仿宋" w:eastAsia="仿宋" w:cs="仿宋"/>
          <w:b/>
          <w:sz w:val="24"/>
          <w:szCs w:val="24"/>
          <w:highlight w:val="none"/>
        </w:rPr>
      </w:pPr>
      <w:bookmarkStart w:id="5" w:name="_Toc535592195"/>
      <w:bookmarkStart w:id="6" w:name="_Toc3661"/>
      <w:r>
        <w:rPr>
          <w:rFonts w:hint="eastAsia" w:ascii="仿宋" w:hAnsi="仿宋" w:eastAsia="仿宋" w:cs="仿宋"/>
          <w:b/>
          <w:sz w:val="24"/>
          <w:szCs w:val="24"/>
          <w:highlight w:val="none"/>
        </w:rPr>
        <w:t>1．总则</w:t>
      </w:r>
      <w:bookmarkEnd w:id="5"/>
      <w:bookmarkEnd w:id="6"/>
    </w:p>
    <w:p w14:paraId="306B9AB7">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 招标项目概况</w:t>
      </w:r>
    </w:p>
    <w:p w14:paraId="79BF9F58">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1.1.1项目名称：详见投标人须知前附表。</w:t>
      </w:r>
    </w:p>
    <w:p w14:paraId="4960261A">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1.1.2项目编号：详见投标人须知前附表。</w:t>
      </w:r>
    </w:p>
    <w:p w14:paraId="09D03548">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w:t>
      </w: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采购人：详见投标人须知前附表。</w:t>
      </w:r>
    </w:p>
    <w:p w14:paraId="2513F6F1">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w:t>
      </w:r>
      <w:r>
        <w:rPr>
          <w:rFonts w:hint="eastAsia" w:ascii="仿宋" w:hAnsi="仿宋" w:eastAsia="仿宋" w:cs="仿宋"/>
          <w:kern w:val="0"/>
          <w:sz w:val="24"/>
          <w:szCs w:val="24"/>
          <w:highlight w:val="none"/>
          <w:lang w:val="en-US" w:eastAsia="zh-CN"/>
        </w:rPr>
        <w:t>4</w:t>
      </w:r>
      <w:r>
        <w:rPr>
          <w:rFonts w:hint="eastAsia" w:ascii="仿宋" w:hAnsi="仿宋" w:eastAsia="仿宋" w:cs="仿宋"/>
          <w:kern w:val="0"/>
          <w:sz w:val="24"/>
          <w:szCs w:val="24"/>
          <w:highlight w:val="none"/>
        </w:rPr>
        <w:t>采购代理机构：详见投标人须知前附表。</w:t>
      </w:r>
    </w:p>
    <w:p w14:paraId="4223BB1C">
      <w:pPr>
        <w:pStyle w:val="15"/>
        <w:ind w:firstLine="480" w:firstLineChars="200"/>
        <w:rPr>
          <w:rFonts w:hint="eastAsia" w:ascii="仿宋" w:hAnsi="仿宋" w:eastAsia="仿宋" w:cs="仿宋"/>
          <w:szCs w:val="24"/>
          <w:highlight w:val="none"/>
        </w:rPr>
      </w:pPr>
      <w:r>
        <w:rPr>
          <w:rFonts w:hint="eastAsia" w:ascii="仿宋" w:hAnsi="仿宋" w:eastAsia="仿宋" w:cs="仿宋"/>
          <w:szCs w:val="24"/>
          <w:highlight w:val="none"/>
        </w:rPr>
        <w:t>1.1.</w:t>
      </w:r>
      <w:r>
        <w:rPr>
          <w:rFonts w:hint="eastAsia" w:ascii="仿宋" w:hAnsi="仿宋" w:eastAsia="仿宋" w:cs="仿宋"/>
          <w:szCs w:val="24"/>
          <w:highlight w:val="none"/>
          <w:lang w:val="en-US" w:eastAsia="zh-CN"/>
        </w:rPr>
        <w:t>5</w:t>
      </w:r>
      <w:r>
        <w:rPr>
          <w:rFonts w:hint="eastAsia" w:ascii="仿宋" w:hAnsi="仿宋" w:eastAsia="仿宋" w:cs="仿宋"/>
          <w:szCs w:val="24"/>
          <w:highlight w:val="none"/>
        </w:rPr>
        <w:t>资金来源：详见投标人须知前附表。</w:t>
      </w:r>
    </w:p>
    <w:p w14:paraId="361A0685">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w:t>
      </w:r>
      <w:r>
        <w:rPr>
          <w:rFonts w:hint="eastAsia" w:ascii="仿宋" w:hAnsi="仿宋" w:eastAsia="仿宋" w:cs="仿宋"/>
          <w:kern w:val="0"/>
          <w:sz w:val="24"/>
          <w:szCs w:val="24"/>
          <w:highlight w:val="none"/>
          <w:lang w:val="en-US" w:eastAsia="zh-CN"/>
        </w:rPr>
        <w:t>6</w:t>
      </w:r>
      <w:r>
        <w:rPr>
          <w:rFonts w:hint="eastAsia" w:ascii="仿宋" w:hAnsi="仿宋" w:eastAsia="仿宋" w:cs="仿宋"/>
          <w:kern w:val="0"/>
          <w:sz w:val="24"/>
          <w:szCs w:val="24"/>
          <w:highlight w:val="none"/>
        </w:rPr>
        <w:t>采购预算金额：详见投标人须知前附表。</w:t>
      </w:r>
    </w:p>
    <w:p w14:paraId="3D579D57">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w:t>
      </w:r>
      <w:r>
        <w:rPr>
          <w:rFonts w:hint="eastAsia" w:ascii="仿宋" w:hAnsi="仿宋" w:eastAsia="仿宋" w:cs="仿宋"/>
          <w:kern w:val="0"/>
          <w:sz w:val="24"/>
          <w:szCs w:val="24"/>
          <w:highlight w:val="none"/>
          <w:lang w:val="en-US" w:eastAsia="zh-CN"/>
        </w:rPr>
        <w:t>7</w:t>
      </w:r>
      <w:r>
        <w:rPr>
          <w:rFonts w:hint="eastAsia" w:ascii="仿宋" w:hAnsi="仿宋" w:eastAsia="仿宋" w:cs="仿宋"/>
          <w:kern w:val="0"/>
          <w:sz w:val="24"/>
          <w:szCs w:val="24"/>
          <w:highlight w:val="none"/>
        </w:rPr>
        <w:t>服务周期：详见投标人须知前附表。</w:t>
      </w:r>
    </w:p>
    <w:p w14:paraId="6F15296B">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1.2采购范围：详见投标人须知前附表。</w:t>
      </w:r>
    </w:p>
    <w:p w14:paraId="0C751C9C">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1.3 采购方式和资格审查方式</w:t>
      </w:r>
    </w:p>
    <w:p w14:paraId="083D83D5">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1.3.1 采购方式：详见投标人须知前附表。</w:t>
      </w:r>
    </w:p>
    <w:p w14:paraId="0CFAFE20">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1.3.2 资格审查方式：详见投标人须知前附表。</w:t>
      </w:r>
    </w:p>
    <w:p w14:paraId="53E4743A">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1.4 评标办法及定标方法</w:t>
      </w:r>
    </w:p>
    <w:p w14:paraId="4712ADA7">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1.4.1 评标办法：详见投标人须知前附表。</w:t>
      </w:r>
    </w:p>
    <w:p w14:paraId="0BF3D801">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1.4.2 定标方法：详见投标人须知前附表。</w:t>
      </w:r>
    </w:p>
    <w:p w14:paraId="7D60230F">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1.5 投标人资格条件</w:t>
      </w:r>
    </w:p>
    <w:p w14:paraId="4B608890">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1.5.1 投标人应具备承担本招标项目的资格条件，具体要求详见投标人须知前附表。</w:t>
      </w:r>
    </w:p>
    <w:p w14:paraId="1EF7F4DE">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1.5.2 投标人须知前附表规定接受联合体投标的，除应符合本章第1.5.1款和投标人须知前附表的要求外，还应遵守以下规定：（1）联合体各方应按招标文件提供的格式签订联合体协议书，明确联合体牵头人和各方权利义务；（2）联合体各方不得再以自己名义单独或参加其他联合体在本招标项目中投标。</w:t>
      </w:r>
    </w:p>
    <w:p w14:paraId="753C7AF6">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1.5.3 投标人不得存在下列情形之一，否则相关投标均应被否决：</w:t>
      </w:r>
    </w:p>
    <w:p w14:paraId="3BA72EA5">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（1）与采购人存在利害关系可能影响招标公正性的法人、其他组织或者个人的；</w:t>
      </w:r>
    </w:p>
    <w:p w14:paraId="18139F64">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（2）单位负责人为同一人或者存在控股、管理关系的不同单位，参加同一标段投标或者未划分标段的同一招标项目投标的；</w:t>
      </w:r>
    </w:p>
    <w:p w14:paraId="2F265BC5">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（3）法定代表人为同一个人的两个及两个以上法人，母公司、全资子公司及其控股公司，参加同一标段投标或者未划分标段的同一招标项目投标的；</w:t>
      </w:r>
    </w:p>
    <w:p w14:paraId="6CB16CE5">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xml:space="preserve">（4）被责令停业的； </w:t>
      </w:r>
    </w:p>
    <w:p w14:paraId="1BC8EBB4">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xml:space="preserve">（5）被暂停或取消投标资格的； </w:t>
      </w:r>
    </w:p>
    <w:p w14:paraId="7005C936">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（6）财产被接管或冻结的；</w:t>
      </w:r>
    </w:p>
    <w:p w14:paraId="3C4A78A4">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（7）在最近三年内有骗取中标或严重违约或重大质量问题的；</w:t>
      </w:r>
    </w:p>
    <w:p w14:paraId="5E6FED9B">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（8）法律规定的其他情形。</w:t>
      </w:r>
      <w:bookmarkStart w:id="7" w:name="_BookMark_5"/>
      <w:bookmarkEnd w:id="7"/>
    </w:p>
    <w:p w14:paraId="3BC41BBE">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1.6费用承担</w:t>
      </w:r>
    </w:p>
    <w:p w14:paraId="68C8E721">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1.6.1招标文件费：详见投标人须知前附表。</w:t>
      </w:r>
    </w:p>
    <w:p w14:paraId="7C10D9D7">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1.6.2投标人应承担其编制投标文件与递交投标文件所涉及的一切费用，无论投标结果如何，采购人及采购代理机构对上述费用不作任何补偿。采购代理咨询费由中标人支付。</w:t>
      </w:r>
    </w:p>
    <w:p w14:paraId="51295DE8">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1.7投标保证金：详见投标人须知前附表。</w:t>
      </w:r>
    </w:p>
    <w:p w14:paraId="3EC55E07">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1.8踏勘现场</w:t>
      </w:r>
    </w:p>
    <w:p w14:paraId="00E9BC22">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xml:space="preserve">1.8.1 投标人须知前附表规定组织踏勘现场的，采购人或采购代理机构按投标人须知前附表规定的时间、地点组织投标人踏勘项目现场。 </w:t>
      </w:r>
    </w:p>
    <w:p w14:paraId="5C1CEFD0">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1.8.2 投标人踏勘现场发生的费用自理。</w:t>
      </w:r>
    </w:p>
    <w:p w14:paraId="087AD1AB">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1.8.3 除采购人或采购代理机构的原因外，投标人自行负责在踏勘现场中所发生的人员伤亡和财产损失。</w:t>
      </w:r>
    </w:p>
    <w:p w14:paraId="2FAC452B">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1.8.4 采购人或采购代理机构在踏勘现场中介绍的项目有关情况，供投标人在编制投标文件时参考，采购人或采购代理机构不对投标人据此作出的判断和决策负责。</w:t>
      </w:r>
    </w:p>
    <w:p w14:paraId="64AAE657">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1.9 是否允许联合体投标：详见投标人须知前附表。</w:t>
      </w:r>
    </w:p>
    <w:p w14:paraId="38EB63FA">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1.10 招标答疑会和招标澄清答疑要求</w:t>
      </w:r>
    </w:p>
    <w:p w14:paraId="4091AB0C">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1.10.1 投标人若有疑问，应按投标人须知前附表规定的时间、方式向采购人或采购代理机构提出，要求采购人对招标文件予以澄清。</w:t>
      </w:r>
    </w:p>
    <w:p w14:paraId="2FCB344B">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1.10.2 采购人或采购代理机构将按照投标人须知前附表规定的时间方式对投标人的疑问作出统一的解答。</w:t>
      </w:r>
    </w:p>
    <w:p w14:paraId="2F5F830E">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1.11投标文件：详见投标人须知前附表。</w:t>
      </w:r>
    </w:p>
    <w:p w14:paraId="11B7493B">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1.12投标文件递交：详见投标人须知前附表。</w:t>
      </w:r>
    </w:p>
    <w:p w14:paraId="133DB1F9">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1.13开标：详见投标人须知前附表。</w:t>
      </w:r>
    </w:p>
    <w:p w14:paraId="56CD378E">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1.14投标有效期：详见投标人须知前附表。</w:t>
      </w:r>
    </w:p>
    <w:p w14:paraId="4171FC18">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1.15公告发布媒体：详见投标人须知前附表。</w:t>
      </w:r>
    </w:p>
    <w:p w14:paraId="7449FCD1">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1.16履约保证金：详见投标人须知前附表。</w:t>
      </w:r>
    </w:p>
    <w:p w14:paraId="6D9950EA">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1.17中小企业政策说明：详见投标人须知前附表。</w:t>
      </w:r>
    </w:p>
    <w:p w14:paraId="29C54996">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1.18</w:t>
      </w:r>
      <w:r>
        <w:rPr>
          <w:rFonts w:hint="eastAsia" w:ascii="仿宋" w:hAnsi="仿宋" w:eastAsia="仿宋" w:cs="仿宋"/>
          <w:color w:val="000000"/>
          <w:sz w:val="24"/>
          <w:szCs w:val="24"/>
          <w:highlight w:val="none"/>
        </w:rPr>
        <w:t>招标代理费</w:t>
      </w:r>
      <w:r>
        <w:rPr>
          <w:rFonts w:hint="eastAsia" w:ascii="仿宋" w:hAnsi="仿宋" w:eastAsia="仿宋" w:cs="仿宋"/>
          <w:kern w:val="0"/>
          <w:sz w:val="24"/>
          <w:szCs w:val="24"/>
          <w:highlight w:val="none"/>
        </w:rPr>
        <w:t>：详见投标人须知前附表。</w:t>
      </w:r>
    </w:p>
    <w:p w14:paraId="437B5435">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1.19</w:t>
      </w:r>
      <w:r>
        <w:rPr>
          <w:rFonts w:hint="eastAsia" w:ascii="仿宋" w:hAnsi="仿宋" w:eastAsia="仿宋" w:cs="仿宋"/>
          <w:color w:val="000000"/>
          <w:sz w:val="24"/>
          <w:szCs w:val="24"/>
          <w:highlight w:val="none"/>
        </w:rPr>
        <w:t>付款方式</w:t>
      </w:r>
      <w:r>
        <w:rPr>
          <w:rFonts w:hint="eastAsia" w:ascii="仿宋" w:hAnsi="仿宋" w:eastAsia="仿宋" w:cs="仿宋"/>
          <w:kern w:val="0"/>
          <w:sz w:val="24"/>
          <w:szCs w:val="24"/>
          <w:highlight w:val="none"/>
        </w:rPr>
        <w:t>：详见投标人须知前附表。</w:t>
      </w:r>
    </w:p>
    <w:p w14:paraId="6F6CCA90">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1.20保密</w:t>
      </w:r>
    </w:p>
    <w:p w14:paraId="1F3D7C70">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参与招标投标活动的各方应当对招标文件和投标文件中的商业和技术等秘密保密，否则应当承担相应的法律责任。</w:t>
      </w:r>
    </w:p>
    <w:p w14:paraId="7BF5E2D4">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1.21语言文字</w:t>
      </w:r>
    </w:p>
    <w:p w14:paraId="63E5EC11">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除专用术语外，与招标投标有关的语言均应当使用中文。必要时专用术语应附有中文注释。</w:t>
      </w:r>
    </w:p>
    <w:p w14:paraId="43884F45">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1.22计量单位</w:t>
      </w:r>
    </w:p>
    <w:p w14:paraId="4069D49E">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所有计量均采用中华人民共和国法定计量单位。</w:t>
      </w:r>
    </w:p>
    <w:p w14:paraId="0556A933">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1.23偏离</w:t>
      </w:r>
    </w:p>
    <w:p w14:paraId="67F1A3AB">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投标文件与招标文件某些要求产生偏离的，偏离应当符合招标文件规定的偏离范围和幅度。</w:t>
      </w:r>
    </w:p>
    <w:p w14:paraId="2EAEBD1B">
      <w:pPr>
        <w:tabs>
          <w:tab w:val="center" w:pos="4832"/>
          <w:tab w:val="left" w:pos="7140"/>
        </w:tabs>
        <w:spacing w:line="360" w:lineRule="auto"/>
        <w:ind w:firstLine="472" w:firstLineChars="196"/>
        <w:jc w:val="left"/>
        <w:outlineLvl w:val="1"/>
        <w:rPr>
          <w:rFonts w:hint="eastAsia" w:ascii="仿宋" w:hAnsi="仿宋" w:eastAsia="仿宋" w:cs="仿宋"/>
          <w:b/>
          <w:sz w:val="24"/>
          <w:szCs w:val="24"/>
          <w:highlight w:val="none"/>
        </w:rPr>
      </w:pPr>
      <w:bookmarkStart w:id="8" w:name="_Toc535592196"/>
      <w:bookmarkStart w:id="9" w:name="_Toc27298"/>
      <w:r>
        <w:rPr>
          <w:rFonts w:hint="eastAsia" w:ascii="仿宋" w:hAnsi="仿宋" w:eastAsia="仿宋" w:cs="仿宋"/>
          <w:b/>
          <w:sz w:val="24"/>
          <w:szCs w:val="24"/>
          <w:highlight w:val="none"/>
        </w:rPr>
        <w:t>2．招标文件</w:t>
      </w:r>
      <w:bookmarkEnd w:id="8"/>
      <w:bookmarkEnd w:id="9"/>
    </w:p>
    <w:p w14:paraId="49856360">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2.1 招标文件的组成</w:t>
      </w:r>
    </w:p>
    <w:p w14:paraId="680F638C">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（1）投标人须知；</w:t>
      </w:r>
    </w:p>
    <w:p w14:paraId="49275CD7">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（2）评标办法；</w:t>
      </w:r>
    </w:p>
    <w:p w14:paraId="3E758A4F">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（3）合同条款；</w:t>
      </w:r>
    </w:p>
    <w:p w14:paraId="4785B1DA">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（4）服务标准和要求；</w:t>
      </w:r>
    </w:p>
    <w:p w14:paraId="31B36735">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（5）投标文件格式；</w:t>
      </w:r>
    </w:p>
    <w:p w14:paraId="35317E4A">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（6）补充条款。</w:t>
      </w:r>
    </w:p>
    <w:p w14:paraId="3F9EB505">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根据本章第2.4款和第2.5款对招标文件所作的澄清、修改，构成招标文件的组成部分。</w:t>
      </w:r>
    </w:p>
    <w:p w14:paraId="119FF0A8">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2.2 招标文件的获取</w:t>
      </w:r>
    </w:p>
    <w:p w14:paraId="1FCE2A95">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凡有意参加并符合投标人须知前附表“投标人资格条件和能力”的投标人，均可在采购代理机构获取招标文件。</w:t>
      </w:r>
    </w:p>
    <w:p w14:paraId="59FF43FB">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2.3 招标文件的澄清</w:t>
      </w:r>
    </w:p>
    <w:p w14:paraId="2F99834D">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2.3.1 投标人应当仔细阅读和检查招标文件的全部内容。如发现缺页或附件不全，应当及时向采购人提出，以便补齐。如有疑问，应当在投标人须知前附表规定的时间、方式向采购人提出，要求采购人对招标文件予以澄清。</w:t>
      </w:r>
    </w:p>
    <w:p w14:paraId="2FE5C579">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2.3.2 招标文件的澄清将按照投标人须知前附表规定的时间、方式发布，但不指明澄清问题的来源。</w:t>
      </w:r>
    </w:p>
    <w:p w14:paraId="5CB0D8A1">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2.4招标文件的修改</w:t>
      </w:r>
    </w:p>
    <w:p w14:paraId="2CCE1DEF">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2.4.1 招标文件的修改将按照投标人须知前附表规定的时间、方式发布，但不指明澄清问题的来源。</w:t>
      </w:r>
    </w:p>
    <w:p w14:paraId="4A9ABBA5">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2.4.2 在投标人须知前附表规定的截止时间前，无论出于何种原因，采购代理机构和采购人可主动地或在解答潜在投标人提出的澄清问题时对招标文件进行修改。</w:t>
      </w:r>
    </w:p>
    <w:p w14:paraId="5B015120">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2.4.3 招标文件的修改部分是招标文件的组成部分对投标人具有约束力。</w:t>
      </w:r>
    </w:p>
    <w:p w14:paraId="244368E8">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2.4.4 为使投标人准备投标时有充分时间对招标文件的修改部分进行研究，采购人可适当推迟投标截止期。</w:t>
      </w:r>
    </w:p>
    <w:p w14:paraId="26873780">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2.4.5 当采购人发放的招标文件及招标文件的答疑文件、修改文件、补充文件前后不一致，发生矛盾情况时，以最后发出的为准。</w:t>
      </w:r>
    </w:p>
    <w:p w14:paraId="08DB48E9">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2.4.6 如果招标文件各个组成部分之间出现歧义或相互矛盾，或任何文件中呈现明显的或不符合逻辑等的错误，或在文件编写过程中经常出现的打印错误等，投标人应将需要澄清的内容在投标人须知前附表规定的时间之前提出。根据合同条款中的相关约定，如果投标人在投标过程中未能发现并对有关歧义、矛盾或错误提出澄清请求，而在中标后发现并提出，中标人将必须接受由采购人依据合同有关条款而做出的书面澄清。</w:t>
      </w:r>
    </w:p>
    <w:p w14:paraId="1E843EA4">
      <w:pPr>
        <w:tabs>
          <w:tab w:val="center" w:pos="4832"/>
          <w:tab w:val="left" w:pos="7140"/>
        </w:tabs>
        <w:spacing w:line="360" w:lineRule="auto"/>
        <w:ind w:firstLine="472" w:firstLineChars="196"/>
        <w:jc w:val="left"/>
        <w:outlineLvl w:val="1"/>
        <w:rPr>
          <w:rFonts w:hint="eastAsia" w:ascii="仿宋" w:hAnsi="仿宋" w:eastAsia="仿宋" w:cs="仿宋"/>
          <w:b/>
          <w:sz w:val="24"/>
          <w:szCs w:val="24"/>
          <w:highlight w:val="none"/>
        </w:rPr>
      </w:pPr>
      <w:bookmarkStart w:id="10" w:name="_BookMark_6"/>
      <w:bookmarkEnd w:id="10"/>
      <w:bookmarkStart w:id="11" w:name="_Toc535592197"/>
      <w:bookmarkStart w:id="12" w:name="_Toc5223"/>
      <w:r>
        <w:rPr>
          <w:rFonts w:hint="eastAsia" w:ascii="仿宋" w:hAnsi="仿宋" w:eastAsia="仿宋" w:cs="仿宋"/>
          <w:b/>
          <w:sz w:val="24"/>
          <w:szCs w:val="24"/>
          <w:highlight w:val="none"/>
        </w:rPr>
        <w:t>3．投标文件</w:t>
      </w:r>
      <w:bookmarkEnd w:id="11"/>
      <w:bookmarkEnd w:id="12"/>
    </w:p>
    <w:p w14:paraId="0C4C5A6E">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3.1 投标文件的组成</w:t>
      </w:r>
    </w:p>
    <w:p w14:paraId="03326864">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3.1.1投标文件应包括下列内容：</w:t>
      </w:r>
    </w:p>
    <w:p w14:paraId="6DCDC675">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一、投标函</w:t>
      </w:r>
    </w:p>
    <w:p w14:paraId="589B6FFE">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二、开标一览表</w:t>
      </w:r>
    </w:p>
    <w:p w14:paraId="2937CF79">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三、投标价格明细表</w:t>
      </w:r>
    </w:p>
    <w:p w14:paraId="4A3A7CAC">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四、商务条款偏离表</w:t>
      </w:r>
    </w:p>
    <w:p w14:paraId="1B59A9A2">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五、技术条款偏离表</w:t>
      </w:r>
    </w:p>
    <w:p w14:paraId="77F68785">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六、法定代表人身份证明书</w:t>
      </w:r>
    </w:p>
    <w:p w14:paraId="52E09276">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七、法定代表人授权委托书</w:t>
      </w:r>
    </w:p>
    <w:p w14:paraId="6B5FF5FC">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八、投标人基本情况</w:t>
      </w:r>
    </w:p>
    <w:p w14:paraId="140AD6A7">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8.1、法人或者其他组织的营业执照等证明文件，自然人的身份证明</w:t>
      </w:r>
    </w:p>
    <w:p w14:paraId="4525C333">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8.2、财务状况报告，依法缴纳税收和社会保障资金的相关材料</w:t>
      </w:r>
    </w:p>
    <w:p w14:paraId="250A0FFA">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8.3、具备履行合同所必需的设备和专业技术能力的证明材料</w:t>
      </w:r>
    </w:p>
    <w:p w14:paraId="793E3766">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8.4、参加政府采购活动前3年内在经营活动中没有重大违法记录的书面声明</w:t>
      </w:r>
    </w:p>
    <w:p w14:paraId="7C91DEA6">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8.5、具备法律、行政法规规定的其他条件的证明材料</w:t>
      </w:r>
    </w:p>
    <w:p w14:paraId="1C53E4BF">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九、投标人近三年类似项目业绩表</w:t>
      </w:r>
    </w:p>
    <w:p w14:paraId="70B2E6E7">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十、项目负责人简历表</w:t>
      </w:r>
    </w:p>
    <w:p w14:paraId="3783C4C9">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十一、拟派本项目服务人员情况表</w:t>
      </w:r>
    </w:p>
    <w:p w14:paraId="63A067F4">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十二、服务方案</w:t>
      </w:r>
    </w:p>
    <w:p w14:paraId="47DB50A3">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十三、其他需要提交的资料</w:t>
      </w:r>
    </w:p>
    <w:p w14:paraId="196B5DD9">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xml:space="preserve">3.1.2 投标人须知前附表规定不接受联合体投标的，或投标人没有组成联合体的，投标文件不包括本章所指的联合体协议书。 </w:t>
      </w:r>
    </w:p>
    <w:p w14:paraId="0439F7F4">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3.2 投标价格</w:t>
      </w:r>
    </w:p>
    <w:p w14:paraId="62E09444">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3.2.1投标价格应包括投标人履行本项目合同（如果中标）所必须的所有成本费用和中标人应承担的一切税费，包括但不仅限于必要资料、办公、交通、保险、人员、差旅、税费、全过程的管理费用等一切费用。未列和没有填写的项目费用，采购人将视为已包括在投标价格中。</w:t>
      </w:r>
    </w:p>
    <w:p w14:paraId="59F5324B">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3.2.2 投标人的投标价格不能超出本项目采购预算金额。</w:t>
      </w:r>
    </w:p>
    <w:p w14:paraId="4828383D">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3.3 投标有效期</w:t>
      </w:r>
    </w:p>
    <w:p w14:paraId="3D70C912">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3.3.1 在投标人须知前附表规定的投标有效期内，投标人不得要求撤销或修改其投标文件。</w:t>
      </w:r>
    </w:p>
    <w:p w14:paraId="4611131A">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xml:space="preserve">3.3.2 出现特殊情况需要延长投标有效期的，采购人将通知所有投标人延长投标有效期。投标人同意延长的，应当相应延长其投标保证金的有效期，但不得要求或被允许修改或撤销其投标文件；投标人拒绝延长的，其投标失效，但投标人有权收回其投标保证金。 </w:t>
      </w:r>
    </w:p>
    <w:p w14:paraId="5E190162">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3.3.3 投标保证金的有效期与投标有效期一致。</w:t>
      </w:r>
    </w:p>
    <w:p w14:paraId="0F59A1F2">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 投标保证金</w:t>
      </w:r>
    </w:p>
    <w:p w14:paraId="0357E27B">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3.4.1 投标人应于投标截止时间前按投标人须知前附表规定数额提交投标保证金。未提交投标保证金的，将被视为非响应性投标而予以拒绝。联合体投标的，其投标保证金由牵头人递交，并应符合投标人须知前附表的规定。</w:t>
      </w:r>
    </w:p>
    <w:p w14:paraId="2A82C976">
      <w:pPr>
        <w:shd w:val="clear" w:color="auto" w:fill="FFFFFF"/>
        <w:snapToGrid w:val="0"/>
        <w:spacing w:line="384" w:lineRule="auto"/>
        <w:ind w:firstLine="360" w:firstLineChars="150"/>
        <w:rPr>
          <w:rFonts w:hint="eastAsia" w:ascii="仿宋" w:hAnsi="仿宋" w:eastAsia="仿宋" w:cs="仿宋"/>
          <w:sz w:val="24"/>
          <w:szCs w:val="24"/>
          <w:highlight w:val="none"/>
        </w:rPr>
      </w:pPr>
      <w:r>
        <w:rPr>
          <w:rFonts w:hint="eastAsia" w:ascii="仿宋" w:hAnsi="仿宋" w:eastAsia="仿宋" w:cs="仿宋"/>
          <w:kern w:val="0"/>
          <w:sz w:val="24"/>
          <w:szCs w:val="24"/>
          <w:highlight w:val="none"/>
        </w:rPr>
        <w:t>3.4.2</w:t>
      </w:r>
      <w:r>
        <w:rPr>
          <w:rFonts w:hint="eastAsia" w:ascii="仿宋" w:hAnsi="仿宋" w:eastAsia="仿宋" w:cs="仿宋"/>
          <w:sz w:val="24"/>
          <w:szCs w:val="24"/>
          <w:highlight w:val="none"/>
        </w:rPr>
        <w:t>投标保证金以支票、汇票、本票或者金融机构、担保机构出具的保函等非现金形式提交至采购代理机构。</w:t>
      </w:r>
    </w:p>
    <w:p w14:paraId="5F8EDFDE">
      <w:pPr>
        <w:shd w:val="clear" w:color="auto" w:fill="FFFFFF"/>
        <w:snapToGrid w:val="0"/>
        <w:spacing w:line="384" w:lineRule="auto"/>
        <w:ind w:firstLine="360" w:firstLineChars="150"/>
        <w:rPr>
          <w:rFonts w:hint="eastAsia" w:ascii="仿宋" w:hAnsi="仿宋" w:eastAsia="仿宋" w:cs="仿宋"/>
          <w:sz w:val="24"/>
          <w:szCs w:val="24"/>
          <w:highlight w:val="none"/>
        </w:rPr>
      </w:pPr>
      <w:r>
        <w:rPr>
          <w:rFonts w:hint="eastAsia" w:ascii="仿宋" w:hAnsi="仿宋" w:eastAsia="仿宋" w:cs="仿宋"/>
          <w:sz w:val="24"/>
          <w:szCs w:val="24"/>
          <w:highlight w:val="none"/>
        </w:rPr>
        <w:t>采购代理机构名称：新疆新世纪招标有限公司</w:t>
      </w:r>
    </w:p>
    <w:p w14:paraId="117BC497">
      <w:pPr>
        <w:shd w:val="clear" w:color="auto" w:fill="FFFFFF"/>
        <w:snapToGrid w:val="0"/>
        <w:spacing w:line="384" w:lineRule="auto"/>
        <w:ind w:firstLine="360" w:firstLineChars="150"/>
        <w:rPr>
          <w:rFonts w:hint="eastAsia" w:ascii="仿宋" w:hAnsi="仿宋" w:eastAsia="仿宋" w:cs="仿宋"/>
          <w:sz w:val="24"/>
          <w:szCs w:val="24"/>
          <w:highlight w:val="none"/>
        </w:rPr>
      </w:pPr>
      <w:r>
        <w:rPr>
          <w:rFonts w:hint="eastAsia" w:ascii="仿宋" w:hAnsi="仿宋" w:eastAsia="仿宋" w:cs="仿宋"/>
          <w:sz w:val="24"/>
          <w:szCs w:val="24"/>
          <w:highlight w:val="none"/>
        </w:rPr>
        <w:t>纳税人识别号：91650100726988855F</w:t>
      </w:r>
    </w:p>
    <w:p w14:paraId="73714D26">
      <w:pPr>
        <w:shd w:val="clear" w:color="auto" w:fill="FFFFFF"/>
        <w:snapToGrid w:val="0"/>
        <w:spacing w:line="384" w:lineRule="auto"/>
        <w:ind w:firstLine="360" w:firstLineChars="150"/>
        <w:rPr>
          <w:rFonts w:hint="eastAsia" w:ascii="仿宋" w:hAnsi="仿宋" w:eastAsia="仿宋" w:cs="仿宋"/>
          <w:sz w:val="24"/>
          <w:szCs w:val="24"/>
          <w:highlight w:val="none"/>
        </w:rPr>
      </w:pPr>
      <w:r>
        <w:rPr>
          <w:rFonts w:hint="eastAsia" w:ascii="仿宋" w:hAnsi="仿宋" w:eastAsia="仿宋" w:cs="仿宋"/>
          <w:sz w:val="24"/>
          <w:szCs w:val="24"/>
          <w:highlight w:val="none"/>
        </w:rPr>
        <w:t>开户行：中国农业银行乌鲁木齐新民西街支行</w:t>
      </w:r>
    </w:p>
    <w:p w14:paraId="272FBDAA">
      <w:pPr>
        <w:shd w:val="clear" w:color="auto" w:fill="FFFFFF"/>
        <w:snapToGrid w:val="0"/>
        <w:spacing w:line="384" w:lineRule="auto"/>
        <w:ind w:firstLine="360" w:firstLineChars="150"/>
        <w:rPr>
          <w:rFonts w:hint="eastAsia" w:ascii="仿宋" w:hAnsi="仿宋" w:eastAsia="仿宋" w:cs="仿宋"/>
          <w:sz w:val="24"/>
          <w:szCs w:val="24"/>
          <w:highlight w:val="none"/>
        </w:rPr>
      </w:pPr>
      <w:r>
        <w:rPr>
          <w:rFonts w:hint="eastAsia" w:ascii="仿宋" w:hAnsi="仿宋" w:eastAsia="仿宋" w:cs="仿宋"/>
          <w:sz w:val="24"/>
          <w:szCs w:val="24"/>
          <w:highlight w:val="none"/>
        </w:rPr>
        <w:t>账号：30014701040000595</w:t>
      </w:r>
    </w:p>
    <w:p w14:paraId="69BDF1BB">
      <w:pPr>
        <w:shd w:val="clear" w:color="auto" w:fill="FFFFFF"/>
        <w:snapToGrid w:val="0"/>
        <w:spacing w:line="384" w:lineRule="auto"/>
        <w:ind w:firstLine="360" w:firstLineChars="15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3.4.3 投标保证金是为了保护采购人免遭因投标人的行为而蒙受损失。采购人在因投标人的行为受到损害时可根据相关法律规定没收投标人的投标保证金。</w:t>
      </w:r>
    </w:p>
    <w:p w14:paraId="4A5E821A">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3.4.4 采购人或者采购代理机构应当自中标通知书发出之日起5个工作日内退还未中标人的投标保证金，自采购合同签订之日起5个工作日内退还中标人的投标保证金。</w:t>
      </w:r>
    </w:p>
    <w:p w14:paraId="59E72AE2">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3.4.5投标保证金有效期与投标有效期一致。</w:t>
      </w:r>
    </w:p>
    <w:p w14:paraId="074CEF46">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3.4.6 有下列情形之一的，投标保证金不予退还：</w:t>
      </w:r>
    </w:p>
    <w:p w14:paraId="59E81CAA">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（1）投标人在规定的投标有效期内撤销或修改其投标文件的；</w:t>
      </w:r>
    </w:p>
    <w:p w14:paraId="1CD38504">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（2）中标人在收到中标通知书后，无正当理由拒签合同协议书或在签订合同时提出附加条件或者更改合同实质性内容的；</w:t>
      </w:r>
    </w:p>
    <w:p w14:paraId="74278A24">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（3）未按招标文件规定提交履约保证金的。</w:t>
      </w:r>
    </w:p>
    <w:p w14:paraId="68F4DC82">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 投标文件的编制</w:t>
      </w:r>
    </w:p>
    <w:p w14:paraId="1FF8E7AA">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3.5.1投标文件应按第五章“投标文件格式”进行编写，如有必要，可以增加附页，作为投标文件的组成部分。</w:t>
      </w:r>
    </w:p>
    <w:p w14:paraId="572E6329">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3.5.2投标文件应当对招标文件有关采购范围、技术与服务要求等实质性内容做出响应。</w:t>
      </w:r>
    </w:p>
    <w:p w14:paraId="4DADFFBA">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shd w:val="clear" w:color="auto" w:fill="FFFFFF" w:themeFill="background1"/>
        </w:rPr>
      </w:pPr>
      <w:bookmarkStart w:id="13" w:name="_BookMark_7"/>
      <w:bookmarkEnd w:id="13"/>
      <w:bookmarkStart w:id="14" w:name="_Toc535592198"/>
      <w:r>
        <w:rPr>
          <w:rFonts w:hint="eastAsia" w:ascii="仿宋" w:hAnsi="仿宋" w:eastAsia="仿宋" w:cs="仿宋"/>
          <w:kern w:val="0"/>
          <w:sz w:val="24"/>
          <w:szCs w:val="24"/>
          <w:highlight w:val="none"/>
          <w:shd w:val="clear" w:color="auto" w:fill="FFFFFF" w:themeFill="background1"/>
        </w:rPr>
        <w:t>3.5.3电子投标文件使用政采云平台投标文件制作工具以及招标文件要求进行制作编制。投标文件制作时，按照招标文件中明确的投标文件目录和格式进行编制，保证目录清晰、内容完整。</w:t>
      </w:r>
    </w:p>
    <w:p w14:paraId="083433EC">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3.5.4电子投标文件须使用投标人电子公章及法定代表人的电子签名。</w:t>
      </w:r>
    </w:p>
    <w:p w14:paraId="545142AD">
      <w:pPr>
        <w:widowControl/>
        <w:shd w:val="clear" w:color="auto" w:fill="FFFFFF"/>
        <w:snapToGrid w:val="0"/>
        <w:spacing w:line="360" w:lineRule="auto"/>
        <w:ind w:firstLine="480" w:firstLineChars="200"/>
        <w:rPr>
          <w:rFonts w:hint="eastAsia" w:ascii="仿宋" w:hAnsi="仿宋" w:eastAsia="仿宋" w:cs="仿宋"/>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3.5.5电子招投标文件具有法律效力，与其他形式的招投标文件在内容和格式上等同，若投标文件与招标文件要求不一致，其内容影响成交结果时，责任由投标人自行承担。投标人递交的电子投标文件因投标人自身原因而导致无法导入电子辅助评标系统，该投标文件视为无效投标文件，将导致其投标被拒绝</w:t>
      </w:r>
      <w:r>
        <w:rPr>
          <w:rFonts w:hint="eastAsia" w:ascii="仿宋" w:hAnsi="仿宋" w:eastAsia="仿宋" w:cs="仿宋"/>
          <w:sz w:val="24"/>
          <w:szCs w:val="24"/>
          <w:highlight w:val="none"/>
          <w:shd w:val="clear" w:color="auto" w:fill="FFFFFF" w:themeFill="background1"/>
        </w:rPr>
        <w:t>。</w:t>
      </w:r>
    </w:p>
    <w:p w14:paraId="349CFAE2">
      <w:pPr>
        <w:tabs>
          <w:tab w:val="center" w:pos="4832"/>
          <w:tab w:val="left" w:pos="7140"/>
        </w:tabs>
        <w:spacing w:line="360" w:lineRule="auto"/>
        <w:ind w:firstLine="470" w:firstLineChars="196"/>
        <w:jc w:val="left"/>
        <w:rPr>
          <w:rFonts w:hint="eastAsia" w:ascii="仿宋" w:hAnsi="仿宋" w:eastAsia="仿宋" w:cs="仿宋"/>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3.5.6</w:t>
      </w:r>
      <w:r>
        <w:rPr>
          <w:rFonts w:hint="eastAsia" w:ascii="仿宋" w:hAnsi="仿宋" w:eastAsia="仿宋" w:cs="仿宋"/>
          <w:sz w:val="24"/>
          <w:szCs w:val="24"/>
          <w:highlight w:val="none"/>
          <w:shd w:val="clear" w:color="auto" w:fill="FFFFFF" w:themeFill="background1"/>
        </w:rPr>
        <w:t>未按招标文件要求签署和盖章的投标文件，其投标将被认定为投标无效。</w:t>
      </w:r>
    </w:p>
    <w:p w14:paraId="0B311A89">
      <w:pPr>
        <w:tabs>
          <w:tab w:val="center" w:pos="4832"/>
          <w:tab w:val="left" w:pos="7140"/>
        </w:tabs>
        <w:spacing w:line="360" w:lineRule="auto"/>
        <w:ind w:firstLine="472" w:firstLineChars="196"/>
        <w:jc w:val="left"/>
        <w:outlineLvl w:val="1"/>
        <w:rPr>
          <w:rFonts w:hint="eastAsia" w:ascii="仿宋" w:hAnsi="仿宋" w:eastAsia="仿宋" w:cs="仿宋"/>
          <w:b/>
          <w:sz w:val="24"/>
          <w:szCs w:val="24"/>
          <w:highlight w:val="none"/>
        </w:rPr>
      </w:pPr>
      <w:bookmarkStart w:id="15" w:name="_Toc28025"/>
      <w:r>
        <w:rPr>
          <w:rFonts w:hint="eastAsia" w:ascii="仿宋" w:hAnsi="仿宋" w:eastAsia="仿宋" w:cs="仿宋"/>
          <w:b/>
          <w:sz w:val="24"/>
          <w:szCs w:val="24"/>
          <w:highlight w:val="none"/>
        </w:rPr>
        <w:t>4．投标</w:t>
      </w:r>
      <w:bookmarkEnd w:id="14"/>
      <w:bookmarkEnd w:id="15"/>
    </w:p>
    <w:p w14:paraId="76AE2177">
      <w:pPr>
        <w:tabs>
          <w:tab w:val="center" w:pos="4832"/>
          <w:tab w:val="left" w:pos="7140"/>
        </w:tabs>
        <w:spacing w:line="360" w:lineRule="auto"/>
        <w:ind w:firstLine="470" w:firstLineChars="196"/>
        <w:jc w:val="left"/>
        <w:rPr>
          <w:rFonts w:hint="eastAsia" w:ascii="仿宋" w:hAnsi="仿宋" w:eastAsia="仿宋" w:cs="仿宋"/>
          <w:bCs/>
          <w:sz w:val="24"/>
          <w:szCs w:val="24"/>
          <w:highlight w:val="none"/>
        </w:rPr>
      </w:pPr>
      <w:bookmarkStart w:id="16" w:name="_BookMark_8"/>
      <w:bookmarkEnd w:id="16"/>
      <w:bookmarkStart w:id="17" w:name="_Toc535592199"/>
      <w:r>
        <w:rPr>
          <w:rFonts w:hint="eastAsia" w:ascii="仿宋" w:hAnsi="仿宋" w:eastAsia="仿宋" w:cs="仿宋"/>
          <w:bCs/>
          <w:sz w:val="24"/>
          <w:szCs w:val="24"/>
          <w:highlight w:val="none"/>
        </w:rPr>
        <w:t xml:space="preserve">4.1本次采购采用电子交易方式，电子交易平台为“政采云平台（https://www.zcygov.cn/）”。投标人参与本项目电子交易活动前，应注册成为政府采购云平台投标人。编制电子投标文件前还需申领CA证书并绑定帐号。投标人应充分考虑完成平台注册、申领CA证书等所需的时间。因未注册入库、未办理CA数字证书等原因造成无法投标或投标失败等后果由投标人自行承担。 </w:t>
      </w:r>
    </w:p>
    <w:p w14:paraId="3B6997A3">
      <w:pPr>
        <w:tabs>
          <w:tab w:val="center" w:pos="4832"/>
          <w:tab w:val="left" w:pos="7140"/>
        </w:tabs>
        <w:spacing w:line="360" w:lineRule="auto"/>
        <w:ind w:firstLine="470" w:firstLineChars="196"/>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4.2投标人将政采云电子交易客户端下载、安装完成后，可通过账号密码或CA登录客户端进行投标文件制作。在使用政采云投标客户端时，建议使用WIN7及以上操作系统。客户端请至新疆政府采购网（www.ccgp-xinjiang.gov.cn）下载专区查看，如有问题可拨打政采云客户服务热线95763进行咨询。</w:t>
      </w:r>
    </w:p>
    <w:p w14:paraId="6AE2A8DE">
      <w:pPr>
        <w:tabs>
          <w:tab w:val="center" w:pos="4832"/>
          <w:tab w:val="left" w:pos="7140"/>
        </w:tabs>
        <w:spacing w:line="360" w:lineRule="auto"/>
        <w:ind w:firstLine="470" w:firstLineChars="196"/>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4.3投标文件的递交</w:t>
      </w:r>
    </w:p>
    <w:p w14:paraId="5B4343D0">
      <w:pPr>
        <w:tabs>
          <w:tab w:val="center" w:pos="4832"/>
          <w:tab w:val="left" w:pos="7140"/>
        </w:tabs>
        <w:spacing w:line="360" w:lineRule="auto"/>
        <w:ind w:firstLine="470" w:firstLineChars="196"/>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4.3.1加密的电子投标文件应在投标文件递交截止时间前通过政采云平台上传完成。逾期上传或者未上传指定地点的投标文件，采购人不予受理。</w:t>
      </w:r>
    </w:p>
    <w:p w14:paraId="2BE63976">
      <w:pPr>
        <w:tabs>
          <w:tab w:val="center" w:pos="4832"/>
          <w:tab w:val="left" w:pos="7140"/>
        </w:tabs>
        <w:spacing w:line="360" w:lineRule="auto"/>
        <w:ind w:firstLine="470" w:firstLineChars="196"/>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4.3.2采购人事先约定延长投标文件递交截止时间的，采购人与投标人以前的投标截止期方面的全部权利、责任和义务，将适用延长至新的投标截止期。</w:t>
      </w:r>
    </w:p>
    <w:p w14:paraId="19D997D9">
      <w:pPr>
        <w:tabs>
          <w:tab w:val="center" w:pos="4832"/>
          <w:tab w:val="left" w:pos="7140"/>
        </w:tabs>
        <w:spacing w:line="360" w:lineRule="auto"/>
        <w:ind w:firstLine="470" w:firstLineChars="196"/>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4.3.3投标人或其投标文件存在下列情形之一的，采购人对其投标文件不予受理：</w:t>
      </w:r>
    </w:p>
    <w:p w14:paraId="0E50A5D7">
      <w:pPr>
        <w:tabs>
          <w:tab w:val="center" w:pos="4832"/>
          <w:tab w:val="left" w:pos="7140"/>
        </w:tabs>
        <w:spacing w:line="360" w:lineRule="auto"/>
        <w:ind w:firstLine="470" w:firstLineChars="196"/>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（1）逾期上传的投标文件；</w:t>
      </w:r>
    </w:p>
    <w:p w14:paraId="6D6F01C0">
      <w:pPr>
        <w:tabs>
          <w:tab w:val="center" w:pos="4832"/>
          <w:tab w:val="left" w:pos="7140"/>
        </w:tabs>
        <w:spacing w:line="360" w:lineRule="auto"/>
        <w:ind w:firstLine="470" w:firstLineChars="196"/>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（2）未按招标文件要求加密的投标文件。</w:t>
      </w:r>
    </w:p>
    <w:p w14:paraId="20CF37FA">
      <w:pPr>
        <w:tabs>
          <w:tab w:val="center" w:pos="4832"/>
          <w:tab w:val="left" w:pos="7140"/>
        </w:tabs>
        <w:spacing w:line="360" w:lineRule="auto"/>
        <w:ind w:firstLine="470" w:firstLineChars="196"/>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4.4投标文件的修改与撤回</w:t>
      </w:r>
    </w:p>
    <w:p w14:paraId="7217601F">
      <w:pPr>
        <w:tabs>
          <w:tab w:val="center" w:pos="4832"/>
          <w:tab w:val="left" w:pos="7140"/>
        </w:tabs>
        <w:spacing w:line="360" w:lineRule="auto"/>
        <w:ind w:firstLine="470" w:firstLineChars="196"/>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4.4.1投标人应在投标须知前附表中规定的截止时间前，可以撤回已上传的投标文件。如要修改，必须在撤回并修改后在规定的投标文件递交截止时间之前将修改后的投标文件再重新上传。在投标文件递交截止时间之后，投标人不得对上传的投标文件撤销或修改。</w:t>
      </w:r>
    </w:p>
    <w:p w14:paraId="2A5DAA45">
      <w:pPr>
        <w:tabs>
          <w:tab w:val="center" w:pos="4832"/>
          <w:tab w:val="left" w:pos="7140"/>
        </w:tabs>
        <w:spacing w:line="360" w:lineRule="auto"/>
        <w:ind w:firstLine="470" w:firstLineChars="196"/>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4.5投标文件格式</w:t>
      </w:r>
    </w:p>
    <w:p w14:paraId="6D109C0E">
      <w:pPr>
        <w:tabs>
          <w:tab w:val="center" w:pos="4832"/>
          <w:tab w:val="left" w:pos="7140"/>
        </w:tabs>
        <w:spacing w:line="360" w:lineRule="auto"/>
        <w:ind w:firstLine="470" w:firstLineChars="196"/>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4.5.1投标文件格式见第五章。</w:t>
      </w:r>
    </w:p>
    <w:p w14:paraId="34B29FCC">
      <w:pPr>
        <w:tabs>
          <w:tab w:val="center" w:pos="4832"/>
          <w:tab w:val="left" w:pos="7140"/>
        </w:tabs>
        <w:spacing w:line="360" w:lineRule="auto"/>
        <w:ind w:firstLine="470" w:firstLineChars="196"/>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4.5.2投标人应使用本招标文件后面提供的投标文件格式填写，如不够用时，投标人可按同样格式自行编制和填补，如果本招标文件未提供格式的，投标人可自行编制。</w:t>
      </w:r>
    </w:p>
    <w:p w14:paraId="2C2BF48F">
      <w:pPr>
        <w:tabs>
          <w:tab w:val="center" w:pos="4832"/>
          <w:tab w:val="left" w:pos="7140"/>
        </w:tabs>
        <w:spacing w:line="360" w:lineRule="auto"/>
        <w:ind w:firstLine="472" w:firstLineChars="196"/>
        <w:jc w:val="left"/>
        <w:outlineLvl w:val="1"/>
        <w:rPr>
          <w:rFonts w:hint="eastAsia" w:ascii="仿宋" w:hAnsi="仿宋" w:eastAsia="仿宋" w:cs="仿宋"/>
          <w:b/>
          <w:sz w:val="24"/>
          <w:szCs w:val="24"/>
          <w:highlight w:val="none"/>
        </w:rPr>
      </w:pPr>
      <w:bookmarkStart w:id="18" w:name="_Toc26385"/>
      <w:r>
        <w:rPr>
          <w:rFonts w:hint="eastAsia" w:ascii="仿宋" w:hAnsi="仿宋" w:eastAsia="仿宋" w:cs="仿宋"/>
          <w:b/>
          <w:sz w:val="24"/>
          <w:szCs w:val="24"/>
          <w:highlight w:val="none"/>
        </w:rPr>
        <w:t>5．开标</w:t>
      </w:r>
      <w:bookmarkEnd w:id="17"/>
      <w:bookmarkEnd w:id="18"/>
    </w:p>
    <w:p w14:paraId="0DBCB88B">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5.1 开标时间和地点</w:t>
      </w:r>
    </w:p>
    <w:p w14:paraId="56BD1B30">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采购人在投标人须知前附表规定的时间、地点公开开标，并邀请所有投标人的法定代表人或其授权委托人参加。</w:t>
      </w:r>
    </w:p>
    <w:p w14:paraId="1669B1EB">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5.2 开标程序</w:t>
      </w:r>
    </w:p>
    <w:p w14:paraId="5BBFE0F1">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按下列程序进行开标：</w:t>
      </w:r>
    </w:p>
    <w:p w14:paraId="6445C98E">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（1）投标人解密投标文件</w:t>
      </w:r>
    </w:p>
    <w:p w14:paraId="0AFFE6AA">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（2）开启报价文件</w:t>
      </w:r>
    </w:p>
    <w:p w14:paraId="27702C13">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（3）投标人线上签字确认</w:t>
      </w:r>
    </w:p>
    <w:p w14:paraId="626C3A43">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（4）开标结束</w:t>
      </w:r>
    </w:p>
    <w:p w14:paraId="709499A3">
      <w:pPr>
        <w:tabs>
          <w:tab w:val="center" w:pos="4832"/>
          <w:tab w:val="left" w:pos="7140"/>
        </w:tabs>
        <w:spacing w:line="360" w:lineRule="auto"/>
        <w:ind w:firstLine="472" w:firstLineChars="196"/>
        <w:jc w:val="left"/>
        <w:outlineLvl w:val="1"/>
        <w:rPr>
          <w:rFonts w:hint="eastAsia" w:ascii="仿宋" w:hAnsi="仿宋" w:eastAsia="仿宋" w:cs="仿宋"/>
          <w:b/>
          <w:sz w:val="24"/>
          <w:szCs w:val="24"/>
          <w:highlight w:val="none"/>
        </w:rPr>
      </w:pPr>
      <w:bookmarkStart w:id="19" w:name="_BookMark_9"/>
      <w:bookmarkEnd w:id="19"/>
      <w:bookmarkStart w:id="20" w:name="_Toc535592200"/>
      <w:bookmarkStart w:id="21" w:name="_Toc5139"/>
      <w:r>
        <w:rPr>
          <w:rFonts w:hint="eastAsia" w:ascii="仿宋" w:hAnsi="仿宋" w:eastAsia="仿宋" w:cs="仿宋"/>
          <w:b/>
          <w:sz w:val="24"/>
          <w:szCs w:val="24"/>
          <w:highlight w:val="none"/>
        </w:rPr>
        <w:t>6．评标</w:t>
      </w:r>
      <w:bookmarkEnd w:id="20"/>
      <w:bookmarkEnd w:id="21"/>
    </w:p>
    <w:p w14:paraId="3A3D7F11">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6.1 评标小组</w:t>
      </w:r>
    </w:p>
    <w:p w14:paraId="5BAF9D00">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6.1.1 评标由采购人按照《政府采购评标专家管理办法》财库〔2016〕198号，依法组建的评标小组负责。评标小组由采购人熟悉相关业务的代表，以及有关技术、经济等方面的专家组成。</w:t>
      </w:r>
    </w:p>
    <w:p w14:paraId="3E9FE99F">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6.1.2 评标小组成员有下列情形之一的，应当回避：</w:t>
      </w:r>
    </w:p>
    <w:p w14:paraId="2C17EF9C">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（1）参加采购活动前三年内,与投标人存在劳动关系,或者担任过投标人的董事、监事,或者是投标人的控股股东或实际控制人。</w:t>
      </w:r>
    </w:p>
    <w:p w14:paraId="27E1EAB0">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（2）与投标人的法定代表人或者负责人有夫妻、直系血亲、三代以内旁系血亲或者近姻亲关系。</w:t>
      </w:r>
    </w:p>
    <w:p w14:paraId="4C68FDED">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（3）与投标人有其他可能影响政府采购活动公平、公正进行的关系。</w:t>
      </w:r>
    </w:p>
    <w:p w14:paraId="682C4C88">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xml:space="preserve">6.2 评标原则 </w:t>
      </w:r>
    </w:p>
    <w:p w14:paraId="3A00BEAA">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评标活动遵循公平、公正、科学和择优的原则。</w:t>
      </w:r>
    </w:p>
    <w:p w14:paraId="582C1CAA">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6.3 评标</w:t>
      </w:r>
    </w:p>
    <w:p w14:paraId="592D2EF0">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评标小组按照招标文件中规定的方法、评标因素、标准和程序对投标文件进行评标。</w:t>
      </w:r>
    </w:p>
    <w:p w14:paraId="36AB8E1E">
      <w:pPr>
        <w:tabs>
          <w:tab w:val="center" w:pos="4832"/>
          <w:tab w:val="left" w:pos="7140"/>
        </w:tabs>
        <w:spacing w:line="360" w:lineRule="auto"/>
        <w:ind w:firstLine="472" w:firstLineChars="196"/>
        <w:jc w:val="left"/>
        <w:outlineLvl w:val="1"/>
        <w:rPr>
          <w:rFonts w:hint="eastAsia" w:ascii="仿宋" w:hAnsi="仿宋" w:eastAsia="仿宋" w:cs="仿宋"/>
          <w:b/>
          <w:sz w:val="24"/>
          <w:szCs w:val="24"/>
          <w:highlight w:val="none"/>
        </w:rPr>
      </w:pPr>
      <w:bookmarkStart w:id="22" w:name="_BookMark_10"/>
      <w:bookmarkEnd w:id="22"/>
      <w:bookmarkStart w:id="23" w:name="_Toc535592201"/>
      <w:bookmarkStart w:id="24" w:name="_Toc1820"/>
      <w:r>
        <w:rPr>
          <w:rFonts w:hint="eastAsia" w:ascii="仿宋" w:hAnsi="仿宋" w:eastAsia="仿宋" w:cs="仿宋"/>
          <w:b/>
          <w:sz w:val="24"/>
          <w:szCs w:val="24"/>
          <w:highlight w:val="none"/>
        </w:rPr>
        <w:t>7．定标及合同授予</w:t>
      </w:r>
      <w:bookmarkEnd w:id="23"/>
      <w:bookmarkEnd w:id="24"/>
    </w:p>
    <w:p w14:paraId="531D22DD">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7.1 定标方法</w:t>
      </w:r>
    </w:p>
    <w:p w14:paraId="7C6672B7">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7.1.1 评标活动遵循公平、公正、科学和择优的原则。评标小组按照招标文件中规定的方法、评标因素、标准和程序对投标文件进行评标，并按投标人须知前附表的规定向采购人推荐中标候选人。采购人依据评标小组推荐的中标候选人确定中标人。</w:t>
      </w:r>
    </w:p>
    <w:p w14:paraId="505D4A66">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7.1.2 采购人从中标候选人中确定出中标人的原则：采购人应当确定排名第一的中标候选人为中标人。排名第一的中标候选人放弃中标、因不可抗力不能履行合同，不按照招标文件要求提交履约保证金、或者被查实存在影响中标结果的违法行为等情形，不符合中标条件的，采购人可以按照评标小组提出的中标候选人名单排名依次确定其他中标候选人为中标人。</w:t>
      </w:r>
    </w:p>
    <w:p w14:paraId="63514E1A">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7.2中标结果公告</w:t>
      </w:r>
    </w:p>
    <w:p w14:paraId="5DDB119B">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在公告中标结果的同时，采购人或者采购代理机构向中标人发出中标通知书；对未通过资格审查的投标人，应当告知其未通过的原因</w:t>
      </w:r>
    </w:p>
    <w:p w14:paraId="6CE0130F">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7.3 履约保证金</w:t>
      </w:r>
    </w:p>
    <w:p w14:paraId="5533A166">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7.3.1 在签订合同前，中标人应按投标人须知前附表规定的金额、形式向采购人提交履约保证金。联合体中标的，其履约保证金由牵头人提交，并应符合投标人须知前附表的规定。</w:t>
      </w:r>
    </w:p>
    <w:p w14:paraId="22A86D0F">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7.3.2 中标人不能按要求提交履约保证金的，视为放弃中标，其投标保证金不予退还；给采购人造成的损失超过投标保证金数额的，中标人还应当对超过部分予以赔偿。</w:t>
      </w:r>
    </w:p>
    <w:p w14:paraId="73656F23">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7.4 签订合同</w:t>
      </w:r>
    </w:p>
    <w:p w14:paraId="0BD4A84E">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7.4.1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14:paraId="76C2130B">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7.4.2发出中标通知书后，采购人无正当理由拒签合同的，给中标人造成损失的，还应当赔偿中标人损失。</w:t>
      </w:r>
    </w:p>
    <w:p w14:paraId="6ADC2239">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7.4.3发出中标通知书后，中标人无正当理由拒签合同的，采购人取消其中标资格，其投标保证金不予退还；给采购人造成的损失超过投标保证金数额的，中标人还应当对超过部分予以赔偿。</w:t>
      </w:r>
    </w:p>
    <w:p w14:paraId="15C5E5EA">
      <w:pPr>
        <w:tabs>
          <w:tab w:val="center" w:pos="4832"/>
          <w:tab w:val="left" w:pos="7140"/>
        </w:tabs>
        <w:spacing w:line="360" w:lineRule="auto"/>
        <w:ind w:firstLine="472" w:firstLineChars="196"/>
        <w:jc w:val="left"/>
        <w:outlineLvl w:val="1"/>
        <w:rPr>
          <w:rFonts w:hint="eastAsia" w:ascii="仿宋" w:hAnsi="仿宋" w:eastAsia="仿宋" w:cs="仿宋"/>
          <w:b/>
          <w:sz w:val="24"/>
          <w:szCs w:val="24"/>
          <w:highlight w:val="none"/>
        </w:rPr>
      </w:pPr>
      <w:bookmarkStart w:id="25" w:name="_BookMark_11"/>
      <w:bookmarkEnd w:id="25"/>
      <w:bookmarkStart w:id="26" w:name="_Toc535592202"/>
      <w:bookmarkStart w:id="27" w:name="_Toc10630"/>
      <w:r>
        <w:rPr>
          <w:rFonts w:hint="eastAsia" w:ascii="仿宋" w:hAnsi="仿宋" w:eastAsia="仿宋" w:cs="仿宋"/>
          <w:b/>
          <w:sz w:val="24"/>
          <w:szCs w:val="24"/>
          <w:highlight w:val="none"/>
        </w:rPr>
        <w:t>8．纪律和监督</w:t>
      </w:r>
      <w:bookmarkEnd w:id="26"/>
      <w:bookmarkEnd w:id="27"/>
    </w:p>
    <w:p w14:paraId="4A04F24F">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8.1 对采购人的纪律要求</w:t>
      </w:r>
    </w:p>
    <w:p w14:paraId="6D3E2C3F">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采购人不得泄漏招标投标活动中应当保密的情况和资料，不得与投标人串通损害国家利益、社会公共利益或者他人合法权益。</w:t>
      </w:r>
    </w:p>
    <w:p w14:paraId="488CE989">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8.2 对投标人的纪律要求</w:t>
      </w:r>
    </w:p>
    <w:p w14:paraId="6DF910BF">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投标人不得相互串通投标或者与采购人串通投标，不得向采购人或者评标小组成员行贿谋取中标，不得以他人名义投标或者以其他方式弄虚作假骗取中标；投标人不得以任何方式干扰、影响评标工作。</w:t>
      </w:r>
    </w:p>
    <w:p w14:paraId="4026C1F7">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8.3 对评标小组成员的纪律要求</w:t>
      </w:r>
    </w:p>
    <w:p w14:paraId="58C854BA">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评标小组成员不得收受他人的财物或者其他好处，不得向他人透漏对投标文件的评标和比较、中标候选人的推荐情况以及评标有关的其他情况。在评标活动中，评标小组成员不得擅离职守，影响评标程序正常进行，不得使用评标办法没有规定的评标因素和标准进行评标。</w:t>
      </w:r>
    </w:p>
    <w:p w14:paraId="1DB9202F">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8.4 对与评标活动有关的工作人员的纪律要求</w:t>
      </w:r>
    </w:p>
    <w:p w14:paraId="104F1E99">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与评标活动有关的工作人员不得收受他人的财物或者其他好处，不得向他人透漏对投标文件的评标和比较、中标候选人的推荐情况以及评标有关的其他情况。在评标活动中，与评标活动有关的工作人员不得擅离职守，影响评标程序正常进行。</w:t>
      </w:r>
    </w:p>
    <w:p w14:paraId="2021C103">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8.5 监督</w:t>
      </w:r>
    </w:p>
    <w:p w14:paraId="2D0DFDCE">
      <w:pPr>
        <w:widowControl/>
        <w:shd w:val="clear" w:color="auto" w:fill="FFFFFF"/>
        <w:snapToGrid w:val="0"/>
        <w:spacing w:line="360" w:lineRule="auto"/>
        <w:ind w:firstLine="480" w:firstLineChars="200"/>
        <w:rPr>
          <w:rFonts w:hint="eastAsia" w:ascii="仿宋" w:hAnsi="仿宋" w:eastAsia="仿宋" w:cs="仿宋"/>
          <w:bCs/>
          <w:kern w:val="0"/>
          <w:sz w:val="24"/>
          <w:szCs w:val="24"/>
          <w:highlight w:val="none"/>
        </w:rPr>
      </w:pPr>
      <w:r>
        <w:rPr>
          <w:rFonts w:hint="eastAsia" w:ascii="仿宋" w:hAnsi="仿宋" w:eastAsia="仿宋" w:cs="仿宋"/>
          <w:kern w:val="0"/>
          <w:sz w:val="24"/>
          <w:szCs w:val="24"/>
          <w:highlight w:val="none"/>
        </w:rPr>
        <w:t>本项目的招标投标活动及其相关当事人应当接受有管辖权的监督部门依法实施的监督。</w:t>
      </w:r>
      <w:r>
        <w:rPr>
          <w:rFonts w:hint="eastAsia" w:ascii="仿宋" w:hAnsi="仿宋" w:eastAsia="仿宋" w:cs="仿宋"/>
          <w:bCs/>
          <w:kern w:val="0"/>
          <w:sz w:val="24"/>
          <w:szCs w:val="24"/>
          <w:highlight w:val="none"/>
        </w:rPr>
        <w:br w:type="page"/>
      </w:r>
    </w:p>
    <w:p w14:paraId="66EDE37B">
      <w:pPr>
        <w:widowControl/>
        <w:shd w:val="clear" w:color="auto" w:fill="FFFFFF"/>
        <w:snapToGrid w:val="0"/>
        <w:spacing w:line="360" w:lineRule="auto"/>
        <w:jc w:val="center"/>
        <w:outlineLvl w:val="0"/>
        <w:rPr>
          <w:rFonts w:hint="eastAsia" w:ascii="仿宋" w:hAnsi="仿宋" w:eastAsia="仿宋" w:cs="仿宋"/>
          <w:b/>
          <w:sz w:val="28"/>
          <w:szCs w:val="28"/>
          <w:highlight w:val="none"/>
        </w:rPr>
      </w:pPr>
      <w:bookmarkStart w:id="28" w:name="_Toc21164"/>
      <w:r>
        <w:rPr>
          <w:rFonts w:hint="eastAsia" w:ascii="仿宋" w:hAnsi="仿宋" w:eastAsia="仿宋" w:cs="仿宋"/>
          <w:b/>
          <w:sz w:val="28"/>
          <w:szCs w:val="28"/>
          <w:highlight w:val="none"/>
        </w:rPr>
        <w:t>第二章 评标办法</w:t>
      </w:r>
      <w:bookmarkEnd w:id="28"/>
    </w:p>
    <w:p w14:paraId="641BCEAC">
      <w:pPr>
        <w:tabs>
          <w:tab w:val="center" w:pos="4832"/>
          <w:tab w:val="left" w:pos="7140"/>
        </w:tabs>
        <w:spacing w:line="360" w:lineRule="auto"/>
        <w:jc w:val="center"/>
        <w:outlineLvl w:val="1"/>
        <w:rPr>
          <w:rFonts w:hint="eastAsia" w:ascii="仿宋" w:hAnsi="仿宋" w:eastAsia="仿宋" w:cs="仿宋"/>
          <w:b/>
          <w:sz w:val="28"/>
          <w:szCs w:val="28"/>
          <w:highlight w:val="none"/>
        </w:rPr>
      </w:pPr>
      <w:bookmarkStart w:id="29" w:name="_BookMark_1"/>
      <w:bookmarkEnd w:id="29"/>
      <w:bookmarkStart w:id="30" w:name="_Toc23868"/>
      <w:bookmarkStart w:id="31" w:name="_Toc58342531"/>
      <w:bookmarkStart w:id="32" w:name="_Toc501719166"/>
      <w:r>
        <w:rPr>
          <w:rFonts w:hint="eastAsia" w:ascii="仿宋" w:hAnsi="仿宋" w:eastAsia="仿宋" w:cs="仿宋"/>
          <w:b/>
          <w:sz w:val="28"/>
          <w:szCs w:val="28"/>
          <w:highlight w:val="none"/>
        </w:rPr>
        <w:t>评审办法前附表</w:t>
      </w:r>
      <w:bookmarkEnd w:id="30"/>
      <w:bookmarkEnd w:id="31"/>
    </w:p>
    <w:tbl>
      <w:tblPr>
        <w:tblStyle w:val="42"/>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553"/>
        <w:gridCol w:w="2519"/>
        <w:gridCol w:w="5260"/>
      </w:tblGrid>
      <w:tr w14:paraId="76225B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25" w:hRule="atLeast"/>
          <w:jc w:val="center"/>
        </w:trPr>
        <w:tc>
          <w:tcPr>
            <w:tcW w:w="332" w:type="pct"/>
            <w:tcBorders>
              <w:tl2br w:val="nil"/>
              <w:tr2bl w:val="nil"/>
            </w:tcBorders>
            <w:tcMar>
              <w:top w:w="0" w:type="dxa"/>
              <w:left w:w="28" w:type="dxa"/>
              <w:bottom w:w="0" w:type="dxa"/>
              <w:right w:w="28" w:type="dxa"/>
            </w:tcMar>
            <w:vAlign w:val="center"/>
          </w:tcPr>
          <w:p w14:paraId="131BA21B">
            <w:pPr>
              <w:spacing w:line="360" w:lineRule="auto"/>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1511" w:type="pct"/>
            <w:tcBorders>
              <w:tl2br w:val="nil"/>
              <w:tr2bl w:val="nil"/>
            </w:tcBorders>
            <w:tcMar>
              <w:top w:w="0" w:type="dxa"/>
              <w:left w:w="28" w:type="dxa"/>
              <w:bottom w:w="0" w:type="dxa"/>
              <w:right w:w="28" w:type="dxa"/>
            </w:tcMar>
            <w:vAlign w:val="center"/>
          </w:tcPr>
          <w:p w14:paraId="6B314243">
            <w:pPr>
              <w:spacing w:line="360" w:lineRule="auto"/>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条款内容</w:t>
            </w:r>
          </w:p>
        </w:tc>
        <w:tc>
          <w:tcPr>
            <w:tcW w:w="3156" w:type="pct"/>
            <w:tcBorders>
              <w:tl2br w:val="nil"/>
              <w:tr2bl w:val="nil"/>
            </w:tcBorders>
            <w:tcMar>
              <w:top w:w="0" w:type="dxa"/>
              <w:left w:w="28" w:type="dxa"/>
              <w:bottom w:w="0" w:type="dxa"/>
              <w:right w:w="28" w:type="dxa"/>
            </w:tcMar>
            <w:vAlign w:val="center"/>
          </w:tcPr>
          <w:p w14:paraId="0EB84DC8">
            <w:pPr>
              <w:spacing w:line="360" w:lineRule="auto"/>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编列内容</w:t>
            </w:r>
          </w:p>
        </w:tc>
      </w:tr>
      <w:tr w14:paraId="325F77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630" w:hRule="atLeast"/>
          <w:jc w:val="center"/>
        </w:trPr>
        <w:tc>
          <w:tcPr>
            <w:tcW w:w="332" w:type="pct"/>
            <w:tcBorders>
              <w:tl2br w:val="nil"/>
              <w:tr2bl w:val="nil"/>
            </w:tcBorders>
            <w:tcMar>
              <w:top w:w="0" w:type="dxa"/>
              <w:left w:w="28" w:type="dxa"/>
              <w:bottom w:w="0" w:type="dxa"/>
              <w:right w:w="28" w:type="dxa"/>
            </w:tcMar>
            <w:vAlign w:val="center"/>
          </w:tcPr>
          <w:p w14:paraId="4E64E8FB">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1511" w:type="pct"/>
            <w:tcBorders>
              <w:tl2br w:val="nil"/>
              <w:tr2bl w:val="nil"/>
            </w:tcBorders>
            <w:tcMar>
              <w:top w:w="0" w:type="dxa"/>
              <w:left w:w="28" w:type="dxa"/>
              <w:bottom w:w="0" w:type="dxa"/>
              <w:right w:w="28" w:type="dxa"/>
            </w:tcMar>
            <w:vAlign w:val="center"/>
          </w:tcPr>
          <w:p w14:paraId="79E4CF89">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分值构成及权重</w:t>
            </w:r>
          </w:p>
          <w:p w14:paraId="5896A6CE">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(总分100分)</w:t>
            </w:r>
          </w:p>
        </w:tc>
        <w:tc>
          <w:tcPr>
            <w:tcW w:w="3156" w:type="pct"/>
            <w:tcBorders>
              <w:tl2br w:val="nil"/>
              <w:tr2bl w:val="nil"/>
            </w:tcBorders>
            <w:tcMar>
              <w:top w:w="0" w:type="dxa"/>
              <w:left w:w="28" w:type="dxa"/>
              <w:bottom w:w="0" w:type="dxa"/>
              <w:right w:w="28" w:type="dxa"/>
            </w:tcMar>
            <w:vAlign w:val="center"/>
          </w:tcPr>
          <w:p w14:paraId="56787098">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1.详细评审部分</w:t>
            </w:r>
            <w:r>
              <w:rPr>
                <w:rFonts w:hint="eastAsia" w:ascii="仿宋" w:hAnsi="仿宋" w:eastAsia="仿宋" w:cs="仿宋"/>
                <w:sz w:val="24"/>
                <w:szCs w:val="24"/>
                <w:highlight w:val="none"/>
                <w:lang w:val="en-US" w:eastAsia="zh-CN"/>
              </w:rPr>
              <w:t>90</w:t>
            </w:r>
            <w:r>
              <w:rPr>
                <w:rFonts w:hint="eastAsia" w:ascii="仿宋" w:hAnsi="仿宋" w:eastAsia="仿宋" w:cs="仿宋"/>
                <w:sz w:val="24"/>
                <w:szCs w:val="24"/>
                <w:highlight w:val="none"/>
              </w:rPr>
              <w:t>分</w:t>
            </w:r>
          </w:p>
          <w:p w14:paraId="7C683B08">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2.投标报价</w:t>
            </w: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分</w:t>
            </w:r>
          </w:p>
        </w:tc>
      </w:tr>
      <w:tr w14:paraId="15FA15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47" w:hRule="atLeast"/>
          <w:jc w:val="center"/>
        </w:trPr>
        <w:tc>
          <w:tcPr>
            <w:tcW w:w="332" w:type="pct"/>
            <w:tcBorders>
              <w:tl2br w:val="nil"/>
              <w:tr2bl w:val="nil"/>
            </w:tcBorders>
            <w:tcMar>
              <w:top w:w="0" w:type="dxa"/>
              <w:left w:w="28" w:type="dxa"/>
              <w:bottom w:w="0" w:type="dxa"/>
              <w:right w:w="28" w:type="dxa"/>
            </w:tcMar>
            <w:vAlign w:val="center"/>
          </w:tcPr>
          <w:p w14:paraId="05F8A9A4">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1511" w:type="pct"/>
            <w:tcBorders>
              <w:tl2br w:val="nil"/>
              <w:tr2bl w:val="nil"/>
            </w:tcBorders>
            <w:tcMar>
              <w:top w:w="0" w:type="dxa"/>
              <w:left w:w="28" w:type="dxa"/>
              <w:bottom w:w="0" w:type="dxa"/>
              <w:right w:w="28" w:type="dxa"/>
            </w:tcMar>
            <w:vAlign w:val="center"/>
          </w:tcPr>
          <w:p w14:paraId="50717FC9">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资格审查</w:t>
            </w:r>
          </w:p>
        </w:tc>
        <w:tc>
          <w:tcPr>
            <w:tcW w:w="3156" w:type="pct"/>
            <w:tcBorders>
              <w:tl2br w:val="nil"/>
              <w:tr2bl w:val="nil"/>
            </w:tcBorders>
            <w:tcMar>
              <w:top w:w="0" w:type="dxa"/>
              <w:left w:w="28" w:type="dxa"/>
              <w:bottom w:w="0" w:type="dxa"/>
              <w:right w:w="28" w:type="dxa"/>
            </w:tcMar>
            <w:vAlign w:val="center"/>
          </w:tcPr>
          <w:p w14:paraId="4470C012">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详见《资格审查标准》</w:t>
            </w:r>
          </w:p>
        </w:tc>
      </w:tr>
      <w:tr w14:paraId="4F5A83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25" w:hRule="atLeast"/>
          <w:jc w:val="center"/>
        </w:trPr>
        <w:tc>
          <w:tcPr>
            <w:tcW w:w="332" w:type="pct"/>
            <w:tcBorders>
              <w:tl2br w:val="nil"/>
              <w:tr2bl w:val="nil"/>
            </w:tcBorders>
            <w:tcMar>
              <w:top w:w="0" w:type="dxa"/>
              <w:left w:w="28" w:type="dxa"/>
              <w:bottom w:w="0" w:type="dxa"/>
              <w:right w:w="28" w:type="dxa"/>
            </w:tcMar>
            <w:vAlign w:val="center"/>
          </w:tcPr>
          <w:p w14:paraId="4EC8A043">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1511" w:type="pct"/>
            <w:tcBorders>
              <w:tl2br w:val="nil"/>
              <w:tr2bl w:val="nil"/>
            </w:tcBorders>
            <w:tcMar>
              <w:top w:w="0" w:type="dxa"/>
              <w:left w:w="28" w:type="dxa"/>
              <w:bottom w:w="0" w:type="dxa"/>
              <w:right w:w="28" w:type="dxa"/>
            </w:tcMar>
            <w:vAlign w:val="center"/>
          </w:tcPr>
          <w:p w14:paraId="43A353CE">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符合性审查</w:t>
            </w:r>
          </w:p>
        </w:tc>
        <w:tc>
          <w:tcPr>
            <w:tcW w:w="3156" w:type="pct"/>
            <w:tcBorders>
              <w:tl2br w:val="nil"/>
              <w:tr2bl w:val="nil"/>
            </w:tcBorders>
            <w:tcMar>
              <w:top w:w="0" w:type="dxa"/>
              <w:left w:w="28" w:type="dxa"/>
              <w:bottom w:w="0" w:type="dxa"/>
              <w:right w:w="28" w:type="dxa"/>
            </w:tcMar>
            <w:vAlign w:val="center"/>
          </w:tcPr>
          <w:p w14:paraId="1ED6F7CB">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详见《符合性审查标准》</w:t>
            </w:r>
          </w:p>
        </w:tc>
      </w:tr>
      <w:tr w14:paraId="5F4C15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25" w:hRule="atLeast"/>
          <w:jc w:val="center"/>
        </w:trPr>
        <w:tc>
          <w:tcPr>
            <w:tcW w:w="332" w:type="pct"/>
            <w:tcBorders>
              <w:tl2br w:val="nil"/>
              <w:tr2bl w:val="nil"/>
            </w:tcBorders>
            <w:tcMar>
              <w:top w:w="0" w:type="dxa"/>
              <w:left w:w="28" w:type="dxa"/>
              <w:bottom w:w="0" w:type="dxa"/>
              <w:right w:w="28" w:type="dxa"/>
            </w:tcMar>
            <w:vAlign w:val="center"/>
          </w:tcPr>
          <w:p w14:paraId="2CF65CB6">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1511" w:type="pct"/>
            <w:tcBorders>
              <w:tl2br w:val="nil"/>
              <w:tr2bl w:val="nil"/>
            </w:tcBorders>
            <w:tcMar>
              <w:top w:w="0" w:type="dxa"/>
              <w:left w:w="28" w:type="dxa"/>
              <w:bottom w:w="0" w:type="dxa"/>
              <w:right w:w="28" w:type="dxa"/>
            </w:tcMar>
            <w:vAlign w:val="center"/>
          </w:tcPr>
          <w:p w14:paraId="309548C3">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详细评审</w:t>
            </w:r>
          </w:p>
        </w:tc>
        <w:tc>
          <w:tcPr>
            <w:tcW w:w="3156" w:type="pct"/>
            <w:tcBorders>
              <w:tl2br w:val="nil"/>
              <w:tr2bl w:val="nil"/>
            </w:tcBorders>
            <w:tcMar>
              <w:top w:w="0" w:type="dxa"/>
              <w:left w:w="28" w:type="dxa"/>
              <w:bottom w:w="0" w:type="dxa"/>
              <w:right w:w="28" w:type="dxa"/>
            </w:tcMar>
            <w:vAlign w:val="center"/>
          </w:tcPr>
          <w:p w14:paraId="41064084">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详见《详细评审标准》及本节第3.5款</w:t>
            </w:r>
          </w:p>
        </w:tc>
      </w:tr>
    </w:tbl>
    <w:p w14:paraId="047E2425">
      <w:pPr>
        <w:widowControl/>
        <w:shd w:val="clear" w:color="auto" w:fill="FFFFFF"/>
        <w:snapToGrid w:val="0"/>
        <w:spacing w:line="360" w:lineRule="auto"/>
        <w:jc w:val="center"/>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《资格审查标准》</w:t>
      </w:r>
      <w:bookmarkEnd w:id="32"/>
    </w:p>
    <w:tbl>
      <w:tblPr>
        <w:tblStyle w:val="42"/>
        <w:tblW w:w="501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539"/>
        <w:gridCol w:w="3779"/>
        <w:gridCol w:w="3998"/>
      </w:tblGrid>
      <w:tr w14:paraId="799A3B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4" w:hRule="atLeast"/>
          <w:jc w:val="center"/>
        </w:trPr>
        <w:tc>
          <w:tcPr>
            <w:tcW w:w="324" w:type="pct"/>
            <w:tcBorders>
              <w:tl2br w:val="nil"/>
              <w:tr2bl w:val="nil"/>
            </w:tcBorders>
            <w:vAlign w:val="center"/>
          </w:tcPr>
          <w:p w14:paraId="1DA8D5A8">
            <w:pPr>
              <w:spacing w:line="360" w:lineRule="auto"/>
              <w:jc w:val="center"/>
              <w:rPr>
                <w:rFonts w:hint="eastAsia" w:ascii="仿宋" w:hAnsi="仿宋" w:eastAsia="仿宋" w:cs="仿宋"/>
                <w:b/>
                <w:bCs/>
                <w:sz w:val="24"/>
                <w:szCs w:val="24"/>
                <w:highlight w:val="none"/>
                <w:shd w:val="clear" w:color="auto" w:fill="FFFFFF" w:themeFill="background1"/>
              </w:rPr>
            </w:pPr>
            <w:bookmarkStart w:id="33" w:name="_Toc501719167"/>
            <w:r>
              <w:rPr>
                <w:rFonts w:hint="eastAsia" w:ascii="仿宋" w:hAnsi="仿宋" w:eastAsia="仿宋" w:cs="仿宋"/>
                <w:b/>
                <w:bCs/>
                <w:sz w:val="24"/>
                <w:szCs w:val="24"/>
                <w:highlight w:val="none"/>
                <w:shd w:val="clear" w:color="auto" w:fill="FFFFFF" w:themeFill="background1"/>
              </w:rPr>
              <w:t>序号</w:t>
            </w:r>
          </w:p>
        </w:tc>
        <w:tc>
          <w:tcPr>
            <w:tcW w:w="2272" w:type="pct"/>
            <w:tcBorders>
              <w:tl2br w:val="nil"/>
              <w:tr2bl w:val="nil"/>
            </w:tcBorders>
            <w:vAlign w:val="center"/>
          </w:tcPr>
          <w:p w14:paraId="545C04EC">
            <w:pPr>
              <w:spacing w:line="360" w:lineRule="auto"/>
              <w:jc w:val="center"/>
              <w:rPr>
                <w:rFonts w:hint="eastAsia" w:ascii="仿宋" w:hAnsi="仿宋" w:eastAsia="仿宋" w:cs="仿宋"/>
                <w:b/>
                <w:bCs/>
                <w:sz w:val="24"/>
                <w:szCs w:val="24"/>
                <w:highlight w:val="none"/>
                <w:shd w:val="clear" w:color="auto" w:fill="FFFFFF" w:themeFill="background1"/>
              </w:rPr>
            </w:pPr>
            <w:r>
              <w:rPr>
                <w:rFonts w:hint="eastAsia" w:ascii="仿宋" w:hAnsi="仿宋" w:eastAsia="仿宋" w:cs="仿宋"/>
                <w:b/>
                <w:bCs/>
                <w:sz w:val="24"/>
                <w:szCs w:val="24"/>
                <w:highlight w:val="none"/>
                <w:shd w:val="clear" w:color="auto" w:fill="FFFFFF" w:themeFill="background1"/>
              </w:rPr>
              <w:t>审查要求</w:t>
            </w:r>
          </w:p>
        </w:tc>
        <w:tc>
          <w:tcPr>
            <w:tcW w:w="2402" w:type="pct"/>
            <w:tcBorders>
              <w:tl2br w:val="nil"/>
              <w:tr2bl w:val="nil"/>
            </w:tcBorders>
            <w:vAlign w:val="center"/>
          </w:tcPr>
          <w:p w14:paraId="68C9609D">
            <w:pPr>
              <w:spacing w:line="360" w:lineRule="auto"/>
              <w:jc w:val="center"/>
              <w:rPr>
                <w:rFonts w:hint="eastAsia" w:ascii="仿宋" w:hAnsi="仿宋" w:eastAsia="仿宋" w:cs="仿宋"/>
                <w:b/>
                <w:bCs/>
                <w:sz w:val="24"/>
                <w:szCs w:val="24"/>
                <w:highlight w:val="none"/>
                <w:shd w:val="clear" w:color="auto" w:fill="FFFFFF" w:themeFill="background1"/>
              </w:rPr>
            </w:pPr>
            <w:r>
              <w:rPr>
                <w:rFonts w:hint="eastAsia" w:ascii="仿宋" w:hAnsi="仿宋" w:eastAsia="仿宋" w:cs="仿宋"/>
                <w:b/>
                <w:bCs/>
                <w:sz w:val="24"/>
                <w:szCs w:val="24"/>
                <w:highlight w:val="none"/>
                <w:shd w:val="clear" w:color="auto" w:fill="FFFFFF" w:themeFill="background1"/>
              </w:rPr>
              <w:t>要求说明</w:t>
            </w:r>
          </w:p>
        </w:tc>
      </w:tr>
      <w:tr w14:paraId="1262B7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4" w:hRule="atLeast"/>
          <w:jc w:val="center"/>
        </w:trPr>
        <w:tc>
          <w:tcPr>
            <w:tcW w:w="324" w:type="pct"/>
            <w:tcBorders>
              <w:tl2br w:val="nil"/>
              <w:tr2bl w:val="nil"/>
            </w:tcBorders>
            <w:vAlign w:val="center"/>
          </w:tcPr>
          <w:p w14:paraId="0478CB35">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1</w:t>
            </w:r>
          </w:p>
        </w:tc>
        <w:tc>
          <w:tcPr>
            <w:tcW w:w="2272" w:type="pct"/>
            <w:tcBorders>
              <w:tl2br w:val="nil"/>
              <w:tr2bl w:val="nil"/>
            </w:tcBorders>
            <w:vAlign w:val="center"/>
          </w:tcPr>
          <w:p w14:paraId="6D1F81E9">
            <w:pPr>
              <w:spacing w:line="360" w:lineRule="auto"/>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满足《中华人民共和国政府采购法》第二十二条规定。</w:t>
            </w:r>
          </w:p>
        </w:tc>
        <w:tc>
          <w:tcPr>
            <w:tcW w:w="2402" w:type="pct"/>
            <w:tcBorders>
              <w:tl2br w:val="nil"/>
              <w:tr2bl w:val="nil"/>
            </w:tcBorders>
            <w:vAlign w:val="center"/>
          </w:tcPr>
          <w:p w14:paraId="3EAE12E3">
            <w:pPr>
              <w:spacing w:line="360" w:lineRule="auto"/>
              <w:jc w:val="left"/>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提供下列材料：①、法人或者其他组织的营业执照等证明文件，自然人的身份证明；②、财务状况报告，依法缴纳税收和社会保障资金的相关材料；③、具备履行合同所必需的设备和专业技术能力的证明材料；④、参加政府采购活动前3年内在经营活动中没有重大违法记录的书面声明。</w:t>
            </w:r>
          </w:p>
        </w:tc>
      </w:tr>
      <w:tr w14:paraId="517E52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4" w:hRule="atLeast"/>
          <w:jc w:val="center"/>
        </w:trPr>
        <w:tc>
          <w:tcPr>
            <w:tcW w:w="324" w:type="pct"/>
            <w:tcBorders>
              <w:tl2br w:val="nil"/>
              <w:tr2bl w:val="nil"/>
            </w:tcBorders>
            <w:vAlign w:val="center"/>
          </w:tcPr>
          <w:p w14:paraId="624D96BE">
            <w:pPr>
              <w:spacing w:line="360" w:lineRule="auto"/>
              <w:jc w:val="center"/>
              <w:rPr>
                <w:rFonts w:hint="eastAsia" w:ascii="仿宋" w:hAnsi="仿宋" w:eastAsia="仿宋" w:cs="仿宋"/>
                <w:sz w:val="24"/>
                <w:szCs w:val="24"/>
                <w:highlight w:val="none"/>
                <w:shd w:val="clear" w:color="auto" w:fill="FFFFFF" w:themeFill="background1"/>
                <w:lang w:val="en-US" w:eastAsia="zh-CN"/>
              </w:rPr>
            </w:pPr>
            <w:r>
              <w:rPr>
                <w:rFonts w:hint="eastAsia" w:ascii="仿宋" w:hAnsi="仿宋" w:eastAsia="仿宋" w:cs="仿宋"/>
                <w:sz w:val="24"/>
                <w:szCs w:val="24"/>
                <w:highlight w:val="none"/>
                <w:shd w:val="clear" w:color="auto" w:fill="FFFFFF" w:themeFill="background1"/>
                <w:lang w:val="en-US" w:eastAsia="zh-CN"/>
              </w:rPr>
              <w:t>2</w:t>
            </w:r>
          </w:p>
        </w:tc>
        <w:tc>
          <w:tcPr>
            <w:tcW w:w="2272" w:type="pct"/>
            <w:tcBorders>
              <w:tl2br w:val="nil"/>
              <w:tr2bl w:val="nil"/>
            </w:tcBorders>
            <w:vAlign w:val="center"/>
          </w:tcPr>
          <w:p w14:paraId="1E7E062D">
            <w:pPr>
              <w:spacing w:line="360" w:lineRule="auto"/>
              <w:rPr>
                <w:rFonts w:hint="eastAsia" w:ascii="仿宋" w:hAnsi="仿宋" w:eastAsia="仿宋" w:cs="仿宋"/>
                <w:sz w:val="24"/>
                <w:szCs w:val="24"/>
                <w:highlight w:val="none"/>
                <w:shd w:val="clear" w:color="auto" w:fill="FFFFFF" w:themeFill="background1"/>
              </w:rPr>
            </w:pPr>
            <w:r>
              <w:rPr>
                <w:rFonts w:hint="eastAsia" w:ascii="仿宋" w:hAnsi="仿宋" w:eastAsia="仿宋" w:cs="仿宋"/>
                <w:color w:val="000000"/>
                <w:sz w:val="24"/>
                <w:szCs w:val="24"/>
                <w:highlight w:val="none"/>
                <w:lang w:val="en-US" w:eastAsia="zh-CN"/>
              </w:rPr>
              <w:t>（1）投标人须具备有效的《安全生产许可证》。</w:t>
            </w:r>
          </w:p>
        </w:tc>
        <w:tc>
          <w:tcPr>
            <w:tcW w:w="2402" w:type="pct"/>
            <w:tcBorders>
              <w:tl2br w:val="nil"/>
              <w:tr2bl w:val="nil"/>
            </w:tcBorders>
            <w:vAlign w:val="center"/>
          </w:tcPr>
          <w:p w14:paraId="3C57304E">
            <w:pPr>
              <w:spacing w:line="360" w:lineRule="auto"/>
              <w:jc w:val="left"/>
              <w:rPr>
                <w:rFonts w:hint="default" w:ascii="仿宋" w:hAnsi="仿宋" w:eastAsia="仿宋" w:cs="仿宋"/>
                <w:sz w:val="24"/>
                <w:szCs w:val="24"/>
                <w:highlight w:val="none"/>
                <w:shd w:val="clear" w:color="auto" w:fill="FFFFFF" w:themeFill="background1"/>
                <w:lang w:val="en-US" w:eastAsia="zh-CN"/>
              </w:rPr>
            </w:pPr>
            <w:r>
              <w:rPr>
                <w:rFonts w:hint="eastAsia" w:ascii="仿宋" w:hAnsi="仿宋" w:eastAsia="仿宋" w:cs="仿宋"/>
                <w:sz w:val="24"/>
                <w:szCs w:val="24"/>
                <w:highlight w:val="none"/>
                <w:shd w:val="clear" w:color="auto" w:fill="FFFFFF" w:themeFill="background1"/>
                <w:lang w:val="en-US" w:eastAsia="zh-CN"/>
              </w:rPr>
              <w:t>须提供证书扫描件。</w:t>
            </w:r>
          </w:p>
        </w:tc>
      </w:tr>
      <w:tr w14:paraId="08B632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4" w:hRule="atLeast"/>
          <w:jc w:val="center"/>
        </w:trPr>
        <w:tc>
          <w:tcPr>
            <w:tcW w:w="324" w:type="pct"/>
            <w:tcBorders>
              <w:tl2br w:val="nil"/>
              <w:tr2bl w:val="nil"/>
            </w:tcBorders>
            <w:vAlign w:val="center"/>
          </w:tcPr>
          <w:p w14:paraId="14C716DE">
            <w:pPr>
              <w:spacing w:line="360" w:lineRule="auto"/>
              <w:jc w:val="center"/>
              <w:rPr>
                <w:rFonts w:hint="eastAsia" w:ascii="仿宋" w:hAnsi="仿宋" w:eastAsia="仿宋" w:cs="仿宋"/>
                <w:sz w:val="24"/>
                <w:szCs w:val="24"/>
                <w:highlight w:val="none"/>
                <w:shd w:val="clear" w:color="auto" w:fill="FFFFFF" w:themeFill="background1"/>
                <w:lang w:val="en-US" w:eastAsia="zh-CN"/>
              </w:rPr>
            </w:pPr>
            <w:r>
              <w:rPr>
                <w:rFonts w:hint="eastAsia" w:ascii="仿宋" w:hAnsi="仿宋" w:eastAsia="仿宋" w:cs="仿宋"/>
                <w:sz w:val="24"/>
                <w:szCs w:val="24"/>
                <w:highlight w:val="none"/>
                <w:shd w:val="clear" w:color="auto" w:fill="FFFFFF" w:themeFill="background1"/>
                <w:lang w:val="en-US" w:eastAsia="zh-CN"/>
              </w:rPr>
              <w:t>3</w:t>
            </w:r>
          </w:p>
        </w:tc>
        <w:tc>
          <w:tcPr>
            <w:tcW w:w="2272" w:type="pct"/>
            <w:tcBorders>
              <w:tl2br w:val="nil"/>
              <w:tr2bl w:val="nil"/>
            </w:tcBorders>
            <w:vAlign w:val="center"/>
          </w:tcPr>
          <w:p w14:paraId="37CA06FA">
            <w:pPr>
              <w:spacing w:line="360" w:lineRule="auto"/>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w:t>
            </w:r>
            <w:r>
              <w:rPr>
                <w:rFonts w:hint="eastAsia" w:ascii="仿宋" w:hAnsi="仿宋" w:eastAsia="仿宋" w:cs="仿宋"/>
                <w:sz w:val="24"/>
                <w:szCs w:val="24"/>
                <w:highlight w:val="none"/>
                <w:shd w:val="clear" w:color="auto" w:fill="FFFFFF" w:themeFill="background1"/>
                <w:lang w:val="en-US" w:eastAsia="zh-CN"/>
              </w:rPr>
              <w:t>2</w:t>
            </w:r>
            <w:r>
              <w:rPr>
                <w:rFonts w:hint="eastAsia" w:ascii="仿宋" w:hAnsi="仿宋" w:eastAsia="仿宋" w:cs="仿宋"/>
                <w:sz w:val="24"/>
                <w:szCs w:val="24"/>
                <w:highlight w:val="none"/>
                <w:shd w:val="clear" w:color="auto" w:fill="FFFFFF" w:themeFill="background1"/>
              </w:rPr>
              <w:t>）投标人如在“信用中国”网站（www.creditchina.gov.cn）、中国政府采购网（www.ccgp.gov.cn）等渠道被列入失信被执行人、重大税收违法失信主体、政府采购严重违法失信行为记录名单及其它不符合《中华人民共和国政府采购法》第二十二条规定条件的投标人，尚在处罚期内的将被拒绝参加本次</w:t>
            </w:r>
            <w:r>
              <w:rPr>
                <w:rFonts w:hint="eastAsia" w:ascii="仿宋" w:hAnsi="仿宋" w:eastAsia="仿宋" w:cs="仿宋"/>
                <w:sz w:val="24"/>
                <w:szCs w:val="24"/>
                <w:highlight w:val="none"/>
                <w:shd w:val="clear" w:color="auto" w:fill="FFFFFF" w:themeFill="background1"/>
                <w:lang w:eastAsia="zh-CN"/>
              </w:rPr>
              <w:t>招标</w:t>
            </w:r>
            <w:r>
              <w:rPr>
                <w:rFonts w:hint="eastAsia" w:ascii="仿宋" w:hAnsi="仿宋" w:eastAsia="仿宋" w:cs="仿宋"/>
                <w:sz w:val="24"/>
                <w:szCs w:val="24"/>
                <w:highlight w:val="none"/>
                <w:shd w:val="clear" w:color="auto" w:fill="FFFFFF" w:themeFill="background1"/>
              </w:rPr>
              <w:t>活动。</w:t>
            </w:r>
          </w:p>
        </w:tc>
        <w:tc>
          <w:tcPr>
            <w:tcW w:w="2402" w:type="pct"/>
            <w:tcBorders>
              <w:tl2br w:val="nil"/>
              <w:tr2bl w:val="nil"/>
            </w:tcBorders>
            <w:vAlign w:val="center"/>
          </w:tcPr>
          <w:p w14:paraId="255204DD">
            <w:pPr>
              <w:spacing w:line="360" w:lineRule="auto"/>
              <w:jc w:val="left"/>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以采购人或者采购代理机构查询记录为准。</w:t>
            </w:r>
          </w:p>
        </w:tc>
      </w:tr>
      <w:tr w14:paraId="7A433B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4" w:hRule="atLeast"/>
          <w:jc w:val="center"/>
        </w:trPr>
        <w:tc>
          <w:tcPr>
            <w:tcW w:w="324" w:type="pct"/>
            <w:tcBorders>
              <w:tl2br w:val="nil"/>
              <w:tr2bl w:val="nil"/>
            </w:tcBorders>
            <w:vAlign w:val="center"/>
          </w:tcPr>
          <w:p w14:paraId="433A49E5">
            <w:pPr>
              <w:spacing w:line="360" w:lineRule="auto"/>
              <w:jc w:val="center"/>
              <w:rPr>
                <w:rFonts w:hint="eastAsia" w:ascii="仿宋" w:hAnsi="仿宋" w:eastAsia="仿宋" w:cs="仿宋"/>
                <w:sz w:val="24"/>
                <w:szCs w:val="24"/>
                <w:highlight w:val="none"/>
                <w:shd w:val="clear" w:color="auto" w:fill="FFFFFF" w:themeFill="background1"/>
                <w:lang w:val="en-US" w:eastAsia="zh-CN"/>
              </w:rPr>
            </w:pPr>
            <w:r>
              <w:rPr>
                <w:rFonts w:hint="eastAsia" w:ascii="仿宋" w:hAnsi="仿宋" w:eastAsia="仿宋" w:cs="仿宋"/>
                <w:sz w:val="24"/>
                <w:szCs w:val="24"/>
                <w:highlight w:val="none"/>
                <w:shd w:val="clear" w:color="auto" w:fill="FFFFFF" w:themeFill="background1"/>
                <w:lang w:val="en-US" w:eastAsia="zh-CN"/>
              </w:rPr>
              <w:t>4</w:t>
            </w:r>
          </w:p>
        </w:tc>
        <w:tc>
          <w:tcPr>
            <w:tcW w:w="2272" w:type="pct"/>
            <w:tcBorders>
              <w:tl2br w:val="nil"/>
              <w:tr2bl w:val="nil"/>
            </w:tcBorders>
            <w:vAlign w:val="center"/>
          </w:tcPr>
          <w:p w14:paraId="511D483D">
            <w:pPr>
              <w:spacing w:line="360" w:lineRule="auto"/>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投标保证金必须按照招标文件要求缴纳。</w:t>
            </w:r>
          </w:p>
        </w:tc>
        <w:tc>
          <w:tcPr>
            <w:tcW w:w="2402" w:type="pct"/>
            <w:tcBorders>
              <w:tl2br w:val="nil"/>
              <w:tr2bl w:val="nil"/>
            </w:tcBorders>
            <w:vAlign w:val="center"/>
          </w:tcPr>
          <w:p w14:paraId="2EA0F2F4">
            <w:pPr>
              <w:spacing w:line="360" w:lineRule="auto"/>
              <w:jc w:val="left"/>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保证金缴纳凭证：投标人可将本项目保证金支付的汇款凭证、支票、汇票</w:t>
            </w:r>
            <w:r>
              <w:rPr>
                <w:rFonts w:hint="eastAsia" w:ascii="仿宋" w:hAnsi="仿宋" w:eastAsia="仿宋" w:cs="仿宋"/>
                <w:sz w:val="24"/>
                <w:szCs w:val="24"/>
                <w:highlight w:val="none"/>
                <w:shd w:val="clear" w:color="auto" w:fill="FFFFFF" w:themeFill="background1"/>
                <w:lang w:eastAsia="zh-CN"/>
              </w:rPr>
              <w:t>、</w:t>
            </w:r>
            <w:r>
              <w:rPr>
                <w:rFonts w:hint="eastAsia" w:ascii="仿宋" w:hAnsi="仿宋" w:eastAsia="仿宋" w:cs="仿宋"/>
                <w:sz w:val="24"/>
                <w:szCs w:val="24"/>
                <w:highlight w:val="none"/>
                <w:shd w:val="clear" w:color="auto" w:fill="FFFFFF" w:themeFill="background1"/>
                <w:lang w:val="en-US" w:eastAsia="zh-CN"/>
              </w:rPr>
              <w:t>保函</w:t>
            </w:r>
            <w:r>
              <w:rPr>
                <w:rFonts w:hint="eastAsia" w:ascii="仿宋" w:hAnsi="仿宋" w:eastAsia="仿宋" w:cs="仿宋"/>
                <w:sz w:val="24"/>
                <w:szCs w:val="24"/>
                <w:highlight w:val="none"/>
                <w:shd w:val="clear" w:color="auto" w:fill="FFFFFF" w:themeFill="background1"/>
              </w:rPr>
              <w:t>或保证金收据的扫描件作为缴纳凭证制作在投标文件中。</w:t>
            </w:r>
          </w:p>
        </w:tc>
      </w:tr>
      <w:tr w14:paraId="604420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50" w:hRule="atLeast"/>
          <w:jc w:val="center"/>
        </w:trPr>
        <w:tc>
          <w:tcPr>
            <w:tcW w:w="5000" w:type="pct"/>
            <w:gridSpan w:val="3"/>
            <w:tcBorders>
              <w:tl2br w:val="nil"/>
              <w:tr2bl w:val="nil"/>
            </w:tcBorders>
            <w:vAlign w:val="center"/>
          </w:tcPr>
          <w:p w14:paraId="2BCCE95E">
            <w:pPr>
              <w:spacing w:line="360" w:lineRule="auto"/>
              <w:jc w:val="left"/>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备注： 如果资格评审中有一项不满足审查标准的，采购人将认定该投标人不通过资格审查，投标文件将被拒绝评审。并且不允许投标人通过修改或撤销其不符合要求的差异或保留，使之成为具有响应性的投标。</w:t>
            </w:r>
          </w:p>
        </w:tc>
      </w:tr>
    </w:tbl>
    <w:p w14:paraId="28A9CE73">
      <w:pPr>
        <w:spacing w:line="360" w:lineRule="auto"/>
        <w:jc w:val="center"/>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《符合性审查标准》</w:t>
      </w:r>
      <w:bookmarkEnd w:id="33"/>
    </w:p>
    <w:tbl>
      <w:tblPr>
        <w:tblStyle w:val="42"/>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564"/>
        <w:gridCol w:w="6683"/>
        <w:gridCol w:w="1049"/>
      </w:tblGrid>
      <w:tr w14:paraId="1A7559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465" w:hRule="atLeast"/>
          <w:jc w:val="center"/>
        </w:trPr>
        <w:tc>
          <w:tcPr>
            <w:tcW w:w="340" w:type="pct"/>
            <w:tcBorders>
              <w:tl2br w:val="nil"/>
              <w:tr2bl w:val="nil"/>
            </w:tcBorders>
            <w:vAlign w:val="center"/>
          </w:tcPr>
          <w:p w14:paraId="347FB060">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序号</w:t>
            </w:r>
          </w:p>
        </w:tc>
        <w:tc>
          <w:tcPr>
            <w:tcW w:w="4028" w:type="pct"/>
            <w:tcBorders>
              <w:tl2br w:val="nil"/>
              <w:tr2bl w:val="nil"/>
            </w:tcBorders>
            <w:vAlign w:val="center"/>
          </w:tcPr>
          <w:p w14:paraId="11D627D1">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审查要求</w:t>
            </w:r>
          </w:p>
        </w:tc>
        <w:tc>
          <w:tcPr>
            <w:tcW w:w="630" w:type="pct"/>
            <w:tcBorders>
              <w:tl2br w:val="nil"/>
              <w:tr2bl w:val="nil"/>
            </w:tcBorders>
            <w:vAlign w:val="center"/>
          </w:tcPr>
          <w:p w14:paraId="65B9E508">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要求说明</w:t>
            </w:r>
          </w:p>
        </w:tc>
      </w:tr>
      <w:tr w14:paraId="1E6ED3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1" w:hRule="atLeast"/>
          <w:jc w:val="center"/>
        </w:trPr>
        <w:tc>
          <w:tcPr>
            <w:tcW w:w="340" w:type="pct"/>
            <w:tcBorders>
              <w:tl2br w:val="nil"/>
              <w:tr2bl w:val="nil"/>
            </w:tcBorders>
            <w:vAlign w:val="center"/>
          </w:tcPr>
          <w:p w14:paraId="7C62D2BD">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1</w:t>
            </w:r>
          </w:p>
        </w:tc>
        <w:tc>
          <w:tcPr>
            <w:tcW w:w="4028" w:type="pct"/>
            <w:tcBorders>
              <w:tl2br w:val="nil"/>
              <w:tr2bl w:val="nil"/>
            </w:tcBorders>
            <w:vAlign w:val="center"/>
          </w:tcPr>
          <w:p w14:paraId="36C2371C">
            <w:pPr>
              <w:widowControl/>
              <w:shd w:val="clear" w:color="auto" w:fill="FFFFFF"/>
              <w:snapToGrid w:val="0"/>
              <w:spacing w:line="360" w:lineRule="auto"/>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lang w:val="en-US" w:eastAsia="zh-CN"/>
              </w:rPr>
              <w:t>投标文件</w:t>
            </w:r>
            <w:r>
              <w:rPr>
                <w:rFonts w:hint="eastAsia" w:ascii="仿宋" w:hAnsi="仿宋" w:eastAsia="仿宋" w:cs="仿宋"/>
                <w:sz w:val="24"/>
                <w:szCs w:val="24"/>
                <w:highlight w:val="none"/>
                <w:shd w:val="clear" w:color="auto" w:fill="FFFFFF" w:themeFill="background1"/>
              </w:rPr>
              <w:t>必须按照</w:t>
            </w:r>
            <w:r>
              <w:rPr>
                <w:rFonts w:hint="eastAsia" w:ascii="仿宋" w:hAnsi="仿宋" w:eastAsia="仿宋" w:cs="仿宋"/>
                <w:sz w:val="24"/>
                <w:szCs w:val="24"/>
                <w:highlight w:val="none"/>
                <w:shd w:val="clear" w:color="auto" w:fill="FFFFFF" w:themeFill="background1"/>
                <w:lang w:val="en-US" w:eastAsia="zh-CN"/>
              </w:rPr>
              <w:t>招标</w:t>
            </w:r>
            <w:r>
              <w:rPr>
                <w:rFonts w:hint="eastAsia" w:ascii="仿宋" w:hAnsi="仿宋" w:eastAsia="仿宋" w:cs="仿宋"/>
                <w:sz w:val="24"/>
                <w:szCs w:val="24"/>
                <w:highlight w:val="none"/>
                <w:shd w:val="clear" w:color="auto" w:fill="FFFFFF" w:themeFill="background1"/>
              </w:rPr>
              <w:t>文件规定要求加盖</w:t>
            </w:r>
            <w:r>
              <w:rPr>
                <w:rFonts w:hint="eastAsia" w:ascii="仿宋" w:hAnsi="仿宋" w:eastAsia="仿宋" w:cs="仿宋"/>
                <w:sz w:val="24"/>
                <w:szCs w:val="24"/>
                <w:highlight w:val="none"/>
                <w:shd w:val="clear" w:color="auto" w:fill="FFFFFF" w:themeFill="background1"/>
                <w:lang w:val="en-US" w:eastAsia="zh-CN"/>
              </w:rPr>
              <w:t>投标人</w:t>
            </w:r>
            <w:r>
              <w:rPr>
                <w:rFonts w:hint="eastAsia" w:ascii="仿宋" w:hAnsi="仿宋" w:eastAsia="仿宋" w:cs="仿宋"/>
                <w:sz w:val="24"/>
                <w:szCs w:val="24"/>
                <w:highlight w:val="none"/>
                <w:shd w:val="clear" w:color="auto" w:fill="FFFFFF" w:themeFill="background1"/>
              </w:rPr>
              <w:t>、法定代表人电子印章；</w:t>
            </w:r>
          </w:p>
        </w:tc>
        <w:tc>
          <w:tcPr>
            <w:tcW w:w="630" w:type="pct"/>
            <w:tcBorders>
              <w:tl2br w:val="nil"/>
              <w:tr2bl w:val="nil"/>
            </w:tcBorders>
            <w:vAlign w:val="center"/>
          </w:tcPr>
          <w:p w14:paraId="3C97912B">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w:t>
            </w:r>
          </w:p>
        </w:tc>
      </w:tr>
      <w:tr w14:paraId="06D660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1" w:hRule="atLeast"/>
          <w:jc w:val="center"/>
        </w:trPr>
        <w:tc>
          <w:tcPr>
            <w:tcW w:w="340" w:type="pct"/>
            <w:tcBorders>
              <w:tl2br w:val="nil"/>
              <w:tr2bl w:val="nil"/>
            </w:tcBorders>
            <w:vAlign w:val="center"/>
          </w:tcPr>
          <w:p w14:paraId="57F01AAE">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2</w:t>
            </w:r>
          </w:p>
        </w:tc>
        <w:tc>
          <w:tcPr>
            <w:tcW w:w="4028" w:type="pct"/>
            <w:tcBorders>
              <w:tl2br w:val="nil"/>
              <w:tr2bl w:val="nil"/>
            </w:tcBorders>
            <w:vAlign w:val="center"/>
          </w:tcPr>
          <w:p w14:paraId="35CD709E">
            <w:pPr>
              <w:widowControl/>
              <w:shd w:val="clear" w:color="auto" w:fill="FFFFFF"/>
              <w:snapToGrid w:val="0"/>
              <w:spacing w:line="360" w:lineRule="auto"/>
              <w:rPr>
                <w:rFonts w:hint="eastAsia" w:ascii="仿宋" w:hAnsi="仿宋" w:eastAsia="仿宋" w:cs="仿宋"/>
                <w:sz w:val="24"/>
                <w:szCs w:val="24"/>
                <w:highlight w:val="none"/>
              </w:rPr>
            </w:pPr>
            <w:r>
              <w:rPr>
                <w:rFonts w:hint="eastAsia" w:ascii="仿宋" w:hAnsi="仿宋" w:eastAsia="仿宋" w:cs="仿宋"/>
                <w:kern w:val="0"/>
                <w:sz w:val="24"/>
                <w:szCs w:val="24"/>
                <w:highlight w:val="none"/>
              </w:rPr>
              <w:t>项目负责人简历表必须提供；</w:t>
            </w:r>
          </w:p>
        </w:tc>
        <w:tc>
          <w:tcPr>
            <w:tcW w:w="630" w:type="pct"/>
            <w:tcBorders>
              <w:tl2br w:val="nil"/>
              <w:tr2bl w:val="nil"/>
            </w:tcBorders>
            <w:vAlign w:val="center"/>
          </w:tcPr>
          <w:p w14:paraId="11364868">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w:t>
            </w:r>
          </w:p>
        </w:tc>
      </w:tr>
      <w:tr w14:paraId="74E8B2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1" w:hRule="atLeast"/>
          <w:jc w:val="center"/>
        </w:trPr>
        <w:tc>
          <w:tcPr>
            <w:tcW w:w="340" w:type="pct"/>
            <w:tcBorders>
              <w:tl2br w:val="nil"/>
              <w:tr2bl w:val="nil"/>
            </w:tcBorders>
            <w:vAlign w:val="center"/>
          </w:tcPr>
          <w:p w14:paraId="1651275C">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3</w:t>
            </w:r>
          </w:p>
        </w:tc>
        <w:tc>
          <w:tcPr>
            <w:tcW w:w="4028" w:type="pct"/>
            <w:tcBorders>
              <w:tl2br w:val="nil"/>
              <w:tr2bl w:val="nil"/>
            </w:tcBorders>
            <w:vAlign w:val="center"/>
          </w:tcPr>
          <w:p w14:paraId="0A7A3D79">
            <w:pPr>
              <w:spacing w:line="360" w:lineRule="auto"/>
              <w:rPr>
                <w:rFonts w:hint="eastAsia" w:ascii="仿宋" w:hAnsi="仿宋" w:eastAsia="仿宋" w:cs="仿宋"/>
                <w:sz w:val="24"/>
                <w:szCs w:val="24"/>
                <w:highlight w:val="none"/>
                <w:shd w:val="clear" w:color="auto" w:fill="FFFFFF" w:themeFill="background1"/>
              </w:rPr>
            </w:pPr>
            <w:r>
              <w:rPr>
                <w:rFonts w:hint="eastAsia" w:ascii="仿宋" w:hAnsi="仿宋" w:eastAsia="仿宋" w:cs="仿宋"/>
                <w:kern w:val="0"/>
                <w:sz w:val="24"/>
                <w:szCs w:val="24"/>
                <w:highlight w:val="none"/>
              </w:rPr>
              <w:t>拟派本项目主要服务人员情况表必须提供；</w:t>
            </w:r>
          </w:p>
        </w:tc>
        <w:tc>
          <w:tcPr>
            <w:tcW w:w="630" w:type="pct"/>
            <w:tcBorders>
              <w:tl2br w:val="nil"/>
              <w:tr2bl w:val="nil"/>
            </w:tcBorders>
            <w:vAlign w:val="center"/>
          </w:tcPr>
          <w:p w14:paraId="1235E06F">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w:t>
            </w:r>
          </w:p>
        </w:tc>
      </w:tr>
      <w:tr w14:paraId="26E7D3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1" w:hRule="atLeast"/>
          <w:jc w:val="center"/>
        </w:trPr>
        <w:tc>
          <w:tcPr>
            <w:tcW w:w="340" w:type="pct"/>
            <w:tcBorders>
              <w:tl2br w:val="nil"/>
              <w:tr2bl w:val="nil"/>
            </w:tcBorders>
            <w:vAlign w:val="center"/>
          </w:tcPr>
          <w:p w14:paraId="6D35CF74">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4</w:t>
            </w:r>
          </w:p>
        </w:tc>
        <w:tc>
          <w:tcPr>
            <w:tcW w:w="4028" w:type="pct"/>
            <w:tcBorders>
              <w:tl2br w:val="nil"/>
              <w:tr2bl w:val="nil"/>
            </w:tcBorders>
            <w:vAlign w:val="center"/>
          </w:tcPr>
          <w:p w14:paraId="492FAF88">
            <w:pPr>
              <w:spacing w:line="360" w:lineRule="auto"/>
              <w:rPr>
                <w:rFonts w:hint="eastAsia" w:ascii="仿宋" w:hAnsi="仿宋" w:eastAsia="仿宋" w:cs="仿宋"/>
                <w:sz w:val="24"/>
                <w:szCs w:val="24"/>
                <w:highlight w:val="none"/>
                <w:shd w:val="clear" w:color="auto" w:fill="FFFFFF" w:themeFill="background1"/>
              </w:rPr>
            </w:pPr>
            <w:r>
              <w:rPr>
                <w:rFonts w:hint="eastAsia" w:ascii="仿宋" w:hAnsi="仿宋" w:eastAsia="仿宋" w:cs="仿宋"/>
                <w:kern w:val="0"/>
                <w:sz w:val="24"/>
                <w:szCs w:val="24"/>
                <w:highlight w:val="none"/>
              </w:rPr>
              <w:t>服务周期必须满足</w:t>
            </w:r>
            <w:r>
              <w:rPr>
                <w:rFonts w:hint="eastAsia" w:ascii="仿宋" w:hAnsi="仿宋" w:eastAsia="仿宋" w:cs="仿宋"/>
                <w:kern w:val="0"/>
                <w:sz w:val="24"/>
                <w:szCs w:val="24"/>
                <w:highlight w:val="none"/>
                <w:lang w:val="en-US" w:eastAsia="zh-CN"/>
              </w:rPr>
              <w:t>招标</w:t>
            </w:r>
            <w:r>
              <w:rPr>
                <w:rFonts w:hint="eastAsia" w:ascii="仿宋" w:hAnsi="仿宋" w:eastAsia="仿宋" w:cs="仿宋"/>
                <w:kern w:val="0"/>
                <w:sz w:val="24"/>
                <w:szCs w:val="24"/>
                <w:highlight w:val="none"/>
              </w:rPr>
              <w:t>文件要求；</w:t>
            </w:r>
          </w:p>
        </w:tc>
        <w:tc>
          <w:tcPr>
            <w:tcW w:w="630" w:type="pct"/>
            <w:tcBorders>
              <w:tl2br w:val="nil"/>
              <w:tr2bl w:val="nil"/>
            </w:tcBorders>
            <w:vAlign w:val="center"/>
          </w:tcPr>
          <w:p w14:paraId="69E33605">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w:t>
            </w:r>
          </w:p>
        </w:tc>
      </w:tr>
      <w:tr w14:paraId="01AF8B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1" w:hRule="atLeast"/>
          <w:jc w:val="center"/>
        </w:trPr>
        <w:tc>
          <w:tcPr>
            <w:tcW w:w="340" w:type="pct"/>
            <w:tcBorders>
              <w:tl2br w:val="nil"/>
              <w:tr2bl w:val="nil"/>
            </w:tcBorders>
            <w:vAlign w:val="center"/>
          </w:tcPr>
          <w:p w14:paraId="19593D88">
            <w:pPr>
              <w:spacing w:line="360" w:lineRule="auto"/>
              <w:jc w:val="center"/>
              <w:rPr>
                <w:rFonts w:hint="eastAsia" w:ascii="仿宋" w:hAnsi="仿宋" w:eastAsia="仿宋" w:cs="仿宋"/>
                <w:sz w:val="24"/>
                <w:szCs w:val="24"/>
                <w:highlight w:val="none"/>
                <w:shd w:val="clear" w:color="auto" w:fill="FFFFFF" w:themeFill="background1"/>
                <w:lang w:val="en-US" w:eastAsia="zh-CN"/>
              </w:rPr>
            </w:pPr>
            <w:r>
              <w:rPr>
                <w:rFonts w:hint="eastAsia" w:ascii="仿宋" w:hAnsi="仿宋" w:eastAsia="仿宋" w:cs="仿宋"/>
                <w:sz w:val="24"/>
                <w:szCs w:val="24"/>
                <w:highlight w:val="none"/>
                <w:shd w:val="clear" w:color="auto" w:fill="FFFFFF" w:themeFill="background1"/>
                <w:lang w:val="en-US" w:eastAsia="zh-CN"/>
              </w:rPr>
              <w:t>5</w:t>
            </w:r>
          </w:p>
        </w:tc>
        <w:tc>
          <w:tcPr>
            <w:tcW w:w="4028" w:type="pct"/>
            <w:tcBorders>
              <w:tl2br w:val="nil"/>
              <w:tr2bl w:val="nil"/>
            </w:tcBorders>
            <w:vAlign w:val="center"/>
          </w:tcPr>
          <w:p w14:paraId="41F04586">
            <w:pPr>
              <w:spacing w:line="360" w:lineRule="auto"/>
              <w:rPr>
                <w:rFonts w:hint="eastAsia" w:ascii="仿宋" w:hAnsi="仿宋" w:eastAsia="仿宋" w:cs="仿宋"/>
                <w:sz w:val="24"/>
                <w:szCs w:val="24"/>
                <w:highlight w:val="none"/>
                <w:shd w:val="clear" w:color="auto" w:fill="FFFFFF" w:themeFill="background1"/>
              </w:rPr>
            </w:pPr>
            <w:r>
              <w:rPr>
                <w:rFonts w:hint="eastAsia" w:ascii="仿宋" w:hAnsi="仿宋" w:eastAsia="仿宋" w:cs="仿宋"/>
                <w:kern w:val="0"/>
                <w:sz w:val="24"/>
                <w:szCs w:val="24"/>
                <w:highlight w:val="none"/>
                <w:lang w:val="en-US" w:eastAsia="zh-CN"/>
              </w:rPr>
              <w:t>投标</w:t>
            </w:r>
            <w:r>
              <w:rPr>
                <w:rFonts w:hint="eastAsia" w:ascii="仿宋" w:hAnsi="仿宋" w:eastAsia="仿宋" w:cs="仿宋"/>
                <w:kern w:val="0"/>
                <w:sz w:val="24"/>
                <w:szCs w:val="24"/>
                <w:highlight w:val="none"/>
              </w:rPr>
              <w:t>价格不得超过</w:t>
            </w:r>
            <w:r>
              <w:rPr>
                <w:rFonts w:hint="eastAsia" w:ascii="仿宋" w:hAnsi="仿宋" w:eastAsia="仿宋" w:cs="仿宋"/>
                <w:kern w:val="0"/>
                <w:sz w:val="24"/>
                <w:szCs w:val="24"/>
                <w:highlight w:val="none"/>
                <w:lang w:val="en-US" w:eastAsia="zh-CN"/>
              </w:rPr>
              <w:t>投标人</w:t>
            </w:r>
            <w:r>
              <w:rPr>
                <w:rFonts w:hint="eastAsia" w:ascii="仿宋" w:hAnsi="仿宋" w:eastAsia="仿宋" w:cs="仿宋"/>
                <w:kern w:val="0"/>
                <w:sz w:val="24"/>
                <w:szCs w:val="24"/>
                <w:highlight w:val="none"/>
              </w:rPr>
              <w:t>须知前附表中的采购预算金额；</w:t>
            </w:r>
          </w:p>
        </w:tc>
        <w:tc>
          <w:tcPr>
            <w:tcW w:w="630" w:type="pct"/>
            <w:tcBorders>
              <w:tl2br w:val="nil"/>
              <w:tr2bl w:val="nil"/>
            </w:tcBorders>
            <w:vAlign w:val="center"/>
          </w:tcPr>
          <w:p w14:paraId="4DA150C5">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w:t>
            </w:r>
          </w:p>
        </w:tc>
      </w:tr>
      <w:tr w14:paraId="65E6CD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1" w:hRule="atLeast"/>
          <w:jc w:val="center"/>
        </w:trPr>
        <w:tc>
          <w:tcPr>
            <w:tcW w:w="340" w:type="pct"/>
            <w:tcBorders>
              <w:tl2br w:val="nil"/>
              <w:tr2bl w:val="nil"/>
            </w:tcBorders>
            <w:vAlign w:val="center"/>
          </w:tcPr>
          <w:p w14:paraId="137F1673">
            <w:pPr>
              <w:spacing w:line="360" w:lineRule="auto"/>
              <w:jc w:val="center"/>
              <w:rPr>
                <w:rFonts w:hint="eastAsia" w:ascii="仿宋" w:hAnsi="仿宋" w:eastAsia="仿宋" w:cs="仿宋"/>
                <w:sz w:val="24"/>
                <w:szCs w:val="24"/>
                <w:highlight w:val="none"/>
                <w:shd w:val="clear" w:color="auto" w:fill="FFFFFF" w:themeFill="background1"/>
                <w:lang w:val="en-US" w:eastAsia="zh-CN"/>
              </w:rPr>
            </w:pPr>
            <w:r>
              <w:rPr>
                <w:rFonts w:hint="eastAsia" w:ascii="仿宋" w:hAnsi="仿宋" w:eastAsia="仿宋" w:cs="仿宋"/>
                <w:sz w:val="24"/>
                <w:szCs w:val="24"/>
                <w:highlight w:val="none"/>
                <w:shd w:val="clear" w:color="auto" w:fill="FFFFFF" w:themeFill="background1"/>
                <w:lang w:val="en-US" w:eastAsia="zh-CN"/>
              </w:rPr>
              <w:t>6</w:t>
            </w:r>
          </w:p>
        </w:tc>
        <w:tc>
          <w:tcPr>
            <w:tcW w:w="4028" w:type="pct"/>
            <w:tcBorders>
              <w:tl2br w:val="nil"/>
              <w:tr2bl w:val="nil"/>
            </w:tcBorders>
          </w:tcPr>
          <w:p w14:paraId="646B4C6C">
            <w:pPr>
              <w:spacing w:line="360" w:lineRule="auto"/>
              <w:rPr>
                <w:rFonts w:hint="eastAsia" w:ascii="仿宋" w:hAnsi="仿宋" w:eastAsia="仿宋" w:cs="仿宋"/>
                <w:sz w:val="24"/>
                <w:szCs w:val="24"/>
                <w:highlight w:val="none"/>
                <w:shd w:val="clear" w:color="auto" w:fill="FFFFFF" w:themeFill="background1"/>
              </w:rPr>
            </w:pPr>
            <w:r>
              <w:rPr>
                <w:rFonts w:hint="eastAsia" w:ascii="仿宋" w:hAnsi="仿宋" w:eastAsia="仿宋" w:cs="仿宋"/>
                <w:kern w:val="0"/>
                <w:sz w:val="24"/>
                <w:szCs w:val="24"/>
                <w:highlight w:val="none"/>
                <w:lang w:val="en-US" w:eastAsia="zh-CN"/>
              </w:rPr>
              <w:t>投标</w:t>
            </w:r>
            <w:r>
              <w:rPr>
                <w:rFonts w:hint="eastAsia" w:ascii="仿宋" w:hAnsi="仿宋" w:eastAsia="仿宋" w:cs="仿宋"/>
                <w:kern w:val="0"/>
                <w:sz w:val="24"/>
                <w:szCs w:val="24"/>
                <w:highlight w:val="none"/>
              </w:rPr>
              <w:t>文件没有不符合</w:t>
            </w:r>
            <w:r>
              <w:rPr>
                <w:rFonts w:hint="eastAsia" w:ascii="仿宋" w:hAnsi="仿宋" w:eastAsia="仿宋" w:cs="仿宋"/>
                <w:kern w:val="0"/>
                <w:sz w:val="24"/>
                <w:szCs w:val="24"/>
                <w:highlight w:val="none"/>
                <w:lang w:val="en-US" w:eastAsia="zh-CN"/>
              </w:rPr>
              <w:t>招标</w:t>
            </w:r>
            <w:r>
              <w:rPr>
                <w:rFonts w:hint="eastAsia" w:ascii="仿宋" w:hAnsi="仿宋" w:eastAsia="仿宋" w:cs="仿宋"/>
                <w:kern w:val="0"/>
                <w:sz w:val="24"/>
                <w:szCs w:val="24"/>
                <w:highlight w:val="none"/>
              </w:rPr>
              <w:t>文件实质性要求的。</w:t>
            </w:r>
          </w:p>
        </w:tc>
        <w:tc>
          <w:tcPr>
            <w:tcW w:w="630" w:type="pct"/>
            <w:tcBorders>
              <w:tl2br w:val="nil"/>
              <w:tr2bl w:val="nil"/>
            </w:tcBorders>
            <w:vAlign w:val="center"/>
          </w:tcPr>
          <w:p w14:paraId="38256791">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w:t>
            </w:r>
          </w:p>
        </w:tc>
      </w:tr>
      <w:tr w14:paraId="26B9A9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20" w:hRule="atLeast"/>
          <w:jc w:val="center"/>
        </w:trPr>
        <w:tc>
          <w:tcPr>
            <w:tcW w:w="5000" w:type="pct"/>
            <w:gridSpan w:val="3"/>
            <w:tcBorders>
              <w:tl2br w:val="nil"/>
              <w:tr2bl w:val="nil"/>
            </w:tcBorders>
            <w:vAlign w:val="center"/>
          </w:tcPr>
          <w:p w14:paraId="3C97FB1E">
            <w:pPr>
              <w:spacing w:line="360" w:lineRule="auto"/>
              <w:jc w:val="left"/>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备注：符合性审查中有一项不满足评审标准的，评标委员会将认定该投标人不通过符合性审查，不得进入下一阶段评审。并且不允许投标人通过修改或撤销其不符合要求的差异或保留，使之成为具有响应性的投标。</w:t>
            </w:r>
          </w:p>
        </w:tc>
      </w:tr>
    </w:tbl>
    <w:p w14:paraId="081BE18B">
      <w:pPr>
        <w:spacing w:line="360" w:lineRule="auto"/>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《详细评审标准》</w:t>
      </w:r>
    </w:p>
    <w:tbl>
      <w:tblPr>
        <w:tblStyle w:val="42"/>
        <w:tblW w:w="4995"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72"/>
        <w:gridCol w:w="1054"/>
        <w:gridCol w:w="778"/>
        <w:gridCol w:w="5683"/>
      </w:tblGrid>
      <w:tr w14:paraId="64E120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194" w:type="pct"/>
            <w:gridSpan w:val="2"/>
            <w:tcBorders>
              <w:tl2br w:val="nil"/>
              <w:tr2bl w:val="nil"/>
            </w:tcBorders>
            <w:noWrap w:val="0"/>
            <w:vAlign w:val="center"/>
          </w:tcPr>
          <w:p w14:paraId="08BCCB50">
            <w:pPr>
              <w:spacing w:line="360" w:lineRule="auto"/>
              <w:ind w:right="638" w:rightChars="304"/>
              <w:jc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评分因素</w:t>
            </w:r>
          </w:p>
        </w:tc>
        <w:tc>
          <w:tcPr>
            <w:tcW w:w="458" w:type="pct"/>
            <w:tcBorders>
              <w:tl2br w:val="nil"/>
              <w:tr2bl w:val="nil"/>
            </w:tcBorders>
            <w:noWrap w:val="0"/>
            <w:vAlign w:val="center"/>
          </w:tcPr>
          <w:p w14:paraId="0233A1BC">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分值</w:t>
            </w:r>
          </w:p>
        </w:tc>
        <w:tc>
          <w:tcPr>
            <w:tcW w:w="3347" w:type="pct"/>
            <w:tcBorders>
              <w:tl2br w:val="nil"/>
              <w:tr2bl w:val="nil"/>
            </w:tcBorders>
            <w:noWrap w:val="0"/>
            <w:vAlign w:val="center"/>
          </w:tcPr>
          <w:p w14:paraId="758CC2FD">
            <w:pPr>
              <w:spacing w:line="360" w:lineRule="auto"/>
              <w:ind w:right="-31" w:rightChars="-15"/>
              <w:jc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评分细则</w:t>
            </w:r>
          </w:p>
        </w:tc>
      </w:tr>
      <w:tr w14:paraId="4F6061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194" w:type="pct"/>
            <w:gridSpan w:val="2"/>
            <w:tcBorders>
              <w:tl2br w:val="nil"/>
              <w:tr2bl w:val="nil"/>
            </w:tcBorders>
            <w:noWrap w:val="0"/>
            <w:vAlign w:val="center"/>
          </w:tcPr>
          <w:p w14:paraId="2F67F50C">
            <w:pPr>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color w:val="auto"/>
                <w:sz w:val="24"/>
                <w:szCs w:val="24"/>
                <w:highlight w:val="none"/>
              </w:rPr>
              <w:t>价格部分（</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0分）</w:t>
            </w:r>
          </w:p>
        </w:tc>
        <w:tc>
          <w:tcPr>
            <w:tcW w:w="458" w:type="pct"/>
            <w:tcBorders>
              <w:tl2br w:val="nil"/>
              <w:tr2bl w:val="nil"/>
            </w:tcBorders>
            <w:noWrap w:val="0"/>
            <w:vAlign w:val="center"/>
          </w:tcPr>
          <w:p w14:paraId="2E428707">
            <w:pPr>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Cs/>
                <w:color w:val="auto"/>
                <w:kern w:val="0"/>
                <w:sz w:val="24"/>
                <w:szCs w:val="24"/>
                <w:highlight w:val="none"/>
                <w:lang w:val="en-US" w:eastAsia="zh-CN"/>
              </w:rPr>
              <w:t>1</w:t>
            </w:r>
            <w:r>
              <w:rPr>
                <w:rFonts w:hint="eastAsia" w:ascii="仿宋" w:hAnsi="仿宋" w:eastAsia="仿宋" w:cs="仿宋"/>
                <w:bCs/>
                <w:color w:val="auto"/>
                <w:kern w:val="0"/>
                <w:sz w:val="24"/>
                <w:szCs w:val="24"/>
                <w:highlight w:val="none"/>
              </w:rPr>
              <w:t>0</w:t>
            </w:r>
          </w:p>
        </w:tc>
        <w:tc>
          <w:tcPr>
            <w:tcW w:w="3347" w:type="pct"/>
            <w:tcBorders>
              <w:tl2br w:val="nil"/>
              <w:tr2bl w:val="nil"/>
            </w:tcBorders>
            <w:noWrap w:val="0"/>
            <w:vAlign w:val="center"/>
          </w:tcPr>
          <w:p w14:paraId="49508908">
            <w:pPr>
              <w:pStyle w:val="25"/>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满足</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要求且投标价格最低的有效投标报价（即除低于成本报价以外的报价）为评标基准价。其他投标人的价格分统一按照下列公式计算：</w:t>
            </w:r>
          </w:p>
          <w:p w14:paraId="5EC24415">
            <w:pPr>
              <w:pStyle w:val="25"/>
              <w:spacing w:line="360" w:lineRule="auto"/>
              <w:ind w:right="-31" w:rightChars="-15"/>
              <w:rPr>
                <w:rFonts w:hint="eastAsia" w:ascii="仿宋" w:hAnsi="仿宋" w:eastAsia="仿宋" w:cs="仿宋"/>
                <w:b/>
                <w:color w:val="auto"/>
                <w:kern w:val="0"/>
                <w:sz w:val="24"/>
                <w:szCs w:val="24"/>
                <w:highlight w:val="none"/>
              </w:rPr>
            </w:pPr>
            <w:r>
              <w:rPr>
                <w:rFonts w:hint="eastAsia" w:ascii="仿宋" w:hAnsi="仿宋" w:eastAsia="仿宋" w:cs="仿宋"/>
                <w:color w:val="auto"/>
                <w:sz w:val="24"/>
                <w:szCs w:val="24"/>
                <w:highlight w:val="none"/>
              </w:rPr>
              <w:t>投标报价得分=（评标基准价/投标报价）×价格满分分值</w:t>
            </w:r>
          </w:p>
        </w:tc>
      </w:tr>
      <w:tr w14:paraId="1054D0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573" w:type="pct"/>
            <w:vMerge w:val="restart"/>
            <w:tcBorders>
              <w:tl2br w:val="nil"/>
              <w:tr2bl w:val="nil"/>
            </w:tcBorders>
            <w:noWrap w:val="0"/>
            <w:vAlign w:val="center"/>
          </w:tcPr>
          <w:p w14:paraId="268E618F">
            <w:pPr>
              <w:pStyle w:val="25"/>
              <w:spacing w:line="360" w:lineRule="auto"/>
              <w:ind w:right="-19" w:rightChars="-9"/>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商务部分(</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tc>
        <w:tc>
          <w:tcPr>
            <w:tcW w:w="620" w:type="pct"/>
            <w:tcBorders>
              <w:tl2br w:val="nil"/>
              <w:tr2bl w:val="nil"/>
            </w:tcBorders>
            <w:noWrap w:val="0"/>
            <w:vAlign w:val="center"/>
          </w:tcPr>
          <w:p w14:paraId="44FB88F4">
            <w:pPr>
              <w:pStyle w:val="25"/>
              <w:spacing w:line="360" w:lineRule="auto"/>
              <w:ind w:right="31" w:rightChars="15"/>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类似项目业绩</w:t>
            </w:r>
          </w:p>
        </w:tc>
        <w:tc>
          <w:tcPr>
            <w:tcW w:w="458" w:type="pct"/>
            <w:tcBorders>
              <w:tl2br w:val="nil"/>
              <w:tr2bl w:val="nil"/>
            </w:tcBorders>
            <w:noWrap w:val="0"/>
            <w:vAlign w:val="center"/>
          </w:tcPr>
          <w:p w14:paraId="54F9E0F2">
            <w:pPr>
              <w:pStyle w:val="25"/>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w:t>
            </w:r>
          </w:p>
        </w:tc>
        <w:tc>
          <w:tcPr>
            <w:tcW w:w="3347" w:type="pct"/>
            <w:tcBorders>
              <w:tl2br w:val="nil"/>
              <w:tr2bl w:val="nil"/>
            </w:tcBorders>
            <w:noWrap w:val="0"/>
            <w:vAlign w:val="center"/>
          </w:tcPr>
          <w:p w14:paraId="262DF3E8">
            <w:pPr>
              <w:pStyle w:val="25"/>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投标人近</w:t>
            </w:r>
            <w:r>
              <w:rPr>
                <w:rFonts w:hint="eastAsia" w:ascii="仿宋" w:hAnsi="仿宋" w:eastAsia="仿宋" w:cs="仿宋"/>
                <w:color w:val="auto"/>
                <w:sz w:val="24"/>
                <w:szCs w:val="24"/>
                <w:highlight w:val="none"/>
                <w:lang w:val="en-US" w:eastAsia="zh-CN"/>
              </w:rPr>
              <w:t>五</w:t>
            </w:r>
            <w:r>
              <w:rPr>
                <w:rFonts w:hint="eastAsia" w:ascii="仿宋" w:hAnsi="仿宋" w:eastAsia="仿宋" w:cs="仿宋"/>
                <w:color w:val="auto"/>
                <w:sz w:val="24"/>
                <w:szCs w:val="24"/>
                <w:highlight w:val="none"/>
              </w:rPr>
              <w:t>年（202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月1日-至今）类似</w:t>
            </w:r>
            <w:r>
              <w:rPr>
                <w:rFonts w:hint="eastAsia" w:ascii="仿宋" w:hAnsi="仿宋" w:eastAsia="仿宋" w:cs="仿宋"/>
                <w:color w:val="auto"/>
                <w:sz w:val="24"/>
                <w:szCs w:val="24"/>
                <w:highlight w:val="none"/>
                <w:lang w:eastAsia="zh-CN"/>
              </w:rPr>
              <w:t>项目</w:t>
            </w:r>
            <w:r>
              <w:rPr>
                <w:rFonts w:hint="eastAsia" w:ascii="仿宋" w:hAnsi="仿宋" w:eastAsia="仿宋" w:cs="仿宋"/>
                <w:color w:val="auto"/>
                <w:sz w:val="24"/>
                <w:szCs w:val="24"/>
                <w:highlight w:val="none"/>
              </w:rPr>
              <w:t>业绩每提供1份得</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分，须提供中标（成交）通知书</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rPr>
              <w:t>合同</w:t>
            </w:r>
            <w:r>
              <w:rPr>
                <w:rFonts w:hint="eastAsia" w:ascii="仿宋" w:hAnsi="仿宋" w:eastAsia="仿宋" w:cs="仿宋"/>
                <w:color w:val="auto"/>
                <w:sz w:val="24"/>
                <w:szCs w:val="24"/>
                <w:highlight w:val="none"/>
                <w:lang w:val="en-US" w:eastAsia="zh-CN"/>
              </w:rPr>
              <w:t>扫描件</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合同</w:t>
            </w:r>
            <w:r>
              <w:rPr>
                <w:rFonts w:hint="eastAsia" w:ascii="仿宋" w:hAnsi="仿宋" w:eastAsia="仿宋" w:cs="仿宋"/>
                <w:color w:val="auto"/>
                <w:sz w:val="24"/>
                <w:szCs w:val="24"/>
                <w:highlight w:val="none"/>
                <w:lang w:val="en-US" w:eastAsia="zh-CN"/>
              </w:rPr>
              <w:t>包含首页、关键页、签字盖章页）</w:t>
            </w:r>
          </w:p>
          <w:p w14:paraId="7178846A">
            <w:pPr>
              <w:pStyle w:val="25"/>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注：1.未提供相关证明材料或提供证明材料不全者不得分。</w:t>
            </w:r>
          </w:p>
          <w:p w14:paraId="79CE97AE">
            <w:pPr>
              <w:pStyle w:val="25"/>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2.投标人提供虚假证明材料的，按虚假投标处理。</w:t>
            </w:r>
          </w:p>
        </w:tc>
      </w:tr>
      <w:tr w14:paraId="5922EE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573" w:type="pct"/>
            <w:vMerge w:val="continue"/>
            <w:tcBorders>
              <w:tl2br w:val="nil"/>
              <w:tr2bl w:val="nil"/>
            </w:tcBorders>
            <w:noWrap w:val="0"/>
            <w:vAlign w:val="center"/>
          </w:tcPr>
          <w:p w14:paraId="62481CF4">
            <w:pPr>
              <w:pStyle w:val="25"/>
              <w:spacing w:line="360" w:lineRule="auto"/>
              <w:ind w:right="-19" w:rightChars="-9"/>
              <w:jc w:val="center"/>
              <w:rPr>
                <w:rFonts w:hint="eastAsia" w:ascii="仿宋" w:hAnsi="仿宋" w:eastAsia="仿宋" w:cs="仿宋"/>
                <w:color w:val="auto"/>
                <w:sz w:val="24"/>
                <w:szCs w:val="24"/>
                <w:highlight w:val="none"/>
              </w:rPr>
            </w:pPr>
          </w:p>
        </w:tc>
        <w:tc>
          <w:tcPr>
            <w:tcW w:w="620" w:type="pct"/>
            <w:tcBorders>
              <w:tl2br w:val="nil"/>
              <w:tr2bl w:val="nil"/>
            </w:tcBorders>
            <w:noWrap w:val="0"/>
            <w:vAlign w:val="center"/>
          </w:tcPr>
          <w:p w14:paraId="411120CA">
            <w:pPr>
              <w:pStyle w:val="2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olor w:val="auto"/>
                <w:kern w:val="0"/>
                <w:sz w:val="24"/>
                <w:szCs w:val="24"/>
                <w:highlight w:val="none"/>
              </w:rPr>
              <w:t>相关仪器设备</w:t>
            </w:r>
          </w:p>
        </w:tc>
        <w:tc>
          <w:tcPr>
            <w:tcW w:w="458" w:type="pct"/>
            <w:tcBorders>
              <w:tl2br w:val="nil"/>
              <w:tr2bl w:val="nil"/>
            </w:tcBorders>
            <w:noWrap w:val="0"/>
            <w:vAlign w:val="center"/>
          </w:tcPr>
          <w:p w14:paraId="40B7F572">
            <w:pPr>
              <w:pStyle w:val="25"/>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3347" w:type="pct"/>
            <w:tcBorders>
              <w:tl2br w:val="nil"/>
              <w:tr2bl w:val="nil"/>
            </w:tcBorders>
            <w:noWrap w:val="0"/>
            <w:vAlign w:val="center"/>
          </w:tcPr>
          <w:p w14:paraId="64A45476">
            <w:pPr>
              <w:keepNext w:val="0"/>
              <w:keepLines w:val="0"/>
              <w:widowControl/>
              <w:suppressLineNumbers w:val="0"/>
              <w:spacing w:before="0" w:beforeAutospacing="0" w:after="0" w:afterAutospacing="0" w:line="360" w:lineRule="auto"/>
              <w:ind w:left="0" w:leftChars="0" w:right="0" w:rightChars="0"/>
              <w:jc w:val="left"/>
              <w:textAlignment w:val="top"/>
              <w:rPr>
                <w:rFonts w:hint="default" w:ascii="仿宋" w:hAnsi="仿宋" w:eastAsia="仿宋"/>
                <w:color w:val="auto"/>
                <w:kern w:val="0"/>
                <w:sz w:val="24"/>
                <w:szCs w:val="24"/>
                <w:highlight w:val="none"/>
                <w:lang w:val="en-US" w:eastAsia="zh-CN"/>
              </w:rPr>
            </w:pPr>
            <w:r>
              <w:rPr>
                <w:rFonts w:hint="eastAsia" w:ascii="仿宋" w:hAnsi="仿宋" w:eastAsia="仿宋"/>
                <w:color w:val="auto"/>
                <w:kern w:val="0"/>
                <w:sz w:val="24"/>
                <w:szCs w:val="24"/>
                <w:highlight w:val="none"/>
              </w:rPr>
              <w:t>满足本</w:t>
            </w:r>
            <w:r>
              <w:rPr>
                <w:rFonts w:hint="eastAsia" w:ascii="仿宋" w:hAnsi="仿宋" w:eastAsia="仿宋"/>
                <w:color w:val="auto"/>
                <w:kern w:val="0"/>
                <w:sz w:val="24"/>
                <w:szCs w:val="24"/>
                <w:highlight w:val="none"/>
                <w:lang w:val="en-US" w:eastAsia="zh-CN"/>
              </w:rPr>
              <w:t>项目</w:t>
            </w:r>
            <w:r>
              <w:rPr>
                <w:rFonts w:hint="eastAsia" w:ascii="仿宋" w:hAnsi="仿宋" w:eastAsia="仿宋"/>
                <w:color w:val="auto"/>
                <w:kern w:val="0"/>
                <w:sz w:val="24"/>
                <w:szCs w:val="24"/>
                <w:highlight w:val="none"/>
              </w:rPr>
              <w:t>各项要求</w:t>
            </w:r>
            <w:r>
              <w:rPr>
                <w:rFonts w:hint="eastAsia" w:ascii="仿宋" w:hAnsi="仿宋" w:eastAsia="仿宋"/>
                <w:color w:val="auto"/>
                <w:kern w:val="0"/>
                <w:sz w:val="24"/>
                <w:szCs w:val="24"/>
                <w:highlight w:val="none"/>
                <w:lang w:val="en-US" w:eastAsia="zh-CN"/>
              </w:rPr>
              <w:t>的物探相关仪器设备，每提供一种与本项目服务有关的物探相关仪器设备得2分，最高得10分。</w:t>
            </w:r>
          </w:p>
          <w:p w14:paraId="46930EFD">
            <w:pPr>
              <w:keepNext w:val="0"/>
              <w:keepLines w:val="0"/>
              <w:widowControl/>
              <w:suppressLineNumbers w:val="0"/>
              <w:spacing w:before="0" w:beforeAutospacing="0" w:after="0" w:afterAutospacing="0" w:line="360" w:lineRule="auto"/>
              <w:ind w:left="0" w:leftChars="0" w:right="0" w:rightChars="0"/>
              <w:jc w:val="left"/>
              <w:textAlignment w:val="top"/>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注：须提供</w:t>
            </w:r>
            <w:r>
              <w:rPr>
                <w:rFonts w:hint="eastAsia" w:ascii="仿宋" w:hAnsi="仿宋" w:eastAsia="仿宋" w:cs="仿宋"/>
                <w:color w:val="auto"/>
                <w:sz w:val="24"/>
                <w:szCs w:val="24"/>
                <w:highlight w:val="none"/>
                <w:lang w:val="en-US" w:eastAsia="zh-CN"/>
              </w:rPr>
              <w:t>购买凭证（如购置发票或合同等）或租赁合同、</w:t>
            </w:r>
            <w:r>
              <w:rPr>
                <w:rFonts w:hint="eastAsia" w:ascii="仿宋" w:hAnsi="仿宋" w:eastAsia="仿宋"/>
                <w:color w:val="auto"/>
                <w:kern w:val="0"/>
                <w:sz w:val="24"/>
                <w:szCs w:val="24"/>
                <w:highlight w:val="none"/>
                <w:lang w:val="en-US" w:eastAsia="zh-CN"/>
              </w:rPr>
              <w:t>设备</w:t>
            </w:r>
            <w:r>
              <w:rPr>
                <w:rFonts w:hint="eastAsia" w:ascii="仿宋" w:hAnsi="仿宋" w:eastAsia="仿宋" w:cs="仿宋"/>
                <w:color w:val="auto"/>
                <w:sz w:val="24"/>
                <w:szCs w:val="24"/>
                <w:highlight w:val="none"/>
                <w:lang w:val="en-US" w:eastAsia="zh-CN"/>
              </w:rPr>
              <w:t>照片、设备清单</w:t>
            </w:r>
            <w:r>
              <w:rPr>
                <w:rFonts w:hint="eastAsia" w:ascii="仿宋" w:hAnsi="仿宋" w:eastAsia="仿宋" w:cs="仿宋"/>
                <w:color w:val="auto"/>
                <w:sz w:val="24"/>
                <w:szCs w:val="24"/>
                <w:highlight w:val="none"/>
                <w:lang w:eastAsia="zh-CN"/>
              </w:rPr>
              <w:t>。</w:t>
            </w:r>
          </w:p>
        </w:tc>
      </w:tr>
      <w:tr w14:paraId="634224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573" w:type="pct"/>
            <w:vMerge w:val="restart"/>
            <w:tcBorders>
              <w:tl2br w:val="nil"/>
              <w:tr2bl w:val="nil"/>
            </w:tcBorders>
            <w:noWrap w:val="0"/>
            <w:vAlign w:val="center"/>
          </w:tcPr>
          <w:p w14:paraId="62D988BB">
            <w:pPr>
              <w:widowControl/>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技术</w:t>
            </w:r>
            <w:r>
              <w:rPr>
                <w:rFonts w:hint="eastAsia" w:ascii="仿宋" w:hAnsi="仿宋" w:eastAsia="仿宋" w:cs="仿宋"/>
                <w:color w:val="auto"/>
                <w:sz w:val="24"/>
                <w:szCs w:val="24"/>
                <w:highlight w:val="none"/>
              </w:rPr>
              <w:t>部分(</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分)</w:t>
            </w:r>
          </w:p>
        </w:tc>
        <w:tc>
          <w:tcPr>
            <w:tcW w:w="620" w:type="pct"/>
            <w:tcBorders>
              <w:tl2br w:val="nil"/>
              <w:tr2bl w:val="nil"/>
            </w:tcBorders>
            <w:noWrap w:val="0"/>
            <w:vAlign w:val="center"/>
          </w:tcPr>
          <w:p w14:paraId="66043E50">
            <w:pPr>
              <w:pStyle w:val="25"/>
              <w:spacing w:line="360" w:lineRule="auto"/>
              <w:ind w:right="31" w:rightChars="15"/>
              <w:jc w:val="center"/>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实施方案</w:t>
            </w:r>
          </w:p>
        </w:tc>
        <w:tc>
          <w:tcPr>
            <w:tcW w:w="458" w:type="pct"/>
            <w:tcBorders>
              <w:tl2br w:val="nil"/>
              <w:tr2bl w:val="nil"/>
            </w:tcBorders>
            <w:noWrap w:val="0"/>
            <w:vAlign w:val="center"/>
          </w:tcPr>
          <w:p w14:paraId="4A562D87">
            <w:pPr>
              <w:pStyle w:val="25"/>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w:t>
            </w:r>
          </w:p>
        </w:tc>
        <w:tc>
          <w:tcPr>
            <w:tcW w:w="3347" w:type="pct"/>
            <w:tcBorders>
              <w:tl2br w:val="nil"/>
              <w:tr2bl w:val="nil"/>
            </w:tcBorders>
            <w:noWrap w:val="0"/>
            <w:vAlign w:val="center"/>
          </w:tcPr>
          <w:p w14:paraId="33CCF97D">
            <w:pPr>
              <w:widowControl/>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提供详细的项目实施方案包括：①项目前期资料收集及物</w:t>
            </w:r>
            <w:r>
              <w:rPr>
                <w:rFonts w:hint="eastAsia" w:ascii="仿宋" w:hAnsi="仿宋" w:eastAsia="仿宋" w:cs="仿宋"/>
                <w:kern w:val="2"/>
                <w:sz w:val="24"/>
                <w:szCs w:val="24"/>
                <w:highlight w:val="none"/>
                <w:lang w:val="en-US" w:eastAsia="zh-CN" w:bidi="ar-SA"/>
              </w:rPr>
              <w:t>资准备；②项目整体情况分析；③生态绿色勘查;④组织架构；⑤工作方法技术；⑥</w:t>
            </w:r>
            <w:r>
              <w:rPr>
                <w:rFonts w:hint="eastAsia" w:ascii="仿宋" w:hAnsi="仿宋" w:eastAsia="仿宋" w:cs="仿宋"/>
                <w:sz w:val="24"/>
                <w:szCs w:val="24"/>
                <w:highlight w:val="none"/>
              </w:rPr>
              <w:t>安全管理措施；</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部分要素。</w:t>
            </w:r>
          </w:p>
          <w:p w14:paraId="183FE127">
            <w:pPr>
              <w:pStyle w:val="25"/>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所有要素齐全且完全满足项目要求得</w:t>
            </w:r>
            <w:r>
              <w:rPr>
                <w:rFonts w:hint="eastAsia" w:ascii="仿宋" w:hAnsi="仿宋" w:eastAsia="仿宋" w:cs="仿宋"/>
                <w:sz w:val="24"/>
                <w:szCs w:val="24"/>
                <w:highlight w:val="none"/>
                <w:lang w:val="en-US" w:eastAsia="zh-CN"/>
              </w:rPr>
              <w:t>24</w:t>
            </w:r>
            <w:r>
              <w:rPr>
                <w:rFonts w:hint="eastAsia" w:ascii="仿宋" w:hAnsi="仿宋" w:eastAsia="仿宋" w:cs="仿宋"/>
                <w:sz w:val="24"/>
                <w:szCs w:val="24"/>
                <w:highlight w:val="none"/>
              </w:rPr>
              <w:t>分;每缺少一项内容的扣4分;每有一处缺陷的扣2分;扣完为止，未提供不得分。(缺陷是指:存在不适用该项目实际情况的情形、凭空编造、内容前后不一致、前后逻辑错误、涉及的规范及标准错误、地点区域错误、内容缺失、不符合采购需求的任意一项)</w:t>
            </w:r>
          </w:p>
        </w:tc>
      </w:tr>
      <w:tr w14:paraId="41BEAD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573" w:type="pct"/>
            <w:vMerge w:val="continue"/>
            <w:tcBorders>
              <w:tl2br w:val="nil"/>
              <w:tr2bl w:val="nil"/>
            </w:tcBorders>
            <w:noWrap w:val="0"/>
            <w:vAlign w:val="center"/>
          </w:tcPr>
          <w:p w14:paraId="56875CAC">
            <w:pPr>
              <w:widowControl/>
              <w:spacing w:line="360" w:lineRule="auto"/>
              <w:jc w:val="left"/>
              <w:rPr>
                <w:rFonts w:hint="eastAsia" w:ascii="仿宋" w:hAnsi="仿宋" w:eastAsia="仿宋" w:cs="仿宋"/>
                <w:color w:val="auto"/>
                <w:sz w:val="24"/>
                <w:szCs w:val="24"/>
                <w:highlight w:val="none"/>
              </w:rPr>
            </w:pPr>
          </w:p>
        </w:tc>
        <w:tc>
          <w:tcPr>
            <w:tcW w:w="620" w:type="pct"/>
            <w:tcBorders>
              <w:tl2br w:val="nil"/>
              <w:tr2bl w:val="nil"/>
            </w:tcBorders>
            <w:noWrap w:val="0"/>
            <w:vAlign w:val="center"/>
          </w:tcPr>
          <w:p w14:paraId="6F2A4C54">
            <w:pPr>
              <w:pStyle w:val="25"/>
              <w:spacing w:line="360" w:lineRule="auto"/>
              <w:ind w:right="31" w:rightChars="15"/>
              <w:jc w:val="center"/>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进度计划保障措施</w:t>
            </w:r>
          </w:p>
        </w:tc>
        <w:tc>
          <w:tcPr>
            <w:tcW w:w="458" w:type="pct"/>
            <w:tcBorders>
              <w:tl2br w:val="nil"/>
              <w:tr2bl w:val="nil"/>
            </w:tcBorders>
            <w:noWrap w:val="0"/>
            <w:vAlign w:val="center"/>
          </w:tcPr>
          <w:p w14:paraId="35A8A4E3">
            <w:pPr>
              <w:pStyle w:val="25"/>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3347" w:type="pct"/>
            <w:tcBorders>
              <w:tl2br w:val="nil"/>
              <w:tr2bl w:val="nil"/>
            </w:tcBorders>
            <w:noWrap w:val="0"/>
            <w:vAlign w:val="top"/>
          </w:tcPr>
          <w:p w14:paraId="6454CFA4">
            <w:pPr>
              <w:pStyle w:val="25"/>
              <w:spacing w:line="360" w:lineRule="auto"/>
              <w:ind w:right="-31" w:rightChars="-15"/>
              <w:rPr>
                <w:rFonts w:hint="eastAsia" w:ascii="仿宋" w:hAnsi="仿宋" w:eastAsia="仿宋" w:cs="仿宋"/>
                <w:sz w:val="24"/>
                <w:szCs w:val="24"/>
                <w:highlight w:val="none"/>
              </w:rPr>
            </w:pPr>
            <w:r>
              <w:rPr>
                <w:rFonts w:hint="eastAsia" w:ascii="仿宋" w:hAnsi="仿宋" w:eastAsia="仿宋" w:cs="仿宋"/>
                <w:sz w:val="24"/>
                <w:szCs w:val="24"/>
                <w:highlight w:val="none"/>
              </w:rPr>
              <w:t>提供详细进度计划保障措施包括:①项目实施的</w:t>
            </w:r>
            <w:r>
              <w:rPr>
                <w:rFonts w:hint="eastAsia" w:ascii="仿宋" w:hAnsi="仿宋" w:eastAsia="仿宋" w:cs="仿宋"/>
                <w:sz w:val="24"/>
                <w:szCs w:val="24"/>
                <w:highlight w:val="none"/>
                <w:lang w:val="zh-CN"/>
              </w:rPr>
              <w:t>任务划分；</w:t>
            </w:r>
            <w:r>
              <w:rPr>
                <w:rFonts w:hint="eastAsia" w:ascii="仿宋" w:hAnsi="仿宋" w:eastAsia="仿宋" w:cs="仿宋"/>
                <w:sz w:val="24"/>
                <w:szCs w:val="24"/>
                <w:highlight w:val="none"/>
              </w:rPr>
              <w:t>②</w:t>
            </w:r>
            <w:r>
              <w:rPr>
                <w:rFonts w:hint="eastAsia" w:ascii="仿宋" w:hAnsi="仿宋" w:eastAsia="仿宋" w:cs="仿宋"/>
                <w:sz w:val="24"/>
                <w:szCs w:val="24"/>
                <w:highlight w:val="none"/>
                <w:lang w:val="zh-CN"/>
              </w:rPr>
              <w:t>关键时间节点把握；</w:t>
            </w:r>
            <w:r>
              <w:rPr>
                <w:rFonts w:hint="eastAsia" w:ascii="仿宋" w:hAnsi="仿宋" w:eastAsia="仿宋" w:cs="仿宋"/>
                <w:sz w:val="24"/>
                <w:szCs w:val="24"/>
                <w:highlight w:val="none"/>
              </w:rPr>
              <w:t>③提供进度计划保障措施，3部分要素。</w:t>
            </w:r>
          </w:p>
          <w:p w14:paraId="3BB5AFF8">
            <w:pPr>
              <w:pStyle w:val="25"/>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所有要素齐全且完全满足项目要求得</w:t>
            </w: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分;每缺少一项内容的扣</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分;每有一处缺陷的扣</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分;扣完为止，未提供不得分。(缺陷是指:存在不适用该项目实际情况的情形、凭空编造、内容前后不一致、前后逻辑错误、涉及的规范及标准错误、地点区域错误、内容缺失、不符合采购需求的任意一项)</w:t>
            </w:r>
          </w:p>
        </w:tc>
      </w:tr>
      <w:tr w14:paraId="47A3E6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573" w:type="pct"/>
            <w:vMerge w:val="continue"/>
            <w:tcBorders>
              <w:tl2br w:val="nil"/>
              <w:tr2bl w:val="nil"/>
            </w:tcBorders>
            <w:noWrap w:val="0"/>
            <w:vAlign w:val="center"/>
          </w:tcPr>
          <w:p w14:paraId="147EDE92">
            <w:pPr>
              <w:widowControl/>
              <w:spacing w:line="360" w:lineRule="auto"/>
              <w:jc w:val="left"/>
              <w:rPr>
                <w:rFonts w:hint="eastAsia" w:ascii="仿宋" w:hAnsi="仿宋" w:eastAsia="仿宋" w:cs="仿宋"/>
                <w:color w:val="auto"/>
                <w:sz w:val="24"/>
                <w:szCs w:val="24"/>
                <w:highlight w:val="none"/>
              </w:rPr>
            </w:pPr>
          </w:p>
        </w:tc>
        <w:tc>
          <w:tcPr>
            <w:tcW w:w="620" w:type="pct"/>
            <w:tcBorders>
              <w:tl2br w:val="nil"/>
              <w:tr2bl w:val="nil"/>
            </w:tcBorders>
            <w:noWrap w:val="0"/>
            <w:vAlign w:val="center"/>
          </w:tcPr>
          <w:p w14:paraId="37DC82FC">
            <w:pPr>
              <w:pStyle w:val="25"/>
              <w:spacing w:line="360" w:lineRule="auto"/>
              <w:ind w:right="31" w:rightChars="15"/>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highlight w:val="none"/>
              </w:rPr>
              <w:t>服务质量控制措施</w:t>
            </w:r>
          </w:p>
        </w:tc>
        <w:tc>
          <w:tcPr>
            <w:tcW w:w="458" w:type="pct"/>
            <w:tcBorders>
              <w:tl2br w:val="nil"/>
              <w:tr2bl w:val="nil"/>
            </w:tcBorders>
            <w:noWrap w:val="0"/>
            <w:vAlign w:val="center"/>
          </w:tcPr>
          <w:p w14:paraId="327DEECA">
            <w:pPr>
              <w:pStyle w:val="25"/>
              <w:spacing w:line="360"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12</w:t>
            </w:r>
          </w:p>
        </w:tc>
        <w:tc>
          <w:tcPr>
            <w:tcW w:w="3347" w:type="pct"/>
            <w:tcBorders>
              <w:tl2br w:val="nil"/>
              <w:tr2bl w:val="nil"/>
            </w:tcBorders>
            <w:noWrap w:val="0"/>
            <w:vAlign w:val="center"/>
          </w:tcPr>
          <w:p w14:paraId="3DE0AADA">
            <w:pPr>
              <w:pStyle w:val="25"/>
              <w:spacing w:line="360" w:lineRule="auto"/>
              <w:ind w:right="-31" w:rightChars="-15"/>
              <w:rPr>
                <w:rFonts w:hint="eastAsia" w:ascii="仿宋" w:hAnsi="仿宋" w:eastAsia="仿宋" w:cs="仿宋"/>
                <w:sz w:val="24"/>
                <w:szCs w:val="24"/>
                <w:highlight w:val="none"/>
              </w:rPr>
            </w:pPr>
            <w:r>
              <w:rPr>
                <w:rFonts w:hint="eastAsia" w:ascii="仿宋" w:hAnsi="仿宋" w:eastAsia="仿宋" w:cs="仿宋"/>
                <w:sz w:val="24"/>
                <w:szCs w:val="24"/>
                <w:highlight w:val="none"/>
              </w:rPr>
              <w:t>服务质量控制措施包括但不限于：①质量管理组织机构；②团队人员职责分工；③成果质量保证措施；</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部分要素。</w:t>
            </w:r>
          </w:p>
          <w:p w14:paraId="546C91CF">
            <w:pPr>
              <w:pStyle w:val="25"/>
              <w:spacing w:line="360" w:lineRule="auto"/>
              <w:ind w:right="-31" w:rightChars="-1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highlight w:val="none"/>
              </w:rPr>
              <w:t>所有要素齐全且完全满足项目要求得</w:t>
            </w: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分，每缺一个要素扣4分，每个要素里每有一处内容缺陷扣2分（扣完为止），未提供不得分。(缺陷是指:存在不适用该项目实际情况的情形、凭空编造、内容前后不一致、前后逻辑错误、涉及的规范及标准错误、地点区域错误、内容缺失、不符合采购需求的任意一项)。</w:t>
            </w:r>
          </w:p>
        </w:tc>
      </w:tr>
      <w:tr w14:paraId="29747E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573" w:type="pct"/>
            <w:vMerge w:val="continue"/>
            <w:tcBorders>
              <w:tl2br w:val="nil"/>
              <w:tr2bl w:val="nil"/>
            </w:tcBorders>
            <w:noWrap w:val="0"/>
            <w:vAlign w:val="center"/>
          </w:tcPr>
          <w:p w14:paraId="70B0BC2C">
            <w:pPr>
              <w:widowControl/>
              <w:spacing w:line="360" w:lineRule="auto"/>
              <w:jc w:val="left"/>
              <w:rPr>
                <w:rFonts w:hint="eastAsia" w:ascii="仿宋" w:hAnsi="仿宋" w:eastAsia="仿宋" w:cs="仿宋"/>
                <w:color w:val="auto"/>
                <w:sz w:val="24"/>
                <w:szCs w:val="24"/>
                <w:highlight w:val="none"/>
              </w:rPr>
            </w:pPr>
          </w:p>
        </w:tc>
        <w:tc>
          <w:tcPr>
            <w:tcW w:w="620" w:type="pct"/>
            <w:tcBorders>
              <w:tl2br w:val="nil"/>
              <w:tr2bl w:val="nil"/>
            </w:tcBorders>
            <w:noWrap w:val="0"/>
            <w:vAlign w:val="center"/>
          </w:tcPr>
          <w:p w14:paraId="77850824">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highlight w:val="none"/>
              </w:rPr>
              <w:t>内控制度措施</w:t>
            </w:r>
          </w:p>
        </w:tc>
        <w:tc>
          <w:tcPr>
            <w:tcW w:w="458" w:type="pct"/>
            <w:tcBorders>
              <w:tl2br w:val="nil"/>
              <w:tr2bl w:val="nil"/>
            </w:tcBorders>
            <w:noWrap w:val="0"/>
            <w:vAlign w:val="center"/>
          </w:tcPr>
          <w:p w14:paraId="03B182CA">
            <w:pPr>
              <w:spacing w:line="360"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12</w:t>
            </w:r>
          </w:p>
        </w:tc>
        <w:tc>
          <w:tcPr>
            <w:tcW w:w="3347" w:type="pct"/>
            <w:tcBorders>
              <w:tl2br w:val="nil"/>
              <w:tr2bl w:val="nil"/>
            </w:tcBorders>
            <w:noWrap w:val="0"/>
            <w:vAlign w:val="center"/>
          </w:tcPr>
          <w:p w14:paraId="1C70C4B1">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highlight w:val="none"/>
              </w:rPr>
              <w:t>内控制度措施包括但不限于：</w:t>
            </w:r>
            <w:r>
              <w:rPr>
                <w:rFonts w:hint="eastAsia" w:ascii="仿宋" w:hAnsi="仿宋" w:eastAsia="仿宋" w:cs="仿宋"/>
                <w:sz w:val="24"/>
                <w:szCs w:val="24"/>
                <w:highlight w:val="none"/>
                <w:lang w:val="en-US" w:eastAsia="zh-CN"/>
              </w:rPr>
              <w:t>①工作纪律及考核制度</w:t>
            </w:r>
            <w:r>
              <w:rPr>
                <w:rFonts w:hint="eastAsia" w:ascii="仿宋" w:hAnsi="仿宋" w:eastAsia="仿宋" w:cs="仿宋"/>
                <w:sz w:val="24"/>
                <w:szCs w:val="24"/>
                <w:highlight w:val="none"/>
              </w:rPr>
              <w:t>；②信息保密制度；③</w:t>
            </w:r>
            <w:r>
              <w:rPr>
                <w:rFonts w:hint="eastAsia" w:ascii="仿宋" w:hAnsi="仿宋" w:eastAsia="仿宋" w:cs="仿宋"/>
                <w:sz w:val="24"/>
                <w:szCs w:val="24"/>
                <w:highlight w:val="none"/>
                <w:lang w:val="en-US" w:eastAsia="zh-CN"/>
              </w:rPr>
              <w:t>档案管理制度；3部分要素。</w:t>
            </w:r>
          </w:p>
          <w:p w14:paraId="410DCCAE">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highlight w:val="none"/>
              </w:rPr>
              <w:t>所有要素齐全且完全满足项目要求得</w:t>
            </w: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分，每缺一个要素扣4分，每个要素里每有一处内容缺陷扣2分（扣完为止），未提供不得分。(缺陷是指:存在不适用该项目实际情况的情形、凭空编造、内容前后不一致、前后逻辑错误、涉及的规范及标准错误、地点区域错误、内容缺失、不符合采购需求的任意一项)。</w:t>
            </w:r>
          </w:p>
        </w:tc>
      </w:tr>
    </w:tbl>
    <w:p w14:paraId="5012301E">
      <w:pPr>
        <w:rPr>
          <w:rFonts w:hint="eastAsia" w:ascii="仿宋" w:hAnsi="仿宋" w:eastAsia="仿宋" w:cs="仿宋"/>
          <w:highlight w:val="none"/>
        </w:rPr>
      </w:pPr>
    </w:p>
    <w:p w14:paraId="1ADE3567">
      <w:pPr>
        <w:tabs>
          <w:tab w:val="center" w:pos="4832"/>
          <w:tab w:val="left" w:pos="7140"/>
        </w:tabs>
        <w:spacing w:line="360" w:lineRule="auto"/>
        <w:ind w:firstLine="472" w:firstLineChars="196"/>
        <w:jc w:val="left"/>
        <w:outlineLvl w:val="1"/>
        <w:rPr>
          <w:rFonts w:hint="eastAsia" w:ascii="仿宋" w:hAnsi="仿宋" w:eastAsia="仿宋" w:cs="仿宋"/>
          <w:b/>
          <w:sz w:val="24"/>
          <w:szCs w:val="24"/>
          <w:highlight w:val="none"/>
        </w:rPr>
      </w:pPr>
      <w:bookmarkStart w:id="34" w:name="_Toc17904"/>
      <w:r>
        <w:rPr>
          <w:rFonts w:hint="eastAsia" w:ascii="仿宋" w:hAnsi="仿宋" w:eastAsia="仿宋" w:cs="仿宋"/>
          <w:b/>
          <w:sz w:val="24"/>
          <w:szCs w:val="24"/>
          <w:highlight w:val="none"/>
        </w:rPr>
        <w:t>1. 评标方法</w:t>
      </w:r>
      <w:bookmarkEnd w:id="34"/>
    </w:p>
    <w:p w14:paraId="57F9B680">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本次评标采用综合评分法。评标小组对满足招标文件实质性要求的投标文件，按照本节规定的评标标准进行评标。评标中各评委若发生意见分歧，以少数服从多数原则确定。</w:t>
      </w:r>
    </w:p>
    <w:p w14:paraId="137EF545">
      <w:pPr>
        <w:tabs>
          <w:tab w:val="center" w:pos="4832"/>
          <w:tab w:val="left" w:pos="7140"/>
        </w:tabs>
        <w:spacing w:line="360" w:lineRule="auto"/>
        <w:ind w:firstLine="472" w:firstLineChars="196"/>
        <w:jc w:val="left"/>
        <w:outlineLvl w:val="1"/>
        <w:rPr>
          <w:rFonts w:hint="eastAsia" w:ascii="仿宋" w:hAnsi="仿宋" w:eastAsia="仿宋" w:cs="仿宋"/>
          <w:b/>
          <w:sz w:val="24"/>
          <w:szCs w:val="24"/>
          <w:highlight w:val="none"/>
        </w:rPr>
      </w:pPr>
      <w:bookmarkStart w:id="35" w:name="_Toc25431"/>
      <w:r>
        <w:rPr>
          <w:rFonts w:hint="eastAsia" w:ascii="仿宋" w:hAnsi="仿宋" w:eastAsia="仿宋" w:cs="仿宋"/>
          <w:b/>
          <w:sz w:val="24"/>
          <w:szCs w:val="24"/>
          <w:highlight w:val="none"/>
        </w:rPr>
        <w:t>2. 评标标准</w:t>
      </w:r>
      <w:bookmarkEnd w:id="35"/>
    </w:p>
    <w:p w14:paraId="297BF5DB">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2.1 资格审查：评标因素和评标标准见《资格审查标准》。</w:t>
      </w:r>
    </w:p>
    <w:p w14:paraId="6224CB67">
      <w:pPr>
        <w:widowControl/>
        <w:shd w:val="clear" w:color="auto" w:fill="FFFFFF"/>
        <w:snapToGrid w:val="0"/>
        <w:spacing w:line="360" w:lineRule="auto"/>
        <w:ind w:left="479" w:leftChars="228"/>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2.2 符合性审查：评标因素和评标标准见《符合性审查标准》。</w:t>
      </w:r>
    </w:p>
    <w:p w14:paraId="55D41529">
      <w:pPr>
        <w:widowControl/>
        <w:shd w:val="clear" w:color="auto" w:fill="FFFFFF"/>
        <w:snapToGrid w:val="0"/>
        <w:spacing w:line="360" w:lineRule="auto"/>
        <w:ind w:left="479" w:leftChars="228"/>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2.3详细评审：</w:t>
      </w:r>
    </w:p>
    <w:p w14:paraId="422E0D03">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2.3.1详细评审：评标因素和评标标准见《详细评审标准》及本节第3.5款。</w:t>
      </w:r>
    </w:p>
    <w:p w14:paraId="1AEBDDF4">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2.3.2 投标报价评分标准：</w:t>
      </w:r>
    </w:p>
    <w:p w14:paraId="2FEBE849">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（1）分值构成及权重：见评标办法前附表。</w:t>
      </w:r>
    </w:p>
    <w:p w14:paraId="44D13614">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（2）评标基准价计算：见评标办法前附表。</w:t>
      </w:r>
    </w:p>
    <w:p w14:paraId="4C3FB745">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（3）投标报价得分的计算：见评标办法前附表。</w:t>
      </w:r>
    </w:p>
    <w:p w14:paraId="0305845A">
      <w:pPr>
        <w:tabs>
          <w:tab w:val="center" w:pos="4832"/>
          <w:tab w:val="left" w:pos="7140"/>
        </w:tabs>
        <w:spacing w:line="360" w:lineRule="auto"/>
        <w:ind w:firstLine="472" w:firstLineChars="196"/>
        <w:jc w:val="left"/>
        <w:outlineLvl w:val="1"/>
        <w:rPr>
          <w:rFonts w:hint="eastAsia" w:ascii="仿宋" w:hAnsi="仿宋" w:eastAsia="仿宋" w:cs="仿宋"/>
          <w:b/>
          <w:sz w:val="24"/>
          <w:szCs w:val="24"/>
          <w:highlight w:val="none"/>
        </w:rPr>
      </w:pPr>
      <w:bookmarkStart w:id="36" w:name="_Toc29324"/>
      <w:r>
        <w:rPr>
          <w:rFonts w:hint="eastAsia" w:ascii="仿宋" w:hAnsi="仿宋" w:eastAsia="仿宋" w:cs="仿宋"/>
          <w:b/>
          <w:sz w:val="24"/>
          <w:szCs w:val="24"/>
          <w:highlight w:val="none"/>
        </w:rPr>
        <w:t>3. 评标程序</w:t>
      </w:r>
      <w:bookmarkEnd w:id="36"/>
    </w:p>
    <w:p w14:paraId="4ACFE1DA">
      <w:pPr>
        <w:tabs>
          <w:tab w:val="center" w:pos="4832"/>
          <w:tab w:val="left" w:pos="7140"/>
        </w:tabs>
        <w:spacing w:line="360" w:lineRule="auto"/>
        <w:ind w:firstLine="470" w:firstLineChars="196"/>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3.1基本程序</w:t>
      </w:r>
    </w:p>
    <w:p w14:paraId="313A4A8B">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评标活动将按以下步骤进行：</w:t>
      </w:r>
    </w:p>
    <w:p w14:paraId="3FE49247">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（1）评标准备</w:t>
      </w:r>
    </w:p>
    <w:p w14:paraId="24BB97C4">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（2）资格审查</w:t>
      </w:r>
    </w:p>
    <w:p w14:paraId="3B232274">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（3）符合性审查</w:t>
      </w:r>
    </w:p>
    <w:p w14:paraId="4C2AE70A">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（4）详细评审</w:t>
      </w:r>
    </w:p>
    <w:p w14:paraId="0820FDD8">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（5）澄清、说明或补正</w:t>
      </w:r>
    </w:p>
    <w:p w14:paraId="1AF40357">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（6）推荐中标候选人及提交评标报告</w:t>
      </w:r>
    </w:p>
    <w:p w14:paraId="67D72768">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3.2 评标准备</w:t>
      </w:r>
    </w:p>
    <w:p w14:paraId="1D28B377">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3.2.1评标小组成员签到</w:t>
      </w:r>
    </w:p>
    <w:p w14:paraId="32679331">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评标小组成员到达评标现场时应当在签到表上签到以证明其出席。</w:t>
      </w:r>
    </w:p>
    <w:p w14:paraId="078B79A6">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3.2.2 评标小组的分工</w:t>
      </w:r>
    </w:p>
    <w:p w14:paraId="4D0E28C5">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3.2.2.1评标小组首先推选一名评标小组主任。评标小组主任负责评标活动的组织领导工作。评标小组主任与评标小组其他成员具有同等的评标权力。</w:t>
      </w:r>
    </w:p>
    <w:p w14:paraId="6DAF495B">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3.2.2.2 评标小组主任除履行自己作为评标小组成员独立评标的职责外，主要负责以下工作：</w:t>
      </w:r>
    </w:p>
    <w:p w14:paraId="5EE842AC">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（1）组织评标小组成员学习招标文件；</w:t>
      </w:r>
    </w:p>
    <w:p w14:paraId="5EB3288D">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（2）汇总各评标小组成员认为需要投标人澄清、说明或者补正的问题；</w:t>
      </w:r>
    </w:p>
    <w:p w14:paraId="7FB7E408">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（3）组织评标小组对投标人质询并对投标人的答复进行评标；</w:t>
      </w:r>
    </w:p>
    <w:p w14:paraId="35F4A2A1">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（4）对出现较大争议的事项进行书面记录；</w:t>
      </w:r>
    </w:p>
    <w:p w14:paraId="3298E0F8">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（5）组织收回评标过程中使用的文件、表格和评标记录以及其他资料，并查验评标记录的完整性及有效性；</w:t>
      </w:r>
    </w:p>
    <w:p w14:paraId="78FDA11A">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（6）组织对评标结论进行复核确认；</w:t>
      </w:r>
    </w:p>
    <w:p w14:paraId="6308FAE7">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（7）组织编写评标报告。</w:t>
      </w:r>
    </w:p>
    <w:p w14:paraId="33918D3C">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3.2.3 熟悉文件资料</w:t>
      </w:r>
    </w:p>
    <w:p w14:paraId="5DCCBE3B">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3.2.3.1 评标小组主任应当组织评标小组成员认真研究招标文件，了解和熟悉招标目的、采购范围、主要合同条件、服务标准和要求，掌握评标标准和方法，熟悉本章及附件中包括的评标表格的使用，如果本章及附件所附的表格不能满足评标所需时，评标小组应当补充编制评标所需的表格。</w:t>
      </w:r>
    </w:p>
    <w:p w14:paraId="06A7869A">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3.2.3.2 采购人或采购代理机构应当向评标小组提供评标所需的信息和数据，包括：</w:t>
      </w:r>
    </w:p>
    <w:p w14:paraId="371406B5">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（1）招标文件及其澄清修改等招标文件补充；</w:t>
      </w:r>
    </w:p>
    <w:p w14:paraId="329516D9">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（2）未在开标会上当场拒绝的各投标文件；</w:t>
      </w:r>
    </w:p>
    <w:p w14:paraId="60B949B5">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（3）开标会记录；</w:t>
      </w:r>
    </w:p>
    <w:p w14:paraId="1D8F33BE">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（4）评标表格；</w:t>
      </w:r>
    </w:p>
    <w:p w14:paraId="6FE3BCB6">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（5）其他信息和数据。</w:t>
      </w:r>
    </w:p>
    <w:p w14:paraId="3E18D7B7">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3.3资格审查（适用于资格后审）</w:t>
      </w:r>
    </w:p>
    <w:p w14:paraId="60BFF850">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采购人会依据本章规定的评标因素和审查标准，对投标人的资格审查资料进行资格审查。资格审查有一项未通过审查标准，采购人将认定整个投标文件不响应招标文件而否决其投标，并且不允许投标人通过修改或撤销其不符合要求的差异或保留，使之成为具有响应性的投标。</w:t>
      </w:r>
    </w:p>
    <w:p w14:paraId="58EF4766">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3.4符合性审查</w:t>
      </w:r>
    </w:p>
    <w:p w14:paraId="6F8F80AE">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3.4.1 评标小组依据本章规定的评标因素和评标标准，对投标人的投标文件进行符合性审查。符合性审查有一项未通过评标标准，评标小组将认定整个投标文件不响应招标文件而否决其投标，并且不允许投标人通过修改或撤销其不符合要求的差异或保留，使之成为具有响应性的投标。</w:t>
      </w:r>
    </w:p>
    <w:p w14:paraId="357039F9">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3.4.2符合性审查条款是指对本招标项目产生了重大影响的重大偏差，而且纠正此类偏差将会对响应本次招标的其他投标人的竞争地位产生不公正的影响。</w:t>
      </w:r>
    </w:p>
    <w:p w14:paraId="05E18593">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3.4.3细微偏差是指投标文件在实质上响应招标文件要求，但在个别地方存在疏漏或者提供了不完整的技术信息和数据等情况，并且补正这些遗漏和不完整不会对其他投标人造成不公平的结果。细微偏差不影响投标文件的有效性，评标小组可要求存在细微偏差的投标人予以补正。</w:t>
      </w:r>
    </w:p>
    <w:p w14:paraId="3D698597">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3.5详细评审</w:t>
      </w:r>
    </w:p>
    <w:p w14:paraId="60854DAC">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3.5.1. 只有通过了资格审查、符合性审查且投标人不少于3个方可进入详细评审。</w:t>
      </w:r>
    </w:p>
    <w:p w14:paraId="0B06CB31">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3.5.2 澄清、说明和补正</w:t>
      </w:r>
    </w:p>
    <w:p w14:paraId="0ED2074C">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3.5.2.1在不改变投标人投标文件实质性内容的前提下，评标小组应当对投标文件进行基础性数据分析和整理，从而发现并提取其中可能存在的对采购范围理解的偏差、技术响应偏离、投标价格的算术性错误、错漏项、投标价格构成不合理、不平衡报价等存在明显异常的问题。</w:t>
      </w:r>
    </w:p>
    <w:p w14:paraId="06F0A1F7">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3.5.2.2评标委员会认为投标人的报价明显低于其它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BC9FC3D">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3.5.3澄清、说明和补正内容不得改变投标文件的实质性内容（算术性错误修正的除外）。投标人的书面澄清、说明和补正属于投标文件的组成部分。</w:t>
      </w:r>
    </w:p>
    <w:p w14:paraId="250C1883">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3.5.4评标小组针对需要投标人对所提交投标文件中不明确的内容进行书面澄清、说明或补正。澄清通知不得向投标人提出带有暗示性或诱导性问题，或向其明确投标文件中的遗漏和错误。投标人接到评标小组发出的书面澄清通知后，应按评标小组的要求提供书面澄清资料，并在规定的时间递交到指定地点。评标小组不接受投标人主动提出的澄清、说明或补正。</w:t>
      </w:r>
    </w:p>
    <w:p w14:paraId="401CD129">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3.5.5评标小组对投标人提交的澄清、说明或补正有疑问的，可以要求投标人进一步澄清、说明或补正，直至满足评标小组的要求。</w:t>
      </w:r>
    </w:p>
    <w:p w14:paraId="5379CB95">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3.5.6评委评分：评委按照《详细评审标准》评分，投标人详细评审得分等于全部评委评分的算术平均值。</w:t>
      </w:r>
    </w:p>
    <w:p w14:paraId="0A46E9DE">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3.5.7 算术错误修正：投标价格有算术错误的，评标小组按以下原则对投标价格进行修正，修正的价格经投标人书面确认后具有约束力。投标人不接受修正价格的，其投标将被否决。</w:t>
      </w:r>
    </w:p>
    <w:p w14:paraId="07D309E1">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（1）投标文件中的大写金额与小写金额不一致的，以大写金额为准；</w:t>
      </w:r>
    </w:p>
    <w:p w14:paraId="032FEF7C">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（2）总价金额与依据单价计算出的结果不一致的，以单价金额为准修正总价，但单价金额小数点有明显错误的除外。</w:t>
      </w:r>
    </w:p>
    <w:p w14:paraId="44465029">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3.5.8 政府采购评审中出现下列情形之一的，评标委员会应当启动异常低价投标（响应）审查程序：</w:t>
      </w:r>
    </w:p>
    <w:p w14:paraId="4868D45C">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（1）投标报价低于全部通过符合性审查投标人投标报价平均值50%的，即投标报价&lt;全部通过符合性审查投标人投标报价平均值×50%；</w:t>
      </w:r>
    </w:p>
    <w:p w14:paraId="53C374CB">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（2）投标报价低于通过符合性审查的次低报价投标人投标报价50%的，即投标报价&lt;通过符合性审查的次低报价投标人投标报价×50%；</w:t>
      </w:r>
    </w:p>
    <w:p w14:paraId="2EF2E9A2">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（3）投标报价低于采购项目最高限价45%的，即投标报价&lt;采购项目最高限价×45%；</w:t>
      </w:r>
    </w:p>
    <w:p w14:paraId="4DF7F684">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（4）评标委员会基于专业判断，认为投标人报价过低，有可能影响产品质量或者不能诚信履约的其他情形。</w:t>
      </w:r>
    </w:p>
    <w:p w14:paraId="02BAC9C1">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w:t>
      </w:r>
      <w:r>
        <w:rPr>
          <w:rFonts w:hint="eastAsia" w:ascii="仿宋" w:hAnsi="仿宋" w:eastAsia="仿宋" w:cs="仿宋"/>
          <w:kern w:val="0"/>
          <w:sz w:val="24"/>
          <w:szCs w:val="24"/>
          <w:highlight w:val="none"/>
          <w:lang w:val="en-US" w:eastAsia="zh-CN"/>
        </w:rPr>
        <w:t>8.1</w:t>
      </w:r>
      <w:r>
        <w:rPr>
          <w:rFonts w:hint="eastAsia" w:ascii="仿宋" w:hAnsi="仿宋" w:eastAsia="仿宋" w:cs="仿宋"/>
          <w:kern w:val="0"/>
          <w:sz w:val="24"/>
          <w:szCs w:val="24"/>
          <w:highlight w:val="none"/>
        </w:rPr>
        <w:t>评标委员会启动异常低价投标（响应）审查后，属于前述第1项至第4项情形的，应当要求相关投标人在评审现场合理的时间内对投标（响应）价格作出解释，提供项目具体成本测算等与报价合理性相关的书面说明及必要的证明材料，包括但不限于原材料成本、人工成本、制造费用等，给予相关投标人的合理时间一般不少于30分钟。其中，属于第3项情形，投标人已随投标（响应）文件一并提交相关书面说明及必要的证明材料的，在评审现场可不再重复提交。</w:t>
      </w:r>
    </w:p>
    <w:p w14:paraId="4B45B6F3">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w:t>
      </w:r>
      <w:r>
        <w:rPr>
          <w:rFonts w:hint="eastAsia" w:ascii="仿宋" w:hAnsi="仿宋" w:eastAsia="仿宋" w:cs="仿宋"/>
          <w:kern w:val="0"/>
          <w:sz w:val="24"/>
          <w:szCs w:val="24"/>
          <w:highlight w:val="none"/>
          <w:lang w:val="en-US" w:eastAsia="zh-CN"/>
        </w:rPr>
        <w:t>8.2</w:t>
      </w:r>
      <w:r>
        <w:rPr>
          <w:rFonts w:hint="eastAsia" w:ascii="仿宋" w:hAnsi="仿宋" w:eastAsia="仿宋" w:cs="仿宋"/>
          <w:kern w:val="0"/>
          <w:sz w:val="24"/>
          <w:szCs w:val="24"/>
          <w:highlight w:val="none"/>
        </w:rPr>
        <w:t>评标委员会依据专业经验，参考同类项目中标（成交）价格、类似产品市场价格水平、行业人工费用标准、国家有关部门指导行业协会发布的行业平均成本等情况，对报价合理性进行判断。投标（响应）投标人不能提供书面说明、证明材料，或者提供的书面说明、证明材料不能证明其报价合理性的，评标委员会应当将其作为无效投标（响应）处理。</w:t>
      </w:r>
    </w:p>
    <w:p w14:paraId="3CB36F3D">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3.5.9投标报价评分：对投标报价进行投标报价得分计算，计算方法详见评标办法前附表。</w:t>
      </w:r>
    </w:p>
    <w:p w14:paraId="481B5373">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3.5.10 汇总评分结果，评分分值计算保留小数点后两位，小数点后第三位“四舍五入”。</w:t>
      </w:r>
    </w:p>
    <w:p w14:paraId="2414C6C3">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3.6.11 详细评审工作全部结束后，投标人总得分排序按照以下原则进行。</w:t>
      </w:r>
    </w:p>
    <w:p w14:paraId="148D49F4">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3.6.11.1按照总得分由高到低顺序对投标人进行排序；</w:t>
      </w:r>
    </w:p>
    <w:p w14:paraId="2FCFB083">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3.6.11.2总得分相同时报价低的投标人排序靠前；</w:t>
      </w:r>
    </w:p>
    <w:p w14:paraId="3A532C5D">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3.6.11.3总得分相同且报价相同的，采取随机抽取方式确定排序顺序。</w:t>
      </w:r>
    </w:p>
    <w:p w14:paraId="0326925C">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3.7推荐中标候选人及提交评标报告</w:t>
      </w:r>
    </w:p>
    <w:p w14:paraId="62729D08">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3.7.1评标小组推荐中标候选人，总得分排序第一的投标人将被确定为第一中标候选人，以此类推确定出规定数量的的中标候选人。</w:t>
      </w:r>
    </w:p>
    <w:p w14:paraId="04E77D7C">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3.7.2当通过了资格审查、符合性审查后，投标人少于3个时，采购人应当依法重新招标。</w:t>
      </w:r>
    </w:p>
    <w:p w14:paraId="3C428B10">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3.7.3 评标小组完成评标后，应当向采购人提交书面评标报告。</w:t>
      </w:r>
    </w:p>
    <w:p w14:paraId="0BEA0625">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3.8特殊情况的处置程序</w:t>
      </w:r>
    </w:p>
    <w:p w14:paraId="548CC9AE">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3.8.1 关于评标活动暂停</w:t>
      </w:r>
    </w:p>
    <w:p w14:paraId="1FB024E6">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评标小组应当执行连续评标的原则，按评标办法中规定的程序、内容、方法、标准完成全部评标工作。只有发生不可抗力导致评标工作无法继续时，评标活动方可暂停。发生评标暂停情况时，应当封存全部投标文件和评标记录，待不可抗力的影响结束且具备继续评标的条件时，由原评标小组继续评标。</w:t>
      </w:r>
    </w:p>
    <w:p w14:paraId="721857A6">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3.8.2关于评标中途更换评委</w:t>
      </w:r>
    </w:p>
    <w:p w14:paraId="7FD84AD9">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3.8.2.1 除非发生下列情况之一，评标小组成员不得在评标中途更换：</w:t>
      </w:r>
    </w:p>
    <w:p w14:paraId="3C2188B1">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（1）因不可抗拒的客观原因，不能到场或需在评标中途退出评标活动。</w:t>
      </w:r>
    </w:p>
    <w:p w14:paraId="565CCBD6">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（2）根据法律法规规定，某个或某几个评标小组成员需要回避。</w:t>
      </w:r>
    </w:p>
    <w:p w14:paraId="750094E6">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3.8.2.2 退出评标的评标小组成员，其已完成的评标行为无效，由更换的评委进行评标。</w:t>
      </w:r>
    </w:p>
    <w:p w14:paraId="67751EB8">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3.8.3 在评标环节中，需评标小组就某项定性的评标结论做出表决的，由评标小组全体成员按照少数服从多数的原则确定。</w:t>
      </w:r>
    </w:p>
    <w:p w14:paraId="552D93A9">
      <w:pPr>
        <w:widowControl/>
        <w:shd w:val="clear" w:color="auto" w:fill="FFFFFF"/>
        <w:snapToGrid w:val="0"/>
        <w:spacing w:line="360" w:lineRule="auto"/>
        <w:ind w:firstLine="480" w:firstLineChars="200"/>
        <w:rPr>
          <w:rFonts w:hint="eastAsia" w:ascii="仿宋" w:hAnsi="仿宋" w:eastAsia="仿宋" w:cs="仿宋"/>
          <w:kern w:val="0"/>
          <w:sz w:val="24"/>
          <w:szCs w:val="24"/>
          <w:highlight w:val="none"/>
        </w:rPr>
      </w:pPr>
    </w:p>
    <w:p w14:paraId="37127CC3">
      <w:pPr>
        <w:rPr>
          <w:rFonts w:hint="eastAsia" w:ascii="仿宋" w:hAnsi="仿宋" w:eastAsia="仿宋" w:cs="仿宋"/>
          <w:b/>
          <w:sz w:val="24"/>
          <w:szCs w:val="24"/>
          <w:highlight w:val="none"/>
        </w:rPr>
      </w:pPr>
      <w:bookmarkStart w:id="37" w:name="_Toc485312286"/>
      <w:r>
        <w:rPr>
          <w:rFonts w:hint="eastAsia" w:ascii="仿宋" w:hAnsi="仿宋" w:eastAsia="仿宋" w:cs="仿宋"/>
          <w:b/>
          <w:sz w:val="24"/>
          <w:szCs w:val="24"/>
          <w:highlight w:val="none"/>
        </w:rPr>
        <w:br w:type="page"/>
      </w:r>
    </w:p>
    <w:p w14:paraId="5795956A">
      <w:pPr>
        <w:widowControl/>
        <w:shd w:val="clear" w:color="auto" w:fill="FFFFFF"/>
        <w:snapToGrid w:val="0"/>
        <w:spacing w:line="360" w:lineRule="auto"/>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问题澄清通知</w:t>
      </w:r>
    </w:p>
    <w:p w14:paraId="624F63CB">
      <w:pPr>
        <w:spacing w:line="360" w:lineRule="auto"/>
        <w:rPr>
          <w:rFonts w:hint="eastAsia" w:ascii="仿宋" w:hAnsi="仿宋" w:eastAsia="仿宋" w:cs="仿宋"/>
          <w:sz w:val="24"/>
          <w:szCs w:val="24"/>
          <w:highlight w:val="none"/>
        </w:rPr>
      </w:pPr>
    </w:p>
    <w:p w14:paraId="5BEE92AA">
      <w:pPr>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（投标人名称）：</w:t>
      </w:r>
    </w:p>
    <w:p w14:paraId="29DC64AC">
      <w:pPr>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（招标项目名称）招标的评标小组，对你方的投标文件进行了仔细的审查，现需你方对本通知所附质疑问卷中的问题以书面形式予以澄清、说明或者补正。</w:t>
      </w:r>
    </w:p>
    <w:p w14:paraId="6E685AE9">
      <w:pPr>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质疑问题：</w:t>
      </w:r>
    </w:p>
    <w:p w14:paraId="1C3AABCF">
      <w:pPr>
        <w:spacing w:line="360" w:lineRule="auto"/>
        <w:rPr>
          <w:rFonts w:hint="eastAsia" w:ascii="仿宋" w:hAnsi="仿宋" w:eastAsia="仿宋" w:cs="仿宋"/>
          <w:kern w:val="0"/>
          <w:sz w:val="24"/>
          <w:szCs w:val="24"/>
          <w:highlight w:val="none"/>
        </w:rPr>
      </w:pPr>
    </w:p>
    <w:p w14:paraId="6B505FA7">
      <w:pPr>
        <w:spacing w:line="360" w:lineRule="auto"/>
        <w:rPr>
          <w:rFonts w:hint="eastAsia" w:ascii="仿宋" w:hAnsi="仿宋" w:eastAsia="仿宋" w:cs="仿宋"/>
          <w:kern w:val="0"/>
          <w:sz w:val="24"/>
          <w:szCs w:val="24"/>
          <w:highlight w:val="none"/>
        </w:rPr>
      </w:pPr>
    </w:p>
    <w:p w14:paraId="1AA3E22B">
      <w:pPr>
        <w:spacing w:line="360" w:lineRule="auto"/>
        <w:rPr>
          <w:rFonts w:hint="eastAsia" w:ascii="仿宋" w:hAnsi="仿宋" w:eastAsia="仿宋" w:cs="仿宋"/>
          <w:kern w:val="0"/>
          <w:sz w:val="24"/>
          <w:szCs w:val="24"/>
          <w:highlight w:val="none"/>
        </w:rPr>
      </w:pPr>
    </w:p>
    <w:p w14:paraId="0F255F88">
      <w:pPr>
        <w:spacing w:line="360" w:lineRule="auto"/>
        <w:rPr>
          <w:rFonts w:hint="eastAsia" w:ascii="仿宋" w:hAnsi="仿宋" w:eastAsia="仿宋" w:cs="仿宋"/>
          <w:kern w:val="0"/>
          <w:sz w:val="24"/>
          <w:szCs w:val="24"/>
          <w:highlight w:val="none"/>
        </w:rPr>
      </w:pPr>
    </w:p>
    <w:p w14:paraId="31E32D63">
      <w:pPr>
        <w:spacing w:line="360" w:lineRule="auto"/>
        <w:rPr>
          <w:rFonts w:hint="eastAsia" w:ascii="仿宋" w:hAnsi="仿宋" w:eastAsia="仿宋" w:cs="仿宋"/>
          <w:kern w:val="0"/>
          <w:sz w:val="24"/>
          <w:szCs w:val="24"/>
          <w:highlight w:val="none"/>
        </w:rPr>
      </w:pPr>
    </w:p>
    <w:p w14:paraId="3A0417D3">
      <w:pPr>
        <w:spacing w:line="360" w:lineRule="auto"/>
        <w:rPr>
          <w:rFonts w:hint="eastAsia" w:ascii="仿宋" w:hAnsi="仿宋" w:eastAsia="仿宋" w:cs="仿宋"/>
          <w:kern w:val="0"/>
          <w:sz w:val="24"/>
          <w:szCs w:val="24"/>
          <w:highlight w:val="none"/>
        </w:rPr>
      </w:pPr>
    </w:p>
    <w:p w14:paraId="1CF8CC1C">
      <w:pPr>
        <w:spacing w:line="360" w:lineRule="auto"/>
        <w:rPr>
          <w:rFonts w:hint="eastAsia" w:ascii="仿宋" w:hAnsi="仿宋" w:eastAsia="仿宋" w:cs="仿宋"/>
          <w:kern w:val="0"/>
          <w:sz w:val="24"/>
          <w:szCs w:val="24"/>
          <w:highlight w:val="none"/>
        </w:rPr>
      </w:pPr>
    </w:p>
    <w:p w14:paraId="56E87C31">
      <w:pPr>
        <w:spacing w:line="360" w:lineRule="auto"/>
        <w:rPr>
          <w:rFonts w:hint="eastAsia" w:ascii="仿宋" w:hAnsi="仿宋" w:eastAsia="仿宋" w:cs="仿宋"/>
          <w:kern w:val="0"/>
          <w:sz w:val="24"/>
          <w:szCs w:val="24"/>
          <w:highlight w:val="none"/>
        </w:rPr>
      </w:pPr>
    </w:p>
    <w:p w14:paraId="393CAAC0">
      <w:pPr>
        <w:spacing w:line="360" w:lineRule="auto"/>
        <w:rPr>
          <w:rFonts w:hint="eastAsia" w:ascii="仿宋" w:hAnsi="仿宋" w:eastAsia="仿宋" w:cs="仿宋"/>
          <w:kern w:val="0"/>
          <w:sz w:val="24"/>
          <w:szCs w:val="24"/>
          <w:highlight w:val="none"/>
        </w:rPr>
      </w:pPr>
    </w:p>
    <w:p w14:paraId="00D0E836">
      <w:pPr>
        <w:spacing w:line="360" w:lineRule="auto"/>
        <w:rPr>
          <w:rFonts w:hint="eastAsia" w:ascii="仿宋" w:hAnsi="仿宋" w:eastAsia="仿宋" w:cs="仿宋"/>
          <w:kern w:val="0"/>
          <w:sz w:val="24"/>
          <w:szCs w:val="24"/>
          <w:highlight w:val="none"/>
        </w:rPr>
      </w:pPr>
    </w:p>
    <w:p w14:paraId="144B777F">
      <w:pPr>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评标小组</w:t>
      </w:r>
      <w:r>
        <w:rPr>
          <w:rFonts w:hint="eastAsia" w:ascii="仿宋" w:hAnsi="仿宋" w:eastAsia="仿宋" w:cs="仿宋"/>
          <w:kern w:val="0"/>
          <w:sz w:val="24"/>
          <w:szCs w:val="24"/>
          <w:highlight w:val="none"/>
          <w:lang w:val="en-US" w:eastAsia="zh-CN"/>
        </w:rPr>
        <w:t>成</w:t>
      </w:r>
      <w:r>
        <w:rPr>
          <w:rFonts w:hint="eastAsia" w:ascii="仿宋" w:hAnsi="仿宋" w:eastAsia="仿宋" w:cs="仿宋"/>
          <w:kern w:val="0"/>
          <w:sz w:val="24"/>
          <w:szCs w:val="24"/>
          <w:highlight w:val="none"/>
        </w:rPr>
        <w:t>员（签字）：</w:t>
      </w:r>
    </w:p>
    <w:p w14:paraId="18D0208F">
      <w:pPr>
        <w:spacing w:line="360" w:lineRule="auto"/>
        <w:rPr>
          <w:rFonts w:hint="eastAsia" w:ascii="仿宋" w:hAnsi="仿宋" w:eastAsia="仿宋" w:cs="仿宋"/>
          <w:kern w:val="0"/>
          <w:sz w:val="24"/>
          <w:szCs w:val="24"/>
          <w:highlight w:val="none"/>
        </w:rPr>
      </w:pPr>
    </w:p>
    <w:p w14:paraId="164A685B">
      <w:pPr>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日期：年月日</w:t>
      </w:r>
    </w:p>
    <w:p w14:paraId="1299A52B">
      <w:pPr>
        <w:spacing w:line="360" w:lineRule="auto"/>
        <w:jc w:val="center"/>
        <w:rPr>
          <w:rFonts w:hint="eastAsia" w:ascii="仿宋" w:hAnsi="仿宋" w:eastAsia="仿宋" w:cs="仿宋"/>
          <w:b/>
          <w:sz w:val="24"/>
          <w:szCs w:val="24"/>
          <w:highlight w:val="none"/>
        </w:rPr>
      </w:pPr>
      <w:r>
        <w:rPr>
          <w:rFonts w:hint="eastAsia" w:ascii="仿宋" w:hAnsi="仿宋" w:eastAsia="仿宋" w:cs="仿宋"/>
          <w:kern w:val="0"/>
          <w:sz w:val="24"/>
          <w:szCs w:val="24"/>
          <w:highlight w:val="none"/>
        </w:rPr>
        <w:br w:type="page"/>
      </w:r>
      <w:r>
        <w:rPr>
          <w:rFonts w:hint="eastAsia" w:ascii="仿宋" w:hAnsi="仿宋" w:eastAsia="仿宋" w:cs="仿宋"/>
          <w:b/>
          <w:sz w:val="24"/>
          <w:szCs w:val="24"/>
          <w:highlight w:val="none"/>
        </w:rPr>
        <w:t>问题的澄清、说明或补正</w:t>
      </w:r>
    </w:p>
    <w:p w14:paraId="4E3DCA5A">
      <w:pPr>
        <w:rPr>
          <w:rFonts w:hint="eastAsia" w:ascii="仿宋" w:hAnsi="仿宋" w:eastAsia="仿宋" w:cs="仿宋"/>
          <w:kern w:val="0"/>
          <w:sz w:val="24"/>
          <w:szCs w:val="24"/>
          <w:highlight w:val="none"/>
        </w:rPr>
      </w:pPr>
    </w:p>
    <w:p w14:paraId="7E2BE8EC">
      <w:pPr>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评标小组：</w:t>
      </w:r>
    </w:p>
    <w:p w14:paraId="0C44CB78">
      <w:pPr>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（招标项目名称）的问题澄清通知已收悉，现澄清、说明或者补正如下：</w:t>
      </w:r>
    </w:p>
    <w:p w14:paraId="3B69103A">
      <w:pPr>
        <w:spacing w:line="360" w:lineRule="auto"/>
        <w:rPr>
          <w:rFonts w:hint="eastAsia" w:ascii="仿宋" w:hAnsi="仿宋" w:eastAsia="仿宋" w:cs="仿宋"/>
          <w:kern w:val="0"/>
          <w:sz w:val="24"/>
          <w:szCs w:val="24"/>
          <w:highlight w:val="none"/>
        </w:rPr>
      </w:pPr>
    </w:p>
    <w:p w14:paraId="24DEA8AC">
      <w:pPr>
        <w:spacing w:line="360" w:lineRule="auto"/>
        <w:rPr>
          <w:rFonts w:hint="eastAsia" w:ascii="仿宋" w:hAnsi="仿宋" w:eastAsia="仿宋" w:cs="仿宋"/>
          <w:kern w:val="0"/>
          <w:sz w:val="24"/>
          <w:szCs w:val="24"/>
          <w:highlight w:val="none"/>
        </w:rPr>
      </w:pPr>
    </w:p>
    <w:p w14:paraId="5B4A4A7A">
      <w:pPr>
        <w:spacing w:line="360" w:lineRule="auto"/>
        <w:rPr>
          <w:rFonts w:hint="eastAsia" w:ascii="仿宋" w:hAnsi="仿宋" w:eastAsia="仿宋" w:cs="仿宋"/>
          <w:kern w:val="0"/>
          <w:sz w:val="24"/>
          <w:szCs w:val="24"/>
          <w:highlight w:val="none"/>
        </w:rPr>
      </w:pPr>
    </w:p>
    <w:p w14:paraId="1CC62EE1">
      <w:pPr>
        <w:spacing w:line="360" w:lineRule="auto"/>
        <w:rPr>
          <w:rFonts w:hint="eastAsia" w:ascii="仿宋" w:hAnsi="仿宋" w:eastAsia="仿宋" w:cs="仿宋"/>
          <w:kern w:val="0"/>
          <w:sz w:val="24"/>
          <w:szCs w:val="24"/>
          <w:highlight w:val="none"/>
        </w:rPr>
      </w:pPr>
    </w:p>
    <w:p w14:paraId="392C195B">
      <w:pPr>
        <w:spacing w:line="360" w:lineRule="auto"/>
        <w:rPr>
          <w:rFonts w:hint="eastAsia" w:ascii="仿宋" w:hAnsi="仿宋" w:eastAsia="仿宋" w:cs="仿宋"/>
          <w:kern w:val="0"/>
          <w:sz w:val="24"/>
          <w:szCs w:val="24"/>
          <w:highlight w:val="none"/>
        </w:rPr>
      </w:pPr>
    </w:p>
    <w:p w14:paraId="7E9BB402">
      <w:pPr>
        <w:spacing w:line="360" w:lineRule="auto"/>
        <w:rPr>
          <w:rFonts w:hint="eastAsia" w:ascii="仿宋" w:hAnsi="仿宋" w:eastAsia="仿宋" w:cs="仿宋"/>
          <w:kern w:val="0"/>
          <w:sz w:val="24"/>
          <w:szCs w:val="24"/>
          <w:highlight w:val="none"/>
        </w:rPr>
      </w:pPr>
    </w:p>
    <w:p w14:paraId="6FB09DBB">
      <w:pPr>
        <w:spacing w:line="360" w:lineRule="auto"/>
        <w:rPr>
          <w:rFonts w:hint="eastAsia" w:ascii="仿宋" w:hAnsi="仿宋" w:eastAsia="仿宋" w:cs="仿宋"/>
          <w:kern w:val="0"/>
          <w:sz w:val="24"/>
          <w:szCs w:val="24"/>
          <w:highlight w:val="none"/>
        </w:rPr>
      </w:pPr>
    </w:p>
    <w:p w14:paraId="3E4C47B6">
      <w:pPr>
        <w:spacing w:line="360" w:lineRule="auto"/>
        <w:rPr>
          <w:rFonts w:hint="eastAsia" w:ascii="仿宋" w:hAnsi="仿宋" w:eastAsia="仿宋" w:cs="仿宋"/>
          <w:kern w:val="0"/>
          <w:sz w:val="24"/>
          <w:szCs w:val="24"/>
          <w:highlight w:val="none"/>
        </w:rPr>
      </w:pPr>
    </w:p>
    <w:p w14:paraId="5A4002A8">
      <w:pPr>
        <w:spacing w:line="360" w:lineRule="auto"/>
        <w:rPr>
          <w:rFonts w:hint="eastAsia" w:ascii="仿宋" w:hAnsi="仿宋" w:eastAsia="仿宋" w:cs="仿宋"/>
          <w:kern w:val="0"/>
          <w:sz w:val="24"/>
          <w:szCs w:val="24"/>
          <w:highlight w:val="none"/>
        </w:rPr>
      </w:pPr>
    </w:p>
    <w:p w14:paraId="24662435">
      <w:pPr>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法定代表人或其授权委托人（签字）：</w:t>
      </w:r>
    </w:p>
    <w:p w14:paraId="74E408E2">
      <w:pPr>
        <w:spacing w:line="360" w:lineRule="auto"/>
        <w:rPr>
          <w:rFonts w:hint="eastAsia" w:ascii="仿宋" w:hAnsi="仿宋" w:eastAsia="仿宋" w:cs="仿宋"/>
          <w:kern w:val="0"/>
          <w:sz w:val="24"/>
          <w:szCs w:val="24"/>
          <w:highlight w:val="none"/>
        </w:rPr>
      </w:pPr>
    </w:p>
    <w:p w14:paraId="4E78125B">
      <w:pPr>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日期：年月日</w:t>
      </w:r>
    </w:p>
    <w:p w14:paraId="49DB5075">
      <w:pPr>
        <w:spacing w:line="360" w:lineRule="auto"/>
        <w:jc w:val="center"/>
        <w:outlineLvl w:val="0"/>
        <w:rPr>
          <w:rFonts w:hint="eastAsia" w:ascii="仿宋" w:hAnsi="仿宋" w:eastAsia="仿宋" w:cs="仿宋"/>
          <w:b/>
          <w:sz w:val="24"/>
          <w:szCs w:val="24"/>
          <w:highlight w:val="none"/>
        </w:rPr>
      </w:pPr>
      <w:r>
        <w:rPr>
          <w:rFonts w:hint="eastAsia" w:ascii="仿宋" w:hAnsi="仿宋" w:eastAsia="仿宋" w:cs="仿宋"/>
          <w:kern w:val="0"/>
          <w:sz w:val="24"/>
          <w:szCs w:val="24"/>
          <w:highlight w:val="none"/>
        </w:rPr>
        <w:br w:type="page"/>
      </w:r>
      <w:bookmarkStart w:id="38" w:name="_Toc1253"/>
      <w:r>
        <w:rPr>
          <w:rFonts w:hint="eastAsia" w:ascii="仿宋" w:hAnsi="仿宋" w:eastAsia="仿宋" w:cs="仿宋"/>
          <w:b/>
          <w:sz w:val="24"/>
          <w:szCs w:val="24"/>
          <w:highlight w:val="none"/>
        </w:rPr>
        <w:t>第三章 合同条款</w:t>
      </w:r>
      <w:bookmarkEnd w:id="37"/>
      <w:bookmarkEnd w:id="38"/>
    </w:p>
    <w:p w14:paraId="699CC449">
      <w:pPr>
        <w:pStyle w:val="224"/>
        <w:ind w:firstLine="0"/>
        <w:jc w:val="center"/>
        <w:rPr>
          <w:rFonts w:hint="eastAsia" w:ascii="仿宋" w:hAnsi="仿宋" w:eastAsia="仿宋" w:cs="仿宋"/>
          <w:b/>
          <w:szCs w:val="24"/>
          <w:highlight w:val="none"/>
        </w:rPr>
      </w:pPr>
    </w:p>
    <w:p w14:paraId="1845D665">
      <w:pPr>
        <w:pStyle w:val="224"/>
        <w:ind w:firstLine="0"/>
        <w:jc w:val="center"/>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14:paraId="7BB0E605">
      <w:pPr>
        <w:pStyle w:val="224"/>
        <w:ind w:firstLine="0"/>
        <w:rPr>
          <w:rFonts w:hint="eastAsia" w:ascii="仿宋" w:hAnsi="仿宋" w:eastAsia="仿宋" w:cs="仿宋"/>
          <w:szCs w:val="24"/>
          <w:highlight w:val="none"/>
        </w:rPr>
      </w:pPr>
    </w:p>
    <w:p w14:paraId="349B94BE">
      <w:pPr>
        <w:pStyle w:val="224"/>
        <w:ind w:firstLine="0"/>
        <w:rPr>
          <w:rFonts w:hint="eastAsia" w:ascii="仿宋" w:hAnsi="仿宋" w:eastAsia="仿宋" w:cs="仿宋"/>
          <w:szCs w:val="24"/>
          <w:highlight w:val="none"/>
        </w:rPr>
      </w:pPr>
    </w:p>
    <w:p w14:paraId="7C24DC55">
      <w:pPr>
        <w:spacing w:before="120" w:line="22" w:lineRule="atLeast"/>
        <w:rPr>
          <w:rFonts w:hint="eastAsia" w:ascii="仿宋" w:hAnsi="仿宋" w:eastAsia="仿宋" w:cs="仿宋"/>
          <w:sz w:val="24"/>
          <w:highlight w:val="none"/>
        </w:rPr>
      </w:pPr>
    </w:p>
    <w:p w14:paraId="49DA13FF">
      <w:pPr>
        <w:spacing w:before="120" w:line="22" w:lineRule="atLeast"/>
        <w:rPr>
          <w:rFonts w:hint="eastAsia" w:ascii="仿宋" w:hAnsi="仿宋" w:eastAsia="仿宋" w:cs="仿宋"/>
          <w:sz w:val="24"/>
          <w:highlight w:val="none"/>
        </w:rPr>
      </w:pPr>
    </w:p>
    <w:p w14:paraId="475AC86E">
      <w:pPr>
        <w:spacing w:before="120" w:line="22" w:lineRule="atLeast"/>
        <w:rPr>
          <w:rFonts w:hint="eastAsia" w:ascii="仿宋" w:hAnsi="仿宋" w:eastAsia="仿宋" w:cs="仿宋"/>
          <w:sz w:val="24"/>
          <w:highlight w:val="none"/>
        </w:rPr>
      </w:pPr>
    </w:p>
    <w:p w14:paraId="26003AED">
      <w:pPr>
        <w:spacing w:before="120" w:line="22" w:lineRule="atLeast"/>
        <w:rPr>
          <w:rFonts w:hint="eastAsia" w:ascii="仿宋" w:hAnsi="仿宋" w:eastAsia="仿宋" w:cs="仿宋"/>
          <w:sz w:val="24"/>
          <w:highlight w:val="none"/>
        </w:rPr>
      </w:pPr>
    </w:p>
    <w:p w14:paraId="3D2522F4">
      <w:pPr>
        <w:pStyle w:val="225"/>
        <w:spacing w:before="120" w:line="22" w:lineRule="atLeast"/>
        <w:ind w:left="2158" w:leftChars="456" w:hanging="1200" w:hangingChars="500"/>
        <w:rPr>
          <w:rFonts w:hint="eastAsia" w:ascii="仿宋" w:hAnsi="仿宋" w:eastAsia="仿宋" w:cs="仿宋"/>
          <w:szCs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lang w:eastAsia="zh-CN"/>
        </w:rPr>
        <w:t>新疆维吾尔自治区地质局昌吉地质大队物探技术服务项目</w:t>
      </w:r>
    </w:p>
    <w:p w14:paraId="33D1E48A">
      <w:pPr>
        <w:rPr>
          <w:rFonts w:hint="eastAsia" w:ascii="仿宋" w:hAnsi="仿宋" w:eastAsia="仿宋" w:cs="仿宋"/>
          <w:highlight w:val="none"/>
        </w:rPr>
      </w:pPr>
    </w:p>
    <w:p w14:paraId="11B2A8E1">
      <w:pPr>
        <w:spacing w:before="120" w:line="22" w:lineRule="atLeast"/>
        <w:ind w:left="960"/>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新疆维吾尔自治区地质局昌吉地质大队</w:t>
      </w:r>
      <w:r>
        <w:rPr>
          <w:rFonts w:hint="eastAsia" w:ascii="仿宋" w:hAnsi="仿宋" w:eastAsia="仿宋" w:cs="仿宋"/>
          <w:sz w:val="24"/>
          <w:highlight w:val="none"/>
          <w:u w:val="single"/>
        </w:rPr>
        <w:t xml:space="preserve">   </w:t>
      </w:r>
    </w:p>
    <w:p w14:paraId="6E175D01">
      <w:pPr>
        <w:spacing w:before="120" w:line="22" w:lineRule="atLeast"/>
        <w:ind w:left="960"/>
        <w:rPr>
          <w:rFonts w:hint="eastAsia" w:ascii="仿宋" w:hAnsi="仿宋" w:eastAsia="仿宋" w:cs="仿宋"/>
          <w:sz w:val="24"/>
          <w:highlight w:val="none"/>
        </w:rPr>
      </w:pPr>
    </w:p>
    <w:p w14:paraId="4B77903B">
      <w:pPr>
        <w:spacing w:before="120" w:line="22" w:lineRule="atLeast"/>
        <w:ind w:left="960"/>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14:paraId="27574A99">
      <w:pPr>
        <w:spacing w:before="120" w:line="22" w:lineRule="atLeast"/>
        <w:rPr>
          <w:rFonts w:hint="eastAsia" w:ascii="仿宋" w:hAnsi="仿宋" w:eastAsia="仿宋" w:cs="仿宋"/>
          <w:sz w:val="24"/>
          <w:highlight w:val="none"/>
        </w:rPr>
      </w:pPr>
    </w:p>
    <w:p w14:paraId="417D0975">
      <w:pPr>
        <w:spacing w:before="120" w:line="22" w:lineRule="atLeast"/>
        <w:ind w:firstLine="960" w:firstLineChars="400"/>
        <w:rPr>
          <w:rFonts w:hint="eastAsia"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14:paraId="75F912D3">
      <w:pPr>
        <w:spacing w:before="120" w:line="22" w:lineRule="atLeast"/>
        <w:rPr>
          <w:rFonts w:hint="eastAsia" w:ascii="仿宋" w:hAnsi="仿宋" w:eastAsia="仿宋" w:cs="仿宋"/>
          <w:sz w:val="24"/>
          <w:highlight w:val="none"/>
        </w:rPr>
      </w:pPr>
    </w:p>
    <w:p w14:paraId="45B4714F">
      <w:pPr>
        <w:spacing w:before="120" w:line="22" w:lineRule="atLeast"/>
        <w:ind w:firstLine="960" w:firstLineChars="400"/>
        <w:rPr>
          <w:rFonts w:hint="eastAsia"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43C0DFEC">
      <w:pPr>
        <w:autoSpaceDE w:val="0"/>
        <w:autoSpaceDN w:val="0"/>
        <w:adjustRightInd w:val="0"/>
        <w:spacing w:line="600" w:lineRule="exact"/>
        <w:ind w:firstLine="640"/>
        <w:jc w:val="center"/>
        <w:rPr>
          <w:rFonts w:hint="eastAsia" w:ascii="仿宋" w:hAnsi="仿宋" w:eastAsia="仿宋" w:cs="仿宋"/>
          <w:sz w:val="24"/>
          <w:highlight w:val="none"/>
        </w:rPr>
        <w:sectPr>
          <w:footerReference r:id="rId9" w:type="first"/>
          <w:headerReference r:id="rId7" w:type="default"/>
          <w:footerReference r:id="rId8" w:type="default"/>
          <w:pgSz w:w="11907" w:h="16840"/>
          <w:pgMar w:top="1474" w:right="1814" w:bottom="1474" w:left="1814" w:header="851" w:footer="851" w:gutter="0"/>
          <w:pgNumType w:fmt="decimal" w:start="1"/>
          <w:cols w:space="720" w:num="1"/>
          <w:titlePg/>
          <w:docGrid w:linePitch="462" w:charSpace="0"/>
        </w:sectPr>
      </w:pPr>
    </w:p>
    <w:p w14:paraId="6093B7B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新疆维吾尔自治区地质局昌吉地质大队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公开招标</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新疆维吾尔自治区地质局昌吉地质大队物探技术服务项目</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评标</w:t>
      </w:r>
      <w:r>
        <w:rPr>
          <w:rFonts w:hint="eastAsia" w:ascii="仿宋" w:hAnsi="仿宋" w:eastAsia="仿宋" w:cs="仿宋"/>
          <w:sz w:val="24"/>
          <w:highlight w:val="none"/>
          <w:u w:val="single"/>
        </w:rPr>
        <w:t xml:space="preserve">小组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（中标供应商名称） </w:t>
      </w:r>
      <w:r>
        <w:rPr>
          <w:rFonts w:hint="eastAsia" w:ascii="仿宋" w:hAnsi="仿宋" w:eastAsia="仿宋" w:cs="仿宋"/>
          <w:sz w:val="24"/>
          <w:highlight w:val="none"/>
        </w:rPr>
        <w:t>为该项目中标供应商。现于中标通知书发出之日起三十日内，按照采购文件确定的事项签订本合同。</w:t>
      </w:r>
    </w:p>
    <w:p w14:paraId="4A6B7BB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新疆维吾尔自治区地质局昌吉地质大队</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14:paraId="1E0C8F24">
      <w:pPr>
        <w:spacing w:line="560" w:lineRule="exact"/>
        <w:ind w:firstLine="482" w:firstLineChars="200"/>
        <w:rPr>
          <w:rFonts w:hint="eastAsia" w:ascii="仿宋" w:hAnsi="仿宋" w:eastAsia="仿宋" w:cs="仿宋"/>
          <w:sz w:val="24"/>
          <w:highlight w:val="none"/>
        </w:rPr>
      </w:pPr>
      <w:bookmarkStart w:id="39" w:name="_Toc37868828"/>
      <w:bookmarkStart w:id="40" w:name="_Toc20421"/>
      <w:bookmarkStart w:id="41" w:name="_Toc2591674"/>
      <w:bookmarkStart w:id="42" w:name="_Toc19273"/>
      <w:bookmarkStart w:id="43" w:name="_Toc15367"/>
      <w:bookmarkStart w:id="44" w:name="_Toc28855"/>
      <w:bookmarkStart w:id="45" w:name="_Toc22967"/>
      <w:bookmarkStart w:id="46" w:name="_Toc82617970"/>
      <w:r>
        <w:rPr>
          <w:rFonts w:hint="eastAsia" w:ascii="仿宋" w:hAnsi="仿宋" w:eastAsia="仿宋" w:cs="仿宋"/>
          <w:b/>
          <w:sz w:val="24"/>
          <w:highlight w:val="none"/>
        </w:rPr>
        <w:t>1.1 合同组成部分</w:t>
      </w:r>
      <w:bookmarkEnd w:id="39"/>
      <w:bookmarkEnd w:id="40"/>
      <w:bookmarkEnd w:id="41"/>
      <w:bookmarkEnd w:id="42"/>
      <w:bookmarkEnd w:id="43"/>
      <w:bookmarkEnd w:id="44"/>
      <w:bookmarkEnd w:id="45"/>
      <w:bookmarkEnd w:id="46"/>
    </w:p>
    <w:p w14:paraId="140927E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7A5743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14:paraId="345304C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 中标通知书；</w:t>
      </w:r>
    </w:p>
    <w:p w14:paraId="68AA6F2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1.1.3 投标文件（含澄清或者说明文件）；</w:t>
      </w:r>
    </w:p>
    <w:p w14:paraId="50A15A1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1.1.4 招标文件（含澄清或者修改文件）；</w:t>
      </w:r>
    </w:p>
    <w:p w14:paraId="3F5A288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14:paraId="76693ABE">
      <w:pPr>
        <w:spacing w:line="560" w:lineRule="exact"/>
        <w:ind w:firstLine="482" w:firstLineChars="200"/>
        <w:rPr>
          <w:rFonts w:hint="eastAsia" w:ascii="仿宋" w:hAnsi="仿宋" w:eastAsia="仿宋" w:cs="仿宋"/>
          <w:b/>
          <w:sz w:val="24"/>
          <w:highlight w:val="none"/>
        </w:rPr>
      </w:pPr>
      <w:bookmarkStart w:id="47" w:name="_Toc37868829"/>
      <w:bookmarkStart w:id="48" w:name="_Toc6311"/>
      <w:bookmarkStart w:id="49" w:name="_Toc2918"/>
      <w:bookmarkStart w:id="50" w:name="_Toc22185"/>
      <w:bookmarkStart w:id="51" w:name="_Toc2591675"/>
      <w:bookmarkStart w:id="52" w:name="_Toc18585"/>
      <w:bookmarkStart w:id="53" w:name="_Toc82617971"/>
      <w:bookmarkStart w:id="54" w:name="_Toc6773"/>
      <w:r>
        <w:rPr>
          <w:rFonts w:hint="eastAsia" w:ascii="仿宋" w:hAnsi="仿宋" w:eastAsia="仿宋" w:cs="仿宋"/>
          <w:b/>
          <w:sz w:val="24"/>
          <w:highlight w:val="none"/>
        </w:rPr>
        <w:t>1.2 标的</w:t>
      </w:r>
      <w:bookmarkEnd w:id="47"/>
      <w:bookmarkEnd w:id="48"/>
      <w:bookmarkEnd w:id="49"/>
      <w:bookmarkEnd w:id="50"/>
      <w:bookmarkEnd w:id="51"/>
      <w:bookmarkEnd w:id="52"/>
      <w:bookmarkEnd w:id="53"/>
      <w:bookmarkEnd w:id="54"/>
    </w:p>
    <w:p w14:paraId="78B34475">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1.2.1 标的名称：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7AA50F2D">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1.2.2 标的数量：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195ED91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1.2.3 标的质量：</w:t>
      </w:r>
      <w:r>
        <w:rPr>
          <w:rFonts w:hint="eastAsia" w:ascii="仿宋" w:hAnsi="仿宋" w:eastAsia="仿宋" w:cs="仿宋"/>
          <w:sz w:val="24"/>
          <w:highlight w:val="none"/>
          <w:u w:val="single"/>
        </w:rPr>
        <w:t>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48DC9C76">
      <w:pPr>
        <w:spacing w:line="560" w:lineRule="exact"/>
        <w:ind w:firstLine="482" w:firstLineChars="200"/>
        <w:rPr>
          <w:rFonts w:hint="eastAsia" w:ascii="仿宋" w:hAnsi="仿宋" w:eastAsia="仿宋" w:cs="仿宋"/>
          <w:b/>
          <w:sz w:val="24"/>
          <w:highlight w:val="none"/>
        </w:rPr>
      </w:pPr>
      <w:bookmarkStart w:id="55" w:name="_Toc5635"/>
      <w:bookmarkStart w:id="56" w:name="_Toc37868830"/>
      <w:bookmarkStart w:id="57" w:name="_Toc2591676"/>
      <w:bookmarkStart w:id="58" w:name="_Toc21124"/>
      <w:bookmarkStart w:id="59" w:name="_Toc1386"/>
      <w:bookmarkStart w:id="60" w:name="_Toc13918"/>
      <w:bookmarkStart w:id="61" w:name="_Toc4929"/>
      <w:bookmarkStart w:id="62" w:name="_Toc82617972"/>
      <w:r>
        <w:rPr>
          <w:rFonts w:hint="eastAsia" w:ascii="仿宋" w:hAnsi="仿宋" w:eastAsia="仿宋" w:cs="仿宋"/>
          <w:b/>
          <w:sz w:val="24"/>
          <w:highlight w:val="none"/>
        </w:rPr>
        <w:t>1.3 价款</w:t>
      </w:r>
      <w:bookmarkEnd w:id="55"/>
      <w:bookmarkEnd w:id="56"/>
      <w:bookmarkEnd w:id="57"/>
      <w:bookmarkEnd w:id="58"/>
      <w:bookmarkEnd w:id="59"/>
      <w:bookmarkEnd w:id="60"/>
      <w:bookmarkEnd w:id="61"/>
      <w:bookmarkEnd w:id="62"/>
    </w:p>
    <w:p w14:paraId="7E555D0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本合同总价为：￥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0B8EF68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分项价格：</w:t>
      </w:r>
    </w:p>
    <w:p w14:paraId="4B2CC9B5">
      <w:pPr>
        <w:spacing w:line="560" w:lineRule="exact"/>
        <w:ind w:firstLine="480" w:firstLineChars="200"/>
        <w:rPr>
          <w:rFonts w:hint="eastAsia" w:ascii="仿宋" w:hAnsi="仿宋" w:eastAsia="仿宋" w:cs="仿宋"/>
          <w:sz w:val="24"/>
          <w:highlight w:val="none"/>
        </w:rPr>
      </w:pPr>
    </w:p>
    <w:tbl>
      <w:tblPr>
        <w:tblStyle w:val="4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4416"/>
        <w:gridCol w:w="3312"/>
      </w:tblGrid>
      <w:tr w14:paraId="348E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8" w:type="pct"/>
            <w:vAlign w:val="center"/>
          </w:tcPr>
          <w:p w14:paraId="4E746C27">
            <w:pPr>
              <w:pStyle w:val="226"/>
              <w:spacing w:line="560" w:lineRule="exact"/>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序号</w:t>
            </w:r>
          </w:p>
        </w:tc>
        <w:tc>
          <w:tcPr>
            <w:tcW w:w="2377" w:type="pct"/>
            <w:vAlign w:val="center"/>
          </w:tcPr>
          <w:p w14:paraId="4ED61CC2">
            <w:pPr>
              <w:pStyle w:val="226"/>
              <w:spacing w:line="560" w:lineRule="exact"/>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分项名称</w:t>
            </w:r>
          </w:p>
        </w:tc>
        <w:tc>
          <w:tcPr>
            <w:tcW w:w="1783" w:type="pct"/>
            <w:vAlign w:val="center"/>
          </w:tcPr>
          <w:p w14:paraId="53B142B0">
            <w:pPr>
              <w:pStyle w:val="226"/>
              <w:spacing w:line="560" w:lineRule="exact"/>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分项价格</w:t>
            </w:r>
          </w:p>
        </w:tc>
      </w:tr>
      <w:tr w14:paraId="69B89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8" w:type="pct"/>
            <w:vAlign w:val="center"/>
          </w:tcPr>
          <w:p w14:paraId="1C56B77B">
            <w:pPr>
              <w:pStyle w:val="226"/>
              <w:spacing w:line="560" w:lineRule="exact"/>
              <w:jc w:val="center"/>
              <w:rPr>
                <w:rFonts w:hint="eastAsia" w:ascii="仿宋" w:hAnsi="仿宋" w:eastAsia="仿宋" w:cs="仿宋"/>
                <w:kern w:val="2"/>
                <w:sz w:val="24"/>
                <w:szCs w:val="24"/>
                <w:highlight w:val="none"/>
              </w:rPr>
            </w:pPr>
          </w:p>
        </w:tc>
        <w:tc>
          <w:tcPr>
            <w:tcW w:w="2377" w:type="pct"/>
            <w:vAlign w:val="center"/>
          </w:tcPr>
          <w:p w14:paraId="30ABF614">
            <w:pPr>
              <w:pStyle w:val="226"/>
              <w:spacing w:line="560" w:lineRule="exact"/>
              <w:jc w:val="center"/>
              <w:rPr>
                <w:rFonts w:hint="eastAsia" w:ascii="仿宋" w:hAnsi="仿宋" w:eastAsia="仿宋" w:cs="仿宋"/>
                <w:kern w:val="2"/>
                <w:sz w:val="24"/>
                <w:szCs w:val="24"/>
                <w:highlight w:val="none"/>
              </w:rPr>
            </w:pPr>
          </w:p>
        </w:tc>
        <w:tc>
          <w:tcPr>
            <w:tcW w:w="1783" w:type="pct"/>
            <w:vAlign w:val="center"/>
          </w:tcPr>
          <w:p w14:paraId="7EBF7ED2">
            <w:pPr>
              <w:pStyle w:val="226"/>
              <w:spacing w:line="560" w:lineRule="exact"/>
              <w:jc w:val="center"/>
              <w:rPr>
                <w:rFonts w:hint="eastAsia" w:ascii="仿宋" w:hAnsi="仿宋" w:eastAsia="仿宋" w:cs="仿宋"/>
                <w:kern w:val="2"/>
                <w:sz w:val="24"/>
                <w:szCs w:val="24"/>
                <w:highlight w:val="none"/>
              </w:rPr>
            </w:pPr>
          </w:p>
        </w:tc>
      </w:tr>
      <w:tr w14:paraId="4E58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8" w:type="pct"/>
            <w:vAlign w:val="center"/>
          </w:tcPr>
          <w:p w14:paraId="234A2F89">
            <w:pPr>
              <w:pStyle w:val="226"/>
              <w:spacing w:line="560" w:lineRule="exact"/>
              <w:jc w:val="center"/>
              <w:rPr>
                <w:rFonts w:hint="eastAsia" w:ascii="仿宋" w:hAnsi="仿宋" w:eastAsia="仿宋" w:cs="仿宋"/>
                <w:kern w:val="2"/>
                <w:sz w:val="24"/>
                <w:szCs w:val="24"/>
                <w:highlight w:val="none"/>
              </w:rPr>
            </w:pPr>
          </w:p>
        </w:tc>
        <w:tc>
          <w:tcPr>
            <w:tcW w:w="2377" w:type="pct"/>
            <w:vAlign w:val="center"/>
          </w:tcPr>
          <w:p w14:paraId="11992903">
            <w:pPr>
              <w:pStyle w:val="226"/>
              <w:spacing w:line="560" w:lineRule="exact"/>
              <w:jc w:val="center"/>
              <w:rPr>
                <w:rFonts w:hint="eastAsia" w:ascii="仿宋" w:hAnsi="仿宋" w:eastAsia="仿宋" w:cs="仿宋"/>
                <w:kern w:val="2"/>
                <w:sz w:val="24"/>
                <w:szCs w:val="24"/>
                <w:highlight w:val="none"/>
              </w:rPr>
            </w:pPr>
          </w:p>
        </w:tc>
        <w:tc>
          <w:tcPr>
            <w:tcW w:w="1783" w:type="pct"/>
            <w:vAlign w:val="center"/>
          </w:tcPr>
          <w:p w14:paraId="12C07BBA">
            <w:pPr>
              <w:pStyle w:val="226"/>
              <w:spacing w:line="560" w:lineRule="exact"/>
              <w:jc w:val="center"/>
              <w:rPr>
                <w:rFonts w:hint="eastAsia" w:ascii="仿宋" w:hAnsi="仿宋" w:eastAsia="仿宋" w:cs="仿宋"/>
                <w:kern w:val="2"/>
                <w:sz w:val="24"/>
                <w:szCs w:val="24"/>
                <w:highlight w:val="none"/>
              </w:rPr>
            </w:pPr>
          </w:p>
        </w:tc>
      </w:tr>
      <w:tr w14:paraId="7081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8" w:type="pct"/>
            <w:vAlign w:val="center"/>
          </w:tcPr>
          <w:p w14:paraId="05CA53E2">
            <w:pPr>
              <w:pStyle w:val="226"/>
              <w:spacing w:line="560" w:lineRule="exact"/>
              <w:jc w:val="center"/>
              <w:rPr>
                <w:rFonts w:hint="eastAsia" w:ascii="仿宋" w:hAnsi="仿宋" w:eastAsia="仿宋" w:cs="仿宋"/>
                <w:kern w:val="2"/>
                <w:sz w:val="24"/>
                <w:szCs w:val="24"/>
                <w:highlight w:val="none"/>
              </w:rPr>
            </w:pPr>
          </w:p>
        </w:tc>
        <w:tc>
          <w:tcPr>
            <w:tcW w:w="2377" w:type="pct"/>
            <w:vAlign w:val="center"/>
          </w:tcPr>
          <w:p w14:paraId="7BEF6374">
            <w:pPr>
              <w:pStyle w:val="226"/>
              <w:spacing w:line="560" w:lineRule="exact"/>
              <w:jc w:val="center"/>
              <w:rPr>
                <w:rFonts w:hint="eastAsia" w:ascii="仿宋" w:hAnsi="仿宋" w:eastAsia="仿宋" w:cs="仿宋"/>
                <w:kern w:val="2"/>
                <w:sz w:val="24"/>
                <w:szCs w:val="24"/>
                <w:highlight w:val="none"/>
              </w:rPr>
            </w:pPr>
          </w:p>
        </w:tc>
        <w:tc>
          <w:tcPr>
            <w:tcW w:w="1783" w:type="pct"/>
            <w:vAlign w:val="center"/>
          </w:tcPr>
          <w:p w14:paraId="63851F71">
            <w:pPr>
              <w:pStyle w:val="226"/>
              <w:spacing w:line="560" w:lineRule="exact"/>
              <w:jc w:val="center"/>
              <w:rPr>
                <w:rFonts w:hint="eastAsia" w:ascii="仿宋" w:hAnsi="仿宋" w:eastAsia="仿宋" w:cs="仿宋"/>
                <w:kern w:val="2"/>
                <w:sz w:val="24"/>
                <w:szCs w:val="24"/>
                <w:highlight w:val="none"/>
              </w:rPr>
            </w:pPr>
          </w:p>
        </w:tc>
      </w:tr>
      <w:tr w14:paraId="46A3A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8" w:type="pct"/>
            <w:vAlign w:val="center"/>
          </w:tcPr>
          <w:p w14:paraId="44CD4A12">
            <w:pPr>
              <w:pStyle w:val="226"/>
              <w:spacing w:line="560" w:lineRule="exact"/>
              <w:jc w:val="center"/>
              <w:rPr>
                <w:rFonts w:hint="eastAsia" w:ascii="仿宋" w:hAnsi="仿宋" w:eastAsia="仿宋" w:cs="仿宋"/>
                <w:kern w:val="2"/>
                <w:sz w:val="24"/>
                <w:szCs w:val="24"/>
                <w:highlight w:val="none"/>
              </w:rPr>
            </w:pPr>
          </w:p>
        </w:tc>
        <w:tc>
          <w:tcPr>
            <w:tcW w:w="2377" w:type="pct"/>
            <w:vAlign w:val="center"/>
          </w:tcPr>
          <w:p w14:paraId="28CFE178">
            <w:pPr>
              <w:pStyle w:val="226"/>
              <w:spacing w:line="560" w:lineRule="exact"/>
              <w:jc w:val="center"/>
              <w:rPr>
                <w:rFonts w:hint="eastAsia" w:ascii="仿宋" w:hAnsi="仿宋" w:eastAsia="仿宋" w:cs="仿宋"/>
                <w:kern w:val="2"/>
                <w:sz w:val="24"/>
                <w:szCs w:val="24"/>
                <w:highlight w:val="none"/>
              </w:rPr>
            </w:pPr>
          </w:p>
        </w:tc>
        <w:tc>
          <w:tcPr>
            <w:tcW w:w="1783" w:type="pct"/>
            <w:vAlign w:val="center"/>
          </w:tcPr>
          <w:p w14:paraId="22EA4A7B">
            <w:pPr>
              <w:pStyle w:val="226"/>
              <w:spacing w:line="560" w:lineRule="exact"/>
              <w:jc w:val="center"/>
              <w:rPr>
                <w:rFonts w:hint="eastAsia" w:ascii="仿宋" w:hAnsi="仿宋" w:eastAsia="仿宋" w:cs="仿宋"/>
                <w:kern w:val="2"/>
                <w:sz w:val="24"/>
                <w:szCs w:val="24"/>
                <w:highlight w:val="none"/>
              </w:rPr>
            </w:pPr>
          </w:p>
        </w:tc>
      </w:tr>
      <w:tr w14:paraId="4710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16" w:type="pct"/>
            <w:gridSpan w:val="2"/>
            <w:vAlign w:val="center"/>
          </w:tcPr>
          <w:p w14:paraId="5A7BED5C">
            <w:pPr>
              <w:pStyle w:val="226"/>
              <w:spacing w:line="560" w:lineRule="exact"/>
              <w:ind w:firstLine="48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总价</w:t>
            </w:r>
          </w:p>
        </w:tc>
        <w:tc>
          <w:tcPr>
            <w:tcW w:w="1783" w:type="pct"/>
            <w:vAlign w:val="center"/>
          </w:tcPr>
          <w:p w14:paraId="09E7CE79">
            <w:pPr>
              <w:pStyle w:val="226"/>
              <w:spacing w:line="560" w:lineRule="exact"/>
              <w:rPr>
                <w:rFonts w:hint="eastAsia" w:ascii="仿宋" w:hAnsi="仿宋" w:eastAsia="仿宋" w:cs="仿宋"/>
                <w:kern w:val="2"/>
                <w:sz w:val="24"/>
                <w:szCs w:val="24"/>
                <w:highlight w:val="none"/>
              </w:rPr>
            </w:pPr>
          </w:p>
        </w:tc>
      </w:tr>
    </w:tbl>
    <w:p w14:paraId="182DD6D2">
      <w:pPr>
        <w:spacing w:line="560" w:lineRule="exact"/>
        <w:ind w:firstLine="482" w:firstLineChars="200"/>
        <w:rPr>
          <w:rFonts w:hint="eastAsia" w:ascii="仿宋" w:hAnsi="仿宋" w:eastAsia="仿宋" w:cs="仿宋"/>
          <w:b/>
          <w:sz w:val="24"/>
          <w:highlight w:val="none"/>
        </w:rPr>
      </w:pPr>
      <w:bookmarkStart w:id="63" w:name="_Toc2591677"/>
      <w:bookmarkStart w:id="64" w:name="_Toc30506"/>
      <w:bookmarkStart w:id="65" w:name="_Toc30158"/>
      <w:bookmarkStart w:id="66" w:name="_Toc26916"/>
      <w:bookmarkStart w:id="67" w:name="_Toc37868831"/>
      <w:bookmarkStart w:id="68" w:name="_Toc14993"/>
      <w:bookmarkStart w:id="69" w:name="_Toc3654"/>
      <w:bookmarkStart w:id="70" w:name="_Toc82617973"/>
      <w:r>
        <w:rPr>
          <w:rFonts w:hint="eastAsia" w:ascii="仿宋" w:hAnsi="仿宋" w:eastAsia="仿宋" w:cs="仿宋"/>
          <w:b/>
          <w:sz w:val="24"/>
          <w:highlight w:val="none"/>
        </w:rPr>
        <w:t>1.4 付款方式和发票开具方式</w:t>
      </w:r>
      <w:bookmarkEnd w:id="63"/>
      <w:bookmarkEnd w:id="64"/>
      <w:bookmarkEnd w:id="65"/>
      <w:bookmarkEnd w:id="66"/>
      <w:bookmarkEnd w:id="67"/>
      <w:bookmarkEnd w:id="68"/>
      <w:bookmarkEnd w:id="69"/>
      <w:bookmarkEnd w:id="70"/>
    </w:p>
    <w:p w14:paraId="6EFD2A8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1.4.1付款方式：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52C6844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1.4.2 发票开具方式：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4569DB04">
      <w:pPr>
        <w:spacing w:line="560" w:lineRule="exact"/>
        <w:ind w:firstLine="482" w:firstLineChars="200"/>
        <w:rPr>
          <w:rFonts w:hint="eastAsia" w:ascii="仿宋" w:hAnsi="仿宋" w:eastAsia="仿宋" w:cs="仿宋"/>
          <w:b/>
          <w:sz w:val="24"/>
          <w:highlight w:val="none"/>
        </w:rPr>
      </w:pPr>
      <w:bookmarkStart w:id="71" w:name="_Toc31421"/>
      <w:bookmarkStart w:id="72" w:name="_Toc4760"/>
      <w:bookmarkStart w:id="73" w:name="_Toc3625"/>
      <w:bookmarkStart w:id="74" w:name="_Toc8772"/>
      <w:bookmarkStart w:id="75" w:name="_Toc82617974"/>
      <w:bookmarkStart w:id="76" w:name="_Toc2591678"/>
      <w:bookmarkStart w:id="77" w:name="_Toc37868832"/>
      <w:bookmarkStart w:id="78" w:name="_Toc11108"/>
      <w:r>
        <w:rPr>
          <w:rFonts w:hint="eastAsia" w:ascii="仿宋" w:hAnsi="仿宋" w:eastAsia="仿宋" w:cs="仿宋"/>
          <w:b/>
          <w:sz w:val="24"/>
          <w:highlight w:val="none"/>
        </w:rPr>
        <w:t>1.5 履行期限、地点和方式</w:t>
      </w:r>
      <w:bookmarkEnd w:id="71"/>
      <w:bookmarkEnd w:id="72"/>
      <w:bookmarkEnd w:id="73"/>
      <w:bookmarkEnd w:id="74"/>
      <w:bookmarkEnd w:id="75"/>
      <w:bookmarkEnd w:id="76"/>
      <w:bookmarkEnd w:id="77"/>
      <w:bookmarkEnd w:id="78"/>
    </w:p>
    <w:p w14:paraId="180C796B">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1.5.1 履行期限：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5D6FDE0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1.5.2 履行地点：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C86953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1.5.3 履行方式：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286365B7">
      <w:pPr>
        <w:spacing w:line="560" w:lineRule="exact"/>
        <w:ind w:firstLine="482" w:firstLineChars="200"/>
        <w:rPr>
          <w:rFonts w:hint="eastAsia" w:ascii="仿宋" w:hAnsi="仿宋" w:eastAsia="仿宋" w:cs="仿宋"/>
          <w:sz w:val="24"/>
          <w:highlight w:val="none"/>
          <w:u w:val="single"/>
        </w:rPr>
      </w:pPr>
      <w:bookmarkStart w:id="79" w:name="_Toc8586"/>
      <w:bookmarkStart w:id="80" w:name="_Toc82617975"/>
      <w:bookmarkStart w:id="81" w:name="_Toc3079"/>
      <w:bookmarkStart w:id="82" w:name="_Toc2375"/>
      <w:bookmarkStart w:id="83" w:name="_Toc37868833"/>
      <w:bookmarkStart w:id="84" w:name="_Toc5698"/>
      <w:bookmarkStart w:id="85" w:name="_Toc2591679"/>
      <w:bookmarkStart w:id="86" w:name="_Toc24662"/>
      <w:r>
        <w:rPr>
          <w:rFonts w:hint="eastAsia" w:ascii="仿宋" w:hAnsi="仿宋" w:eastAsia="仿宋" w:cs="仿宋"/>
          <w:b/>
          <w:sz w:val="24"/>
          <w:highlight w:val="none"/>
        </w:rPr>
        <w:t>1.6 违约责任</w:t>
      </w:r>
      <w:bookmarkEnd w:id="79"/>
      <w:bookmarkEnd w:id="80"/>
      <w:bookmarkEnd w:id="81"/>
      <w:bookmarkEnd w:id="82"/>
      <w:bookmarkEnd w:id="83"/>
      <w:bookmarkEnd w:id="84"/>
      <w:bookmarkEnd w:id="85"/>
      <w:bookmarkEnd w:id="86"/>
    </w:p>
    <w:p w14:paraId="6E26D1B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 除不可抗力外，如果乙方没有按照本合同约定的期限、地点和方式履行，那么甲方可要求乙方支付违约金，违约金按每迟延履行一日的应提供而未提供服务价格的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14:paraId="75B7E930">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14:paraId="617A684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14:paraId="531E71E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7F22945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4A615EA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3AC4F0E6">
      <w:pPr>
        <w:spacing w:line="560" w:lineRule="exact"/>
        <w:ind w:firstLine="482" w:firstLineChars="200"/>
        <w:rPr>
          <w:rFonts w:hint="eastAsia" w:ascii="仿宋" w:hAnsi="仿宋" w:eastAsia="仿宋" w:cs="仿宋"/>
          <w:b/>
          <w:sz w:val="24"/>
          <w:highlight w:val="none"/>
        </w:rPr>
      </w:pPr>
      <w:bookmarkStart w:id="87" w:name="_Toc37868834"/>
      <w:bookmarkStart w:id="88" w:name="_Toc2591680"/>
      <w:bookmarkStart w:id="89" w:name="_Toc32454"/>
      <w:bookmarkStart w:id="90" w:name="_Toc9497"/>
      <w:bookmarkStart w:id="91" w:name="_Toc26807"/>
      <w:bookmarkStart w:id="92" w:name="_Toc82617976"/>
      <w:bookmarkStart w:id="93" w:name="_Toc18683"/>
      <w:bookmarkStart w:id="94" w:name="_Toc30329"/>
      <w:r>
        <w:rPr>
          <w:rFonts w:hint="eastAsia" w:ascii="仿宋" w:hAnsi="仿宋" w:eastAsia="仿宋" w:cs="仿宋"/>
          <w:b/>
          <w:sz w:val="24"/>
          <w:highlight w:val="none"/>
        </w:rPr>
        <w:t>1.7 合同争议的解决</w:t>
      </w:r>
      <w:bookmarkEnd w:id="87"/>
      <w:bookmarkEnd w:id="88"/>
      <w:bookmarkEnd w:id="89"/>
      <w:bookmarkEnd w:id="90"/>
      <w:bookmarkEnd w:id="91"/>
      <w:bookmarkEnd w:id="92"/>
      <w:bookmarkEnd w:id="93"/>
      <w:bookmarkEnd w:id="94"/>
    </w:p>
    <w:p w14:paraId="6FC6D7F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本合同履行过程中发生的任何争议，双方当事人均可通过和解或者调解解决；不愿和解、调解或者和解、调解不成的，可以选择下列第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种方式解决：</w:t>
      </w:r>
    </w:p>
    <w:p w14:paraId="6672CA1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1.7.1 将争议提交</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仲裁委员会依申请仲裁时其现行有效的仲裁规则裁决；</w:t>
      </w:r>
    </w:p>
    <w:p w14:paraId="6E3635F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1.7.2 向</w:t>
      </w:r>
      <w:r>
        <w:rPr>
          <w:rFonts w:hint="eastAsia" w:ascii="仿宋" w:hAnsi="仿宋" w:eastAsia="仿宋" w:cs="仿宋"/>
          <w:sz w:val="24"/>
          <w:highlight w:val="none"/>
          <w:u w:val="single"/>
        </w:rPr>
        <w:t xml:space="preserve">   （被告住所地、合同履行地、合同签订地、原告住所地、标的物所在地等与争议有实际联系的地点中选出的人民法院名称）    </w:t>
      </w:r>
      <w:r>
        <w:rPr>
          <w:rFonts w:hint="eastAsia" w:ascii="仿宋" w:hAnsi="仿宋" w:eastAsia="仿宋" w:cs="仿宋"/>
          <w:sz w:val="24"/>
          <w:highlight w:val="none"/>
        </w:rPr>
        <w:t>人民法院起诉。</w:t>
      </w:r>
    </w:p>
    <w:p w14:paraId="6D32425C">
      <w:pPr>
        <w:spacing w:line="560" w:lineRule="exact"/>
        <w:ind w:firstLine="482" w:firstLineChars="200"/>
        <w:rPr>
          <w:rFonts w:hint="eastAsia" w:ascii="仿宋" w:hAnsi="仿宋" w:eastAsia="仿宋" w:cs="仿宋"/>
          <w:b/>
          <w:sz w:val="24"/>
          <w:highlight w:val="none"/>
        </w:rPr>
      </w:pPr>
      <w:bookmarkStart w:id="95" w:name="_Toc12273"/>
      <w:bookmarkStart w:id="96" w:name="_Toc2591681"/>
      <w:bookmarkStart w:id="97" w:name="_Toc16417"/>
      <w:bookmarkStart w:id="98" w:name="_Toc26227"/>
      <w:bookmarkStart w:id="99" w:name="_Toc82617977"/>
      <w:bookmarkStart w:id="100" w:name="_Toc23784"/>
      <w:bookmarkStart w:id="101" w:name="_Toc37868835"/>
      <w:bookmarkStart w:id="102" w:name="_Toc15827"/>
      <w:r>
        <w:rPr>
          <w:rFonts w:hint="eastAsia" w:ascii="仿宋" w:hAnsi="仿宋" w:eastAsia="仿宋" w:cs="仿宋"/>
          <w:b/>
          <w:sz w:val="24"/>
          <w:highlight w:val="none"/>
        </w:rPr>
        <w:t>1.8 合同生效</w:t>
      </w:r>
      <w:bookmarkEnd w:id="95"/>
      <w:bookmarkEnd w:id="96"/>
      <w:bookmarkEnd w:id="97"/>
      <w:bookmarkEnd w:id="98"/>
      <w:bookmarkEnd w:id="99"/>
      <w:bookmarkEnd w:id="100"/>
      <w:bookmarkEnd w:id="101"/>
      <w:bookmarkEnd w:id="102"/>
    </w:p>
    <w:p w14:paraId="49B56FF6">
      <w:pPr>
        <w:spacing w:line="56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本合同自双方当事人盖章或者签字时生效。</w:t>
      </w:r>
    </w:p>
    <w:p w14:paraId="3C8BD5C1">
      <w:pPr>
        <w:autoSpaceDE w:val="0"/>
        <w:autoSpaceDN w:val="0"/>
        <w:adjustRightInd w:val="0"/>
        <w:spacing w:line="560" w:lineRule="exact"/>
        <w:rPr>
          <w:rFonts w:hint="eastAsia" w:ascii="仿宋" w:hAnsi="仿宋" w:eastAsia="仿宋" w:cs="仿宋"/>
          <w:sz w:val="24"/>
          <w:highlight w:val="none"/>
          <w:lang w:val="zh-CN"/>
        </w:rPr>
      </w:pPr>
    </w:p>
    <w:p w14:paraId="6FF17F6A">
      <w:pPr>
        <w:autoSpaceDE w:val="0"/>
        <w:autoSpaceDN w:val="0"/>
        <w:adjustRightInd w:val="0"/>
        <w:spacing w:line="560" w:lineRule="exact"/>
        <w:rPr>
          <w:rFonts w:hint="eastAsia" w:ascii="仿宋" w:hAnsi="仿宋" w:eastAsia="仿宋" w:cs="仿宋"/>
          <w:b/>
          <w:sz w:val="24"/>
          <w:highlight w:val="none"/>
          <w:lang w:val="zh-CN"/>
        </w:rPr>
      </w:pPr>
    </w:p>
    <w:p w14:paraId="3CE4F2A1">
      <w:pPr>
        <w:autoSpaceDE w:val="0"/>
        <w:autoSpaceDN w:val="0"/>
        <w:adjustRightInd w:val="0"/>
        <w:spacing w:line="560" w:lineRule="exact"/>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14:paraId="6254F305">
      <w:pPr>
        <w:autoSpaceDE w:val="0"/>
        <w:autoSpaceDN w:val="0"/>
        <w:adjustRightInd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14:paraId="2FCA4FBA">
      <w:pPr>
        <w:autoSpaceDE w:val="0"/>
        <w:autoSpaceDN w:val="0"/>
        <w:adjustRightInd w:val="0"/>
        <w:spacing w:line="560" w:lineRule="exact"/>
        <w:rPr>
          <w:rFonts w:hint="eastAsia" w:ascii="仿宋" w:hAnsi="仿宋" w:eastAsia="仿宋" w:cs="仿宋"/>
          <w:sz w:val="24"/>
          <w:highlight w:val="none"/>
          <w:lang w:val="zh-CN"/>
        </w:rPr>
      </w:pPr>
    </w:p>
    <w:p w14:paraId="0826EE2C">
      <w:pPr>
        <w:autoSpaceDE w:val="0"/>
        <w:autoSpaceDN w:val="0"/>
        <w:adjustRightInd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14:paraId="1CA0E5CC">
      <w:pPr>
        <w:autoSpaceDE w:val="0"/>
        <w:autoSpaceDN w:val="0"/>
        <w:adjustRightInd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w:t>
      </w:r>
    </w:p>
    <w:p w14:paraId="05620876">
      <w:pPr>
        <w:autoSpaceDE w:val="0"/>
        <w:autoSpaceDN w:val="0"/>
        <w:adjustRightInd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或授权代表（签字）: </w:t>
      </w:r>
    </w:p>
    <w:p w14:paraId="5DCA39BB">
      <w:pPr>
        <w:autoSpaceDE w:val="0"/>
        <w:autoSpaceDN w:val="0"/>
        <w:adjustRightInd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14:paraId="58AF7D84">
      <w:pPr>
        <w:autoSpaceDE w:val="0"/>
        <w:autoSpaceDN w:val="0"/>
        <w:adjustRightInd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14:paraId="4DE00CE8">
      <w:pPr>
        <w:autoSpaceDE w:val="0"/>
        <w:autoSpaceDN w:val="0"/>
        <w:adjustRightInd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14:paraId="75B19FBC">
      <w:pPr>
        <w:autoSpaceDE w:val="0"/>
        <w:autoSpaceDN w:val="0"/>
        <w:adjustRightInd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14:paraId="7D14DB61">
      <w:pPr>
        <w:autoSpaceDE w:val="0"/>
        <w:autoSpaceDN w:val="0"/>
        <w:adjustRightInd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14:paraId="3CF547DB">
      <w:pPr>
        <w:autoSpaceDE w:val="0"/>
        <w:autoSpaceDN w:val="0"/>
        <w:adjustRightInd w:val="0"/>
        <w:spacing w:line="560" w:lineRule="exact"/>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14:paraId="3B6D0599">
      <w:pPr>
        <w:autoSpaceDE w:val="0"/>
        <w:autoSpaceDN w:val="0"/>
        <w:adjustRightInd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14:paraId="641DC8A1">
      <w:pPr>
        <w:autoSpaceDE w:val="0"/>
        <w:autoSpaceDN w:val="0"/>
        <w:adjustRightInd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14:paraId="0F8CE283">
      <w:pPr>
        <w:autoSpaceDE w:val="0"/>
        <w:autoSpaceDN w:val="0"/>
        <w:adjustRightInd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14:paraId="6BF8F268">
      <w:pPr>
        <w:widowControl/>
        <w:spacing w:line="560" w:lineRule="exact"/>
        <w:jc w:val="left"/>
        <w:rPr>
          <w:rFonts w:hint="eastAsia" w:ascii="仿宋" w:hAnsi="仿宋" w:eastAsia="仿宋" w:cs="仿宋"/>
          <w:b/>
          <w:highlight w:val="none"/>
        </w:rPr>
      </w:pPr>
      <w:bookmarkStart w:id="103" w:name="_Toc331685783"/>
    </w:p>
    <w:p w14:paraId="3D4E6A88">
      <w:pPr>
        <w:widowControl/>
        <w:spacing w:line="560" w:lineRule="exact"/>
        <w:jc w:val="left"/>
        <w:rPr>
          <w:rFonts w:hint="eastAsia" w:ascii="仿宋" w:hAnsi="仿宋" w:eastAsia="仿宋" w:cs="仿宋"/>
          <w:b/>
          <w:highlight w:val="none"/>
        </w:rPr>
      </w:pPr>
    </w:p>
    <w:p w14:paraId="3F1A696F">
      <w:pPr>
        <w:pStyle w:val="224"/>
        <w:spacing w:line="560" w:lineRule="exact"/>
        <w:ind w:firstLine="200"/>
        <w:jc w:val="center"/>
        <w:rPr>
          <w:rFonts w:hint="eastAsia" w:ascii="仿宋" w:hAnsi="仿宋" w:eastAsia="仿宋" w:cs="仿宋"/>
          <w:b/>
          <w:szCs w:val="24"/>
          <w:highlight w:val="none"/>
        </w:rPr>
      </w:pPr>
      <w:r>
        <w:rPr>
          <w:rFonts w:hint="eastAsia" w:ascii="仿宋" w:hAnsi="仿宋" w:eastAsia="仿宋" w:cs="仿宋"/>
          <w:b/>
          <w:szCs w:val="24"/>
          <w:highlight w:val="none"/>
        </w:rPr>
        <w:br w:type="page"/>
      </w:r>
      <w:r>
        <w:rPr>
          <w:rFonts w:hint="eastAsia" w:ascii="仿宋" w:hAnsi="仿宋" w:eastAsia="仿宋" w:cs="仿宋"/>
          <w:b/>
          <w:szCs w:val="24"/>
          <w:highlight w:val="none"/>
        </w:rPr>
        <w:t>第二部分 合同一般条款</w:t>
      </w:r>
      <w:bookmarkEnd w:id="103"/>
    </w:p>
    <w:p w14:paraId="2392ABAD">
      <w:pPr>
        <w:spacing w:line="560" w:lineRule="exact"/>
        <w:ind w:firstLine="482" w:firstLineChars="200"/>
        <w:rPr>
          <w:rFonts w:hint="eastAsia" w:ascii="仿宋" w:hAnsi="仿宋" w:eastAsia="仿宋" w:cs="仿宋"/>
          <w:b/>
          <w:sz w:val="24"/>
          <w:highlight w:val="none"/>
        </w:rPr>
      </w:pPr>
      <w:bookmarkStart w:id="104" w:name="_Ref467379109"/>
      <w:bookmarkStart w:id="105" w:name="_Toc19680"/>
      <w:bookmarkStart w:id="106" w:name="_Toc5228"/>
      <w:bookmarkStart w:id="107" w:name="_Toc279701240"/>
      <w:bookmarkStart w:id="108" w:name="_Toc2591682"/>
      <w:bookmarkStart w:id="109" w:name="_Ref467378404"/>
      <w:bookmarkStart w:id="110" w:name="_Toc31297"/>
      <w:bookmarkStart w:id="111" w:name="_Ref467378499"/>
      <w:bookmarkStart w:id="112" w:name="_Toc37868836"/>
      <w:bookmarkStart w:id="113" w:name="_Toc82617978"/>
      <w:bookmarkStart w:id="114" w:name="_Toc14021"/>
      <w:bookmarkStart w:id="115" w:name="_Ref467379094"/>
      <w:bookmarkStart w:id="116" w:name="_Ref467379205"/>
      <w:bookmarkStart w:id="117" w:name="_Ref467379225"/>
      <w:bookmarkStart w:id="118" w:name="_Toc259093669"/>
      <w:bookmarkStart w:id="119" w:name="_Toc487900349"/>
      <w:bookmarkStart w:id="120" w:name="_Toc25079"/>
      <w:bookmarkStart w:id="121" w:name="_Ref467379195"/>
      <w:bookmarkStart w:id="122" w:name="_Ref467379214"/>
      <w:bookmarkStart w:id="123" w:name="_Ref467378463"/>
      <w:bookmarkStart w:id="124" w:name="_Ref467379101"/>
      <w:r>
        <w:rPr>
          <w:rFonts w:hint="eastAsia" w:ascii="仿宋" w:hAnsi="仿宋" w:eastAsia="仿宋" w:cs="仿宋"/>
          <w:b/>
          <w:sz w:val="24"/>
          <w:highlight w:val="none"/>
        </w:rPr>
        <w:t>2.1 定义</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33ED95B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14:paraId="4327AFE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 “合同”系指采购人和中标供应商签订的载明双方当事人所达成的协议，并包括所有的附件、附录和构成合同的其他文件。</w:t>
      </w:r>
    </w:p>
    <w:p w14:paraId="6CD36DE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“合同价”系指根据合同约定，中标供应商在完全履行合同义务后，采购人应支付给中标供应商的价格。</w:t>
      </w:r>
    </w:p>
    <w:p w14:paraId="5BD8A17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 “服务”系指中标供应商根据合同约定应向采购人履行的除货物和工程以外的其他政府采购对象，包括采购人自身需要的服务和向社会公众提供的公共服务。</w:t>
      </w:r>
    </w:p>
    <w:p w14:paraId="2E0C4A86">
      <w:pPr>
        <w:spacing w:line="560" w:lineRule="exact"/>
        <w:ind w:firstLine="480" w:firstLineChars="200"/>
        <w:rPr>
          <w:rFonts w:hint="eastAsia" w:ascii="仿宋" w:hAnsi="仿宋" w:eastAsia="仿宋" w:cs="仿宋"/>
          <w:sz w:val="24"/>
          <w:highlight w:val="none"/>
        </w:rPr>
      </w:pPr>
      <w:bookmarkStart w:id="125" w:name="_Ref467378840"/>
      <w:r>
        <w:rPr>
          <w:rFonts w:hint="eastAsia" w:ascii="仿宋" w:hAnsi="仿宋" w:eastAsia="仿宋" w:cs="仿宋"/>
          <w:sz w:val="24"/>
          <w:highlight w:val="none"/>
        </w:rPr>
        <w:t>2.1.4 “甲方”系指与中标供应商签署合同的采购人</w:t>
      </w:r>
      <w:bookmarkEnd w:id="125"/>
      <w:r>
        <w:rPr>
          <w:rFonts w:hint="eastAsia" w:ascii="仿宋" w:hAnsi="仿宋" w:eastAsia="仿宋" w:cs="仿宋"/>
          <w:sz w:val="24"/>
          <w:highlight w:val="none"/>
        </w:rPr>
        <w:t>；采购人委托采购代理机构代表其与乙方签订合同的，采购人的授权委托书作为合同附件。</w:t>
      </w:r>
    </w:p>
    <w:p w14:paraId="1DFC1BCE">
      <w:pPr>
        <w:spacing w:line="560" w:lineRule="exact"/>
        <w:ind w:firstLine="480" w:firstLineChars="200"/>
        <w:rPr>
          <w:rFonts w:hint="eastAsia" w:ascii="仿宋" w:hAnsi="仿宋" w:eastAsia="仿宋" w:cs="仿宋"/>
          <w:sz w:val="24"/>
          <w:highlight w:val="none"/>
        </w:rPr>
      </w:pPr>
      <w:bookmarkStart w:id="126" w:name="_Ref467379400"/>
      <w:r>
        <w:rPr>
          <w:rFonts w:hint="eastAsia" w:ascii="仿宋" w:hAnsi="仿宋" w:eastAsia="仿宋" w:cs="仿宋"/>
          <w:sz w:val="24"/>
          <w:highlight w:val="none"/>
        </w:rPr>
        <w:t>2.1.5 “乙方”系指根据合同约定提供服务的中标供应商</w:t>
      </w:r>
      <w:bookmarkEnd w:id="126"/>
      <w:r>
        <w:rPr>
          <w:rFonts w:hint="eastAsia" w:ascii="仿宋" w:hAnsi="仿宋" w:eastAsia="仿宋" w:cs="仿宋"/>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5B78240A">
      <w:pPr>
        <w:spacing w:line="560" w:lineRule="exact"/>
        <w:ind w:firstLine="480" w:firstLineChars="200"/>
        <w:rPr>
          <w:rFonts w:hint="eastAsia" w:ascii="仿宋" w:hAnsi="仿宋" w:eastAsia="仿宋" w:cs="仿宋"/>
          <w:sz w:val="24"/>
          <w:highlight w:val="none"/>
        </w:rPr>
      </w:pPr>
      <w:bookmarkStart w:id="127" w:name="_Ref467379436"/>
      <w:r>
        <w:rPr>
          <w:rFonts w:hint="eastAsia" w:ascii="仿宋" w:hAnsi="仿宋" w:eastAsia="仿宋" w:cs="仿宋"/>
          <w:sz w:val="24"/>
          <w:highlight w:val="none"/>
        </w:rPr>
        <w:t>2.1.6 “现场”系指合同约定提供服务的地点。</w:t>
      </w:r>
      <w:bookmarkEnd w:id="127"/>
    </w:p>
    <w:p w14:paraId="279C3C5F">
      <w:pPr>
        <w:spacing w:line="560" w:lineRule="exact"/>
        <w:ind w:firstLine="482" w:firstLineChars="200"/>
        <w:rPr>
          <w:rFonts w:hint="eastAsia" w:ascii="仿宋" w:hAnsi="仿宋" w:eastAsia="仿宋" w:cs="仿宋"/>
          <w:b/>
          <w:sz w:val="24"/>
          <w:highlight w:val="none"/>
        </w:rPr>
      </w:pPr>
      <w:bookmarkStart w:id="128" w:name="_Toc82617979"/>
      <w:bookmarkStart w:id="129" w:name="_Toc19539"/>
      <w:bookmarkStart w:id="130" w:name="_Toc16752"/>
      <w:bookmarkStart w:id="131" w:name="_Toc259093670"/>
      <w:bookmarkStart w:id="132" w:name="_Toc23289"/>
      <w:bookmarkStart w:id="133" w:name="_Toc37868837"/>
      <w:bookmarkStart w:id="134" w:name="_Toc3769"/>
      <w:bookmarkStart w:id="135" w:name="_Toc279701241"/>
      <w:bookmarkStart w:id="136" w:name="_Toc487900350"/>
      <w:bookmarkStart w:id="137" w:name="_Toc2591683"/>
      <w:bookmarkStart w:id="138" w:name="_Toc31402"/>
      <w:r>
        <w:rPr>
          <w:rFonts w:hint="eastAsia" w:ascii="仿宋" w:hAnsi="仿宋" w:eastAsia="仿宋" w:cs="仿宋"/>
          <w:b/>
          <w:sz w:val="24"/>
          <w:highlight w:val="none"/>
        </w:rPr>
        <w:t>2.2 技术规范</w:t>
      </w:r>
      <w:bookmarkEnd w:id="128"/>
      <w:bookmarkEnd w:id="129"/>
      <w:bookmarkEnd w:id="130"/>
      <w:bookmarkEnd w:id="131"/>
      <w:bookmarkEnd w:id="132"/>
      <w:bookmarkEnd w:id="133"/>
      <w:bookmarkEnd w:id="134"/>
      <w:bookmarkEnd w:id="135"/>
      <w:bookmarkEnd w:id="136"/>
      <w:bookmarkEnd w:id="137"/>
      <w:bookmarkEnd w:id="138"/>
    </w:p>
    <w:p w14:paraId="6B7FF8A6">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73BD31E">
      <w:pPr>
        <w:spacing w:line="560" w:lineRule="exact"/>
        <w:ind w:firstLine="482" w:firstLineChars="200"/>
        <w:rPr>
          <w:rFonts w:hint="eastAsia" w:ascii="仿宋" w:hAnsi="仿宋" w:eastAsia="仿宋" w:cs="仿宋"/>
          <w:b/>
          <w:sz w:val="24"/>
          <w:highlight w:val="none"/>
        </w:rPr>
      </w:pPr>
      <w:bookmarkStart w:id="139" w:name="_Toc9161"/>
      <w:bookmarkStart w:id="140" w:name="_Toc12412"/>
      <w:bookmarkStart w:id="141" w:name="_Toc2591684"/>
      <w:bookmarkStart w:id="142" w:name="_Toc487900351"/>
      <w:bookmarkStart w:id="143" w:name="_Toc37868838"/>
      <w:bookmarkStart w:id="144" w:name="_Toc13673"/>
      <w:bookmarkStart w:id="145" w:name="_Toc4133"/>
      <w:bookmarkStart w:id="146" w:name="_Toc82617980"/>
      <w:bookmarkStart w:id="147" w:name="_Toc27945"/>
      <w:bookmarkStart w:id="148" w:name="_Toc259093671"/>
      <w:bookmarkStart w:id="149" w:name="_Toc279701242"/>
      <w:r>
        <w:rPr>
          <w:rFonts w:hint="eastAsia" w:ascii="仿宋" w:hAnsi="仿宋" w:eastAsia="仿宋" w:cs="仿宋"/>
          <w:b/>
          <w:sz w:val="24"/>
          <w:highlight w:val="none"/>
        </w:rPr>
        <w:t>2.3 知识产权</w:t>
      </w:r>
      <w:bookmarkEnd w:id="139"/>
      <w:bookmarkEnd w:id="140"/>
      <w:bookmarkEnd w:id="141"/>
      <w:bookmarkEnd w:id="142"/>
      <w:bookmarkEnd w:id="143"/>
      <w:bookmarkEnd w:id="144"/>
      <w:bookmarkEnd w:id="145"/>
      <w:bookmarkEnd w:id="146"/>
      <w:bookmarkEnd w:id="147"/>
      <w:bookmarkEnd w:id="148"/>
      <w:bookmarkEnd w:id="149"/>
    </w:p>
    <w:p w14:paraId="122272D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w:t>
      </w:r>
    </w:p>
    <w:p w14:paraId="4FC8337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388458BB">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2.4 履约检查和问题反馈</w:t>
      </w:r>
    </w:p>
    <w:p w14:paraId="7D60CA71">
      <w:pPr>
        <w:spacing w:line="560" w:lineRule="exact"/>
        <w:ind w:firstLine="480" w:firstLineChars="200"/>
        <w:rPr>
          <w:rFonts w:hint="eastAsia" w:ascii="仿宋" w:hAnsi="仿宋" w:eastAsia="仿宋" w:cs="仿宋"/>
          <w:sz w:val="24"/>
          <w:highlight w:val="none"/>
        </w:rPr>
      </w:pPr>
      <w:bookmarkStart w:id="150" w:name="_Ref467379657"/>
      <w:r>
        <w:rPr>
          <w:rFonts w:hint="eastAsia" w:ascii="仿宋" w:hAnsi="仿宋" w:eastAsia="仿宋" w:cs="仿宋"/>
          <w:sz w:val="24"/>
          <w:highlight w:val="none"/>
        </w:rPr>
        <w:t>2.4.1</w:t>
      </w:r>
      <w:bookmarkEnd w:id="150"/>
      <w:bookmarkStart w:id="151" w:name="_Toc186431854"/>
      <w:bookmarkStart w:id="152" w:name="_Ref467379793"/>
      <w:bookmarkStart w:id="153" w:name="_Toc487900357"/>
      <w:bookmarkStart w:id="154" w:name="_Toc259093676"/>
      <w:bookmarkStart w:id="155" w:name="_Toc279701247"/>
      <w:bookmarkStart w:id="156" w:name="_Ref467379807"/>
      <w:r>
        <w:rPr>
          <w:rFonts w:hint="eastAsia" w:ascii="仿宋" w:hAnsi="仿宋" w:eastAsia="仿宋" w:cs="仿宋"/>
          <w:sz w:val="24"/>
          <w:highlight w:val="none"/>
        </w:rPr>
        <w:t>甲方有权在其认为必要时，对乙方是否能够按照合同约定提供服务进行履约检查，以确保乙方所提供的服务能够依约满足甲方之项目需求，但不得因履约检查妨碍乙方的正常工作，乙方应予积极配合；</w:t>
      </w:r>
    </w:p>
    <w:p w14:paraId="604D338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bookmarkEnd w:id="151"/>
      <w:bookmarkStart w:id="157" w:name="_Toc186431855"/>
      <w:r>
        <w:rPr>
          <w:rFonts w:hint="eastAsia" w:ascii="仿宋" w:hAnsi="仿宋" w:eastAsia="仿宋" w:cs="仿宋"/>
          <w:sz w:val="24"/>
          <w:highlight w:val="none"/>
        </w:rPr>
        <w:t>。</w:t>
      </w:r>
    </w:p>
    <w:bookmarkEnd w:id="157"/>
    <w:p w14:paraId="0549E0DB">
      <w:pPr>
        <w:spacing w:line="560" w:lineRule="exact"/>
        <w:ind w:firstLine="482" w:firstLineChars="200"/>
        <w:rPr>
          <w:rFonts w:hint="eastAsia" w:ascii="仿宋" w:hAnsi="仿宋" w:eastAsia="仿宋" w:cs="仿宋"/>
          <w:b/>
          <w:sz w:val="24"/>
          <w:highlight w:val="none"/>
        </w:rPr>
      </w:pPr>
      <w:bookmarkStart w:id="158" w:name="_Toc37868839"/>
      <w:bookmarkStart w:id="159" w:name="_Toc2591685"/>
      <w:bookmarkStart w:id="160" w:name="_Toc22011"/>
      <w:bookmarkStart w:id="161" w:name="_Toc82617981"/>
      <w:bookmarkStart w:id="162" w:name="_Toc15447"/>
      <w:bookmarkStart w:id="163" w:name="_Toc32670"/>
      <w:bookmarkStart w:id="164" w:name="_Toc31233"/>
      <w:bookmarkStart w:id="165" w:name="_Toc26555"/>
      <w:r>
        <w:rPr>
          <w:rFonts w:hint="eastAsia" w:ascii="仿宋" w:hAnsi="仿宋" w:eastAsia="仿宋" w:cs="仿宋"/>
          <w:b/>
          <w:sz w:val="24"/>
          <w:highlight w:val="none"/>
        </w:rPr>
        <w:t>2.5 结算方式和付款条件</w:t>
      </w:r>
      <w:bookmarkEnd w:id="152"/>
      <w:bookmarkEnd w:id="153"/>
      <w:bookmarkEnd w:id="154"/>
      <w:bookmarkEnd w:id="155"/>
      <w:bookmarkEnd w:id="156"/>
      <w:bookmarkEnd w:id="158"/>
      <w:bookmarkEnd w:id="159"/>
      <w:bookmarkEnd w:id="160"/>
      <w:bookmarkEnd w:id="161"/>
      <w:bookmarkEnd w:id="162"/>
      <w:bookmarkEnd w:id="163"/>
      <w:bookmarkEnd w:id="164"/>
      <w:bookmarkEnd w:id="165"/>
    </w:p>
    <w:p w14:paraId="4FC2570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DD11D65">
      <w:pPr>
        <w:spacing w:line="560" w:lineRule="exact"/>
        <w:ind w:firstLine="482" w:firstLineChars="200"/>
        <w:rPr>
          <w:rFonts w:hint="eastAsia" w:ascii="仿宋" w:hAnsi="仿宋" w:eastAsia="仿宋" w:cs="仿宋"/>
          <w:b/>
          <w:sz w:val="24"/>
          <w:highlight w:val="none"/>
        </w:rPr>
      </w:pPr>
      <w:bookmarkStart w:id="166" w:name="_Ref467379923"/>
      <w:bookmarkStart w:id="167" w:name="_Ref467379863"/>
      <w:bookmarkStart w:id="168" w:name="_Ref467379852"/>
      <w:bookmarkStart w:id="169" w:name="_Toc279701248"/>
      <w:bookmarkStart w:id="170" w:name="_Toc259093677"/>
      <w:bookmarkStart w:id="171" w:name="_Toc487900358"/>
      <w:bookmarkStart w:id="172" w:name="_Toc18990"/>
      <w:bookmarkStart w:id="173" w:name="_Toc16163"/>
      <w:bookmarkStart w:id="174" w:name="_Toc2591686"/>
      <w:bookmarkStart w:id="175" w:name="_Toc13154"/>
      <w:bookmarkStart w:id="176" w:name="_Toc37868840"/>
      <w:bookmarkStart w:id="177" w:name="_Toc13467"/>
      <w:bookmarkStart w:id="178" w:name="_Toc30507"/>
      <w:bookmarkStart w:id="179" w:name="_Toc82617982"/>
      <w:r>
        <w:rPr>
          <w:rFonts w:hint="eastAsia" w:ascii="仿宋" w:hAnsi="仿宋" w:eastAsia="仿宋" w:cs="仿宋"/>
          <w:b/>
          <w:sz w:val="24"/>
          <w:highlight w:val="none"/>
        </w:rPr>
        <w:t>2.6 技术资料</w:t>
      </w:r>
      <w:bookmarkEnd w:id="166"/>
      <w:bookmarkEnd w:id="167"/>
      <w:bookmarkEnd w:id="168"/>
      <w:bookmarkEnd w:id="169"/>
      <w:bookmarkEnd w:id="170"/>
      <w:bookmarkEnd w:id="171"/>
      <w:r>
        <w:rPr>
          <w:rFonts w:hint="eastAsia" w:ascii="仿宋" w:hAnsi="仿宋" w:eastAsia="仿宋" w:cs="仿宋"/>
          <w:b/>
          <w:sz w:val="24"/>
          <w:highlight w:val="none"/>
        </w:rPr>
        <w:t>和保密义务</w:t>
      </w:r>
      <w:bookmarkEnd w:id="172"/>
      <w:bookmarkEnd w:id="173"/>
      <w:bookmarkEnd w:id="174"/>
      <w:bookmarkEnd w:id="175"/>
      <w:bookmarkEnd w:id="176"/>
      <w:bookmarkEnd w:id="177"/>
      <w:bookmarkEnd w:id="178"/>
      <w:bookmarkEnd w:id="179"/>
    </w:p>
    <w:p w14:paraId="21AD3C2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14:paraId="123CFC8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14:paraId="0B75D59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C25544B">
      <w:pPr>
        <w:spacing w:line="560" w:lineRule="exact"/>
        <w:ind w:firstLine="482" w:firstLineChars="200"/>
        <w:rPr>
          <w:rFonts w:hint="eastAsia" w:ascii="仿宋" w:hAnsi="仿宋" w:eastAsia="仿宋" w:cs="仿宋"/>
          <w:b/>
          <w:sz w:val="24"/>
          <w:highlight w:val="none"/>
        </w:rPr>
      </w:pPr>
      <w:bookmarkStart w:id="180" w:name="_Toc2591687"/>
      <w:bookmarkStart w:id="181" w:name="_Toc37868841"/>
      <w:bookmarkStart w:id="182" w:name="_Toc82617983"/>
      <w:bookmarkStart w:id="183" w:name="_Toc19069"/>
      <w:bookmarkStart w:id="184" w:name="_Toc487900362"/>
      <w:bookmarkStart w:id="185" w:name="_Toc279701252"/>
      <w:bookmarkStart w:id="186" w:name="_Toc259093681"/>
      <w:r>
        <w:rPr>
          <w:rFonts w:hint="eastAsia" w:ascii="仿宋" w:hAnsi="仿宋" w:eastAsia="仿宋" w:cs="仿宋"/>
          <w:b/>
          <w:sz w:val="24"/>
          <w:highlight w:val="none"/>
        </w:rPr>
        <w:t>2.7 质量保证</w:t>
      </w:r>
      <w:bookmarkEnd w:id="180"/>
      <w:bookmarkEnd w:id="181"/>
      <w:bookmarkEnd w:id="182"/>
      <w:bookmarkEnd w:id="183"/>
    </w:p>
    <w:p w14:paraId="7422732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14:paraId="3E8F80C6">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14:paraId="7892499F">
      <w:pPr>
        <w:spacing w:line="560" w:lineRule="exact"/>
        <w:ind w:firstLine="482" w:firstLineChars="200"/>
        <w:rPr>
          <w:rFonts w:hint="eastAsia" w:ascii="仿宋" w:hAnsi="仿宋" w:eastAsia="仿宋" w:cs="仿宋"/>
          <w:b/>
          <w:sz w:val="24"/>
          <w:highlight w:val="none"/>
        </w:rPr>
      </w:pPr>
      <w:bookmarkStart w:id="187" w:name="_Toc2591688"/>
      <w:bookmarkStart w:id="188" w:name="_Toc37868842"/>
      <w:bookmarkStart w:id="189" w:name="_Toc82617984"/>
      <w:bookmarkStart w:id="190" w:name="_Toc22267"/>
      <w:r>
        <w:rPr>
          <w:rFonts w:hint="eastAsia" w:ascii="仿宋" w:hAnsi="仿宋" w:eastAsia="仿宋" w:cs="仿宋"/>
          <w:b/>
          <w:sz w:val="24"/>
          <w:highlight w:val="none"/>
        </w:rPr>
        <w:t>2.8 延迟</w:t>
      </w:r>
      <w:bookmarkEnd w:id="184"/>
      <w:bookmarkEnd w:id="185"/>
      <w:bookmarkEnd w:id="186"/>
      <w:r>
        <w:rPr>
          <w:rFonts w:hint="eastAsia" w:ascii="仿宋" w:hAnsi="仿宋" w:eastAsia="仿宋" w:cs="仿宋"/>
          <w:b/>
          <w:sz w:val="24"/>
          <w:highlight w:val="none"/>
        </w:rPr>
        <w:t>履行</w:t>
      </w:r>
      <w:bookmarkEnd w:id="187"/>
      <w:bookmarkEnd w:id="188"/>
      <w:bookmarkEnd w:id="189"/>
      <w:bookmarkEnd w:id="190"/>
    </w:p>
    <w:p w14:paraId="2BD31EB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14:paraId="2EB14CCF">
      <w:pPr>
        <w:spacing w:line="560" w:lineRule="exact"/>
        <w:ind w:firstLine="482" w:firstLineChars="200"/>
        <w:rPr>
          <w:rFonts w:hint="eastAsia" w:ascii="仿宋" w:hAnsi="仿宋" w:eastAsia="仿宋" w:cs="仿宋"/>
          <w:b/>
          <w:sz w:val="24"/>
          <w:highlight w:val="none"/>
        </w:rPr>
      </w:pPr>
      <w:bookmarkStart w:id="191" w:name="_Toc82617985"/>
      <w:bookmarkStart w:id="192" w:name="_Toc2591689"/>
      <w:bookmarkStart w:id="193" w:name="_Toc10611"/>
      <w:bookmarkStart w:id="194" w:name="_Toc37868843"/>
      <w:bookmarkStart w:id="195" w:name="_Toc259093683"/>
      <w:bookmarkStart w:id="196" w:name="_Toc487900364"/>
      <w:bookmarkStart w:id="197" w:name="_Ref467378121"/>
      <w:bookmarkStart w:id="198" w:name="_Toc279701254"/>
      <w:r>
        <w:rPr>
          <w:rFonts w:hint="eastAsia" w:ascii="仿宋" w:hAnsi="仿宋" w:eastAsia="仿宋" w:cs="仿宋"/>
          <w:b/>
          <w:sz w:val="24"/>
          <w:highlight w:val="none"/>
        </w:rPr>
        <w:t>2.9 合同变更</w:t>
      </w:r>
      <w:bookmarkEnd w:id="191"/>
      <w:bookmarkEnd w:id="192"/>
      <w:bookmarkEnd w:id="193"/>
      <w:bookmarkEnd w:id="194"/>
    </w:p>
    <w:p w14:paraId="323EA246">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2.9.1 双方当事人协商一致，可以签订书面补充合同的形式变更合同，但不得违背采购文件确定的事项，且如果系追加与合同标的相同的服务的，那么所有补充合同的采购金额不得超过原合同价的10%；</w:t>
      </w:r>
    </w:p>
    <w:p w14:paraId="71D8DE8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2.9.2 合同继续履行将损害国家利益和社会公共利益的，双方当事人应当以书面形式变更合同。有过错的一方应当承担赔偿责任，双方当事人都有过错的，各自承担相应的责任。</w:t>
      </w:r>
      <w:bookmarkStart w:id="199" w:name="_Toc279701259"/>
      <w:bookmarkStart w:id="200" w:name="_Toc487900369"/>
      <w:bookmarkStart w:id="201" w:name="_Toc259093688"/>
    </w:p>
    <w:p w14:paraId="48230F89">
      <w:pPr>
        <w:spacing w:line="560" w:lineRule="exact"/>
        <w:ind w:firstLine="482" w:firstLineChars="200"/>
        <w:rPr>
          <w:rFonts w:hint="eastAsia" w:ascii="仿宋" w:hAnsi="仿宋" w:eastAsia="仿宋" w:cs="仿宋"/>
          <w:b/>
          <w:sz w:val="24"/>
          <w:highlight w:val="none"/>
        </w:rPr>
      </w:pPr>
      <w:bookmarkStart w:id="202" w:name="_Toc23368"/>
      <w:bookmarkStart w:id="203" w:name="_Toc37868844"/>
      <w:bookmarkStart w:id="204" w:name="_Toc21830"/>
      <w:bookmarkStart w:id="205" w:name="_Toc82617986"/>
      <w:bookmarkStart w:id="206" w:name="_Toc26689"/>
      <w:bookmarkStart w:id="207" w:name="_Toc42"/>
      <w:bookmarkStart w:id="208" w:name="_Toc10663"/>
      <w:bookmarkStart w:id="209" w:name="_Toc2591690"/>
      <w:r>
        <w:rPr>
          <w:rFonts w:hint="eastAsia" w:ascii="仿宋" w:hAnsi="仿宋" w:eastAsia="仿宋" w:cs="仿宋"/>
          <w:b/>
          <w:sz w:val="24"/>
          <w:highlight w:val="none"/>
        </w:rPr>
        <w:t>2.10 合同转让</w:t>
      </w:r>
      <w:bookmarkEnd w:id="199"/>
      <w:bookmarkEnd w:id="200"/>
      <w:bookmarkEnd w:id="201"/>
      <w:r>
        <w:rPr>
          <w:rFonts w:hint="eastAsia" w:ascii="仿宋" w:hAnsi="仿宋" w:eastAsia="仿宋" w:cs="仿宋"/>
          <w:b/>
          <w:sz w:val="24"/>
          <w:highlight w:val="none"/>
        </w:rPr>
        <w:t>和分包</w:t>
      </w:r>
      <w:bookmarkEnd w:id="202"/>
      <w:bookmarkEnd w:id="203"/>
      <w:bookmarkEnd w:id="204"/>
      <w:bookmarkEnd w:id="205"/>
      <w:bookmarkEnd w:id="206"/>
      <w:bookmarkEnd w:id="207"/>
      <w:bookmarkEnd w:id="208"/>
      <w:bookmarkEnd w:id="209"/>
    </w:p>
    <w:p w14:paraId="4CCC2E2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557DD4B">
      <w:pPr>
        <w:spacing w:line="560" w:lineRule="exact"/>
        <w:ind w:firstLine="482" w:firstLineChars="200"/>
        <w:rPr>
          <w:rFonts w:hint="eastAsia" w:ascii="仿宋" w:hAnsi="仿宋" w:eastAsia="仿宋" w:cs="仿宋"/>
          <w:b/>
          <w:sz w:val="24"/>
          <w:highlight w:val="none"/>
        </w:rPr>
      </w:pPr>
      <w:bookmarkStart w:id="210" w:name="_Toc4720"/>
      <w:bookmarkStart w:id="211" w:name="_Toc26633"/>
      <w:bookmarkStart w:id="212" w:name="_Toc37868845"/>
      <w:bookmarkStart w:id="213" w:name="_Toc82617987"/>
      <w:bookmarkStart w:id="214" w:name="_Toc25571"/>
      <w:bookmarkStart w:id="215" w:name="_Toc14371"/>
      <w:bookmarkStart w:id="216" w:name="_Toc32494"/>
      <w:bookmarkStart w:id="217" w:name="_Toc2591691"/>
      <w:r>
        <w:rPr>
          <w:rFonts w:hint="eastAsia" w:ascii="仿宋" w:hAnsi="仿宋" w:eastAsia="仿宋" w:cs="仿宋"/>
          <w:b/>
          <w:sz w:val="24"/>
          <w:highlight w:val="none"/>
        </w:rPr>
        <w:t>2.11 不可抗力</w:t>
      </w:r>
      <w:bookmarkEnd w:id="210"/>
      <w:bookmarkEnd w:id="211"/>
      <w:bookmarkEnd w:id="212"/>
      <w:bookmarkEnd w:id="213"/>
      <w:bookmarkEnd w:id="214"/>
      <w:bookmarkEnd w:id="215"/>
      <w:bookmarkEnd w:id="216"/>
      <w:bookmarkEnd w:id="217"/>
    </w:p>
    <w:p w14:paraId="0AEB4840">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14:paraId="3BDBF2D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14:paraId="4DC3933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14:paraId="5394CE1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14:paraId="37336172">
      <w:pPr>
        <w:spacing w:line="560" w:lineRule="exact"/>
        <w:ind w:firstLine="482" w:firstLineChars="200"/>
        <w:rPr>
          <w:rFonts w:hint="eastAsia" w:ascii="仿宋" w:hAnsi="仿宋" w:eastAsia="仿宋" w:cs="仿宋"/>
          <w:b/>
          <w:sz w:val="24"/>
          <w:highlight w:val="none"/>
        </w:rPr>
      </w:pPr>
      <w:bookmarkStart w:id="218" w:name="_Toc82617988"/>
      <w:bookmarkStart w:id="219" w:name="_Toc487900365"/>
      <w:bookmarkStart w:id="220" w:name="_Toc2591692"/>
      <w:bookmarkStart w:id="221" w:name="_Toc37868846"/>
      <w:bookmarkStart w:id="222" w:name="_Toc14115"/>
      <w:bookmarkStart w:id="223" w:name="_Toc24465"/>
      <w:bookmarkStart w:id="224" w:name="_Toc25783"/>
      <w:bookmarkStart w:id="225" w:name="_Toc3638"/>
      <w:bookmarkStart w:id="226" w:name="_Toc259093684"/>
      <w:bookmarkStart w:id="227" w:name="_Toc279701255"/>
      <w:bookmarkStart w:id="228" w:name="_Toc23854"/>
      <w:r>
        <w:rPr>
          <w:rFonts w:hint="eastAsia" w:ascii="仿宋" w:hAnsi="仿宋" w:eastAsia="仿宋" w:cs="仿宋"/>
          <w:b/>
          <w:sz w:val="24"/>
          <w:highlight w:val="none"/>
        </w:rPr>
        <w:t>2.12 税费</w:t>
      </w:r>
      <w:bookmarkEnd w:id="218"/>
      <w:bookmarkEnd w:id="219"/>
      <w:bookmarkEnd w:id="220"/>
      <w:bookmarkEnd w:id="221"/>
      <w:bookmarkEnd w:id="222"/>
      <w:bookmarkEnd w:id="223"/>
      <w:bookmarkEnd w:id="224"/>
      <w:bookmarkEnd w:id="225"/>
      <w:bookmarkEnd w:id="226"/>
      <w:bookmarkEnd w:id="227"/>
      <w:bookmarkEnd w:id="228"/>
    </w:p>
    <w:p w14:paraId="4993D8A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14:paraId="596AEF69">
      <w:pPr>
        <w:spacing w:line="560" w:lineRule="exact"/>
        <w:ind w:firstLine="482" w:firstLineChars="200"/>
        <w:rPr>
          <w:rFonts w:hint="eastAsia" w:ascii="仿宋" w:hAnsi="仿宋" w:eastAsia="仿宋" w:cs="仿宋"/>
          <w:b/>
          <w:sz w:val="24"/>
          <w:highlight w:val="none"/>
        </w:rPr>
      </w:pPr>
      <w:bookmarkStart w:id="229" w:name="_Toc259093687"/>
      <w:bookmarkStart w:id="230" w:name="_Toc2591693"/>
      <w:bookmarkStart w:id="231" w:name="_Toc26883"/>
      <w:bookmarkStart w:id="232" w:name="_Toc7315"/>
      <w:bookmarkStart w:id="233" w:name="_Toc279701258"/>
      <w:bookmarkStart w:id="234" w:name="_Toc14814"/>
      <w:bookmarkStart w:id="235" w:name="_Toc25525"/>
      <w:bookmarkStart w:id="236" w:name="_Toc82617989"/>
      <w:bookmarkStart w:id="237" w:name="_Toc37868847"/>
      <w:bookmarkStart w:id="238" w:name="_Toc487900368"/>
      <w:bookmarkStart w:id="239" w:name="_Toc30105"/>
      <w:r>
        <w:rPr>
          <w:rFonts w:hint="eastAsia" w:ascii="仿宋" w:hAnsi="仿宋" w:eastAsia="仿宋" w:cs="仿宋"/>
          <w:b/>
          <w:sz w:val="24"/>
          <w:highlight w:val="none"/>
        </w:rPr>
        <w:t>2.13 乙方破产</w:t>
      </w:r>
      <w:bookmarkEnd w:id="229"/>
      <w:bookmarkEnd w:id="230"/>
      <w:bookmarkEnd w:id="231"/>
      <w:bookmarkEnd w:id="232"/>
      <w:bookmarkEnd w:id="233"/>
      <w:bookmarkEnd w:id="234"/>
      <w:bookmarkEnd w:id="235"/>
      <w:bookmarkEnd w:id="236"/>
      <w:bookmarkEnd w:id="237"/>
      <w:bookmarkEnd w:id="238"/>
      <w:bookmarkEnd w:id="239"/>
    </w:p>
    <w:p w14:paraId="12A075E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CA15C68">
      <w:pPr>
        <w:spacing w:line="560" w:lineRule="exact"/>
        <w:ind w:firstLine="482" w:firstLineChars="200"/>
        <w:rPr>
          <w:rFonts w:hint="eastAsia" w:ascii="仿宋" w:hAnsi="仿宋" w:eastAsia="仿宋" w:cs="仿宋"/>
          <w:b/>
          <w:sz w:val="24"/>
          <w:highlight w:val="none"/>
        </w:rPr>
      </w:pPr>
      <w:bookmarkStart w:id="240" w:name="_Toc1123"/>
      <w:bookmarkStart w:id="241" w:name="_Toc82617990"/>
      <w:bookmarkStart w:id="242" w:name="_Toc23323"/>
      <w:bookmarkStart w:id="243" w:name="_Toc37868848"/>
      <w:bookmarkStart w:id="244" w:name="_Toc2591694"/>
      <w:bookmarkStart w:id="245" w:name="_Toc2016"/>
      <w:r>
        <w:rPr>
          <w:rFonts w:hint="eastAsia" w:ascii="仿宋" w:hAnsi="仿宋" w:eastAsia="仿宋" w:cs="仿宋"/>
          <w:b/>
          <w:sz w:val="24"/>
          <w:highlight w:val="none"/>
        </w:rPr>
        <w:t>2.14 合同中止、终止</w:t>
      </w:r>
      <w:bookmarkEnd w:id="240"/>
      <w:bookmarkEnd w:id="241"/>
      <w:bookmarkEnd w:id="242"/>
      <w:bookmarkEnd w:id="243"/>
      <w:bookmarkEnd w:id="244"/>
      <w:bookmarkEnd w:id="245"/>
    </w:p>
    <w:p w14:paraId="6C6163C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14:paraId="1E92DF2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14:paraId="25A31DC3">
      <w:pPr>
        <w:spacing w:line="560" w:lineRule="exact"/>
        <w:ind w:firstLine="482" w:firstLineChars="200"/>
        <w:rPr>
          <w:rFonts w:hint="eastAsia" w:ascii="仿宋" w:hAnsi="仿宋" w:eastAsia="仿宋" w:cs="仿宋"/>
          <w:b/>
          <w:sz w:val="24"/>
          <w:highlight w:val="none"/>
        </w:rPr>
      </w:pPr>
      <w:bookmarkStart w:id="246" w:name="_Toc1969"/>
      <w:bookmarkStart w:id="247" w:name="_Toc14525"/>
      <w:bookmarkStart w:id="248" w:name="_Toc2591695"/>
      <w:bookmarkStart w:id="249" w:name="_Toc17363"/>
      <w:bookmarkStart w:id="250" w:name="_Toc82617991"/>
      <w:bookmarkStart w:id="251" w:name="_Toc37868849"/>
      <w:r>
        <w:rPr>
          <w:rFonts w:hint="eastAsia" w:ascii="仿宋" w:hAnsi="仿宋" w:eastAsia="仿宋" w:cs="仿宋"/>
          <w:b/>
          <w:sz w:val="24"/>
          <w:highlight w:val="none"/>
        </w:rPr>
        <w:t>2.15 检验和验收</w:t>
      </w:r>
      <w:bookmarkEnd w:id="246"/>
      <w:bookmarkEnd w:id="247"/>
      <w:bookmarkEnd w:id="248"/>
      <w:bookmarkEnd w:id="249"/>
      <w:bookmarkEnd w:id="250"/>
      <w:bookmarkEnd w:id="251"/>
    </w:p>
    <w:p w14:paraId="56AE0260">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14:paraId="50B255D2">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监测机构参加）对乙方履约的验收，即：按照合同约定的标准，组织对乙方履约情况的验收，并出具验收书；向社会公众提供的公共服务项目，验收时应当邀请服务对象参与并出具意见，验收结果应当向社会公告；</w:t>
      </w:r>
    </w:p>
    <w:p w14:paraId="6754E959">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bookmarkEnd w:id="195"/>
    <w:bookmarkEnd w:id="196"/>
    <w:bookmarkEnd w:id="197"/>
    <w:bookmarkEnd w:id="198"/>
    <w:p w14:paraId="1C03BE23">
      <w:pPr>
        <w:spacing w:line="560" w:lineRule="exact"/>
        <w:ind w:firstLine="482" w:firstLineChars="200"/>
        <w:rPr>
          <w:rFonts w:hint="eastAsia" w:ascii="仿宋" w:hAnsi="仿宋" w:eastAsia="仿宋" w:cs="仿宋"/>
          <w:b/>
          <w:sz w:val="24"/>
          <w:highlight w:val="none"/>
        </w:rPr>
      </w:pPr>
      <w:bookmarkStart w:id="252" w:name="_Toc279701261"/>
      <w:bookmarkStart w:id="253" w:name="_Toc487900371"/>
      <w:bookmarkStart w:id="254" w:name="_Toc259093690"/>
      <w:bookmarkStart w:id="255" w:name="_Toc2308"/>
      <w:bookmarkStart w:id="256" w:name="_Toc2591696"/>
      <w:bookmarkStart w:id="257" w:name="_Toc9808"/>
      <w:bookmarkStart w:id="258" w:name="_Toc82617992"/>
      <w:bookmarkStart w:id="259" w:name="_Toc12666"/>
      <w:bookmarkStart w:id="260" w:name="_Toc37868850"/>
      <w:bookmarkStart w:id="261" w:name="_Toc31892"/>
      <w:bookmarkStart w:id="262" w:name="_Toc25198"/>
      <w:r>
        <w:rPr>
          <w:rFonts w:hint="eastAsia" w:ascii="仿宋" w:hAnsi="仿宋" w:eastAsia="仿宋" w:cs="仿宋"/>
          <w:b/>
          <w:sz w:val="24"/>
          <w:highlight w:val="none"/>
        </w:rPr>
        <w:t>2.16 通知</w:t>
      </w:r>
      <w:bookmarkEnd w:id="252"/>
      <w:bookmarkEnd w:id="253"/>
      <w:bookmarkEnd w:id="254"/>
      <w:r>
        <w:rPr>
          <w:rFonts w:hint="eastAsia" w:ascii="仿宋" w:hAnsi="仿宋" w:eastAsia="仿宋" w:cs="仿宋"/>
          <w:b/>
          <w:sz w:val="24"/>
          <w:highlight w:val="none"/>
        </w:rPr>
        <w:t>和送达</w:t>
      </w:r>
      <w:bookmarkEnd w:id="255"/>
      <w:bookmarkEnd w:id="256"/>
      <w:bookmarkEnd w:id="257"/>
      <w:bookmarkEnd w:id="258"/>
      <w:bookmarkEnd w:id="259"/>
      <w:bookmarkEnd w:id="260"/>
      <w:bookmarkEnd w:id="261"/>
      <w:bookmarkEnd w:id="262"/>
    </w:p>
    <w:p w14:paraId="2FE0C9C9">
      <w:pPr>
        <w:spacing w:line="560" w:lineRule="exact"/>
        <w:ind w:firstLine="480" w:firstLineChars="200"/>
        <w:rPr>
          <w:rFonts w:hint="eastAsia" w:ascii="仿宋" w:hAnsi="仿宋" w:eastAsia="仿宋" w:cs="仿宋"/>
          <w:sz w:val="24"/>
          <w:highlight w:val="none"/>
        </w:rPr>
      </w:pPr>
      <w:bookmarkStart w:id="263" w:name="_Toc29220"/>
      <w:bookmarkStart w:id="264" w:name="_Toc7073"/>
      <w:bookmarkStart w:id="265" w:name="_Toc487900372"/>
      <w:bookmarkStart w:id="266" w:name="_Toc279701262"/>
      <w:bookmarkStart w:id="267" w:name="_Toc259093691"/>
      <w:r>
        <w:rPr>
          <w:rFonts w:hint="eastAsia" w:ascii="仿宋" w:hAnsi="仿宋" w:eastAsia="仿宋" w:cs="仿宋"/>
          <w:sz w:val="24"/>
          <w:highlight w:val="none"/>
        </w:rPr>
        <w:t>2.16.1 任何一方因履行合同而以合同第一部分尾部所列明的发出的所有通知、文件、材料，均视为已向对方当事人送达；任何一方变更上述送达方式或者地址的，应于</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bookmarkEnd w:id="263"/>
      <w:bookmarkEnd w:id="264"/>
    </w:p>
    <w:p w14:paraId="1441FD54">
      <w:pPr>
        <w:spacing w:line="560" w:lineRule="exact"/>
        <w:ind w:firstLine="480" w:firstLineChars="200"/>
        <w:rPr>
          <w:rFonts w:hint="eastAsia" w:ascii="仿宋" w:hAnsi="仿宋" w:eastAsia="仿宋" w:cs="仿宋"/>
          <w:sz w:val="24"/>
          <w:highlight w:val="none"/>
        </w:rPr>
      </w:pPr>
      <w:bookmarkStart w:id="268" w:name="_Toc27674"/>
      <w:bookmarkStart w:id="269" w:name="_Toc18401"/>
      <w:r>
        <w:rPr>
          <w:rFonts w:hint="eastAsia" w:ascii="仿宋" w:hAnsi="仿宋" w:eastAsia="仿宋" w:cs="仿宋"/>
          <w:sz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268"/>
      <w:bookmarkEnd w:id="269"/>
    </w:p>
    <w:bookmarkEnd w:id="265"/>
    <w:bookmarkEnd w:id="266"/>
    <w:bookmarkEnd w:id="267"/>
    <w:p w14:paraId="27CD4DB7">
      <w:pPr>
        <w:spacing w:line="560" w:lineRule="exact"/>
        <w:ind w:firstLine="482" w:firstLineChars="200"/>
        <w:rPr>
          <w:rFonts w:hint="eastAsia" w:ascii="仿宋" w:hAnsi="仿宋" w:eastAsia="仿宋" w:cs="仿宋"/>
          <w:b/>
          <w:sz w:val="24"/>
          <w:highlight w:val="none"/>
        </w:rPr>
      </w:pPr>
      <w:bookmarkStart w:id="270" w:name="_Toc2591697"/>
      <w:bookmarkStart w:id="271" w:name="_Toc28906"/>
      <w:bookmarkStart w:id="272" w:name="_Toc27644"/>
      <w:bookmarkStart w:id="273" w:name="_Toc5063"/>
      <w:bookmarkStart w:id="274" w:name="_Toc259093692"/>
      <w:bookmarkStart w:id="275" w:name="_Toc12254"/>
      <w:bookmarkStart w:id="276" w:name="_Toc279701263"/>
      <w:bookmarkStart w:id="277" w:name="_Toc37868851"/>
      <w:bookmarkStart w:id="278" w:name="_Toc487900373"/>
      <w:bookmarkStart w:id="279" w:name="_Toc20808"/>
      <w:bookmarkStart w:id="280" w:name="_Toc82617993"/>
      <w:r>
        <w:rPr>
          <w:rFonts w:hint="eastAsia" w:ascii="仿宋" w:hAnsi="仿宋" w:eastAsia="仿宋" w:cs="仿宋"/>
          <w:b/>
          <w:sz w:val="24"/>
          <w:highlight w:val="none"/>
        </w:rPr>
        <w:t>2.17 合同使用的文字和适用的法律</w:t>
      </w:r>
      <w:bookmarkEnd w:id="270"/>
      <w:bookmarkEnd w:id="271"/>
      <w:bookmarkEnd w:id="272"/>
      <w:bookmarkEnd w:id="273"/>
      <w:bookmarkEnd w:id="274"/>
      <w:bookmarkEnd w:id="275"/>
      <w:bookmarkEnd w:id="276"/>
      <w:bookmarkEnd w:id="277"/>
      <w:bookmarkEnd w:id="278"/>
      <w:bookmarkEnd w:id="279"/>
      <w:bookmarkEnd w:id="280"/>
    </w:p>
    <w:p w14:paraId="536811E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2.17.1 合同使用汉语书就、变更和解释；</w:t>
      </w:r>
    </w:p>
    <w:p w14:paraId="1EC7997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2.17.2 合同适用中华人民共和国法律。</w:t>
      </w:r>
    </w:p>
    <w:p w14:paraId="2C747B97">
      <w:pPr>
        <w:spacing w:line="560" w:lineRule="exact"/>
        <w:ind w:firstLine="482" w:firstLineChars="200"/>
        <w:rPr>
          <w:rFonts w:hint="eastAsia" w:ascii="仿宋" w:hAnsi="仿宋" w:eastAsia="仿宋" w:cs="仿宋"/>
          <w:b/>
          <w:sz w:val="24"/>
          <w:highlight w:val="none"/>
        </w:rPr>
      </w:pPr>
      <w:bookmarkStart w:id="281" w:name="_Toc259093693"/>
      <w:bookmarkStart w:id="282" w:name="_Toc37868852"/>
      <w:bookmarkStart w:id="283" w:name="_Toc1492"/>
      <w:bookmarkStart w:id="284" w:name="_Toc27127"/>
      <w:bookmarkStart w:id="285" w:name="_Toc30096"/>
      <w:bookmarkStart w:id="286" w:name="_Toc279701264"/>
      <w:bookmarkStart w:id="287" w:name="_Toc27403"/>
      <w:bookmarkStart w:id="288" w:name="_Toc82617994"/>
      <w:bookmarkStart w:id="289" w:name="_Toc2591698"/>
      <w:bookmarkStart w:id="290" w:name="_Toc22266"/>
      <w:bookmarkStart w:id="291" w:name="_Toc487900374"/>
      <w:r>
        <w:rPr>
          <w:rFonts w:hint="eastAsia" w:ascii="仿宋" w:hAnsi="仿宋" w:eastAsia="仿宋" w:cs="仿宋"/>
          <w:b/>
          <w:sz w:val="24"/>
          <w:highlight w:val="none"/>
        </w:rPr>
        <w:t>2.18 履约保证金</w:t>
      </w:r>
      <w:bookmarkEnd w:id="281"/>
      <w:bookmarkEnd w:id="282"/>
      <w:bookmarkEnd w:id="283"/>
      <w:bookmarkEnd w:id="284"/>
      <w:bookmarkEnd w:id="285"/>
      <w:bookmarkEnd w:id="286"/>
      <w:bookmarkEnd w:id="287"/>
      <w:bookmarkEnd w:id="288"/>
      <w:bookmarkEnd w:id="289"/>
      <w:bookmarkEnd w:id="290"/>
    </w:p>
    <w:p w14:paraId="35605DC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2.18.1 采购文件要求乙方提交履约保证金的，乙方应按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约定的方式，以支票、汇票、本票或者金融机构、担保机构出具的保函等非现金形式，提交不超过合同价10%的履约保证金；</w:t>
      </w:r>
    </w:p>
    <w:p w14:paraId="3682B58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2.18.2 履约保证金在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约定期间内不予退还或者应完全有效，前述约定期间届满之日起</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个工作日内，甲方应将履约保证金退还乙方；</w:t>
      </w:r>
    </w:p>
    <w:p w14:paraId="7EC9D8E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2.18.3 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291"/>
    <w:p w14:paraId="579C04E9">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2.19 合同份数</w:t>
      </w:r>
    </w:p>
    <w:p w14:paraId="258EFEB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14:paraId="4AE217A1">
      <w:pPr>
        <w:pStyle w:val="224"/>
        <w:spacing w:line="560" w:lineRule="exact"/>
        <w:ind w:firstLine="0"/>
        <w:jc w:val="center"/>
        <w:rPr>
          <w:rFonts w:hint="eastAsia" w:ascii="仿宋" w:hAnsi="仿宋" w:eastAsia="仿宋" w:cs="仿宋"/>
          <w:b/>
          <w:szCs w:val="24"/>
          <w:highlight w:val="none"/>
        </w:rPr>
      </w:pPr>
      <w:r>
        <w:rPr>
          <w:rFonts w:hint="eastAsia" w:ascii="仿宋" w:hAnsi="仿宋" w:eastAsia="仿宋" w:cs="仿宋"/>
          <w:szCs w:val="24"/>
          <w:highlight w:val="none"/>
        </w:rPr>
        <w:br w:type="page"/>
      </w:r>
      <w:bookmarkStart w:id="292" w:name="_Toc331685784"/>
      <w:r>
        <w:rPr>
          <w:rFonts w:hint="eastAsia" w:ascii="仿宋" w:hAnsi="仿宋" w:eastAsia="仿宋" w:cs="仿宋"/>
          <w:b/>
          <w:szCs w:val="24"/>
          <w:highlight w:val="none"/>
        </w:rPr>
        <w:t>第三部分  合同专用条款</w:t>
      </w:r>
      <w:bookmarkEnd w:id="292"/>
    </w:p>
    <w:p w14:paraId="40295923">
      <w:pPr>
        <w:spacing w:line="560" w:lineRule="exact"/>
        <w:ind w:firstLine="480" w:firstLineChars="200"/>
        <w:rPr>
          <w:rFonts w:hint="eastAsia" w:ascii="仿宋" w:hAnsi="仿宋" w:eastAsia="仿宋" w:cs="仿宋"/>
          <w:sz w:val="24"/>
          <w:highlight w:val="none"/>
        </w:rPr>
      </w:pPr>
    </w:p>
    <w:tbl>
      <w:tblPr>
        <w:tblStyle w:val="42"/>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7578"/>
      </w:tblGrid>
      <w:tr w14:paraId="2BEBF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038" w:type="dxa"/>
            <w:vAlign w:val="center"/>
          </w:tcPr>
          <w:p w14:paraId="696B748C">
            <w:pPr>
              <w:pStyle w:val="20"/>
              <w:jc w:val="center"/>
              <w:rPr>
                <w:rFonts w:hint="eastAsia" w:ascii="仿宋" w:hAnsi="仿宋" w:eastAsia="仿宋" w:cs="仿宋"/>
                <w:b/>
                <w:highlight w:val="none"/>
              </w:rPr>
            </w:pPr>
            <w:r>
              <w:rPr>
                <w:rFonts w:hint="eastAsia" w:ascii="仿宋" w:hAnsi="仿宋" w:eastAsia="仿宋" w:cs="仿宋"/>
                <w:b/>
                <w:highlight w:val="none"/>
              </w:rPr>
              <w:t>序号</w:t>
            </w:r>
          </w:p>
        </w:tc>
        <w:tc>
          <w:tcPr>
            <w:tcW w:w="7578" w:type="dxa"/>
            <w:vAlign w:val="center"/>
          </w:tcPr>
          <w:p w14:paraId="150F63E5">
            <w:pPr>
              <w:pStyle w:val="20"/>
              <w:jc w:val="center"/>
              <w:rPr>
                <w:rFonts w:hint="eastAsia" w:ascii="仿宋" w:hAnsi="仿宋" w:eastAsia="仿宋" w:cs="仿宋"/>
                <w:b/>
                <w:highlight w:val="none"/>
              </w:rPr>
            </w:pPr>
            <w:r>
              <w:rPr>
                <w:rFonts w:hint="eastAsia" w:ascii="仿宋" w:hAnsi="仿宋" w:eastAsia="仿宋" w:cs="仿宋"/>
                <w:b/>
                <w:highlight w:val="none"/>
              </w:rPr>
              <w:t>内　　容</w:t>
            </w:r>
          </w:p>
        </w:tc>
      </w:tr>
      <w:tr w14:paraId="0F4F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38" w:type="dxa"/>
            <w:vAlign w:val="center"/>
          </w:tcPr>
          <w:p w14:paraId="1C2FB831">
            <w:pPr>
              <w:pStyle w:val="20"/>
              <w:jc w:val="center"/>
              <w:rPr>
                <w:rFonts w:hint="eastAsia" w:ascii="仿宋" w:hAnsi="仿宋" w:eastAsia="仿宋" w:cs="仿宋"/>
                <w:highlight w:val="none"/>
              </w:rPr>
            </w:pPr>
            <w:r>
              <w:rPr>
                <w:rFonts w:hint="eastAsia" w:ascii="仿宋" w:hAnsi="仿宋" w:eastAsia="仿宋" w:cs="仿宋"/>
                <w:highlight w:val="none"/>
              </w:rPr>
              <w:t>1</w:t>
            </w:r>
          </w:p>
        </w:tc>
        <w:tc>
          <w:tcPr>
            <w:tcW w:w="7578" w:type="dxa"/>
            <w:vAlign w:val="center"/>
          </w:tcPr>
          <w:p w14:paraId="52F53A00">
            <w:pPr>
              <w:pStyle w:val="20"/>
              <w:jc w:val="left"/>
              <w:rPr>
                <w:rFonts w:hint="eastAsia" w:ascii="仿宋" w:hAnsi="仿宋" w:eastAsia="仿宋" w:cs="仿宋"/>
                <w:highlight w:val="none"/>
              </w:rPr>
            </w:pPr>
            <w:r>
              <w:rPr>
                <w:rFonts w:hint="eastAsia" w:ascii="仿宋" w:hAnsi="仿宋" w:eastAsia="仿宋" w:cs="仿宋"/>
                <w:highlight w:val="none"/>
              </w:rPr>
              <w:t>合同名称：</w:t>
            </w:r>
          </w:p>
          <w:p w14:paraId="77DE318A">
            <w:pPr>
              <w:pStyle w:val="20"/>
              <w:jc w:val="left"/>
              <w:rPr>
                <w:rFonts w:hint="eastAsia" w:ascii="仿宋" w:hAnsi="仿宋" w:eastAsia="仿宋" w:cs="仿宋"/>
                <w:highlight w:val="none"/>
              </w:rPr>
            </w:pPr>
            <w:r>
              <w:rPr>
                <w:rFonts w:hint="eastAsia" w:ascii="仿宋" w:hAnsi="仿宋" w:eastAsia="仿宋" w:cs="仿宋"/>
                <w:highlight w:val="none"/>
              </w:rPr>
              <w:t>合同编号：</w:t>
            </w:r>
          </w:p>
        </w:tc>
      </w:tr>
      <w:tr w14:paraId="7E4B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038" w:type="dxa"/>
            <w:vMerge w:val="restart"/>
            <w:vAlign w:val="center"/>
          </w:tcPr>
          <w:p w14:paraId="5B52C9EA">
            <w:pPr>
              <w:pStyle w:val="20"/>
              <w:jc w:val="center"/>
              <w:rPr>
                <w:rFonts w:hint="eastAsia" w:ascii="仿宋" w:hAnsi="仿宋" w:eastAsia="仿宋" w:cs="仿宋"/>
                <w:highlight w:val="none"/>
              </w:rPr>
            </w:pPr>
            <w:r>
              <w:rPr>
                <w:rFonts w:hint="eastAsia" w:ascii="仿宋" w:hAnsi="仿宋" w:eastAsia="仿宋" w:cs="仿宋"/>
                <w:highlight w:val="none"/>
              </w:rPr>
              <w:t>2</w:t>
            </w:r>
          </w:p>
        </w:tc>
        <w:tc>
          <w:tcPr>
            <w:tcW w:w="7578" w:type="dxa"/>
            <w:vAlign w:val="center"/>
          </w:tcPr>
          <w:p w14:paraId="60CBF1B0">
            <w:pPr>
              <w:pStyle w:val="20"/>
              <w:jc w:val="left"/>
              <w:rPr>
                <w:rFonts w:hint="eastAsia" w:ascii="仿宋" w:hAnsi="仿宋" w:eastAsia="仿宋" w:cs="仿宋"/>
                <w:highlight w:val="none"/>
              </w:rPr>
            </w:pPr>
            <w:r>
              <w:rPr>
                <w:rFonts w:hint="eastAsia" w:ascii="仿宋" w:hAnsi="仿宋" w:eastAsia="仿宋" w:cs="仿宋"/>
                <w:highlight w:val="none"/>
              </w:rPr>
              <w:t>甲方名称：</w:t>
            </w:r>
          </w:p>
        </w:tc>
      </w:tr>
      <w:tr w14:paraId="209F1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38" w:type="dxa"/>
            <w:vMerge w:val="continue"/>
            <w:vAlign w:val="center"/>
          </w:tcPr>
          <w:p w14:paraId="7832437E">
            <w:pPr>
              <w:pStyle w:val="20"/>
              <w:jc w:val="center"/>
              <w:rPr>
                <w:rFonts w:hint="eastAsia" w:ascii="仿宋" w:hAnsi="仿宋" w:eastAsia="仿宋" w:cs="仿宋"/>
                <w:highlight w:val="none"/>
              </w:rPr>
            </w:pPr>
          </w:p>
        </w:tc>
        <w:tc>
          <w:tcPr>
            <w:tcW w:w="7578" w:type="dxa"/>
            <w:vAlign w:val="center"/>
          </w:tcPr>
          <w:p w14:paraId="0E14646C">
            <w:pPr>
              <w:pStyle w:val="20"/>
              <w:jc w:val="left"/>
              <w:rPr>
                <w:rFonts w:hint="eastAsia" w:ascii="仿宋" w:hAnsi="仿宋" w:eastAsia="仿宋" w:cs="仿宋"/>
                <w:highlight w:val="none"/>
              </w:rPr>
            </w:pPr>
            <w:r>
              <w:rPr>
                <w:rFonts w:hint="eastAsia" w:ascii="仿宋" w:hAnsi="仿宋" w:eastAsia="仿宋" w:cs="仿宋"/>
                <w:highlight w:val="none"/>
              </w:rPr>
              <w:t>甲方地址：</w:t>
            </w:r>
          </w:p>
        </w:tc>
      </w:tr>
      <w:tr w14:paraId="7C1D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38" w:type="dxa"/>
            <w:vMerge w:val="continue"/>
            <w:vAlign w:val="center"/>
          </w:tcPr>
          <w:p w14:paraId="1F3F3E1B">
            <w:pPr>
              <w:pStyle w:val="20"/>
              <w:jc w:val="center"/>
              <w:rPr>
                <w:rFonts w:hint="eastAsia" w:ascii="仿宋" w:hAnsi="仿宋" w:eastAsia="仿宋" w:cs="仿宋"/>
                <w:highlight w:val="none"/>
              </w:rPr>
            </w:pPr>
          </w:p>
        </w:tc>
        <w:tc>
          <w:tcPr>
            <w:tcW w:w="7578" w:type="dxa"/>
            <w:vAlign w:val="center"/>
          </w:tcPr>
          <w:p w14:paraId="0C1BA007">
            <w:pPr>
              <w:pStyle w:val="20"/>
              <w:jc w:val="left"/>
              <w:rPr>
                <w:rFonts w:hint="eastAsia" w:ascii="仿宋" w:hAnsi="仿宋" w:eastAsia="仿宋" w:cs="仿宋"/>
                <w:highlight w:val="none"/>
              </w:rPr>
            </w:pPr>
            <w:r>
              <w:rPr>
                <w:rFonts w:hint="eastAsia" w:ascii="仿宋" w:hAnsi="仿宋" w:eastAsia="仿宋" w:cs="仿宋"/>
                <w:highlight w:val="none"/>
              </w:rPr>
              <w:t>甲方联系人：　　　电话：</w:t>
            </w:r>
          </w:p>
        </w:tc>
      </w:tr>
      <w:tr w14:paraId="6C9B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38" w:type="dxa"/>
            <w:vMerge w:val="restart"/>
            <w:vAlign w:val="center"/>
          </w:tcPr>
          <w:p w14:paraId="5703C60A">
            <w:pPr>
              <w:pStyle w:val="20"/>
              <w:jc w:val="center"/>
              <w:rPr>
                <w:rFonts w:hint="eastAsia" w:ascii="仿宋" w:hAnsi="仿宋" w:eastAsia="仿宋" w:cs="仿宋"/>
                <w:highlight w:val="none"/>
              </w:rPr>
            </w:pPr>
            <w:r>
              <w:rPr>
                <w:rFonts w:hint="eastAsia" w:ascii="仿宋" w:hAnsi="仿宋" w:eastAsia="仿宋" w:cs="仿宋"/>
                <w:highlight w:val="none"/>
              </w:rPr>
              <w:t>3</w:t>
            </w:r>
          </w:p>
        </w:tc>
        <w:tc>
          <w:tcPr>
            <w:tcW w:w="7578" w:type="dxa"/>
            <w:vAlign w:val="center"/>
          </w:tcPr>
          <w:p w14:paraId="2DE1E56B">
            <w:pPr>
              <w:pStyle w:val="20"/>
              <w:jc w:val="left"/>
              <w:rPr>
                <w:rFonts w:hint="eastAsia" w:ascii="仿宋" w:hAnsi="仿宋" w:eastAsia="仿宋" w:cs="仿宋"/>
                <w:highlight w:val="none"/>
              </w:rPr>
            </w:pPr>
            <w:r>
              <w:rPr>
                <w:rFonts w:hint="eastAsia" w:ascii="仿宋" w:hAnsi="仿宋" w:eastAsia="仿宋" w:cs="仿宋"/>
                <w:highlight w:val="none"/>
              </w:rPr>
              <w:t>乙方名称：</w:t>
            </w:r>
          </w:p>
        </w:tc>
      </w:tr>
      <w:tr w14:paraId="4DC1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38" w:type="dxa"/>
            <w:vMerge w:val="continue"/>
            <w:vAlign w:val="center"/>
          </w:tcPr>
          <w:p w14:paraId="77528DB7">
            <w:pPr>
              <w:pStyle w:val="20"/>
              <w:jc w:val="center"/>
              <w:rPr>
                <w:rFonts w:hint="eastAsia" w:ascii="仿宋" w:hAnsi="仿宋" w:eastAsia="仿宋" w:cs="仿宋"/>
                <w:highlight w:val="none"/>
              </w:rPr>
            </w:pPr>
          </w:p>
        </w:tc>
        <w:tc>
          <w:tcPr>
            <w:tcW w:w="7578" w:type="dxa"/>
            <w:vAlign w:val="center"/>
          </w:tcPr>
          <w:p w14:paraId="563945F1">
            <w:pPr>
              <w:pStyle w:val="20"/>
              <w:jc w:val="left"/>
              <w:rPr>
                <w:rFonts w:hint="eastAsia" w:ascii="仿宋" w:hAnsi="仿宋" w:eastAsia="仿宋" w:cs="仿宋"/>
                <w:highlight w:val="none"/>
              </w:rPr>
            </w:pPr>
            <w:r>
              <w:rPr>
                <w:rFonts w:hint="eastAsia" w:ascii="仿宋" w:hAnsi="仿宋" w:eastAsia="仿宋" w:cs="仿宋"/>
                <w:highlight w:val="none"/>
              </w:rPr>
              <w:t>乙方地址：</w:t>
            </w:r>
          </w:p>
        </w:tc>
      </w:tr>
      <w:tr w14:paraId="151A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38" w:type="dxa"/>
            <w:vMerge w:val="continue"/>
            <w:vAlign w:val="center"/>
          </w:tcPr>
          <w:p w14:paraId="0E7DD92F">
            <w:pPr>
              <w:pStyle w:val="20"/>
              <w:jc w:val="center"/>
              <w:rPr>
                <w:rFonts w:hint="eastAsia" w:ascii="仿宋" w:hAnsi="仿宋" w:eastAsia="仿宋" w:cs="仿宋"/>
                <w:highlight w:val="none"/>
              </w:rPr>
            </w:pPr>
          </w:p>
        </w:tc>
        <w:tc>
          <w:tcPr>
            <w:tcW w:w="7578" w:type="dxa"/>
            <w:vAlign w:val="center"/>
          </w:tcPr>
          <w:p w14:paraId="53D65793">
            <w:pPr>
              <w:pStyle w:val="20"/>
              <w:jc w:val="left"/>
              <w:rPr>
                <w:rFonts w:hint="eastAsia" w:ascii="仿宋" w:hAnsi="仿宋" w:eastAsia="仿宋" w:cs="仿宋"/>
                <w:highlight w:val="none"/>
              </w:rPr>
            </w:pPr>
            <w:r>
              <w:rPr>
                <w:rFonts w:hint="eastAsia" w:ascii="仿宋" w:hAnsi="仿宋" w:eastAsia="仿宋" w:cs="仿宋"/>
                <w:highlight w:val="none"/>
              </w:rPr>
              <w:t>乙方联系人：　　　电话：</w:t>
            </w:r>
          </w:p>
        </w:tc>
      </w:tr>
      <w:tr w14:paraId="68211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38" w:type="dxa"/>
            <w:vMerge w:val="continue"/>
            <w:vAlign w:val="center"/>
          </w:tcPr>
          <w:p w14:paraId="3B7886B7">
            <w:pPr>
              <w:pStyle w:val="20"/>
              <w:jc w:val="center"/>
              <w:rPr>
                <w:rFonts w:hint="eastAsia" w:ascii="仿宋" w:hAnsi="仿宋" w:eastAsia="仿宋" w:cs="仿宋"/>
                <w:highlight w:val="none"/>
              </w:rPr>
            </w:pPr>
          </w:p>
        </w:tc>
        <w:tc>
          <w:tcPr>
            <w:tcW w:w="7578" w:type="dxa"/>
            <w:vAlign w:val="center"/>
          </w:tcPr>
          <w:p w14:paraId="6032F27E">
            <w:pPr>
              <w:pStyle w:val="20"/>
              <w:jc w:val="left"/>
              <w:rPr>
                <w:rFonts w:hint="eastAsia" w:ascii="仿宋" w:hAnsi="仿宋" w:eastAsia="仿宋" w:cs="仿宋"/>
                <w:highlight w:val="none"/>
              </w:rPr>
            </w:pPr>
            <w:r>
              <w:rPr>
                <w:rFonts w:hint="eastAsia" w:ascii="仿宋" w:hAnsi="仿宋" w:eastAsia="仿宋" w:cs="仿宋"/>
                <w:highlight w:val="none"/>
              </w:rPr>
              <w:t>乙方开户银行名称：</w:t>
            </w:r>
          </w:p>
          <w:p w14:paraId="66C93463">
            <w:pPr>
              <w:pStyle w:val="20"/>
              <w:jc w:val="left"/>
              <w:rPr>
                <w:rFonts w:hint="eastAsia" w:ascii="仿宋" w:hAnsi="仿宋" w:eastAsia="仿宋" w:cs="仿宋"/>
                <w:highlight w:val="none"/>
              </w:rPr>
            </w:pPr>
            <w:r>
              <w:rPr>
                <w:rFonts w:hint="eastAsia" w:ascii="仿宋" w:hAnsi="仿宋" w:eastAsia="仿宋" w:cs="仿宋"/>
                <w:highlight w:val="none"/>
              </w:rPr>
              <w:t>账号：</w:t>
            </w:r>
          </w:p>
        </w:tc>
      </w:tr>
      <w:tr w14:paraId="5B77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Align w:val="center"/>
          </w:tcPr>
          <w:p w14:paraId="62FE920A">
            <w:pPr>
              <w:pStyle w:val="20"/>
              <w:jc w:val="center"/>
              <w:rPr>
                <w:rFonts w:hint="eastAsia" w:ascii="仿宋" w:hAnsi="仿宋" w:eastAsia="仿宋" w:cs="仿宋"/>
                <w:highlight w:val="none"/>
              </w:rPr>
            </w:pPr>
            <w:r>
              <w:rPr>
                <w:rFonts w:hint="eastAsia" w:ascii="仿宋" w:hAnsi="仿宋" w:eastAsia="仿宋" w:cs="仿宋"/>
                <w:highlight w:val="none"/>
              </w:rPr>
              <w:t>4</w:t>
            </w:r>
          </w:p>
        </w:tc>
        <w:tc>
          <w:tcPr>
            <w:tcW w:w="7578" w:type="dxa"/>
            <w:vAlign w:val="center"/>
          </w:tcPr>
          <w:p w14:paraId="61D0EBA6">
            <w:pPr>
              <w:pStyle w:val="20"/>
              <w:jc w:val="left"/>
              <w:rPr>
                <w:rFonts w:hint="eastAsia" w:ascii="仿宋" w:hAnsi="仿宋" w:eastAsia="仿宋" w:cs="仿宋"/>
                <w:highlight w:val="none"/>
              </w:rPr>
            </w:pPr>
            <w:r>
              <w:rPr>
                <w:rFonts w:hint="eastAsia" w:ascii="仿宋" w:hAnsi="仿宋" w:eastAsia="仿宋" w:cs="仿宋"/>
                <w:highlight w:val="none"/>
              </w:rPr>
              <w:t>合同金额：</w:t>
            </w:r>
          </w:p>
        </w:tc>
      </w:tr>
      <w:tr w14:paraId="5AEC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38" w:type="dxa"/>
            <w:vAlign w:val="center"/>
          </w:tcPr>
          <w:p w14:paraId="0C6E2199">
            <w:pPr>
              <w:pStyle w:val="20"/>
              <w:jc w:val="center"/>
              <w:rPr>
                <w:rFonts w:hint="eastAsia" w:ascii="仿宋" w:hAnsi="仿宋" w:eastAsia="仿宋" w:cs="仿宋"/>
                <w:highlight w:val="none"/>
              </w:rPr>
            </w:pPr>
            <w:r>
              <w:rPr>
                <w:rFonts w:hint="eastAsia" w:ascii="仿宋" w:hAnsi="仿宋" w:eastAsia="仿宋" w:cs="仿宋"/>
                <w:highlight w:val="none"/>
              </w:rPr>
              <w:t>5</w:t>
            </w:r>
          </w:p>
        </w:tc>
        <w:tc>
          <w:tcPr>
            <w:tcW w:w="7578" w:type="dxa"/>
            <w:vAlign w:val="center"/>
          </w:tcPr>
          <w:p w14:paraId="31E4D4E3">
            <w:pPr>
              <w:pStyle w:val="20"/>
              <w:jc w:val="left"/>
              <w:rPr>
                <w:rFonts w:hint="eastAsia" w:ascii="仿宋" w:hAnsi="仿宋" w:eastAsia="仿宋" w:cs="仿宋"/>
                <w:highlight w:val="none"/>
              </w:rPr>
            </w:pPr>
            <w:r>
              <w:rPr>
                <w:rFonts w:hint="eastAsia" w:ascii="仿宋" w:hAnsi="仿宋" w:eastAsia="仿宋" w:cs="仿宋"/>
                <w:highlight w:val="none"/>
              </w:rPr>
              <w:t>合同履行期限：</w:t>
            </w:r>
          </w:p>
        </w:tc>
      </w:tr>
      <w:tr w14:paraId="5DD0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038" w:type="dxa"/>
            <w:vAlign w:val="center"/>
          </w:tcPr>
          <w:p w14:paraId="00F4DC38">
            <w:pPr>
              <w:pStyle w:val="20"/>
              <w:jc w:val="center"/>
              <w:rPr>
                <w:rFonts w:hint="eastAsia" w:ascii="仿宋" w:hAnsi="仿宋" w:eastAsia="仿宋" w:cs="仿宋"/>
                <w:highlight w:val="none"/>
              </w:rPr>
            </w:pPr>
            <w:r>
              <w:rPr>
                <w:rFonts w:hint="eastAsia" w:ascii="仿宋" w:hAnsi="仿宋" w:eastAsia="仿宋" w:cs="仿宋"/>
                <w:highlight w:val="none"/>
              </w:rPr>
              <w:t>6</w:t>
            </w:r>
          </w:p>
        </w:tc>
        <w:tc>
          <w:tcPr>
            <w:tcW w:w="7578" w:type="dxa"/>
            <w:vAlign w:val="center"/>
          </w:tcPr>
          <w:p w14:paraId="662693C0">
            <w:pPr>
              <w:pStyle w:val="20"/>
              <w:jc w:val="left"/>
              <w:rPr>
                <w:rFonts w:hint="eastAsia" w:ascii="仿宋" w:hAnsi="仿宋" w:eastAsia="仿宋" w:cs="仿宋"/>
                <w:highlight w:val="none"/>
              </w:rPr>
            </w:pPr>
            <w:r>
              <w:rPr>
                <w:rFonts w:hint="eastAsia" w:ascii="仿宋" w:hAnsi="仿宋" w:eastAsia="仿宋" w:cs="仿宋"/>
                <w:highlight w:val="none"/>
              </w:rPr>
              <w:t>服务履行期：</w:t>
            </w:r>
          </w:p>
        </w:tc>
      </w:tr>
      <w:tr w14:paraId="57F2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038" w:type="dxa"/>
            <w:vAlign w:val="center"/>
          </w:tcPr>
          <w:p w14:paraId="725B1567">
            <w:pPr>
              <w:pStyle w:val="20"/>
              <w:jc w:val="center"/>
              <w:rPr>
                <w:rFonts w:hint="eastAsia" w:ascii="仿宋" w:hAnsi="仿宋" w:eastAsia="仿宋" w:cs="仿宋"/>
                <w:highlight w:val="none"/>
              </w:rPr>
            </w:pPr>
            <w:r>
              <w:rPr>
                <w:rFonts w:hint="eastAsia" w:ascii="仿宋" w:hAnsi="仿宋" w:eastAsia="仿宋" w:cs="仿宋"/>
                <w:highlight w:val="none"/>
              </w:rPr>
              <w:t>7</w:t>
            </w:r>
          </w:p>
        </w:tc>
        <w:tc>
          <w:tcPr>
            <w:tcW w:w="7578" w:type="dxa"/>
            <w:vAlign w:val="center"/>
          </w:tcPr>
          <w:p w14:paraId="3DBCC337">
            <w:pPr>
              <w:pStyle w:val="20"/>
              <w:jc w:val="left"/>
              <w:rPr>
                <w:rFonts w:hint="eastAsia" w:ascii="仿宋" w:hAnsi="仿宋" w:eastAsia="仿宋" w:cs="仿宋"/>
                <w:highlight w:val="none"/>
              </w:rPr>
            </w:pPr>
            <w:r>
              <w:rPr>
                <w:rFonts w:hint="eastAsia" w:ascii="仿宋" w:hAnsi="仿宋" w:eastAsia="仿宋" w:cs="仿宋"/>
                <w:highlight w:val="none"/>
              </w:rPr>
              <w:t>验收方式及标准：</w:t>
            </w:r>
          </w:p>
        </w:tc>
      </w:tr>
      <w:tr w14:paraId="6D4C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1038" w:type="dxa"/>
            <w:vAlign w:val="center"/>
          </w:tcPr>
          <w:p w14:paraId="15678385">
            <w:pPr>
              <w:pStyle w:val="20"/>
              <w:jc w:val="center"/>
              <w:rPr>
                <w:rFonts w:hint="eastAsia" w:ascii="仿宋" w:hAnsi="仿宋" w:eastAsia="仿宋" w:cs="仿宋"/>
                <w:highlight w:val="none"/>
              </w:rPr>
            </w:pPr>
            <w:r>
              <w:rPr>
                <w:rFonts w:hint="eastAsia" w:ascii="仿宋" w:hAnsi="仿宋" w:eastAsia="仿宋" w:cs="仿宋"/>
                <w:highlight w:val="none"/>
              </w:rPr>
              <w:t>8</w:t>
            </w:r>
          </w:p>
        </w:tc>
        <w:tc>
          <w:tcPr>
            <w:tcW w:w="7578" w:type="dxa"/>
            <w:vAlign w:val="center"/>
          </w:tcPr>
          <w:p w14:paraId="5DE4FCAD">
            <w:pPr>
              <w:pStyle w:val="20"/>
              <w:spacing w:line="276" w:lineRule="auto"/>
              <w:jc w:val="left"/>
              <w:rPr>
                <w:rFonts w:hint="eastAsia" w:ascii="仿宋" w:hAnsi="仿宋" w:eastAsia="仿宋" w:cs="仿宋"/>
                <w:highlight w:val="none"/>
              </w:rPr>
            </w:pPr>
            <w:r>
              <w:rPr>
                <w:rFonts w:hint="eastAsia" w:ascii="仿宋" w:hAnsi="仿宋" w:eastAsia="仿宋" w:cs="仿宋"/>
                <w:highlight w:val="none"/>
              </w:rPr>
              <w:t>付款方式：</w:t>
            </w:r>
          </w:p>
          <w:p w14:paraId="0A73AA28">
            <w:pPr>
              <w:pStyle w:val="20"/>
              <w:spacing w:line="276" w:lineRule="auto"/>
              <w:jc w:val="left"/>
              <w:rPr>
                <w:rFonts w:hint="eastAsia" w:ascii="仿宋" w:hAnsi="仿宋" w:eastAsia="仿宋" w:cs="仿宋"/>
                <w:highlight w:val="none"/>
              </w:rPr>
            </w:pPr>
            <w:r>
              <w:rPr>
                <w:rFonts w:hint="eastAsia" w:ascii="仿宋" w:hAnsi="仿宋" w:eastAsia="仿宋" w:cs="仿宋"/>
                <w:highlight w:val="none"/>
              </w:rPr>
              <w:t>1.本合同以人民币付款。</w:t>
            </w:r>
          </w:p>
          <w:p w14:paraId="350595BA">
            <w:pPr>
              <w:pStyle w:val="20"/>
              <w:spacing w:line="276" w:lineRule="auto"/>
              <w:jc w:val="left"/>
              <w:rPr>
                <w:rFonts w:hint="eastAsia" w:ascii="仿宋" w:hAnsi="仿宋" w:eastAsia="仿宋" w:cs="仿宋"/>
                <w:highlight w:val="none"/>
              </w:rPr>
            </w:pPr>
            <w:r>
              <w:rPr>
                <w:rFonts w:hint="eastAsia" w:ascii="仿宋" w:hAnsi="仿宋" w:eastAsia="仿宋" w:cs="仿宋"/>
                <w:highlight w:val="none"/>
              </w:rPr>
              <w:t>2.付款计划安排：</w:t>
            </w:r>
          </w:p>
        </w:tc>
      </w:tr>
      <w:tr w14:paraId="1C11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038" w:type="dxa"/>
            <w:vAlign w:val="center"/>
          </w:tcPr>
          <w:p w14:paraId="3FF67AA0">
            <w:pPr>
              <w:pStyle w:val="20"/>
              <w:jc w:val="center"/>
              <w:rPr>
                <w:rFonts w:hint="eastAsia" w:ascii="仿宋" w:hAnsi="仿宋" w:eastAsia="仿宋" w:cs="仿宋"/>
                <w:highlight w:val="none"/>
              </w:rPr>
            </w:pPr>
            <w:r>
              <w:rPr>
                <w:rFonts w:hint="eastAsia" w:ascii="仿宋" w:hAnsi="仿宋" w:eastAsia="仿宋" w:cs="仿宋"/>
                <w:highlight w:val="none"/>
              </w:rPr>
              <w:t>9</w:t>
            </w:r>
          </w:p>
        </w:tc>
        <w:tc>
          <w:tcPr>
            <w:tcW w:w="7578" w:type="dxa"/>
            <w:vAlign w:val="center"/>
          </w:tcPr>
          <w:p w14:paraId="29458298">
            <w:pPr>
              <w:pStyle w:val="20"/>
              <w:jc w:val="left"/>
              <w:rPr>
                <w:rFonts w:hint="eastAsia" w:ascii="仿宋" w:hAnsi="仿宋" w:eastAsia="仿宋" w:cs="仿宋"/>
                <w:highlight w:val="none"/>
              </w:rPr>
            </w:pPr>
            <w:r>
              <w:rPr>
                <w:rFonts w:hint="eastAsia" w:ascii="仿宋" w:hAnsi="仿宋" w:eastAsia="仿宋" w:cs="仿宋"/>
                <w:highlight w:val="none"/>
              </w:rPr>
              <w:t>履约保证金及其返还：</w:t>
            </w:r>
          </w:p>
        </w:tc>
      </w:tr>
    </w:tbl>
    <w:p w14:paraId="725A0AEA">
      <w:pPr>
        <w:spacing w:line="400" w:lineRule="exact"/>
        <w:jc w:val="center"/>
        <w:rPr>
          <w:rFonts w:hint="eastAsia" w:ascii="仿宋" w:hAnsi="仿宋" w:eastAsia="仿宋" w:cs="仿宋"/>
          <w:b/>
          <w:sz w:val="24"/>
          <w:szCs w:val="24"/>
          <w:highlight w:val="none"/>
        </w:rPr>
      </w:pPr>
      <w:bookmarkStart w:id="293" w:name="第五部分第一章"/>
      <w:r>
        <w:rPr>
          <w:rFonts w:hint="eastAsia" w:ascii="仿宋" w:hAnsi="仿宋" w:eastAsia="仿宋" w:cs="仿宋"/>
          <w:b/>
          <w:sz w:val="24"/>
          <w:szCs w:val="24"/>
          <w:highlight w:val="none"/>
        </w:rPr>
        <w:t>（仅供参考，具体以实际签订的内容为准）</w:t>
      </w:r>
      <w:bookmarkEnd w:id="293"/>
    </w:p>
    <w:p w14:paraId="51F62649">
      <w:pPr>
        <w:pStyle w:val="15"/>
        <w:rPr>
          <w:rFonts w:hint="eastAsia" w:ascii="仿宋" w:hAnsi="仿宋" w:eastAsia="仿宋" w:cs="仿宋"/>
          <w:highlight w:val="none"/>
          <w:shd w:val="clear" w:color="auto" w:fill="FFFFFF" w:themeFill="background1"/>
        </w:rPr>
      </w:pPr>
    </w:p>
    <w:p w14:paraId="486995C4">
      <w:pPr>
        <w:widowControl/>
        <w:jc w:val="left"/>
        <w:rPr>
          <w:rFonts w:hint="eastAsia" w:ascii="仿宋" w:hAnsi="仿宋" w:eastAsia="仿宋" w:cs="仿宋"/>
          <w:b/>
          <w:sz w:val="24"/>
          <w:szCs w:val="24"/>
          <w:highlight w:val="none"/>
          <w:shd w:val="clear" w:color="auto" w:fill="FFFFFF" w:themeFill="background1"/>
        </w:rPr>
      </w:pPr>
      <w:r>
        <w:rPr>
          <w:rFonts w:hint="eastAsia" w:ascii="仿宋" w:hAnsi="仿宋" w:eastAsia="仿宋" w:cs="仿宋"/>
          <w:b/>
          <w:sz w:val="24"/>
          <w:szCs w:val="24"/>
          <w:highlight w:val="none"/>
          <w:shd w:val="clear" w:color="auto" w:fill="FFFFFF" w:themeFill="background1"/>
        </w:rPr>
        <w:br w:type="page"/>
      </w:r>
    </w:p>
    <w:p w14:paraId="4A1EC96B">
      <w:pPr>
        <w:pStyle w:val="15"/>
        <w:jc w:val="center"/>
        <w:outlineLvl w:val="0"/>
        <w:rPr>
          <w:rFonts w:hint="eastAsia" w:ascii="仿宋" w:hAnsi="仿宋" w:eastAsia="仿宋" w:cs="仿宋"/>
          <w:b w:val="0"/>
          <w:bCs/>
          <w:sz w:val="24"/>
          <w:szCs w:val="24"/>
          <w:highlight w:val="none"/>
        </w:rPr>
      </w:pPr>
      <w:bookmarkStart w:id="294" w:name="_Toc27487"/>
      <w:r>
        <w:rPr>
          <w:rFonts w:hint="eastAsia" w:ascii="仿宋" w:hAnsi="仿宋" w:eastAsia="仿宋" w:cs="仿宋"/>
          <w:b/>
          <w:szCs w:val="24"/>
          <w:highlight w:val="none"/>
        </w:rPr>
        <w:t>第四章 服务标准和要求</w:t>
      </w:r>
      <w:bookmarkEnd w:id="294"/>
      <w:bookmarkStart w:id="295" w:name="_Toc138639090"/>
      <w:bookmarkEnd w:id="295"/>
      <w:bookmarkStart w:id="296" w:name="_Toc138638718"/>
      <w:bookmarkEnd w:id="296"/>
      <w:bookmarkStart w:id="297" w:name="_Toc138638538"/>
      <w:bookmarkEnd w:id="297"/>
      <w:bookmarkStart w:id="298" w:name="_Toc138639074"/>
      <w:bookmarkEnd w:id="298"/>
      <w:bookmarkStart w:id="299" w:name="_Toc138638883"/>
      <w:bookmarkEnd w:id="299"/>
      <w:bookmarkStart w:id="300" w:name="_Toc138638535"/>
      <w:bookmarkEnd w:id="300"/>
      <w:bookmarkStart w:id="301" w:name="_Toc138638719"/>
      <w:bookmarkEnd w:id="301"/>
      <w:bookmarkStart w:id="302" w:name="_Toc138638534"/>
      <w:bookmarkEnd w:id="302"/>
      <w:bookmarkStart w:id="303" w:name="_Toc138638510"/>
      <w:bookmarkEnd w:id="303"/>
      <w:bookmarkStart w:id="304" w:name="_Toc138638509"/>
      <w:bookmarkEnd w:id="304"/>
      <w:bookmarkStart w:id="305" w:name="_Toc138638906"/>
      <w:bookmarkEnd w:id="305"/>
      <w:bookmarkStart w:id="306" w:name="_合同文件的组成及解释顺序"/>
      <w:bookmarkEnd w:id="306"/>
      <w:bookmarkStart w:id="307" w:name="_Toc138639091"/>
      <w:bookmarkEnd w:id="307"/>
      <w:bookmarkStart w:id="308" w:name="_Toc138638702"/>
      <w:bookmarkEnd w:id="308"/>
      <w:bookmarkStart w:id="309" w:name="_Toc138638773"/>
      <w:bookmarkEnd w:id="309"/>
      <w:bookmarkStart w:id="310" w:name="_Toc138638884"/>
      <w:bookmarkEnd w:id="310"/>
      <w:bookmarkStart w:id="311" w:name="_Toc138638910"/>
      <w:bookmarkEnd w:id="311"/>
      <w:bookmarkStart w:id="312" w:name="_Toc138638907"/>
      <w:bookmarkEnd w:id="312"/>
      <w:bookmarkStart w:id="313" w:name="_Toc138639145"/>
      <w:bookmarkEnd w:id="313"/>
      <w:bookmarkStart w:id="314" w:name="_Toc531016893"/>
    </w:p>
    <w:p w14:paraId="7144BDA0">
      <w:pPr>
        <w:pageBreakBefore w:val="0"/>
        <w:wordWrap/>
        <w:bidi w:val="0"/>
        <w:spacing w:line="440" w:lineRule="exact"/>
        <w:jc w:val="center"/>
        <w:outlineLvl w:val="9"/>
        <w:rPr>
          <w:rFonts w:ascii="仿宋" w:hAnsi="仿宋" w:eastAsia="仿宋" w:cs="仿宋"/>
          <w:b/>
          <w:sz w:val="24"/>
          <w:szCs w:val="24"/>
        </w:rPr>
      </w:pPr>
      <w:bookmarkStart w:id="315" w:name="_Toc1807"/>
      <w:r>
        <w:rPr>
          <w:rFonts w:hint="eastAsia" w:ascii="仿宋" w:hAnsi="仿宋" w:eastAsia="仿宋" w:cs="仿宋"/>
          <w:b/>
          <w:sz w:val="24"/>
          <w:szCs w:val="24"/>
        </w:rPr>
        <w:t>★单项目限价</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497"/>
        <w:gridCol w:w="1899"/>
      </w:tblGrid>
      <w:tr w14:paraId="5FC8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9" w:type="pct"/>
            <w:shd w:val="clear" w:color="auto" w:fill="auto"/>
            <w:vAlign w:val="center"/>
          </w:tcPr>
          <w:p w14:paraId="17CC4DC4">
            <w:pPr>
              <w:pageBreakBefore w:val="0"/>
              <w:widowControl/>
              <w:wordWrap/>
              <w:bidi w:val="0"/>
              <w:jc w:val="center"/>
              <w:textAlignment w:val="center"/>
              <w:outlineLvl w:val="9"/>
              <w:rPr>
                <w:rFonts w:ascii="仿宋" w:hAnsi="仿宋" w:eastAsia="仿宋" w:cs="仿宋"/>
                <w:b/>
                <w:bCs/>
                <w:sz w:val="24"/>
                <w:szCs w:val="24"/>
                <w:highlight w:val="none"/>
              </w:rPr>
            </w:pPr>
            <w:r>
              <w:rPr>
                <w:rFonts w:hint="eastAsia" w:ascii="仿宋" w:hAnsi="仿宋" w:eastAsia="仿宋" w:cs="仿宋"/>
                <w:b/>
                <w:bCs/>
                <w:kern w:val="0"/>
                <w:sz w:val="24"/>
                <w:szCs w:val="24"/>
                <w:highlight w:val="none"/>
                <w:lang w:bidi="ar"/>
              </w:rPr>
              <w:t>序号</w:t>
            </w:r>
          </w:p>
        </w:tc>
        <w:tc>
          <w:tcPr>
            <w:tcW w:w="3498" w:type="pct"/>
            <w:shd w:val="clear" w:color="auto" w:fill="auto"/>
            <w:noWrap/>
            <w:vAlign w:val="center"/>
          </w:tcPr>
          <w:p w14:paraId="1BA3AC52">
            <w:pPr>
              <w:pageBreakBefore w:val="0"/>
              <w:widowControl/>
              <w:wordWrap/>
              <w:bidi w:val="0"/>
              <w:jc w:val="center"/>
              <w:textAlignment w:val="center"/>
              <w:outlineLvl w:val="9"/>
              <w:rPr>
                <w:rFonts w:ascii="仿宋" w:hAnsi="仿宋" w:eastAsia="仿宋" w:cs="仿宋"/>
                <w:b/>
                <w:bCs/>
                <w:kern w:val="0"/>
                <w:sz w:val="24"/>
                <w:szCs w:val="24"/>
                <w:highlight w:val="none"/>
                <w:lang w:bidi="ar"/>
              </w:rPr>
            </w:pPr>
            <w:r>
              <w:rPr>
                <w:rFonts w:hint="eastAsia" w:ascii="仿宋" w:hAnsi="仿宋" w:eastAsia="仿宋" w:cs="仿宋"/>
                <w:b/>
                <w:bCs/>
                <w:kern w:val="0"/>
                <w:sz w:val="24"/>
                <w:szCs w:val="24"/>
                <w:highlight w:val="none"/>
                <w:lang w:bidi="ar"/>
              </w:rPr>
              <w:t>服务内容</w:t>
            </w:r>
          </w:p>
        </w:tc>
        <w:tc>
          <w:tcPr>
            <w:tcW w:w="1022" w:type="pct"/>
            <w:shd w:val="clear" w:color="auto" w:fill="auto"/>
            <w:noWrap/>
            <w:vAlign w:val="bottom"/>
          </w:tcPr>
          <w:p w14:paraId="0D2CE6E7">
            <w:pPr>
              <w:pageBreakBefore w:val="0"/>
              <w:widowControl/>
              <w:wordWrap/>
              <w:bidi w:val="0"/>
              <w:jc w:val="center"/>
              <w:textAlignment w:val="bottom"/>
              <w:outlineLvl w:val="9"/>
              <w:rPr>
                <w:rFonts w:ascii="仿宋" w:hAnsi="仿宋" w:eastAsia="仿宋" w:cs="仿宋"/>
                <w:b/>
                <w:bCs/>
                <w:sz w:val="24"/>
                <w:szCs w:val="24"/>
                <w:highlight w:val="none"/>
              </w:rPr>
            </w:pPr>
            <w:r>
              <w:rPr>
                <w:rFonts w:hint="eastAsia" w:ascii="仿宋" w:hAnsi="仿宋" w:eastAsia="仿宋" w:cs="仿宋"/>
                <w:b/>
                <w:bCs/>
                <w:sz w:val="24"/>
                <w:szCs w:val="24"/>
                <w:highlight w:val="none"/>
              </w:rPr>
              <w:t>单项目限价金额（万元）</w:t>
            </w:r>
          </w:p>
        </w:tc>
      </w:tr>
      <w:tr w14:paraId="788E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9" w:type="pct"/>
            <w:shd w:val="clear" w:color="auto" w:fill="auto"/>
            <w:vAlign w:val="center"/>
          </w:tcPr>
          <w:p w14:paraId="330429AD">
            <w:pPr>
              <w:pageBreakBefore w:val="0"/>
              <w:widowControl/>
              <w:wordWrap/>
              <w:bidi w:val="0"/>
              <w:jc w:val="center"/>
              <w:textAlignment w:val="center"/>
              <w:outlineLvl w:val="9"/>
              <w:rPr>
                <w:rFonts w:ascii="仿宋" w:hAnsi="仿宋" w:eastAsia="仿宋" w:cs="仿宋"/>
                <w:sz w:val="24"/>
                <w:szCs w:val="24"/>
                <w:highlight w:val="none"/>
              </w:rPr>
            </w:pPr>
            <w:r>
              <w:rPr>
                <w:rFonts w:hint="eastAsia" w:ascii="仿宋" w:hAnsi="仿宋" w:eastAsia="仿宋" w:cs="仿宋"/>
                <w:kern w:val="0"/>
                <w:sz w:val="24"/>
                <w:szCs w:val="24"/>
                <w:highlight w:val="none"/>
                <w:lang w:bidi="ar"/>
              </w:rPr>
              <w:t>1</w:t>
            </w:r>
          </w:p>
        </w:tc>
        <w:tc>
          <w:tcPr>
            <w:tcW w:w="3498" w:type="pct"/>
            <w:shd w:val="clear" w:color="auto" w:fill="auto"/>
            <w:noWrap/>
            <w:vAlign w:val="center"/>
          </w:tcPr>
          <w:p w14:paraId="6B8783A2">
            <w:pPr>
              <w:pageBreakBefore w:val="0"/>
              <w:widowControl/>
              <w:wordWrap/>
              <w:bidi w:val="0"/>
              <w:textAlignment w:val="center"/>
              <w:outlineLvl w:val="9"/>
              <w:rPr>
                <w:rFonts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新疆博乐市阿拉山口西钨锡矿普查</w:t>
            </w:r>
          </w:p>
        </w:tc>
        <w:tc>
          <w:tcPr>
            <w:tcW w:w="1022" w:type="pct"/>
            <w:shd w:val="clear" w:color="auto" w:fill="auto"/>
            <w:noWrap/>
            <w:vAlign w:val="center"/>
          </w:tcPr>
          <w:p w14:paraId="4F4EB8CE">
            <w:pPr>
              <w:pageBreakBefore w:val="0"/>
              <w:wordWrap/>
              <w:bidi w:val="0"/>
              <w:jc w:val="center"/>
              <w:outlineLvl w:val="9"/>
              <w:rPr>
                <w:rFonts w:ascii="仿宋" w:hAnsi="仿宋" w:eastAsia="仿宋" w:cs="仿宋"/>
                <w:sz w:val="24"/>
                <w:szCs w:val="24"/>
                <w:highlight w:val="none"/>
              </w:rPr>
            </w:pPr>
            <w:r>
              <w:rPr>
                <w:rFonts w:hint="eastAsia" w:ascii="仿宋" w:hAnsi="仿宋" w:eastAsia="仿宋" w:cs="仿宋"/>
                <w:kern w:val="0"/>
                <w:sz w:val="24"/>
                <w:szCs w:val="24"/>
                <w:highlight w:val="none"/>
                <w:lang w:bidi="ar"/>
              </w:rPr>
              <w:t>29.14</w:t>
            </w:r>
          </w:p>
        </w:tc>
      </w:tr>
      <w:tr w14:paraId="4A5E1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9" w:type="pct"/>
            <w:shd w:val="clear" w:color="auto" w:fill="auto"/>
            <w:vAlign w:val="center"/>
          </w:tcPr>
          <w:p w14:paraId="6301B581">
            <w:pPr>
              <w:pageBreakBefore w:val="0"/>
              <w:widowControl/>
              <w:wordWrap/>
              <w:bidi w:val="0"/>
              <w:jc w:val="center"/>
              <w:textAlignment w:val="center"/>
              <w:outlineLvl w:val="9"/>
              <w:rPr>
                <w:rFonts w:ascii="仿宋" w:hAnsi="仿宋" w:eastAsia="仿宋" w:cs="仿宋"/>
                <w:sz w:val="24"/>
                <w:szCs w:val="24"/>
                <w:highlight w:val="none"/>
              </w:rPr>
            </w:pPr>
            <w:r>
              <w:rPr>
                <w:rFonts w:hint="eastAsia" w:ascii="仿宋" w:hAnsi="仿宋" w:eastAsia="仿宋" w:cs="仿宋"/>
                <w:kern w:val="0"/>
                <w:sz w:val="24"/>
                <w:szCs w:val="24"/>
                <w:highlight w:val="none"/>
                <w:lang w:bidi="ar"/>
              </w:rPr>
              <w:t>2</w:t>
            </w:r>
          </w:p>
        </w:tc>
        <w:tc>
          <w:tcPr>
            <w:tcW w:w="3498" w:type="pct"/>
            <w:shd w:val="clear" w:color="auto" w:fill="auto"/>
            <w:noWrap/>
            <w:vAlign w:val="center"/>
          </w:tcPr>
          <w:p w14:paraId="29872EE8">
            <w:pPr>
              <w:pageBreakBefore w:val="0"/>
              <w:widowControl/>
              <w:wordWrap/>
              <w:bidi w:val="0"/>
              <w:textAlignment w:val="center"/>
              <w:outlineLvl w:val="9"/>
              <w:rPr>
                <w:rFonts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新疆和静县乌龙沟一带铜锌矿普查</w:t>
            </w:r>
          </w:p>
        </w:tc>
        <w:tc>
          <w:tcPr>
            <w:tcW w:w="1022" w:type="pct"/>
            <w:shd w:val="clear" w:color="auto" w:fill="auto"/>
            <w:noWrap/>
            <w:vAlign w:val="center"/>
          </w:tcPr>
          <w:p w14:paraId="74E81B7B">
            <w:pPr>
              <w:pageBreakBefore w:val="0"/>
              <w:wordWrap/>
              <w:bidi w:val="0"/>
              <w:jc w:val="center"/>
              <w:outlineLvl w:val="9"/>
              <w:rPr>
                <w:rFonts w:ascii="仿宋" w:hAnsi="仿宋" w:eastAsia="仿宋" w:cs="仿宋"/>
                <w:sz w:val="24"/>
                <w:szCs w:val="24"/>
                <w:highlight w:val="none"/>
              </w:rPr>
            </w:pPr>
            <w:r>
              <w:rPr>
                <w:rFonts w:hint="eastAsia" w:ascii="仿宋" w:hAnsi="仿宋" w:eastAsia="仿宋" w:cs="仿宋"/>
                <w:kern w:val="0"/>
                <w:sz w:val="24"/>
                <w:szCs w:val="24"/>
                <w:highlight w:val="none"/>
                <w:lang w:bidi="ar"/>
              </w:rPr>
              <w:t>70.46</w:t>
            </w:r>
          </w:p>
        </w:tc>
      </w:tr>
      <w:tr w14:paraId="2CDA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9" w:type="pct"/>
            <w:shd w:val="clear" w:color="auto" w:fill="auto"/>
            <w:vAlign w:val="center"/>
          </w:tcPr>
          <w:p w14:paraId="4CB60704">
            <w:pPr>
              <w:pageBreakBefore w:val="0"/>
              <w:widowControl/>
              <w:wordWrap/>
              <w:bidi w:val="0"/>
              <w:jc w:val="center"/>
              <w:textAlignment w:val="center"/>
              <w:outlineLvl w:val="9"/>
              <w:rPr>
                <w:rFonts w:ascii="仿宋" w:hAnsi="仿宋" w:eastAsia="仿宋" w:cs="仿宋"/>
                <w:sz w:val="24"/>
                <w:szCs w:val="24"/>
                <w:highlight w:val="none"/>
              </w:rPr>
            </w:pPr>
            <w:r>
              <w:rPr>
                <w:rFonts w:hint="eastAsia" w:ascii="仿宋" w:hAnsi="仿宋" w:eastAsia="仿宋" w:cs="仿宋"/>
                <w:kern w:val="0"/>
                <w:sz w:val="24"/>
                <w:szCs w:val="24"/>
                <w:highlight w:val="none"/>
                <w:lang w:bidi="ar"/>
              </w:rPr>
              <w:t>3</w:t>
            </w:r>
          </w:p>
        </w:tc>
        <w:tc>
          <w:tcPr>
            <w:tcW w:w="3498" w:type="pct"/>
            <w:shd w:val="clear" w:color="auto" w:fill="auto"/>
            <w:noWrap/>
            <w:vAlign w:val="center"/>
          </w:tcPr>
          <w:p w14:paraId="3AE4DF1A">
            <w:pPr>
              <w:pageBreakBefore w:val="0"/>
              <w:widowControl/>
              <w:wordWrap/>
              <w:bidi w:val="0"/>
              <w:jc w:val="left"/>
              <w:textAlignment w:val="center"/>
              <w:outlineLvl w:val="9"/>
              <w:rPr>
                <w:rFonts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新疆和静县-托克逊县乌拉苏-阿拉沟一带金铜多金属矿普查</w:t>
            </w:r>
          </w:p>
        </w:tc>
        <w:tc>
          <w:tcPr>
            <w:tcW w:w="1022" w:type="pct"/>
            <w:shd w:val="clear" w:color="auto" w:fill="auto"/>
            <w:noWrap/>
            <w:vAlign w:val="center"/>
          </w:tcPr>
          <w:p w14:paraId="2E20CF02">
            <w:pPr>
              <w:pageBreakBefore w:val="0"/>
              <w:widowControl/>
              <w:wordWrap/>
              <w:bidi w:val="0"/>
              <w:jc w:val="center"/>
              <w:textAlignment w:val="bottom"/>
              <w:outlineLvl w:val="9"/>
              <w:rPr>
                <w:rFonts w:ascii="仿宋" w:hAnsi="仿宋" w:eastAsia="仿宋" w:cs="仿宋"/>
                <w:sz w:val="24"/>
                <w:szCs w:val="24"/>
                <w:highlight w:val="none"/>
              </w:rPr>
            </w:pPr>
            <w:r>
              <w:rPr>
                <w:rFonts w:hint="eastAsia" w:ascii="仿宋" w:hAnsi="仿宋" w:eastAsia="仿宋" w:cs="仿宋"/>
                <w:kern w:val="0"/>
                <w:sz w:val="24"/>
                <w:szCs w:val="24"/>
                <w:highlight w:val="none"/>
                <w:lang w:bidi="ar"/>
              </w:rPr>
              <w:t>43.44</w:t>
            </w:r>
          </w:p>
        </w:tc>
      </w:tr>
      <w:tr w14:paraId="3187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9" w:type="pct"/>
            <w:shd w:val="clear" w:color="auto" w:fill="auto"/>
            <w:vAlign w:val="center"/>
          </w:tcPr>
          <w:p w14:paraId="209E0173">
            <w:pPr>
              <w:pageBreakBefore w:val="0"/>
              <w:widowControl/>
              <w:wordWrap/>
              <w:bidi w:val="0"/>
              <w:jc w:val="center"/>
              <w:textAlignment w:val="center"/>
              <w:outlineLvl w:val="9"/>
              <w:rPr>
                <w:rFonts w:ascii="仿宋" w:hAnsi="仿宋" w:eastAsia="仿宋" w:cs="仿宋"/>
                <w:sz w:val="24"/>
                <w:szCs w:val="24"/>
                <w:highlight w:val="none"/>
              </w:rPr>
            </w:pPr>
            <w:r>
              <w:rPr>
                <w:rFonts w:hint="eastAsia" w:ascii="仿宋" w:hAnsi="仿宋" w:eastAsia="仿宋" w:cs="仿宋"/>
                <w:kern w:val="0"/>
                <w:sz w:val="24"/>
                <w:szCs w:val="24"/>
                <w:highlight w:val="none"/>
                <w:lang w:bidi="ar"/>
              </w:rPr>
              <w:t>4</w:t>
            </w:r>
          </w:p>
        </w:tc>
        <w:tc>
          <w:tcPr>
            <w:tcW w:w="3498" w:type="pct"/>
            <w:shd w:val="clear" w:color="auto" w:fill="auto"/>
            <w:noWrap/>
            <w:vAlign w:val="center"/>
          </w:tcPr>
          <w:p w14:paraId="7429AE70">
            <w:pPr>
              <w:pageBreakBefore w:val="0"/>
              <w:widowControl/>
              <w:wordWrap/>
              <w:bidi w:val="0"/>
              <w:textAlignment w:val="center"/>
              <w:outlineLvl w:val="9"/>
              <w:rPr>
                <w:rFonts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新疆阿图什市喀拉别勒斯一带铜矿调查评价</w:t>
            </w:r>
          </w:p>
        </w:tc>
        <w:tc>
          <w:tcPr>
            <w:tcW w:w="1022" w:type="pct"/>
            <w:shd w:val="clear" w:color="auto" w:fill="auto"/>
            <w:noWrap/>
            <w:vAlign w:val="center"/>
          </w:tcPr>
          <w:p w14:paraId="52ED9630">
            <w:pPr>
              <w:pageBreakBefore w:val="0"/>
              <w:widowControl/>
              <w:wordWrap/>
              <w:bidi w:val="0"/>
              <w:jc w:val="center"/>
              <w:textAlignment w:val="bottom"/>
              <w:outlineLvl w:val="9"/>
              <w:rPr>
                <w:rFonts w:ascii="仿宋" w:hAnsi="仿宋" w:eastAsia="仿宋" w:cs="仿宋"/>
                <w:sz w:val="24"/>
                <w:szCs w:val="24"/>
                <w:highlight w:val="none"/>
              </w:rPr>
            </w:pPr>
            <w:r>
              <w:rPr>
                <w:rFonts w:hint="eastAsia" w:ascii="仿宋" w:hAnsi="仿宋" w:eastAsia="仿宋" w:cs="仿宋"/>
                <w:kern w:val="0"/>
                <w:sz w:val="24"/>
                <w:szCs w:val="24"/>
                <w:highlight w:val="none"/>
                <w:lang w:bidi="ar"/>
              </w:rPr>
              <w:t>29.39</w:t>
            </w:r>
          </w:p>
        </w:tc>
      </w:tr>
      <w:tr w14:paraId="50D4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9" w:type="pct"/>
            <w:shd w:val="clear" w:color="auto" w:fill="auto"/>
            <w:vAlign w:val="center"/>
          </w:tcPr>
          <w:p w14:paraId="1D1ECBE5">
            <w:pPr>
              <w:pageBreakBefore w:val="0"/>
              <w:widowControl/>
              <w:wordWrap/>
              <w:bidi w:val="0"/>
              <w:jc w:val="center"/>
              <w:textAlignment w:val="center"/>
              <w:outlineLvl w:val="9"/>
              <w:rPr>
                <w:rFonts w:ascii="仿宋" w:hAnsi="仿宋" w:eastAsia="仿宋" w:cs="仿宋"/>
                <w:sz w:val="24"/>
                <w:szCs w:val="24"/>
                <w:highlight w:val="none"/>
              </w:rPr>
            </w:pPr>
            <w:r>
              <w:rPr>
                <w:rFonts w:hint="eastAsia" w:ascii="仿宋" w:hAnsi="仿宋" w:eastAsia="仿宋" w:cs="仿宋"/>
                <w:kern w:val="0"/>
                <w:sz w:val="24"/>
                <w:szCs w:val="24"/>
                <w:highlight w:val="none"/>
                <w:lang w:bidi="ar"/>
              </w:rPr>
              <w:t>5</w:t>
            </w:r>
          </w:p>
        </w:tc>
        <w:tc>
          <w:tcPr>
            <w:tcW w:w="3498" w:type="pct"/>
            <w:shd w:val="clear" w:color="auto" w:fill="auto"/>
            <w:noWrap/>
            <w:vAlign w:val="center"/>
          </w:tcPr>
          <w:p w14:paraId="4415B494">
            <w:pPr>
              <w:pageBreakBefore w:val="0"/>
              <w:widowControl/>
              <w:wordWrap/>
              <w:bidi w:val="0"/>
              <w:textAlignment w:val="center"/>
              <w:outlineLvl w:val="9"/>
              <w:rPr>
                <w:rFonts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新疆鄯善县乔尕山-花梁子一带金多金属矿调查评价</w:t>
            </w:r>
          </w:p>
        </w:tc>
        <w:tc>
          <w:tcPr>
            <w:tcW w:w="1022" w:type="pct"/>
            <w:shd w:val="clear" w:color="auto" w:fill="auto"/>
            <w:noWrap/>
            <w:vAlign w:val="center"/>
          </w:tcPr>
          <w:p w14:paraId="4BD098AF">
            <w:pPr>
              <w:pageBreakBefore w:val="0"/>
              <w:widowControl/>
              <w:wordWrap/>
              <w:bidi w:val="0"/>
              <w:jc w:val="center"/>
              <w:textAlignment w:val="bottom"/>
              <w:outlineLvl w:val="9"/>
              <w:rPr>
                <w:rFonts w:ascii="仿宋" w:hAnsi="仿宋" w:eastAsia="仿宋" w:cs="仿宋"/>
                <w:sz w:val="24"/>
                <w:szCs w:val="24"/>
                <w:highlight w:val="none"/>
              </w:rPr>
            </w:pPr>
            <w:r>
              <w:rPr>
                <w:rFonts w:hint="eastAsia" w:ascii="仿宋" w:hAnsi="仿宋" w:eastAsia="仿宋" w:cs="仿宋"/>
                <w:kern w:val="0"/>
                <w:sz w:val="24"/>
                <w:szCs w:val="24"/>
                <w:highlight w:val="none"/>
                <w:lang w:bidi="ar"/>
              </w:rPr>
              <w:t>56.88</w:t>
            </w:r>
          </w:p>
        </w:tc>
      </w:tr>
      <w:tr w14:paraId="39B00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9" w:type="pct"/>
            <w:shd w:val="clear" w:color="auto" w:fill="auto"/>
            <w:vAlign w:val="center"/>
          </w:tcPr>
          <w:p w14:paraId="4D4D40C0">
            <w:pPr>
              <w:pageBreakBefore w:val="0"/>
              <w:widowControl/>
              <w:wordWrap/>
              <w:bidi w:val="0"/>
              <w:jc w:val="center"/>
              <w:textAlignment w:val="center"/>
              <w:outlineLvl w:val="9"/>
              <w:rPr>
                <w:rFonts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6</w:t>
            </w:r>
          </w:p>
        </w:tc>
        <w:tc>
          <w:tcPr>
            <w:tcW w:w="3498" w:type="pct"/>
            <w:shd w:val="clear" w:color="auto" w:fill="auto"/>
            <w:noWrap/>
            <w:vAlign w:val="center"/>
          </w:tcPr>
          <w:p w14:paraId="54118733">
            <w:pPr>
              <w:pageBreakBefore w:val="0"/>
              <w:widowControl/>
              <w:wordWrap/>
              <w:bidi w:val="0"/>
              <w:textAlignment w:val="center"/>
              <w:outlineLvl w:val="9"/>
              <w:rPr>
                <w:rFonts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新疆鄯善县康北铜镍矿普查</w:t>
            </w:r>
          </w:p>
        </w:tc>
        <w:tc>
          <w:tcPr>
            <w:tcW w:w="1022" w:type="pct"/>
            <w:shd w:val="clear" w:color="auto" w:fill="auto"/>
            <w:noWrap/>
            <w:vAlign w:val="center"/>
          </w:tcPr>
          <w:p w14:paraId="27BA890C">
            <w:pPr>
              <w:pageBreakBefore w:val="0"/>
              <w:widowControl/>
              <w:wordWrap/>
              <w:bidi w:val="0"/>
              <w:jc w:val="center"/>
              <w:textAlignment w:val="bottom"/>
              <w:outlineLvl w:val="9"/>
              <w:rPr>
                <w:rFonts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39.18</w:t>
            </w:r>
          </w:p>
        </w:tc>
      </w:tr>
      <w:tr w14:paraId="3C79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9" w:type="pct"/>
            <w:shd w:val="clear" w:color="auto" w:fill="auto"/>
            <w:vAlign w:val="center"/>
          </w:tcPr>
          <w:p w14:paraId="59892176">
            <w:pPr>
              <w:pageBreakBefore w:val="0"/>
              <w:widowControl/>
              <w:wordWrap/>
              <w:bidi w:val="0"/>
              <w:jc w:val="center"/>
              <w:textAlignment w:val="center"/>
              <w:outlineLvl w:val="9"/>
              <w:rPr>
                <w:rFonts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7</w:t>
            </w:r>
          </w:p>
        </w:tc>
        <w:tc>
          <w:tcPr>
            <w:tcW w:w="3498" w:type="pct"/>
            <w:shd w:val="clear" w:color="auto" w:fill="auto"/>
            <w:noWrap/>
            <w:vAlign w:val="center"/>
          </w:tcPr>
          <w:p w14:paraId="3C8B9000">
            <w:pPr>
              <w:pageBreakBefore w:val="0"/>
              <w:widowControl/>
              <w:wordWrap/>
              <w:bidi w:val="0"/>
              <w:textAlignment w:val="center"/>
              <w:outlineLvl w:val="9"/>
              <w:rPr>
                <w:rFonts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新疆吐鲁番市高昌区黑云山铜多金属矿调查评价</w:t>
            </w:r>
          </w:p>
        </w:tc>
        <w:tc>
          <w:tcPr>
            <w:tcW w:w="1022" w:type="pct"/>
            <w:shd w:val="clear" w:color="auto" w:fill="auto"/>
            <w:noWrap/>
            <w:vAlign w:val="center"/>
          </w:tcPr>
          <w:p w14:paraId="4B9E04B6">
            <w:pPr>
              <w:pageBreakBefore w:val="0"/>
              <w:widowControl/>
              <w:wordWrap/>
              <w:bidi w:val="0"/>
              <w:jc w:val="center"/>
              <w:textAlignment w:val="bottom"/>
              <w:outlineLvl w:val="9"/>
              <w:rPr>
                <w:rFonts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25.04</w:t>
            </w:r>
          </w:p>
        </w:tc>
      </w:tr>
      <w:tr w14:paraId="022C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9" w:type="pct"/>
            <w:shd w:val="clear" w:color="auto" w:fill="auto"/>
            <w:vAlign w:val="center"/>
          </w:tcPr>
          <w:p w14:paraId="146934BB">
            <w:pPr>
              <w:pageBreakBefore w:val="0"/>
              <w:widowControl/>
              <w:wordWrap/>
              <w:bidi w:val="0"/>
              <w:jc w:val="center"/>
              <w:textAlignment w:val="center"/>
              <w:outlineLvl w:val="9"/>
              <w:rPr>
                <w:rFonts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8</w:t>
            </w:r>
          </w:p>
        </w:tc>
        <w:tc>
          <w:tcPr>
            <w:tcW w:w="3498" w:type="pct"/>
            <w:shd w:val="clear" w:color="auto" w:fill="auto"/>
            <w:noWrap/>
            <w:vAlign w:val="center"/>
          </w:tcPr>
          <w:p w14:paraId="3E4297B0">
            <w:pPr>
              <w:pageBreakBefore w:val="0"/>
              <w:widowControl/>
              <w:wordWrap/>
              <w:bidi w:val="0"/>
              <w:textAlignment w:val="center"/>
              <w:outlineLvl w:val="9"/>
              <w:rPr>
                <w:rFonts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新疆哈巴河县塔勒德铜矿外围铜多金属矿普查</w:t>
            </w:r>
          </w:p>
        </w:tc>
        <w:tc>
          <w:tcPr>
            <w:tcW w:w="1022" w:type="pct"/>
            <w:shd w:val="clear" w:color="auto" w:fill="auto"/>
            <w:noWrap/>
            <w:vAlign w:val="center"/>
          </w:tcPr>
          <w:p w14:paraId="60712DBC">
            <w:pPr>
              <w:pageBreakBefore w:val="0"/>
              <w:widowControl/>
              <w:wordWrap/>
              <w:bidi w:val="0"/>
              <w:jc w:val="center"/>
              <w:textAlignment w:val="bottom"/>
              <w:outlineLvl w:val="9"/>
              <w:rPr>
                <w:rFonts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48.07</w:t>
            </w:r>
          </w:p>
        </w:tc>
      </w:tr>
      <w:tr w14:paraId="7722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9" w:type="pct"/>
            <w:shd w:val="clear" w:color="auto" w:fill="auto"/>
            <w:vAlign w:val="center"/>
          </w:tcPr>
          <w:p w14:paraId="4C3DF087">
            <w:pPr>
              <w:pageBreakBefore w:val="0"/>
              <w:widowControl/>
              <w:wordWrap/>
              <w:bidi w:val="0"/>
              <w:jc w:val="center"/>
              <w:textAlignment w:val="center"/>
              <w:outlineLvl w:val="9"/>
              <w:rPr>
                <w:rFonts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9</w:t>
            </w:r>
          </w:p>
        </w:tc>
        <w:tc>
          <w:tcPr>
            <w:tcW w:w="3498" w:type="pct"/>
            <w:shd w:val="clear" w:color="auto" w:fill="auto"/>
            <w:noWrap/>
            <w:vAlign w:val="center"/>
          </w:tcPr>
          <w:p w14:paraId="24FD847F">
            <w:pPr>
              <w:pageBreakBefore w:val="0"/>
              <w:widowControl/>
              <w:wordWrap/>
              <w:bidi w:val="0"/>
              <w:textAlignment w:val="center"/>
              <w:outlineLvl w:val="9"/>
              <w:rPr>
                <w:rFonts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新疆青河县乔夏巴斯陶一带铬铁矿普查</w:t>
            </w:r>
          </w:p>
        </w:tc>
        <w:tc>
          <w:tcPr>
            <w:tcW w:w="1022" w:type="pct"/>
            <w:shd w:val="clear" w:color="auto" w:fill="auto"/>
            <w:noWrap/>
            <w:vAlign w:val="center"/>
          </w:tcPr>
          <w:p w14:paraId="1D9A7004">
            <w:pPr>
              <w:pageBreakBefore w:val="0"/>
              <w:widowControl/>
              <w:wordWrap/>
              <w:bidi w:val="0"/>
              <w:jc w:val="center"/>
              <w:textAlignment w:val="bottom"/>
              <w:outlineLvl w:val="9"/>
              <w:rPr>
                <w:rFonts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19.6</w:t>
            </w:r>
          </w:p>
        </w:tc>
      </w:tr>
      <w:tr w14:paraId="2B63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9" w:type="pct"/>
            <w:shd w:val="clear" w:color="auto" w:fill="auto"/>
            <w:vAlign w:val="center"/>
          </w:tcPr>
          <w:p w14:paraId="4348DF09">
            <w:pPr>
              <w:pageBreakBefore w:val="0"/>
              <w:widowControl/>
              <w:wordWrap/>
              <w:bidi w:val="0"/>
              <w:jc w:val="center"/>
              <w:textAlignment w:val="center"/>
              <w:outlineLvl w:val="9"/>
              <w:rPr>
                <w:rFonts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10</w:t>
            </w:r>
          </w:p>
        </w:tc>
        <w:tc>
          <w:tcPr>
            <w:tcW w:w="3498" w:type="pct"/>
            <w:shd w:val="clear" w:color="auto" w:fill="auto"/>
            <w:noWrap/>
            <w:vAlign w:val="center"/>
          </w:tcPr>
          <w:p w14:paraId="2506231B">
            <w:pPr>
              <w:pageBreakBefore w:val="0"/>
              <w:widowControl/>
              <w:wordWrap/>
              <w:bidi w:val="0"/>
              <w:textAlignment w:val="center"/>
              <w:outlineLvl w:val="9"/>
              <w:rPr>
                <w:rFonts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新疆青河县喀拉干德一带金铜矿普查</w:t>
            </w:r>
          </w:p>
        </w:tc>
        <w:tc>
          <w:tcPr>
            <w:tcW w:w="1022" w:type="pct"/>
            <w:shd w:val="clear" w:color="auto" w:fill="auto"/>
            <w:noWrap/>
            <w:vAlign w:val="center"/>
          </w:tcPr>
          <w:p w14:paraId="7131BC7B">
            <w:pPr>
              <w:pageBreakBefore w:val="0"/>
              <w:widowControl/>
              <w:wordWrap/>
              <w:bidi w:val="0"/>
              <w:jc w:val="center"/>
              <w:textAlignment w:val="bottom"/>
              <w:outlineLvl w:val="9"/>
              <w:rPr>
                <w:rFonts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37.65</w:t>
            </w:r>
          </w:p>
        </w:tc>
      </w:tr>
      <w:tr w14:paraId="515D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9" w:type="pct"/>
            <w:shd w:val="clear" w:color="auto" w:fill="auto"/>
            <w:vAlign w:val="center"/>
          </w:tcPr>
          <w:p w14:paraId="0AA6EF48">
            <w:pPr>
              <w:pageBreakBefore w:val="0"/>
              <w:widowControl/>
              <w:wordWrap/>
              <w:bidi w:val="0"/>
              <w:jc w:val="center"/>
              <w:textAlignment w:val="center"/>
              <w:outlineLvl w:val="9"/>
              <w:rPr>
                <w:rFonts w:hint="default"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11</w:t>
            </w:r>
          </w:p>
        </w:tc>
        <w:tc>
          <w:tcPr>
            <w:tcW w:w="3498" w:type="pct"/>
            <w:shd w:val="clear" w:color="auto" w:fill="auto"/>
            <w:noWrap/>
            <w:vAlign w:val="center"/>
          </w:tcPr>
          <w:p w14:paraId="6DF853FA">
            <w:pPr>
              <w:pageBreakBefore w:val="0"/>
              <w:widowControl/>
              <w:wordWrap/>
              <w:bidi w:val="0"/>
              <w:textAlignment w:val="center"/>
              <w:outlineLvl w:val="9"/>
              <w:rPr>
                <w:rFonts w:hint="eastAsia"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新疆哈巴河县塔勒德金矿普查</w:t>
            </w:r>
          </w:p>
        </w:tc>
        <w:tc>
          <w:tcPr>
            <w:tcW w:w="1022" w:type="pct"/>
            <w:shd w:val="clear" w:color="auto" w:fill="auto"/>
            <w:noWrap/>
            <w:vAlign w:val="center"/>
          </w:tcPr>
          <w:p w14:paraId="0ADBE351">
            <w:pPr>
              <w:pageBreakBefore w:val="0"/>
              <w:widowControl/>
              <w:wordWrap/>
              <w:bidi w:val="0"/>
              <w:jc w:val="center"/>
              <w:textAlignment w:val="bottom"/>
              <w:outlineLvl w:val="9"/>
              <w:rPr>
                <w:rFonts w:hint="default"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38.29</w:t>
            </w:r>
          </w:p>
        </w:tc>
      </w:tr>
      <w:tr w14:paraId="271B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9" w:type="pct"/>
            <w:shd w:val="clear" w:color="auto" w:fill="auto"/>
            <w:vAlign w:val="center"/>
          </w:tcPr>
          <w:p w14:paraId="42D93699">
            <w:pPr>
              <w:pageBreakBefore w:val="0"/>
              <w:widowControl/>
              <w:wordWrap/>
              <w:bidi w:val="0"/>
              <w:jc w:val="center"/>
              <w:textAlignment w:val="center"/>
              <w:outlineLvl w:val="9"/>
              <w:rPr>
                <w:rFonts w:hint="default"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12</w:t>
            </w:r>
          </w:p>
        </w:tc>
        <w:tc>
          <w:tcPr>
            <w:tcW w:w="3498" w:type="pct"/>
            <w:shd w:val="clear" w:color="auto" w:fill="auto"/>
            <w:noWrap/>
            <w:vAlign w:val="center"/>
          </w:tcPr>
          <w:p w14:paraId="6B7694C9">
            <w:pPr>
              <w:pageBreakBefore w:val="0"/>
              <w:widowControl/>
              <w:wordWrap/>
              <w:bidi w:val="0"/>
              <w:textAlignment w:val="center"/>
              <w:outlineLvl w:val="9"/>
              <w:rPr>
                <w:rFonts w:hint="eastAsia"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新疆准东伊吾县琼河坝一带铜金矿勘查</w:t>
            </w:r>
          </w:p>
        </w:tc>
        <w:tc>
          <w:tcPr>
            <w:tcW w:w="1022" w:type="pct"/>
            <w:shd w:val="clear" w:color="auto" w:fill="auto"/>
            <w:noWrap/>
            <w:vAlign w:val="center"/>
          </w:tcPr>
          <w:p w14:paraId="5739AB8B">
            <w:pPr>
              <w:pageBreakBefore w:val="0"/>
              <w:widowControl/>
              <w:wordWrap/>
              <w:bidi w:val="0"/>
              <w:jc w:val="center"/>
              <w:textAlignment w:val="bottom"/>
              <w:outlineLvl w:val="9"/>
              <w:rPr>
                <w:rFonts w:hint="default"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110.6</w:t>
            </w:r>
          </w:p>
        </w:tc>
      </w:tr>
    </w:tbl>
    <w:p w14:paraId="3172CF0C">
      <w:pPr>
        <w:pageBreakBefore w:val="0"/>
        <w:wordWrap/>
        <w:bidi w:val="0"/>
        <w:spacing w:line="336" w:lineRule="auto"/>
        <w:outlineLvl w:val="9"/>
        <w:rPr>
          <w:rFonts w:hint="eastAsia" w:ascii="仿宋" w:hAnsi="仿宋" w:eastAsia="仿宋" w:cs="仿宋"/>
          <w:b/>
          <w:sz w:val="24"/>
          <w:szCs w:val="24"/>
          <w:highlight w:val="none"/>
        </w:rPr>
      </w:pPr>
    </w:p>
    <w:p w14:paraId="39749BC2">
      <w:pPr>
        <w:pageBreakBefore w:val="0"/>
        <w:wordWrap/>
        <w:bidi w:val="0"/>
        <w:spacing w:line="336" w:lineRule="auto"/>
        <w:outlineLvl w:val="9"/>
        <w:rPr>
          <w:rFonts w:ascii="仿宋" w:hAnsi="仿宋" w:eastAsia="仿宋" w:cs="仿宋"/>
          <w:b/>
          <w:bCs/>
          <w:sz w:val="24"/>
          <w:szCs w:val="24"/>
        </w:rPr>
      </w:pPr>
      <w:r>
        <w:rPr>
          <w:rFonts w:hint="eastAsia" w:ascii="仿宋" w:hAnsi="仿宋" w:eastAsia="仿宋" w:cs="仿宋"/>
          <w:b/>
          <w:sz w:val="24"/>
          <w:szCs w:val="24"/>
        </w:rPr>
        <w:t>注：投标人“投标价格明细表”须按服务内容填报，且</w:t>
      </w:r>
      <w:r>
        <w:rPr>
          <w:rFonts w:hint="eastAsia" w:ascii="仿宋" w:hAnsi="仿宋" w:eastAsia="仿宋" w:cs="仿宋"/>
          <w:b/>
          <w:sz w:val="24"/>
          <w:szCs w:val="24"/>
          <w:lang w:val="en-US" w:eastAsia="zh-CN"/>
        </w:rPr>
        <w:t>分项报价均</w:t>
      </w:r>
      <w:r>
        <w:rPr>
          <w:rFonts w:hint="eastAsia" w:ascii="仿宋" w:hAnsi="仿宋" w:eastAsia="仿宋" w:cs="仿宋"/>
          <w:b/>
          <w:sz w:val="24"/>
          <w:szCs w:val="24"/>
        </w:rPr>
        <w:t>不得超过单项目限价金额。</w:t>
      </w:r>
      <w:r>
        <w:rPr>
          <w:rFonts w:hint="eastAsia" w:ascii="仿宋" w:hAnsi="仿宋" w:eastAsia="仿宋" w:cs="仿宋"/>
          <w:b/>
          <w:sz w:val="24"/>
          <w:szCs w:val="24"/>
        </w:rPr>
        <w:br w:type="page"/>
      </w:r>
    </w:p>
    <w:p w14:paraId="7D9AFEE0">
      <w:pPr>
        <w:keepNext/>
        <w:keepLines w:val="0"/>
        <w:pageBreakBefore w:val="0"/>
        <w:widowControl/>
        <w:kinsoku/>
        <w:wordWrap/>
        <w:overflowPunct/>
        <w:topLinePunct w:val="0"/>
        <w:autoSpaceDE/>
        <w:autoSpaceDN/>
        <w:bidi w:val="0"/>
        <w:adjustRightInd/>
        <w:snapToGrid/>
        <w:spacing w:line="480" w:lineRule="auto"/>
        <w:jc w:val="center"/>
        <w:textAlignment w:val="auto"/>
        <w:outlineLvl w:val="1"/>
        <w:rPr>
          <w:rFonts w:ascii="仿宋" w:hAnsi="仿宋" w:eastAsia="仿宋" w:cs="仿宋"/>
          <w:b/>
          <w:bCs/>
          <w:sz w:val="40"/>
          <w:szCs w:val="40"/>
        </w:rPr>
      </w:pPr>
      <w:r>
        <w:rPr>
          <w:rFonts w:hint="eastAsia" w:ascii="仿宋" w:hAnsi="仿宋" w:eastAsia="仿宋" w:cs="仿宋"/>
          <w:b/>
          <w:bCs/>
          <w:snapToGrid w:val="0"/>
          <w:kern w:val="0"/>
          <w:sz w:val="24"/>
          <w:szCs w:val="24"/>
          <w:lang w:val="en-US" w:eastAsia="zh-CN"/>
        </w:rPr>
        <w:t>①</w:t>
      </w:r>
      <w:r>
        <w:rPr>
          <w:rFonts w:hint="eastAsia" w:ascii="仿宋" w:hAnsi="仿宋" w:eastAsia="仿宋" w:cs="仿宋"/>
          <w:b/>
          <w:bCs/>
          <w:snapToGrid w:val="0"/>
          <w:kern w:val="0"/>
          <w:sz w:val="24"/>
          <w:szCs w:val="24"/>
        </w:rPr>
        <w:t>、新疆博乐市阿拉山口西钨锡矿普查</w:t>
      </w:r>
    </w:p>
    <w:p w14:paraId="01E170A3">
      <w:pPr>
        <w:keepNext w:val="0"/>
        <w:keepLines w:val="0"/>
        <w:pageBreakBefore w:val="0"/>
        <w:widowControl w:val="0"/>
        <w:kinsoku/>
        <w:wordWrap/>
        <w:overflowPunct/>
        <w:topLinePunct w:val="0"/>
        <w:autoSpaceDE/>
        <w:autoSpaceDN/>
        <w:bidi w:val="0"/>
        <w:adjustRightInd/>
        <w:snapToGrid/>
        <w:spacing w:line="360" w:lineRule="auto"/>
        <w:ind w:firstLine="482" w:firstLineChars="200"/>
        <w:outlineLvl w:val="9"/>
        <w:rPr>
          <w:rFonts w:hint="eastAsia" w:ascii="仿宋" w:hAnsi="仿宋" w:eastAsia="仿宋" w:cs="仿宋"/>
          <w:b/>
          <w:bCs/>
          <w:snapToGrid w:val="0"/>
          <w:kern w:val="0"/>
          <w:sz w:val="24"/>
          <w:szCs w:val="24"/>
        </w:rPr>
      </w:pPr>
      <w:r>
        <w:rPr>
          <w:rFonts w:hint="eastAsia" w:ascii="仿宋" w:hAnsi="仿宋" w:eastAsia="仿宋" w:cs="仿宋"/>
          <w:b/>
          <w:bCs/>
          <w:snapToGrid w:val="0"/>
          <w:kern w:val="0"/>
          <w:sz w:val="24"/>
          <w:szCs w:val="24"/>
        </w:rPr>
        <w:t>一、服务内容：</w:t>
      </w:r>
    </w:p>
    <w:p w14:paraId="3D4D9C4B">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工作区地处博乐市以西约35千米、双河市以北19千米、阿拉山口市西南约20千米处。该区东侧及南侧紧邻北疆铁路和阿拉山口—五台公路(S205)，西北部有若干乡村公路分布。除西北部山区外，区内大部分区域交通条件较为便利，车辆可以通行。工作区总体地势为北高南低，山体走势近南北向，其北东及东部为高山，地形陡峭，南部及西部为丘陵，地形相对平缓。区内平均海拔约550米，最高海拔863米，最低为440米，相对高差可达423米，总体为中低山区。工作区北西部山区水系较发育，多为南北向，由北向南流入全新统覆盖区。其它区域水系不发育。区内野生动植物种类较多，动物主要有雪鸡、黄羊、兔狲、猞猁等；植物主要有贝母、党参、大芸、爬地松等。</w:t>
      </w:r>
    </w:p>
    <w:p w14:paraId="4E520BE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outlineLvl w:val="9"/>
        <w:rPr>
          <w:rFonts w:hint="eastAsia" w:ascii="仿宋" w:hAnsi="仿宋" w:eastAsia="仿宋" w:cs="仿宋"/>
          <w:b/>
          <w:bCs/>
          <w:sz w:val="24"/>
          <w:szCs w:val="24"/>
        </w:rPr>
      </w:pPr>
      <w:r>
        <w:rPr>
          <w:rFonts w:hint="eastAsia" w:ascii="仿宋" w:hAnsi="仿宋" w:eastAsia="仿宋" w:cs="仿宋"/>
          <w:b/>
          <w:bCs/>
          <w:sz w:val="24"/>
          <w:szCs w:val="24"/>
        </w:rPr>
        <w:t>二、 工作量：1∶1万磁测剖面30千米；1∶1万激电剖面30千米；激电测深50点。</w:t>
      </w:r>
    </w:p>
    <w:p w14:paraId="02886AF2">
      <w:pPr>
        <w:keepNext w:val="0"/>
        <w:keepLines w:val="0"/>
        <w:pageBreakBefore w:val="0"/>
        <w:widowControl w:val="0"/>
        <w:kinsoku/>
        <w:wordWrap/>
        <w:overflowPunct/>
        <w:topLinePunct w:val="0"/>
        <w:autoSpaceDE/>
        <w:autoSpaceDN/>
        <w:bidi w:val="0"/>
        <w:adjustRightInd/>
        <w:snapToGrid/>
        <w:spacing w:line="360" w:lineRule="auto"/>
        <w:ind w:firstLine="482" w:firstLineChars="200"/>
        <w:outlineLvl w:val="9"/>
        <w:rPr>
          <w:rFonts w:hint="eastAsia" w:ascii="仿宋" w:hAnsi="仿宋" w:eastAsia="仿宋" w:cs="仿宋"/>
          <w:b/>
          <w:bCs/>
          <w:sz w:val="24"/>
          <w:szCs w:val="24"/>
        </w:rPr>
      </w:pPr>
      <w:r>
        <w:rPr>
          <w:rFonts w:hint="eastAsia" w:ascii="仿宋" w:hAnsi="仿宋" w:eastAsia="仿宋" w:cs="仿宋"/>
          <w:b/>
          <w:bCs/>
          <w:sz w:val="24"/>
          <w:szCs w:val="24"/>
        </w:rPr>
        <w:t>三、技术要求</w:t>
      </w:r>
    </w:p>
    <w:p w14:paraId="0AE010A1">
      <w:pPr>
        <w:keepNext w:val="0"/>
        <w:keepLines w:val="0"/>
        <w:pageBreakBefore w:val="0"/>
        <w:widowControl w:val="0"/>
        <w:kinsoku/>
        <w:wordWrap/>
        <w:overflowPunct/>
        <w:topLinePunct w:val="0"/>
        <w:autoSpaceDE/>
        <w:autoSpaceDN/>
        <w:bidi w:val="0"/>
        <w:adjustRightInd/>
        <w:snapToGrid/>
        <w:spacing w:line="360" w:lineRule="auto"/>
        <w:ind w:firstLine="482" w:firstLineChars="200"/>
        <w:outlineLvl w:val="9"/>
        <w:rPr>
          <w:rFonts w:hint="eastAsia" w:ascii="仿宋" w:hAnsi="仿宋" w:eastAsia="仿宋" w:cs="仿宋"/>
          <w:b/>
          <w:bCs/>
          <w:sz w:val="24"/>
          <w:szCs w:val="24"/>
        </w:rPr>
      </w:pPr>
      <w:r>
        <w:rPr>
          <w:rFonts w:hint="eastAsia" w:ascii="仿宋" w:hAnsi="仿宋" w:eastAsia="仿宋" w:cs="仿宋"/>
          <w:b/>
          <w:bCs/>
          <w:sz w:val="24"/>
          <w:szCs w:val="24"/>
        </w:rPr>
        <w:t>1、1∶1万磁法剖面测量</w:t>
      </w:r>
    </w:p>
    <w:p w14:paraId="447D5D5D">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lang w:val="zh-CN"/>
        </w:rPr>
      </w:pPr>
      <w:r>
        <w:rPr>
          <w:rFonts w:hint="eastAsia" w:ascii="仿宋" w:hAnsi="仿宋" w:eastAsia="仿宋" w:cs="仿宋"/>
          <w:sz w:val="24"/>
          <w:szCs w:val="24"/>
        </w:rPr>
        <w:t>（1）</w:t>
      </w:r>
      <w:r>
        <w:rPr>
          <w:rFonts w:hint="eastAsia" w:ascii="仿宋" w:hAnsi="仿宋" w:eastAsia="仿宋" w:cs="仿宋"/>
          <w:sz w:val="24"/>
          <w:szCs w:val="24"/>
          <w:lang w:val="zh-CN"/>
        </w:rPr>
        <w:t>剖面布设</w:t>
      </w:r>
    </w:p>
    <w:p w14:paraId="67731A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outlineLvl w:val="9"/>
        <w:rPr>
          <w:rFonts w:hint="eastAsia" w:ascii="仿宋" w:hAnsi="仿宋" w:eastAsia="仿宋" w:cs="仿宋"/>
          <w:sz w:val="24"/>
          <w:szCs w:val="24"/>
        </w:rPr>
      </w:pPr>
      <w:r>
        <w:rPr>
          <w:rFonts w:hint="eastAsia" w:ascii="仿宋" w:hAnsi="仿宋" w:eastAsia="仿宋" w:cs="仿宋"/>
          <w:sz w:val="24"/>
          <w:szCs w:val="24"/>
        </w:rPr>
        <w:t>本次物探工作共设计1∶1万磁法剖面测量30千米，2025年通过实施1∶1万低空航磁测量工作，结合地表矽卡岩带、角岩化带分布特征分析：已发现的锡矿体分布于高磁异常与低磁异常梯度带中，对寻找钨锡矿具有指导作用。因此，本次采用1∶1万磁法剖面测量手段进一步圈定钨锡矿成矿有利部位及范围；另外，推断工作区东部早石炭世花岗斑岩的分布规模、形态，辅助地质填图手段划分蚀变分带，加强斑岩型铜钼矿研究深度。</w:t>
      </w:r>
    </w:p>
    <w:p w14:paraId="301B0B6F">
      <w:pPr>
        <w:keepNext w:val="0"/>
        <w:keepLines w:val="0"/>
        <w:pageBreakBefore w:val="0"/>
        <w:widowControl w:val="0"/>
        <w:kinsoku/>
        <w:wordWrap/>
        <w:overflowPunct/>
        <w:topLinePunct w:val="0"/>
        <w:autoSpaceDE/>
        <w:autoSpaceDN/>
        <w:bidi w:val="0"/>
        <w:adjustRightInd/>
        <w:snapToGrid/>
        <w:spacing w:line="360" w:lineRule="auto"/>
        <w:ind w:firstLine="482" w:firstLineChars="200"/>
        <w:outlineLvl w:val="9"/>
        <w:rPr>
          <w:rFonts w:hint="eastAsia" w:ascii="仿宋" w:hAnsi="仿宋" w:eastAsia="仿宋" w:cs="仿宋"/>
          <w:b/>
          <w:bCs/>
          <w:sz w:val="24"/>
          <w:szCs w:val="24"/>
        </w:rPr>
      </w:pPr>
      <w:r>
        <w:rPr>
          <w:rFonts w:hint="eastAsia" w:ascii="仿宋" w:hAnsi="仿宋" w:eastAsia="仿宋" w:cs="仿宋"/>
          <w:b/>
          <w:bCs/>
          <w:sz w:val="24"/>
          <w:szCs w:val="24"/>
        </w:rPr>
        <w:t>2、</w:t>
      </w:r>
      <w:r>
        <w:rPr>
          <w:rFonts w:hint="eastAsia" w:ascii="仿宋" w:hAnsi="仿宋" w:eastAsia="仿宋" w:cs="仿宋"/>
          <w:b/>
          <w:sz w:val="24"/>
          <w:szCs w:val="24"/>
        </w:rPr>
        <w:t>1∶1万激电中梯(短导线)剖面测量</w:t>
      </w:r>
    </w:p>
    <w:p w14:paraId="3E7EBD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outlineLvl w:val="9"/>
        <w:rPr>
          <w:rFonts w:hint="eastAsia" w:ascii="仿宋" w:hAnsi="仿宋" w:eastAsia="仿宋" w:cs="仿宋"/>
          <w:sz w:val="24"/>
          <w:szCs w:val="24"/>
        </w:rPr>
      </w:pPr>
      <w:r>
        <w:rPr>
          <w:rFonts w:hint="eastAsia" w:ascii="仿宋" w:hAnsi="仿宋" w:eastAsia="仿宋" w:cs="仿宋"/>
          <w:sz w:val="24"/>
          <w:szCs w:val="24"/>
        </w:rPr>
        <w:t>本次采用1∶1万激电剖面测量手段，进一步圈定金属硫化物异常体的分布范围，锁定成矿有利部位，推断异常体的空间分布特征，指导槽探与钻探施工。</w:t>
      </w:r>
    </w:p>
    <w:p w14:paraId="22753139">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目的是针对区内成矿地质体开展磁法测量工作，初步查明其物性特征，并对其含矿性进行评价。其技术要求按《地面高精度磁测技术规程》(DZ/T 0071-2025)执行。</w:t>
      </w:r>
    </w:p>
    <w:p w14:paraId="15B0B06E">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1.使用仪器及要求</w:t>
      </w:r>
    </w:p>
    <w:p w14:paraId="4771CA41">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磁测工作采用捷克生产的PMG-1高精度质子磁力仪，仪器灵敏度高，抗干扰能力强，测量误差精度达到1nT，分辨率为±0.1nT。测量参数为总磁场强度ΔT，协调范围在54700-57700 nT之间，仪器协调后信号强度控制在8左右，单点测量时间为2ｓ。</w:t>
      </w:r>
    </w:p>
    <w:p w14:paraId="6D61D57B">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2.磁测方法技术</w:t>
      </w:r>
    </w:p>
    <w:p w14:paraId="7FF7B449">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测网布设在筛选的具有寻找矽卡岩带、角岩带、矿化蚀变带或1∶5万化探异常上，点距要求在20～40米。测线应尽量垂直于地质构造方向或垂直磁异常的长轴方向，提高异常解释水平和成果有效性。</w:t>
      </w:r>
    </w:p>
    <w:p w14:paraId="1775BB05">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野外工作采用总场测量方式，观测参数为地磁场总场强度T，探头高度为2米。野外测量采用校正点－观测点－校正点的闭合方式进行。在校正点上读数两次，前后两次校正点的读数经过日变改正后的平均值，绝对差值必须小于两倍的观测均方误差(2.5nT)，否则，这一闭合单元的观测资料按报废处理。</w:t>
      </w:r>
    </w:p>
    <w:p w14:paraId="62E6A29F">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野外遇到居民地、铁路、井场、高压输电线、有磁性的废矿石等干扰时，操作人员必须采取相应措施予以回避，把干扰减小到最小。野外观测时探头也不宜过于接近陡岩坎，以减少局部影响。</w:t>
      </w:r>
    </w:p>
    <w:p w14:paraId="5454EF9D">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野外观测时，按规定尽可能使探头南北向放置，并使探杆直立，尽可能保持探头的高度一致。在日变站上，进行不少于12个小时的日变观测，采样时间间隔不大于20秒。选择在2小时内地磁场平均值变化不超过2nT的时间段，求取Ti的平均值，即为日变站(总基点)的To值。</w:t>
      </w:r>
    </w:p>
    <w:p w14:paraId="1805199B">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校正点选择在日变站附近50米左右，便于每天的早校和晚校；其它要求同日变站的选择。</w:t>
      </w:r>
    </w:p>
    <w:p w14:paraId="6662270F">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3.质量检查与评价</w:t>
      </w:r>
    </w:p>
    <w:p w14:paraId="46E99BF7">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高精度磁测工作的质量检查率应在3%～5%之间，精测剖面的质量检查率应达到10%，绝对点数不少于30个。质量检查点的分布要均匀。关于微磁测量工作的野外观测质量检查与评价，按专项设计的要求执行。还应包括异常场的质量检查、异常完整性的质量检查、突变点的质量检查。当检查结果误差超过设计规定，或在某些地段存在明显系统误差时，应适当增加检查量，以提高检查结果的可信度。</w:t>
      </w:r>
    </w:p>
    <w:p w14:paraId="2ED07EFF">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连续磁测重复观测达到10%，要求两次观测异常曲线形态一致。精度计算在有标记点上进行，绝对点数不少于30个。</w:t>
      </w:r>
    </w:p>
    <w:p w14:paraId="3EE9B7BE">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高精度磁测的质量，要分测区，分比例尺，分工作性质(面积性工作，剖面性工作)评价。计算均方误差时，可将误差过大的个别点舍弃，但舍弃数不得超过相应检查点数的1%。</w:t>
      </w:r>
    </w:p>
    <w:p w14:paraId="06D3B2DD">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磁性参数测定的质量检查率应达10%。当发现野外观测阶段的工作不够完善，或因资料整理和异常研究需要时，要及时地补做一定的野外工作。</w:t>
      </w:r>
    </w:p>
    <w:p w14:paraId="7F1C42AF">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4.磁法资料整理</w:t>
      </w:r>
    </w:p>
    <w:p w14:paraId="3E0B0916">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磁测资料整理包括一致性计算、基点磁场值计算、磁测值计算及精度统计等内容。其中磁测值计算要求与1∶5万磁法资料的计算方法一致，各项改正起算点均统一到1∶5万磁测总基点。</w:t>
      </w:r>
    </w:p>
    <w:p w14:paraId="6592908B">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磁测资料的处理视需要进行延拓、化极计算等为判断异常地质体的性质，推断构造形迹提供帮助。</w:t>
      </w:r>
    </w:p>
    <w:p w14:paraId="6F6857F6">
      <w:pPr>
        <w:keepNext w:val="0"/>
        <w:keepLines w:val="0"/>
        <w:pageBreakBefore w:val="0"/>
        <w:widowControl w:val="0"/>
        <w:kinsoku/>
        <w:wordWrap/>
        <w:overflowPunct/>
        <w:topLinePunct w:val="0"/>
        <w:autoSpaceDE/>
        <w:autoSpaceDN/>
        <w:bidi w:val="0"/>
        <w:adjustRightInd/>
        <w:snapToGrid/>
        <w:spacing w:line="360" w:lineRule="auto"/>
        <w:ind w:firstLine="482" w:firstLineChars="200"/>
        <w:outlineLvl w:val="9"/>
        <w:rPr>
          <w:rFonts w:hint="eastAsia" w:ascii="仿宋" w:hAnsi="仿宋" w:eastAsia="仿宋" w:cs="仿宋"/>
          <w:b/>
          <w:sz w:val="24"/>
          <w:szCs w:val="24"/>
        </w:rPr>
      </w:pPr>
      <w:bookmarkStart w:id="316" w:name="_Toc216340809"/>
      <w:bookmarkStart w:id="317" w:name="_Toc28652"/>
      <w:r>
        <w:rPr>
          <w:rFonts w:hint="eastAsia" w:ascii="仿宋" w:hAnsi="仿宋" w:eastAsia="仿宋" w:cs="仿宋"/>
          <w:b/>
          <w:sz w:val="24"/>
          <w:szCs w:val="24"/>
        </w:rPr>
        <w:t>六、激电测深</w:t>
      </w:r>
      <w:bookmarkEnd w:id="316"/>
      <w:bookmarkEnd w:id="317"/>
    </w:p>
    <w:p w14:paraId="4347C2F2">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在1∶1万激电剖面测量成果的基础上再实施激电测深。本次主要针对东风牧场锡矿点及新发现的矿(化)体开展激电测深工作，激电测深主要按设计勘查线进行布设，点距40米，矿化带加密至20米，目的推断深部异常体或矿(化)体的埋深、产状及其延伸情况，为钻探工程布设提供依据。</w:t>
      </w:r>
    </w:p>
    <w:p w14:paraId="641D95A0">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b/>
          <w:bCs/>
          <w:color w:val="000000"/>
          <w:sz w:val="24"/>
          <w:szCs w:val="24"/>
        </w:rPr>
      </w:pPr>
      <w:r>
        <w:rPr>
          <w:rFonts w:hint="eastAsia" w:ascii="仿宋" w:hAnsi="仿宋" w:eastAsia="仿宋" w:cs="仿宋"/>
          <w:sz w:val="24"/>
          <w:szCs w:val="24"/>
        </w:rPr>
        <w:t>设计激电测深21点，预留29点，在新发现的矿(化)体中实施。在实际工作中视矿(化)体规模分布可作合理调整。</w:t>
      </w:r>
    </w:p>
    <w:p w14:paraId="0160B17F">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(五)1∶1万激电中梯(短导线)剖面测量</w:t>
      </w:r>
    </w:p>
    <w:p w14:paraId="203D2939">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目的是对已知的异常、矿化蚀变带进行解剖，圈定硫化物异常体。剖面布设以控制区内主要矿化蚀变带、化探异常、遥感异常、矽卡岩带、角岩带，以及明显的矿化蚀变带为原则，剖面线距根据矿化蚀变实际规模可适当调整。</w:t>
      </w:r>
    </w:p>
    <w:p w14:paraId="1DC8F6BF">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1、仪器设备</w:t>
      </w:r>
    </w:p>
    <w:p w14:paraId="46EC55AE">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根据项目的任务目的要求，在充分考虑到方法的有效性、合理的技术参数以及仪器的轻便和稳定性，以及实用性，选用满足规范要求的重庆奔腾数控技术研究所研制的大功率智能激电系统。</w:t>
      </w:r>
    </w:p>
    <w:p w14:paraId="600C50F0">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2、仪器校验</w:t>
      </w:r>
    </w:p>
    <w:p w14:paraId="5BE89612">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（1）室内标定检查</w:t>
      </w:r>
    </w:p>
    <w:p w14:paraId="1E73D9BA">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开工前和工作结束后撤离工地前皆应进行一次仪器性能标定检查。</w:t>
      </w:r>
    </w:p>
    <w:p w14:paraId="7ABBB697">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能用标准时间域激电模拟器进行标定检查的接收机，应用同一模拟器对各台仪器进行准确性和一致性标定检查。</w:t>
      </w:r>
    </w:p>
    <w:p w14:paraId="6971CBC7">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用标准时间域激电模拟器进行标定检查接收机时，应选用△U1为1mV~100mV，且在2％～20％之间选择三个极化率值的标准输出信号对接收机做标定检测，其电位和极化率测量精度均应满足规范要求。</w:t>
      </w:r>
    </w:p>
    <w:p w14:paraId="4749F210">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（2）精度剖面实测检验</w:t>
      </w:r>
    </w:p>
    <w:p w14:paraId="00F1FF8E">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在野外工作前，仪器精度应进行精度剖面实测检验，检验内容、方法流程和合格标准如下：</w:t>
      </w:r>
    </w:p>
    <w:p w14:paraId="6B0824DB">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内容：每台仪器沿剖面往返观测计算各自观测精度，多台仪器应做一致性检验；</w:t>
      </w:r>
    </w:p>
    <w:p w14:paraId="3345D85F">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方法流程：选择一条极化率有明显变化的异常地段剖面，测点数大于20个，选择AB、MN和I尽可能使△U1在30mV以上。每台仪器在相同条件下往返观测计算均方相对误差。多台仪器取均方相对误差最小的一台仪器为“标准”，分别计算各台仪器与“标准”仪器的均方相对误</w:t>
      </w:r>
    </w:p>
    <w:p w14:paraId="36A13FF0">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误差合格标准与选用：若某仪器的均方相对误差大于设计精度的三分之二，应对该仪器调试，使其达到要求或不在本区使用。多台可用仪器的一致性误差可选合格均方误差值中最大者。</w:t>
      </w:r>
    </w:p>
    <w:p w14:paraId="5DBC8940">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3、技术参数试验</w:t>
      </w:r>
    </w:p>
    <w:p w14:paraId="255BA155">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为确定最佳工作参数，选取工作区典型剖面进行工作参数试验。结合工作区地质条件试验内容侧重于电极距选择、供电脉宽选择、延时选择等试验。</w:t>
      </w:r>
    </w:p>
    <w:p w14:paraId="671DB956">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（1）电极距（AB距、MN距）选择</w:t>
      </w:r>
    </w:p>
    <w:p w14:paraId="67C7EBE1">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供电极距的大小对勘探深度影响较为明显，过小的供电极距电流激发地质体深度较浅，所测数据仅反映浅部近地表信息；而过大的供电极距势必造成外阻增大，电流分散，亦不能达到较好的工作效果，并且供电极距增大到一定程度，深部信息亦不能有效提取，因此选择一个最佳的供电极距是试验工作重要内容之一。选择的供电极距应能同时满足探测深度，水平分辨率和一次场△U1（或总场△U）幅度的要求。即要求一次场△U1（或总场△U）大于或等于5mV，有干扰时应明显大于干扰强度且不低于10mV;△U2一般要求大于0.3mV,在干扰较小的地区，应大于1mV,在明显干扰的地区，△U2宜大于干扰信号幅度的3倍。在满足上述条件的情况下，如果电源功率允许，宜选用较大AB距。</w:t>
      </w:r>
    </w:p>
    <w:p w14:paraId="68C9955D">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初步确定试验1000米、1200米和1500米两个不同的供电极距参数组合。接收极距MN应满足MN=（1/50～1/25）AB，并等于1倍或2倍测点距。</w:t>
      </w:r>
    </w:p>
    <w:p w14:paraId="01494D2F">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（2）供电脉宽选择（T）</w:t>
      </w:r>
    </w:p>
    <w:p w14:paraId="0299F5EB">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原则是在满足抗干扰和探深的前提下兼顾工作效率，标准为已知目标体上视极化率异常且相对背景值的衬度值较大（一般不小于2%）。</w:t>
      </w:r>
    </w:p>
    <w:p w14:paraId="2756DD87">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选择8s供电脉宽开展试验，当实验结果符合上述标准和原则时，选定8s作为供电脉宽；否则加宽或缩短供电脉宽继续试验，直至选择出符合要求的供电脉宽，最小脉宽为4s。</w:t>
      </w:r>
    </w:p>
    <w:p w14:paraId="662DB3F5">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（3）延时选择</w:t>
      </w:r>
    </w:p>
    <w:p w14:paraId="3E7E53DC">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延时选择主要通过不同极距、不同电阻率、不同地质体上的放电曲线来确定，应满足避让电磁感应，兼顾提高二次场△U2的幅度，在电磁耦合较强的情况下，延时一般应不小于100ms。</w:t>
      </w:r>
    </w:p>
    <w:p w14:paraId="6A73BE3E">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4、野外观测</w:t>
      </w:r>
    </w:p>
    <w:p w14:paraId="77CFA6D1">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每天出工前，方法组长应将当天的任务分工和注意事项向全组人员交待清楚，并对仪器、设备、工具、安全用品等进行检查；操作员应检查仪器电池电压，应大于9V以上，检查本台班设备、物资是否齐全。发射员应检查发电机、汽油、机油并进行试车，供电前应检查供电导线绝缘电阻大于2MΩ/km，测量导线绝缘电阻大于5 MΩ/km，检查AB极位置并做记录。</w:t>
      </w:r>
    </w:p>
    <w:p w14:paraId="1FEF4B93">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供电电极采用铝簿。测量电极采用不极化电极，要求内阻小于1kΩ，测量电极、供电电极坑均应预先浇水以改善接地条件，保证接地电阻小于7kΩ，越小越好。</w:t>
      </w:r>
    </w:p>
    <w:p w14:paraId="6C7B1EDE">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工作中记录电流变化应不大于2％，如果电流变化较大或断电，应通知台班并做记录。</w:t>
      </w:r>
    </w:p>
    <w:p w14:paraId="36D4DA69">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另外对异常点、畸变点操作员要及时通知相邻测量组进行质量检查工作，确保测量数据准确无误。</w:t>
      </w:r>
    </w:p>
    <w:p w14:paraId="391A6964">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对异常段应进行加密观测，对有意义、不完整异常要进行控制观测。</w:t>
      </w:r>
    </w:p>
    <w:p w14:paraId="787C2C70">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操作员应携带记录本并做好表头记录，多重复点、作废点、地质地形、地貌做必要的备注，并作为原始资料的一部分。</w:t>
      </w:r>
    </w:p>
    <w:p w14:paraId="1BF9B49E">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5、资料整理</w:t>
      </w:r>
    </w:p>
    <w:p w14:paraId="501265D0">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操作员每天收工后及时将接收机记录的数据传入计算机后，与GPS记录的点线号进行实测坐标值的配对。然后对记录本的记录质量、加点、丢点完成物理点数等，如实填入登记表中，同时进行100％自检、互检验收，对不合格的工作量及时进行返工处理。内业人员将合格的原始数据备份在计算机中并进行各项（仪器一致性、视电阻率、精度计算等）计算。</w:t>
      </w:r>
    </w:p>
    <w:p w14:paraId="33C25502">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（1）根据AB和MN电极和测点坐标计算装置系数κ值。依据实测参数一次场电位差(△U)、供电电流(I)、κ值计算测点视电阻率值（ρs)。对剖面连接点、重复观测点，ρs、ηs值取算术平均法为测点值。</w:t>
      </w:r>
    </w:p>
    <w:p w14:paraId="6DBD2BFC">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2）不可靠异常点剔除：在充分熟悉工作区地质特点，对可能引起激电异常的地质体种类进行辨识，在结合实测的均方误差和异常点数判断测点的可靠程度。一般单异常点为不可靠点，而有两个以上连续点有显示的为可靠异常。结合以上两点对畸变点、突跳点、干扰点进行剔除和圆滑。</w:t>
      </w:r>
    </w:p>
    <w:p w14:paraId="72BC620A">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（3）ηs异常背景值：把背景地段的视极化率值求其算数平均值，即为背景值。</w:t>
      </w:r>
    </w:p>
    <w:p w14:paraId="26838EB3">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4）ηs异常下限为,式中系数（1.5~2.5）决定可异常的置信度。当呈现异常的点数较多（点数＞3个），可取较小值，若仅在个别点（点数＜3个）上呈现异常，则取较大值。N决定于背景值的稳定性和观测精度，若背景值稳定，观测精度为影响异常下限的主要因素，则N取ηs的绝对均方误差值，若背景值不稳定，成为影响异常下限的主要因素，则N取背景值段n个测点的标准离差，按下式算出：，为背景段的ηs平均值。</w:t>
      </w:r>
    </w:p>
    <w:p w14:paraId="007D5BE9">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（5）可靠异常确定：极化率值超过下限，剖面上呈现2个以上连续点的为可靠的异常。闭合异常必须单剖面呈现3个点、三条线上有显示，才可圈定。</w:t>
      </w:r>
    </w:p>
    <w:p w14:paraId="160D9CF3">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（6）计算完成后，对数据及计算结果进行100％的校对，确定无误后，制成统一格式的成果表，编绘图件。</w:t>
      </w:r>
    </w:p>
    <w:p w14:paraId="1AC3927B">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（7）图件应使用成果数据绘制草图，在草图捡查无误后方成正式图件。主要图件有：实际材料图、剖面图、剖面平面图、等值线图、推断成果图等。</w:t>
      </w:r>
    </w:p>
    <w:p w14:paraId="2F14AD02">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6、质量检查</w:t>
      </w:r>
    </w:p>
    <w:p w14:paraId="1601169C">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系统质量检查应根据生产情况安排整个野外工作过程中，尽量做到在时间，地段上均有代表性（大致均匀）。应加强对对解释推断、异常验证有重要意义和疑似人文干扰等质量存疑地段的检查。</w:t>
      </w:r>
    </w:p>
    <w:p w14:paraId="7DA23D60">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使用一台仪器工作时采用“二同二不同”（同点位、同仪器、不同操作者、不同日期）方式；使用多台仪器工作时，采用“一同三不同”（同点位、不同仪器、不同操作者、不同日期）方式。</w:t>
      </w:r>
    </w:p>
    <w:p w14:paraId="767CFB7D">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技术负责人应亲自参与系统质量检查观测，且工作量不小于总捡查工作量的20％。</w:t>
      </w:r>
    </w:p>
    <w:p w14:paraId="5668D8A7">
      <w:pPr>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激电工作各项精度指标如表4-1。</w:t>
      </w:r>
    </w:p>
    <w:p w14:paraId="5643A104">
      <w:pPr>
        <w:pageBreakBefore w:val="0"/>
        <w:wordWrap/>
        <w:bidi w:val="0"/>
        <w:spacing w:line="360" w:lineRule="auto"/>
        <w:jc w:val="center"/>
        <w:outlineLvl w:val="9"/>
        <w:rPr>
          <w:rFonts w:ascii="宋体" w:hAnsi="宋体" w:cs="宋体"/>
          <w:b/>
          <w:color w:val="000000"/>
          <w:szCs w:val="21"/>
        </w:rPr>
      </w:pPr>
      <w:r>
        <w:rPr>
          <w:rFonts w:hint="eastAsia" w:ascii="宋体" w:hAnsi="宋体" w:cs="宋体"/>
          <w:b/>
          <w:color w:val="000000"/>
          <w:szCs w:val="21"/>
        </w:rPr>
        <w:t>表4-1  激发极化法测量工作精度分配表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1050"/>
        <w:gridCol w:w="2402"/>
        <w:gridCol w:w="1953"/>
        <w:gridCol w:w="1885"/>
      </w:tblGrid>
      <w:tr w14:paraId="17D8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7" w:type="dxa"/>
            <w:vMerge w:val="restart"/>
            <w:tcBorders>
              <w:left w:val="nil"/>
              <w:tl2br w:val="single" w:color="auto" w:sz="4" w:space="0"/>
            </w:tcBorders>
            <w:vAlign w:val="center"/>
          </w:tcPr>
          <w:p w14:paraId="103AD4FD">
            <w:pPr>
              <w:pageBreakBefore w:val="0"/>
              <w:wordWrap/>
              <w:bidi w:val="0"/>
              <w:ind w:firstLine="420" w:firstLineChars="200"/>
              <w:outlineLvl w:val="9"/>
              <w:rPr>
                <w:rFonts w:ascii="宋体" w:hAnsi="宋体" w:cs="宋体"/>
                <w:color w:val="000000"/>
                <w:szCs w:val="21"/>
              </w:rPr>
            </w:pPr>
            <w:r>
              <w:rPr>
                <w:rFonts w:hint="eastAsia" w:ascii="宋体" w:hAnsi="宋体" w:cs="宋体"/>
                <w:color w:val="000000"/>
                <w:szCs w:val="21"/>
              </w:rPr>
              <w:t xml:space="preserve">   精度</w:t>
            </w:r>
          </w:p>
          <w:p w14:paraId="382B0A23">
            <w:pPr>
              <w:pageBreakBefore w:val="0"/>
              <w:wordWrap/>
              <w:bidi w:val="0"/>
              <w:ind w:firstLine="420" w:firstLineChars="200"/>
              <w:outlineLvl w:val="9"/>
              <w:rPr>
                <w:rFonts w:ascii="宋体" w:hAnsi="宋体" w:cs="宋体"/>
                <w:color w:val="000000"/>
                <w:szCs w:val="21"/>
              </w:rPr>
            </w:pPr>
          </w:p>
          <w:p w14:paraId="2F1DBFFC">
            <w:pPr>
              <w:pageBreakBefore w:val="0"/>
              <w:wordWrap/>
              <w:bidi w:val="0"/>
              <w:ind w:firstLine="420" w:firstLineChars="200"/>
              <w:outlineLvl w:val="9"/>
              <w:rPr>
                <w:rFonts w:ascii="宋体" w:hAnsi="宋体" w:cs="宋体"/>
                <w:color w:val="000000"/>
                <w:szCs w:val="21"/>
              </w:rPr>
            </w:pPr>
            <w:r>
              <w:rPr>
                <w:rFonts w:hint="eastAsia" w:ascii="宋体" w:hAnsi="宋体" w:cs="宋体"/>
                <w:color w:val="000000"/>
                <w:szCs w:val="21"/>
              </w:rPr>
              <w:t>方法</w:t>
            </w:r>
          </w:p>
        </w:tc>
        <w:tc>
          <w:tcPr>
            <w:tcW w:w="1050" w:type="dxa"/>
            <w:vMerge w:val="restart"/>
            <w:vAlign w:val="center"/>
          </w:tcPr>
          <w:p w14:paraId="6B051995">
            <w:pPr>
              <w:pageBreakBefore w:val="0"/>
              <w:wordWrap/>
              <w:bidi w:val="0"/>
              <w:jc w:val="center"/>
              <w:outlineLvl w:val="9"/>
              <w:rPr>
                <w:rFonts w:ascii="宋体" w:hAnsi="宋体" w:cs="宋体"/>
                <w:color w:val="000000"/>
                <w:szCs w:val="21"/>
              </w:rPr>
            </w:pPr>
            <w:r>
              <w:rPr>
                <w:rFonts w:hint="eastAsia" w:ascii="宋体" w:hAnsi="宋体" w:cs="宋体"/>
                <w:color w:val="000000"/>
                <w:szCs w:val="21"/>
              </w:rPr>
              <w:t>检查率</w:t>
            </w:r>
          </w:p>
        </w:tc>
        <w:tc>
          <w:tcPr>
            <w:tcW w:w="4355" w:type="dxa"/>
            <w:gridSpan w:val="2"/>
            <w:vAlign w:val="center"/>
          </w:tcPr>
          <w:p w14:paraId="1958052C">
            <w:pPr>
              <w:pageBreakBefore w:val="0"/>
              <w:wordWrap/>
              <w:bidi w:val="0"/>
              <w:jc w:val="center"/>
              <w:outlineLvl w:val="9"/>
              <w:rPr>
                <w:rFonts w:ascii="宋体" w:hAnsi="宋体" w:cs="宋体"/>
                <w:color w:val="000000"/>
                <w:szCs w:val="21"/>
              </w:rPr>
            </w:pPr>
            <w:r>
              <w:rPr>
                <w:rFonts w:hint="eastAsia" w:ascii="宋体" w:hAnsi="宋体" w:cs="宋体"/>
                <w:color w:val="000000"/>
                <w:szCs w:val="21"/>
              </w:rPr>
              <w:t>ηs</w:t>
            </w:r>
          </w:p>
        </w:tc>
        <w:tc>
          <w:tcPr>
            <w:tcW w:w="1885" w:type="dxa"/>
            <w:tcBorders>
              <w:right w:val="nil"/>
            </w:tcBorders>
            <w:vAlign w:val="center"/>
          </w:tcPr>
          <w:p w14:paraId="1FED8E17">
            <w:pPr>
              <w:pageBreakBefore w:val="0"/>
              <w:wordWrap/>
              <w:bidi w:val="0"/>
              <w:jc w:val="center"/>
              <w:outlineLvl w:val="9"/>
              <w:rPr>
                <w:rFonts w:ascii="宋体" w:hAnsi="宋体" w:cs="宋体"/>
                <w:color w:val="000000"/>
                <w:szCs w:val="21"/>
              </w:rPr>
            </w:pPr>
            <w:r>
              <w:rPr>
                <w:rFonts w:hint="eastAsia" w:ascii="宋体" w:hAnsi="宋体" w:cs="宋体"/>
                <w:color w:val="000000"/>
                <w:szCs w:val="21"/>
              </w:rPr>
              <w:t>ρs</w:t>
            </w:r>
          </w:p>
        </w:tc>
      </w:tr>
      <w:tr w14:paraId="5249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7" w:type="dxa"/>
            <w:vMerge w:val="continue"/>
            <w:tcBorders>
              <w:left w:val="nil"/>
              <w:tl2br w:val="single" w:color="auto" w:sz="4" w:space="0"/>
            </w:tcBorders>
            <w:vAlign w:val="center"/>
          </w:tcPr>
          <w:p w14:paraId="59434D7C">
            <w:pPr>
              <w:pageBreakBefore w:val="0"/>
              <w:wordWrap/>
              <w:bidi w:val="0"/>
              <w:ind w:firstLine="420" w:firstLineChars="200"/>
              <w:outlineLvl w:val="9"/>
              <w:rPr>
                <w:rFonts w:ascii="宋体" w:hAnsi="宋体" w:cs="宋体"/>
                <w:color w:val="000000"/>
                <w:szCs w:val="21"/>
              </w:rPr>
            </w:pPr>
          </w:p>
        </w:tc>
        <w:tc>
          <w:tcPr>
            <w:tcW w:w="1050" w:type="dxa"/>
            <w:vMerge w:val="continue"/>
            <w:vAlign w:val="center"/>
          </w:tcPr>
          <w:p w14:paraId="41154DA8">
            <w:pPr>
              <w:pageBreakBefore w:val="0"/>
              <w:wordWrap/>
              <w:bidi w:val="0"/>
              <w:jc w:val="center"/>
              <w:outlineLvl w:val="9"/>
              <w:rPr>
                <w:rFonts w:ascii="宋体" w:hAnsi="宋体" w:cs="宋体"/>
                <w:color w:val="000000"/>
                <w:szCs w:val="21"/>
              </w:rPr>
            </w:pPr>
          </w:p>
        </w:tc>
        <w:tc>
          <w:tcPr>
            <w:tcW w:w="2402" w:type="dxa"/>
            <w:vAlign w:val="center"/>
          </w:tcPr>
          <w:p w14:paraId="032C65D3">
            <w:pPr>
              <w:pageBreakBefore w:val="0"/>
              <w:wordWrap/>
              <w:bidi w:val="0"/>
              <w:jc w:val="center"/>
              <w:outlineLvl w:val="9"/>
              <w:rPr>
                <w:rFonts w:ascii="宋体" w:hAnsi="宋体" w:cs="宋体"/>
                <w:color w:val="000000"/>
                <w:szCs w:val="21"/>
              </w:rPr>
            </w:pPr>
            <w:r>
              <w:rPr>
                <w:rFonts w:hint="eastAsia" w:ascii="宋体" w:hAnsi="宋体" w:cs="宋体"/>
                <w:color w:val="000000"/>
                <w:szCs w:val="21"/>
              </w:rPr>
              <w:t>总均方相对误差m</w:t>
            </w:r>
          </w:p>
          <w:p w14:paraId="07F071E9">
            <w:pPr>
              <w:pageBreakBefore w:val="0"/>
              <w:wordWrap/>
              <w:bidi w:val="0"/>
              <w:jc w:val="center"/>
              <w:outlineLvl w:val="9"/>
              <w:rPr>
                <w:rFonts w:ascii="宋体" w:hAnsi="宋体" w:cs="宋体"/>
                <w:color w:val="000000"/>
                <w:szCs w:val="21"/>
              </w:rPr>
            </w:pPr>
            <w:r>
              <w:rPr>
                <w:rFonts w:hint="eastAsia" w:ascii="宋体" w:hAnsi="宋体" w:cs="宋体"/>
                <w:color w:val="000000"/>
                <w:szCs w:val="21"/>
              </w:rPr>
              <w:t>（ηs&gt;3%时）</w:t>
            </w:r>
          </w:p>
        </w:tc>
        <w:tc>
          <w:tcPr>
            <w:tcW w:w="1953" w:type="dxa"/>
            <w:vAlign w:val="center"/>
          </w:tcPr>
          <w:p w14:paraId="3FFD435E">
            <w:pPr>
              <w:pageBreakBefore w:val="0"/>
              <w:wordWrap/>
              <w:bidi w:val="0"/>
              <w:jc w:val="center"/>
              <w:outlineLvl w:val="9"/>
              <w:rPr>
                <w:rFonts w:ascii="宋体" w:hAnsi="宋体" w:cs="宋体"/>
                <w:color w:val="000000"/>
                <w:szCs w:val="21"/>
              </w:rPr>
            </w:pPr>
            <w:r>
              <w:rPr>
                <w:rFonts w:hint="eastAsia" w:ascii="宋体" w:hAnsi="宋体" w:cs="宋体"/>
                <w:color w:val="000000"/>
                <w:szCs w:val="21"/>
              </w:rPr>
              <w:t>总均方误差ε</w:t>
            </w:r>
          </w:p>
          <w:p w14:paraId="3A9F6F85">
            <w:pPr>
              <w:pageBreakBefore w:val="0"/>
              <w:wordWrap/>
              <w:bidi w:val="0"/>
              <w:jc w:val="center"/>
              <w:outlineLvl w:val="9"/>
              <w:rPr>
                <w:rFonts w:ascii="宋体" w:hAnsi="宋体" w:cs="宋体"/>
                <w:color w:val="000000"/>
                <w:szCs w:val="21"/>
              </w:rPr>
            </w:pPr>
            <w:r>
              <w:rPr>
                <w:rFonts w:hint="eastAsia" w:ascii="宋体" w:hAnsi="宋体" w:cs="宋体"/>
                <w:color w:val="000000"/>
                <w:szCs w:val="21"/>
              </w:rPr>
              <w:t>（ηs&lt;3%时）</w:t>
            </w:r>
          </w:p>
        </w:tc>
        <w:tc>
          <w:tcPr>
            <w:tcW w:w="1885" w:type="dxa"/>
            <w:tcBorders>
              <w:right w:val="nil"/>
            </w:tcBorders>
            <w:vAlign w:val="center"/>
          </w:tcPr>
          <w:p w14:paraId="4F9984D9">
            <w:pPr>
              <w:pageBreakBefore w:val="0"/>
              <w:wordWrap/>
              <w:bidi w:val="0"/>
              <w:jc w:val="center"/>
              <w:outlineLvl w:val="9"/>
              <w:rPr>
                <w:rFonts w:ascii="宋体" w:hAnsi="宋体" w:cs="宋体"/>
                <w:color w:val="000000"/>
                <w:szCs w:val="21"/>
              </w:rPr>
            </w:pPr>
            <w:r>
              <w:rPr>
                <w:rFonts w:hint="eastAsia" w:ascii="宋体" w:hAnsi="宋体" w:cs="宋体"/>
                <w:color w:val="000000"/>
                <w:szCs w:val="21"/>
              </w:rPr>
              <w:t>总均方相对误差m</w:t>
            </w:r>
          </w:p>
        </w:tc>
      </w:tr>
      <w:tr w14:paraId="15CA9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7" w:type="dxa"/>
            <w:tcBorders>
              <w:left w:val="nil"/>
            </w:tcBorders>
            <w:vAlign w:val="center"/>
          </w:tcPr>
          <w:p w14:paraId="0D4C0330">
            <w:pPr>
              <w:pageBreakBefore w:val="0"/>
              <w:wordWrap/>
              <w:bidi w:val="0"/>
              <w:ind w:firstLine="420" w:firstLineChars="200"/>
              <w:outlineLvl w:val="9"/>
              <w:rPr>
                <w:rFonts w:ascii="宋体" w:hAnsi="宋体" w:cs="宋体"/>
                <w:color w:val="000000"/>
                <w:szCs w:val="21"/>
              </w:rPr>
            </w:pPr>
            <w:r>
              <w:rPr>
                <w:rFonts w:hint="eastAsia" w:ascii="宋体" w:hAnsi="宋体" w:cs="宋体"/>
                <w:color w:val="000000"/>
                <w:szCs w:val="21"/>
              </w:rPr>
              <w:t>剖面</w:t>
            </w:r>
          </w:p>
        </w:tc>
        <w:tc>
          <w:tcPr>
            <w:tcW w:w="1050" w:type="dxa"/>
            <w:vAlign w:val="center"/>
          </w:tcPr>
          <w:p w14:paraId="44A15463">
            <w:pPr>
              <w:pageBreakBefore w:val="0"/>
              <w:wordWrap/>
              <w:bidi w:val="0"/>
              <w:jc w:val="center"/>
              <w:outlineLvl w:val="9"/>
              <w:rPr>
                <w:rFonts w:ascii="宋体" w:hAnsi="宋体" w:cs="宋体"/>
                <w:color w:val="000000"/>
                <w:szCs w:val="21"/>
              </w:rPr>
            </w:pPr>
            <w:r>
              <w:rPr>
                <w:rFonts w:hint="eastAsia" w:ascii="宋体" w:hAnsi="宋体" w:cs="宋体"/>
                <w:color w:val="000000"/>
                <w:szCs w:val="21"/>
              </w:rPr>
              <w:t>＞5%</w:t>
            </w:r>
          </w:p>
        </w:tc>
        <w:tc>
          <w:tcPr>
            <w:tcW w:w="2402" w:type="dxa"/>
            <w:vAlign w:val="center"/>
          </w:tcPr>
          <w:p w14:paraId="77C6A0D0">
            <w:pPr>
              <w:pageBreakBefore w:val="0"/>
              <w:wordWrap/>
              <w:bidi w:val="0"/>
              <w:jc w:val="center"/>
              <w:outlineLvl w:val="9"/>
              <w:rPr>
                <w:rFonts w:ascii="宋体" w:hAnsi="宋体" w:cs="宋体"/>
                <w:color w:val="000000"/>
                <w:szCs w:val="21"/>
              </w:rPr>
            </w:pPr>
            <w:r>
              <w:rPr>
                <w:rFonts w:hint="eastAsia" w:ascii="宋体" w:hAnsi="宋体" w:cs="宋体"/>
                <w:color w:val="000000"/>
                <w:szCs w:val="21"/>
              </w:rPr>
              <w:t>7%</w:t>
            </w:r>
          </w:p>
        </w:tc>
        <w:tc>
          <w:tcPr>
            <w:tcW w:w="1953" w:type="dxa"/>
            <w:vAlign w:val="center"/>
          </w:tcPr>
          <w:p w14:paraId="41E1FB7E">
            <w:pPr>
              <w:pageBreakBefore w:val="0"/>
              <w:wordWrap/>
              <w:bidi w:val="0"/>
              <w:jc w:val="center"/>
              <w:outlineLvl w:val="9"/>
              <w:rPr>
                <w:rFonts w:ascii="宋体" w:hAnsi="宋体" w:cs="宋体"/>
                <w:color w:val="000000"/>
                <w:szCs w:val="21"/>
              </w:rPr>
            </w:pPr>
            <w:r>
              <w:rPr>
                <w:rFonts w:hint="eastAsia" w:ascii="宋体" w:hAnsi="宋体" w:cs="宋体"/>
                <w:color w:val="000000"/>
                <w:szCs w:val="21"/>
              </w:rPr>
              <w:t>0.21</w:t>
            </w:r>
          </w:p>
        </w:tc>
        <w:tc>
          <w:tcPr>
            <w:tcW w:w="1885" w:type="dxa"/>
            <w:tcBorders>
              <w:right w:val="nil"/>
            </w:tcBorders>
            <w:vAlign w:val="center"/>
          </w:tcPr>
          <w:p w14:paraId="695E5471">
            <w:pPr>
              <w:pageBreakBefore w:val="0"/>
              <w:wordWrap/>
              <w:bidi w:val="0"/>
              <w:jc w:val="center"/>
              <w:outlineLvl w:val="9"/>
              <w:rPr>
                <w:rFonts w:ascii="宋体" w:hAnsi="宋体" w:cs="宋体"/>
                <w:color w:val="000000"/>
                <w:szCs w:val="21"/>
              </w:rPr>
            </w:pPr>
            <w:r>
              <w:rPr>
                <w:rFonts w:hint="eastAsia" w:ascii="宋体" w:hAnsi="宋体" w:cs="宋体"/>
                <w:color w:val="000000"/>
                <w:szCs w:val="21"/>
              </w:rPr>
              <w:t>7%</w:t>
            </w:r>
          </w:p>
        </w:tc>
      </w:tr>
    </w:tbl>
    <w:p w14:paraId="5832F1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3.激电测深</w:t>
      </w:r>
    </w:p>
    <w:p w14:paraId="71A390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本次测深工作采用对称四极测深装置，采用等比装置，根据实地信号和干扰强弱，选择MN/AB=1/10。最小AB/2极距应使测深曲线有前支渐近线。最小AB/2为1.5m或3m，如果只是求出极化体顶端埋藏深度，可不测出后支渐近线。如果需要求出极化体中心埋深及下延深度，则测深曲线尾支获得明显的渐近线，或反映目标体上升（或下降）的拐点之后应有三个电极距数据值。结合工作区地形及工程布置情况，建议最大AB/2为900。</w:t>
      </w:r>
    </w:p>
    <w:p w14:paraId="25AD46D9">
      <w:pPr>
        <w:pageBreakBefore w:val="0"/>
        <w:wordWrap/>
        <w:bidi w:val="0"/>
        <w:spacing w:line="360" w:lineRule="auto"/>
        <w:ind w:firstLine="422" w:firstLineChars="200"/>
        <w:jc w:val="center"/>
        <w:outlineLvl w:val="9"/>
        <w:rPr>
          <w:rFonts w:ascii="宋体" w:hAnsi="宋体" w:cs="宋体"/>
          <w:b/>
          <w:color w:val="000000"/>
          <w:szCs w:val="21"/>
        </w:rPr>
      </w:pPr>
      <w:r>
        <w:rPr>
          <w:rFonts w:hint="eastAsia" w:ascii="宋体" w:hAnsi="宋体" w:cs="宋体"/>
          <w:b/>
          <w:color w:val="000000"/>
          <w:szCs w:val="21"/>
        </w:rPr>
        <w:t>表4-2  激电测深极距布设表</w:t>
      </w:r>
    </w:p>
    <w:tbl>
      <w:tblPr>
        <w:tblStyle w:val="4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612"/>
        <w:gridCol w:w="612"/>
        <w:gridCol w:w="513"/>
        <w:gridCol w:w="612"/>
        <w:gridCol w:w="513"/>
        <w:gridCol w:w="513"/>
        <w:gridCol w:w="513"/>
        <w:gridCol w:w="414"/>
        <w:gridCol w:w="513"/>
        <w:gridCol w:w="414"/>
        <w:gridCol w:w="513"/>
        <w:gridCol w:w="513"/>
        <w:gridCol w:w="513"/>
        <w:gridCol w:w="513"/>
        <w:gridCol w:w="513"/>
      </w:tblGrid>
      <w:tr w14:paraId="45F3F8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8" w:type="dxa"/>
            <w:vAlign w:val="center"/>
          </w:tcPr>
          <w:p w14:paraId="0D288408">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极距排列</w:t>
            </w:r>
          </w:p>
        </w:tc>
        <w:tc>
          <w:tcPr>
            <w:tcW w:w="612" w:type="dxa"/>
            <w:vAlign w:val="center"/>
          </w:tcPr>
          <w:p w14:paraId="670AA589">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1</w:t>
            </w:r>
          </w:p>
        </w:tc>
        <w:tc>
          <w:tcPr>
            <w:tcW w:w="612" w:type="dxa"/>
            <w:vAlign w:val="center"/>
          </w:tcPr>
          <w:p w14:paraId="1DB9EE06">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2</w:t>
            </w:r>
          </w:p>
        </w:tc>
        <w:tc>
          <w:tcPr>
            <w:tcW w:w="513" w:type="dxa"/>
            <w:vAlign w:val="center"/>
          </w:tcPr>
          <w:p w14:paraId="7DE3D64C">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3</w:t>
            </w:r>
          </w:p>
        </w:tc>
        <w:tc>
          <w:tcPr>
            <w:tcW w:w="612" w:type="dxa"/>
            <w:vAlign w:val="center"/>
          </w:tcPr>
          <w:p w14:paraId="4E2DF025">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4</w:t>
            </w:r>
          </w:p>
        </w:tc>
        <w:tc>
          <w:tcPr>
            <w:tcW w:w="513" w:type="dxa"/>
            <w:vAlign w:val="center"/>
          </w:tcPr>
          <w:p w14:paraId="0E8E23F7">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5</w:t>
            </w:r>
          </w:p>
        </w:tc>
        <w:tc>
          <w:tcPr>
            <w:tcW w:w="513" w:type="dxa"/>
            <w:vAlign w:val="center"/>
          </w:tcPr>
          <w:p w14:paraId="1EA2FB70">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6</w:t>
            </w:r>
          </w:p>
        </w:tc>
        <w:tc>
          <w:tcPr>
            <w:tcW w:w="513" w:type="dxa"/>
            <w:vAlign w:val="center"/>
          </w:tcPr>
          <w:p w14:paraId="118E776C">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7</w:t>
            </w:r>
          </w:p>
        </w:tc>
        <w:tc>
          <w:tcPr>
            <w:tcW w:w="414" w:type="dxa"/>
            <w:vAlign w:val="center"/>
          </w:tcPr>
          <w:p w14:paraId="3ABD8DFA">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8</w:t>
            </w:r>
          </w:p>
        </w:tc>
        <w:tc>
          <w:tcPr>
            <w:tcW w:w="513" w:type="dxa"/>
            <w:vAlign w:val="center"/>
          </w:tcPr>
          <w:p w14:paraId="3F34524C">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9</w:t>
            </w:r>
          </w:p>
        </w:tc>
        <w:tc>
          <w:tcPr>
            <w:tcW w:w="414" w:type="dxa"/>
            <w:vAlign w:val="center"/>
          </w:tcPr>
          <w:p w14:paraId="1543CA36">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10</w:t>
            </w:r>
          </w:p>
        </w:tc>
        <w:tc>
          <w:tcPr>
            <w:tcW w:w="513" w:type="dxa"/>
            <w:vAlign w:val="center"/>
          </w:tcPr>
          <w:p w14:paraId="2CB9FCFC">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11</w:t>
            </w:r>
          </w:p>
        </w:tc>
        <w:tc>
          <w:tcPr>
            <w:tcW w:w="513" w:type="dxa"/>
            <w:vAlign w:val="center"/>
          </w:tcPr>
          <w:p w14:paraId="2787848A">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12</w:t>
            </w:r>
          </w:p>
        </w:tc>
        <w:tc>
          <w:tcPr>
            <w:tcW w:w="513" w:type="dxa"/>
            <w:vAlign w:val="center"/>
          </w:tcPr>
          <w:p w14:paraId="3CAC8241">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13</w:t>
            </w:r>
          </w:p>
        </w:tc>
        <w:tc>
          <w:tcPr>
            <w:tcW w:w="513" w:type="dxa"/>
            <w:vAlign w:val="center"/>
          </w:tcPr>
          <w:p w14:paraId="7A8F660B">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14</w:t>
            </w:r>
          </w:p>
        </w:tc>
        <w:tc>
          <w:tcPr>
            <w:tcW w:w="513" w:type="dxa"/>
            <w:vAlign w:val="center"/>
          </w:tcPr>
          <w:p w14:paraId="353C0726">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15</w:t>
            </w:r>
          </w:p>
        </w:tc>
      </w:tr>
      <w:tr w14:paraId="70DD1D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8" w:type="dxa"/>
            <w:vAlign w:val="center"/>
          </w:tcPr>
          <w:p w14:paraId="1B691CFA">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AB/2(m)</w:t>
            </w:r>
          </w:p>
        </w:tc>
        <w:tc>
          <w:tcPr>
            <w:tcW w:w="612" w:type="dxa"/>
            <w:vAlign w:val="center"/>
          </w:tcPr>
          <w:p w14:paraId="06066143">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1.5</w:t>
            </w:r>
          </w:p>
        </w:tc>
        <w:tc>
          <w:tcPr>
            <w:tcW w:w="612" w:type="dxa"/>
            <w:vAlign w:val="center"/>
          </w:tcPr>
          <w:p w14:paraId="55084E58">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2.5</w:t>
            </w:r>
          </w:p>
        </w:tc>
        <w:tc>
          <w:tcPr>
            <w:tcW w:w="513" w:type="dxa"/>
            <w:vAlign w:val="center"/>
          </w:tcPr>
          <w:p w14:paraId="7AAF07F6">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4</w:t>
            </w:r>
          </w:p>
        </w:tc>
        <w:tc>
          <w:tcPr>
            <w:tcW w:w="612" w:type="dxa"/>
            <w:vAlign w:val="center"/>
          </w:tcPr>
          <w:p w14:paraId="0997CB98">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6.5</w:t>
            </w:r>
          </w:p>
        </w:tc>
        <w:tc>
          <w:tcPr>
            <w:tcW w:w="513" w:type="dxa"/>
            <w:vAlign w:val="center"/>
          </w:tcPr>
          <w:p w14:paraId="5BBAD689">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9</w:t>
            </w:r>
          </w:p>
        </w:tc>
        <w:tc>
          <w:tcPr>
            <w:tcW w:w="513" w:type="dxa"/>
            <w:vAlign w:val="center"/>
          </w:tcPr>
          <w:p w14:paraId="74946BE6">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15</w:t>
            </w:r>
          </w:p>
        </w:tc>
        <w:tc>
          <w:tcPr>
            <w:tcW w:w="513" w:type="dxa"/>
            <w:vAlign w:val="center"/>
          </w:tcPr>
          <w:p w14:paraId="01E37B02">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25</w:t>
            </w:r>
          </w:p>
        </w:tc>
        <w:tc>
          <w:tcPr>
            <w:tcW w:w="414" w:type="dxa"/>
            <w:vAlign w:val="center"/>
          </w:tcPr>
          <w:p w14:paraId="79CD741C">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40</w:t>
            </w:r>
          </w:p>
        </w:tc>
        <w:tc>
          <w:tcPr>
            <w:tcW w:w="513" w:type="dxa"/>
            <w:vAlign w:val="center"/>
          </w:tcPr>
          <w:p w14:paraId="12A52076">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65</w:t>
            </w:r>
          </w:p>
        </w:tc>
        <w:tc>
          <w:tcPr>
            <w:tcW w:w="414" w:type="dxa"/>
            <w:vAlign w:val="center"/>
          </w:tcPr>
          <w:p w14:paraId="3966B745">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90</w:t>
            </w:r>
          </w:p>
        </w:tc>
        <w:tc>
          <w:tcPr>
            <w:tcW w:w="513" w:type="dxa"/>
            <w:vAlign w:val="center"/>
          </w:tcPr>
          <w:p w14:paraId="305ED0EA">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150</w:t>
            </w:r>
          </w:p>
        </w:tc>
        <w:tc>
          <w:tcPr>
            <w:tcW w:w="513" w:type="dxa"/>
            <w:vAlign w:val="center"/>
          </w:tcPr>
          <w:p w14:paraId="59391C9D">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250</w:t>
            </w:r>
          </w:p>
        </w:tc>
        <w:tc>
          <w:tcPr>
            <w:tcW w:w="513" w:type="dxa"/>
            <w:vAlign w:val="center"/>
          </w:tcPr>
          <w:p w14:paraId="44ED8FFE">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400</w:t>
            </w:r>
          </w:p>
        </w:tc>
        <w:tc>
          <w:tcPr>
            <w:tcW w:w="513" w:type="dxa"/>
            <w:vAlign w:val="center"/>
          </w:tcPr>
          <w:p w14:paraId="06940DA4">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650</w:t>
            </w:r>
          </w:p>
        </w:tc>
        <w:tc>
          <w:tcPr>
            <w:tcW w:w="513" w:type="dxa"/>
            <w:vAlign w:val="center"/>
          </w:tcPr>
          <w:p w14:paraId="4421FDBD">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900</w:t>
            </w:r>
          </w:p>
        </w:tc>
      </w:tr>
      <w:tr w14:paraId="40DBE4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8" w:type="dxa"/>
            <w:vAlign w:val="center"/>
          </w:tcPr>
          <w:p w14:paraId="2AA20855">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MN/2(m)</w:t>
            </w:r>
          </w:p>
        </w:tc>
        <w:tc>
          <w:tcPr>
            <w:tcW w:w="612" w:type="dxa"/>
            <w:vAlign w:val="center"/>
          </w:tcPr>
          <w:p w14:paraId="7D2175F0">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0.15</w:t>
            </w:r>
          </w:p>
        </w:tc>
        <w:tc>
          <w:tcPr>
            <w:tcW w:w="612" w:type="dxa"/>
            <w:vAlign w:val="center"/>
          </w:tcPr>
          <w:p w14:paraId="7E5DD997">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0.25</w:t>
            </w:r>
          </w:p>
        </w:tc>
        <w:tc>
          <w:tcPr>
            <w:tcW w:w="513" w:type="dxa"/>
            <w:vAlign w:val="center"/>
          </w:tcPr>
          <w:p w14:paraId="0502DB4F">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0.4</w:t>
            </w:r>
          </w:p>
        </w:tc>
        <w:tc>
          <w:tcPr>
            <w:tcW w:w="612" w:type="dxa"/>
            <w:vAlign w:val="center"/>
          </w:tcPr>
          <w:p w14:paraId="27C3C407">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0.65</w:t>
            </w:r>
          </w:p>
        </w:tc>
        <w:tc>
          <w:tcPr>
            <w:tcW w:w="513" w:type="dxa"/>
            <w:vAlign w:val="center"/>
          </w:tcPr>
          <w:p w14:paraId="204E67EA">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0.9</w:t>
            </w:r>
          </w:p>
        </w:tc>
        <w:tc>
          <w:tcPr>
            <w:tcW w:w="513" w:type="dxa"/>
            <w:vAlign w:val="center"/>
          </w:tcPr>
          <w:p w14:paraId="3E1F8E77">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1.5</w:t>
            </w:r>
          </w:p>
        </w:tc>
        <w:tc>
          <w:tcPr>
            <w:tcW w:w="513" w:type="dxa"/>
            <w:vAlign w:val="center"/>
          </w:tcPr>
          <w:p w14:paraId="183EAEAB">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2.5</w:t>
            </w:r>
          </w:p>
        </w:tc>
        <w:tc>
          <w:tcPr>
            <w:tcW w:w="414" w:type="dxa"/>
            <w:vAlign w:val="center"/>
          </w:tcPr>
          <w:p w14:paraId="0FC0E92D">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4</w:t>
            </w:r>
          </w:p>
        </w:tc>
        <w:tc>
          <w:tcPr>
            <w:tcW w:w="513" w:type="dxa"/>
            <w:vAlign w:val="center"/>
          </w:tcPr>
          <w:p w14:paraId="5A85D44C">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6.5</w:t>
            </w:r>
          </w:p>
        </w:tc>
        <w:tc>
          <w:tcPr>
            <w:tcW w:w="414" w:type="dxa"/>
            <w:vAlign w:val="center"/>
          </w:tcPr>
          <w:p w14:paraId="4B754874">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9</w:t>
            </w:r>
          </w:p>
        </w:tc>
        <w:tc>
          <w:tcPr>
            <w:tcW w:w="513" w:type="dxa"/>
            <w:vAlign w:val="center"/>
          </w:tcPr>
          <w:p w14:paraId="5E84789E">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15</w:t>
            </w:r>
          </w:p>
        </w:tc>
        <w:tc>
          <w:tcPr>
            <w:tcW w:w="513" w:type="dxa"/>
            <w:vAlign w:val="center"/>
          </w:tcPr>
          <w:p w14:paraId="70B1DCDA">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25</w:t>
            </w:r>
          </w:p>
        </w:tc>
        <w:tc>
          <w:tcPr>
            <w:tcW w:w="513" w:type="dxa"/>
            <w:vAlign w:val="center"/>
          </w:tcPr>
          <w:p w14:paraId="2FB18472">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40</w:t>
            </w:r>
          </w:p>
        </w:tc>
        <w:tc>
          <w:tcPr>
            <w:tcW w:w="513" w:type="dxa"/>
            <w:vAlign w:val="center"/>
          </w:tcPr>
          <w:p w14:paraId="413D3681">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65</w:t>
            </w:r>
          </w:p>
        </w:tc>
        <w:tc>
          <w:tcPr>
            <w:tcW w:w="513" w:type="dxa"/>
            <w:vAlign w:val="center"/>
          </w:tcPr>
          <w:p w14:paraId="2F9A99E3">
            <w:pPr>
              <w:pageBreakBefore w:val="0"/>
              <w:wordWrap/>
              <w:bidi w:val="0"/>
              <w:spacing w:line="320" w:lineRule="exact"/>
              <w:outlineLvl w:val="9"/>
              <w:rPr>
                <w:rFonts w:ascii="宋体" w:hAnsi="宋体" w:cs="宋体"/>
                <w:color w:val="000000"/>
                <w:spacing w:val="-6"/>
                <w:sz w:val="18"/>
                <w:szCs w:val="18"/>
              </w:rPr>
            </w:pPr>
            <w:r>
              <w:rPr>
                <w:rFonts w:hint="eastAsia" w:ascii="宋体" w:hAnsi="宋体" w:cs="宋体"/>
                <w:color w:val="000000"/>
                <w:spacing w:val="-6"/>
                <w:sz w:val="18"/>
                <w:szCs w:val="18"/>
              </w:rPr>
              <w:t>90</w:t>
            </w:r>
          </w:p>
        </w:tc>
      </w:tr>
    </w:tbl>
    <w:p w14:paraId="153930A0">
      <w:pPr>
        <w:pageBreakBefore w:val="0"/>
        <w:wordWrap/>
        <w:bidi w:val="0"/>
        <w:spacing w:line="100" w:lineRule="exact"/>
        <w:ind w:firstLine="560" w:firstLineChars="200"/>
        <w:outlineLvl w:val="9"/>
        <w:rPr>
          <w:rFonts w:ascii="仿宋_GB2312" w:hAnsi="宋体" w:eastAsia="仿宋_GB2312" w:cs="宋体"/>
          <w:color w:val="000000"/>
          <w:sz w:val="28"/>
          <w:szCs w:val="28"/>
        </w:rPr>
      </w:pPr>
    </w:p>
    <w:p w14:paraId="6BF5752C">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使用“找ΔU1升(降)沿同步”的仪器系统，一般要求一次场ΔU1(或总场ΔU)大于或等于5 mV(有干扰时应明显大子干扰强度，且不低于10 m V)；使用"其他方式同步"的仪器系统，一般要求一次场ΔU1(或总场ΔU)大于或等于3mV(有干扰时应明显大于干扰强度，且不低于6mV)。</w:t>
      </w:r>
    </w:p>
    <w:p w14:paraId="203EBAF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ΔU2一般要求大于0.3mV；在干扰较小的地区，应大于1mV；在明显干扰的地区，ΔU2宜大于干扰信号幅度的3倍。</w:t>
      </w:r>
    </w:p>
    <w:p w14:paraId="0091F89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选择二次场多块采样输出模式，固定仪器内设叠加次数为1次，进行多次观测;当出现两次观测值满足衰减规律(即ηs1&gt;ηs2&gt;ηs3&gt;0)且首块极化率值相近时，即为合格数据；两次首块极化率值相近指的是当ηs1&gt;3%时，两次观测值的相对误差δ≤20%；可ηs1&lt;3%时，两次差值的绝对值Δ≤1%。</w:t>
      </w:r>
    </w:p>
    <w:p w14:paraId="2B7E4A2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相邻点视极化率值突变、仪器读数不稳或显示出超差等错误指示信息时，应分别检查仪器及其外部回路是否存在问题，观测周围是否存在人文干扰因素，并采取重复观测等措施以查明原因；必要时，应逐点回测至与3个正常点的观测值相符或相近。</w:t>
      </w:r>
    </w:p>
    <w:p w14:paraId="3C1F19B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视极化率重复观测的取数要求:</w:t>
      </w:r>
    </w:p>
    <w:p w14:paraId="66344CD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参与平均的一组ηs中，最大值与最小值之差与其平均值之比不得超过</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hint="eastAsia" w:ascii="仿宋" w:hAnsi="仿宋" w:eastAsia="仿宋" w:cs="仿宋"/>
          <w:sz w:val="24"/>
          <w:szCs w:val="24"/>
        </w:rPr>
        <w:drawing>
          <wp:inline distT="0" distB="0" distL="0" distR="0">
            <wp:extent cx="300355" cy="198120"/>
            <wp:effectExtent l="0" t="0" r="444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00355" cy="198120"/>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ascii="仿宋" w:hAnsi="仿宋" w:eastAsia="仿宋" w:cs="仿宋"/>
          <w:sz w:val="24"/>
          <w:szCs w:val="24"/>
        </w:rPr>
        <w:instrText xml:space="preserve"> \* MERGEFORMAT </w:instrText>
      </w:r>
      <w:r>
        <w:rPr>
          <w:rFonts w:hint="eastAsia" w:ascii="仿宋" w:hAnsi="仿宋" w:eastAsia="仿宋" w:cs="仿宋"/>
          <w:sz w:val="24"/>
          <w:szCs w:val="24"/>
        </w:rPr>
        <w:fldChar w:fldCharType="end"/>
      </w:r>
      <w:r>
        <w:rPr>
          <w:rFonts w:hint="eastAsia" w:ascii="仿宋" w:hAnsi="仿宋" w:eastAsia="仿宋" w:cs="仿宋"/>
          <w:sz w:val="24"/>
          <w:szCs w:val="24"/>
        </w:rPr>
        <w:drawing>
          <wp:inline distT="0" distB="0" distL="0" distR="0">
            <wp:extent cx="300355" cy="198120"/>
            <wp:effectExtent l="0" t="0" r="4445"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clrChange>
                        <a:clrFrom>
                          <a:srgbClr val="FFFFFF"/>
                        </a:clrFrom>
                        <a:clrTo>
                          <a:srgbClr val="FFFFFF">
                            <a:alpha val="0"/>
                          </a:srgbClr>
                        </a:clrTo>
                      </a:clrChange>
                      <a:lum bright="30000"/>
                      <a:extLst>
                        <a:ext uri="{28A0092B-C50C-407E-A947-70E740481C1C}">
                          <a14:useLocalDpi xmlns:a14="http://schemas.microsoft.com/office/drawing/2010/main" val="0"/>
                        </a:ext>
                      </a:extLst>
                    </a:blip>
                    <a:srcRect/>
                    <a:stretch>
                      <a:fillRect/>
                    </a:stretch>
                  </pic:blipFill>
                  <pic:spPr>
                    <a:xfrm>
                      <a:off x="0" y="0"/>
                      <a:ext cx="300355" cy="198120"/>
                    </a:xfrm>
                    <a:prstGeom prst="rect">
                      <a:avLst/>
                    </a:prstGeom>
                    <a:noFill/>
                    <a:ln>
                      <a:noFill/>
                    </a:ln>
                  </pic:spPr>
                </pic:pic>
              </a:graphicData>
            </a:graphic>
          </wp:inline>
        </w:drawing>
      </w:r>
      <w:r>
        <w:rPr>
          <w:rFonts w:hint="eastAsia" w:ascii="仿宋" w:hAnsi="仿宋" w:eastAsia="仿宋" w:cs="仿宋"/>
          <w:sz w:val="24"/>
          <w:szCs w:val="24"/>
        </w:rPr>
        <w:t>m，在需要用均方误差衡量观测质量的地段，最大值与最小值之差不得大于</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hint="eastAsia" w:ascii="仿宋" w:hAnsi="仿宋" w:eastAsia="仿宋" w:cs="仿宋"/>
          <w:sz w:val="24"/>
          <w:szCs w:val="24"/>
        </w:rPr>
        <w:drawing>
          <wp:inline distT="0" distB="0" distL="0" distR="0">
            <wp:extent cx="300355" cy="198120"/>
            <wp:effectExtent l="0" t="0" r="444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00355" cy="198120"/>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ascii="仿宋" w:hAnsi="仿宋" w:eastAsia="仿宋" w:cs="仿宋"/>
          <w:sz w:val="24"/>
          <w:szCs w:val="24"/>
        </w:rPr>
        <w:instrText xml:space="preserve"> \* MERGEFORMAT </w:instrText>
      </w:r>
      <w:r>
        <w:rPr>
          <w:rFonts w:hint="eastAsia" w:ascii="仿宋" w:hAnsi="仿宋" w:eastAsia="仿宋" w:cs="仿宋"/>
          <w:sz w:val="24"/>
          <w:szCs w:val="24"/>
        </w:rPr>
        <w:fldChar w:fldCharType="end"/>
      </w:r>
      <w:r>
        <w:rPr>
          <w:rFonts w:hint="eastAsia" w:ascii="仿宋" w:hAnsi="仿宋" w:eastAsia="仿宋" w:cs="仿宋"/>
          <w:sz w:val="24"/>
          <w:szCs w:val="24"/>
        </w:rPr>
        <w:drawing>
          <wp:inline distT="0" distB="0" distL="0" distR="0">
            <wp:extent cx="300355" cy="198120"/>
            <wp:effectExtent l="0" t="0" r="444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clrChange>
                        <a:clrFrom>
                          <a:srgbClr val="FFFFFF"/>
                        </a:clrFrom>
                        <a:clrTo>
                          <a:srgbClr val="FFFFFF">
                            <a:alpha val="0"/>
                          </a:srgbClr>
                        </a:clrTo>
                      </a:clrChange>
                      <a:lum bright="30000"/>
                      <a:extLst>
                        <a:ext uri="{28A0092B-C50C-407E-A947-70E740481C1C}">
                          <a14:useLocalDpi xmlns:a14="http://schemas.microsoft.com/office/drawing/2010/main" val="0"/>
                        </a:ext>
                      </a:extLst>
                    </a:blip>
                    <a:srcRect/>
                    <a:stretch>
                      <a:fillRect/>
                    </a:stretch>
                  </pic:blipFill>
                  <pic:spPr>
                    <a:xfrm>
                      <a:off x="0" y="0"/>
                      <a:ext cx="300355" cy="198120"/>
                    </a:xfrm>
                    <a:prstGeom prst="rect">
                      <a:avLst/>
                    </a:prstGeom>
                    <a:noFill/>
                    <a:ln>
                      <a:noFill/>
                    </a:ln>
                  </pic:spPr>
                </pic:pic>
              </a:graphicData>
            </a:graphic>
          </wp:inline>
        </w:drawing>
      </w:r>
      <w:r>
        <w:rPr>
          <w:rFonts w:hint="eastAsia" w:ascii="仿宋" w:hAnsi="仿宋" w:eastAsia="仿宋" w:cs="仿宋"/>
          <w:sz w:val="24"/>
          <w:szCs w:val="24"/>
        </w:rPr>
        <w:t>ε(m、ε分别为设计观测均方相对误差与均方误差，n为参与平均的观测次数)。</w:t>
      </w:r>
    </w:p>
    <w:p w14:paraId="2F2A4BA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误差过大的观测数据可不参与计算平均值，但舍去的次数应少于总观测次数的三分之一(因某些故障或突然性干扰影响缸中断的观测，不做舍数计算)；若超限的观测数据过多，说明不具备观测所要求的基本条件(干扰太大，或仪器、电源、线路有问题)，应停止观测，进行检查和处理。</w:t>
      </w:r>
    </w:p>
    <w:p w14:paraId="0BB9EC2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重复观测数据应作为原始观测数据对待，并应对一组重复观测的有效数据计算算术平均值，以此平均值作为该观测点最终的基本观测数据。</w:t>
      </w:r>
    </w:p>
    <w:p w14:paraId="3DEF9D2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使用一台仪器工作时采用“二同二不同”（同点位、同仪器、不同操作者、不同日期）方式；使用多台仪器工作时，采用“一同三不同”（同点位、不同仪器、不同操作者、不同日期）方式。检查点分布均匀，检查点应不小于总点数的3%。视极化率异常观测精度采用总均方误差衡量，并绘制出质量检查曲线与误差分布曲线图。激电测深工作精度指标如下(见表4-3)：</w:t>
      </w:r>
    </w:p>
    <w:p w14:paraId="06F1CDBE">
      <w:pPr>
        <w:pageBreakBefore w:val="0"/>
        <w:wordWrap/>
        <w:bidi w:val="0"/>
        <w:spacing w:line="360" w:lineRule="auto"/>
        <w:jc w:val="center"/>
        <w:outlineLvl w:val="9"/>
        <w:rPr>
          <w:rFonts w:ascii="宋体" w:hAnsi="宋体" w:cs="仿宋_GB2312"/>
          <w:b/>
          <w:color w:val="000000"/>
          <w:szCs w:val="21"/>
        </w:rPr>
      </w:pPr>
      <w:r>
        <w:rPr>
          <w:rFonts w:hint="eastAsia" w:ascii="宋体" w:hAnsi="宋体" w:cs="仿宋_GB2312"/>
          <w:b/>
          <w:color w:val="000000"/>
          <w:szCs w:val="21"/>
        </w:rPr>
        <w:t>表4-3  激电测量精度指标</w:t>
      </w:r>
    </w:p>
    <w:tbl>
      <w:tblPr>
        <w:tblStyle w:val="4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1038"/>
        <w:gridCol w:w="2108"/>
        <w:gridCol w:w="1810"/>
        <w:gridCol w:w="2308"/>
      </w:tblGrid>
      <w:tr w14:paraId="3B26A5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3" w:type="dxa"/>
            <w:vMerge w:val="restart"/>
            <w:vAlign w:val="center"/>
          </w:tcPr>
          <w:p w14:paraId="733DABC1">
            <w:pPr>
              <w:pageBreakBefore w:val="0"/>
              <w:wordWrap/>
              <w:bidi w:val="0"/>
              <w:jc w:val="center"/>
              <w:outlineLvl w:val="9"/>
              <w:rPr>
                <w:rFonts w:ascii="宋体" w:hAnsi="宋体" w:cs="宋体"/>
                <w:color w:val="000000"/>
                <w:sz w:val="18"/>
                <w:szCs w:val="18"/>
              </w:rPr>
            </w:pPr>
            <w:r>
              <w:rPr>
                <w:rFonts w:hint="eastAsia" w:ascii="宋体" w:hAnsi="宋体" w:cs="宋体"/>
                <w:color w:val="000000"/>
                <w:szCs w:val="21"/>
              </w:rPr>
              <mc:AlternateContent>
                <mc:Choice Requires="wps">
                  <w:drawing>
                    <wp:anchor distT="0" distB="0" distL="114300" distR="114300" simplePos="0" relativeHeight="251665408" behindDoc="0" locked="0" layoutInCell="1" allowOverlap="1">
                      <wp:simplePos x="0" y="0"/>
                      <wp:positionH relativeFrom="column">
                        <wp:posOffset>-54610</wp:posOffset>
                      </wp:positionH>
                      <wp:positionV relativeFrom="paragraph">
                        <wp:posOffset>26035</wp:posOffset>
                      </wp:positionV>
                      <wp:extent cx="934720" cy="540385"/>
                      <wp:effectExtent l="2540" t="3810" r="5715" b="8255"/>
                      <wp:wrapNone/>
                      <wp:docPr id="8" name="任意多边形 8"/>
                      <wp:cNvGraphicFramePr/>
                      <a:graphic xmlns:a="http://schemas.openxmlformats.org/drawingml/2006/main">
                        <a:graphicData uri="http://schemas.microsoft.com/office/word/2010/wordprocessingShape">
                          <wps:wsp>
                            <wps:cNvSpPr/>
                            <wps:spPr bwMode="auto">
                              <a:xfrm>
                                <a:off x="0" y="0"/>
                                <a:ext cx="934720" cy="540385"/>
                              </a:xfrm>
                              <a:custGeom>
                                <a:avLst/>
                                <a:gdLst>
                                  <a:gd name="T0" fmla="*/ 0 w 1507"/>
                                  <a:gd name="T1" fmla="*/ 0 h 750"/>
                                  <a:gd name="T2" fmla="*/ 1507 w 1507"/>
                                  <a:gd name="T3" fmla="*/ 750 h 750"/>
                                  <a:gd name="T4" fmla="*/ 0 w 1507"/>
                                  <a:gd name="T5" fmla="*/ 0 h 750"/>
                                  <a:gd name="T6" fmla="*/ 956310 w 1507"/>
                                  <a:gd name="T7" fmla="*/ 518795 h 750"/>
                                </a:gdLst>
                                <a:ahLst/>
                                <a:cxnLst>
                                  <a:cxn ang="0">
                                    <a:pos x="T0" y="T1"/>
                                  </a:cxn>
                                  <a:cxn ang="0">
                                    <a:pos x="T2" y="T3"/>
                                  </a:cxn>
                                </a:cxnLst>
                                <a:rect l="T4" t="T5" r="T6" b="T7"/>
                                <a:pathLst>
                                  <a:path w="1507" h="750">
                                    <a:moveTo>
                                      <a:pt x="0" y="0"/>
                                    </a:moveTo>
                                    <a:lnTo>
                                      <a:pt x="1507" y="750"/>
                                    </a:lnTo>
                                  </a:path>
                                </a:pathLst>
                              </a:custGeom>
                              <a:solidFill>
                                <a:srgbClr val="FFFFFF"/>
                              </a:solidFill>
                              <a:ln w="317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3pt;margin-top:2.05pt;height:42.55pt;width:73.6pt;z-index:251665408;mso-width-relative:page;mso-height-relative:page;" fillcolor="#FFFFFF" filled="t" stroked="t" coordsize="1507,750" o:gfxdata="UEsDBAoAAAAAAIdO4kAAAAAAAAAAAAAAAAAEAAAAZHJzL1BLAwQUAAAACACHTuJAISiKZNYAAAAH&#10;AQAADwAAAGRycy9kb3ducmV2LnhtbE2OwU6DQBRF9yb+w+SZuGsHqmkQeTQR04ULTURNdDcwTyAy&#10;bwgz0Navd1jV5c29Ofdku6PpxUyj6ywjxOsIBHFtdccNwvvbfpWAcF6xVr1lQjiRg11+eZGpVNsD&#10;v9Jc+kYECLtUIbTeD6mUrm7JKLe2A3Hovu1olA9xbKQe1SHATS83UbSVRnUcHlo1UNFS/VNOJpwk&#10;z1U5Faf5sSnkQ7l/efr8+P1CvL6Ko3sQno7+PIZFP6hDHpwqO7F2okdYJduwRLiNQSz1zZIrhORu&#10;AzLP5H///A9QSwMEFAAAAAgAh07iQL+HQ9XxAgAAnwYAAA4AAABkcnMvZTJvRG9jLnhtbK1VS27b&#10;MBTcF+gdCC0LNJJsK/4gSlAkSFGgnwBRD0BTlCVAIlWStpyuu+++y6KXKIL2NE3RY3RIybacxkAW&#10;9UIgxdG892b4nk/O1lVJVlzpQorYC48Cj3DBZFqIRey9Ty6fTzyiDRUpLaXgsXfDtXd2+vTJSVPP&#10;+EDmsky5IiARetbUsZcbU898X7OcV1QfyZoLHGZSVdRgqxZ+qmgD9qr0B0Fw7DdSpbWSjGuNtxft&#10;odcxqscQyiwrGL+QbFlxYVpWxUtqUJLOi1p7py7bLOPMvMsyzQ0pYw+VGvdEEKzn9umfntDZQtE6&#10;L1iXAn1MCvdqqmghEHRLdUENJUtV/ENVFUxJLTNzxGTlt4U4RVBFGNzT5jqnNXe1QGpdb0XX/4+W&#10;vV1dKVKksQfbBa1g+K/b29+fPt99+/Ln5/e7H1/JxIrU1HoG7HV9pbqdxpLMmzcyxTd0aaSrf52p&#10;yuqAysjayXyzlZmvDWF4OR2OxgMYwHAUjYLhJLIRfDrbfMyW2rzk0hHR1WttWpdSrJzGaZdpApKs&#10;KmHYM58EpCFhFIw7S7eYcA+Tk3G0cX0LGfQgluIA07AHAwt5kGvUAx1KKdrDPEhz3INMo+NheIhr&#10;3ANG4WQ8jXZ5QdLFRjSab3Rka9EJiRWhtu0D510ttfXMqgpnkrBzBSir+gEwtLPgYR+MuLsgCj1o&#10;uy+BMmi/BMWj/xIUiAZMOrtqamx+No5dkgaTyXpJ8tizhtmDSq54Ih3E3LtbCLg7LUUf1dIgxc53&#10;QFsAFjaUu3jb8Dbz3uXTsizSy6IsbVStFvPzUpEVRTWX7tcVvQcrhc1+GI5RKKtqdJYWC1fAHmyP&#10;LXC/h9iUXIq07Y4SNvi2D23ntR05l+kNulDJdq5hqmORS/XRIw1mGkJ/WFLFPVK+Ehga03A0grnG&#10;bUaRa0LVP5n3T6hgoIo94+GS2OW5wQ7fL2tVLHJECl1ZQr5A92eF7VKXX5tVt8HcchJ3M9YOxv7e&#10;oXb/K6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CEoimTWAAAABwEAAA8AAAAAAAAAAQAgAAAA&#10;IgAAAGRycy9kb3ducmV2LnhtbFBLAQIUABQAAAAIAIdO4kC/h0PV8QIAAJ8GAAAOAAAAAAAAAAEA&#10;IAAAACUBAABkcnMvZTJvRG9jLnhtbFBLBQYAAAAABgAGAFkBAACIBgAAAAA=&#10;" path="m0,0l1507,750e">
                      <v:path o:connectlocs="0,0;934720,540385" o:connectangles="0,0"/>
                      <v:fill on="t" focussize="0,0"/>
                      <v:stroke weight="0.25pt" color="#000000" joinstyle="round"/>
                      <v:imagedata o:title=""/>
                      <o:lock v:ext="edit" aspectratio="f"/>
                    </v:shape>
                  </w:pict>
                </mc:Fallback>
              </mc:AlternateContent>
            </w:r>
            <w:r>
              <w:rPr>
                <w:rFonts w:hint="eastAsia" w:ascii="宋体" w:hAnsi="宋体" w:cs="宋体"/>
                <w:color w:val="000000"/>
                <w:sz w:val="18"/>
                <w:szCs w:val="18"/>
              </w:rPr>
              <w:t xml:space="preserve">  指标</w:t>
            </w:r>
          </w:p>
          <w:p w14:paraId="6BE284FB">
            <w:pPr>
              <w:pageBreakBefore w:val="0"/>
              <w:wordWrap/>
              <w:bidi w:val="0"/>
              <w:jc w:val="center"/>
              <w:outlineLvl w:val="9"/>
              <w:rPr>
                <w:rFonts w:ascii="宋体" w:hAnsi="宋体" w:cs="宋体"/>
                <w:color w:val="000000"/>
                <w:sz w:val="18"/>
                <w:szCs w:val="18"/>
              </w:rPr>
            </w:pPr>
          </w:p>
          <w:p w14:paraId="5467389D">
            <w:pPr>
              <w:pageBreakBefore w:val="0"/>
              <w:wordWrap/>
              <w:bidi w:val="0"/>
              <w:outlineLvl w:val="9"/>
              <w:rPr>
                <w:rFonts w:ascii="宋体" w:hAnsi="宋体" w:cs="宋体"/>
                <w:color w:val="000000"/>
                <w:sz w:val="18"/>
                <w:szCs w:val="18"/>
              </w:rPr>
            </w:pPr>
            <w:r>
              <w:rPr>
                <w:rFonts w:hint="eastAsia" w:ascii="宋体" w:hAnsi="宋体" w:cs="宋体"/>
                <w:color w:val="000000"/>
                <w:sz w:val="18"/>
                <w:szCs w:val="18"/>
              </w:rPr>
              <w:t>方法</w:t>
            </w:r>
          </w:p>
        </w:tc>
        <w:tc>
          <w:tcPr>
            <w:tcW w:w="1038" w:type="dxa"/>
            <w:vMerge w:val="restart"/>
            <w:vAlign w:val="center"/>
          </w:tcPr>
          <w:p w14:paraId="4B34E520">
            <w:pPr>
              <w:pageBreakBefore w:val="0"/>
              <w:wordWrap/>
              <w:bidi w:val="0"/>
              <w:jc w:val="center"/>
              <w:outlineLvl w:val="9"/>
              <w:rPr>
                <w:rFonts w:ascii="宋体" w:hAnsi="宋体" w:cs="宋体"/>
                <w:color w:val="000000"/>
                <w:sz w:val="18"/>
                <w:szCs w:val="18"/>
              </w:rPr>
            </w:pPr>
            <w:r>
              <w:rPr>
                <w:rFonts w:hint="eastAsia" w:ascii="宋体" w:hAnsi="宋体" w:cs="宋体"/>
                <w:color w:val="000000"/>
                <w:sz w:val="18"/>
                <w:szCs w:val="18"/>
              </w:rPr>
              <w:t>检查率</w:t>
            </w:r>
          </w:p>
        </w:tc>
        <w:tc>
          <w:tcPr>
            <w:tcW w:w="2108" w:type="dxa"/>
            <w:vAlign w:val="center"/>
          </w:tcPr>
          <w:p w14:paraId="6F55B0C8">
            <w:pPr>
              <w:pageBreakBefore w:val="0"/>
              <w:wordWrap/>
              <w:bidi w:val="0"/>
              <w:jc w:val="center"/>
              <w:outlineLvl w:val="9"/>
              <w:rPr>
                <w:rFonts w:ascii="宋体" w:hAnsi="宋体" w:cs="宋体"/>
                <w:color w:val="000000"/>
                <w:sz w:val="18"/>
                <w:szCs w:val="18"/>
              </w:rPr>
            </w:pPr>
            <w:r>
              <w:rPr>
                <w:rFonts w:hint="eastAsia" w:ascii="宋体" w:hAnsi="宋体" w:cs="宋体"/>
                <w:color w:val="000000"/>
                <w:sz w:val="18"/>
                <w:szCs w:val="18"/>
              </w:rPr>
              <w:t>总均方相对误差M1</w:t>
            </w:r>
          </w:p>
        </w:tc>
        <w:tc>
          <w:tcPr>
            <w:tcW w:w="1810" w:type="dxa"/>
            <w:vAlign w:val="center"/>
          </w:tcPr>
          <w:p w14:paraId="437F2A99">
            <w:pPr>
              <w:pageBreakBefore w:val="0"/>
              <w:wordWrap/>
              <w:bidi w:val="0"/>
              <w:jc w:val="center"/>
              <w:outlineLvl w:val="9"/>
              <w:rPr>
                <w:rFonts w:ascii="宋体" w:hAnsi="宋体" w:cs="宋体"/>
                <w:color w:val="000000"/>
                <w:sz w:val="18"/>
                <w:szCs w:val="18"/>
              </w:rPr>
            </w:pPr>
            <w:r>
              <w:rPr>
                <w:rFonts w:hint="eastAsia" w:ascii="宋体" w:hAnsi="宋体" w:cs="宋体"/>
                <w:color w:val="000000"/>
                <w:sz w:val="18"/>
                <w:szCs w:val="18"/>
              </w:rPr>
              <w:t>总均方误差ε</w:t>
            </w:r>
          </w:p>
        </w:tc>
        <w:tc>
          <w:tcPr>
            <w:tcW w:w="2308" w:type="dxa"/>
            <w:vAlign w:val="center"/>
          </w:tcPr>
          <w:p w14:paraId="5FF28A0A">
            <w:pPr>
              <w:pageBreakBefore w:val="0"/>
              <w:wordWrap/>
              <w:bidi w:val="0"/>
              <w:jc w:val="center"/>
              <w:outlineLvl w:val="9"/>
              <w:rPr>
                <w:rFonts w:ascii="宋体" w:hAnsi="宋体" w:cs="宋体"/>
                <w:color w:val="000000"/>
                <w:sz w:val="18"/>
                <w:szCs w:val="18"/>
              </w:rPr>
            </w:pPr>
            <w:r>
              <w:rPr>
                <w:rFonts w:hint="eastAsia" w:ascii="宋体" w:hAnsi="宋体" w:cs="宋体"/>
                <w:color w:val="000000"/>
                <w:sz w:val="18"/>
                <w:szCs w:val="18"/>
              </w:rPr>
              <w:t>ρa</w:t>
            </w:r>
          </w:p>
        </w:tc>
      </w:tr>
      <w:tr w14:paraId="14E52A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3" w:type="dxa"/>
            <w:vMerge w:val="continue"/>
            <w:vAlign w:val="center"/>
          </w:tcPr>
          <w:p w14:paraId="5B971A11">
            <w:pPr>
              <w:pageBreakBefore w:val="0"/>
              <w:wordWrap/>
              <w:bidi w:val="0"/>
              <w:jc w:val="center"/>
              <w:outlineLvl w:val="9"/>
              <w:rPr>
                <w:rFonts w:ascii="宋体" w:hAnsi="宋体" w:cs="宋体"/>
                <w:color w:val="000000"/>
                <w:sz w:val="18"/>
                <w:szCs w:val="18"/>
              </w:rPr>
            </w:pPr>
          </w:p>
        </w:tc>
        <w:tc>
          <w:tcPr>
            <w:tcW w:w="1038" w:type="dxa"/>
            <w:vMerge w:val="continue"/>
            <w:vAlign w:val="center"/>
          </w:tcPr>
          <w:p w14:paraId="66F42C65">
            <w:pPr>
              <w:pageBreakBefore w:val="0"/>
              <w:wordWrap/>
              <w:bidi w:val="0"/>
              <w:jc w:val="center"/>
              <w:outlineLvl w:val="9"/>
              <w:rPr>
                <w:rFonts w:ascii="宋体" w:hAnsi="宋体" w:cs="宋体"/>
                <w:color w:val="000000"/>
                <w:sz w:val="18"/>
                <w:szCs w:val="18"/>
              </w:rPr>
            </w:pPr>
          </w:p>
        </w:tc>
        <w:tc>
          <w:tcPr>
            <w:tcW w:w="2108" w:type="dxa"/>
            <w:vAlign w:val="center"/>
          </w:tcPr>
          <w:p w14:paraId="7840D55A">
            <w:pPr>
              <w:pageBreakBefore w:val="0"/>
              <w:wordWrap/>
              <w:bidi w:val="0"/>
              <w:jc w:val="center"/>
              <w:outlineLvl w:val="9"/>
              <w:rPr>
                <w:rFonts w:ascii="宋体" w:hAnsi="宋体" w:cs="宋体"/>
                <w:color w:val="000000"/>
                <w:sz w:val="18"/>
                <w:szCs w:val="18"/>
              </w:rPr>
            </w:pPr>
            <w:r>
              <w:rPr>
                <w:rFonts w:hint="eastAsia" w:ascii="宋体" w:hAnsi="宋体" w:cs="宋体"/>
                <w:color w:val="000000"/>
                <w:sz w:val="18"/>
                <w:szCs w:val="18"/>
              </w:rPr>
              <w:t>(ηa&gt;3%时)</w:t>
            </w:r>
          </w:p>
        </w:tc>
        <w:tc>
          <w:tcPr>
            <w:tcW w:w="1810" w:type="dxa"/>
            <w:vAlign w:val="center"/>
          </w:tcPr>
          <w:p w14:paraId="600FF503">
            <w:pPr>
              <w:pageBreakBefore w:val="0"/>
              <w:wordWrap/>
              <w:bidi w:val="0"/>
              <w:jc w:val="center"/>
              <w:outlineLvl w:val="9"/>
              <w:rPr>
                <w:rFonts w:ascii="宋体" w:hAnsi="宋体" w:cs="宋体"/>
                <w:color w:val="000000"/>
                <w:sz w:val="18"/>
                <w:szCs w:val="18"/>
              </w:rPr>
            </w:pPr>
            <w:r>
              <w:rPr>
                <w:rFonts w:hint="eastAsia" w:ascii="宋体" w:hAnsi="宋体" w:cs="宋体"/>
                <w:color w:val="000000"/>
                <w:sz w:val="18"/>
                <w:szCs w:val="18"/>
              </w:rPr>
              <w:t>(ηa&lt;3%时)</w:t>
            </w:r>
          </w:p>
        </w:tc>
        <w:tc>
          <w:tcPr>
            <w:tcW w:w="2308" w:type="dxa"/>
            <w:vAlign w:val="center"/>
          </w:tcPr>
          <w:p w14:paraId="45519A37">
            <w:pPr>
              <w:pageBreakBefore w:val="0"/>
              <w:wordWrap/>
              <w:bidi w:val="0"/>
              <w:jc w:val="center"/>
              <w:outlineLvl w:val="9"/>
              <w:rPr>
                <w:rFonts w:ascii="宋体" w:hAnsi="宋体" w:cs="宋体"/>
                <w:color w:val="000000"/>
                <w:sz w:val="18"/>
                <w:szCs w:val="18"/>
              </w:rPr>
            </w:pPr>
            <w:r>
              <w:rPr>
                <w:rFonts w:hint="eastAsia" w:ascii="宋体" w:hAnsi="宋体" w:cs="宋体"/>
                <w:color w:val="000000"/>
                <w:sz w:val="18"/>
                <w:szCs w:val="18"/>
              </w:rPr>
              <w:t>总均方相对误差</w:t>
            </w:r>
          </w:p>
        </w:tc>
      </w:tr>
      <w:tr w14:paraId="7E9608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3" w:type="dxa"/>
            <w:vAlign w:val="center"/>
          </w:tcPr>
          <w:p w14:paraId="1DB56798">
            <w:pPr>
              <w:pageBreakBefore w:val="0"/>
              <w:wordWrap/>
              <w:bidi w:val="0"/>
              <w:jc w:val="center"/>
              <w:outlineLvl w:val="9"/>
              <w:rPr>
                <w:rFonts w:ascii="宋体" w:hAnsi="宋体" w:cs="宋体"/>
                <w:color w:val="000000"/>
                <w:sz w:val="18"/>
                <w:szCs w:val="18"/>
              </w:rPr>
            </w:pPr>
            <w:r>
              <w:rPr>
                <w:rFonts w:hint="eastAsia" w:ascii="宋体" w:hAnsi="宋体" w:cs="宋体"/>
                <w:color w:val="000000"/>
                <w:sz w:val="18"/>
                <w:szCs w:val="18"/>
              </w:rPr>
              <w:t>激电测深</w:t>
            </w:r>
          </w:p>
        </w:tc>
        <w:tc>
          <w:tcPr>
            <w:tcW w:w="1038" w:type="dxa"/>
            <w:vAlign w:val="center"/>
          </w:tcPr>
          <w:p w14:paraId="07F57F05">
            <w:pPr>
              <w:pageBreakBefore w:val="0"/>
              <w:wordWrap/>
              <w:bidi w:val="0"/>
              <w:jc w:val="center"/>
              <w:outlineLvl w:val="9"/>
              <w:rPr>
                <w:rFonts w:ascii="宋体" w:hAnsi="宋体" w:cs="宋体"/>
                <w:color w:val="000000"/>
                <w:sz w:val="18"/>
                <w:szCs w:val="18"/>
              </w:rPr>
            </w:pPr>
            <w:r>
              <w:rPr>
                <w:rFonts w:hint="eastAsia" w:ascii="宋体" w:hAnsi="宋体" w:cs="宋体"/>
                <w:color w:val="000000"/>
                <w:sz w:val="18"/>
                <w:szCs w:val="18"/>
              </w:rPr>
              <w:t>≥3%</w:t>
            </w:r>
          </w:p>
        </w:tc>
        <w:tc>
          <w:tcPr>
            <w:tcW w:w="2108" w:type="dxa"/>
            <w:vAlign w:val="center"/>
          </w:tcPr>
          <w:p w14:paraId="71C952B7">
            <w:pPr>
              <w:pageBreakBefore w:val="0"/>
              <w:wordWrap/>
              <w:bidi w:val="0"/>
              <w:jc w:val="center"/>
              <w:outlineLvl w:val="9"/>
              <w:rPr>
                <w:rFonts w:ascii="宋体" w:hAnsi="宋体" w:cs="宋体"/>
                <w:color w:val="000000"/>
                <w:sz w:val="18"/>
                <w:szCs w:val="18"/>
              </w:rPr>
            </w:pPr>
            <w:r>
              <w:rPr>
                <w:rFonts w:hint="eastAsia" w:ascii="宋体" w:hAnsi="宋体" w:cs="宋体"/>
                <w:color w:val="000000"/>
                <w:sz w:val="18"/>
                <w:szCs w:val="18"/>
              </w:rPr>
              <w:t>7.0%</w:t>
            </w:r>
          </w:p>
        </w:tc>
        <w:tc>
          <w:tcPr>
            <w:tcW w:w="1810" w:type="dxa"/>
            <w:vAlign w:val="center"/>
          </w:tcPr>
          <w:p w14:paraId="119CD88F">
            <w:pPr>
              <w:pageBreakBefore w:val="0"/>
              <w:wordWrap/>
              <w:bidi w:val="0"/>
              <w:jc w:val="center"/>
              <w:outlineLvl w:val="9"/>
              <w:rPr>
                <w:rFonts w:ascii="宋体" w:hAnsi="宋体" w:cs="宋体"/>
                <w:color w:val="000000"/>
                <w:sz w:val="18"/>
                <w:szCs w:val="18"/>
              </w:rPr>
            </w:pPr>
            <w:r>
              <w:rPr>
                <w:rFonts w:hint="eastAsia" w:ascii="宋体" w:hAnsi="宋体" w:cs="宋体"/>
                <w:color w:val="000000"/>
                <w:sz w:val="18"/>
                <w:szCs w:val="18"/>
              </w:rPr>
              <w:t>0.21</w:t>
            </w:r>
          </w:p>
        </w:tc>
        <w:tc>
          <w:tcPr>
            <w:tcW w:w="2308" w:type="dxa"/>
            <w:vAlign w:val="center"/>
          </w:tcPr>
          <w:p w14:paraId="0469C396">
            <w:pPr>
              <w:pageBreakBefore w:val="0"/>
              <w:wordWrap/>
              <w:bidi w:val="0"/>
              <w:jc w:val="center"/>
              <w:outlineLvl w:val="9"/>
              <w:rPr>
                <w:rFonts w:ascii="宋体" w:hAnsi="宋体" w:cs="宋体"/>
                <w:color w:val="000000"/>
                <w:sz w:val="18"/>
                <w:szCs w:val="18"/>
              </w:rPr>
            </w:pPr>
            <w:r>
              <w:rPr>
                <w:rFonts w:hint="eastAsia" w:ascii="宋体" w:hAnsi="宋体" w:cs="宋体"/>
                <w:color w:val="000000"/>
                <w:sz w:val="18"/>
                <w:szCs w:val="18"/>
              </w:rPr>
              <w:t>7%</w:t>
            </w:r>
          </w:p>
        </w:tc>
      </w:tr>
    </w:tbl>
    <w:p w14:paraId="3BDAC7E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数据整理：所有测量仪器对测量数据都是自动化采集，为保证野外数据采集质量，当天采集的原始数据在收工后即时传入计算机并进行100％的核对检查，保证点线数据准确、完整齐全，合格后作为原始文件保存；同时将采集的数据计算、归类成表册，再通过专用软件绘制基本的图件。</w:t>
      </w:r>
    </w:p>
    <w:p w14:paraId="6B13854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4.物性测量</w:t>
      </w:r>
    </w:p>
    <w:p w14:paraId="74974B9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①标本的采集</w:t>
      </w:r>
    </w:p>
    <w:p w14:paraId="182D7A9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物性工作是物探普查的基础工作，不同地质体或岩性间的物性差异是物探工作的前提。主要为剖面异常的划分、研究和解释提供有力的依据，按照剖面工作所投入的方法，将有针对性地采集各类岩性的物性标本。</w:t>
      </w:r>
    </w:p>
    <w:p w14:paraId="5C1EFE9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采集工作由物探和地质技术人员配合进行标本采集，力求按物探测线均匀进行，标本应具有代表性。采集的标本力求新鲜，避免采集风化层和转石标本。</w:t>
      </w:r>
    </w:p>
    <w:p w14:paraId="790D85C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标本的采集要求现场准确定名、编号，并记录采样位置，对有关地质现象进行必要的备注。区内若有钻孔，尽可能对钻孔岩芯标本进行采集。同名岩（矿）石标本块数不少于30块。</w:t>
      </w:r>
    </w:p>
    <w:p w14:paraId="0350948C">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②电性标本测定</w:t>
      </w:r>
    </w:p>
    <w:p w14:paraId="7072B24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要求测定极化率和电阻率两个参数。电性标本的测定采用双盆边架法。在基岩出露区，采用实测小极露头法或小四极测深法进行一定数量级基岩露头电性测定工作，该部分资料可作为参考资料利用。</w:t>
      </w:r>
    </w:p>
    <w:p w14:paraId="046B442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③物性参数的统计</w:t>
      </w:r>
    </w:p>
    <w:p w14:paraId="48B34F4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当同类岩（矿）石的标本数量大于30块时，须绘制正态曲线并要求统计常见值及变化范围。</w:t>
      </w:r>
    </w:p>
    <w:p w14:paraId="0AB6AE3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当同类岩（矿）石的标本数量不足30块时，只计算其算术平均值。</w:t>
      </w:r>
    </w:p>
    <w:p w14:paraId="41A442B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④室内资料整理</w:t>
      </w:r>
    </w:p>
    <w:p w14:paraId="18540F5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整理计算并校正观测结果，根据自动或半自动记录资料绘制各种相应原始图件。对成果资料进行数理统计处理，对其结果进行全面综合研究与总结。完成各种原始资料的综合整理和质量评价。</w:t>
      </w:r>
    </w:p>
    <w:p w14:paraId="7D9F155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⑤质量评价</w:t>
      </w:r>
    </w:p>
    <w:p w14:paraId="1988DC9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电性标本质检率不小于10%，误差不大于20%。</w:t>
      </w:r>
    </w:p>
    <w:p w14:paraId="70075834">
      <w:pPr>
        <w:pageBreakBefore w:val="0"/>
        <w:wordWrap/>
        <w:bidi w:val="0"/>
        <w:outlineLvl w:val="9"/>
        <w:rPr>
          <w:rFonts w:ascii="仿宋" w:hAnsi="仿宋" w:eastAsia="仿宋" w:cs="仿宋"/>
          <w:b/>
          <w:bCs/>
          <w:sz w:val="24"/>
          <w:szCs w:val="24"/>
        </w:rPr>
      </w:pPr>
    </w:p>
    <w:p w14:paraId="74467B7C">
      <w:pPr>
        <w:pageBreakBefore w:val="0"/>
        <w:wordWrap/>
        <w:bidi w:val="0"/>
        <w:outlineLvl w:val="9"/>
        <w:rPr>
          <w:rFonts w:hint="eastAsia" w:ascii="仿宋" w:hAnsi="仿宋" w:eastAsia="仿宋" w:cs="仿宋"/>
          <w:b/>
          <w:bCs/>
          <w:sz w:val="24"/>
          <w:szCs w:val="24"/>
        </w:rPr>
      </w:pPr>
      <w:r>
        <w:rPr>
          <w:rFonts w:hint="eastAsia" w:ascii="仿宋" w:hAnsi="仿宋" w:eastAsia="仿宋" w:cs="仿宋"/>
          <w:b/>
          <w:bCs/>
          <w:sz w:val="24"/>
          <w:szCs w:val="24"/>
        </w:rPr>
        <w:br w:type="page"/>
      </w:r>
    </w:p>
    <w:p w14:paraId="5AF087CE">
      <w:pPr>
        <w:keepNext/>
        <w:keepLines w:val="0"/>
        <w:pageBreakBefore w:val="0"/>
        <w:widowControl/>
        <w:kinsoku/>
        <w:wordWrap/>
        <w:overflowPunct/>
        <w:topLinePunct w:val="0"/>
        <w:autoSpaceDE/>
        <w:autoSpaceDN/>
        <w:bidi w:val="0"/>
        <w:adjustRightInd/>
        <w:snapToGrid/>
        <w:spacing w:line="480" w:lineRule="auto"/>
        <w:jc w:val="center"/>
        <w:textAlignment w:val="auto"/>
        <w:outlineLvl w:val="1"/>
        <w:rPr>
          <w:rFonts w:ascii="仿宋" w:hAnsi="仿宋" w:eastAsia="仿宋" w:cs="仿宋"/>
          <w:b/>
          <w:bCs/>
          <w:sz w:val="24"/>
          <w:szCs w:val="24"/>
        </w:rPr>
      </w:pPr>
      <w:r>
        <w:rPr>
          <w:rFonts w:hint="eastAsia" w:ascii="仿宋" w:hAnsi="仿宋" w:eastAsia="仿宋" w:cs="仿宋"/>
          <w:b/>
          <w:bCs/>
          <w:sz w:val="24"/>
          <w:szCs w:val="24"/>
          <w:lang w:val="en-US" w:eastAsia="zh-CN"/>
        </w:rPr>
        <w:t>②、</w:t>
      </w:r>
      <w:r>
        <w:rPr>
          <w:rFonts w:hint="eastAsia" w:ascii="仿宋" w:hAnsi="仿宋" w:eastAsia="仿宋" w:cs="仿宋"/>
          <w:b/>
          <w:bCs/>
          <w:sz w:val="24"/>
          <w:szCs w:val="24"/>
        </w:rPr>
        <w:t>新疆和静县乌龙沟一带铜锌矿普查</w:t>
      </w:r>
    </w:p>
    <w:p w14:paraId="63576B4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ascii="仿宋" w:hAnsi="仿宋" w:eastAsia="仿宋" w:cs="仿宋"/>
          <w:b/>
          <w:bCs/>
          <w:sz w:val="20"/>
          <w:szCs w:val="21"/>
        </w:rPr>
      </w:pPr>
      <w:r>
        <w:rPr>
          <w:rFonts w:hint="eastAsia" w:ascii="仿宋" w:hAnsi="仿宋" w:eastAsia="仿宋" w:cs="仿宋"/>
          <w:b/>
          <w:bCs/>
          <w:sz w:val="24"/>
          <w:szCs w:val="24"/>
        </w:rPr>
        <w:t>一、服务内容：</w:t>
      </w:r>
    </w:p>
    <w:p w14:paraId="4F08FD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工作区的行政区划属和静县管辖，位于和静县42°方位,直距约103千米，路距约220千米；位于托克逊县280°方向,直距113千米，路距约150千米。距最近的居民点和静县阿拉沟乡约50千米，距最近的火车站南疆铁路国光站约45千米，交通条件较便利。</w:t>
      </w:r>
    </w:p>
    <w:p w14:paraId="333253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工作区总体地势为中部低南北高，中部为乌龙沟，两侧山势高峻，平均海拔高程3800米以上，最高海拔4200米，最低为3600米，最大相对高差可达600米，属深切割程度的高山区。工作区内水系发育，主要河流为阿拉沟河；夏季冰雪融化，河水汹涌，难以涉渡。河流走向多为东西-近东西向，受区域构造线控制明显。</w:t>
      </w:r>
    </w:p>
    <w:p w14:paraId="25747E8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ascii="仿宋" w:hAnsi="仿宋" w:eastAsia="仿宋" w:cs="仿宋"/>
          <w:sz w:val="24"/>
          <w:szCs w:val="24"/>
        </w:rPr>
      </w:pPr>
      <w:r>
        <w:rPr>
          <w:rFonts w:hint="eastAsia" w:ascii="仿宋" w:hAnsi="仿宋" w:eastAsia="仿宋" w:cs="仿宋"/>
          <w:b/>
          <w:bCs/>
          <w:sz w:val="24"/>
          <w:szCs w:val="24"/>
        </w:rPr>
        <w:t>二、工作量：</w:t>
      </w:r>
      <w:r>
        <w:rPr>
          <w:rFonts w:hint="eastAsia" w:ascii="仿宋" w:hAnsi="仿宋" w:eastAsia="仿宋" w:cs="仿宋"/>
          <w:sz w:val="24"/>
          <w:szCs w:val="24"/>
        </w:rPr>
        <w:t>时频电磁测量150点；井中充电激电剖面4千米。</w:t>
      </w:r>
    </w:p>
    <w:p w14:paraId="2D4808F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ascii="仿宋" w:hAnsi="仿宋" w:eastAsia="仿宋" w:cs="仿宋"/>
          <w:b/>
          <w:bCs/>
          <w:sz w:val="24"/>
          <w:szCs w:val="24"/>
        </w:rPr>
      </w:pPr>
      <w:r>
        <w:rPr>
          <w:rFonts w:hint="eastAsia" w:ascii="仿宋" w:hAnsi="仿宋" w:eastAsia="仿宋" w:cs="仿宋"/>
          <w:b/>
          <w:bCs/>
          <w:sz w:val="24"/>
          <w:szCs w:val="24"/>
        </w:rPr>
        <w:t>三、技术方法</w:t>
      </w:r>
    </w:p>
    <w:p w14:paraId="42A312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时频电磁测量工作</w:t>
      </w:r>
    </w:p>
    <w:p w14:paraId="36EDD1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1、执行标准</w:t>
      </w:r>
    </w:p>
    <w:p w14:paraId="43EBBE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bookmarkStart w:id="318" w:name="OLE_LINK10"/>
      <w:r>
        <w:rPr>
          <w:rFonts w:hint="eastAsia" w:ascii="仿宋" w:hAnsi="仿宋" w:eastAsia="仿宋" w:cs="仿宋"/>
          <w:sz w:val="24"/>
          <w:szCs w:val="24"/>
        </w:rPr>
        <w:t>（1）SY/T 6688-2013《时频电磁法勘探技术规程》</w:t>
      </w:r>
    </w:p>
    <w:bookmarkEnd w:id="318"/>
    <w:p w14:paraId="784B72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（2）SY/T 6589-2024《陆上可控源电磁法勘探采集技术规程》</w:t>
      </w:r>
    </w:p>
    <w:p w14:paraId="6F22FB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2、工作原理及方法</w:t>
      </w:r>
    </w:p>
    <w:p w14:paraId="21696C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本项目施工，拟采用最新型的EMS-DAS-V1四通道接收机、uperTX-150型（250kw）大功率发电机，用于野外数据采集。</w:t>
      </w:r>
    </w:p>
    <w:p w14:paraId="7929B8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时频电磁法野外施工采用赤道偶极装置（图5-1），分发射和接收两部分。发射端由多根并联的铜导线构成水平有限长度接地线源，采用大功率发射机按不同频率向地下发送一系列脉冲电流，接收端通过MN电极测量电分量Ex、通过高灵敏磁棒测量垂直磁场分量Hz。</w:t>
      </w:r>
    </w:p>
    <w:p w14:paraId="17FF15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该方法具有如下特点：</w:t>
      </w:r>
    </w:p>
    <w:p w14:paraId="21D913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①使用人工场源信噪比高，纵向分辨率高，无静态位移影响；</w:t>
      </w:r>
    </w:p>
    <w:p w14:paraId="2BF1EB26">
      <w:pPr>
        <w:pageBreakBefore w:val="0"/>
        <w:wordWrap/>
        <w:bidi w:val="0"/>
        <w:adjustRightInd w:val="0"/>
        <w:snapToGrid w:val="0"/>
        <w:spacing w:line="360" w:lineRule="auto"/>
        <w:jc w:val="center"/>
        <w:outlineLvl w:val="9"/>
        <w:rPr>
          <w:rFonts w:ascii="仿宋" w:hAnsi="仿宋" w:eastAsia="仿宋" w:cs="仿宋"/>
          <w:sz w:val="24"/>
          <w:szCs w:val="24"/>
        </w:rPr>
      </w:pPr>
      <w:r>
        <w:rPr>
          <w:rFonts w:ascii="仿宋" w:hAnsi="仿宋" w:eastAsia="仿宋" w:cs="仿宋"/>
          <w:sz w:val="24"/>
          <w:szCs w:val="24"/>
        </w:rPr>
        <w:drawing>
          <wp:inline distT="0" distB="0" distL="0" distR="0">
            <wp:extent cx="4341495" cy="2671445"/>
            <wp:effectExtent l="0" t="0" r="1905" b="508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341495" cy="2671445"/>
                    </a:xfrm>
                    <a:prstGeom prst="rect">
                      <a:avLst/>
                    </a:prstGeom>
                    <a:noFill/>
                    <a:ln>
                      <a:noFill/>
                    </a:ln>
                    <a:effectLst/>
                  </pic:spPr>
                </pic:pic>
              </a:graphicData>
            </a:graphic>
          </wp:inline>
        </w:drawing>
      </w:r>
      <w:bookmarkStart w:id="319" w:name="_Ref191888652"/>
    </w:p>
    <w:p w14:paraId="465513F4">
      <w:pPr>
        <w:pageBreakBefore w:val="0"/>
        <w:wordWrap/>
        <w:bidi w:val="0"/>
        <w:adjustRightInd w:val="0"/>
        <w:snapToGrid w:val="0"/>
        <w:spacing w:line="360" w:lineRule="auto"/>
        <w:jc w:val="center"/>
        <w:outlineLvl w:val="9"/>
        <w:rPr>
          <w:rFonts w:ascii="宋体" w:hAnsi="宋体"/>
          <w:b/>
          <w:kern w:val="0"/>
          <w:szCs w:val="21"/>
          <w:lang w:val="zh-CN"/>
        </w:rPr>
      </w:pPr>
      <w:r>
        <w:rPr>
          <w:rFonts w:hint="eastAsia" w:ascii="宋体" w:hAnsi="宋体"/>
          <w:b/>
          <w:kern w:val="0"/>
          <w:szCs w:val="21"/>
        </w:rPr>
        <w:t>图</w:t>
      </w:r>
      <w:bookmarkEnd w:id="319"/>
      <w:r>
        <w:rPr>
          <w:rFonts w:hint="eastAsia" w:ascii="宋体" w:hAnsi="宋体"/>
          <w:b/>
          <w:kern w:val="0"/>
          <w:szCs w:val="21"/>
        </w:rPr>
        <w:t>5-1</w:t>
      </w:r>
      <w:r>
        <w:rPr>
          <w:rFonts w:hint="eastAsia" w:ascii="宋体" w:hAnsi="宋体"/>
          <w:b/>
          <w:kern w:val="0"/>
          <w:szCs w:val="21"/>
          <w:lang w:val="zh-CN"/>
        </w:rPr>
        <w:t xml:space="preserve"> </w:t>
      </w:r>
      <w:r>
        <w:rPr>
          <w:rFonts w:ascii="宋体" w:hAnsi="宋体"/>
          <w:b/>
          <w:kern w:val="0"/>
          <w:szCs w:val="21"/>
          <w:lang w:val="zh-CN"/>
        </w:rPr>
        <w:t xml:space="preserve"> </w:t>
      </w:r>
      <w:r>
        <w:rPr>
          <w:rFonts w:hint="eastAsia" w:ascii="宋体" w:hAnsi="宋体"/>
          <w:b/>
          <w:kern w:val="0"/>
          <w:szCs w:val="21"/>
          <w:lang w:val="zh-CN"/>
        </w:rPr>
        <w:t>时频电磁电法野外施工布置示意图</w:t>
      </w:r>
    </w:p>
    <w:p w14:paraId="3CDFFFB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②同时测量电分量和磁分量，弥补了只观测磁场对高阻薄层分辨率低的不足；</w:t>
      </w:r>
    </w:p>
    <w:p w14:paraId="1834FB3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③同时研究电阻率、极化率等多个参数。</w:t>
      </w:r>
    </w:p>
    <w:p w14:paraId="3453901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时频电磁技术采用长直导线源激发，将频率域测深与时间域测深联合在一个系统中，可针对勘探目标的深度选择不同频率和不同类型的激发波形，不但能提供电阻率信息，还能提供激发极化信息。</w:t>
      </w:r>
    </w:p>
    <w:p w14:paraId="168B504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时频电磁法采用不过零方波，可以有多种不同的组合，从高频到低频连续激发，每个频率重复激发若干次，重复次数视频率的高低设置，高频的重复次数多，低频的重复次数相对减少，数据质量和可靠性较高。</w:t>
      </w:r>
    </w:p>
    <w:p w14:paraId="64F2A5E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时频电磁法采用多测站排列接收的工作方式。每个测站由电采集站和磁采集站组成。信号接收系统通过GNSS与发射同步接收每个频率重复激发的所有信号。</w:t>
      </w:r>
    </w:p>
    <w:p w14:paraId="6E530B0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因此，时频电磁技术兼具频率域方法与时间域方法两类方法之优点，使得资料处理中可以有时间域和频率域两种处理手段，采用多种手段综合利用各种场的特征研究多种岩石物性，最有效的提高勘探精度。</w:t>
      </w:r>
    </w:p>
    <w:p w14:paraId="232508F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3、施工参数模拟</w:t>
      </w:r>
    </w:p>
    <w:p w14:paraId="2736605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影响野外资料品质的主要因素有三个，分别是发射源AB的长度、收发距、激发周期。</w:t>
      </w:r>
    </w:p>
    <w:p w14:paraId="70425CE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为此我们针对上述三个因素，采用地电模型来分别进行室内模拟，通过室内模拟可以基本确定野外的施工参数。</w:t>
      </w:r>
    </w:p>
    <w:p w14:paraId="0C012F1E">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ascii="仿宋" w:hAnsi="仿宋" w:eastAsia="仿宋" w:cs="仿宋"/>
          <w:sz w:val="24"/>
          <w:szCs w:val="24"/>
        </w:rPr>
        <w:drawing>
          <wp:anchor distT="0" distB="0" distL="114300" distR="114300" simplePos="0" relativeHeight="251668480" behindDoc="0" locked="0" layoutInCell="1" allowOverlap="1">
            <wp:simplePos x="0" y="0"/>
            <wp:positionH relativeFrom="page">
              <wp:posOffset>1143000</wp:posOffset>
            </wp:positionH>
            <wp:positionV relativeFrom="page">
              <wp:posOffset>815340</wp:posOffset>
            </wp:positionV>
            <wp:extent cx="5226050" cy="2652395"/>
            <wp:effectExtent l="0" t="0" r="3175" b="5080"/>
            <wp:wrapTopAndBottom/>
            <wp:docPr id="1081753428" name="图片 1081753428" descr="2DF7DF0668F84FBA802C34A529B81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28" name="图片 1081753428" descr="2DF7DF0668F84FBA802C34A529B8105D"/>
                    <pic:cNvPicPr>
                      <a:picLocks noChangeAspect="1" noChangeArrowheads="1"/>
                    </pic:cNvPicPr>
                  </pic:nvPicPr>
                  <pic:blipFill>
                    <a:blip r:embed="rId16" cstate="print">
                      <a:extLst>
                        <a:ext uri="{28A0092B-C50C-407E-A947-70E740481C1C}">
                          <a14:useLocalDpi xmlns:a14="http://schemas.microsoft.com/office/drawing/2010/main" val="0"/>
                        </a:ext>
                      </a:extLst>
                    </a:blip>
                    <a:srcRect l="1270" r="2286"/>
                    <a:stretch>
                      <a:fillRect/>
                    </a:stretch>
                  </pic:blipFill>
                  <pic:spPr>
                    <a:xfrm>
                      <a:off x="0" y="0"/>
                      <a:ext cx="5226050" cy="2652395"/>
                    </a:xfrm>
                    <a:prstGeom prst="rect">
                      <a:avLst/>
                    </a:prstGeom>
                    <a:noFill/>
                    <a:ln>
                      <a:noFill/>
                    </a:ln>
                    <a:effectLst/>
                  </pic:spPr>
                </pic:pic>
              </a:graphicData>
            </a:graphic>
          </wp:anchor>
        </w:drawing>
      </w:r>
      <w:r>
        <w:rPr>
          <w:rFonts w:ascii="仿宋" w:hAnsi="仿宋" w:eastAsia="仿宋" w:cs="仿宋"/>
          <w:sz w:val="24"/>
          <w:szCs w:val="24"/>
        </w:rPr>
        <w:drawing>
          <wp:anchor distT="0" distB="0" distL="114935" distR="114935" simplePos="0" relativeHeight="251672576" behindDoc="0" locked="0" layoutInCell="1" allowOverlap="1">
            <wp:simplePos x="0" y="0"/>
            <wp:positionH relativeFrom="page">
              <wp:posOffset>1426210</wp:posOffset>
            </wp:positionH>
            <wp:positionV relativeFrom="page">
              <wp:posOffset>6789420</wp:posOffset>
            </wp:positionV>
            <wp:extent cx="4343400" cy="2717800"/>
            <wp:effectExtent l="0" t="0" r="0" b="6350"/>
            <wp:wrapTopAndBottom/>
            <wp:docPr id="1081753429" name="图片 1081753429" descr="K}{]JGNN0GFW0XMU}E3O2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29" name="图片 1081753429" descr="K}{]JGNN0GFW0XMU}E3O2L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343400" cy="2717800"/>
                    </a:xfrm>
                    <a:prstGeom prst="rect">
                      <a:avLst/>
                    </a:prstGeom>
                    <a:noFill/>
                    <a:ln>
                      <a:noFill/>
                    </a:ln>
                    <a:effectLst/>
                  </pic:spPr>
                </pic:pic>
              </a:graphicData>
            </a:graphic>
          </wp:anchor>
        </w:drawing>
      </w:r>
      <w:r>
        <w:rPr>
          <w:rFonts w:hint="eastAsia" w:ascii="仿宋" w:hAnsi="仿宋" w:eastAsia="仿宋" w:cs="仿宋"/>
          <w:sz w:val="24"/>
          <w:szCs w:val="24"/>
        </w:rPr>
        <w:t>依据2500-3000米的探测深度的要求，选择如表5</w:t>
      </w:r>
      <w:r>
        <w:rPr>
          <w:rFonts w:hint="eastAsia" w:ascii="仿宋" w:hAnsi="仿宋" w:eastAsia="仿宋" w:cs="仿宋"/>
          <w:sz w:val="24"/>
          <w:szCs w:val="24"/>
        </w:rPr>
        <w:noBreakHyphen/>
      </w:r>
      <w:r>
        <w:rPr>
          <w:rFonts w:hint="eastAsia" w:ascii="仿宋" w:hAnsi="仿宋" w:eastAsia="仿宋" w:cs="仿宋"/>
          <w:sz w:val="24"/>
          <w:szCs w:val="24"/>
        </w:rPr>
        <w:t>3所示的地电模型（图5-2），设置目标低阻体埋深2500米，分别设置低阻体电阻率为100Ω.m、150Ω.m、200Ω.m。</w:t>
      </w:r>
    </w:p>
    <w:p w14:paraId="0E371FFC">
      <w:pPr>
        <w:pageBreakBefore w:val="0"/>
        <w:wordWrap/>
        <w:bidi w:val="0"/>
        <w:adjustRightInd w:val="0"/>
        <w:snapToGrid w:val="0"/>
        <w:spacing w:line="360" w:lineRule="auto"/>
        <w:jc w:val="center"/>
        <w:outlineLvl w:val="9"/>
        <w:rPr>
          <w:rFonts w:ascii="宋体" w:hAnsi="宋体"/>
          <w:b/>
          <w:kern w:val="0"/>
          <w:szCs w:val="18"/>
        </w:rPr>
      </w:pPr>
      <w:r>
        <w:rPr>
          <w:rFonts w:hint="eastAsia" w:ascii="宋体" w:hAnsi="宋体"/>
          <w:b/>
          <w:kern w:val="0"/>
          <w:szCs w:val="18"/>
        </w:rPr>
        <w:t>图5-2 设计地电模型</w:t>
      </w:r>
    </w:p>
    <w:p w14:paraId="023CA97A">
      <w:pPr>
        <w:pageBreakBefore w:val="0"/>
        <w:wordWrap/>
        <w:bidi w:val="0"/>
        <w:adjustRightInd w:val="0"/>
        <w:snapToGrid w:val="0"/>
        <w:spacing w:line="360" w:lineRule="auto"/>
        <w:jc w:val="center"/>
        <w:outlineLvl w:val="9"/>
        <w:rPr>
          <w:rFonts w:ascii="宋体" w:hAnsi="宋体"/>
          <w:b/>
          <w:szCs w:val="18"/>
        </w:rPr>
      </w:pPr>
      <w:r>
        <w:rPr>
          <w:rFonts w:hint="eastAsia" w:ascii="宋体" w:hAnsi="宋体"/>
          <w:b/>
          <w:szCs w:val="18"/>
        </w:rPr>
        <w:t>图5-3 正演模拟曲线</w:t>
      </w:r>
    </w:p>
    <w:p w14:paraId="06B7380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发射源AB距离取3km，收发距R取7km，进行正演，结果显示，低阻层在视电阻率曲线上有明显的反映（图5-3）。</w:t>
      </w:r>
    </w:p>
    <w:p w14:paraId="333104DC">
      <w:pPr>
        <w:pageBreakBefore w:val="0"/>
        <w:wordWrap/>
        <w:bidi w:val="0"/>
        <w:spacing w:line="360" w:lineRule="auto"/>
        <w:ind w:firstLine="480" w:firstLineChars="200"/>
        <w:outlineLvl w:val="9"/>
        <w:rPr>
          <w:rFonts w:ascii="宋体" w:hAnsi="宋体"/>
          <w:b/>
          <w:szCs w:val="18"/>
        </w:rPr>
      </w:pPr>
      <w:r>
        <w:rPr>
          <w:rFonts w:hint="eastAsia" w:ascii="仿宋" w:hAnsi="仿宋" w:eastAsia="仿宋" w:cs="仿宋"/>
          <w:sz w:val="24"/>
          <w:szCs w:val="24"/>
        </w:rPr>
        <w:t>据此推断发射源AB距离不小于3km，收发距R不小于7km是可行的。实际野外工作中，以现场实验结果为准，选择合适的AB距和收发距。</w:t>
      </w:r>
      <w:bookmarkStart w:id="320" w:name="_Ref191889186"/>
    </w:p>
    <w:bookmarkEnd w:id="320"/>
    <w:p w14:paraId="6D19351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从图5-4可知，分别设置低阻体电阻率为100Ω.m、150Ω.m、200Ω.m，结果显示目标地层的频率响应范围集中在100-1HZ左右，故对此频段进行加密，以增加目标层的分辨率与识别准确度。</w:t>
      </w:r>
    </w:p>
    <w:p w14:paraId="71D0150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因此，设计采用表5-4所示的采样频率表（图5-4）。</w:t>
      </w:r>
      <w:bookmarkStart w:id="321" w:name="OLE_LINK21"/>
      <w:r>
        <w:rPr>
          <w:rFonts w:hint="eastAsia" w:ascii="仿宋" w:hAnsi="仿宋" w:eastAsia="仿宋" w:cs="仿宋"/>
          <w:sz w:val="24"/>
          <w:szCs w:val="24"/>
        </w:rPr>
        <w:t>最小周期为0.002s，最高频率为500Hz，最大周期为22.46s，最低频率为0.044524Hz，采样间隔0.5ms，共24个主频，包含3次谐波、5次谐波后共69个频点，采样总时长为2159s（35m59s）</w:t>
      </w:r>
      <w:bookmarkEnd w:id="321"/>
      <w:r>
        <w:rPr>
          <w:rFonts w:hint="eastAsia" w:ascii="仿宋" w:hAnsi="仿宋" w:eastAsia="仿宋" w:cs="仿宋"/>
          <w:sz w:val="24"/>
          <w:szCs w:val="24"/>
        </w:rPr>
        <w:t>。</w:t>
      </w:r>
    </w:p>
    <w:p w14:paraId="6D3BB56E">
      <w:pPr>
        <w:pStyle w:val="15"/>
        <w:pageBreakBefore w:val="0"/>
        <w:wordWrap/>
        <w:bidi w:val="0"/>
        <w:spacing w:line="360" w:lineRule="auto"/>
        <w:ind w:firstLine="422" w:firstLineChars="200"/>
        <w:outlineLvl w:val="9"/>
        <w:rPr>
          <w:rFonts w:ascii="宋体" w:hAnsi="宋体" w:cs="仿宋"/>
          <w:b/>
          <w:color w:val="000000"/>
          <w:sz w:val="21"/>
          <w:szCs w:val="24"/>
          <w:lang w:bidi="en-US"/>
        </w:rPr>
      </w:pPr>
      <w:bookmarkStart w:id="322" w:name="_Ref191890305"/>
      <w:r>
        <w:rPr>
          <w:rFonts w:hint="eastAsia" w:ascii="宋体" w:hAnsi="宋体" w:cs="仿宋"/>
          <w:b/>
          <w:color w:val="000000"/>
          <w:sz w:val="21"/>
          <w:szCs w:val="24"/>
          <w:lang w:bidi="en-US"/>
        </w:rPr>
        <w:t>表5</w:t>
      </w:r>
      <w:r>
        <w:rPr>
          <w:rFonts w:hint="eastAsia" w:ascii="宋体" w:hAnsi="宋体" w:cs="仿宋"/>
          <w:b/>
          <w:color w:val="000000"/>
          <w:sz w:val="21"/>
          <w:szCs w:val="24"/>
          <w:lang w:bidi="en-US"/>
        </w:rPr>
        <w:noBreakHyphen/>
      </w:r>
      <w:bookmarkEnd w:id="322"/>
      <w:r>
        <w:rPr>
          <w:rFonts w:hint="eastAsia" w:ascii="宋体" w:hAnsi="宋体" w:cs="仿宋"/>
          <w:b/>
          <w:color w:val="000000"/>
          <w:sz w:val="21"/>
          <w:szCs w:val="24"/>
          <w:lang w:bidi="en-US"/>
        </w:rPr>
        <w:t>4</w:t>
      </w:r>
      <w:r>
        <w:rPr>
          <w:rFonts w:ascii="宋体" w:hAnsi="宋体" w:cs="仿宋"/>
          <w:b/>
          <w:color w:val="000000"/>
          <w:sz w:val="21"/>
          <w:szCs w:val="24"/>
          <w:lang w:bidi="en-US"/>
        </w:rPr>
        <w:t xml:space="preserve">                       </w:t>
      </w:r>
      <w:r>
        <w:rPr>
          <w:rFonts w:hint="eastAsia" w:ascii="宋体" w:hAnsi="宋体" w:cs="仿宋"/>
          <w:b/>
          <w:color w:val="000000"/>
          <w:sz w:val="21"/>
          <w:szCs w:val="24"/>
          <w:lang w:bidi="en-US"/>
        </w:rPr>
        <w:t xml:space="preserve"> 设计采样频率表</w:t>
      </w:r>
    </w:p>
    <w:tbl>
      <w:tblPr>
        <w:tblStyle w:val="42"/>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1464"/>
        <w:gridCol w:w="1464"/>
        <w:gridCol w:w="1462"/>
        <w:gridCol w:w="1462"/>
        <w:gridCol w:w="1687"/>
      </w:tblGrid>
      <w:tr w14:paraId="3124F9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blHeader/>
        </w:trPr>
        <w:tc>
          <w:tcPr>
            <w:tcW w:w="1464" w:type="dxa"/>
            <w:vAlign w:val="center"/>
          </w:tcPr>
          <w:p w14:paraId="0D8D98EF">
            <w:pPr>
              <w:pageBreakBefore w:val="0"/>
              <w:wordWrap/>
              <w:bidi w:val="0"/>
              <w:adjustRightInd w:val="0"/>
              <w:snapToGrid w:val="0"/>
              <w:jc w:val="center"/>
              <w:outlineLvl w:val="9"/>
              <w:rPr>
                <w:rFonts w:ascii="宋体" w:hAnsi="宋体"/>
                <w:sz w:val="18"/>
                <w:szCs w:val="18"/>
              </w:rPr>
            </w:pPr>
            <w:bookmarkStart w:id="323" w:name="OLE_LINK7"/>
            <w:r>
              <w:rPr>
                <w:rFonts w:ascii="宋体" w:hAnsi="宋体"/>
                <w:sz w:val="18"/>
                <w:szCs w:val="18"/>
              </w:rPr>
              <w:t>序号</w:t>
            </w:r>
          </w:p>
        </w:tc>
        <w:tc>
          <w:tcPr>
            <w:tcW w:w="1464" w:type="dxa"/>
            <w:vAlign w:val="center"/>
          </w:tcPr>
          <w:p w14:paraId="1E5DEBA5">
            <w:pPr>
              <w:pageBreakBefore w:val="0"/>
              <w:wordWrap/>
              <w:bidi w:val="0"/>
              <w:adjustRightInd w:val="0"/>
              <w:snapToGrid w:val="0"/>
              <w:jc w:val="center"/>
              <w:outlineLvl w:val="9"/>
              <w:rPr>
                <w:rFonts w:ascii="宋体" w:hAnsi="宋体"/>
                <w:sz w:val="18"/>
                <w:szCs w:val="18"/>
              </w:rPr>
            </w:pPr>
            <w:r>
              <w:rPr>
                <w:rFonts w:ascii="宋体" w:hAnsi="宋体"/>
                <w:sz w:val="18"/>
                <w:szCs w:val="18"/>
              </w:rPr>
              <w:t>周期</w:t>
            </w:r>
            <w:r>
              <w:rPr>
                <w:rFonts w:hint="eastAsia" w:ascii="宋体" w:hAnsi="宋体"/>
                <w:sz w:val="18"/>
                <w:szCs w:val="18"/>
              </w:rPr>
              <w:t>（s）</w:t>
            </w:r>
          </w:p>
        </w:tc>
        <w:tc>
          <w:tcPr>
            <w:tcW w:w="1464" w:type="dxa"/>
            <w:vAlign w:val="center"/>
          </w:tcPr>
          <w:p w14:paraId="75BC7D85">
            <w:pPr>
              <w:pageBreakBefore w:val="0"/>
              <w:wordWrap/>
              <w:bidi w:val="0"/>
              <w:adjustRightInd w:val="0"/>
              <w:snapToGrid w:val="0"/>
              <w:jc w:val="center"/>
              <w:outlineLvl w:val="9"/>
              <w:rPr>
                <w:rFonts w:ascii="宋体" w:hAnsi="宋体"/>
                <w:sz w:val="18"/>
                <w:szCs w:val="18"/>
              </w:rPr>
            </w:pPr>
            <w:r>
              <w:rPr>
                <w:rFonts w:ascii="宋体" w:hAnsi="宋体"/>
                <w:sz w:val="18"/>
                <w:szCs w:val="18"/>
              </w:rPr>
              <w:t>频率</w:t>
            </w:r>
            <w:r>
              <w:rPr>
                <w:rFonts w:hint="eastAsia" w:ascii="宋体" w:hAnsi="宋体"/>
                <w:sz w:val="18"/>
                <w:szCs w:val="18"/>
              </w:rPr>
              <w:t>（Hz）</w:t>
            </w:r>
          </w:p>
        </w:tc>
        <w:tc>
          <w:tcPr>
            <w:tcW w:w="1462" w:type="dxa"/>
            <w:vAlign w:val="center"/>
          </w:tcPr>
          <w:p w14:paraId="50149BA0">
            <w:pPr>
              <w:pageBreakBefore w:val="0"/>
              <w:wordWrap/>
              <w:bidi w:val="0"/>
              <w:adjustRightInd w:val="0"/>
              <w:snapToGrid w:val="0"/>
              <w:jc w:val="center"/>
              <w:outlineLvl w:val="9"/>
              <w:rPr>
                <w:rFonts w:ascii="宋体" w:hAnsi="宋体"/>
                <w:sz w:val="18"/>
                <w:szCs w:val="18"/>
              </w:rPr>
            </w:pPr>
            <w:r>
              <w:rPr>
                <w:rFonts w:ascii="宋体" w:hAnsi="宋体"/>
                <w:sz w:val="18"/>
                <w:szCs w:val="18"/>
              </w:rPr>
              <w:t>样点数</w:t>
            </w:r>
          </w:p>
        </w:tc>
        <w:tc>
          <w:tcPr>
            <w:tcW w:w="1462" w:type="dxa"/>
            <w:vAlign w:val="center"/>
          </w:tcPr>
          <w:p w14:paraId="71168C6A">
            <w:pPr>
              <w:pageBreakBefore w:val="0"/>
              <w:wordWrap/>
              <w:bidi w:val="0"/>
              <w:adjustRightInd w:val="0"/>
              <w:snapToGrid w:val="0"/>
              <w:jc w:val="center"/>
              <w:outlineLvl w:val="9"/>
              <w:rPr>
                <w:rFonts w:ascii="宋体" w:hAnsi="宋体"/>
                <w:sz w:val="18"/>
                <w:szCs w:val="18"/>
              </w:rPr>
            </w:pPr>
            <w:r>
              <w:rPr>
                <w:rFonts w:ascii="宋体" w:hAnsi="宋体"/>
                <w:sz w:val="18"/>
                <w:szCs w:val="18"/>
              </w:rPr>
              <w:t>叠加次数</w:t>
            </w:r>
          </w:p>
        </w:tc>
        <w:tc>
          <w:tcPr>
            <w:tcW w:w="1687" w:type="dxa"/>
            <w:vAlign w:val="center"/>
          </w:tcPr>
          <w:p w14:paraId="485F1A42">
            <w:pPr>
              <w:pageBreakBefore w:val="0"/>
              <w:wordWrap/>
              <w:bidi w:val="0"/>
              <w:adjustRightInd w:val="0"/>
              <w:snapToGrid w:val="0"/>
              <w:jc w:val="center"/>
              <w:outlineLvl w:val="9"/>
              <w:rPr>
                <w:rFonts w:ascii="宋体" w:hAnsi="宋体"/>
                <w:sz w:val="18"/>
                <w:szCs w:val="18"/>
              </w:rPr>
            </w:pPr>
            <w:r>
              <w:rPr>
                <w:rFonts w:ascii="宋体" w:hAnsi="宋体"/>
                <w:sz w:val="18"/>
                <w:szCs w:val="18"/>
              </w:rPr>
              <w:t>采集时长</w:t>
            </w:r>
            <w:r>
              <w:rPr>
                <w:rFonts w:hint="eastAsia" w:ascii="宋体" w:hAnsi="宋体"/>
                <w:sz w:val="18"/>
                <w:szCs w:val="18"/>
              </w:rPr>
              <w:t>（s）</w:t>
            </w:r>
          </w:p>
        </w:tc>
      </w:tr>
      <w:tr w14:paraId="2FF52F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6F108DCF">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1</w:t>
            </w:r>
          </w:p>
        </w:tc>
        <w:tc>
          <w:tcPr>
            <w:tcW w:w="1464" w:type="dxa"/>
            <w:vAlign w:val="center"/>
          </w:tcPr>
          <w:p w14:paraId="708B921C">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0.002</w:t>
            </w:r>
          </w:p>
        </w:tc>
        <w:tc>
          <w:tcPr>
            <w:tcW w:w="1464" w:type="dxa"/>
            <w:vAlign w:val="center"/>
          </w:tcPr>
          <w:p w14:paraId="4B3577E5">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500</w:t>
            </w:r>
          </w:p>
        </w:tc>
        <w:tc>
          <w:tcPr>
            <w:tcW w:w="1462" w:type="dxa"/>
            <w:vAlign w:val="center"/>
          </w:tcPr>
          <w:p w14:paraId="6D77EC85">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4</w:t>
            </w:r>
          </w:p>
        </w:tc>
        <w:tc>
          <w:tcPr>
            <w:tcW w:w="1462" w:type="dxa"/>
            <w:vAlign w:val="center"/>
          </w:tcPr>
          <w:p w14:paraId="7A3894A9">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2048</w:t>
            </w:r>
          </w:p>
        </w:tc>
        <w:tc>
          <w:tcPr>
            <w:tcW w:w="1687" w:type="dxa"/>
            <w:vAlign w:val="center"/>
          </w:tcPr>
          <w:p w14:paraId="2F7498D5">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4.096</w:t>
            </w:r>
          </w:p>
        </w:tc>
      </w:tr>
      <w:tr w14:paraId="6056F8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652E378C">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2</w:t>
            </w:r>
          </w:p>
        </w:tc>
        <w:tc>
          <w:tcPr>
            <w:tcW w:w="1464" w:type="dxa"/>
            <w:vAlign w:val="center"/>
          </w:tcPr>
          <w:p w14:paraId="7FAAA690">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0.004</w:t>
            </w:r>
          </w:p>
        </w:tc>
        <w:tc>
          <w:tcPr>
            <w:tcW w:w="1464" w:type="dxa"/>
            <w:vAlign w:val="center"/>
          </w:tcPr>
          <w:p w14:paraId="526CBCCB">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250</w:t>
            </w:r>
          </w:p>
        </w:tc>
        <w:tc>
          <w:tcPr>
            <w:tcW w:w="1462" w:type="dxa"/>
            <w:vAlign w:val="center"/>
          </w:tcPr>
          <w:p w14:paraId="39B38164">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8</w:t>
            </w:r>
          </w:p>
        </w:tc>
        <w:tc>
          <w:tcPr>
            <w:tcW w:w="1462" w:type="dxa"/>
            <w:vAlign w:val="center"/>
          </w:tcPr>
          <w:p w14:paraId="7302D62D">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2048</w:t>
            </w:r>
          </w:p>
        </w:tc>
        <w:tc>
          <w:tcPr>
            <w:tcW w:w="1687" w:type="dxa"/>
            <w:vAlign w:val="center"/>
          </w:tcPr>
          <w:p w14:paraId="28D92BEF">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8.192</w:t>
            </w:r>
          </w:p>
        </w:tc>
      </w:tr>
      <w:tr w14:paraId="6BFF9A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452FEEA4">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3</w:t>
            </w:r>
          </w:p>
        </w:tc>
        <w:tc>
          <w:tcPr>
            <w:tcW w:w="1464" w:type="dxa"/>
            <w:vAlign w:val="center"/>
          </w:tcPr>
          <w:p w14:paraId="1F21F09B">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0.006</w:t>
            </w:r>
          </w:p>
        </w:tc>
        <w:tc>
          <w:tcPr>
            <w:tcW w:w="1464" w:type="dxa"/>
            <w:vAlign w:val="center"/>
          </w:tcPr>
          <w:p w14:paraId="20ED911B">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166.6667</w:t>
            </w:r>
          </w:p>
        </w:tc>
        <w:tc>
          <w:tcPr>
            <w:tcW w:w="1462" w:type="dxa"/>
            <w:vAlign w:val="center"/>
          </w:tcPr>
          <w:p w14:paraId="153B8D77">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12</w:t>
            </w:r>
          </w:p>
        </w:tc>
        <w:tc>
          <w:tcPr>
            <w:tcW w:w="1462" w:type="dxa"/>
            <w:vAlign w:val="center"/>
          </w:tcPr>
          <w:p w14:paraId="1C8B5EBB">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2048</w:t>
            </w:r>
          </w:p>
        </w:tc>
        <w:tc>
          <w:tcPr>
            <w:tcW w:w="1687" w:type="dxa"/>
            <w:vAlign w:val="center"/>
          </w:tcPr>
          <w:p w14:paraId="29A33B4A">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12.288</w:t>
            </w:r>
          </w:p>
        </w:tc>
      </w:tr>
      <w:tr w14:paraId="022E39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11233470">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4</w:t>
            </w:r>
          </w:p>
        </w:tc>
        <w:tc>
          <w:tcPr>
            <w:tcW w:w="1464" w:type="dxa"/>
            <w:vAlign w:val="center"/>
          </w:tcPr>
          <w:p w14:paraId="7F1A182F">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0.008</w:t>
            </w:r>
          </w:p>
        </w:tc>
        <w:tc>
          <w:tcPr>
            <w:tcW w:w="1464" w:type="dxa"/>
            <w:vAlign w:val="center"/>
          </w:tcPr>
          <w:p w14:paraId="1748C4B5">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125</w:t>
            </w:r>
          </w:p>
        </w:tc>
        <w:tc>
          <w:tcPr>
            <w:tcW w:w="1462" w:type="dxa"/>
            <w:vAlign w:val="center"/>
          </w:tcPr>
          <w:p w14:paraId="4B616616">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16</w:t>
            </w:r>
          </w:p>
        </w:tc>
        <w:tc>
          <w:tcPr>
            <w:tcW w:w="1462" w:type="dxa"/>
            <w:vAlign w:val="center"/>
          </w:tcPr>
          <w:p w14:paraId="480AE31C">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1024</w:t>
            </w:r>
          </w:p>
        </w:tc>
        <w:tc>
          <w:tcPr>
            <w:tcW w:w="1687" w:type="dxa"/>
            <w:vAlign w:val="center"/>
          </w:tcPr>
          <w:p w14:paraId="77F68A18">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8.192</w:t>
            </w:r>
          </w:p>
        </w:tc>
      </w:tr>
      <w:tr w14:paraId="1A18F3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4119FFC4">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5</w:t>
            </w:r>
          </w:p>
        </w:tc>
        <w:tc>
          <w:tcPr>
            <w:tcW w:w="1464" w:type="dxa"/>
            <w:vAlign w:val="center"/>
          </w:tcPr>
          <w:p w14:paraId="52FA0434">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0.012</w:t>
            </w:r>
          </w:p>
        </w:tc>
        <w:tc>
          <w:tcPr>
            <w:tcW w:w="1464" w:type="dxa"/>
            <w:vAlign w:val="center"/>
          </w:tcPr>
          <w:p w14:paraId="635F4B37">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83.33333</w:t>
            </w:r>
          </w:p>
        </w:tc>
        <w:tc>
          <w:tcPr>
            <w:tcW w:w="1462" w:type="dxa"/>
            <w:vAlign w:val="center"/>
          </w:tcPr>
          <w:p w14:paraId="0A8DDAFF">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24</w:t>
            </w:r>
          </w:p>
        </w:tc>
        <w:tc>
          <w:tcPr>
            <w:tcW w:w="1462" w:type="dxa"/>
            <w:vAlign w:val="center"/>
          </w:tcPr>
          <w:p w14:paraId="4B8FACFB">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1024</w:t>
            </w:r>
          </w:p>
        </w:tc>
        <w:tc>
          <w:tcPr>
            <w:tcW w:w="1687" w:type="dxa"/>
            <w:vAlign w:val="center"/>
          </w:tcPr>
          <w:p w14:paraId="689B886E">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12.288</w:t>
            </w:r>
          </w:p>
        </w:tc>
      </w:tr>
      <w:tr w14:paraId="7A675E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6B839DEE">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6</w:t>
            </w:r>
          </w:p>
        </w:tc>
        <w:tc>
          <w:tcPr>
            <w:tcW w:w="1464" w:type="dxa"/>
            <w:vAlign w:val="center"/>
          </w:tcPr>
          <w:p w14:paraId="0F0456B5">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0.016</w:t>
            </w:r>
          </w:p>
        </w:tc>
        <w:tc>
          <w:tcPr>
            <w:tcW w:w="1464" w:type="dxa"/>
            <w:vAlign w:val="center"/>
          </w:tcPr>
          <w:p w14:paraId="0FFC3F1C">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62.5</w:t>
            </w:r>
          </w:p>
        </w:tc>
        <w:tc>
          <w:tcPr>
            <w:tcW w:w="1462" w:type="dxa"/>
            <w:vAlign w:val="center"/>
          </w:tcPr>
          <w:p w14:paraId="07E35E1F">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32</w:t>
            </w:r>
          </w:p>
        </w:tc>
        <w:tc>
          <w:tcPr>
            <w:tcW w:w="1462" w:type="dxa"/>
            <w:vAlign w:val="center"/>
          </w:tcPr>
          <w:p w14:paraId="65511B22">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1024</w:t>
            </w:r>
          </w:p>
        </w:tc>
        <w:tc>
          <w:tcPr>
            <w:tcW w:w="1687" w:type="dxa"/>
            <w:vAlign w:val="center"/>
          </w:tcPr>
          <w:p w14:paraId="02437530">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16.384</w:t>
            </w:r>
          </w:p>
        </w:tc>
      </w:tr>
      <w:tr w14:paraId="322680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26A498B9">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7</w:t>
            </w:r>
          </w:p>
        </w:tc>
        <w:tc>
          <w:tcPr>
            <w:tcW w:w="1464" w:type="dxa"/>
            <w:vAlign w:val="center"/>
          </w:tcPr>
          <w:p w14:paraId="752074EC">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0.024</w:t>
            </w:r>
          </w:p>
        </w:tc>
        <w:tc>
          <w:tcPr>
            <w:tcW w:w="1464" w:type="dxa"/>
            <w:vAlign w:val="center"/>
          </w:tcPr>
          <w:p w14:paraId="2536FE97">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41.66667</w:t>
            </w:r>
          </w:p>
        </w:tc>
        <w:tc>
          <w:tcPr>
            <w:tcW w:w="1462" w:type="dxa"/>
            <w:vAlign w:val="center"/>
          </w:tcPr>
          <w:p w14:paraId="7F1D10E7">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48</w:t>
            </w:r>
          </w:p>
        </w:tc>
        <w:tc>
          <w:tcPr>
            <w:tcW w:w="1462" w:type="dxa"/>
            <w:vAlign w:val="center"/>
          </w:tcPr>
          <w:p w14:paraId="0F35F45D">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512</w:t>
            </w:r>
          </w:p>
        </w:tc>
        <w:tc>
          <w:tcPr>
            <w:tcW w:w="1687" w:type="dxa"/>
            <w:vAlign w:val="center"/>
          </w:tcPr>
          <w:p w14:paraId="10B951BB">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12.288</w:t>
            </w:r>
          </w:p>
        </w:tc>
      </w:tr>
      <w:tr w14:paraId="5F042D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032085D5">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8</w:t>
            </w:r>
          </w:p>
        </w:tc>
        <w:tc>
          <w:tcPr>
            <w:tcW w:w="1464" w:type="dxa"/>
            <w:vAlign w:val="center"/>
          </w:tcPr>
          <w:p w14:paraId="4902BAFA">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0.032</w:t>
            </w:r>
          </w:p>
        </w:tc>
        <w:tc>
          <w:tcPr>
            <w:tcW w:w="1464" w:type="dxa"/>
            <w:vAlign w:val="center"/>
          </w:tcPr>
          <w:p w14:paraId="0CA6C986">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31.25</w:t>
            </w:r>
          </w:p>
        </w:tc>
        <w:tc>
          <w:tcPr>
            <w:tcW w:w="1462" w:type="dxa"/>
            <w:vAlign w:val="center"/>
          </w:tcPr>
          <w:p w14:paraId="3FE47056">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64</w:t>
            </w:r>
          </w:p>
        </w:tc>
        <w:tc>
          <w:tcPr>
            <w:tcW w:w="1462" w:type="dxa"/>
            <w:vAlign w:val="center"/>
          </w:tcPr>
          <w:p w14:paraId="209D16CE">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512</w:t>
            </w:r>
          </w:p>
        </w:tc>
        <w:tc>
          <w:tcPr>
            <w:tcW w:w="1687" w:type="dxa"/>
            <w:vAlign w:val="center"/>
          </w:tcPr>
          <w:p w14:paraId="390DD888">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16.384</w:t>
            </w:r>
          </w:p>
        </w:tc>
      </w:tr>
      <w:tr w14:paraId="5BBF43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46651734">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9</w:t>
            </w:r>
          </w:p>
        </w:tc>
        <w:tc>
          <w:tcPr>
            <w:tcW w:w="1464" w:type="dxa"/>
            <w:vAlign w:val="center"/>
          </w:tcPr>
          <w:p w14:paraId="7759D98B">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0.048</w:t>
            </w:r>
          </w:p>
        </w:tc>
        <w:tc>
          <w:tcPr>
            <w:tcW w:w="1464" w:type="dxa"/>
            <w:vAlign w:val="center"/>
          </w:tcPr>
          <w:p w14:paraId="76576927">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20.83333</w:t>
            </w:r>
          </w:p>
        </w:tc>
        <w:tc>
          <w:tcPr>
            <w:tcW w:w="1462" w:type="dxa"/>
            <w:vAlign w:val="center"/>
          </w:tcPr>
          <w:p w14:paraId="5811E065">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96</w:t>
            </w:r>
          </w:p>
        </w:tc>
        <w:tc>
          <w:tcPr>
            <w:tcW w:w="1462" w:type="dxa"/>
            <w:vAlign w:val="center"/>
          </w:tcPr>
          <w:p w14:paraId="667DDF4F">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512</w:t>
            </w:r>
          </w:p>
        </w:tc>
        <w:tc>
          <w:tcPr>
            <w:tcW w:w="1687" w:type="dxa"/>
            <w:vAlign w:val="center"/>
          </w:tcPr>
          <w:p w14:paraId="2AF860AB">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24.576</w:t>
            </w:r>
          </w:p>
        </w:tc>
      </w:tr>
      <w:tr w14:paraId="7C7EF5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02B04367">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10</w:t>
            </w:r>
          </w:p>
        </w:tc>
        <w:tc>
          <w:tcPr>
            <w:tcW w:w="1464" w:type="dxa"/>
            <w:vAlign w:val="center"/>
          </w:tcPr>
          <w:p w14:paraId="6F4699F7">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0.064</w:t>
            </w:r>
          </w:p>
        </w:tc>
        <w:tc>
          <w:tcPr>
            <w:tcW w:w="1464" w:type="dxa"/>
            <w:vAlign w:val="center"/>
          </w:tcPr>
          <w:p w14:paraId="168C60B5">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15.625</w:t>
            </w:r>
          </w:p>
        </w:tc>
        <w:tc>
          <w:tcPr>
            <w:tcW w:w="1462" w:type="dxa"/>
            <w:vAlign w:val="center"/>
          </w:tcPr>
          <w:p w14:paraId="3FBEE377">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128</w:t>
            </w:r>
          </w:p>
        </w:tc>
        <w:tc>
          <w:tcPr>
            <w:tcW w:w="1462" w:type="dxa"/>
            <w:vAlign w:val="center"/>
          </w:tcPr>
          <w:p w14:paraId="1902B255">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512</w:t>
            </w:r>
          </w:p>
        </w:tc>
        <w:tc>
          <w:tcPr>
            <w:tcW w:w="1687" w:type="dxa"/>
            <w:vAlign w:val="center"/>
          </w:tcPr>
          <w:p w14:paraId="4C2712E8">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32.768</w:t>
            </w:r>
          </w:p>
        </w:tc>
      </w:tr>
      <w:tr w14:paraId="7ADBFE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640C25DD">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11</w:t>
            </w:r>
          </w:p>
        </w:tc>
        <w:tc>
          <w:tcPr>
            <w:tcW w:w="1464" w:type="dxa"/>
            <w:vAlign w:val="center"/>
          </w:tcPr>
          <w:p w14:paraId="46ECD2D5">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0.096</w:t>
            </w:r>
          </w:p>
        </w:tc>
        <w:tc>
          <w:tcPr>
            <w:tcW w:w="1464" w:type="dxa"/>
            <w:vAlign w:val="center"/>
          </w:tcPr>
          <w:p w14:paraId="0543954F">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10.41667</w:t>
            </w:r>
          </w:p>
        </w:tc>
        <w:tc>
          <w:tcPr>
            <w:tcW w:w="1462" w:type="dxa"/>
            <w:vAlign w:val="center"/>
          </w:tcPr>
          <w:p w14:paraId="61BFB420">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192</w:t>
            </w:r>
          </w:p>
        </w:tc>
        <w:tc>
          <w:tcPr>
            <w:tcW w:w="1462" w:type="dxa"/>
            <w:vAlign w:val="center"/>
          </w:tcPr>
          <w:p w14:paraId="44B05576">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256</w:t>
            </w:r>
          </w:p>
        </w:tc>
        <w:tc>
          <w:tcPr>
            <w:tcW w:w="1687" w:type="dxa"/>
            <w:vAlign w:val="center"/>
          </w:tcPr>
          <w:p w14:paraId="01839C21">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24.576</w:t>
            </w:r>
          </w:p>
        </w:tc>
      </w:tr>
      <w:tr w14:paraId="172734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04310BDD">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12</w:t>
            </w:r>
          </w:p>
        </w:tc>
        <w:tc>
          <w:tcPr>
            <w:tcW w:w="1464" w:type="dxa"/>
            <w:vAlign w:val="center"/>
          </w:tcPr>
          <w:p w14:paraId="6AD58253">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0.128</w:t>
            </w:r>
          </w:p>
        </w:tc>
        <w:tc>
          <w:tcPr>
            <w:tcW w:w="1464" w:type="dxa"/>
            <w:vAlign w:val="center"/>
          </w:tcPr>
          <w:p w14:paraId="3540C8CB">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7.8125</w:t>
            </w:r>
          </w:p>
        </w:tc>
        <w:tc>
          <w:tcPr>
            <w:tcW w:w="1462" w:type="dxa"/>
            <w:vAlign w:val="center"/>
          </w:tcPr>
          <w:p w14:paraId="3EA49D87">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256</w:t>
            </w:r>
          </w:p>
        </w:tc>
        <w:tc>
          <w:tcPr>
            <w:tcW w:w="1462" w:type="dxa"/>
            <w:vAlign w:val="center"/>
          </w:tcPr>
          <w:p w14:paraId="4F974BD4">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256</w:t>
            </w:r>
          </w:p>
        </w:tc>
        <w:tc>
          <w:tcPr>
            <w:tcW w:w="1687" w:type="dxa"/>
            <w:vAlign w:val="center"/>
          </w:tcPr>
          <w:p w14:paraId="29253E3D">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32.768</w:t>
            </w:r>
          </w:p>
        </w:tc>
      </w:tr>
      <w:tr w14:paraId="7CA944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660A0931">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13</w:t>
            </w:r>
          </w:p>
        </w:tc>
        <w:tc>
          <w:tcPr>
            <w:tcW w:w="1464" w:type="dxa"/>
            <w:vAlign w:val="center"/>
          </w:tcPr>
          <w:p w14:paraId="7F3B5CE4">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0.192</w:t>
            </w:r>
          </w:p>
        </w:tc>
        <w:tc>
          <w:tcPr>
            <w:tcW w:w="1464" w:type="dxa"/>
            <w:vAlign w:val="center"/>
          </w:tcPr>
          <w:p w14:paraId="575984DA">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5.208333</w:t>
            </w:r>
          </w:p>
        </w:tc>
        <w:tc>
          <w:tcPr>
            <w:tcW w:w="1462" w:type="dxa"/>
            <w:vAlign w:val="center"/>
          </w:tcPr>
          <w:p w14:paraId="4D6E6019">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384</w:t>
            </w:r>
          </w:p>
        </w:tc>
        <w:tc>
          <w:tcPr>
            <w:tcW w:w="1462" w:type="dxa"/>
            <w:vAlign w:val="center"/>
          </w:tcPr>
          <w:p w14:paraId="585DE179">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256</w:t>
            </w:r>
          </w:p>
        </w:tc>
        <w:tc>
          <w:tcPr>
            <w:tcW w:w="1687" w:type="dxa"/>
            <w:vAlign w:val="center"/>
          </w:tcPr>
          <w:p w14:paraId="47C1E290">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49.152</w:t>
            </w:r>
          </w:p>
        </w:tc>
      </w:tr>
      <w:tr w14:paraId="679D62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038988D1">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14</w:t>
            </w:r>
          </w:p>
        </w:tc>
        <w:tc>
          <w:tcPr>
            <w:tcW w:w="1464" w:type="dxa"/>
            <w:vAlign w:val="center"/>
          </w:tcPr>
          <w:p w14:paraId="6ABC1E3D">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0.256</w:t>
            </w:r>
          </w:p>
        </w:tc>
        <w:tc>
          <w:tcPr>
            <w:tcW w:w="1464" w:type="dxa"/>
            <w:vAlign w:val="center"/>
          </w:tcPr>
          <w:p w14:paraId="6A2EF574">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3.90625</w:t>
            </w:r>
          </w:p>
        </w:tc>
        <w:tc>
          <w:tcPr>
            <w:tcW w:w="1462" w:type="dxa"/>
            <w:vAlign w:val="center"/>
          </w:tcPr>
          <w:p w14:paraId="477E78AB">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512</w:t>
            </w:r>
          </w:p>
        </w:tc>
        <w:tc>
          <w:tcPr>
            <w:tcW w:w="1462" w:type="dxa"/>
            <w:vAlign w:val="center"/>
          </w:tcPr>
          <w:p w14:paraId="7BEFA92E">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256</w:t>
            </w:r>
          </w:p>
        </w:tc>
        <w:tc>
          <w:tcPr>
            <w:tcW w:w="1687" w:type="dxa"/>
            <w:vAlign w:val="center"/>
          </w:tcPr>
          <w:p w14:paraId="09EC485D">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65.536</w:t>
            </w:r>
          </w:p>
        </w:tc>
      </w:tr>
      <w:tr w14:paraId="385591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5502B8FA">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15</w:t>
            </w:r>
          </w:p>
        </w:tc>
        <w:tc>
          <w:tcPr>
            <w:tcW w:w="1464" w:type="dxa"/>
            <w:vAlign w:val="center"/>
          </w:tcPr>
          <w:p w14:paraId="14BAB0D7">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0.384</w:t>
            </w:r>
          </w:p>
        </w:tc>
        <w:tc>
          <w:tcPr>
            <w:tcW w:w="1464" w:type="dxa"/>
            <w:vAlign w:val="center"/>
          </w:tcPr>
          <w:p w14:paraId="34202340">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2.604167</w:t>
            </w:r>
          </w:p>
        </w:tc>
        <w:tc>
          <w:tcPr>
            <w:tcW w:w="1462" w:type="dxa"/>
            <w:vAlign w:val="center"/>
          </w:tcPr>
          <w:p w14:paraId="13538FB3">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768</w:t>
            </w:r>
          </w:p>
        </w:tc>
        <w:tc>
          <w:tcPr>
            <w:tcW w:w="1462" w:type="dxa"/>
            <w:vAlign w:val="center"/>
          </w:tcPr>
          <w:p w14:paraId="79076BE9">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128</w:t>
            </w:r>
          </w:p>
        </w:tc>
        <w:tc>
          <w:tcPr>
            <w:tcW w:w="1687" w:type="dxa"/>
            <w:vAlign w:val="center"/>
          </w:tcPr>
          <w:p w14:paraId="5C87051E">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49.152</w:t>
            </w:r>
          </w:p>
        </w:tc>
      </w:tr>
      <w:tr w14:paraId="48B684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0CF2F042">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16</w:t>
            </w:r>
          </w:p>
        </w:tc>
        <w:tc>
          <w:tcPr>
            <w:tcW w:w="1464" w:type="dxa"/>
            <w:vAlign w:val="center"/>
          </w:tcPr>
          <w:p w14:paraId="3B20DBE0">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0.512</w:t>
            </w:r>
          </w:p>
        </w:tc>
        <w:tc>
          <w:tcPr>
            <w:tcW w:w="1464" w:type="dxa"/>
            <w:vAlign w:val="center"/>
          </w:tcPr>
          <w:p w14:paraId="35556E10">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1.953125</w:t>
            </w:r>
          </w:p>
        </w:tc>
        <w:tc>
          <w:tcPr>
            <w:tcW w:w="1462" w:type="dxa"/>
            <w:vAlign w:val="center"/>
          </w:tcPr>
          <w:p w14:paraId="6AEE458D">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1024</w:t>
            </w:r>
          </w:p>
        </w:tc>
        <w:tc>
          <w:tcPr>
            <w:tcW w:w="1462" w:type="dxa"/>
            <w:vAlign w:val="center"/>
          </w:tcPr>
          <w:p w14:paraId="1FDEC5A5">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128</w:t>
            </w:r>
          </w:p>
        </w:tc>
        <w:tc>
          <w:tcPr>
            <w:tcW w:w="1687" w:type="dxa"/>
            <w:vAlign w:val="center"/>
          </w:tcPr>
          <w:p w14:paraId="602D1281">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65.536</w:t>
            </w:r>
          </w:p>
        </w:tc>
      </w:tr>
      <w:tr w14:paraId="1B4336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5B053255">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17</w:t>
            </w:r>
          </w:p>
        </w:tc>
        <w:tc>
          <w:tcPr>
            <w:tcW w:w="1464" w:type="dxa"/>
            <w:vAlign w:val="center"/>
          </w:tcPr>
          <w:p w14:paraId="5E72DE06">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0.768</w:t>
            </w:r>
          </w:p>
        </w:tc>
        <w:tc>
          <w:tcPr>
            <w:tcW w:w="1464" w:type="dxa"/>
            <w:vAlign w:val="center"/>
          </w:tcPr>
          <w:p w14:paraId="3B6EB570">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1.302083</w:t>
            </w:r>
          </w:p>
        </w:tc>
        <w:tc>
          <w:tcPr>
            <w:tcW w:w="1462" w:type="dxa"/>
            <w:vAlign w:val="center"/>
          </w:tcPr>
          <w:p w14:paraId="4DCE7F7F">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1536</w:t>
            </w:r>
          </w:p>
        </w:tc>
        <w:tc>
          <w:tcPr>
            <w:tcW w:w="1462" w:type="dxa"/>
            <w:vAlign w:val="center"/>
          </w:tcPr>
          <w:p w14:paraId="372ACB87">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128</w:t>
            </w:r>
          </w:p>
        </w:tc>
        <w:tc>
          <w:tcPr>
            <w:tcW w:w="1687" w:type="dxa"/>
            <w:vAlign w:val="center"/>
          </w:tcPr>
          <w:p w14:paraId="069D9F86">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98.304</w:t>
            </w:r>
          </w:p>
        </w:tc>
      </w:tr>
      <w:tr w14:paraId="482E11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0B51C039">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18</w:t>
            </w:r>
          </w:p>
        </w:tc>
        <w:tc>
          <w:tcPr>
            <w:tcW w:w="1464" w:type="dxa"/>
            <w:vAlign w:val="center"/>
          </w:tcPr>
          <w:p w14:paraId="2FCB9815">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1.024</w:t>
            </w:r>
          </w:p>
        </w:tc>
        <w:tc>
          <w:tcPr>
            <w:tcW w:w="1464" w:type="dxa"/>
            <w:vAlign w:val="center"/>
          </w:tcPr>
          <w:p w14:paraId="5D19D64C">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0.976563</w:t>
            </w:r>
          </w:p>
        </w:tc>
        <w:tc>
          <w:tcPr>
            <w:tcW w:w="1462" w:type="dxa"/>
            <w:vAlign w:val="center"/>
          </w:tcPr>
          <w:p w14:paraId="5DDE0AF5">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2048</w:t>
            </w:r>
          </w:p>
        </w:tc>
        <w:tc>
          <w:tcPr>
            <w:tcW w:w="1462" w:type="dxa"/>
            <w:vAlign w:val="center"/>
          </w:tcPr>
          <w:p w14:paraId="500DBF41">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64</w:t>
            </w:r>
          </w:p>
        </w:tc>
        <w:tc>
          <w:tcPr>
            <w:tcW w:w="1687" w:type="dxa"/>
            <w:vAlign w:val="center"/>
          </w:tcPr>
          <w:p w14:paraId="3523BA99">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65.536</w:t>
            </w:r>
          </w:p>
        </w:tc>
      </w:tr>
      <w:tr w14:paraId="213260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5A2BD7C9">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19</w:t>
            </w:r>
          </w:p>
        </w:tc>
        <w:tc>
          <w:tcPr>
            <w:tcW w:w="1464" w:type="dxa"/>
            <w:vAlign w:val="center"/>
          </w:tcPr>
          <w:p w14:paraId="472AF431">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2.048</w:t>
            </w:r>
          </w:p>
        </w:tc>
        <w:tc>
          <w:tcPr>
            <w:tcW w:w="1464" w:type="dxa"/>
            <w:vAlign w:val="center"/>
          </w:tcPr>
          <w:p w14:paraId="06E63868">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0.488281</w:t>
            </w:r>
          </w:p>
        </w:tc>
        <w:tc>
          <w:tcPr>
            <w:tcW w:w="1462" w:type="dxa"/>
            <w:vAlign w:val="center"/>
          </w:tcPr>
          <w:p w14:paraId="2792149C">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4096</w:t>
            </w:r>
          </w:p>
        </w:tc>
        <w:tc>
          <w:tcPr>
            <w:tcW w:w="1462" w:type="dxa"/>
            <w:vAlign w:val="center"/>
          </w:tcPr>
          <w:p w14:paraId="6BC253BF">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64</w:t>
            </w:r>
          </w:p>
        </w:tc>
        <w:tc>
          <w:tcPr>
            <w:tcW w:w="1687" w:type="dxa"/>
            <w:vAlign w:val="center"/>
          </w:tcPr>
          <w:p w14:paraId="66FA69A2">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131.072</w:t>
            </w:r>
          </w:p>
        </w:tc>
      </w:tr>
      <w:tr w14:paraId="589D4C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3396E0E0">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20</w:t>
            </w:r>
          </w:p>
        </w:tc>
        <w:tc>
          <w:tcPr>
            <w:tcW w:w="1464" w:type="dxa"/>
            <w:vAlign w:val="center"/>
          </w:tcPr>
          <w:p w14:paraId="35325F3B">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4.096</w:t>
            </w:r>
          </w:p>
        </w:tc>
        <w:tc>
          <w:tcPr>
            <w:tcW w:w="1464" w:type="dxa"/>
            <w:vAlign w:val="center"/>
          </w:tcPr>
          <w:p w14:paraId="1074218C">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0.244141</w:t>
            </w:r>
          </w:p>
        </w:tc>
        <w:tc>
          <w:tcPr>
            <w:tcW w:w="1462" w:type="dxa"/>
            <w:vAlign w:val="center"/>
          </w:tcPr>
          <w:p w14:paraId="17F7D2D2">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8192</w:t>
            </w:r>
          </w:p>
        </w:tc>
        <w:tc>
          <w:tcPr>
            <w:tcW w:w="1462" w:type="dxa"/>
            <w:vAlign w:val="center"/>
          </w:tcPr>
          <w:p w14:paraId="7BB02352">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64</w:t>
            </w:r>
          </w:p>
        </w:tc>
        <w:tc>
          <w:tcPr>
            <w:tcW w:w="1687" w:type="dxa"/>
            <w:vAlign w:val="center"/>
          </w:tcPr>
          <w:p w14:paraId="5615A7C5">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262.144</w:t>
            </w:r>
          </w:p>
        </w:tc>
      </w:tr>
      <w:tr w14:paraId="40D4A3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4D7A332E">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21</w:t>
            </w:r>
          </w:p>
        </w:tc>
        <w:tc>
          <w:tcPr>
            <w:tcW w:w="1464" w:type="dxa"/>
            <w:vAlign w:val="center"/>
          </w:tcPr>
          <w:p w14:paraId="7C303006">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5.615</w:t>
            </w:r>
          </w:p>
        </w:tc>
        <w:tc>
          <w:tcPr>
            <w:tcW w:w="1464" w:type="dxa"/>
            <w:vAlign w:val="center"/>
          </w:tcPr>
          <w:p w14:paraId="13032494">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0.178094</w:t>
            </w:r>
          </w:p>
        </w:tc>
        <w:tc>
          <w:tcPr>
            <w:tcW w:w="1462" w:type="dxa"/>
            <w:vAlign w:val="center"/>
          </w:tcPr>
          <w:p w14:paraId="39E40E98">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11230</w:t>
            </w:r>
          </w:p>
        </w:tc>
        <w:tc>
          <w:tcPr>
            <w:tcW w:w="1462" w:type="dxa"/>
            <w:vAlign w:val="center"/>
          </w:tcPr>
          <w:p w14:paraId="508306B0">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32</w:t>
            </w:r>
          </w:p>
        </w:tc>
        <w:tc>
          <w:tcPr>
            <w:tcW w:w="1687" w:type="dxa"/>
            <w:vAlign w:val="center"/>
          </w:tcPr>
          <w:p w14:paraId="58F81892">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179.68</w:t>
            </w:r>
          </w:p>
        </w:tc>
      </w:tr>
      <w:tr w14:paraId="357686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0E7093E2">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22</w:t>
            </w:r>
          </w:p>
        </w:tc>
        <w:tc>
          <w:tcPr>
            <w:tcW w:w="1464" w:type="dxa"/>
            <w:vAlign w:val="center"/>
          </w:tcPr>
          <w:p w14:paraId="0F4CCDDD">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11.23</w:t>
            </w:r>
          </w:p>
        </w:tc>
        <w:tc>
          <w:tcPr>
            <w:tcW w:w="1464" w:type="dxa"/>
            <w:vAlign w:val="center"/>
          </w:tcPr>
          <w:p w14:paraId="399DFB5E">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0.089047</w:t>
            </w:r>
          </w:p>
        </w:tc>
        <w:tc>
          <w:tcPr>
            <w:tcW w:w="1462" w:type="dxa"/>
            <w:vAlign w:val="center"/>
          </w:tcPr>
          <w:p w14:paraId="67AB6976">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22460</w:t>
            </w:r>
          </w:p>
        </w:tc>
        <w:tc>
          <w:tcPr>
            <w:tcW w:w="1462" w:type="dxa"/>
            <w:vAlign w:val="center"/>
          </w:tcPr>
          <w:p w14:paraId="19969C4D">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32</w:t>
            </w:r>
          </w:p>
        </w:tc>
        <w:tc>
          <w:tcPr>
            <w:tcW w:w="1687" w:type="dxa"/>
            <w:vAlign w:val="center"/>
          </w:tcPr>
          <w:p w14:paraId="69631F3A">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359.36</w:t>
            </w:r>
          </w:p>
        </w:tc>
      </w:tr>
      <w:tr w14:paraId="4C57C6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3F549E46">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23</w:t>
            </w:r>
          </w:p>
        </w:tc>
        <w:tc>
          <w:tcPr>
            <w:tcW w:w="1464" w:type="dxa"/>
            <w:vAlign w:val="center"/>
          </w:tcPr>
          <w:p w14:paraId="5001EF9B">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16.845</w:t>
            </w:r>
          </w:p>
        </w:tc>
        <w:tc>
          <w:tcPr>
            <w:tcW w:w="1464" w:type="dxa"/>
            <w:vAlign w:val="center"/>
          </w:tcPr>
          <w:p w14:paraId="0BA5AFD6">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0.059365</w:t>
            </w:r>
          </w:p>
        </w:tc>
        <w:tc>
          <w:tcPr>
            <w:tcW w:w="1462" w:type="dxa"/>
            <w:vAlign w:val="center"/>
          </w:tcPr>
          <w:p w14:paraId="26C99DDA">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33690</w:t>
            </w:r>
          </w:p>
        </w:tc>
        <w:tc>
          <w:tcPr>
            <w:tcW w:w="1462" w:type="dxa"/>
            <w:vAlign w:val="center"/>
          </w:tcPr>
          <w:p w14:paraId="0C637AC3">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16</w:t>
            </w:r>
          </w:p>
        </w:tc>
        <w:tc>
          <w:tcPr>
            <w:tcW w:w="1687" w:type="dxa"/>
            <w:vAlign w:val="center"/>
          </w:tcPr>
          <w:p w14:paraId="4795648E">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269.52</w:t>
            </w:r>
          </w:p>
        </w:tc>
      </w:tr>
      <w:tr w14:paraId="33714C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64" w:type="dxa"/>
            <w:vAlign w:val="center"/>
          </w:tcPr>
          <w:p w14:paraId="35534F86">
            <w:pPr>
              <w:pageBreakBefore w:val="0"/>
              <w:wordWrap/>
              <w:bidi w:val="0"/>
              <w:adjustRightInd w:val="0"/>
              <w:snapToGrid w:val="0"/>
              <w:jc w:val="center"/>
              <w:outlineLvl w:val="9"/>
              <w:rPr>
                <w:rFonts w:ascii="宋体" w:hAnsi="宋体"/>
                <w:sz w:val="18"/>
                <w:szCs w:val="18"/>
              </w:rPr>
            </w:pPr>
            <w:r>
              <w:rPr>
                <w:rFonts w:hint="eastAsia" w:ascii="宋体" w:hAnsi="宋体"/>
                <w:color w:val="000000"/>
                <w:sz w:val="18"/>
                <w:szCs w:val="18"/>
              </w:rPr>
              <w:t>24</w:t>
            </w:r>
          </w:p>
        </w:tc>
        <w:tc>
          <w:tcPr>
            <w:tcW w:w="1464" w:type="dxa"/>
            <w:vAlign w:val="center"/>
          </w:tcPr>
          <w:p w14:paraId="43700697">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22.46</w:t>
            </w:r>
          </w:p>
        </w:tc>
        <w:tc>
          <w:tcPr>
            <w:tcW w:w="1464" w:type="dxa"/>
            <w:vAlign w:val="center"/>
          </w:tcPr>
          <w:p w14:paraId="38B32C1A">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0.044524</w:t>
            </w:r>
          </w:p>
        </w:tc>
        <w:tc>
          <w:tcPr>
            <w:tcW w:w="1462" w:type="dxa"/>
            <w:vAlign w:val="center"/>
          </w:tcPr>
          <w:p w14:paraId="6BBBEDBC">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44920</w:t>
            </w:r>
          </w:p>
        </w:tc>
        <w:tc>
          <w:tcPr>
            <w:tcW w:w="1462" w:type="dxa"/>
            <w:vAlign w:val="center"/>
          </w:tcPr>
          <w:p w14:paraId="3FA3B81C">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16</w:t>
            </w:r>
          </w:p>
        </w:tc>
        <w:tc>
          <w:tcPr>
            <w:tcW w:w="1687" w:type="dxa"/>
            <w:vAlign w:val="center"/>
          </w:tcPr>
          <w:p w14:paraId="7EFBB3BA">
            <w:pPr>
              <w:pageBreakBefore w:val="0"/>
              <w:wordWrap/>
              <w:bidi w:val="0"/>
              <w:adjustRightInd w:val="0"/>
              <w:snapToGrid w:val="0"/>
              <w:jc w:val="center"/>
              <w:outlineLvl w:val="9"/>
              <w:rPr>
                <w:rFonts w:ascii="宋体" w:hAnsi="宋体"/>
                <w:sz w:val="18"/>
                <w:szCs w:val="18"/>
              </w:rPr>
            </w:pPr>
            <w:r>
              <w:rPr>
                <w:rFonts w:ascii="宋体" w:hAnsi="宋体"/>
                <w:color w:val="000000"/>
                <w:sz w:val="18"/>
                <w:szCs w:val="18"/>
              </w:rPr>
              <w:t>359.36</w:t>
            </w:r>
          </w:p>
        </w:tc>
      </w:tr>
      <w:bookmarkEnd w:id="323"/>
    </w:tbl>
    <w:p w14:paraId="1B8E5FBA">
      <w:pPr>
        <w:pageBreakBefore w:val="0"/>
        <w:wordWrap/>
        <w:bidi w:val="0"/>
        <w:adjustRightInd w:val="0"/>
        <w:snapToGrid w:val="0"/>
        <w:spacing w:line="360" w:lineRule="auto"/>
        <w:jc w:val="center"/>
        <w:outlineLvl w:val="9"/>
        <w:rPr>
          <w:rFonts w:ascii="宋体" w:hAnsi="宋体"/>
          <w:b/>
          <w:sz w:val="10"/>
          <w:szCs w:val="18"/>
        </w:rPr>
      </w:pPr>
    </w:p>
    <w:p w14:paraId="180E1E1C">
      <w:pPr>
        <w:pageBreakBefore w:val="0"/>
        <w:wordWrap/>
        <w:bidi w:val="0"/>
        <w:adjustRightInd w:val="0"/>
        <w:snapToGrid w:val="0"/>
        <w:spacing w:line="360" w:lineRule="auto"/>
        <w:jc w:val="center"/>
        <w:outlineLvl w:val="9"/>
        <w:rPr>
          <w:rFonts w:ascii="宋体" w:hAnsi="宋体"/>
          <w:b/>
          <w:szCs w:val="18"/>
        </w:rPr>
      </w:pPr>
      <w:r>
        <w:rPr>
          <w:rFonts w:ascii="宋体" w:hAnsi="宋体"/>
          <w:b/>
          <w:szCs w:val="18"/>
        </w:rPr>
        <w:drawing>
          <wp:inline distT="0" distB="0" distL="0" distR="0">
            <wp:extent cx="5279390" cy="2917825"/>
            <wp:effectExtent l="0" t="0" r="6985" b="635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9390" cy="2917825"/>
                    </a:xfrm>
                    <a:prstGeom prst="rect">
                      <a:avLst/>
                    </a:prstGeom>
                    <a:noFill/>
                    <a:ln>
                      <a:noFill/>
                    </a:ln>
                    <a:effectLst/>
                  </pic:spPr>
                </pic:pic>
              </a:graphicData>
            </a:graphic>
          </wp:inline>
        </w:drawing>
      </w:r>
      <w:bookmarkStart w:id="324" w:name="_Ref191889212"/>
    </w:p>
    <w:p w14:paraId="200BFBED">
      <w:pPr>
        <w:pageBreakBefore w:val="0"/>
        <w:wordWrap/>
        <w:bidi w:val="0"/>
        <w:adjustRightInd w:val="0"/>
        <w:snapToGrid w:val="0"/>
        <w:spacing w:line="360" w:lineRule="auto"/>
        <w:jc w:val="center"/>
        <w:outlineLvl w:val="9"/>
        <w:rPr>
          <w:rFonts w:ascii="宋体" w:hAnsi="宋体"/>
          <w:b/>
          <w:szCs w:val="18"/>
        </w:rPr>
      </w:pPr>
      <w:r>
        <w:rPr>
          <w:rFonts w:hint="eastAsia" w:ascii="宋体" w:hAnsi="宋体"/>
          <w:b/>
          <w:szCs w:val="18"/>
        </w:rPr>
        <w:t>图5</w:t>
      </w:r>
      <w:r>
        <w:rPr>
          <w:rFonts w:hint="eastAsia" w:ascii="宋体" w:hAnsi="宋体"/>
          <w:b/>
          <w:szCs w:val="18"/>
        </w:rPr>
        <w:noBreakHyphen/>
      </w:r>
      <w:bookmarkEnd w:id="324"/>
      <w:r>
        <w:rPr>
          <w:rFonts w:hint="eastAsia" w:ascii="宋体" w:hAnsi="宋体"/>
          <w:b/>
          <w:szCs w:val="18"/>
        </w:rPr>
        <w:t>4  设计采样频率表示意图</w:t>
      </w:r>
    </w:p>
    <w:p w14:paraId="14C2C37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4、野外采集参数试验</w:t>
      </w:r>
    </w:p>
    <w:p w14:paraId="37E4E03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为了能对工作区的地表电性特征、干扰程度等影响数据采集质量的一些因素有一个基本的认识，野外施工前需要进行仪器性能及野外采集参数的试验工作。通过采集参数试验，分析试验数据，确定合理的采集参数，以提高资料品质和工作效率。</w:t>
      </w:r>
    </w:p>
    <w:p w14:paraId="5A7732A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试验包含四个方面内容：仪器一致性测试、磁棒水平测试、极距试验、收发距试验。</w:t>
      </w:r>
    </w:p>
    <w:p w14:paraId="6CF1757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①仪器一致性测试</w:t>
      </w:r>
    </w:p>
    <w:p w14:paraId="20F49C3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仪器一致性试验目的为检测多台仪器各道之间所采集到信号之间的差异大小。以此来判断仪器各道采集数据是否可以同时处理。试验方法为：从发射机引出标准信号，参与施工的仪器接收相同的信号，通过计算各台仪器各道所采集到的数据，得到各道信号的振幅及相位曲线。分别计算各道之间的振幅相对均方误差和相位相对均方误差。各道之间相对均方误差小于2%为合格。</w:t>
      </w:r>
    </w:p>
    <w:p w14:paraId="7E02158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②磁棒一致性平行测试</w:t>
      </w:r>
    </w:p>
    <w:p w14:paraId="5EC93CA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磁棒平行测试目的为检测参与施工的所有磁棒所采集到信号之间的差异大小。试验方法为：磁棒一致性对比测试选在开阔和平坦地方，所有参与施工的磁棒平行放在地面上，间距为1m，磁棒垂直发射源方向布设，采集一周期为20s的人工场信号。通过计算各个磁棒所采集到的数据得到振幅及相位曲线。分别计算所有磁棒之间的振幅相对均方误差和相位相对均方误差。各磁棒之间相对均方误差均小于1%为合格，误差超过1%的磁棒不能投入使用。</w:t>
      </w:r>
    </w:p>
    <w:p w14:paraId="3920438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③极距试验</w:t>
      </w:r>
    </w:p>
    <w:p w14:paraId="52C0C59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电法勘探一般采用的电极距为几十米到100米。极距越长，信号越强，容易得到较好的资料；但极距过长不仅增加劳动负担，在干扰区域也会造成饱和数据增多，影响资料品质。施工中电极距要在一定范围内选择。本试验的目的在于了解不同电极距对资料质量的影响程度，指导野外生产。本次试验计划在距离发射源约6km处布设一电极距分别为20m、40m、80m、100m的电道测点进行试验，计算各电极距测点所采集到信号的振幅和相位曲线。通过对比各电极距测点的振幅和相位曲线的差异选取合适的电极距。</w:t>
      </w:r>
    </w:p>
    <w:p w14:paraId="796669D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④收发距试验</w:t>
      </w:r>
    </w:p>
    <w:p w14:paraId="1FBE586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收发距的大小一方面影响勘探深度，另一方面影响信号强度以及信噪比。因此在施工前进行收发距试验，结合工区干扰水平及发射信号衰减距离，布设4km-12km的收发距对比试验，分别在距发射4km、5km、6km、8km、10km、12km处布设采集站，通过实地采集距离发射源不同距离的测点位置的信号信噪比，最终确定合适的收发距，保障野外数据品质及施工效率。</w:t>
      </w:r>
    </w:p>
    <w:p w14:paraId="145562D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5、施工技术要求</w:t>
      </w:r>
    </w:p>
    <w:p w14:paraId="4228F47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（1）发射源布设的技术要求</w:t>
      </w:r>
    </w:p>
    <w:p w14:paraId="490945F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1）由于工区地形复杂，高差大，发射源不容易布开，设计发射源AB距离应不小于2km，实际工作中AB距依据现场情况决定。AB应与主测线基本平行，其夹角小于5°；</w:t>
      </w:r>
    </w:p>
    <w:p w14:paraId="28B08C4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2）发射源应远离地质干扰体；</w:t>
      </w:r>
    </w:p>
    <w:p w14:paraId="0A24E1C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3）发射源(A、B电极坑)平面位置应进行实测，并提供测量成果；</w:t>
      </w:r>
    </w:p>
    <w:p w14:paraId="3721763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4）发射源(A、B电极坑)布置时浇饱和盐水，以减小接地电阻。发射电流不小于50A；</w:t>
      </w:r>
    </w:p>
    <w:p w14:paraId="5D6445E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5）发射线过路时需进行掩埋或采取相应的防护措施，以避免电线遭到损坏或引发触电事故的发生；</w:t>
      </w:r>
    </w:p>
    <w:p w14:paraId="15C53B86">
      <w:pPr>
        <w:pageBreakBefore w:val="0"/>
        <w:wordWrap/>
        <w:bidi w:val="0"/>
        <w:spacing w:line="360" w:lineRule="auto"/>
        <w:ind w:firstLine="480" w:firstLineChars="200"/>
        <w:outlineLvl w:val="9"/>
        <w:rPr>
          <w:rFonts w:ascii="仿宋" w:hAnsi="仿宋" w:eastAsia="仿宋" w:cs="仿宋"/>
          <w:sz w:val="24"/>
          <w:szCs w:val="24"/>
        </w:rPr>
      </w:pPr>
      <w:bookmarkStart w:id="325" w:name="OLE_LINK22"/>
      <w:r>
        <w:rPr>
          <w:rFonts w:hint="eastAsia" w:ascii="仿宋" w:hAnsi="仿宋" w:eastAsia="仿宋" w:cs="仿宋"/>
          <w:sz w:val="24"/>
          <w:szCs w:val="24"/>
        </w:rPr>
        <w:t>根据工区实际情况与踏勘情况，初步拟定本次施工共使用3个发射源，如该发射方案不满足收发距试验结果要求，将再次根据收发距试验结果进行调整</w:t>
      </w:r>
      <w:bookmarkEnd w:id="325"/>
      <w:r>
        <w:rPr>
          <w:rFonts w:hint="eastAsia" w:ascii="仿宋" w:hAnsi="仿宋" w:eastAsia="仿宋" w:cs="仿宋"/>
          <w:sz w:val="24"/>
          <w:szCs w:val="24"/>
        </w:rPr>
        <w:t>。</w:t>
      </w:r>
    </w:p>
    <w:p w14:paraId="56241B0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（2）接收布设技术要求</w:t>
      </w:r>
    </w:p>
    <w:p w14:paraId="5D450E7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接收布设分电分量和磁分量，由于磁场在小范围内变化较小，故本次采用阵列方式进行采集，即每个阵列由多个电分量与1个磁分量构成，布设示意图见图5-5。</w:t>
      </w:r>
    </w:p>
    <w:p w14:paraId="3E35F49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接收布设分电分量和磁分量，其中电分量Ex布设要求如下：</w:t>
      </w:r>
    </w:p>
    <w:p w14:paraId="1AD8EBD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1）Ex分量点距为40m；</w:t>
      </w:r>
    </w:p>
    <w:p w14:paraId="185C23A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2）布极方位误差不超过1°，极距误差小于1%；</w:t>
      </w:r>
    </w:p>
    <w:p w14:paraId="5DA7BE7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3）电极配对使用和保养，以消除极差；</w:t>
      </w:r>
    </w:p>
    <w:p w14:paraId="292C3378">
      <w:pPr>
        <w:pageBreakBefore w:val="0"/>
        <w:wordWrap/>
        <w:bidi w:val="0"/>
        <w:adjustRightInd w:val="0"/>
        <w:snapToGrid w:val="0"/>
        <w:spacing w:line="360" w:lineRule="auto"/>
        <w:jc w:val="center"/>
        <w:outlineLvl w:val="9"/>
        <w:rPr>
          <w:rFonts w:ascii="仿宋" w:hAnsi="仿宋" w:eastAsia="仿宋" w:cs="仿宋"/>
          <w:sz w:val="24"/>
          <w:szCs w:val="24"/>
        </w:rPr>
      </w:pPr>
      <w:r>
        <w:rPr>
          <w:rFonts w:ascii="仿宋" w:hAnsi="仿宋" w:eastAsia="仿宋" w:cs="仿宋"/>
          <w:sz w:val="24"/>
          <w:szCs w:val="24"/>
        </w:rPr>
        <w:drawing>
          <wp:inline distT="0" distB="0" distL="0" distR="0">
            <wp:extent cx="4516120" cy="2393315"/>
            <wp:effectExtent l="0" t="0" r="0" b="698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19">
                      <a:extLst>
                        <a:ext uri="{28A0092B-C50C-407E-A947-70E740481C1C}">
                          <a14:useLocalDpi xmlns:a14="http://schemas.microsoft.com/office/drawing/2010/main" val="0"/>
                        </a:ext>
                      </a:extLst>
                    </a:blip>
                    <a:srcRect b="3429"/>
                    <a:stretch>
                      <a:fillRect/>
                    </a:stretch>
                  </pic:blipFill>
                  <pic:spPr>
                    <a:xfrm>
                      <a:off x="0" y="0"/>
                      <a:ext cx="4516120" cy="2393315"/>
                    </a:xfrm>
                    <a:prstGeom prst="rect">
                      <a:avLst/>
                    </a:prstGeom>
                    <a:noFill/>
                    <a:ln>
                      <a:noFill/>
                    </a:ln>
                    <a:effectLst/>
                  </pic:spPr>
                </pic:pic>
              </a:graphicData>
            </a:graphic>
          </wp:inline>
        </w:drawing>
      </w:r>
      <w:bookmarkStart w:id="326" w:name="_Ref179846150"/>
    </w:p>
    <w:p w14:paraId="3D456BD8">
      <w:pPr>
        <w:pageBreakBefore w:val="0"/>
        <w:wordWrap/>
        <w:bidi w:val="0"/>
        <w:adjustRightInd w:val="0"/>
        <w:snapToGrid w:val="0"/>
        <w:spacing w:line="360" w:lineRule="auto"/>
        <w:jc w:val="center"/>
        <w:outlineLvl w:val="9"/>
        <w:rPr>
          <w:rFonts w:ascii="宋体" w:hAnsi="宋体"/>
          <w:b/>
          <w:kern w:val="0"/>
          <w:szCs w:val="21"/>
        </w:rPr>
      </w:pPr>
      <w:r>
        <w:rPr>
          <w:rFonts w:hint="eastAsia" w:ascii="宋体" w:hAnsi="宋体"/>
          <w:b/>
          <w:kern w:val="0"/>
          <w:szCs w:val="21"/>
        </w:rPr>
        <w:t>图5</w:t>
      </w:r>
      <w:bookmarkEnd w:id="326"/>
      <w:r>
        <w:rPr>
          <w:rFonts w:hint="eastAsia" w:ascii="宋体" w:hAnsi="宋体"/>
          <w:b/>
          <w:kern w:val="0"/>
          <w:szCs w:val="21"/>
        </w:rPr>
        <w:t xml:space="preserve">-5 </w:t>
      </w:r>
      <w:r>
        <w:rPr>
          <w:rFonts w:ascii="宋体" w:hAnsi="宋体"/>
          <w:b/>
          <w:kern w:val="0"/>
          <w:szCs w:val="21"/>
        </w:rPr>
        <w:t xml:space="preserve"> </w:t>
      </w:r>
      <w:r>
        <w:rPr>
          <w:rFonts w:hint="eastAsia" w:ascii="宋体" w:hAnsi="宋体"/>
          <w:b/>
          <w:kern w:val="0"/>
          <w:szCs w:val="21"/>
        </w:rPr>
        <w:t>时频电磁阵列式采集示意图</w:t>
      </w:r>
    </w:p>
    <w:p w14:paraId="37C2D40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4）电极坑深30cm、长20cm、宽20cm的坑。泥浆不少于10厘米，电极要与泥浆接触良好，电极的接地电阻不得大于2000Ω；</w:t>
      </w:r>
    </w:p>
    <w:p w14:paraId="19DD01C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观测范围受发射源AB端接地点处的辐射线限制，辐射线相对于供电线的交角为105°。正常条件下，接收装置要按直线方式延伸，测点均匀分布。若困地形或其它干扰物影响时，测点、测线可适当偏移，但测点偏移一般控制在点距的20%以内，测线偏移距一般不得大于200m，且测点要有规律分布，不得出现突拐现象；</w:t>
      </w:r>
    </w:p>
    <w:p w14:paraId="785A88D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6）在所有情况下必须使多余的导线成S状。</w:t>
      </w:r>
    </w:p>
    <w:p w14:paraId="227672C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磁分量Hz布设要求如下：</w:t>
      </w:r>
    </w:p>
    <w:p w14:paraId="1B394D4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1）Hz分量点距为160m；</w:t>
      </w:r>
    </w:p>
    <w:p w14:paraId="3EC9EF6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2）磁棒布设选择地形平坦、开阔处，要保证磁棒垂直，磁棒入土深度为磁棒长度的2/3以上，露出地面的部分用土埋实。连接磁棒引线均需掩埋，防止漏出地表；</w:t>
      </w:r>
    </w:p>
    <w:p w14:paraId="021F2B5C">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3）接收部分各种电缆线不能悬空，防止风动干扰，视情况可全部或分段压实，在所有情况下必须使多余的导线成S状；</w:t>
      </w:r>
    </w:p>
    <w:p w14:paraId="1AE63D5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4）由于感应磁棒对微振非常敏感，因此，磁棒不要布设在路边，在记录时不允许有人员、车辆通过。</w:t>
      </w:r>
    </w:p>
    <w:p w14:paraId="2EAA64C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（3）数据记录要求</w:t>
      </w:r>
    </w:p>
    <w:p w14:paraId="3273F0AC">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野外测网布极、仪器操作人员应该严格按照以下要求进行规范操作：</w:t>
      </w:r>
    </w:p>
    <w:p w14:paraId="7791991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1）数据采集前检查好各道连接情况，在确保各道畅通情况下采集。</w:t>
      </w:r>
    </w:p>
    <w:p w14:paraId="664A21A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正式采集前观察噪声水平，尤其应监视风动、河流及人文影响，设法把这种影响降到最小程度；</w:t>
      </w:r>
    </w:p>
    <w:p w14:paraId="4F642A1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2）数据采集过程中，距离测点50m范围内严禁使用于机和通讯设备，施工人员、施工车辆远离排列，并做好警示；</w:t>
      </w:r>
    </w:p>
    <w:p w14:paraId="27BA96C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3）观测信号的最小有效值不应小于测点采集背景场的5倍；</w:t>
      </w:r>
    </w:p>
    <w:p w14:paraId="589CCFB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4）正常条件下，接收装置要按直线方式延伸，测点均匀分布；</w:t>
      </w:r>
    </w:p>
    <w:p w14:paraId="5D06769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5）操作员应认真填写野外工作班报（布极班报、操作员记录表、发射布极班报及记录班报），存在干扰源的测点应描述清楚，内容详细、齐全；</w:t>
      </w:r>
    </w:p>
    <w:p w14:paraId="310332B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6）接收操作员必须按照以下6个步骤操作：</w:t>
      </w:r>
    </w:p>
    <w:p w14:paraId="38B4999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①布设电极和磁棒，检查排列接通情况</w:t>
      </w:r>
    </w:p>
    <w:p w14:paraId="53476F6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②背景场采集</w:t>
      </w:r>
    </w:p>
    <w:p w14:paraId="4CDDE94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③预采集</w:t>
      </w:r>
    </w:p>
    <w:p w14:paraId="0414F90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④正式采集</w:t>
      </w:r>
    </w:p>
    <w:p w14:paraId="16BFA19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⑤数据回放，检查资料质量情况</w:t>
      </w:r>
    </w:p>
    <w:p w14:paraId="5F7DC66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⑥更换排列。</w:t>
      </w:r>
    </w:p>
    <w:p w14:paraId="09BEE07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每个步骤环环紧扣，在上一个步骤未达到技术要求时，绝对禁止执行下一个步骤。</w:t>
      </w:r>
    </w:p>
    <w:p w14:paraId="272CA7F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（4）现场资料处理要求</w:t>
      </w:r>
    </w:p>
    <w:p w14:paraId="2F22044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现场资料处理主要是对当天的采集资料进行预处理，主要流程包括数据回放、删除空道、信号滤波、去噪、叠加、电流归一化、计算振幅相位、计算电性参数等，流程如图5-6：</w:t>
      </w:r>
    </w:p>
    <w:p w14:paraId="4BF54933">
      <w:pPr>
        <w:pageBreakBefore w:val="0"/>
        <w:wordWrap/>
        <w:bidi w:val="0"/>
        <w:adjustRightInd w:val="0"/>
        <w:snapToGrid w:val="0"/>
        <w:spacing w:line="360" w:lineRule="auto"/>
        <w:jc w:val="center"/>
        <w:outlineLvl w:val="9"/>
        <w:rPr>
          <w:rFonts w:ascii="宋体" w:hAnsi="宋体"/>
          <w:b/>
          <w:szCs w:val="21"/>
        </w:rPr>
      </w:pPr>
      <w:r>
        <w:rPr>
          <w:rFonts w:hint="eastAsia" w:ascii="仿宋_GB2312" w:hAnsi="仿宋" w:eastAsia="仿宋_GB2312" w:cs="仿宋"/>
          <w:color w:val="000000"/>
          <w:sz w:val="28"/>
          <w:szCs w:val="28"/>
        </w:rPr>
        <w:drawing>
          <wp:anchor distT="0" distB="0" distL="114935" distR="114935" simplePos="0" relativeHeight="251671552" behindDoc="0" locked="0" layoutInCell="1" allowOverlap="1">
            <wp:simplePos x="0" y="0"/>
            <wp:positionH relativeFrom="page">
              <wp:posOffset>1384300</wp:posOffset>
            </wp:positionH>
            <wp:positionV relativeFrom="page">
              <wp:posOffset>2989580</wp:posOffset>
            </wp:positionV>
            <wp:extent cx="4838065" cy="2753995"/>
            <wp:effectExtent l="0" t="0" r="635" b="8255"/>
            <wp:wrapTopAndBottom/>
            <wp:docPr id="1081753427" name="图片 108175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27" name="图片 1081753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838065" cy="2753995"/>
                    </a:xfrm>
                    <a:prstGeom prst="rect">
                      <a:avLst/>
                    </a:prstGeom>
                    <a:noFill/>
                    <a:ln>
                      <a:noFill/>
                    </a:ln>
                  </pic:spPr>
                </pic:pic>
              </a:graphicData>
            </a:graphic>
          </wp:anchor>
        </w:drawing>
      </w:r>
      <w:r>
        <w:rPr>
          <w:rFonts w:hint="eastAsia" w:ascii="宋体" w:hAnsi="宋体"/>
          <w:b/>
          <w:szCs w:val="21"/>
        </w:rPr>
        <w:t>图5</w:t>
      </w:r>
      <w:r>
        <w:rPr>
          <w:rFonts w:hint="eastAsia" w:ascii="宋体" w:hAnsi="宋体"/>
          <w:b/>
          <w:szCs w:val="21"/>
        </w:rPr>
        <w:noBreakHyphen/>
      </w:r>
      <w:r>
        <w:rPr>
          <w:rFonts w:hint="eastAsia" w:ascii="宋体" w:hAnsi="宋体"/>
          <w:b/>
          <w:szCs w:val="21"/>
        </w:rPr>
        <w:t>6 时频电磁数据预处理流程图</w:t>
      </w:r>
    </w:p>
    <w:p w14:paraId="1800063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在时频电磁数据预处理过程中，处理人员要按以下要求实施：</w:t>
      </w:r>
    </w:p>
    <w:p w14:paraId="5A3704C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①技术负责严格检查操作员提交的采集数据，核对当日工作准确无误。</w:t>
      </w:r>
    </w:p>
    <w:p w14:paraId="5964FB7C">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②检查野外各项原始资料齐全、准确，操作员记录班报记录准确无误，备注齐全，外也记录班报如图5-7。</w:t>
      </w:r>
    </w:p>
    <w:p w14:paraId="4E6A86D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③整理当天采集原始资料，处理原始数据转换成为各个频率点的数据，将原始资料和处理后数据按照各个测线备份存储。</w:t>
      </w:r>
    </w:p>
    <w:p w14:paraId="49CE8BA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④现场资料初步处理后，及时对预处理后的结果成图，并给出每个测点进行初步评价，填写质量评价表。</w:t>
      </w:r>
    </w:p>
    <w:p w14:paraId="2442BAA9">
      <w:pPr>
        <w:pageBreakBefore w:val="0"/>
        <w:wordWrap/>
        <w:bidi w:val="0"/>
        <w:spacing w:line="360" w:lineRule="auto"/>
        <w:ind w:firstLine="480" w:firstLineChars="200"/>
        <w:outlineLvl w:val="9"/>
        <w:rPr>
          <w:rFonts w:ascii="仿宋" w:hAnsi="仿宋" w:eastAsia="仿宋" w:cs="仿宋"/>
          <w:sz w:val="24"/>
          <w:szCs w:val="24"/>
        </w:rPr>
      </w:pPr>
    </w:p>
    <w:p w14:paraId="5B05BD6D">
      <w:pPr>
        <w:pageBreakBefore w:val="0"/>
        <w:wordWrap/>
        <w:bidi w:val="0"/>
        <w:spacing w:line="360" w:lineRule="auto"/>
        <w:ind w:firstLine="480" w:firstLineChars="200"/>
        <w:outlineLvl w:val="9"/>
        <w:rPr>
          <w:rFonts w:ascii="仿宋" w:hAnsi="仿宋" w:eastAsia="仿宋" w:cs="仿宋"/>
          <w:sz w:val="24"/>
          <w:szCs w:val="24"/>
        </w:rPr>
      </w:pPr>
    </w:p>
    <w:p w14:paraId="0BE00301">
      <w:pPr>
        <w:pageBreakBefore w:val="0"/>
        <w:wordWrap/>
        <w:bidi w:val="0"/>
        <w:adjustRightInd w:val="0"/>
        <w:snapToGrid w:val="0"/>
        <w:spacing w:line="360" w:lineRule="auto"/>
        <w:jc w:val="center"/>
        <w:outlineLvl w:val="9"/>
        <w:rPr>
          <w:rFonts w:ascii="宋体" w:hAnsi="宋体"/>
          <w:b/>
          <w:szCs w:val="21"/>
        </w:rPr>
      </w:pPr>
      <w:r>
        <w:rPr>
          <w:rFonts w:ascii="仿宋" w:hAnsi="仿宋" w:eastAsia="仿宋" w:cs="仿宋"/>
          <w:sz w:val="24"/>
          <w:szCs w:val="24"/>
        </w:rPr>
        <w:drawing>
          <wp:inline distT="0" distB="0" distL="0" distR="0">
            <wp:extent cx="2626360" cy="3729355"/>
            <wp:effectExtent l="0" t="0" r="2540" b="444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21">
                      <a:extLst>
                        <a:ext uri="{28A0092B-C50C-407E-A947-70E740481C1C}">
                          <a14:useLocalDpi xmlns:a14="http://schemas.microsoft.com/office/drawing/2010/main" val="0"/>
                        </a:ext>
                      </a:extLst>
                    </a:blip>
                    <a:srcRect b="2144"/>
                    <a:stretch>
                      <a:fillRect/>
                    </a:stretch>
                  </pic:blipFill>
                  <pic:spPr>
                    <a:xfrm>
                      <a:off x="0" y="0"/>
                      <a:ext cx="2626360" cy="3729355"/>
                    </a:xfrm>
                    <a:prstGeom prst="rect">
                      <a:avLst/>
                    </a:prstGeom>
                    <a:noFill/>
                    <a:ln>
                      <a:noFill/>
                    </a:ln>
                    <a:effectLst/>
                  </pic:spPr>
                </pic:pic>
              </a:graphicData>
            </a:graphic>
          </wp:inline>
        </w:drawing>
      </w:r>
      <w:r>
        <w:rPr>
          <w:rFonts w:ascii="宋体" w:hAnsi="宋体"/>
          <w:b/>
          <w:szCs w:val="21"/>
        </w:rPr>
        <w:drawing>
          <wp:inline distT="0" distB="0" distL="0" distR="0">
            <wp:extent cx="2592070" cy="3728720"/>
            <wp:effectExtent l="0" t="0" r="825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13449" cy="3758827"/>
                    </a:xfrm>
                    <a:prstGeom prst="rect">
                      <a:avLst/>
                    </a:prstGeom>
                  </pic:spPr>
                </pic:pic>
              </a:graphicData>
            </a:graphic>
          </wp:inline>
        </w:drawing>
      </w:r>
    </w:p>
    <w:p w14:paraId="6F33C65C">
      <w:pPr>
        <w:pageBreakBefore w:val="0"/>
        <w:wordWrap/>
        <w:bidi w:val="0"/>
        <w:adjustRightInd w:val="0"/>
        <w:snapToGrid w:val="0"/>
        <w:spacing w:line="360" w:lineRule="auto"/>
        <w:jc w:val="center"/>
        <w:outlineLvl w:val="9"/>
        <w:rPr>
          <w:rFonts w:ascii="宋体" w:hAnsi="宋体"/>
          <w:b/>
          <w:szCs w:val="21"/>
        </w:rPr>
      </w:pPr>
      <w:r>
        <w:rPr>
          <w:rFonts w:hint="eastAsia" w:ascii="宋体" w:hAnsi="宋体"/>
          <w:b/>
          <w:szCs w:val="21"/>
        </w:rPr>
        <w:t>图5</w:t>
      </w:r>
      <w:r>
        <w:rPr>
          <w:rFonts w:hint="eastAsia" w:ascii="宋体" w:hAnsi="宋体"/>
          <w:b/>
          <w:szCs w:val="21"/>
        </w:rPr>
        <w:noBreakHyphen/>
      </w:r>
      <w:r>
        <w:rPr>
          <w:rFonts w:hint="eastAsia" w:ascii="宋体" w:hAnsi="宋体"/>
          <w:b/>
          <w:szCs w:val="21"/>
        </w:rPr>
        <w:t>7 时频外业记录班报</w:t>
      </w:r>
    </w:p>
    <w:p w14:paraId="114424B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6、质量评价</w:t>
      </w:r>
    </w:p>
    <w:p w14:paraId="76D78A7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（1）资料质量要求</w:t>
      </w:r>
    </w:p>
    <w:p w14:paraId="0EAB35D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1）野外工作期间及时对资料进行评价，发现不合格点要及时补测；</w:t>
      </w:r>
    </w:p>
    <w:p w14:paraId="67A7C9D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2）物理点合格品率100%，Ⅰ级品率大于85%；</w:t>
      </w:r>
    </w:p>
    <w:p w14:paraId="6A2F5DE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3）检查点比例超过3%，检查点在空间和时间上要均匀分布。</w:t>
      </w:r>
    </w:p>
    <w:p w14:paraId="01C145C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4）野外生产结束后，须在全部资料处理完毕并提交甲方验收合格后，队伍方可离开工区。</w:t>
      </w:r>
    </w:p>
    <w:p w14:paraId="4C91C19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（2）仪器性能评价</w:t>
      </w:r>
    </w:p>
    <w:p w14:paraId="66B3310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采集仪器应在投入使用前利用标准信号将投入生产的仪器做性能检查，计算出的各道之间振幅和相位均方相对误差应小于±2%，施工完毕后，同样做一次一致性测定。每次检查都应有书面记录。</w:t>
      </w:r>
    </w:p>
    <w:p w14:paraId="7C4A428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（3）检查点评价</w:t>
      </w:r>
    </w:p>
    <w:p w14:paraId="42EE032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检查点的视电阻率和相位的均方相对误差（M）应小于±5%。检查点数应大于坐标点总数的3%。检查点应是同一坐标位置、同一场源、不同时间激发进行的采集点，检查点质量应达到Ⅰ级。</w:t>
      </w:r>
    </w:p>
    <w:p w14:paraId="2188237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（4）物理点评价</w:t>
      </w:r>
    </w:p>
    <w:p w14:paraId="38E24E5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1）全频段振幅曲线和相位曲线的质量评价分为：</w:t>
      </w:r>
    </w:p>
    <w:p w14:paraId="6A8D987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Ⅰ级：85%以上频点的数据连续性好，能唯一确定曲线；</w:t>
      </w:r>
    </w:p>
    <w:p w14:paraId="6552C52C">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Ⅱ级：75%以上频点的数据，没有三个以上的连续畸变频点；</w:t>
      </w:r>
    </w:p>
    <w:p w14:paraId="24F4BCE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Ⅲ级(不合格)：数据点分散，不能满足Ⅱ级的要求。</w:t>
      </w:r>
    </w:p>
    <w:p w14:paraId="7384DF3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2）每个测点的振幅(A)曲线和相位(φ)曲线应分别评定，并对两条曲线按级登记，对Ⅲ级曲线应注明不合格原因。</w:t>
      </w:r>
    </w:p>
    <w:p w14:paraId="4C0AE71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3）测点质量评价分为：</w:t>
      </w:r>
    </w:p>
    <w:p w14:paraId="534459F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Ⅰ级：一个测点的振幅曲线和相位曲线全部为Ⅰ级；</w:t>
      </w:r>
    </w:p>
    <w:p w14:paraId="4B5B048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Ⅱ级：一个测点的振幅曲线和相位曲线均为Ⅱ级以上；</w:t>
      </w:r>
    </w:p>
    <w:p w14:paraId="7F42E23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Ⅲ级(不合格)：不满足Ⅱ级的要求。</w:t>
      </w:r>
    </w:p>
    <w:p w14:paraId="4298FB3C">
      <w:pPr>
        <w:pageBreakBefore w:val="0"/>
        <w:wordWrap/>
        <w:bidi w:val="0"/>
        <w:spacing w:line="360" w:lineRule="auto"/>
        <w:ind w:firstLine="482" w:firstLineChars="200"/>
        <w:outlineLvl w:val="9"/>
        <w:rPr>
          <w:rFonts w:ascii="仿宋" w:hAnsi="仿宋" w:eastAsia="仿宋" w:cs="仿宋"/>
          <w:b/>
          <w:sz w:val="24"/>
          <w:szCs w:val="24"/>
        </w:rPr>
      </w:pPr>
      <w:r>
        <w:rPr>
          <w:rFonts w:hint="eastAsia" w:ascii="仿宋" w:hAnsi="仿宋" w:eastAsia="仿宋" w:cs="仿宋"/>
          <w:b/>
          <w:sz w:val="24"/>
          <w:szCs w:val="24"/>
        </w:rPr>
        <w:t>时频电磁资料处理与分析：</w:t>
      </w:r>
    </w:p>
    <w:p w14:paraId="6225A9D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时频电磁（TFEM）勘探技术是在油气勘探中经过二十余年的探索发展起来的、适用于深部资源探测的新方法，近年来时频电磁法从油气勘探领域推广应用到深部金属矿勘查等领域。该方法实现了频率域与时间域、水平电场与垂直磁场、电阻率与极化率的多元一体化联合，提高了方法的适应性。它是通过发射电极向地下发射不同频率的矩形方波电磁场，激发目的层的电磁响应，形成二次电磁场，研究电磁场时域数据的衰减规律和电磁场频谱的特征，通过采集时间域和频率域的磁分量（Hz）和电分量（Ex）的一次场或二次场，在时间域和频率域来计算电性和极化率参数，实现对地下空间的勘探。时频电磁技术将频率域与时间域联合在一个系统中，可针对勘探目标的深度选择不同周期和不同类型的激发波形，不但能提供电阻率信息，还能提供激发极化信息。</w:t>
      </w:r>
    </w:p>
    <w:p w14:paraId="28BD0162">
      <w:pPr>
        <w:pageBreakBefore w:val="0"/>
        <w:wordWrap/>
        <w:bidi w:val="0"/>
        <w:spacing w:line="360" w:lineRule="auto"/>
        <w:ind w:firstLine="480" w:firstLineChars="200"/>
        <w:outlineLvl w:val="9"/>
        <w:rPr>
          <w:rFonts w:ascii="仿宋" w:hAnsi="仿宋" w:eastAsia="仿宋" w:cs="仿宋"/>
          <w:sz w:val="24"/>
          <w:szCs w:val="24"/>
        </w:rPr>
      </w:pPr>
      <w:bookmarkStart w:id="327" w:name="_Toc204588309"/>
      <w:bookmarkStart w:id="328" w:name="_Toc213792926"/>
      <w:r>
        <w:rPr>
          <w:rFonts w:hint="eastAsia" w:ascii="仿宋" w:hAnsi="仿宋" w:eastAsia="仿宋" w:cs="仿宋"/>
          <w:sz w:val="24"/>
          <w:szCs w:val="24"/>
        </w:rPr>
        <w:t>1、数据处理技术路线</w:t>
      </w:r>
      <w:bookmarkEnd w:id="327"/>
      <w:bookmarkEnd w:id="328"/>
    </w:p>
    <w:p w14:paraId="118297D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根据工区地质、地球物理特征、其他物探资料及实测数据质量情况，时频电磁数据处理与解释的流程图（图5</w:t>
      </w:r>
      <w:r>
        <w:rPr>
          <w:rFonts w:ascii="仿宋" w:hAnsi="仿宋" w:eastAsia="仿宋" w:cs="仿宋"/>
          <w:sz w:val="24"/>
          <w:szCs w:val="24"/>
        </w:rPr>
        <w:t>-8）</w:t>
      </w:r>
      <w:r>
        <w:rPr>
          <w:rFonts w:hint="eastAsia" w:ascii="仿宋" w:hAnsi="仿宋" w:eastAsia="仿宋" w:cs="仿宋"/>
          <w:sz w:val="24"/>
          <w:szCs w:val="24"/>
        </w:rPr>
        <w:t>为：</w:t>
      </w:r>
    </w:p>
    <w:p w14:paraId="116E7F69">
      <w:pPr>
        <w:pageBreakBefore w:val="0"/>
        <w:wordWrap/>
        <w:bidi w:val="0"/>
        <w:adjustRightInd w:val="0"/>
        <w:snapToGrid w:val="0"/>
        <w:spacing w:line="360" w:lineRule="auto"/>
        <w:jc w:val="center"/>
        <w:outlineLvl w:val="9"/>
        <w:rPr>
          <w:rFonts w:ascii="宋体" w:hAnsi="宋体"/>
          <w:b/>
          <w:szCs w:val="21"/>
        </w:rPr>
      </w:pPr>
      <w:r>
        <w:drawing>
          <wp:anchor distT="0" distB="0" distL="114935" distR="114935" simplePos="0" relativeHeight="251669504" behindDoc="0" locked="0" layoutInCell="1" allowOverlap="1">
            <wp:simplePos x="0" y="0"/>
            <wp:positionH relativeFrom="page">
              <wp:posOffset>1321435</wp:posOffset>
            </wp:positionH>
            <wp:positionV relativeFrom="page">
              <wp:posOffset>1279525</wp:posOffset>
            </wp:positionV>
            <wp:extent cx="4759325" cy="4272280"/>
            <wp:effectExtent l="0" t="0" r="3175" b="4445"/>
            <wp:wrapTopAndBottom/>
            <wp:docPr id="1081753426" name="图片 108175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26" name="图片 1081753426"/>
                    <pic:cNvPicPr>
                      <a:picLocks noChangeAspect="1" noChangeArrowheads="1"/>
                    </pic:cNvPicPr>
                  </pic:nvPicPr>
                  <pic:blipFill>
                    <a:blip r:embed="rId23">
                      <a:extLst>
                        <a:ext uri="{28A0092B-C50C-407E-A947-70E740481C1C}">
                          <a14:useLocalDpi xmlns:a14="http://schemas.microsoft.com/office/drawing/2010/main" val="0"/>
                        </a:ext>
                      </a:extLst>
                    </a:blip>
                    <a:srcRect t="574" b="359"/>
                    <a:stretch>
                      <a:fillRect/>
                    </a:stretch>
                  </pic:blipFill>
                  <pic:spPr>
                    <a:xfrm>
                      <a:off x="0" y="0"/>
                      <a:ext cx="4759325" cy="4272280"/>
                    </a:xfrm>
                    <a:prstGeom prst="rect">
                      <a:avLst/>
                    </a:prstGeom>
                    <a:noFill/>
                    <a:ln>
                      <a:noFill/>
                    </a:ln>
                    <a:effectLst/>
                  </pic:spPr>
                </pic:pic>
              </a:graphicData>
            </a:graphic>
          </wp:anchor>
        </w:drawing>
      </w:r>
      <w:r>
        <w:rPr>
          <w:rFonts w:hint="eastAsia" w:ascii="宋体" w:hAnsi="宋体"/>
          <w:b/>
          <w:szCs w:val="21"/>
        </w:rPr>
        <w:t>图5</w:t>
      </w:r>
      <w:r>
        <w:rPr>
          <w:rFonts w:hint="eastAsia" w:ascii="宋体" w:hAnsi="宋体"/>
          <w:b/>
          <w:szCs w:val="21"/>
        </w:rPr>
        <w:noBreakHyphen/>
      </w:r>
      <w:r>
        <w:rPr>
          <w:rFonts w:hint="eastAsia" w:ascii="宋体" w:hAnsi="宋体"/>
          <w:b/>
          <w:szCs w:val="21"/>
        </w:rPr>
        <w:t>8  时频电磁数据处理技术路线图</w:t>
      </w:r>
    </w:p>
    <w:p w14:paraId="32E4BB5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（1）数据预处理</w:t>
      </w:r>
    </w:p>
    <w:p w14:paraId="318D0E9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数据预处理是为后期的定性分析和反演做数据准备，首先对原始数据进行信号分析与评价，评价其利用程度，根据数据品质提出去噪方案，根据数据质量情况采用不同的去噪技术使得数据变得更加连续，提供资料品质；为了消除电流不一致对电阻率、极化率的反演的影响，需要对数据进行电流归一化处理，同时也消除了接收机的系统响应；通过各类格式转换以后计算出电性和极化率参数，为定性分析和反演做数据准备。</w:t>
      </w:r>
    </w:p>
    <w:p w14:paraId="2A34F74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（2）定性分析</w:t>
      </w:r>
    </w:p>
    <w:p w14:paraId="1015617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对电性和极化率参数结合地表地质和其他物探资料进行定性认识，定性解释电性和极化率异常引起的地质因素，初步定性判断构造单元、断裂、地层和油气富集等，对整个工作区的地质形成初步定性认识，指导电阻率和极化率反演。</w:t>
      </w:r>
    </w:p>
    <w:p w14:paraId="378D60F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（3）定量反演</w:t>
      </w:r>
    </w:p>
    <w:p w14:paraId="40CCFD1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定量反演主要是建立其模型与数据的关系，使得模型数量化，对地层的深度、厚度、电阻率大小、极化率大小和地层的横向变化数量化，其成果作为综合地质解释的依据。</w:t>
      </w:r>
    </w:p>
    <w:p w14:paraId="2C9972F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（4）综合分析解释</w:t>
      </w:r>
    </w:p>
    <w:p w14:paraId="706773B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收集工作区的地质、其他物探、钻孔等资料进行综合研究，对物性资料进行分类整理，建立地层、岩性等与电阻率和极化率间的相互关系与规律，建立其物探与地质解释的桥梁，对电阻率和极化率剖面进行综合剖面解释。开展剖面与平面的综合地质解释最终得出合理的地质成果。</w:t>
      </w:r>
    </w:p>
    <w:p w14:paraId="4F2B4F07">
      <w:pPr>
        <w:pageBreakBefore w:val="0"/>
        <w:wordWrap/>
        <w:bidi w:val="0"/>
        <w:spacing w:line="360" w:lineRule="auto"/>
        <w:ind w:firstLine="480" w:firstLineChars="200"/>
        <w:outlineLvl w:val="9"/>
        <w:rPr>
          <w:rFonts w:ascii="仿宋" w:hAnsi="仿宋" w:eastAsia="仿宋" w:cs="仿宋"/>
          <w:sz w:val="24"/>
          <w:szCs w:val="24"/>
        </w:rPr>
      </w:pPr>
      <w:bookmarkStart w:id="329" w:name="_Toc204588310"/>
      <w:bookmarkStart w:id="330" w:name="_Toc213792927"/>
      <w:r>
        <w:rPr>
          <w:rFonts w:hint="eastAsia" w:ascii="仿宋" w:hAnsi="仿宋" w:eastAsia="仿宋" w:cs="仿宋"/>
          <w:sz w:val="24"/>
          <w:szCs w:val="24"/>
        </w:rPr>
        <w:t>2、数据处理原则</w:t>
      </w:r>
      <w:bookmarkEnd w:id="329"/>
      <w:bookmarkEnd w:id="330"/>
    </w:p>
    <w:p w14:paraId="44F86BD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在数据处理过程中，按照以下原则进行数据处理：</w:t>
      </w:r>
    </w:p>
    <w:p w14:paraId="6DB3C6A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（1）客观真实评价。认真分析评价原始数据质量对数据进行预处理生成电性和极化率参数，选取合适的参数滤波、去噪，进行数据的归一化处理、信号分析评价和数据格式转换等，力求客观真实。</w:t>
      </w:r>
    </w:p>
    <w:p w14:paraId="0994B92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由已知到未知的原则。充分收集、分析、认识、研究已有的地质、地球物理勘探成果，系统地掌握本区的基本地质规律和地球物理特征，指导整个数据处理与解释过程中的各个环节。利用标本物性测定资料、表层电阻率分布资料，研究不同地层、不同岩性的电性与极化率特征，把握地层、岩性与电性和极化率的对应规律，合理地对实测的电性和极化率断面进行地质解释。</w:t>
      </w:r>
    </w:p>
    <w:p w14:paraId="5DFF93B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由定性到定量的原则。首先依据时频电磁勘探原理及其对各种地质构造的响应规律，定性地分析电性参数和极化率参数的成果，全面把握原始资料中所提供的信息，对工区内的构造痕迹、断层位置、地层起伏变化、极化率体信息等建立整体的认识。尔后在定性分析认识的基础上进行定量解释，对定性成果定量化。</w:t>
      </w:r>
    </w:p>
    <w:p w14:paraId="0CA0E13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针对勘探任务采用的数据处理解释方法与技术，试验评价不同方法技术的应用条件及其解决问题的能力，以便客观正确地利用这些成果，选择确定出最优化的数据处理解释方案。在定量反演中采用了共轭梯度、尖锐边界和人机交互建模技术，提高了反演的分辨率和精度，更能真实的反应地下地质体的规律。</w:t>
      </w:r>
    </w:p>
    <w:p w14:paraId="2B08BA5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由粗到细、逐步深入和多次反复、多方法佐证的原则。即首先按常规方法进行资料处理和反演成像，并与已有成果进行对比。通过对比，判明电法资料的可靠性、干扰程度等，据此确定完成地质任务应采取的技术措施。其次，采用可视化人机交互数据处理系统，根据电法资料的特点，参照已有地质、钻井、地球物理勘探成果，重新进行人机交互资料处理，进行综合信息建模，作为二维层状反演的初始模型，进行二维反演成像，以此成果进行综合地质解释。</w:t>
      </w:r>
    </w:p>
    <w:p w14:paraId="3B95B3B4">
      <w:pPr>
        <w:pageBreakBefore w:val="0"/>
        <w:wordWrap/>
        <w:bidi w:val="0"/>
        <w:spacing w:line="360" w:lineRule="auto"/>
        <w:ind w:firstLine="480" w:firstLineChars="200"/>
        <w:outlineLvl w:val="9"/>
        <w:rPr>
          <w:rFonts w:ascii="仿宋" w:hAnsi="仿宋" w:eastAsia="仿宋" w:cs="仿宋"/>
          <w:sz w:val="24"/>
          <w:szCs w:val="24"/>
        </w:rPr>
      </w:pPr>
      <w:bookmarkStart w:id="331" w:name="_Toc213792928"/>
      <w:bookmarkStart w:id="332" w:name="_Toc204588311"/>
      <w:r>
        <w:rPr>
          <w:rFonts w:hint="eastAsia" w:ascii="仿宋" w:hAnsi="仿宋" w:eastAsia="仿宋" w:cs="仿宋"/>
          <w:sz w:val="24"/>
          <w:szCs w:val="24"/>
        </w:rPr>
        <w:t>3、数据预处理</w:t>
      </w:r>
      <w:bookmarkEnd w:id="331"/>
      <w:bookmarkEnd w:id="332"/>
    </w:p>
    <w:p w14:paraId="3425ED9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对野外采集的数据采用转换程序进行数据转换，得到对应的电流数据文件和接收数据文件，再采用信号显示程序对时间序列信号进行回放和分析，最后经过去噪、归一化等一系列的处理后得到时间域和频率域的相关数据。</w:t>
      </w:r>
    </w:p>
    <w:p w14:paraId="1F812DBB">
      <w:pPr>
        <w:pageBreakBefore w:val="0"/>
        <w:wordWrap/>
        <w:bidi w:val="0"/>
        <w:spacing w:line="360" w:lineRule="auto"/>
        <w:ind w:firstLine="480" w:firstLineChars="200"/>
        <w:outlineLvl w:val="9"/>
        <w:rPr>
          <w:rFonts w:ascii="仿宋" w:hAnsi="仿宋" w:eastAsia="仿宋" w:cs="仿宋"/>
          <w:sz w:val="24"/>
          <w:szCs w:val="24"/>
        </w:rPr>
      </w:pPr>
      <w:bookmarkStart w:id="333" w:name="_Toc11627"/>
      <w:bookmarkStart w:id="334" w:name="_Toc5478"/>
      <w:bookmarkStart w:id="335" w:name="_Toc10055"/>
      <w:r>
        <w:rPr>
          <w:rFonts w:hint="eastAsia" w:ascii="仿宋" w:hAnsi="仿宋" w:eastAsia="仿宋" w:cs="仿宋"/>
          <w:sz w:val="24"/>
          <w:szCs w:val="24"/>
        </w:rPr>
        <w:t>(1)信号分析与评价</w:t>
      </w:r>
      <w:bookmarkEnd w:id="333"/>
      <w:bookmarkEnd w:id="334"/>
      <w:bookmarkEnd w:id="335"/>
    </w:p>
    <w:p w14:paraId="7260D54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数据采集后，首先对信号进行分析，通过回放显示，可以了解野外记录的数据品质和噪声水平，进行相应的去噪处理。然后通过频谱分析、同步叠加和程序换算得到归一化的数据库。</w:t>
      </w:r>
    </w:p>
    <w:p w14:paraId="1250CD7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此外经过频谱分析，可以了解原始信号和干扰的频谱特征，针对干扰的类型再采取不同的处理手段：对有零位漂移或低频大地电磁干扰的记录，采用线性内插方法或通过正负半周信号反折进行改正；对已知频率的电磁干扰采用滤波处理，根据我国工业用电频率，主要采取50hz滤波去除噪音；对不规则的脉冲干扰，应进增加信号叠加，有效地抑制随机干扰，对发射信号和接收信号进行处理与分析评价。</w:t>
      </w:r>
    </w:p>
    <w:p w14:paraId="136449B5">
      <w:pPr>
        <w:pageBreakBefore w:val="0"/>
        <w:wordWrap/>
        <w:bidi w:val="0"/>
        <w:spacing w:line="360" w:lineRule="auto"/>
        <w:ind w:firstLine="480" w:firstLineChars="200"/>
        <w:outlineLvl w:val="9"/>
        <w:rPr>
          <w:rFonts w:ascii="仿宋" w:hAnsi="仿宋" w:eastAsia="仿宋" w:cs="仿宋"/>
          <w:sz w:val="24"/>
          <w:szCs w:val="24"/>
        </w:rPr>
      </w:pPr>
      <w:bookmarkStart w:id="336" w:name="_Toc7333"/>
      <w:r>
        <w:rPr>
          <w:rFonts w:hint="eastAsia" w:ascii="仿宋" w:hAnsi="仿宋" w:eastAsia="仿宋" w:cs="仿宋"/>
          <w:sz w:val="24"/>
          <w:szCs w:val="24"/>
        </w:rPr>
        <w:t>1）发射信号的处理</w:t>
      </w:r>
      <w:bookmarkEnd w:id="336"/>
    </w:p>
    <w:p w14:paraId="1CCC96F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发射信号的处理主要是为了在后期资料处理中，进行电流归一。在获得发射时序数据后，首先对发射数据进行回放、检查头段信息是否正确，电流大小是否符合要求，以及信号是否稳定，各周期信号是否一致。然后对数据叠加、FFT变换。图5</w:t>
      </w:r>
      <w:r>
        <w:rPr>
          <w:rFonts w:ascii="仿宋" w:hAnsi="仿宋" w:eastAsia="仿宋" w:cs="仿宋"/>
          <w:sz w:val="24"/>
          <w:szCs w:val="24"/>
        </w:rPr>
        <w:t>-</w:t>
      </w:r>
      <w:r>
        <w:rPr>
          <w:rFonts w:hint="eastAsia" w:ascii="仿宋" w:hAnsi="仿宋" w:eastAsia="仿宋" w:cs="仿宋"/>
          <w:sz w:val="24"/>
          <w:szCs w:val="24"/>
        </w:rPr>
        <w:t>9为发射电流的时序数据图，图5</w:t>
      </w:r>
      <w:r>
        <w:rPr>
          <w:rFonts w:ascii="仿宋" w:hAnsi="仿宋" w:eastAsia="仿宋" w:cs="仿宋"/>
          <w:sz w:val="24"/>
          <w:szCs w:val="24"/>
        </w:rPr>
        <w:t>-1</w:t>
      </w:r>
      <w:r>
        <w:rPr>
          <w:rFonts w:hint="eastAsia" w:ascii="仿宋" w:hAnsi="仿宋" w:eastAsia="仿宋" w:cs="仿宋"/>
          <w:sz w:val="24"/>
          <w:szCs w:val="24"/>
        </w:rPr>
        <w:t>0为发射电流经过FFT变换后的振幅和相位。</w:t>
      </w:r>
    </w:p>
    <w:p w14:paraId="3C704B29">
      <w:pPr>
        <w:pageBreakBefore w:val="0"/>
        <w:wordWrap/>
        <w:bidi w:val="0"/>
        <w:spacing w:line="360" w:lineRule="auto"/>
        <w:ind w:firstLine="480" w:firstLineChars="200"/>
        <w:outlineLvl w:val="9"/>
        <w:rPr>
          <w:rFonts w:ascii="仿宋" w:hAnsi="仿宋" w:eastAsia="仿宋" w:cs="仿宋"/>
          <w:sz w:val="24"/>
          <w:szCs w:val="24"/>
        </w:rPr>
      </w:pPr>
      <w:bookmarkStart w:id="337" w:name="_Ref203636604"/>
      <w:r>
        <w:rPr>
          <w:rFonts w:ascii="仿宋" w:hAnsi="仿宋" w:eastAsia="仿宋" w:cs="仿宋"/>
          <w:sz w:val="24"/>
          <w:szCs w:val="24"/>
        </w:rPr>
        <w:drawing>
          <wp:anchor distT="0" distB="0" distL="114300" distR="114300" simplePos="0" relativeHeight="251670528" behindDoc="0" locked="0" layoutInCell="1" allowOverlap="1">
            <wp:simplePos x="0" y="0"/>
            <wp:positionH relativeFrom="column">
              <wp:posOffset>588010</wp:posOffset>
            </wp:positionH>
            <wp:positionV relativeFrom="paragraph">
              <wp:posOffset>196215</wp:posOffset>
            </wp:positionV>
            <wp:extent cx="4211320" cy="2047875"/>
            <wp:effectExtent l="0" t="0" r="8255" b="0"/>
            <wp:wrapTopAndBottom/>
            <wp:docPr id="1081753425" name="图片 108175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25" name="图片 10817534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211320" cy="2047875"/>
                    </a:xfrm>
                    <a:prstGeom prst="rect">
                      <a:avLst/>
                    </a:prstGeom>
                    <a:noFill/>
                    <a:ln>
                      <a:noFill/>
                    </a:ln>
                  </pic:spPr>
                </pic:pic>
              </a:graphicData>
            </a:graphic>
          </wp:anchor>
        </w:drawing>
      </w:r>
      <w:r>
        <w:rPr>
          <w:rFonts w:hint="eastAsia" w:ascii="仿宋" w:hAnsi="仿宋" w:eastAsia="仿宋" w:cs="仿宋"/>
          <w:sz w:val="24"/>
          <w:szCs w:val="24"/>
        </w:rPr>
        <w:t>图5</w:t>
      </w:r>
      <w:r>
        <w:rPr>
          <w:rFonts w:hint="eastAsia" w:ascii="仿宋" w:hAnsi="仿宋" w:eastAsia="仿宋" w:cs="仿宋"/>
          <w:sz w:val="24"/>
          <w:szCs w:val="24"/>
        </w:rPr>
        <w:noBreakHyphen/>
      </w:r>
      <w:bookmarkEnd w:id="337"/>
      <w:r>
        <w:rPr>
          <w:rFonts w:hint="eastAsia" w:ascii="仿宋" w:hAnsi="仿宋" w:eastAsia="仿宋" w:cs="仿宋"/>
          <w:sz w:val="24"/>
          <w:szCs w:val="24"/>
        </w:rPr>
        <w:t>9  发射电流的时序数据</w:t>
      </w:r>
    </w:p>
    <w:p w14:paraId="2FD2B316">
      <w:pPr>
        <w:pageBreakBefore w:val="0"/>
        <w:wordWrap/>
        <w:bidi w:val="0"/>
        <w:adjustRightInd w:val="0"/>
        <w:snapToGrid w:val="0"/>
        <w:spacing w:line="360" w:lineRule="auto"/>
        <w:jc w:val="center"/>
        <w:outlineLvl w:val="9"/>
        <w:rPr>
          <w:rFonts w:ascii="宋体" w:hAnsi="宋体"/>
          <w:b/>
          <w:szCs w:val="21"/>
        </w:rPr>
      </w:pPr>
      <w:r>
        <w:rPr>
          <w:rFonts w:ascii="宋体" w:hAnsi="宋体"/>
          <w:b/>
          <w:szCs w:val="21"/>
        </w:rPr>
        <w:drawing>
          <wp:inline distT="0" distB="0" distL="0" distR="0">
            <wp:extent cx="4547870" cy="1248410"/>
            <wp:effectExtent l="0" t="0" r="5080" b="889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547870" cy="1248410"/>
                    </a:xfrm>
                    <a:prstGeom prst="rect">
                      <a:avLst/>
                    </a:prstGeom>
                    <a:noFill/>
                    <a:ln>
                      <a:noFill/>
                    </a:ln>
                    <a:effectLst/>
                  </pic:spPr>
                </pic:pic>
              </a:graphicData>
            </a:graphic>
          </wp:inline>
        </w:drawing>
      </w:r>
    </w:p>
    <w:p w14:paraId="069D4C9A">
      <w:pPr>
        <w:pageBreakBefore w:val="0"/>
        <w:wordWrap/>
        <w:bidi w:val="0"/>
        <w:adjustRightInd w:val="0"/>
        <w:snapToGrid w:val="0"/>
        <w:spacing w:line="360" w:lineRule="auto"/>
        <w:jc w:val="center"/>
        <w:outlineLvl w:val="9"/>
        <w:rPr>
          <w:rFonts w:ascii="宋体" w:hAnsi="宋体"/>
          <w:b/>
          <w:szCs w:val="21"/>
        </w:rPr>
      </w:pPr>
      <w:r>
        <w:drawing>
          <wp:inline distT="0" distB="0" distL="0" distR="0">
            <wp:extent cx="4500245" cy="2440940"/>
            <wp:effectExtent l="0" t="0" r="5080" b="698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500245" cy="2440940"/>
                    </a:xfrm>
                    <a:prstGeom prst="rect">
                      <a:avLst/>
                    </a:prstGeom>
                    <a:noFill/>
                    <a:ln>
                      <a:noFill/>
                    </a:ln>
                    <a:effectLst/>
                  </pic:spPr>
                </pic:pic>
              </a:graphicData>
            </a:graphic>
          </wp:inline>
        </w:drawing>
      </w:r>
    </w:p>
    <w:p w14:paraId="55F10584">
      <w:pPr>
        <w:pageBreakBefore w:val="0"/>
        <w:wordWrap/>
        <w:bidi w:val="0"/>
        <w:adjustRightInd w:val="0"/>
        <w:snapToGrid w:val="0"/>
        <w:spacing w:line="360" w:lineRule="auto"/>
        <w:jc w:val="center"/>
        <w:outlineLvl w:val="9"/>
        <w:rPr>
          <w:rFonts w:ascii="宋体" w:hAnsi="宋体"/>
          <w:b/>
          <w:szCs w:val="21"/>
        </w:rPr>
      </w:pPr>
      <w:bookmarkStart w:id="338" w:name="_Ref203636608"/>
      <w:r>
        <w:rPr>
          <w:rFonts w:hint="eastAsia" w:ascii="宋体" w:hAnsi="宋体"/>
          <w:b/>
          <w:szCs w:val="21"/>
        </w:rPr>
        <w:t>图5</w:t>
      </w:r>
      <w:r>
        <w:rPr>
          <w:rFonts w:hint="eastAsia" w:ascii="宋体" w:hAnsi="宋体"/>
          <w:b/>
          <w:szCs w:val="21"/>
        </w:rPr>
        <w:noBreakHyphen/>
      </w:r>
      <w:bookmarkEnd w:id="338"/>
      <w:r>
        <w:rPr>
          <w:rFonts w:hint="eastAsia" w:ascii="宋体" w:hAnsi="宋体"/>
          <w:b/>
          <w:szCs w:val="21"/>
        </w:rPr>
        <w:t>10  发射电流FFT变换后的振幅相位曲线</w:t>
      </w:r>
    </w:p>
    <w:p w14:paraId="5F4CAAAE">
      <w:pPr>
        <w:pageBreakBefore w:val="0"/>
        <w:wordWrap/>
        <w:bidi w:val="0"/>
        <w:spacing w:line="360" w:lineRule="auto"/>
        <w:ind w:firstLine="480" w:firstLineChars="200"/>
        <w:outlineLvl w:val="9"/>
        <w:rPr>
          <w:rFonts w:ascii="仿宋" w:hAnsi="仿宋" w:eastAsia="仿宋" w:cs="仿宋"/>
          <w:sz w:val="24"/>
          <w:szCs w:val="24"/>
        </w:rPr>
      </w:pPr>
      <w:bookmarkStart w:id="339" w:name="_Toc26367"/>
      <w:r>
        <w:rPr>
          <w:rFonts w:ascii="仿宋" w:hAnsi="仿宋" w:eastAsia="仿宋" w:cs="仿宋"/>
          <w:sz w:val="24"/>
          <w:szCs w:val="24"/>
        </w:rPr>
        <w:t>2）接收信号的处理</w:t>
      </w:r>
      <w:bookmarkEnd w:id="339"/>
    </w:p>
    <w:p w14:paraId="5A343CC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在获得接收时序数据后，首先对头段信息检查，主要检查MN距、点号、场源等参数是否正确，然后对时序数据进行回放，检查各周期数据是否正常。另外，要对数据进行频谱分析和滤波，如图5</w:t>
      </w:r>
      <w:r>
        <w:rPr>
          <w:rFonts w:ascii="仿宋" w:hAnsi="仿宋" w:eastAsia="仿宋" w:cs="仿宋"/>
          <w:sz w:val="24"/>
          <w:szCs w:val="24"/>
        </w:rPr>
        <w:t>-</w:t>
      </w:r>
      <w:r>
        <w:rPr>
          <w:rFonts w:hint="eastAsia" w:ascii="仿宋" w:hAnsi="仿宋" w:eastAsia="仿宋" w:cs="仿宋"/>
          <w:sz w:val="24"/>
          <w:szCs w:val="24"/>
        </w:rPr>
        <w:t>11中蓝色曲线为电场分量的频谱，从图中可以看出，主要干扰频率是50Hz及其谐波，主要是工业用电干扰引起，对于这样的原始数据，在叠加之前，应对其进行了50Hz滤波，图5</w:t>
      </w:r>
      <w:r>
        <w:rPr>
          <w:rFonts w:ascii="仿宋" w:hAnsi="仿宋" w:eastAsia="仿宋" w:cs="仿宋"/>
          <w:sz w:val="24"/>
          <w:szCs w:val="24"/>
        </w:rPr>
        <w:t>-</w:t>
      </w:r>
      <w:r>
        <w:rPr>
          <w:rFonts w:hint="eastAsia" w:ascii="仿宋" w:hAnsi="仿宋" w:eastAsia="仿宋" w:cs="仿宋"/>
          <w:sz w:val="24"/>
          <w:szCs w:val="24"/>
        </w:rPr>
        <w:t>12是该测点滤波前信号图，图5</w:t>
      </w:r>
      <w:r>
        <w:rPr>
          <w:rFonts w:ascii="仿宋" w:hAnsi="仿宋" w:eastAsia="仿宋" w:cs="仿宋"/>
          <w:sz w:val="24"/>
          <w:szCs w:val="24"/>
        </w:rPr>
        <w:t>-1</w:t>
      </w:r>
      <w:r>
        <w:rPr>
          <w:rFonts w:hint="eastAsia" w:ascii="仿宋" w:hAnsi="仿宋" w:eastAsia="仿宋" w:cs="仿宋"/>
          <w:sz w:val="24"/>
          <w:szCs w:val="24"/>
        </w:rPr>
        <w:t>3为滤波后信号，通过对比可以看出滤波后数据质量得到了较大改善。</w:t>
      </w:r>
    </w:p>
    <w:p w14:paraId="13D53F92">
      <w:pPr>
        <w:pageBreakBefore w:val="0"/>
        <w:wordWrap/>
        <w:bidi w:val="0"/>
        <w:adjustRightInd w:val="0"/>
        <w:snapToGrid w:val="0"/>
        <w:spacing w:line="360" w:lineRule="auto"/>
        <w:jc w:val="center"/>
        <w:outlineLvl w:val="9"/>
        <w:rPr>
          <w:rFonts w:ascii="宋体" w:hAnsi="宋体"/>
          <w:b/>
          <w:szCs w:val="21"/>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REF _Ref203636704 \h </w:instrText>
      </w:r>
      <w:r>
        <w:rPr>
          <w:rFonts w:ascii="仿宋" w:hAnsi="仿宋" w:eastAsia="仿宋" w:cs="仿宋"/>
          <w:sz w:val="24"/>
          <w:szCs w:val="24"/>
        </w:rPr>
        <w:instrText xml:space="preserve"> \* MERGEFORMAT </w:instrText>
      </w:r>
      <w:r>
        <w:rPr>
          <w:rFonts w:hint="eastAsia" w:ascii="仿宋" w:hAnsi="仿宋" w:eastAsia="仿宋" w:cs="仿宋"/>
          <w:sz w:val="24"/>
          <w:szCs w:val="24"/>
        </w:rPr>
        <w:fldChar w:fldCharType="separate"/>
      </w:r>
      <w:r>
        <w:rPr>
          <w:rFonts w:ascii="仿宋" w:hAnsi="仿宋" w:eastAsia="仿宋" w:cs="仿宋"/>
          <w:sz w:val="24"/>
          <w:szCs w:val="24"/>
        </w:rPr>
        <w:drawing>
          <wp:inline distT="0" distB="0" distL="0" distR="0">
            <wp:extent cx="5398770" cy="1438910"/>
            <wp:effectExtent l="0" t="0" r="190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398770" cy="1438910"/>
                    </a:xfrm>
                    <a:prstGeom prst="rect">
                      <a:avLst/>
                    </a:prstGeom>
                    <a:noFill/>
                    <a:ln>
                      <a:noFill/>
                    </a:ln>
                    <a:effectLst/>
                  </pic:spPr>
                </pic:pic>
              </a:graphicData>
            </a:graphic>
          </wp:inline>
        </w:drawing>
      </w:r>
      <w:r>
        <w:rPr>
          <w:rFonts w:hint="eastAsia" w:ascii="仿宋" w:hAnsi="仿宋" w:eastAsia="仿宋" w:cs="仿宋"/>
          <w:sz w:val="24"/>
          <w:szCs w:val="24"/>
        </w:rPr>
        <w:fldChar w:fldCharType="end"/>
      </w:r>
      <w:bookmarkStart w:id="340" w:name="_Ref203636649"/>
    </w:p>
    <w:p w14:paraId="4D61FCC0">
      <w:pPr>
        <w:pageBreakBefore w:val="0"/>
        <w:wordWrap/>
        <w:bidi w:val="0"/>
        <w:adjustRightInd w:val="0"/>
        <w:snapToGrid w:val="0"/>
        <w:spacing w:line="360" w:lineRule="auto"/>
        <w:jc w:val="center"/>
        <w:outlineLvl w:val="9"/>
        <w:rPr>
          <w:rFonts w:ascii="宋体" w:hAnsi="宋体"/>
          <w:b/>
          <w:szCs w:val="21"/>
        </w:rPr>
      </w:pPr>
      <w:r>
        <w:rPr>
          <w:rFonts w:hint="eastAsia" w:ascii="宋体" w:hAnsi="宋体"/>
          <w:b/>
          <w:szCs w:val="21"/>
        </w:rPr>
        <w:t>图5</w:t>
      </w:r>
      <w:r>
        <w:rPr>
          <w:rFonts w:hint="eastAsia" w:ascii="宋体" w:hAnsi="宋体"/>
          <w:b/>
          <w:szCs w:val="21"/>
        </w:rPr>
        <w:noBreakHyphen/>
      </w:r>
      <w:bookmarkEnd w:id="340"/>
      <w:r>
        <w:rPr>
          <w:rFonts w:hint="eastAsia" w:ascii="宋体" w:hAnsi="宋体"/>
          <w:b/>
          <w:szCs w:val="21"/>
        </w:rPr>
        <w:t>11  原始数据频谱分析</w:t>
      </w:r>
    </w:p>
    <w:p w14:paraId="0F1E185F">
      <w:pPr>
        <w:pageBreakBefore w:val="0"/>
        <w:wordWrap/>
        <w:bidi w:val="0"/>
        <w:adjustRightInd w:val="0"/>
        <w:snapToGrid w:val="0"/>
        <w:spacing w:line="360" w:lineRule="auto"/>
        <w:jc w:val="center"/>
        <w:outlineLvl w:val="9"/>
      </w:pPr>
      <w:r>
        <w:drawing>
          <wp:inline distT="0" distB="0" distL="0" distR="0">
            <wp:extent cx="5303520" cy="2846705"/>
            <wp:effectExtent l="0" t="0" r="1905" b="12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303520" cy="2846705"/>
                    </a:xfrm>
                    <a:prstGeom prst="rect">
                      <a:avLst/>
                    </a:prstGeom>
                    <a:noFill/>
                    <a:ln>
                      <a:noFill/>
                    </a:ln>
                    <a:effectLst/>
                  </pic:spPr>
                </pic:pic>
              </a:graphicData>
            </a:graphic>
          </wp:inline>
        </w:drawing>
      </w:r>
      <w:bookmarkStart w:id="341" w:name="_Ref203636652"/>
    </w:p>
    <w:p w14:paraId="5B4A8F95">
      <w:pPr>
        <w:pageBreakBefore w:val="0"/>
        <w:wordWrap/>
        <w:bidi w:val="0"/>
        <w:adjustRightInd w:val="0"/>
        <w:snapToGrid w:val="0"/>
        <w:spacing w:line="360" w:lineRule="auto"/>
        <w:jc w:val="center"/>
        <w:outlineLvl w:val="9"/>
        <w:rPr>
          <w:rFonts w:ascii="宋体" w:hAnsi="宋体"/>
          <w:b/>
          <w:szCs w:val="21"/>
        </w:rPr>
      </w:pPr>
      <w:r>
        <w:rPr>
          <w:rFonts w:hint="eastAsia" w:ascii="宋体" w:hAnsi="宋体"/>
          <w:b/>
          <w:szCs w:val="21"/>
        </w:rPr>
        <w:t>图5</w:t>
      </w:r>
      <w:r>
        <w:rPr>
          <w:rFonts w:hint="eastAsia" w:ascii="宋体" w:hAnsi="宋体"/>
          <w:b/>
          <w:szCs w:val="21"/>
        </w:rPr>
        <w:noBreakHyphen/>
      </w:r>
      <w:bookmarkEnd w:id="341"/>
      <w:r>
        <w:rPr>
          <w:rFonts w:hint="eastAsia" w:ascii="宋体" w:hAnsi="宋体"/>
          <w:b/>
          <w:szCs w:val="21"/>
        </w:rPr>
        <w:t>12  50Hz滤波前信号</w:t>
      </w:r>
    </w:p>
    <w:p w14:paraId="28A97CB1">
      <w:pPr>
        <w:pageBreakBefore w:val="0"/>
        <w:wordWrap/>
        <w:bidi w:val="0"/>
        <w:adjustRightInd w:val="0"/>
        <w:snapToGrid w:val="0"/>
        <w:spacing w:line="360" w:lineRule="auto"/>
        <w:jc w:val="center"/>
        <w:outlineLvl w:val="9"/>
      </w:pPr>
      <w:r>
        <w:drawing>
          <wp:inline distT="0" distB="0" distL="0" distR="0">
            <wp:extent cx="5574030" cy="2973705"/>
            <wp:effectExtent l="0" t="0" r="762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574030" cy="2973705"/>
                    </a:xfrm>
                    <a:prstGeom prst="rect">
                      <a:avLst/>
                    </a:prstGeom>
                    <a:noFill/>
                    <a:ln>
                      <a:noFill/>
                    </a:ln>
                    <a:effectLst/>
                  </pic:spPr>
                </pic:pic>
              </a:graphicData>
            </a:graphic>
          </wp:inline>
        </w:drawing>
      </w:r>
      <w:bookmarkStart w:id="342" w:name="_Ref203636688"/>
    </w:p>
    <w:p w14:paraId="07971ABE">
      <w:pPr>
        <w:pageBreakBefore w:val="0"/>
        <w:wordWrap/>
        <w:bidi w:val="0"/>
        <w:adjustRightInd w:val="0"/>
        <w:snapToGrid w:val="0"/>
        <w:spacing w:line="360" w:lineRule="auto"/>
        <w:jc w:val="center"/>
        <w:outlineLvl w:val="9"/>
        <w:rPr>
          <w:rFonts w:ascii="宋体" w:hAnsi="宋体"/>
          <w:b/>
          <w:szCs w:val="21"/>
        </w:rPr>
      </w:pPr>
      <w:r>
        <w:rPr>
          <w:rFonts w:hint="eastAsia" w:ascii="宋体" w:hAnsi="宋体"/>
          <w:b/>
          <w:szCs w:val="21"/>
        </w:rPr>
        <w:t>图5</w:t>
      </w:r>
      <w:r>
        <w:rPr>
          <w:rFonts w:hint="eastAsia" w:ascii="宋体" w:hAnsi="宋体"/>
          <w:b/>
          <w:szCs w:val="21"/>
        </w:rPr>
        <w:noBreakHyphen/>
      </w:r>
      <w:bookmarkEnd w:id="342"/>
      <w:r>
        <w:rPr>
          <w:rFonts w:hint="eastAsia" w:ascii="宋体" w:hAnsi="宋体"/>
          <w:b/>
          <w:szCs w:val="21"/>
        </w:rPr>
        <w:t>13  50Hz滤波后信号</w:t>
      </w:r>
    </w:p>
    <w:p w14:paraId="0CA259B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TFEM发射的是不同频率的方波信号（图5</w:t>
      </w:r>
      <w:r>
        <w:rPr>
          <w:rFonts w:ascii="仿宋" w:hAnsi="仿宋" w:eastAsia="仿宋" w:cs="仿宋"/>
          <w:sz w:val="24"/>
          <w:szCs w:val="24"/>
        </w:rPr>
        <w:t>-</w:t>
      </w:r>
      <w:r>
        <w:rPr>
          <w:rFonts w:hint="eastAsia" w:ascii="仿宋" w:hAnsi="仿宋" w:eastAsia="仿宋" w:cs="仿宋"/>
          <w:sz w:val="24"/>
          <w:szCs w:val="24"/>
        </w:rPr>
        <w:t>14）,在观测点接收的是按时间序列采样的电磁信号（图5</w:t>
      </w:r>
      <w:r>
        <w:rPr>
          <w:rFonts w:ascii="仿宋" w:hAnsi="仿宋" w:eastAsia="仿宋" w:cs="仿宋"/>
          <w:sz w:val="24"/>
          <w:szCs w:val="24"/>
        </w:rPr>
        <w:t>-</w:t>
      </w:r>
      <w:r>
        <w:rPr>
          <w:rFonts w:hint="eastAsia" w:ascii="仿宋" w:hAnsi="仿宋" w:eastAsia="仿宋" w:cs="仿宋"/>
          <w:sz w:val="24"/>
          <w:szCs w:val="24"/>
        </w:rPr>
        <w:t>15），并且在发射回路中采集了实际供入地下的各种电流信号。在频谱分析和滤波之后，对数据进行叠加和FFT变换，为后期资料处理做准备。</w:t>
      </w:r>
    </w:p>
    <w:p w14:paraId="52527C8A">
      <w:pPr>
        <w:pageBreakBefore w:val="0"/>
        <w:wordWrap/>
        <w:bidi w:val="0"/>
        <w:adjustRightInd w:val="0"/>
        <w:snapToGrid w:val="0"/>
        <w:spacing w:line="360" w:lineRule="auto"/>
        <w:jc w:val="center"/>
        <w:outlineLvl w:val="9"/>
        <w:rPr>
          <w:rFonts w:ascii="仿宋" w:hAnsi="仿宋" w:eastAsia="仿宋" w:cs="仿宋"/>
          <w:sz w:val="24"/>
          <w:szCs w:val="24"/>
        </w:rPr>
      </w:pPr>
      <w:r>
        <w:rPr>
          <w:rFonts w:ascii="仿宋" w:hAnsi="仿宋" w:eastAsia="仿宋" w:cs="仿宋"/>
          <w:sz w:val="24"/>
          <w:szCs w:val="24"/>
        </w:rPr>
        <w:drawing>
          <wp:inline distT="0" distB="0" distL="0" distR="0">
            <wp:extent cx="5398770" cy="1614170"/>
            <wp:effectExtent l="0" t="0" r="1905" b="5080"/>
            <wp:docPr id="40" name="图片 40" descr="GX3I46M%JD66]$@G4$@4[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GX3I46M%JD66]$@G4$@4[YJ"/>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398770" cy="1614170"/>
                    </a:xfrm>
                    <a:prstGeom prst="rect">
                      <a:avLst/>
                    </a:prstGeom>
                    <a:noFill/>
                    <a:ln>
                      <a:noFill/>
                    </a:ln>
                    <a:effectLst/>
                  </pic:spPr>
                </pic:pic>
              </a:graphicData>
            </a:graphic>
          </wp:inline>
        </w:drawing>
      </w:r>
    </w:p>
    <w:p w14:paraId="39B195FD">
      <w:pPr>
        <w:pageBreakBefore w:val="0"/>
        <w:wordWrap/>
        <w:bidi w:val="0"/>
        <w:adjustRightInd w:val="0"/>
        <w:snapToGrid w:val="0"/>
        <w:spacing w:line="360" w:lineRule="auto"/>
        <w:jc w:val="center"/>
        <w:outlineLvl w:val="9"/>
        <w:rPr>
          <w:rFonts w:ascii="仿宋" w:hAnsi="仿宋" w:eastAsia="仿宋" w:cs="仿宋"/>
          <w:sz w:val="24"/>
          <w:szCs w:val="24"/>
        </w:rPr>
      </w:pPr>
      <w:r>
        <w:rPr>
          <w:rFonts w:hint="eastAsia" w:ascii="仿宋" w:hAnsi="仿宋" w:eastAsia="仿宋" w:cs="仿宋"/>
          <w:sz w:val="24"/>
          <w:szCs w:val="24"/>
        </w:rPr>
        <w:t>图5-14  TFEM系统发射电流波形（不同频率方波）</w:t>
      </w:r>
    </w:p>
    <w:p w14:paraId="471BB2C2">
      <w:pPr>
        <w:pageBreakBefore w:val="0"/>
        <w:wordWrap/>
        <w:bidi w:val="0"/>
        <w:adjustRightInd w:val="0"/>
        <w:snapToGrid w:val="0"/>
        <w:spacing w:line="360" w:lineRule="auto"/>
        <w:jc w:val="center"/>
        <w:outlineLvl w:val="9"/>
        <w:rPr>
          <w:rFonts w:ascii="仿宋" w:hAnsi="仿宋" w:eastAsia="仿宋" w:cs="仿宋"/>
          <w:sz w:val="24"/>
          <w:szCs w:val="24"/>
        </w:rPr>
      </w:pPr>
      <w:bookmarkStart w:id="343" w:name="_Ref203636704"/>
      <w:r>
        <w:rPr>
          <w:rFonts w:ascii="仿宋" w:hAnsi="仿宋" w:eastAsia="仿宋" w:cs="仿宋"/>
          <w:sz w:val="24"/>
          <w:szCs w:val="24"/>
        </w:rPr>
        <w:drawing>
          <wp:inline distT="0" distB="0" distL="0" distR="0">
            <wp:extent cx="5398770" cy="1438910"/>
            <wp:effectExtent l="0" t="0" r="1905"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398770" cy="1438910"/>
                    </a:xfrm>
                    <a:prstGeom prst="rect">
                      <a:avLst/>
                    </a:prstGeom>
                    <a:noFill/>
                    <a:ln>
                      <a:noFill/>
                    </a:ln>
                    <a:effectLst/>
                  </pic:spPr>
                </pic:pic>
              </a:graphicData>
            </a:graphic>
          </wp:inline>
        </w:drawing>
      </w:r>
      <w:bookmarkEnd w:id="343"/>
    </w:p>
    <w:p w14:paraId="076D1EFF">
      <w:pPr>
        <w:pageBreakBefore w:val="0"/>
        <w:wordWrap/>
        <w:bidi w:val="0"/>
        <w:adjustRightInd w:val="0"/>
        <w:snapToGrid w:val="0"/>
        <w:spacing w:line="360" w:lineRule="auto"/>
        <w:jc w:val="center"/>
        <w:outlineLvl w:val="9"/>
        <w:rPr>
          <w:rFonts w:ascii="仿宋" w:hAnsi="仿宋" w:eastAsia="仿宋" w:cs="仿宋"/>
          <w:sz w:val="24"/>
          <w:szCs w:val="24"/>
        </w:rPr>
      </w:pPr>
      <w:bookmarkStart w:id="344" w:name="_Ref203636709"/>
      <w:r>
        <w:rPr>
          <w:rFonts w:hint="eastAsia" w:ascii="仿宋" w:hAnsi="仿宋" w:eastAsia="仿宋" w:cs="仿宋"/>
          <w:sz w:val="24"/>
          <w:szCs w:val="24"/>
        </w:rPr>
        <w:t>图5</w:t>
      </w:r>
      <w:bookmarkEnd w:id="344"/>
      <w:r>
        <w:rPr>
          <w:rFonts w:hint="eastAsia" w:ascii="仿宋" w:hAnsi="仿宋" w:eastAsia="仿宋" w:cs="仿宋"/>
          <w:sz w:val="24"/>
          <w:szCs w:val="24"/>
        </w:rPr>
        <w:t>-15  接收信号时间序列</w:t>
      </w:r>
    </w:p>
    <w:p w14:paraId="09FBE07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p>
    <w:p w14:paraId="35A8C8D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由傅立叶变换知，一个有限长、离散的时间序列信号，可表示为不同频率正、余弦波的叠加。</w:t>
      </w:r>
    </w:p>
    <w:p w14:paraId="228F8EC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25" o:spt="75" type="#_x0000_t75" style="height:103.5pt;width:339.75pt;" o:ole="t" filled="f" o:preferrelative="t" stroked="f" coordsize="21600,21600">
            <v:path/>
            <v:fill on="f" focussize="0,0"/>
            <v:stroke on="f" joinstyle="miter"/>
            <v:imagedata r:id="rId32" croptop="1638f" cropbottom="1214f" o:title=""/>
            <o:lock v:ext="edit" aspectratio="t"/>
            <w10:wrap type="none"/>
            <w10:anchorlock/>
          </v:shape>
          <o:OLEObject Type="Embed" ProgID="Equation.3" ShapeID="_x0000_i1025" DrawAspect="Content" ObjectID="_1468075725" r:id="rId31">
            <o:LockedField>false</o:LockedField>
          </o:OLEObject>
        </w:object>
      </w:r>
      <w:r>
        <w:rPr>
          <w:rFonts w:hint="eastAsia" w:ascii="仿宋" w:hAnsi="仿宋" w:eastAsia="仿宋" w:cs="仿宋"/>
          <w:sz w:val="24"/>
          <w:szCs w:val="24"/>
        </w:rPr>
        <w:t xml:space="preserve"> （5.1)</w:t>
      </w:r>
    </w:p>
    <w:p w14:paraId="4185206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由离散傅立叶变换可求的：</w:t>
      </w:r>
    </w:p>
    <w:p w14:paraId="012329A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26" o:spt="75" type="#_x0000_t75" style="height:34.5pt;width:177pt;" o:ole="t" filled="f" o:preferrelative="t" stroked="f" coordsize="21600,21600">
            <v:path/>
            <v:fill on="f" focussize="0,0"/>
            <v:stroke on="f" joinstyle="miter"/>
            <v:imagedata r:id="rId34" o:title=""/>
            <o:lock v:ext="edit" aspectratio="t"/>
            <w10:wrap type="none"/>
            <w10:anchorlock/>
          </v:shape>
          <o:OLEObject Type="Embed" ProgID="Equation.3" ShapeID="_x0000_i1026" DrawAspect="Content" ObjectID="_1468075726" r:id="rId33">
            <o:LockedField>false</o:LockedField>
          </o:OLEObject>
        </w:object>
      </w:r>
      <w:r>
        <w:rPr>
          <w:rFonts w:hint="eastAsia" w:ascii="仿宋" w:hAnsi="仿宋" w:eastAsia="仿宋" w:cs="仿宋"/>
          <w:sz w:val="24"/>
          <w:szCs w:val="24"/>
        </w:rPr>
        <w:t xml:space="preserve"> m=0,1,2,….            （5.2)</w:t>
      </w:r>
    </w:p>
    <w:p w14:paraId="557DDB4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27" o:spt="75" type="#_x0000_t75" style="height:34.5pt;width:177pt;" o:ole="t" filled="f" o:preferrelative="t" stroked="f" coordsize="21600,21600">
            <v:path/>
            <v:fill on="f" focussize="0,0"/>
            <v:stroke on="f" joinstyle="miter"/>
            <v:imagedata r:id="rId36" o:title=""/>
            <o:lock v:ext="edit" aspectratio="t"/>
            <w10:wrap type="none"/>
            <w10:anchorlock/>
          </v:shape>
          <o:OLEObject Type="Embed" ProgID="Equation.3" ShapeID="_x0000_i1027" DrawAspect="Content" ObjectID="_1468075727" r:id="rId35">
            <o:LockedField>false</o:LockedField>
          </o:OLEObject>
        </w:object>
      </w:r>
      <w:r>
        <w:rPr>
          <w:rFonts w:hint="eastAsia" w:ascii="仿宋" w:hAnsi="仿宋" w:eastAsia="仿宋" w:cs="仿宋"/>
          <w:sz w:val="24"/>
          <w:szCs w:val="24"/>
        </w:rPr>
        <w:t xml:space="preserve"> m=0,1,2,….            （5.3)</w:t>
      </w:r>
    </w:p>
    <w:p w14:paraId="4672E3A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28" o:spt="75" type="#_x0000_t75" style="height:21pt;width:80.25pt;" o:ole="t" filled="f" o:preferrelative="t" stroked="f" coordsize="21600,21600">
            <v:path/>
            <v:fill on="f" focussize="0,0"/>
            <v:stroke on="f" joinstyle="miter"/>
            <v:imagedata r:id="rId38" o:title=""/>
            <o:lock v:ext="edit" aspectratio="t"/>
            <w10:wrap type="none"/>
            <w10:anchorlock/>
          </v:shape>
          <o:OLEObject Type="Embed" ProgID="Equation.3" ShapeID="_x0000_i1028" DrawAspect="Content" ObjectID="_1468075728" r:id="rId37">
            <o:LockedField>false</o:LockedField>
          </o:OLEObject>
        </w:object>
      </w:r>
      <w:r>
        <w:rPr>
          <w:rFonts w:hint="eastAsia" w:ascii="仿宋" w:hAnsi="仿宋" w:eastAsia="仿宋" w:cs="仿宋"/>
          <w:sz w:val="24"/>
          <w:szCs w:val="24"/>
        </w:rPr>
        <w:t xml:space="preserve">                            </w:t>
      </w:r>
      <w:r>
        <w:rPr>
          <w:rFonts w:ascii="仿宋" w:hAnsi="仿宋" w:eastAsia="仿宋" w:cs="仿宋"/>
          <w:sz w:val="24"/>
          <w:szCs w:val="24"/>
        </w:rPr>
        <w:t xml:space="preserve"> </w:t>
      </w:r>
      <w:r>
        <w:rPr>
          <w:rFonts w:hint="eastAsia" w:ascii="仿宋" w:hAnsi="仿宋" w:eastAsia="仿宋" w:cs="仿宋"/>
          <w:sz w:val="24"/>
          <w:szCs w:val="24"/>
        </w:rPr>
        <w:t xml:space="preserve">        （5.4）</w:t>
      </w:r>
    </w:p>
    <w:p w14:paraId="0D27DED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29" o:spt="75" type="#_x0000_t75" style="height:34.5pt;width:95.25pt;" o:ole="t" filled="f" o:preferrelative="t" stroked="f" coordsize="21600,21600">
            <v:path/>
            <v:fill on="f" focussize="0,0"/>
            <v:stroke on="f" joinstyle="miter"/>
            <v:imagedata r:id="rId40" o:title=""/>
            <o:lock v:ext="edit" aspectratio="t"/>
            <w10:wrap type="none"/>
            <w10:anchorlock/>
          </v:shape>
          <o:OLEObject Type="Embed" ProgID="Equation.3" ShapeID="_x0000_i1029" DrawAspect="Content" ObjectID="_1468075729" r:id="rId39">
            <o:LockedField>false</o:LockedField>
          </o:OLEObject>
        </w:object>
      </w:r>
      <w:r>
        <w:rPr>
          <w:rFonts w:hint="eastAsia" w:ascii="仿宋" w:hAnsi="仿宋" w:eastAsia="仿宋" w:cs="仿宋"/>
          <w:sz w:val="24"/>
          <w:szCs w:val="24"/>
        </w:rPr>
        <w:t xml:space="preserve">                        </w:t>
      </w:r>
      <w:r>
        <w:rPr>
          <w:rFonts w:ascii="仿宋" w:hAnsi="仿宋" w:eastAsia="仿宋" w:cs="仿宋"/>
          <w:sz w:val="24"/>
          <w:szCs w:val="24"/>
        </w:rPr>
        <w:t xml:space="preserve"> </w:t>
      </w:r>
      <w:r>
        <w:rPr>
          <w:rFonts w:hint="eastAsia" w:ascii="仿宋" w:hAnsi="仿宋" w:eastAsia="仿宋" w:cs="仿宋"/>
          <w:sz w:val="24"/>
          <w:szCs w:val="24"/>
        </w:rPr>
        <w:t xml:space="preserve">          （5.5）</w:t>
      </w:r>
    </w:p>
    <w:p w14:paraId="1DF5E02E">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其中：</w:t>
      </w:r>
    </w:p>
    <w:p w14:paraId="65CAB4E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Δt：时间序列取样间隔，单位：秒；</w:t>
      </w:r>
    </w:p>
    <w:p w14:paraId="7CAD0E1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N：时间序列取样总数；</w:t>
      </w:r>
    </w:p>
    <w:p w14:paraId="445896CE">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T：时间序列取样长度，单位：秒；</w:t>
      </w:r>
    </w:p>
    <w:p w14:paraId="4F59E84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T=N×Δt</w:t>
      </w:r>
    </w:p>
    <w:p w14:paraId="77CBB9A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f0：基频，单位：Hz；f0=1/T</w:t>
      </w:r>
    </w:p>
    <w:p w14:paraId="287B08B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Am：频率为mf0时余弦波的振幅，单位和时间序列信号单位一致；</w:t>
      </w:r>
    </w:p>
    <w:p w14:paraId="0657D2D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θm：频率为mf0时余弦波的相位，单位：弧度。</w:t>
      </w:r>
    </w:p>
    <w:p w14:paraId="7031B5E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式（5.2）-式（5.5）为时频转换的基本公式，对一个实测时间序列信号，由式（5.2）和式（5.3）转换出特定发射频率下，接收信号中该频率的正、余弦波振幅（图5</w:t>
      </w:r>
      <w:r>
        <w:rPr>
          <w:rFonts w:ascii="仿宋" w:hAnsi="仿宋" w:eastAsia="仿宋" w:cs="仿宋"/>
          <w:sz w:val="24"/>
          <w:szCs w:val="24"/>
        </w:rPr>
        <w:t>-1</w:t>
      </w:r>
      <w:r>
        <w:rPr>
          <w:rFonts w:hint="eastAsia" w:ascii="仿宋" w:hAnsi="仿宋" w:eastAsia="仿宋" w:cs="仿宋"/>
          <w:sz w:val="24"/>
          <w:szCs w:val="24"/>
        </w:rPr>
        <w:t>6），由式（5.4）和式（5.5）计算出该频率的振幅和相位。</w:t>
      </w:r>
    </w:p>
    <w:p w14:paraId="1CDC9AD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方波的傅立叶变换公式为：</w:t>
      </w:r>
    </w:p>
    <w:p w14:paraId="3004350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30" o:spt="75" type="#_x0000_t75" style="height:30.75pt;width:167.25pt;" o:ole="t" filled="f" o:preferrelative="t" stroked="f" coordsize="21600,21600">
            <v:path/>
            <v:fill on="f" focussize="0,0"/>
            <v:stroke on="f" joinstyle="miter"/>
            <v:imagedata r:id="rId42" o:title=""/>
            <o:lock v:ext="edit" aspectratio="t"/>
            <w10:wrap type="none"/>
            <w10:anchorlock/>
          </v:shape>
          <o:OLEObject Type="Embed" ProgID="Equation.3" ShapeID="_x0000_i1030" DrawAspect="Content" ObjectID="_1468075730" r:id="rId41">
            <o:LockedField>false</o:LockedField>
          </o:OLEObject>
        </w:object>
      </w:r>
      <w:r>
        <w:rPr>
          <w:rFonts w:hint="eastAsia" w:ascii="仿宋" w:hAnsi="仿宋" w:eastAsia="仿宋" w:cs="仿宋"/>
          <w:sz w:val="24"/>
          <w:szCs w:val="24"/>
        </w:rPr>
        <w:t xml:space="preserve">                   （5.6)</w:t>
      </w:r>
    </w:p>
    <w:p w14:paraId="0CAFCDF3">
      <w:pPr>
        <w:pageBreakBefore w:val="0"/>
        <w:wordWrap/>
        <w:bidi w:val="0"/>
        <w:adjustRightInd w:val="0"/>
        <w:snapToGrid w:val="0"/>
        <w:spacing w:line="360" w:lineRule="auto"/>
        <w:jc w:val="center"/>
        <w:outlineLvl w:val="9"/>
        <w:rPr>
          <w:rFonts w:ascii="仿宋" w:hAnsi="仿宋" w:eastAsia="仿宋" w:cs="仿宋"/>
          <w:sz w:val="24"/>
          <w:szCs w:val="24"/>
        </w:rPr>
      </w:pPr>
      <w:bookmarkStart w:id="345" w:name="_Ref203636733"/>
      <w:r>
        <w:rPr>
          <w:rFonts w:ascii="仿宋" w:hAnsi="仿宋" w:eastAsia="仿宋" w:cs="仿宋"/>
          <w:sz w:val="24"/>
          <w:szCs w:val="24"/>
        </w:rPr>
        <mc:AlternateContent>
          <mc:Choice Requires="wpg">
            <w:drawing>
              <wp:inline distT="0" distB="0" distL="0" distR="0">
                <wp:extent cx="5193030" cy="2369185"/>
                <wp:effectExtent l="5080" t="0" r="0" b="2540"/>
                <wp:docPr id="15" name="组合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93030" cy="2369185"/>
                          <a:chOff x="0" y="0"/>
                          <a:chExt cx="5249790" cy="1757322"/>
                        </a:xfrm>
                      </wpg:grpSpPr>
                      <wpg:grpSp>
                        <wpg:cNvPr id="16" name="组合 148"/>
                        <wpg:cNvGrpSpPr>
                          <a:grpSpLocks noChangeAspect="1"/>
                        </wpg:cNvGrpSpPr>
                        <wpg:grpSpPr>
                          <a:xfrm>
                            <a:off x="110613" y="0"/>
                            <a:ext cx="5139177" cy="1623391"/>
                            <a:chOff x="0" y="0"/>
                            <a:chExt cx="5139277" cy="1623528"/>
                          </a:xfrm>
                        </wpg:grpSpPr>
                        <wpg:grpSp>
                          <wpg:cNvPr id="17" name="组合 152"/>
                          <wpg:cNvGrpSpPr>
                            <a:grpSpLocks noChangeAspect="1"/>
                          </wpg:cNvGrpSpPr>
                          <wpg:grpSpPr>
                            <a:xfrm>
                              <a:off x="0" y="0"/>
                              <a:ext cx="2544023" cy="1569977"/>
                              <a:chOff x="0" y="0"/>
                              <a:chExt cx="2544023" cy="1569977"/>
                            </a:xfrm>
                          </wpg:grpSpPr>
                          <wps:wsp>
                            <wps:cNvPr id="107" name="肘形连接符 178"/>
                            <wps:cNvCnPr>
                              <a:cxnSpLocks noChangeAspect="1" noChangeShapeType="1"/>
                            </wps:cNvCnPr>
                            <wps:spPr bwMode="auto">
                              <a:xfrm>
                                <a:off x="294967" y="619443"/>
                                <a:ext cx="641555" cy="626806"/>
                              </a:xfrm>
                              <a:prstGeom prst="bentConnector3">
                                <a:avLst>
                                  <a:gd name="adj1" fmla="val 50000"/>
                                </a:avLst>
                              </a:prstGeom>
                              <a:noFill/>
                              <a:ln w="12700" cmpd="sng">
                                <a:solidFill>
                                  <a:srgbClr val="FF0000"/>
                                </a:solidFill>
                                <a:miter lim="800000"/>
                              </a:ln>
                              <a:effectLst/>
                            </wps:spPr>
                            <wps:bodyPr/>
                          </wps:wsp>
                          <wps:wsp>
                            <wps:cNvPr id="108" name="肘形连接符 179"/>
                            <wps:cNvCnPr>
                              <a:cxnSpLocks noChangeAspect="1" noChangeShapeType="1"/>
                            </wps:cNvCnPr>
                            <wps:spPr bwMode="auto">
                              <a:xfrm>
                                <a:off x="943896" y="626817"/>
                                <a:ext cx="641350" cy="626745"/>
                              </a:xfrm>
                              <a:prstGeom prst="bentConnector3">
                                <a:avLst>
                                  <a:gd name="adj1" fmla="val 50000"/>
                                </a:avLst>
                              </a:prstGeom>
                              <a:noFill/>
                              <a:ln w="12700" cmpd="sng">
                                <a:solidFill>
                                  <a:srgbClr val="FF0000"/>
                                </a:solidFill>
                                <a:miter lim="800000"/>
                              </a:ln>
                              <a:effectLst/>
                            </wps:spPr>
                            <wps:bodyPr/>
                          </wps:wsp>
                          <wps:wsp>
                            <wps:cNvPr id="109" name="直接连接符 180"/>
                            <wps:cNvCnPr>
                              <a:cxnSpLocks noChangeAspect="1" noChangeShapeType="1"/>
                            </wps:cNvCnPr>
                            <wps:spPr bwMode="auto">
                              <a:xfrm flipV="1">
                                <a:off x="936522" y="619443"/>
                                <a:ext cx="0" cy="626745"/>
                              </a:xfrm>
                              <a:prstGeom prst="line">
                                <a:avLst/>
                              </a:prstGeom>
                              <a:noFill/>
                              <a:ln w="12700" cmpd="sng">
                                <a:solidFill>
                                  <a:srgbClr val="FF0000"/>
                                </a:solidFill>
                                <a:round/>
                              </a:ln>
                              <a:effectLst/>
                            </wps:spPr>
                            <wps:bodyPr/>
                          </wps:wsp>
                          <wps:wsp>
                            <wps:cNvPr id="110" name="直接连接符 181"/>
                            <wps:cNvCnPr>
                              <a:cxnSpLocks noChangeAspect="1" noChangeShapeType="1"/>
                            </wps:cNvCnPr>
                            <wps:spPr bwMode="auto">
                              <a:xfrm flipV="1">
                                <a:off x="1585451" y="634192"/>
                                <a:ext cx="0" cy="626745"/>
                              </a:xfrm>
                              <a:prstGeom prst="line">
                                <a:avLst/>
                              </a:prstGeom>
                              <a:noFill/>
                              <a:ln w="12700" cmpd="sng">
                                <a:solidFill>
                                  <a:srgbClr val="FF0000"/>
                                </a:solidFill>
                                <a:round/>
                              </a:ln>
                              <a:effectLst/>
                            </wps:spPr>
                            <wps:bodyPr/>
                          </wps:wsp>
                          <wps:wsp>
                            <wps:cNvPr id="111" name="直接连接符 182"/>
                            <wps:cNvCnPr>
                              <a:cxnSpLocks noChangeAspect="1" noChangeShapeType="1"/>
                            </wps:cNvCnPr>
                            <wps:spPr bwMode="auto">
                              <a:xfrm>
                                <a:off x="1578077" y="626817"/>
                                <a:ext cx="346505" cy="0"/>
                              </a:xfrm>
                              <a:prstGeom prst="line">
                                <a:avLst/>
                              </a:prstGeom>
                              <a:noFill/>
                              <a:ln w="12700" cmpd="sng">
                                <a:solidFill>
                                  <a:srgbClr val="FF0000"/>
                                </a:solidFill>
                                <a:round/>
                              </a:ln>
                              <a:effectLst/>
                            </wps:spPr>
                            <wps:bodyPr/>
                          </wps:wsp>
                          <wps:wsp>
                            <wps:cNvPr id="112" name="直接箭头连接符 183"/>
                            <wps:cNvCnPr>
                              <a:cxnSpLocks noChangeAspect="1" noChangeShapeType="1"/>
                            </wps:cNvCnPr>
                            <wps:spPr bwMode="auto">
                              <a:xfrm>
                                <a:off x="103238" y="936533"/>
                                <a:ext cx="2072005" cy="0"/>
                              </a:xfrm>
                              <a:prstGeom prst="straightConnector1">
                                <a:avLst/>
                              </a:prstGeom>
                              <a:noFill/>
                              <a:ln w="12700" cmpd="sng">
                                <a:solidFill>
                                  <a:srgbClr val="404040"/>
                                </a:solidFill>
                                <a:round/>
                                <a:tailEnd type="triangle" w="med" len="med"/>
                              </a:ln>
                              <a:effectLst/>
                            </wps:spPr>
                            <wps:bodyPr/>
                          </wps:wsp>
                          <wps:wsp>
                            <wps:cNvPr id="113" name="直接箭头连接符 184"/>
                            <wps:cNvCnPr>
                              <a:cxnSpLocks noChangeAspect="1" noChangeShapeType="1"/>
                            </wps:cNvCnPr>
                            <wps:spPr bwMode="auto">
                              <a:xfrm flipV="1">
                                <a:off x="294967" y="221237"/>
                                <a:ext cx="0" cy="1348740"/>
                              </a:xfrm>
                              <a:prstGeom prst="straightConnector1">
                                <a:avLst/>
                              </a:prstGeom>
                              <a:noFill/>
                              <a:ln w="12700" cmpd="sng">
                                <a:solidFill>
                                  <a:srgbClr val="404040"/>
                                </a:solidFill>
                                <a:round/>
                                <a:tailEnd type="triangle" w="med" len="med"/>
                              </a:ln>
                              <a:effectLst/>
                            </wps:spPr>
                            <wps:bodyPr/>
                          </wps:wsp>
                          <wps:wsp>
                            <wps:cNvPr id="114" name="文本框 2"/>
                            <wps:cNvSpPr txBox="1">
                              <a:spLocks noChangeAspect="1" noChangeArrowheads="1"/>
                            </wps:cNvSpPr>
                            <wps:spPr bwMode="auto">
                              <a:xfrm>
                                <a:off x="0" y="0"/>
                                <a:ext cx="788721" cy="247787"/>
                              </a:xfrm>
                              <a:prstGeom prst="rect">
                                <a:avLst/>
                              </a:prstGeom>
                              <a:noFill/>
                              <a:ln>
                                <a:noFill/>
                              </a:ln>
                              <a:effectLst/>
                            </wps:spPr>
                            <wps:txbx>
                              <w:txbxContent>
                                <w:p w14:paraId="3AE1FCD3">
                                  <w:pPr>
                                    <w:spacing w:before="62" w:beforeLines="20" w:line="360" w:lineRule="auto"/>
                                    <w:jc w:val="center"/>
                                    <w:rPr>
                                      <w:rFonts w:eastAsia="仿宋_GB2312"/>
                                      <w:sz w:val="18"/>
                                      <w:szCs w:val="18"/>
                                    </w:rPr>
                                  </w:pPr>
                                  <w:r>
                                    <w:rPr>
                                      <w:rFonts w:hint="eastAsia" w:eastAsia="仿宋_GB2312"/>
                                      <w:sz w:val="18"/>
                                      <w:szCs w:val="18"/>
                                    </w:rPr>
                                    <w:t>电流（</w:t>
                                  </w:r>
                                  <w:r>
                                    <w:rPr>
                                      <w:rFonts w:eastAsia="仿宋_GB2312"/>
                                      <w:sz w:val="18"/>
                                      <w:szCs w:val="18"/>
                                    </w:rPr>
                                    <w:t>A</w:t>
                                  </w:r>
                                  <w:r>
                                    <w:rPr>
                                      <w:rFonts w:hint="eastAsia" w:eastAsia="仿宋_GB2312"/>
                                      <w:sz w:val="18"/>
                                      <w:szCs w:val="18"/>
                                    </w:rPr>
                                    <w:t>）</w:t>
                                  </w:r>
                                </w:p>
                              </w:txbxContent>
                            </wps:txbx>
                            <wps:bodyPr rot="0" vert="horz" wrap="square" lIns="91440" tIns="45720" rIns="91440" bIns="45720" anchor="t" anchorCtr="0" upright="1">
                              <a:noAutofit/>
                            </wps:bodyPr>
                          </wps:wsp>
                          <wps:wsp>
                            <wps:cNvPr id="115" name="文本框 2"/>
                            <wps:cNvSpPr txBox="1">
                              <a:spLocks noChangeAspect="1" noChangeArrowheads="1"/>
                            </wps:cNvSpPr>
                            <wps:spPr bwMode="auto">
                              <a:xfrm>
                                <a:off x="110612" y="457107"/>
                                <a:ext cx="435004" cy="207672"/>
                              </a:xfrm>
                              <a:prstGeom prst="rect">
                                <a:avLst/>
                              </a:prstGeom>
                              <a:noFill/>
                              <a:ln>
                                <a:noFill/>
                              </a:ln>
                              <a:effectLst/>
                            </wps:spPr>
                            <wps:txbx>
                              <w:txbxContent>
                                <w:p w14:paraId="38E8EF4C">
                                  <w:pPr>
                                    <w:spacing w:line="360" w:lineRule="auto"/>
                                    <w:rPr>
                                      <w:rFonts w:eastAsia="仿宋_GB2312"/>
                                      <w:sz w:val="15"/>
                                      <w:szCs w:val="15"/>
                                    </w:rPr>
                                  </w:pPr>
                                  <w:r>
                                    <w:rPr>
                                      <w:rFonts w:eastAsia="仿宋_GB2312"/>
                                      <w:sz w:val="15"/>
                                      <w:szCs w:val="15"/>
                                    </w:rPr>
                                    <w:t>1</w:t>
                                  </w:r>
                                </w:p>
                              </w:txbxContent>
                            </wps:txbx>
                            <wps:bodyPr rot="0" vert="horz" wrap="square" lIns="91440" tIns="45720" rIns="91440" bIns="45720" anchor="t" anchorCtr="0" upright="1">
                              <a:noAutofit/>
                            </wps:bodyPr>
                          </wps:wsp>
                          <wps:wsp>
                            <wps:cNvPr id="116" name="文本框 2"/>
                            <wps:cNvSpPr txBox="1">
                              <a:spLocks noChangeAspect="1" noChangeArrowheads="1"/>
                            </wps:cNvSpPr>
                            <wps:spPr bwMode="auto">
                              <a:xfrm>
                                <a:off x="51615" y="1098594"/>
                                <a:ext cx="435004" cy="207672"/>
                              </a:xfrm>
                              <a:prstGeom prst="rect">
                                <a:avLst/>
                              </a:prstGeom>
                              <a:noFill/>
                              <a:ln>
                                <a:noFill/>
                              </a:ln>
                              <a:effectLst/>
                            </wps:spPr>
                            <wps:txbx>
                              <w:txbxContent>
                                <w:p w14:paraId="2B930FFC">
                                  <w:pPr>
                                    <w:spacing w:line="360" w:lineRule="auto"/>
                                    <w:rPr>
                                      <w:rFonts w:eastAsia="仿宋_GB2312"/>
                                      <w:sz w:val="15"/>
                                      <w:szCs w:val="15"/>
                                    </w:rPr>
                                  </w:pPr>
                                  <w:r>
                                    <w:rPr>
                                      <w:rFonts w:eastAsia="仿宋_GB2312"/>
                                      <w:sz w:val="15"/>
                                      <w:szCs w:val="15"/>
                                    </w:rPr>
                                    <w:t>-1</w:t>
                                  </w:r>
                                </w:p>
                              </w:txbxContent>
                            </wps:txbx>
                            <wps:bodyPr rot="0" vert="horz" wrap="square" lIns="91440" tIns="45720" rIns="91440" bIns="45720" anchor="t" anchorCtr="0" upright="1">
                              <a:noAutofit/>
                            </wps:bodyPr>
                          </wps:wsp>
                          <wps:wsp>
                            <wps:cNvPr id="117" name="文本框 2"/>
                            <wps:cNvSpPr txBox="1">
                              <a:spLocks noChangeAspect="1" noChangeArrowheads="1"/>
                            </wps:cNvSpPr>
                            <wps:spPr bwMode="auto">
                              <a:xfrm>
                                <a:off x="2109019" y="789050"/>
                                <a:ext cx="435004" cy="230674"/>
                              </a:xfrm>
                              <a:prstGeom prst="rect">
                                <a:avLst/>
                              </a:prstGeom>
                              <a:noFill/>
                              <a:ln>
                                <a:noFill/>
                              </a:ln>
                              <a:effectLst/>
                            </wps:spPr>
                            <wps:txbx>
                              <w:txbxContent>
                                <w:p w14:paraId="27BEAD38">
                                  <w:pPr>
                                    <w:spacing w:line="360" w:lineRule="auto"/>
                                    <w:rPr>
                                      <w:rFonts w:eastAsia="仿宋_GB2312"/>
                                      <w:sz w:val="18"/>
                                      <w:szCs w:val="18"/>
                                    </w:rPr>
                                  </w:pPr>
                                  <w:r>
                                    <w:rPr>
                                      <w:rFonts w:eastAsia="仿宋_GB2312"/>
                                      <w:sz w:val="18"/>
                                      <w:szCs w:val="18"/>
                                    </w:rPr>
                                    <w:t>t</w:t>
                                  </w:r>
                                </w:p>
                              </w:txbxContent>
                            </wps:txbx>
                            <wps:bodyPr rot="0" vert="horz" wrap="square" lIns="91440" tIns="45720" rIns="91440" bIns="45720" anchor="t" anchorCtr="0" upright="1">
                              <a:noAutofit/>
                            </wps:bodyPr>
                          </wps:wsp>
                          <wps:wsp>
                            <wps:cNvPr id="118" name="直接连接符 189"/>
                            <wps:cNvCnPr>
                              <a:cxnSpLocks noChangeAspect="1" noChangeShapeType="1"/>
                            </wps:cNvCnPr>
                            <wps:spPr bwMode="auto">
                              <a:xfrm flipH="1">
                                <a:off x="936522" y="1283121"/>
                                <a:ext cx="205" cy="257360"/>
                              </a:xfrm>
                              <a:prstGeom prst="line">
                                <a:avLst/>
                              </a:prstGeom>
                              <a:noFill/>
                              <a:ln w="6350" cmpd="sng">
                                <a:solidFill>
                                  <a:srgbClr val="404040"/>
                                </a:solidFill>
                                <a:round/>
                              </a:ln>
                              <a:effectLst/>
                            </wps:spPr>
                            <wps:bodyPr/>
                          </wps:wsp>
                          <wps:wsp>
                            <wps:cNvPr id="119" name="直接连接符 190"/>
                            <wps:cNvCnPr>
                              <a:cxnSpLocks noChangeAspect="1" noChangeShapeType="1"/>
                            </wps:cNvCnPr>
                            <wps:spPr bwMode="auto">
                              <a:xfrm>
                                <a:off x="294967" y="1415856"/>
                                <a:ext cx="648929" cy="0"/>
                              </a:xfrm>
                              <a:prstGeom prst="line">
                                <a:avLst/>
                              </a:prstGeom>
                              <a:noFill/>
                              <a:ln w="6350" cmpd="sng">
                                <a:solidFill>
                                  <a:srgbClr val="404040"/>
                                </a:solidFill>
                                <a:round/>
                              </a:ln>
                              <a:effectLst/>
                            </wps:spPr>
                            <wps:bodyPr/>
                          </wps:wsp>
                          <wps:wsp>
                            <wps:cNvPr id="120" name="文本框 2"/>
                            <wps:cNvSpPr txBox="1">
                              <a:spLocks noChangeAspect="1" noChangeArrowheads="1"/>
                            </wps:cNvSpPr>
                            <wps:spPr bwMode="auto">
                              <a:xfrm>
                                <a:off x="449825" y="1268372"/>
                                <a:ext cx="368709" cy="276328"/>
                              </a:xfrm>
                              <a:prstGeom prst="rect">
                                <a:avLst/>
                              </a:prstGeom>
                              <a:solidFill>
                                <a:srgbClr val="FFFFFF"/>
                              </a:solidFill>
                              <a:ln>
                                <a:noFill/>
                              </a:ln>
                              <a:effectLst/>
                            </wps:spPr>
                            <wps:txbx>
                              <w:txbxContent>
                                <w:p w14:paraId="4654C51D">
                                  <w:pPr>
                                    <w:spacing w:line="360" w:lineRule="auto"/>
                                    <w:rPr>
                                      <w:rFonts w:eastAsia="仿宋_GB2312"/>
                                      <w:sz w:val="15"/>
                                      <w:szCs w:val="15"/>
                                    </w:rPr>
                                  </w:pPr>
                                  <w:r>
                                    <w:rPr>
                                      <w:rFonts w:eastAsia="仿宋_GB2312"/>
                                      <w:sz w:val="15"/>
                                      <w:szCs w:val="15"/>
                                    </w:rPr>
                                    <w:t>1/f</w:t>
                                  </w:r>
                                  <w:r>
                                    <w:rPr>
                                      <w:rFonts w:eastAsia="仿宋_GB2312"/>
                                      <w:sz w:val="15"/>
                                      <w:szCs w:val="15"/>
                                      <w:vertAlign w:val="subscript"/>
                                    </w:rPr>
                                    <w:t>0</w:t>
                                  </w:r>
                                </w:p>
                              </w:txbxContent>
                            </wps:txbx>
                            <wps:bodyPr rot="0" vert="horz" wrap="square" lIns="91440" tIns="45720" rIns="91440" bIns="45720" anchor="t" anchorCtr="0" upright="1">
                              <a:noAutofit/>
                            </wps:bodyPr>
                          </wps:wsp>
                        </wpg:grpSp>
                        <wpg:grpSp>
                          <wpg:cNvPr id="18" name="组合 153"/>
                          <wpg:cNvGrpSpPr>
                            <a:grpSpLocks noChangeAspect="1"/>
                          </wpg:cNvGrpSpPr>
                          <wpg:grpSpPr>
                            <a:xfrm>
                              <a:off x="2492479" y="14770"/>
                              <a:ext cx="2646798" cy="1608758"/>
                              <a:chOff x="0" y="0"/>
                              <a:chExt cx="2646798" cy="1608759"/>
                            </a:xfrm>
                          </wpg:grpSpPr>
                          <wpg:grpSp>
                            <wpg:cNvPr id="19" name="组合 154"/>
                            <wpg:cNvGrpSpPr>
                              <a:grpSpLocks noChangeAspect="1"/>
                            </wpg:cNvGrpSpPr>
                            <wpg:grpSpPr>
                              <a:xfrm>
                                <a:off x="191727" y="206390"/>
                                <a:ext cx="2072005" cy="1311615"/>
                                <a:chOff x="0" y="0"/>
                                <a:chExt cx="2072005" cy="1311615"/>
                              </a:xfrm>
                            </wpg:grpSpPr>
                            <wps:wsp>
                              <wps:cNvPr id="123" name="直接箭头连接符 170"/>
                              <wps:cNvCnPr>
                                <a:cxnSpLocks noChangeAspect="1" noChangeShapeType="1"/>
                              </wps:cNvCnPr>
                              <wps:spPr bwMode="auto">
                                <a:xfrm flipV="1">
                                  <a:off x="907025" y="1010341"/>
                                  <a:ext cx="0" cy="205105"/>
                                </a:xfrm>
                                <a:prstGeom prst="straightConnector1">
                                  <a:avLst/>
                                </a:prstGeom>
                                <a:noFill/>
                                <a:ln w="12700" cmpd="sng">
                                  <a:solidFill>
                                    <a:srgbClr val="FF0000"/>
                                  </a:solidFill>
                                  <a:round/>
                                  <a:tailEnd type="triangle" w="med" len="med"/>
                                </a:ln>
                                <a:effectLst/>
                              </wps:spPr>
                              <wps:bodyPr/>
                            </wps:wsp>
                            <wps:wsp>
                              <wps:cNvPr id="124" name="直接箭头连接符 171"/>
                              <wps:cNvCnPr>
                                <a:cxnSpLocks noChangeAspect="1" noChangeShapeType="1"/>
                              </wps:cNvCnPr>
                              <wps:spPr bwMode="auto">
                                <a:xfrm flipV="1">
                                  <a:off x="1165122" y="1069335"/>
                                  <a:ext cx="0" cy="143510"/>
                                </a:xfrm>
                                <a:prstGeom prst="straightConnector1">
                                  <a:avLst/>
                                </a:prstGeom>
                                <a:noFill/>
                                <a:ln w="12700" cmpd="sng">
                                  <a:solidFill>
                                    <a:srgbClr val="FF0000"/>
                                  </a:solidFill>
                                  <a:round/>
                                  <a:tailEnd type="triangle" w="med" len="med"/>
                                </a:ln>
                                <a:effectLst/>
                              </wps:spPr>
                              <wps:bodyPr/>
                            </wps:wsp>
                            <wps:wsp>
                              <wps:cNvPr id="125" name="直接箭头连接符 172"/>
                              <wps:cNvCnPr>
                                <a:cxnSpLocks noChangeAspect="1" noChangeShapeType="1"/>
                              </wps:cNvCnPr>
                              <wps:spPr bwMode="auto">
                                <a:xfrm flipV="1">
                                  <a:off x="1445342" y="1098831"/>
                                  <a:ext cx="0" cy="114935"/>
                                </a:xfrm>
                                <a:prstGeom prst="straightConnector1">
                                  <a:avLst/>
                                </a:prstGeom>
                                <a:noFill/>
                                <a:ln w="12700" cmpd="sng">
                                  <a:solidFill>
                                    <a:srgbClr val="FF0000"/>
                                  </a:solidFill>
                                  <a:round/>
                                  <a:tailEnd type="triangle" w="med" len="med"/>
                                </a:ln>
                                <a:effectLst/>
                              </wps:spPr>
                              <wps:bodyPr/>
                            </wps:wsp>
                            <wps:wsp>
                              <wps:cNvPr id="126" name="直接箭头连接符 173"/>
                              <wps:cNvCnPr>
                                <a:cxnSpLocks noChangeAspect="1" noChangeShapeType="1"/>
                              </wps:cNvCnPr>
                              <wps:spPr bwMode="auto">
                                <a:xfrm flipV="1">
                                  <a:off x="1703438" y="1113580"/>
                                  <a:ext cx="0" cy="93345"/>
                                </a:xfrm>
                                <a:prstGeom prst="straightConnector1">
                                  <a:avLst/>
                                </a:prstGeom>
                                <a:noFill/>
                                <a:ln w="12700" cmpd="sng">
                                  <a:solidFill>
                                    <a:srgbClr val="FF0000"/>
                                  </a:solidFill>
                                  <a:round/>
                                  <a:tailEnd type="triangle" w="med" len="med"/>
                                </a:ln>
                                <a:effectLst/>
                              </wps:spPr>
                              <wps:bodyPr/>
                            </wps:wsp>
                            <wps:wsp>
                              <wps:cNvPr id="127" name="直接箭头连接符 174"/>
                              <wps:cNvCnPr>
                                <a:cxnSpLocks noChangeAspect="1" noChangeShapeType="1"/>
                              </wps:cNvCnPr>
                              <wps:spPr bwMode="auto">
                                <a:xfrm flipV="1">
                                  <a:off x="103238" y="0"/>
                                  <a:ext cx="0" cy="1311615"/>
                                </a:xfrm>
                                <a:prstGeom prst="straightConnector1">
                                  <a:avLst/>
                                </a:prstGeom>
                                <a:noFill/>
                                <a:ln w="12700" cmpd="sng">
                                  <a:solidFill>
                                    <a:srgbClr val="404040"/>
                                  </a:solidFill>
                                  <a:round/>
                                  <a:tailEnd type="triangle" w="med" len="med"/>
                                </a:ln>
                                <a:effectLst/>
                              </wps:spPr>
                              <wps:bodyPr/>
                            </wps:wsp>
                            <wps:wsp>
                              <wps:cNvPr id="1081753408" name="直接箭头连接符 175"/>
                              <wps:cNvCnPr>
                                <a:cxnSpLocks noChangeAspect="1" noChangeShapeType="1"/>
                              </wps:cNvCnPr>
                              <wps:spPr bwMode="auto">
                                <a:xfrm>
                                  <a:off x="0" y="1209444"/>
                                  <a:ext cx="2072005" cy="0"/>
                                </a:xfrm>
                                <a:prstGeom prst="straightConnector1">
                                  <a:avLst/>
                                </a:prstGeom>
                                <a:noFill/>
                                <a:ln w="12700" cmpd="sng">
                                  <a:solidFill>
                                    <a:srgbClr val="404040"/>
                                  </a:solidFill>
                                  <a:round/>
                                  <a:tailEnd type="triangle" w="med" len="med"/>
                                </a:ln>
                                <a:effectLst/>
                              </wps:spPr>
                              <wps:bodyPr/>
                            </wps:wsp>
                            <wps:wsp>
                              <wps:cNvPr id="1081753409" name="直接箭头连接符 176"/>
                              <wps:cNvCnPr>
                                <a:cxnSpLocks noChangeAspect="1" noChangeShapeType="1"/>
                              </wps:cNvCnPr>
                              <wps:spPr bwMode="auto">
                                <a:xfrm flipV="1">
                                  <a:off x="361335" y="191806"/>
                                  <a:ext cx="0" cy="1031999"/>
                                </a:xfrm>
                                <a:prstGeom prst="straightConnector1">
                                  <a:avLst/>
                                </a:prstGeom>
                                <a:noFill/>
                                <a:ln w="12700" cmpd="sng">
                                  <a:solidFill>
                                    <a:srgbClr val="FF0000"/>
                                  </a:solidFill>
                                  <a:round/>
                                  <a:tailEnd type="triangle" w="med" len="med"/>
                                </a:ln>
                                <a:effectLst/>
                              </wps:spPr>
                              <wps:bodyPr/>
                            </wps:wsp>
                            <wps:wsp>
                              <wps:cNvPr id="1081753411" name="直接箭头连接符 177"/>
                              <wps:cNvCnPr>
                                <a:cxnSpLocks noChangeAspect="1" noChangeShapeType="1"/>
                              </wps:cNvCnPr>
                              <wps:spPr bwMode="auto">
                                <a:xfrm flipV="1">
                                  <a:off x="626806" y="862857"/>
                                  <a:ext cx="0" cy="341630"/>
                                </a:xfrm>
                                <a:prstGeom prst="straightConnector1">
                                  <a:avLst/>
                                </a:prstGeom>
                                <a:noFill/>
                                <a:ln w="12700" cmpd="sng">
                                  <a:solidFill>
                                    <a:srgbClr val="FF0000"/>
                                  </a:solidFill>
                                  <a:round/>
                                  <a:tailEnd type="triangle" w="med" len="med"/>
                                </a:ln>
                                <a:effectLst/>
                              </wps:spPr>
                              <wps:bodyPr/>
                            </wps:wsp>
                          </wpg:grpSp>
                          <wpg:grpSp>
                            <wpg:cNvPr id="20" name="组合 155"/>
                            <wpg:cNvGrpSpPr>
                              <a:grpSpLocks noChangeAspect="1"/>
                            </wpg:cNvGrpSpPr>
                            <wpg:grpSpPr>
                              <a:xfrm>
                                <a:off x="0" y="0"/>
                                <a:ext cx="2646798" cy="1608759"/>
                                <a:chOff x="0" y="0"/>
                                <a:chExt cx="2647353" cy="1609238"/>
                              </a:xfrm>
                            </wpg:grpSpPr>
                            <wps:wsp>
                              <wps:cNvPr id="1081753413" name="文本框 2"/>
                              <wps:cNvSpPr txBox="1">
                                <a:spLocks noChangeAspect="1" noChangeArrowheads="1"/>
                              </wps:cNvSpPr>
                              <wps:spPr bwMode="auto">
                                <a:xfrm>
                                  <a:off x="0" y="0"/>
                                  <a:ext cx="788250" cy="247860"/>
                                </a:xfrm>
                                <a:prstGeom prst="rect">
                                  <a:avLst/>
                                </a:prstGeom>
                                <a:noFill/>
                                <a:ln>
                                  <a:noFill/>
                                </a:ln>
                                <a:effectLst/>
                              </wps:spPr>
                              <wps:txbx>
                                <w:txbxContent>
                                  <w:p w14:paraId="5228805C">
                                    <w:pPr>
                                      <w:spacing w:line="360" w:lineRule="auto"/>
                                      <w:rPr>
                                        <w:rFonts w:eastAsia="仿宋_GB2312"/>
                                        <w:sz w:val="18"/>
                                        <w:szCs w:val="18"/>
                                      </w:rPr>
                                    </w:pPr>
                                    <w:r>
                                      <w:rPr>
                                        <w:rFonts w:hint="eastAsia" w:eastAsia="仿宋_GB2312"/>
                                        <w:sz w:val="18"/>
                                        <w:szCs w:val="18"/>
                                      </w:rPr>
                                      <w:t>电流（</w:t>
                                    </w:r>
                                    <w:r>
                                      <w:rPr>
                                        <w:rFonts w:eastAsia="仿宋_GB2312"/>
                                        <w:sz w:val="18"/>
                                        <w:szCs w:val="18"/>
                                      </w:rPr>
                                      <w:t>A</w:t>
                                    </w:r>
                                    <w:r>
                                      <w:rPr>
                                        <w:rFonts w:hint="eastAsia" w:eastAsia="仿宋_GB2312"/>
                                        <w:sz w:val="18"/>
                                        <w:szCs w:val="18"/>
                                      </w:rPr>
                                      <w:t>）</w:t>
                                    </w:r>
                                  </w:p>
                                </w:txbxContent>
                              </wps:txbx>
                              <wps:bodyPr rot="0" vert="horz" wrap="square" lIns="91440" tIns="45720" rIns="91440" bIns="45720" anchor="t" anchorCtr="0" upright="1">
                                <a:noAutofit/>
                              </wps:bodyPr>
                            </wps:wsp>
                            <wps:wsp>
                              <wps:cNvPr id="1081753414" name="文本框 2"/>
                              <wps:cNvSpPr txBox="1">
                                <a:spLocks noChangeAspect="1" noChangeArrowheads="1"/>
                              </wps:cNvSpPr>
                              <wps:spPr bwMode="auto">
                                <a:xfrm>
                                  <a:off x="439910" y="211884"/>
                                  <a:ext cx="435095" cy="207734"/>
                                </a:xfrm>
                                <a:prstGeom prst="rect">
                                  <a:avLst/>
                                </a:prstGeom>
                                <a:noFill/>
                                <a:ln>
                                  <a:noFill/>
                                </a:ln>
                                <a:effectLst/>
                              </wps:spPr>
                              <wps:txbx>
                                <w:txbxContent>
                                  <w:p w14:paraId="659B44B7">
                                    <w:pPr>
                                      <w:spacing w:line="360" w:lineRule="auto"/>
                                      <w:rPr>
                                        <w:rFonts w:eastAsia="仿宋_GB2312"/>
                                        <w:sz w:val="15"/>
                                        <w:szCs w:val="15"/>
                                      </w:rPr>
                                    </w:pPr>
                                    <w:r>
                                      <w:rPr>
                                        <w:rFonts w:eastAsia="仿宋_GB2312"/>
                                        <w:sz w:val="15"/>
                                        <w:szCs w:val="15"/>
                                      </w:rPr>
                                      <w:t>1</w:t>
                                    </w:r>
                                  </w:p>
                                </w:txbxContent>
                              </wps:txbx>
                              <wps:bodyPr rot="0" vert="horz" wrap="square" lIns="91440" tIns="45720" rIns="91440" bIns="45720" anchor="t" anchorCtr="0" upright="1">
                                <a:noAutofit/>
                              </wps:bodyPr>
                            </wps:wsp>
                            <wps:wsp>
                              <wps:cNvPr id="1081753415" name="文本框 2"/>
                              <wps:cNvSpPr txBox="1">
                                <a:spLocks noChangeAspect="1" noChangeArrowheads="1"/>
                              </wps:cNvSpPr>
                              <wps:spPr bwMode="auto">
                                <a:xfrm>
                                  <a:off x="671052" y="919161"/>
                                  <a:ext cx="435095" cy="347543"/>
                                </a:xfrm>
                                <a:prstGeom prst="rect">
                                  <a:avLst/>
                                </a:prstGeom>
                                <a:noFill/>
                                <a:ln>
                                  <a:noFill/>
                                </a:ln>
                                <a:effectLst/>
                              </wps:spPr>
                              <wps:txbx>
                                <w:txbxContent>
                                  <w:p w14:paraId="20A52F6C">
                                    <w:pPr>
                                      <w:spacing w:line="360" w:lineRule="auto"/>
                                      <w:rPr>
                                        <w:rFonts w:eastAsia="仿宋_GB2312"/>
                                        <w:sz w:val="15"/>
                                        <w:szCs w:val="15"/>
                                      </w:rPr>
                                    </w:pPr>
                                    <w:r>
                                      <w:rPr>
                                        <w:rFonts w:eastAsia="仿宋_GB2312"/>
                                        <w:sz w:val="15"/>
                                        <w:szCs w:val="15"/>
                                      </w:rPr>
                                      <w:t>1/3</w:t>
                                    </w:r>
                                  </w:p>
                                </w:txbxContent>
                              </wps:txbx>
                              <wps:bodyPr rot="0" vert="horz" wrap="square" lIns="91440" tIns="45720" rIns="91440" bIns="45720" anchor="t" anchorCtr="0" upright="1">
                                <a:noAutofit/>
                              </wps:bodyPr>
                            </wps:wsp>
                            <wps:wsp>
                              <wps:cNvPr id="1081753416" name="文本框 2"/>
                              <wps:cNvSpPr txBox="1">
                                <a:spLocks noChangeAspect="1" noChangeArrowheads="1"/>
                              </wps:cNvSpPr>
                              <wps:spPr bwMode="auto">
                                <a:xfrm>
                                  <a:off x="958645" y="988105"/>
                                  <a:ext cx="435095" cy="207734"/>
                                </a:xfrm>
                                <a:prstGeom prst="rect">
                                  <a:avLst/>
                                </a:prstGeom>
                                <a:noFill/>
                                <a:ln>
                                  <a:noFill/>
                                </a:ln>
                                <a:effectLst/>
                              </wps:spPr>
                              <wps:txbx>
                                <w:txbxContent>
                                  <w:p w14:paraId="74336C68">
                                    <w:pPr>
                                      <w:spacing w:line="360" w:lineRule="auto"/>
                                      <w:rPr>
                                        <w:rFonts w:eastAsia="仿宋_GB2312"/>
                                        <w:sz w:val="15"/>
                                        <w:szCs w:val="15"/>
                                      </w:rPr>
                                    </w:pPr>
                                    <w:r>
                                      <w:rPr>
                                        <w:rFonts w:eastAsia="仿宋_GB2312"/>
                                        <w:sz w:val="15"/>
                                        <w:szCs w:val="15"/>
                                      </w:rPr>
                                      <w:t>1/5</w:t>
                                    </w:r>
                                  </w:p>
                                </w:txbxContent>
                              </wps:txbx>
                              <wps:bodyPr rot="0" vert="horz" wrap="square" lIns="91440" tIns="45720" rIns="91440" bIns="45720" anchor="t" anchorCtr="0" upright="1">
                                <a:noAutofit/>
                              </wps:bodyPr>
                            </wps:wsp>
                            <wps:wsp>
                              <wps:cNvPr id="1081753417" name="文本框 2"/>
                              <wps:cNvSpPr txBox="1">
                                <a:spLocks noChangeAspect="1" noChangeArrowheads="1"/>
                              </wps:cNvSpPr>
                              <wps:spPr bwMode="auto">
                                <a:xfrm>
                                  <a:off x="1209368" y="1061847"/>
                                  <a:ext cx="435095" cy="207734"/>
                                </a:xfrm>
                                <a:prstGeom prst="rect">
                                  <a:avLst/>
                                </a:prstGeom>
                                <a:noFill/>
                                <a:ln>
                                  <a:noFill/>
                                </a:ln>
                                <a:effectLst/>
                              </wps:spPr>
                              <wps:txbx>
                                <w:txbxContent>
                                  <w:p w14:paraId="790FF9A1">
                                    <w:pPr>
                                      <w:spacing w:line="360" w:lineRule="auto"/>
                                      <w:rPr>
                                        <w:rFonts w:eastAsia="仿宋_GB2312"/>
                                        <w:sz w:val="15"/>
                                        <w:szCs w:val="15"/>
                                      </w:rPr>
                                    </w:pPr>
                                    <w:r>
                                      <w:rPr>
                                        <w:rFonts w:eastAsia="仿宋_GB2312"/>
                                        <w:sz w:val="15"/>
                                        <w:szCs w:val="15"/>
                                      </w:rPr>
                                      <w:t>1/7</w:t>
                                    </w:r>
                                  </w:p>
                                </w:txbxContent>
                              </wps:txbx>
                              <wps:bodyPr rot="0" vert="horz" wrap="square" lIns="91440" tIns="45720" rIns="91440" bIns="45720" anchor="t" anchorCtr="0" upright="1">
                                <a:noAutofit/>
                              </wps:bodyPr>
                            </wps:wsp>
                            <wps:wsp>
                              <wps:cNvPr id="1081753418" name="文本框 2"/>
                              <wps:cNvSpPr txBox="1">
                                <a:spLocks noChangeAspect="1" noChangeArrowheads="1"/>
                              </wps:cNvSpPr>
                              <wps:spPr bwMode="auto">
                                <a:xfrm>
                                  <a:off x="1482213" y="1106092"/>
                                  <a:ext cx="435095" cy="207734"/>
                                </a:xfrm>
                                <a:prstGeom prst="rect">
                                  <a:avLst/>
                                </a:prstGeom>
                                <a:noFill/>
                                <a:ln>
                                  <a:noFill/>
                                </a:ln>
                                <a:effectLst/>
                              </wps:spPr>
                              <wps:txbx>
                                <w:txbxContent>
                                  <w:p w14:paraId="36DB7DC7">
                                    <w:pPr>
                                      <w:spacing w:line="360" w:lineRule="auto"/>
                                      <w:rPr>
                                        <w:rFonts w:eastAsia="仿宋_GB2312"/>
                                        <w:sz w:val="15"/>
                                        <w:szCs w:val="15"/>
                                      </w:rPr>
                                    </w:pPr>
                                    <w:r>
                                      <w:rPr>
                                        <w:rFonts w:eastAsia="仿宋_GB2312"/>
                                        <w:sz w:val="15"/>
                                        <w:szCs w:val="15"/>
                                      </w:rPr>
                                      <w:t>1/9</w:t>
                                    </w:r>
                                  </w:p>
                                </w:txbxContent>
                              </wps:txbx>
                              <wps:bodyPr rot="0" vert="horz" wrap="square" lIns="91440" tIns="45720" rIns="91440" bIns="45720" anchor="t" anchorCtr="0" upright="1">
                                <a:noAutofit/>
                              </wps:bodyPr>
                            </wps:wsp>
                            <wps:wsp>
                              <wps:cNvPr id="1081753419" name="文本框 2"/>
                              <wps:cNvSpPr txBox="1">
                                <a:spLocks noChangeAspect="1" noChangeArrowheads="1"/>
                              </wps:cNvSpPr>
                              <wps:spPr bwMode="auto">
                                <a:xfrm>
                                  <a:off x="1725561" y="1135589"/>
                                  <a:ext cx="435095" cy="207734"/>
                                </a:xfrm>
                                <a:prstGeom prst="rect">
                                  <a:avLst/>
                                </a:prstGeom>
                                <a:noFill/>
                                <a:ln>
                                  <a:noFill/>
                                </a:ln>
                                <a:effectLst/>
                              </wps:spPr>
                              <wps:txbx>
                                <w:txbxContent>
                                  <w:p w14:paraId="7465B796">
                                    <w:pPr>
                                      <w:spacing w:line="360" w:lineRule="auto"/>
                                      <w:rPr>
                                        <w:rFonts w:eastAsia="仿宋_GB2312"/>
                                        <w:sz w:val="15"/>
                                        <w:szCs w:val="15"/>
                                      </w:rPr>
                                    </w:pPr>
                                    <w:r>
                                      <w:rPr>
                                        <w:rFonts w:eastAsia="仿宋_GB2312"/>
                                        <w:sz w:val="15"/>
                                        <w:szCs w:val="15"/>
                                      </w:rPr>
                                      <w:t>1/11</w:t>
                                    </w:r>
                                  </w:p>
                                </w:txbxContent>
                              </wps:txbx>
                              <wps:bodyPr rot="0" vert="horz" wrap="square" lIns="91440" tIns="45720" rIns="91440" bIns="45720" anchor="t" anchorCtr="0" upright="1">
                                <a:noAutofit/>
                              </wps:bodyPr>
                            </wps:wsp>
                            <wps:wsp>
                              <wps:cNvPr id="1081753420" name="文本框 2"/>
                              <wps:cNvSpPr txBox="1">
                                <a:spLocks noChangeAspect="1" noChangeArrowheads="1"/>
                              </wps:cNvSpPr>
                              <wps:spPr bwMode="auto">
                                <a:xfrm>
                                  <a:off x="2212258" y="1253576"/>
                                  <a:ext cx="435095" cy="230742"/>
                                </a:xfrm>
                                <a:prstGeom prst="rect">
                                  <a:avLst/>
                                </a:prstGeom>
                                <a:noFill/>
                                <a:ln>
                                  <a:noFill/>
                                </a:ln>
                                <a:effectLst/>
                              </wps:spPr>
                              <wps:txbx>
                                <w:txbxContent>
                                  <w:p w14:paraId="1598486B">
                                    <w:pPr>
                                      <w:spacing w:line="360" w:lineRule="auto"/>
                                      <w:rPr>
                                        <w:rFonts w:eastAsia="仿宋_GB2312"/>
                                        <w:sz w:val="18"/>
                                        <w:szCs w:val="18"/>
                                      </w:rPr>
                                    </w:pPr>
                                    <w:r>
                                      <w:rPr>
                                        <w:rFonts w:eastAsia="仿宋_GB2312"/>
                                        <w:sz w:val="18"/>
                                        <w:szCs w:val="18"/>
                                      </w:rPr>
                                      <w:t>f</w:t>
                                    </w:r>
                                  </w:p>
                                </w:txbxContent>
                              </wps:txbx>
                              <wps:bodyPr rot="0" vert="horz" wrap="square" lIns="91440" tIns="45720" rIns="91440" bIns="45720" anchor="t" anchorCtr="0" upright="1">
                                <a:noAutofit/>
                              </wps:bodyPr>
                            </wps:wsp>
                            <wps:wsp>
                              <wps:cNvPr id="1081753421" name="文本框 2"/>
                              <wps:cNvSpPr txBox="1">
                                <a:spLocks noChangeAspect="1" noChangeArrowheads="1"/>
                              </wps:cNvSpPr>
                              <wps:spPr bwMode="auto">
                                <a:xfrm>
                                  <a:off x="439910" y="1401504"/>
                                  <a:ext cx="1984287" cy="207734"/>
                                </a:xfrm>
                                <a:prstGeom prst="rect">
                                  <a:avLst/>
                                </a:prstGeom>
                                <a:noFill/>
                                <a:ln>
                                  <a:noFill/>
                                </a:ln>
                                <a:effectLst/>
                              </wps:spPr>
                              <wps:txbx>
                                <w:txbxContent>
                                  <w:p w14:paraId="2E36DA69">
                                    <w:pPr>
                                      <w:spacing w:line="360" w:lineRule="auto"/>
                                      <w:rPr>
                                        <w:rFonts w:eastAsia="仿宋_GB2312"/>
                                        <w:sz w:val="15"/>
                                        <w:szCs w:val="15"/>
                                      </w:rPr>
                                    </w:pPr>
                                    <w:r>
                                      <w:rPr>
                                        <w:rFonts w:eastAsia="仿宋_GB2312"/>
                                        <w:sz w:val="15"/>
                                        <w:szCs w:val="15"/>
                                      </w:rPr>
                                      <w:t>f</w:t>
                                    </w:r>
                                    <w:r>
                                      <w:rPr>
                                        <w:rFonts w:eastAsia="仿宋_GB2312"/>
                                        <w:sz w:val="15"/>
                                        <w:szCs w:val="15"/>
                                        <w:vertAlign w:val="subscript"/>
                                      </w:rPr>
                                      <w:t>0</w:t>
                                    </w:r>
                                    <w:r>
                                      <w:rPr>
                                        <w:rFonts w:eastAsia="仿宋_GB2312"/>
                                        <w:sz w:val="15"/>
                                        <w:szCs w:val="15"/>
                                      </w:rPr>
                                      <w:t xml:space="preserve">    3f</w:t>
                                    </w:r>
                                    <w:r>
                                      <w:rPr>
                                        <w:rFonts w:eastAsia="仿宋_GB2312"/>
                                        <w:sz w:val="15"/>
                                        <w:szCs w:val="15"/>
                                        <w:vertAlign w:val="subscript"/>
                                      </w:rPr>
                                      <w:t>0</w:t>
                                    </w:r>
                                    <w:r>
                                      <w:rPr>
                                        <w:rFonts w:eastAsia="仿宋_GB2312"/>
                                        <w:sz w:val="15"/>
                                        <w:szCs w:val="15"/>
                                      </w:rPr>
                                      <w:t xml:space="preserve">   5f</w:t>
                                    </w:r>
                                    <w:r>
                                      <w:rPr>
                                        <w:rFonts w:eastAsia="仿宋_GB2312"/>
                                        <w:sz w:val="15"/>
                                        <w:szCs w:val="15"/>
                                        <w:vertAlign w:val="subscript"/>
                                      </w:rPr>
                                      <w:t>0</w:t>
                                    </w:r>
                                    <w:r>
                                      <w:rPr>
                                        <w:rFonts w:eastAsia="仿宋_GB2312"/>
                                        <w:sz w:val="15"/>
                                        <w:szCs w:val="15"/>
                                      </w:rPr>
                                      <w:t xml:space="preserve">    7f</w:t>
                                    </w:r>
                                    <w:r>
                                      <w:rPr>
                                        <w:rFonts w:eastAsia="仿宋_GB2312"/>
                                        <w:sz w:val="15"/>
                                        <w:szCs w:val="15"/>
                                        <w:vertAlign w:val="subscript"/>
                                      </w:rPr>
                                      <w:t xml:space="preserve">0   </w:t>
                                    </w:r>
                                    <w:r>
                                      <w:rPr>
                                        <w:rFonts w:eastAsia="仿宋_GB2312"/>
                                        <w:sz w:val="15"/>
                                        <w:szCs w:val="15"/>
                                      </w:rPr>
                                      <w:t xml:space="preserve"> 9f</w:t>
                                    </w:r>
                                    <w:r>
                                      <w:rPr>
                                        <w:rFonts w:eastAsia="仿宋_GB2312"/>
                                        <w:sz w:val="15"/>
                                        <w:szCs w:val="15"/>
                                        <w:vertAlign w:val="subscript"/>
                                      </w:rPr>
                                      <w:t>0</w:t>
                                    </w:r>
                                    <w:r>
                                      <w:rPr>
                                        <w:rFonts w:eastAsia="仿宋_GB2312"/>
                                        <w:sz w:val="15"/>
                                        <w:szCs w:val="15"/>
                                      </w:rPr>
                                      <w:t xml:space="preserve">   11f</w:t>
                                    </w:r>
                                    <w:r>
                                      <w:rPr>
                                        <w:rFonts w:eastAsia="仿宋_GB2312"/>
                                        <w:sz w:val="15"/>
                                        <w:szCs w:val="15"/>
                                        <w:vertAlign w:val="subscript"/>
                                      </w:rPr>
                                      <w:t>0</w:t>
                                    </w:r>
                                  </w:p>
                                </w:txbxContent>
                              </wps:txbx>
                              <wps:bodyPr rot="0" vert="horz" wrap="square" lIns="91440" tIns="45720" rIns="91440" bIns="45720" anchor="t" anchorCtr="0" upright="1">
                                <a:noAutofit/>
                              </wps:bodyPr>
                            </wps:wsp>
                          </wpg:grpSp>
                        </wpg:grpSp>
                      </wpg:grpSp>
                      <wps:wsp>
                        <wps:cNvPr id="1081753422" name="矩形 149"/>
                        <wps:cNvSpPr>
                          <a:spLocks noChangeAspect="1" noChangeArrowheads="1"/>
                        </wps:cNvSpPr>
                        <wps:spPr bwMode="auto">
                          <a:xfrm>
                            <a:off x="0" y="51619"/>
                            <a:ext cx="5094605" cy="1687830"/>
                          </a:xfrm>
                          <a:prstGeom prst="rect">
                            <a:avLst/>
                          </a:prstGeom>
                          <a:noFill/>
                          <a:ln w="9525" cmpd="sng">
                            <a:solidFill>
                              <a:srgbClr val="404040"/>
                            </a:solidFill>
                            <a:miter lim="800000"/>
                          </a:ln>
                          <a:effectLst/>
                        </wps:spPr>
                        <wps:bodyPr rot="0" vert="horz" wrap="square" lIns="91440" tIns="45720" rIns="91440" bIns="45720" anchor="ctr" anchorCtr="0" upright="1">
                          <a:noAutofit/>
                        </wps:bodyPr>
                      </wps:wsp>
                      <wps:wsp>
                        <wps:cNvPr id="1081753423" name="文本框 2"/>
                        <wps:cNvSpPr txBox="1">
                          <a:spLocks noChangeAspect="1" noChangeArrowheads="1"/>
                        </wps:cNvSpPr>
                        <wps:spPr bwMode="auto">
                          <a:xfrm>
                            <a:off x="1047114" y="1474839"/>
                            <a:ext cx="788072" cy="252997"/>
                          </a:xfrm>
                          <a:prstGeom prst="rect">
                            <a:avLst/>
                          </a:prstGeom>
                          <a:noFill/>
                          <a:ln>
                            <a:noFill/>
                          </a:ln>
                          <a:effectLst/>
                        </wps:spPr>
                        <wps:txbx>
                          <w:txbxContent>
                            <w:p w14:paraId="28FC19CD">
                              <w:pPr>
                                <w:spacing w:line="360" w:lineRule="auto"/>
                                <w:jc w:val="center"/>
                                <w:rPr>
                                  <w:rFonts w:eastAsia="仿宋_GB2312"/>
                                  <w:szCs w:val="21"/>
                                </w:rPr>
                              </w:pPr>
                              <w:r>
                                <w:rPr>
                                  <w:rFonts w:eastAsia="仿宋_GB2312"/>
                                  <w:szCs w:val="21"/>
                                </w:rPr>
                                <w:t>a</w:t>
                              </w:r>
                            </w:p>
                          </w:txbxContent>
                        </wps:txbx>
                        <wps:bodyPr rot="0" vert="horz" wrap="square" lIns="91440" tIns="45720" rIns="91440" bIns="45720" anchor="t" anchorCtr="0" upright="1">
                          <a:noAutofit/>
                        </wps:bodyPr>
                      </wps:wsp>
                      <wps:wsp>
                        <wps:cNvPr id="1081753424" name="文本框 2"/>
                        <wps:cNvSpPr txBox="1">
                          <a:spLocks noChangeAspect="1" noChangeArrowheads="1"/>
                        </wps:cNvSpPr>
                        <wps:spPr bwMode="auto">
                          <a:xfrm>
                            <a:off x="3620654" y="1504325"/>
                            <a:ext cx="515644" cy="252997"/>
                          </a:xfrm>
                          <a:prstGeom prst="rect">
                            <a:avLst/>
                          </a:prstGeom>
                          <a:noFill/>
                          <a:ln>
                            <a:noFill/>
                          </a:ln>
                          <a:effectLst/>
                        </wps:spPr>
                        <wps:txbx>
                          <w:txbxContent>
                            <w:p w14:paraId="58158F2D">
                              <w:pPr>
                                <w:spacing w:line="360" w:lineRule="auto"/>
                                <w:jc w:val="center"/>
                                <w:rPr>
                                  <w:rFonts w:eastAsia="仿宋_GB2312"/>
                                  <w:szCs w:val="21"/>
                                </w:rPr>
                              </w:pPr>
                              <w:r>
                                <w:rPr>
                                  <w:rFonts w:eastAsia="仿宋_GB2312"/>
                                  <w:szCs w:val="21"/>
                                </w:rPr>
                                <w:t>b</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86.55pt;width:408.9pt;" coordsize="5249790,1757322" o:gfxdata="UEsDBAoAAAAAAIdO4kAAAAAAAAAAAAAAAAAEAAAAZHJzL1BLAwQUAAAACACHTuJAVWPQ/tUAAAAF&#10;AQAADwAAAGRycy9kb3ducmV2LnhtbE2PQUvDQBCF74L/YRnBm92sQVtiNkWKeiqCrSDepsk0Cc3O&#10;huw2af+9o5d6eTC84b3v5cuT69RIQ2g9WzCzBBRx6auWawuf29e7BagQkSvsPJOFMwVYFtdXOWaV&#10;n/iDxk2slYRwyNBCE2OfaR3KhhyGme+Jxdv7wWGUc6h1NeAk4a7T90nyqB22LA0N9rRqqDxsjs7C&#10;24TTc2pexvVhvzp/bx/ev9aGrL29MckTqEineHmGX3xBh0KYdv7IVVCdBRkS/1S8hZnLjJ2FdJ4a&#10;0EWu/9MXP1BLAwQUAAAACACHTuJAxJensgIKAADLWQAADgAAAGRycy9lMm9Eb2MueG1s7Vxbj9xI&#10;FX5H4j9YfifjqnL50spkFSabgLQskXbh3eN2dxvctrE96ck+IsTyhHhCSCAQCJCQFp72DSF+TZL9&#10;GXx18aXd43TPrrrbCZ5IUd9cLh9/9Z1zvnPKDz+4XSfGi6go4yy9NMkDyzSiNMzmcbq8NH/06dPv&#10;eKZRVkE6D5IsjS7Nl1FpfvDo2996uMlnEc1WWTKPCgODpOVsk1+aq6rKZxcXZbiK1kH5IMujFF8u&#10;smIdVHhbLC/mRbDB6OvkglqWc7HJinleZGFUlvj0ifrS1CMWhwyYLRZxGD3Jwpt1lFZq1CJKggqX&#10;VK7ivDQfydkuFlFY/XCxKKPKSC5NXGkl/8dJ8Ppa/H/x6GEwWxZBvopDPYXgkCn0rmkdxClO2gz1&#10;JKgC46aId4Zax2GRldmiehBm6wt1IdIiuApi9WzzrMhucnkty9lmmTdGx43qWf1rDxt+/OJ5YcRz&#10;IIGbRhqsccff/PsXr37zKwMfwDqbfDnDj54V+Sf580JdIl5+lIU/LY00u1oF6TJ6XOawNMYQR1z0&#10;DxHvl+3xt4tiLcbBxRu38k68bO5EdFsZIT7kxGcWw00K8R1ljk88OZtgFq5wQ3eOC1cf1kdS23d9&#10;fSRxucsolbMKZurEcnrNdJq5Hdm4Tt+4tncS6xJiOYSZxl0mZj5xXWVi4lCGt2JKB5iYMJ92j+RU&#10;XszFeU2MS+nhV974PhrFGj0+gCm3bYvC8ALAhDu+D4MdZN2hIwetCxouW24ovxk3fLIK8khSTimW&#10;fc0NVmPcr37+u1f/+ctX//3j61//7c0XfzeIq4Esf3+VKo4Ib9NhjmhoQ57s05c5OKdmjs4om7yc&#10;leAc43rzg2yO3wQ3VSZJtscg1Ld9BxOEpR3i2zZThq65xLEJ5yA3cScc6niWI75vzBnM8qKsnkXZ&#10;2hAvLs1r+JSrLE3BaFnB5AmDFx+VleS+ucZYMP8JMY3FOoG3eBEkBrfwp8fVv8YZ6pHFoWn2NE4S&#10;CYEkNTa4ZOriECNc52DfMl3KM5VZEs/FD8UhZbG8vkoKAye4NJ8+7Zxi62fruIJHTuL1pemJ39Tz&#10;SFIxSCS9IOYvLrq2qeD1cnadzV8+L+rPgSL18QnghBhDrdVdOPnCimJ2gN9Z4OTbzPPB1xouRK/b&#10;DpwY1/4FcHJt6ZgmOJ0TTn4Npze//xK81GEnTy6Gk8PJWCRx/mNBa2IJ6kjHZw5HMDLEU/fAVBKn&#10;gqSDmaQasYBPxTWISNO5OuF46YXAlDoU2MGDdDTjwAPhHrc53IhgGmYTX8YrYGwdyk6AEAnlvVKb&#10;gfCFwMhDgNBB4vn8DeGuZ4lwesDhMNvhlo5fatdeR0B1gKFDl4kXlKgwBAOQbxcGb/71z1d//bLr&#10;LWToeHJ26PgIYjHKEB0BC8JdsF4sSy0XGsphYCirIoiXqzaWVc7oSC7DtsQ/HQFvhae1ywhmVRAn&#10;H6Zzo5Ihf1XE0A6SyBTB8Dqam0YSQZESr0bvYJDYvR1I9lmi2DvDjk56RCmhrBfPai9DmO25zQ0c&#10;4JcJUpA8j5NhE7uG1Ovffv76D1+8/vMvja5rEuqbUd1+N4M6phZyOSjCNQn246LINqsomGPOWxm2&#10;0vIE0R2UYQMjICS5utvwxPU8l8KxSonOdl1PAms4ESqQUB8ctApKbDJmjLk32Kxur2914qjSWqPI&#10;kMxj5tC68WKVFZ+BaaD0Itn+2U1QgHeS76cwjE8g1UAalm9sDoI1jaL7zXX3myANMdSlWZmGenlV&#10;KTn5Ji8E29Z3J80eQ65YxE3arWalc/AT5tqtrjtCYEl5UqVEsDyBzIR72ELMRqZtYWFIiFmu48oV&#10;MUFMEcB4INao2yOEGCeOWALgL2L5HvelZ54g9q6xWCNAjxBiFMiyCEQogMz1fAvy4DCNMQuaoY5w&#10;B8KsyVNClj6Dp2xU6V0Z8TyqtIznv1eHFLsyIqEeI4jBttBG6/yQovjp1CnZANTurRg4Svw+sGix&#10;Pys8JLY7W51CrOlunteRClBi1uHmueoUnbyOoMTlcVnXaj2bY3s+xQWI4GlCwSH9FgOykUgIFApG&#10;6Hts2/eojm9Q3GQqRG5RwBzPtTQKqOuwXqm+rRtoCXGf79mSdnoFyqf4055t62cqeXvf07m2sUR1&#10;zcg2gyO3lbQeq+7Z0QrmkZt20GRDbVdFPAS5fy/goY7tuD4mJ7iHOJbnctklsL+35I4jpettcr7W&#10;yiJEOFX7TusHajtrge/IdiZo0aGqNEAthymn0y7uLTmYMCJTHRkM7GuTGjpy0M6n6DIR/TJdd7uj&#10;zyucnVyfv1NW9S3XqokXrXuo322HYXAaSrbgBAEZbkpj2h3OPa2sOtxI8h4q9bSRVVVMvwupMRWE&#10;icOJ7hBA357PmG567FWECXQx1LgnTJ2ne0ms+rfTVFe4P10P0500BXGbM1tJrEIAQ8J4J08RYvsK&#10;bhNPiYUlnMwJVXraSKhDPHWe0vTdmHLh7nSVmhDCuOqyauMS7ftAYPu64ybXd7SKoogb305TIypS&#10;d/oeermExlInuh0LQe0Xt96jlgfLw2YKZlttxilb63bjKRmynDxE77TQADAi66QWWsF7xZ6trGdU&#10;AdT/JZbarHoAS1LRPDmW7vR5zCEiHJfQwm4ktYlgx+OBxojvbysWU7p3yo0FkqX6/Z67LCUbDcaB&#10;LL0nRSDLc6jHez0Q2v9BX3CwIW7K+fo5XysInkwObAsCzVZJ7fWOLAcq19YLkIYk04PEVpfxepOa&#10;Y/mi9bSLsNa2Smw9hQioAw2xaXG0RZc77wP64Wi9MQjiuLev9Lqv0tLUS+rut+YDBMBTP9ze3dMD&#10;1bwaX40wOMaiHvN9sYkFLoES4nm9MFa0xfmIRXRbnMvk98Np0YS0s/ST1Ehr5MIRIs1B0yVX6qCP&#10;YpPTEwe7SGO2y9Xe2glpI2vArJHWiIgjRJrPPQdqoOA0qNC6JtYmUF2kIU2fOG2c3eQ10hptcYRI&#10;E9IP2l5Uro7HX3h2L6WasCY3MYx950KNtUZyHCPWbA+bqpCrCMkRNVvkUNvltQlr7xTWGklyjFhz&#10;KeeI0BTWGOeeFBonH/qO7WXQvNaqSCPEmtgpStG0J7FGOeNur7t4i9eY5aLFoKsc7YjeUw56zhxU&#10;7NMcrZpmt2oHsS3CseMPUGppjfieTbG7dNI7vu5O01bHlZ0t+nF8269FMeQUT36SBRrR5KZ7E/70&#10;DzxPzED3kbjpuiKjtifjAVin3uIsNgv2nCqkNtupt9QQdNN7+8ow96I68fADn4uWskMfBDZcKv6G&#10;DwI78o7psCrelT3TtYcecw2CWLaLpj3loW3X9lgPuKhH4GkhmjU5xRMIJw89wv35NdbGXI9gDnYf&#10;cI01+GcGvtpy0RyPuESzjfLQE9bu/ywI6aHxjF+5TUA/j1g8RLj7Xvrr9hnMj/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cAwAAFtDb250ZW50&#10;X1R5cGVzXS54bWxQSwECFAAKAAAAAACHTuJAAAAAAAAAAAAAAAAABgAAAAAAAAAAABAAAABSCwAA&#10;X3JlbHMvUEsBAhQAFAAAAAgAh07iQIoUZjzRAAAAlAEAAAsAAAAAAAAAAQAgAAAAdgsAAF9yZWxz&#10;Ly5yZWxzUEsBAhQACgAAAAAAh07iQAAAAAAAAAAAAAAAAAQAAAAAAAAAAAAQAAAAAAAAAGRycy9Q&#10;SwECFAAUAAAACACHTuJAVWPQ/tUAAAAFAQAADwAAAAAAAAABACAAAAAiAAAAZHJzL2Rvd25yZXYu&#10;eG1sUEsBAhQAFAAAAAgAh07iQMSXp7ICCgAAy1kAAA4AAAAAAAAAAQAgAAAAJAEAAGRycy9lMm9E&#10;b2MueG1sUEsFBgAAAAAGAAYAWQEAAJgNAAAAAA==&#10;">
                <o:lock v:ext="edit" aspectratio="t"/>
                <v:group id="组合 148" o:spid="_x0000_s1026" o:spt="203" style="position:absolute;left:110613;top:0;height:1623391;width:5139177;" coordsize="5139277,1623528"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t"/>
                  <v:group id="组合 152" o:spid="_x0000_s1026" o:spt="203" style="position:absolute;left:0;top:0;height:1569977;width:2544023;" coordsize="2544023,1569977"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t"/>
                    <v:shape id="肘形连接符 178" o:spid="_x0000_s1026" o:spt="34" type="#_x0000_t34" style="position:absolute;left:294967;top:619443;height:626806;width:641555;" filled="f" stroked="t" coordsize="21600,21600" o:gfxdata="UEsDBAoAAAAAAIdO4kAAAAAAAAAAAAAAAAAEAAAAZHJzL1BLAwQUAAAACACHTuJAtMSgf7sAAADc&#10;AAAADwAAAGRycy9kb3ducmV2LnhtbEVPTWsCMRC9F/ofwhS81UQPVteNHoTSngS3Ba/DZtxddjMJ&#10;m9Q1/npTKPQ2j/c55f5mB3GlMXSONSzmCgRx7UzHjYbvr/fXNYgQkQ0OjklDogD73fNTiYVxE5/o&#10;WsVG5BAOBWpoY/SFlKFuyWKYO0+cuYsbLcYMx0aaEaccbge5VGolLXacG1r0dGip7qsfq6Gy3m/q&#10;ezx+nC9LM236lNYpaT17WagtiEi3+C/+c3+aPF+9we8z+QK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Sgf7sAAADc&#10;AAAADwAAAAAAAAABACAAAAAiAAAAZHJzL2Rvd25yZXYueG1sUEsBAhQAFAAAAAgAh07iQDMvBZ47&#10;AAAAOQAAABAAAAAAAAAAAQAgAAAACgEAAGRycy9zaGFwZXhtbC54bWxQSwUGAAAAAAYABgBbAQAA&#10;tAMAAAAA&#10;" adj="10800">
                      <v:fill on="f" focussize="0,0"/>
                      <v:stroke weight="1pt" color="#FF0000" miterlimit="8" joinstyle="miter"/>
                      <v:imagedata o:title=""/>
                      <o:lock v:ext="edit" aspectratio="t"/>
                    </v:shape>
                    <v:shape id="肘形连接符 179" o:spid="_x0000_s1026" o:spt="34" type="#_x0000_t34" style="position:absolute;left:943896;top:626817;height:626745;width:641350;" filled="f" stroked="t" coordsize="21600,21600" o:gfxdata="UEsDBAoAAAAAAIdO4kAAAAAAAAAAAAAAAAAEAAAAZHJzL1BLAwQUAAAACACHTuJAxVs0Db0AAADc&#10;AAAADwAAAGRycy9kb3ducmV2LnhtbEWPQWsCMRCF7wX/Qxiht5rooehq9CBIeyp0W+h12Iy7i5tJ&#10;2KSu8dc7h0JvM7w3732zO9z8oK40pj6wheXCgCJuguu5tfD9dXpZg0oZ2eEQmCwUSnDYz552WLkw&#10;8Sdd69wqCeFUoYUu51hpnZqOPKZFiMSincPoMcs6ttqNOEm4H/TKmFftsWdp6DDSsaPmUv96C7WP&#10;cdPc88fbz3nlps2llHUp1j7Pl2YLKtMt/5v/rt+d4BuhlWdkAr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WzQNvQAA&#10;ANwAAAAPAAAAAAAAAAEAIAAAACIAAABkcnMvZG93bnJldi54bWxQSwECFAAUAAAACACHTuJAMy8F&#10;njsAAAA5AAAAEAAAAAAAAAABACAAAAAMAQAAZHJzL3NoYXBleG1sLnhtbFBLBQYAAAAABgAGAFsB&#10;AAC2AwAAAAA=&#10;" adj="10800">
                      <v:fill on="f" focussize="0,0"/>
                      <v:stroke weight="1pt" color="#FF0000" miterlimit="8" joinstyle="miter"/>
                      <v:imagedata o:title=""/>
                      <o:lock v:ext="edit" aspectratio="t"/>
                    </v:shape>
                    <v:line id="直接连接符 180" o:spid="_x0000_s1026" o:spt="20" style="position:absolute;left:936522;top:619443;flip:y;height:626745;width:0;" filled="f" stroked="t" coordsize="21600,21600" o:gfxdata="UEsDBAoAAAAAAIdO4kAAAAAAAAAAAAAAAAAEAAAAZHJzL1BLAwQUAAAACACHTuJAxib8frkAAADc&#10;AAAADwAAAGRycy9kb3ducmV2LnhtbEVPS4vCMBC+C/6HMII3TfQg2jUKCsKuF/HBnodmbIPNpCTR&#10;6r83wsLe5uN7znL9dI14UIjWs4bJWIEgLr2xXGm4nHejOYiYkA02nknDiyKsV/3eEgvjOz7S45Qq&#10;kUM4FqihTqktpIxlTQ7j2LfEmbv64DBlGCppAnY53DVyqtRMOrScG2psaVtTeTvdnYb90XaH6Xnx&#10;i/f9nBtbbS7hZ6P1cDBRXyASPdO/+M/9bfJ8tYDPM/kCuX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m/H65AAAA3AAA&#10;AA8AAAAAAAAAAQAgAAAAIgAAAGRycy9kb3ducmV2LnhtbFBLAQIUABQAAAAIAIdO4kAzLwWeOwAA&#10;ADkAAAAQAAAAAAAAAAEAIAAAAAgBAABkcnMvc2hhcGV4bWwueG1sUEsFBgAAAAAGAAYAWwEAALID&#10;AAAAAA==&#10;">
                      <v:fill on="f" focussize="0,0"/>
                      <v:stroke weight="1pt" color="#FF0000" joinstyle="round"/>
                      <v:imagedata o:title=""/>
                      <o:lock v:ext="edit" aspectratio="t"/>
                    </v:line>
                    <v:line id="直接连接符 181" o:spid="_x0000_s1026" o:spt="20" style="position:absolute;left:1585451;top:634192;flip:y;height:626745;width:0;" filled="f" stroked="t" coordsize="21600,21600" o:gfxdata="UEsDBAoAAAAAAIdO4kAAAAAAAAAAAAAAAAAEAAAAZHJzL1BLAwQUAAAACACHTuJA0sXDPr0AAADc&#10;AAAADwAAAGRycy9kb3ducmV2LnhtbEWPT2sCMRDF74V+hzBCbzW7HkRXo6BQaL0U/+B52Iy7wc1k&#10;SaKr375zKHib4b157zfL9cN36k4xucAGynEBirgO1nFj4HT8+pyBShnZYheYDDwpwXr1/rbEyoaB&#10;93Q/5EZJCKcKDbQ595XWqW7JYxqHnli0S4ges6yx0TbiIOG+05OimGqPjqWhxZ62LdXXw80b2O3d&#10;8Ds5zs942824c83mFH82xnyMymIBKtMjv8z/199W8EvBl2dkAr3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xcM+vQAA&#10;ANwAAAAPAAAAAAAAAAEAIAAAACIAAABkcnMvZG93bnJldi54bWxQSwECFAAUAAAACACHTuJAMy8F&#10;njsAAAA5AAAAEAAAAAAAAAABACAAAAAMAQAAZHJzL3NoYXBleG1sLnhtbFBLBQYAAAAABgAGAFsB&#10;AAC2AwAAAAA=&#10;">
                      <v:fill on="f" focussize="0,0"/>
                      <v:stroke weight="1pt" color="#FF0000" joinstyle="round"/>
                      <v:imagedata o:title=""/>
                      <o:lock v:ext="edit" aspectratio="t"/>
                    </v:line>
                    <v:line id="直接连接符 182" o:spid="_x0000_s1026" o:spt="20" style="position:absolute;left:1578077;top:626817;height:0;width:346505;" filled="f" stroked="t" coordsize="21600,21600" o:gfxdata="UEsDBAoAAAAAAIdO4kAAAAAAAAAAAAAAAAAEAAAAZHJzL1BLAwQUAAAACACHTuJAi+guEr0AAADc&#10;AAAADwAAAGRycy9kb3ducmV2LnhtbEVPO2/CMBDekfgP1lViAycV6iNgEKoEYmgHKB26HfE1Thuf&#10;I9sk4d/jSpW63afvecv1YBvRkQ+1YwX5LANBXDpdc6Xg9L6dPoEIEVlj45gUXCnAejUeLbHQrucD&#10;dcdYiRTCoUAFJsa2kDKUhiyGmWuJE/flvMWYoK+k9tincNvI+yx7kBZrTg0GW3oxVP4cL1bB/PXj&#10;3PbefJ4Ou+HxmYa+e/veKDW5y7MFiEhD/Bf/ufc6zc9z+H0mXS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6C4SvQAA&#10;ANwAAAAPAAAAAAAAAAEAIAAAACIAAABkcnMvZG93bnJldi54bWxQSwECFAAUAAAACACHTuJAMy8F&#10;njsAAAA5AAAAEAAAAAAAAAABACAAAAAMAQAAZHJzL3NoYXBleG1sLnhtbFBLBQYAAAAABgAGAFsB&#10;AAC2AwAAAAA=&#10;">
                      <v:fill on="f" focussize="0,0"/>
                      <v:stroke weight="1pt" color="#FF0000" joinstyle="round"/>
                      <v:imagedata o:title=""/>
                      <o:lock v:ext="edit" aspectratio="t"/>
                    </v:line>
                    <v:shape id="直接箭头连接符 183" o:spid="_x0000_s1026" o:spt="32" type="#_x0000_t32" style="position:absolute;left:103238;top:936533;height:0;width:2072005;" filled="f" stroked="t" coordsize="21600,21600" o:gfxdata="UEsDBAoAAAAAAIdO4kAAAAAAAAAAAAAAAAAEAAAAZHJzL1BLAwQUAAAACACHTuJAxKQDArsAAADc&#10;AAAADwAAAGRycy9kb3ducmV2LnhtbEVPTWvCQBC9F/oflin0VicRKhJdRSxCoRcbS8HbkB2TYHY2&#10;3V01/vuuIHibx/uc+XKwnTqzD60TDfkoA8VSOdNKreFnt3mbggqRxFDnhDVcOcBy8fw0p8K4i3zz&#10;uYy1SiESCtLQxNgXiKFq2FIYuZ4lcQfnLcUEfY3G0yWF2w7HWTZBS62khoZ6XjdcHcuT1bB/X38M&#10;uEOzmv7usdyg/9uevrR+fcmzGajIQ3yI7+5Pk+bnY7g9ky7A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QDArsAAADc&#10;AAAADwAAAAAAAAABACAAAAAiAAAAZHJzL2Rvd25yZXYueG1sUEsBAhQAFAAAAAgAh07iQDMvBZ47&#10;AAAAOQAAABAAAAAAAAAAAQAgAAAACgEAAGRycy9zaGFwZXhtbC54bWxQSwUGAAAAAAYABgBbAQAA&#10;tAMAAAAA&#10;">
                      <v:fill on="f" focussize="0,0"/>
                      <v:stroke weight="1pt" color="#404040" joinstyle="round" endarrow="block"/>
                      <v:imagedata o:title=""/>
                      <o:lock v:ext="edit" aspectratio="t"/>
                    </v:shape>
                    <v:shape id="直接箭头连接符 184" o:spid="_x0000_s1026" o:spt="32" type="#_x0000_t32" style="position:absolute;left:294967;top:221237;flip:y;height:1348740;width:0;" filled="f" stroked="t" coordsize="21600,21600" o:gfxdata="UEsDBAoAAAAAAIdO4kAAAAAAAAAAAAAAAAAEAAAAZHJzL1BLAwQUAAAACACHTuJArCtpZLwAAADc&#10;AAAADwAAAGRycy9kb3ducmV2LnhtbEVPS2vCQBC+C/0PyxR60920VEp0IygK4kHQSnsdspMHZmdD&#10;dptEf71bKPQ2H99zlqvRNqKnzteONSQzBYI4d6bmUsPlczf9AOEDssHGMWm4kYdV9jRZYmrcwCfq&#10;z6EUMYR9ihqqENpUSp9XZNHPXEscucJ1FkOEXSlNh0MMt418VWouLdYcGypsaVNRfj3/WA3fcns5&#10;rI/2Xsvh9D4vbqr5oqvWL8+JWoAINIZ/8Z97b+L85A1+n4kXy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raWS8AAAA&#10;3AAAAA8AAAAAAAAAAQAgAAAAIgAAAGRycy9kb3ducmV2LnhtbFBLAQIUABQAAAAIAIdO4kAzLwWe&#10;OwAAADkAAAAQAAAAAAAAAAEAIAAAAAsBAABkcnMvc2hhcGV4bWwueG1sUEsFBgAAAAAGAAYAWwEA&#10;ALUDAAAAAA==&#10;">
                      <v:fill on="f" focussize="0,0"/>
                      <v:stroke weight="1pt" color="#404040" joinstyle="round" endarrow="block"/>
                      <v:imagedata o:title=""/>
                      <o:lock v:ext="edit" aspectratio="t"/>
                    </v:shape>
                    <v:shape id="文本框 2" o:spid="_x0000_s1026" o:spt="202" type="#_x0000_t202" style="position:absolute;left:0;top:0;height:247787;width:788721;" filled="f" stroked="f" coordsize="21600,21600" o:gfxdata="UEsDBAoAAAAAAIdO4kAAAAAAAAAAAAAAAAAEAAAAZHJzL1BLAwQUAAAACACHTuJA0OyIs7sAAADc&#10;AAAADwAAAGRycy9kb3ducmV2LnhtbEVPS2vCQBC+C/0PyxS8md2IlTa6eqgInipNH+BtyE4eNDsb&#10;smuS/nu3UPA2H99ztvvJtmKg3jeONaSJAkFcONNwpeHz47h4BuEDssHWMWn4JQ/73cNsi5lxI7/T&#10;kIdKxBD2GWqoQ+gyKX1Rk0WfuI44cqXrLYYI+0qaHscYblu5VGotLTYcG2rs6LWm4ie/Wg1fb+Xl&#10;e6XO1cE+daOblGT7IrWeP6ZqAyLQFO7if/fJxPnpCv6eiRfI3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OyIs7sAAADc&#10;AAAADwAAAAAAAAABACAAAAAiAAAAZHJzL2Rvd25yZXYueG1sUEsBAhQAFAAAAAgAh07iQDMvBZ47&#10;AAAAOQAAABAAAAAAAAAAAQAgAAAACgEAAGRycy9zaGFwZXhtbC54bWxQSwUGAAAAAAYABgBbAQAA&#10;tAMAAAAA&#10;">
                      <v:fill on="f" focussize="0,0"/>
                      <v:stroke on="f"/>
                      <v:imagedata o:title=""/>
                      <o:lock v:ext="edit" aspectratio="t"/>
                      <v:textbox>
                        <w:txbxContent>
                          <w:p w14:paraId="3AE1FCD3">
                            <w:pPr>
                              <w:spacing w:before="62" w:beforeLines="20" w:line="360" w:lineRule="auto"/>
                              <w:jc w:val="center"/>
                              <w:rPr>
                                <w:rFonts w:eastAsia="仿宋_GB2312"/>
                                <w:sz w:val="18"/>
                                <w:szCs w:val="18"/>
                              </w:rPr>
                            </w:pPr>
                            <w:r>
                              <w:rPr>
                                <w:rFonts w:hint="eastAsia" w:eastAsia="仿宋_GB2312"/>
                                <w:sz w:val="18"/>
                                <w:szCs w:val="18"/>
                              </w:rPr>
                              <w:t>电流（</w:t>
                            </w:r>
                            <w:r>
                              <w:rPr>
                                <w:rFonts w:eastAsia="仿宋_GB2312"/>
                                <w:sz w:val="18"/>
                                <w:szCs w:val="18"/>
                              </w:rPr>
                              <w:t>A</w:t>
                            </w:r>
                            <w:r>
                              <w:rPr>
                                <w:rFonts w:hint="eastAsia" w:eastAsia="仿宋_GB2312"/>
                                <w:sz w:val="18"/>
                                <w:szCs w:val="18"/>
                              </w:rPr>
                              <w:t>）</w:t>
                            </w:r>
                          </w:p>
                        </w:txbxContent>
                      </v:textbox>
                    </v:shape>
                    <v:shape id="文本框 2" o:spid="_x0000_s1026" o:spt="202" type="#_x0000_t202" style="position:absolute;left:110612;top:457107;height:207672;width:435004;" filled="f" stroked="f" coordsize="21600,21600" o:gfxdata="UEsDBAoAAAAAAIdO4kAAAAAAAAAAAAAAAAAEAAAAZHJzL1BLAwQUAAAACACHTuJAv6AtKLsAAADc&#10;AAAADwAAAGRycy9kb3ducmV2LnhtbEVPS2vCQBC+C/0PyxR6M7spRtro6qFF8NRitAVvQ3byoNnZ&#10;kF1N+u+7BcHbfHzPWW8n24krDb51rCFNFAji0pmWaw2n427+AsIHZIOdY9LwSx62m4fZGnPjRj7Q&#10;tQi1iCHsc9TQhNDnUvqyIYs+cT1x5Co3WAwRDrU0A44x3HbyWamltNhybGiwp7eGyp/iYjV8fVTn&#10;74X6rN9t1o9uUpLtq9T66TFVKxCBpnAX39x7E+enG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6AtKLsAAADc&#10;AAAADwAAAAAAAAABACAAAAAiAAAAZHJzL2Rvd25yZXYueG1sUEsBAhQAFAAAAAgAh07iQDMvBZ47&#10;AAAAOQAAABAAAAAAAAAAAQAgAAAACgEAAGRycy9zaGFwZXhtbC54bWxQSwUGAAAAAAYABgBbAQAA&#10;tAMAAAAA&#10;">
                      <v:fill on="f" focussize="0,0"/>
                      <v:stroke on="f"/>
                      <v:imagedata o:title=""/>
                      <o:lock v:ext="edit" aspectratio="t"/>
                      <v:textbox>
                        <w:txbxContent>
                          <w:p w14:paraId="38E8EF4C">
                            <w:pPr>
                              <w:spacing w:line="360" w:lineRule="auto"/>
                              <w:rPr>
                                <w:rFonts w:eastAsia="仿宋_GB2312"/>
                                <w:sz w:val="15"/>
                                <w:szCs w:val="15"/>
                              </w:rPr>
                            </w:pPr>
                            <w:r>
                              <w:rPr>
                                <w:rFonts w:eastAsia="仿宋_GB2312"/>
                                <w:sz w:val="15"/>
                                <w:szCs w:val="15"/>
                              </w:rPr>
                              <w:t>1</w:t>
                            </w:r>
                          </w:p>
                        </w:txbxContent>
                      </v:textbox>
                    </v:shape>
                    <v:shape id="文本框 2" o:spid="_x0000_s1026" o:spt="202" type="#_x0000_t202" style="position:absolute;left:51615;top:1098594;height:207672;width:435004;" filled="f" stroked="f" coordsize="21600,21600" o:gfxdata="UEsDBAoAAAAAAIdO4kAAAAAAAAAAAAAAAAAEAAAAZHJzL1BLAwQUAAAACACHTuJAT3KzX7sAAADc&#10;AAAADwAAAGRycy9kb3ducmV2LnhtbEVPS2vCQBC+C/0PyxR6M7sRG9ro6qEieGpptAVvQ3byoNnZ&#10;kF1N+u+7BcHbfHzPWW8n24krDb51rCFNFAji0pmWaw2n437+AsIHZIOdY9LwSx62m4fZGnPjRv6k&#10;axFqEUPY56ihCaHPpfRlQxZ94nriyFVusBgiHGppBhxjuO3kQqlMWmw5NjTY01tD5U9xsRq+3qvz&#10;91J91Dv73I9uUpLtq9T66TFVKxCBpnAX39wHE+enG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3KzX7sAAADc&#10;AAAADwAAAAAAAAABACAAAAAiAAAAZHJzL2Rvd25yZXYueG1sUEsBAhQAFAAAAAgAh07iQDMvBZ47&#10;AAAAOQAAABAAAAAAAAAAAQAgAAAACgEAAGRycy9zaGFwZXhtbC54bWxQSwUGAAAAAAYABgBbAQAA&#10;tAMAAAAA&#10;">
                      <v:fill on="f" focussize="0,0"/>
                      <v:stroke on="f"/>
                      <v:imagedata o:title=""/>
                      <o:lock v:ext="edit" aspectratio="t"/>
                      <v:textbox>
                        <w:txbxContent>
                          <w:p w14:paraId="2B930FFC">
                            <w:pPr>
                              <w:spacing w:line="360" w:lineRule="auto"/>
                              <w:rPr>
                                <w:rFonts w:eastAsia="仿宋_GB2312"/>
                                <w:sz w:val="15"/>
                                <w:szCs w:val="15"/>
                              </w:rPr>
                            </w:pPr>
                            <w:r>
                              <w:rPr>
                                <w:rFonts w:eastAsia="仿宋_GB2312"/>
                                <w:sz w:val="15"/>
                                <w:szCs w:val="15"/>
                              </w:rPr>
                              <w:t>-1</w:t>
                            </w:r>
                          </w:p>
                        </w:txbxContent>
                      </v:textbox>
                    </v:shape>
                    <v:shape id="文本框 2" o:spid="_x0000_s1026" o:spt="202" type="#_x0000_t202" style="position:absolute;left:2109019;top:789050;height:230674;width:435004;" filled="f" stroked="f" coordsize="21600,21600" o:gfxdata="UEsDBAoAAAAAAIdO4kAAAAAAAAAAAAAAAAAEAAAAZHJzL1BLAwQUAAAACACHTuJAID4WxLwAAADc&#10;AAAADwAAAGRycy9kb3ducmV2LnhtbEVPyWrDMBC9F/IPYgK91ZJL2yROZB9SAj21NBvkNlgT28Qa&#10;GUuJ3b+vCoXc5vHWWRWjbcWNet841pAmCgRx6UzDlYb9bvM0B+EDssHWMWn4IQ9FPnlYYWbcwN90&#10;24ZKxBD2GWqoQ+gyKX1Zk0WfuI44cmfXWwwR9pU0PQ4x3LbyWak3abHh2FBjR+uaysv2ajUcPs+n&#10;44v6qt7taze4UUm2C6n14zRVSxCBxnAX/7s/TJyfzuDvmXiB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FsS8AAAA&#10;3AAAAA8AAAAAAAAAAQAgAAAAIgAAAGRycy9kb3ducmV2LnhtbFBLAQIUABQAAAAIAIdO4kAzLwWe&#10;OwAAADkAAAAQAAAAAAAAAAEAIAAAAAsBAABkcnMvc2hhcGV4bWwueG1sUEsFBgAAAAAGAAYAWwEA&#10;ALUDAAAAAA==&#10;">
                      <v:fill on="f" focussize="0,0"/>
                      <v:stroke on="f"/>
                      <v:imagedata o:title=""/>
                      <o:lock v:ext="edit" aspectratio="t"/>
                      <v:textbox>
                        <w:txbxContent>
                          <w:p w14:paraId="27BEAD38">
                            <w:pPr>
                              <w:spacing w:line="360" w:lineRule="auto"/>
                              <w:rPr>
                                <w:rFonts w:eastAsia="仿宋_GB2312"/>
                                <w:sz w:val="18"/>
                                <w:szCs w:val="18"/>
                              </w:rPr>
                            </w:pPr>
                            <w:r>
                              <w:rPr>
                                <w:rFonts w:eastAsia="仿宋_GB2312"/>
                                <w:sz w:val="18"/>
                                <w:szCs w:val="18"/>
                              </w:rPr>
                              <w:t>t</w:t>
                            </w:r>
                          </w:p>
                        </w:txbxContent>
                      </v:textbox>
                    </v:shape>
                    <v:line id="直接连接符 189" o:spid="_x0000_s1026" o:spt="20" style="position:absolute;left:936522;top:1283121;flip:x;height:257360;width:205;" filled="f" stroked="t" coordsize="21600,21600" o:gfxdata="UEsDBAoAAAAAAIdO4kAAAAAAAAAAAAAAAAAEAAAAZHJzL1BLAwQUAAAACACHTuJA2BGUFb8AAADc&#10;AAAADwAAAGRycy9kb3ducmV2LnhtbEWPQWvCQBCF7wX/wzIFb3UTCVZSVw8FUaEXrSC5jdlpEszO&#10;huwabX995yB4m+G9ee+bxeruWjVQHxrPBtJJAoq49LbhysDxe/02BxUissXWMxn4pQCr5ehlgbn1&#10;N97TcIiVkhAOORqoY+xyrUNZk8Mw8R2xaD++dxhl7Stte7xJuGv1NElm2mHD0lBjR581lZfD1Rng&#10;oSmy8u90LdbHr6zYXbLz+yYzZvyaJh+gIt3j0/y43lrBT4VWnpEJ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RlBW/&#10;AAAA3AAAAA8AAAAAAAAAAQAgAAAAIgAAAGRycy9kb3ducmV2LnhtbFBLAQIUABQAAAAIAIdO4kAz&#10;LwWeOwAAADkAAAAQAAAAAAAAAAEAIAAAAA4BAABkcnMvc2hhcGV4bWwueG1sUEsFBgAAAAAGAAYA&#10;WwEAALgDAAAAAA==&#10;">
                      <v:fill on="f" focussize="0,0"/>
                      <v:stroke weight="0.5pt" color="#404040" joinstyle="round"/>
                      <v:imagedata o:title=""/>
                      <o:lock v:ext="edit" aspectratio="t"/>
                    </v:line>
                    <v:line id="直接连接符 190" o:spid="_x0000_s1026" o:spt="20" style="position:absolute;left:294967;top:1415856;height:0;width:648929;" filled="f" stroked="t" coordsize="21600,21600" o:gfxdata="UEsDBAoAAAAAAIdO4kAAAAAAAAAAAAAAAAAEAAAAZHJzL1BLAwQUAAAACACHTuJAeli3F7kAAADc&#10;AAAADwAAAGRycy9kb3ducmV2LnhtbEVPzWrCQBC+C32HZYTedDc9FI2uHgqC0FJI9AHG7DQJZmfD&#10;7jTat+8WCt7m4/ud7f7uBzVRTH1gC8XSgCJuguu5tXA+HRYrUEmQHQ6BycIPJdjvnmZbLF24cUVT&#10;La3KIZxKtNCJjKXWqenIY1qGkThzXyF6lAxjq13EWw73g34x5lV77Dk3dDjSW0fNtf72Fqr3T756&#10;ETdM57rXH8dYm+pi7fO8MBtQQnd5iP/dR5fnF2v4eyZfo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pYtxe5AAAA3AAA&#10;AA8AAAAAAAAAAQAgAAAAIgAAAGRycy9kb3ducmV2LnhtbFBLAQIUABQAAAAIAIdO4kAzLwWeOwAA&#10;ADkAAAAQAAAAAAAAAAEAIAAAAAgBAABkcnMvc2hhcGV4bWwueG1sUEsFBgAAAAAGAAYAWwEAALID&#10;AAAAAA==&#10;">
                      <v:fill on="f" focussize="0,0"/>
                      <v:stroke weight="0.5pt" color="#404040" joinstyle="round"/>
                      <v:imagedata o:title=""/>
                      <o:lock v:ext="edit" aspectratio="t"/>
                    </v:line>
                    <v:shape id="文本框 2" o:spid="_x0000_s1026" o:spt="202" type="#_x0000_t202" style="position:absolute;left:449825;top:1268372;height:276328;width:368709;" fillcolor="#FFFFFF" filled="t" stroked="f" coordsize="21600,21600" o:gfxdata="UEsDBAoAAAAAAIdO4kAAAAAAAAAAAAAAAAAEAAAAZHJzL1BLAwQUAAAACACHTuJAwncU/L0AAADc&#10;AAAADwAAAGRycy9kb3ducmV2LnhtbEWPzW7CQAyE70h9h5WRekFlA+KnBDaRQGrFlZ8HMFmTRGS9&#10;UXZL4O3rAxI3WzOe+bzJH65Rd+pC7dnAZJyAIi68rbk0cD79fH2DChHZYuOZDDwpQJ59DDaYWt/z&#10;ge7HWCoJ4ZCigSrGNtU6FBU5DGPfEot29Z3DKGtXatthL+Gu0dMkWWiHNUtDhS3tKipuxz9n4Lrv&#10;R/NVf/mN5+Vhtthivbz4pzGfw0myBhXpEd/m1/XeCv5U8OUZmU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dxT8vQAA&#10;ANwAAAAPAAAAAAAAAAEAIAAAACIAAABkcnMvZG93bnJldi54bWxQSwECFAAUAAAACACHTuJAMy8F&#10;njsAAAA5AAAAEAAAAAAAAAABACAAAAAMAQAAZHJzL3NoYXBleG1sLnhtbFBLBQYAAAAABgAGAFsB&#10;AAC2AwAAAAA=&#10;">
                      <v:fill on="t" focussize="0,0"/>
                      <v:stroke on="f"/>
                      <v:imagedata o:title=""/>
                      <o:lock v:ext="edit" aspectratio="t"/>
                      <v:textbox>
                        <w:txbxContent>
                          <w:p w14:paraId="4654C51D">
                            <w:pPr>
                              <w:spacing w:line="360" w:lineRule="auto"/>
                              <w:rPr>
                                <w:rFonts w:eastAsia="仿宋_GB2312"/>
                                <w:sz w:val="15"/>
                                <w:szCs w:val="15"/>
                              </w:rPr>
                            </w:pPr>
                            <w:r>
                              <w:rPr>
                                <w:rFonts w:eastAsia="仿宋_GB2312"/>
                                <w:sz w:val="15"/>
                                <w:szCs w:val="15"/>
                              </w:rPr>
                              <w:t>1/f</w:t>
                            </w:r>
                            <w:r>
                              <w:rPr>
                                <w:rFonts w:eastAsia="仿宋_GB2312"/>
                                <w:sz w:val="15"/>
                                <w:szCs w:val="15"/>
                                <w:vertAlign w:val="subscript"/>
                              </w:rPr>
                              <w:t>0</w:t>
                            </w:r>
                          </w:p>
                        </w:txbxContent>
                      </v:textbox>
                    </v:shape>
                  </v:group>
                  <v:group id="组合 153" o:spid="_x0000_s1026" o:spt="203" style="position:absolute;left:2492479;top:14770;height:1608758;width:2646798;" coordsize="2646798,1608759"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t"/>
                    <v:group id="组合 154" o:spid="_x0000_s1026" o:spt="203" style="position:absolute;left:191727;top:206390;height:1311615;width:2072005;" coordsize="2072005,1311615"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t"/>
                      <v:shape id="直接箭头连接符 170" o:spid="_x0000_s1026" o:spt="32" type="#_x0000_t32" style="position:absolute;left:907025;top:1010341;flip:y;height:205105;width:0;" filled="f" stroked="t" coordsize="21600,21600" o:gfxdata="UEsDBAoAAAAAAIdO4kAAAAAAAAAAAAAAAAAEAAAAZHJzL1BLAwQUAAAACACHTuJADLRv3bwAAADc&#10;AAAADwAAAGRycy9kb3ducmV2LnhtbEVPTYvCMBC9L/gfwgje1lRdFqmmPYiCICLWVfE2NGNbbCal&#10;iVX//UZY2Ns83ufM06epRUetqywrGA0jEMS51RUXCn4Oq88pCOeRNdaWScGLHKRJ72OOsbYP3lOX&#10;+UKEEHYxKii9b2IpXV6SQTe0DXHgrrY16ANsC6lbfIRwU8txFH1LgxWHhhIbWpSU37K7UeB22VRv&#10;66Y7bE7H8yU76+XySys16I+iGQhPT/8v/nOvdZg/nsD7mXCBT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0b928AAAA&#10;3AAAAA8AAAAAAAAAAQAgAAAAIgAAAGRycy9kb3ducmV2LnhtbFBLAQIUABQAAAAIAIdO4kAzLwWe&#10;OwAAADkAAAAQAAAAAAAAAAEAIAAAAAsBAABkcnMvc2hhcGV4bWwueG1sUEsFBgAAAAAGAAYAWwEA&#10;ALUDAAAAAA==&#10;">
                        <v:fill on="f" focussize="0,0"/>
                        <v:stroke weight="1pt" color="#FF0000" joinstyle="round" endarrow="block"/>
                        <v:imagedata o:title=""/>
                        <o:lock v:ext="edit" aspectratio="t"/>
                      </v:shape>
                      <v:shape id="直接箭头连接符 171" o:spid="_x0000_s1026" o:spt="32" type="#_x0000_t32" style="position:absolute;left:1165122;top:1069335;flip:y;height:143510;width:0;" filled="f" stroked="t" coordsize="21600,21600" o:gfxdata="UEsDBAoAAAAAAIdO4kAAAAAAAAAAAAAAAAAEAAAAZHJzL1BLAwQUAAAACACHTuJAg133qb0AAADc&#10;AAAADwAAAGRycy9kb3ducmV2LnhtbEVPTWvCQBC9F/wPywjemt2IlBBdPZQIQpFi0iq9DdlpEpqd&#10;DdlttP/eLRR6m8f7nM3uZnsx0eg7xxrSRIEgrp3puNHwVu0fMxA+IBvsHZOGH/Kw284eNpgbd+UT&#10;TWVoRAxhn6OGNoQhl9LXLVn0iRuII/fpRoshwrGRZsRrDLe9XCr1JC12HBtaHOi5pfqr/LYa/GuZ&#10;mWM/TNXL+f3yUV5MUayM1ot5qtYgAt3Cv/jPfTBx/nIFv8/EC+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XfepvQAA&#10;ANwAAAAPAAAAAAAAAAEAIAAAACIAAABkcnMvZG93bnJldi54bWxQSwECFAAUAAAACACHTuJAMy8F&#10;njsAAAA5AAAAEAAAAAAAAAABACAAAAAMAQAAZHJzL3NoYXBleG1sLnhtbFBLBQYAAAAABgAGAFsB&#10;AAC2AwAAAAA=&#10;">
                        <v:fill on="f" focussize="0,0"/>
                        <v:stroke weight="1pt" color="#FF0000" joinstyle="round" endarrow="block"/>
                        <v:imagedata o:title=""/>
                        <o:lock v:ext="edit" aspectratio="t"/>
                      </v:shape>
                      <v:shape id="直接箭头连接符 172" o:spid="_x0000_s1026" o:spt="32" type="#_x0000_t32" style="position:absolute;left:1445342;top:1098831;flip:y;height:114935;width:0;" filled="f" stroked="t" coordsize="21600,21600" o:gfxdata="UEsDBAoAAAAAAIdO4kAAAAAAAAAAAAAAAAAEAAAAZHJzL1BLAwQUAAAACACHTuJA7BFSMrwAAADc&#10;AAAADwAAAGRycy9kb3ducmV2LnhtbEVPTYvCMBC9L/gfwgje1lRxF6mmPYiCICLWVfE2NGNbbCal&#10;iVX//UZY2Ns83ufM06epRUetqywrGA0jEMS51RUXCn4Oq88pCOeRNdaWScGLHKRJ72OOsbYP3lOX&#10;+UKEEHYxKii9b2IpXV6SQTe0DXHgrrY16ANsC6lbfIRwU8txFH1LgxWHhhIbWpSU37K7UeB22VRv&#10;66Y7bE7H8yU76+VyopUa9EfRDISnp/8X/7nXOswff8H7mXCBT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RUjK8AAAA&#10;3AAAAA8AAAAAAAAAAQAgAAAAIgAAAGRycy9kb3ducmV2LnhtbFBLAQIUABQAAAAIAIdO4kAzLwWe&#10;OwAAADkAAAAQAAAAAAAAAAEAIAAAAAsBAABkcnMvc2hhcGV4bWwueG1sUEsFBgAAAAAGAAYAWwEA&#10;ALUDAAAAAA==&#10;">
                        <v:fill on="f" focussize="0,0"/>
                        <v:stroke weight="1pt" color="#FF0000" joinstyle="round" endarrow="block"/>
                        <v:imagedata o:title=""/>
                        <o:lock v:ext="edit" aspectratio="t"/>
                      </v:shape>
                      <v:shape id="直接箭头连接符 173" o:spid="_x0000_s1026" o:spt="32" type="#_x0000_t32" style="position:absolute;left:1703438;top:1113580;flip:y;height:93345;width:0;" filled="f" stroked="t" coordsize="21600,21600" o:gfxdata="UEsDBAoAAAAAAIdO4kAAAAAAAAAAAAAAAAAEAAAAZHJzL1BLAwQUAAAACACHTuJAHMPMRb0AAADc&#10;AAAADwAAAGRycy9kb3ducmV2LnhtbEVPTWvCQBC9F/wPywje6sZQRKKbHIqCUIo0aZXehuw0Cc3O&#10;huw2if/eLQje5vE+Z5dNphUD9a6xrGC1jEAQl1Y3XCn4LA7PGxDOI2tsLZOCKznI0tnTDhNtR/6g&#10;IfeVCCHsElRQe98lUrqyJoNuaTviwP3Y3qAPsK+k7nEM4aaVcRStpcGGQ0ONHb3WVP7mf0aBO+Ub&#10;/d52Q/F2/rp85xe9379opRbzVbQF4WnyD/HdfdRhfryG/2fCBT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w8xFvQAA&#10;ANwAAAAPAAAAAAAAAAEAIAAAACIAAABkcnMvZG93bnJldi54bWxQSwECFAAUAAAACACHTuJAMy8F&#10;njsAAAA5AAAAEAAAAAAAAAABACAAAAAMAQAAZHJzL3NoYXBleG1sLnhtbFBLBQYAAAAABgAGAFsB&#10;AAC2AwAAAAA=&#10;">
                        <v:fill on="f" focussize="0,0"/>
                        <v:stroke weight="1pt" color="#FF0000" joinstyle="round" endarrow="block"/>
                        <v:imagedata o:title=""/>
                        <o:lock v:ext="edit" aspectratio="t"/>
                      </v:shape>
                      <v:shape id="直接箭头连接符 174" o:spid="_x0000_s1026" o:spt="32" type="#_x0000_t32" style="position:absolute;left:103238;top:0;flip:y;height:1311615;width:0;" filled="f" stroked="t" coordsize="21600,21600" o:gfxdata="UEsDBAoAAAAAAIdO4kAAAAAAAAAAAAAAAAAEAAAAZHJzL1BLAwQUAAAACACHTuJAHXyl2rwAAADc&#10;AAAADwAAAGRycy9kb3ducmV2LnhtbEVPS2sCMRC+F/ofwhR6q4kLVdkahRYF6UHwgb0Om3F3cTNZ&#10;NnEf/fVGELzNx/ec+bK3lWip8aVjDeORAkGcOVNyruF4WH/MQPiAbLByTBoG8rBcvL7MMTWu4x21&#10;+5CLGMI+RQ1FCHUqpc8KsuhHriaO3Nk1FkOETS5Ng10Mt5VMlJpIiyXHhgJr+ikou+yvVsOfXB1/&#10;v7f2v5Td7nNyHlR1oovW729j9QUiUB+e4od7Y+L8ZAr3Z+IF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8pdq8AAAA&#10;3AAAAA8AAAAAAAAAAQAgAAAAIgAAAGRycy9kb3ducmV2LnhtbFBLAQIUABQAAAAIAIdO4kAzLwWe&#10;OwAAADkAAAAQAAAAAAAAAAEAIAAAAAsBAABkcnMvc2hhcGV4bWwueG1sUEsFBgAAAAAGAAYAWwEA&#10;ALUDAAAAAA==&#10;">
                        <v:fill on="f" focussize="0,0"/>
                        <v:stroke weight="1pt" color="#404040" joinstyle="round" endarrow="block"/>
                        <v:imagedata o:title=""/>
                        <o:lock v:ext="edit" aspectratio="t"/>
                      </v:shape>
                      <v:shape id="直接箭头连接符 175" o:spid="_x0000_s1026" o:spt="32" type="#_x0000_t32" style="position:absolute;left:0;top:1209444;height:0;width:2072005;" filled="f" stroked="t" coordsize="21600,21600" o:gfxdata="UEsDBAoAAAAAAIdO4kAAAAAAAAAAAAAAAAAEAAAAZHJzL1BLAwQUAAAACACHTuJAhIFOr8QAAADj&#10;AAAADwAAAGRycy9kb3ducmV2LnhtbEWPQUvDQBCF74L/YRnBm52NWg1pt0UqBcGLplLobciOSTC7&#10;G3e3bfz3zkHwOPPevPfNcj25QZ04pj54A8VMg2LfBNv71sDHbntTgkqZvKUheDbwwwnWq8uLJVU2&#10;nP07n+rcKgnxqSIDXc5jhZiajh2lWRjZi/YZoqMsY2zRRjpLuBvwVusHdNR7aeho5E3HzVd9dAYO&#10;883zhDu0T+X+gPUW4/fb8dWY66tCL0BlnvK/+e/6xQq+LovH+d29Fmj5SRaAq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IFOr8QAAADjAAAADwAAAAAAAAABACAAAAAiAAAAZHJzL2Rvd25yZXYueG1sUEsBAhQAFAAAAAgA&#10;h07iQDMvBZ47AAAAOQAAABAAAAAAAAAAAQAgAAAAEwEAAGRycy9zaGFwZXhtbC54bWxQSwUGAAAA&#10;AAYABgBbAQAAvQMAAAAA&#10;">
                        <v:fill on="f" focussize="0,0"/>
                        <v:stroke weight="1pt" color="#404040" joinstyle="round" endarrow="block"/>
                        <v:imagedata o:title=""/>
                        <o:lock v:ext="edit" aspectratio="t"/>
                      </v:shape>
                      <v:shape id="直接箭头连接符 176" o:spid="_x0000_s1026" o:spt="32" type="#_x0000_t32" style="position:absolute;left:361335;top:191806;flip:y;height:1031999;width:0;" filled="f" stroked="t" coordsize="21600,21600" o:gfxdata="UEsDBAoAAAAAAIdO4kAAAAAAAAAAAAAAAAAEAAAAZHJzL1BLAwQUAAAACACHTuJAjeBxksIAAADj&#10;AAAADwAAAGRycy9kb3ducmV2LnhtbEVPX2vCMBB/H/gdwgm+zaRTt64z+iAKwhBZ3SZ7O5pbW9Zc&#10;ShOr+/ZGGOzxfv9vvrzYRvTU+dqxhmSsQBAXztRcang/bO5TED4gG2wck4Zf8rBcDO7mmBl35jfq&#10;81CKGMI+Qw1VCG0mpS8qsujHriWO3LfrLIZ4dqU0HZ5juG3kg1KP0mLNsaHCllYVFT/5yWrw+zw1&#10;u6btD6+fH8ev/GjW66nRejRM1AuIQJfwL/5zb02cr9LkaTaZqme4/RQBkIsr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3g&#10;cZLCAAAA4wAAAA8AAAAAAAAAAQAgAAAAIgAAAGRycy9kb3ducmV2LnhtbFBLAQIUABQAAAAIAIdO&#10;4kAzLwWeOwAAADkAAAAQAAAAAAAAAAEAIAAAABEBAABkcnMvc2hhcGV4bWwueG1sUEsFBgAAAAAG&#10;AAYAWwEAALsDAAAAAA==&#10;">
                        <v:fill on="f" focussize="0,0"/>
                        <v:stroke weight="1pt" color="#FF0000" joinstyle="round" endarrow="block"/>
                        <v:imagedata o:title=""/>
                        <o:lock v:ext="edit" aspectratio="t"/>
                      </v:shape>
                      <v:shape id="直接箭头连接符 177" o:spid="_x0000_s1026" o:spt="32" type="#_x0000_t32" style="position:absolute;left:626806;top:862857;flip:y;height:341630;width:0;" filled="f" stroked="t" coordsize="21600,21600" o:gfxdata="UEsDBAoAAAAAAIdO4kAAAAAAAAAAAAAAAAAEAAAAZHJzL1BLAwQUAAAACACHTuJA9k/rScIAAADj&#10;AAAADwAAAGRycy9kb3ducmV2LnhtbEVPX2vCMBB/F/Ydwg32pkmc20pn9GEoDIYM66b4djS3tqy5&#10;lCar7tubwcDH+/2/+fLsWjFQHxrPBvREgSAuvW24MvCxW48zECEiW2w9k4FfCrBc3IzmmFt/4i0N&#10;RaxECuGQo4E6xi6XMpQ1OQwT3xEn7sv3DmM6+0raHk8p3LVyqtSjdNhwaqixo5eayu/ixxkI70Vm&#10;N2037N72n4djcbCr1cwac3er1TOISOd4Ff+7X22arzL99HA/0xr+fkoAyM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ZP&#10;60nCAAAA4wAAAA8AAAAAAAAAAQAgAAAAIgAAAGRycy9kb3ducmV2LnhtbFBLAQIUABQAAAAIAIdO&#10;4kAzLwWeOwAAADkAAAAQAAAAAAAAAAEAIAAAABEBAABkcnMvc2hhcGV4bWwueG1sUEsFBgAAAAAG&#10;AAYAWwEAALsDAAAAAA==&#10;">
                        <v:fill on="f" focussize="0,0"/>
                        <v:stroke weight="1pt" color="#FF0000" joinstyle="round" endarrow="block"/>
                        <v:imagedata o:title=""/>
                        <o:lock v:ext="edit" aspectratio="t"/>
                      </v:shape>
                    </v:group>
                    <v:group id="组合 155" o:spid="_x0000_s1026" o:spt="203" style="position:absolute;left:0;top:0;height:1608759;width:2646798;" coordsize="2647353,1609238"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t"/>
                      <v:shape id="文本框 2" o:spid="_x0000_s1026" o:spt="202" type="#_x0000_t202" style="position:absolute;left:0;top:0;height:247860;width:788250;" filled="f" stroked="f" coordsize="21600,21600" o:gfxdata="UEsDBAoAAAAAAIdO4kAAAAAAAAAAAAAAAAAEAAAAZHJzL1BLAwQUAAAACACHTuJAvG/0jcAAAADj&#10;AAAADwAAAGRycy9kb3ducmV2LnhtbEVPS2vCQBC+C/6HZQRvupuqrU2z8VARerJoH9DbkB2T0Oxs&#10;yK4m/fduQfA433uyzWAbcaHO1441JHMFgrhwpuZSw+fHbrYG4QOywcYxafgjD5t8PMowNa7nA12O&#10;oRQxhH2KGqoQ2lRKX1Rk0c9dSxy5k+sshnh2pTQd9jHcNvJBqUdpsebYUGFLrxUVv8ez1fC1P/18&#10;L9V7ubWrtneDkmyfpdbTSaJeQAQawl18c7+ZOF+tk6fVYpks4P+nCIDM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b/SN&#10;wAAAAOMAAAAPAAAAAAAAAAEAIAAAACIAAABkcnMvZG93bnJldi54bWxQSwECFAAUAAAACACHTuJA&#10;My8FnjsAAAA5AAAAEAAAAAAAAAABACAAAAAPAQAAZHJzL3NoYXBleG1sLnhtbFBLBQYAAAAABgAG&#10;AFsBAAC5AwAAAAA=&#10;">
                        <v:fill on="f" focussize="0,0"/>
                        <v:stroke on="f"/>
                        <v:imagedata o:title=""/>
                        <o:lock v:ext="edit" aspectratio="t"/>
                        <v:textbox>
                          <w:txbxContent>
                            <w:p w14:paraId="5228805C">
                              <w:pPr>
                                <w:spacing w:line="360" w:lineRule="auto"/>
                                <w:rPr>
                                  <w:rFonts w:eastAsia="仿宋_GB2312"/>
                                  <w:sz w:val="18"/>
                                  <w:szCs w:val="18"/>
                                </w:rPr>
                              </w:pPr>
                              <w:r>
                                <w:rPr>
                                  <w:rFonts w:hint="eastAsia" w:eastAsia="仿宋_GB2312"/>
                                  <w:sz w:val="18"/>
                                  <w:szCs w:val="18"/>
                                </w:rPr>
                                <w:t>电流（</w:t>
                              </w:r>
                              <w:r>
                                <w:rPr>
                                  <w:rFonts w:eastAsia="仿宋_GB2312"/>
                                  <w:sz w:val="18"/>
                                  <w:szCs w:val="18"/>
                                </w:rPr>
                                <w:t>A</w:t>
                              </w:r>
                              <w:r>
                                <w:rPr>
                                  <w:rFonts w:hint="eastAsia" w:eastAsia="仿宋_GB2312"/>
                                  <w:sz w:val="18"/>
                                  <w:szCs w:val="18"/>
                                </w:rPr>
                                <w:t>）</w:t>
                              </w:r>
                            </w:p>
                          </w:txbxContent>
                        </v:textbox>
                      </v:shape>
                      <v:shape id="文本框 2" o:spid="_x0000_s1026" o:spt="202" type="#_x0000_t202" style="position:absolute;left:439910;top:211884;height:207734;width:435095;" filled="f" stroked="f" coordsize="21600,21600" o:gfxdata="UEsDBAoAAAAAAIdO4kAAAAAAAAAAAAAAAAAEAAAAZHJzL1BLAwQUAAAACACHTuJAM4Zs+cEAAADj&#10;AAAADwAAAGRycy9kb3ducmV2LnhtbEVPS2vCQBC+F/oflin0prtp46Opq4eWgifFtArehuyYhGZn&#10;Q3Zr4r93BaHH+d6zWA22EWfqfO1YQzJWIIgLZ2ouNfx8f43mIHxANtg4Jg0X8rBaPj4sMDOu5x2d&#10;81CKGMI+Qw1VCG0mpS8qsujHriWO3Ml1FkM8u1KaDvsYbhv5otRUWqw5NlTY0kdFxW/+ZzXsN6fj&#10;IVXb8tNO2t4NSrJ9k1o/PyXqHUSgIfyL7+61ifPVPJlNXtMkhdtPEQC5v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4Zs&#10;+cEAAADjAAAADwAAAAAAAAABACAAAAAiAAAAZHJzL2Rvd25yZXYueG1sUEsBAhQAFAAAAAgAh07i&#10;QDMvBZ47AAAAOQAAABAAAAAAAAAAAQAgAAAAEAEAAGRycy9zaGFwZXhtbC54bWxQSwUGAAAAAAYA&#10;BgBbAQAAugMAAAAA&#10;">
                        <v:fill on="f" focussize="0,0"/>
                        <v:stroke on="f"/>
                        <v:imagedata o:title=""/>
                        <o:lock v:ext="edit" aspectratio="t"/>
                        <v:textbox>
                          <w:txbxContent>
                            <w:p w14:paraId="659B44B7">
                              <w:pPr>
                                <w:spacing w:line="360" w:lineRule="auto"/>
                                <w:rPr>
                                  <w:rFonts w:eastAsia="仿宋_GB2312"/>
                                  <w:sz w:val="15"/>
                                  <w:szCs w:val="15"/>
                                </w:rPr>
                              </w:pPr>
                              <w:r>
                                <w:rPr>
                                  <w:rFonts w:eastAsia="仿宋_GB2312"/>
                                  <w:sz w:val="15"/>
                                  <w:szCs w:val="15"/>
                                </w:rPr>
                                <w:t>1</w:t>
                              </w:r>
                            </w:p>
                          </w:txbxContent>
                        </v:textbox>
                      </v:shape>
                      <v:shape id="文本框 2" o:spid="_x0000_s1026" o:spt="202" type="#_x0000_t202" style="position:absolute;left:671052;top:919161;height:347543;width:435095;" filled="f" stroked="f" coordsize="21600,21600" o:gfxdata="UEsDBAoAAAAAAIdO4kAAAAAAAAAAAAAAAAAEAAAAZHJzL1BLAwQUAAAACACHTuJAXMrJYsAAAADj&#10;AAAADwAAAGRycy9kb3ducmV2LnhtbEVPS2vCQBC+F/wPywje6m7UVI2uHloKPVnqC7wN2TEJZmdD&#10;dmvSf+8WCj3O9571tre1uFPrK8cakrECQZw7U3Gh4Xh4f16A8AHZYO2YNPyQh+1m8LTGzLiOv+i+&#10;D4WIIewz1FCG0GRS+rwki37sGuLIXV1rMcSzLaRpsYvhtpYTpV6kxYpjQ4kNvZaU3/bfVsNpd72c&#10;Z+qzeLNp07leSbZLqfVomKgViEB9+Bf/uT9MnK8WyTydzpIUfn+KAMj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ysli&#10;wAAAAOMAAAAPAAAAAAAAAAEAIAAAACIAAABkcnMvZG93bnJldi54bWxQSwECFAAUAAAACACHTuJA&#10;My8FnjsAAAA5AAAAEAAAAAAAAAABACAAAAAPAQAAZHJzL3NoYXBleG1sLnhtbFBLBQYAAAAABgAG&#10;AFsBAAC5AwAAAAA=&#10;">
                        <v:fill on="f" focussize="0,0"/>
                        <v:stroke on="f"/>
                        <v:imagedata o:title=""/>
                        <o:lock v:ext="edit" aspectratio="t"/>
                        <v:textbox>
                          <w:txbxContent>
                            <w:p w14:paraId="20A52F6C">
                              <w:pPr>
                                <w:spacing w:line="360" w:lineRule="auto"/>
                                <w:rPr>
                                  <w:rFonts w:eastAsia="仿宋_GB2312"/>
                                  <w:sz w:val="15"/>
                                  <w:szCs w:val="15"/>
                                </w:rPr>
                              </w:pPr>
                              <w:r>
                                <w:rPr>
                                  <w:rFonts w:eastAsia="仿宋_GB2312"/>
                                  <w:sz w:val="15"/>
                                  <w:szCs w:val="15"/>
                                </w:rPr>
                                <w:t>1/3</w:t>
                              </w:r>
                            </w:p>
                          </w:txbxContent>
                        </v:textbox>
                      </v:shape>
                      <v:shape id="文本框 2" o:spid="_x0000_s1026" o:spt="202" type="#_x0000_t202" style="position:absolute;left:958645;top:988105;height:207734;width:435095;" filled="f" stroked="f" coordsize="21600,21600" o:gfxdata="UEsDBAoAAAAAAIdO4kAAAAAAAAAAAAAAAAAEAAAAZHJzL1BLAwQUAAAACACHTuJArBhXFcAAAADj&#10;AAAADwAAAGRycy9kb3ducmV2LnhtbEVPS2vCQBC+F/wPywje6m6sz9TVg0XwZKlVwduQHZPQ7GzI&#10;rib9912h4HG+9yzXna3EnRpfOtaQDBUI4syZknMNx+/t6xyED8gGK8ek4Zc8rFe9lyWmxrX8RfdD&#10;yEUMYZ+ihiKEOpXSZwVZ9ENXE0fu6hqLIZ5NLk2DbQy3lRwpNZUWS44NBda0KSj7OdyshtP+ejmP&#10;1Wf+YSd16zol2S6k1oN+ot5BBOrCU/zv3pk4X82T2eRtnEzh8VME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GFcV&#10;wAAAAOMAAAAPAAAAAAAAAAEAIAAAACIAAABkcnMvZG93bnJldi54bWxQSwECFAAUAAAACACHTuJA&#10;My8FnjsAAAA5AAAAEAAAAAAAAAABACAAAAAPAQAAZHJzL3NoYXBleG1sLnhtbFBLBQYAAAAABgAG&#10;AFsBAAC5AwAAAAA=&#10;">
                        <v:fill on="f" focussize="0,0"/>
                        <v:stroke on="f"/>
                        <v:imagedata o:title=""/>
                        <o:lock v:ext="edit" aspectratio="t"/>
                        <v:textbox>
                          <w:txbxContent>
                            <w:p w14:paraId="74336C68">
                              <w:pPr>
                                <w:spacing w:line="360" w:lineRule="auto"/>
                                <w:rPr>
                                  <w:rFonts w:eastAsia="仿宋_GB2312"/>
                                  <w:sz w:val="15"/>
                                  <w:szCs w:val="15"/>
                                </w:rPr>
                              </w:pPr>
                              <w:r>
                                <w:rPr>
                                  <w:rFonts w:eastAsia="仿宋_GB2312"/>
                                  <w:sz w:val="15"/>
                                  <w:szCs w:val="15"/>
                                </w:rPr>
                                <w:t>1/5</w:t>
                              </w:r>
                            </w:p>
                          </w:txbxContent>
                        </v:textbox>
                      </v:shape>
                      <v:shape id="文本框 2" o:spid="_x0000_s1026" o:spt="202" type="#_x0000_t202" style="position:absolute;left:1209368;top:1061847;height:207734;width:435095;" filled="f" stroked="f" coordsize="21600,21600" o:gfxdata="UEsDBAoAAAAAAIdO4kAAAAAAAAAAAAAAAAAEAAAAZHJzL1BLAwQUAAAACACHTuJAw1TyjsAAAADj&#10;AAAADwAAAGRycy9kb3ducmV2LnhtbEVPS2sCMRC+F/ofwgi9abKtVl03emgRPFW0D+ht2Mw+cDNZ&#10;NtFd/30jCD3O955sM9hGXKjztWMNyUSBIM6dqbnU8PW5HS9A+IBssHFMGq7kYbN+fMgwNa7nA12O&#10;oRQxhH2KGqoQ2lRKn1dk0U9cSxy5wnUWQzy7UpoO+xhuG/ms1Ku0WHNsqLClt4ry0/FsNXx/FL8/&#10;U7Uv3+2s7d2gJNul1PpplKgViEBD+Bff3TsT56tFMp+9TJM53H6KAM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VPKO&#10;wAAAAOMAAAAPAAAAAAAAAAEAIAAAACIAAABkcnMvZG93bnJldi54bWxQSwECFAAUAAAACACHTuJA&#10;My8FnjsAAAA5AAAAEAAAAAAAAAABACAAAAAPAQAAZHJzL3NoYXBleG1sLnhtbFBLBQYAAAAABgAG&#10;AFsBAAC5AwAAAAA=&#10;">
                        <v:fill on="f" focussize="0,0"/>
                        <v:stroke on="f"/>
                        <v:imagedata o:title=""/>
                        <o:lock v:ext="edit" aspectratio="t"/>
                        <v:textbox>
                          <w:txbxContent>
                            <w:p w14:paraId="790FF9A1">
                              <w:pPr>
                                <w:spacing w:line="360" w:lineRule="auto"/>
                                <w:rPr>
                                  <w:rFonts w:eastAsia="仿宋_GB2312"/>
                                  <w:sz w:val="15"/>
                                  <w:szCs w:val="15"/>
                                </w:rPr>
                              </w:pPr>
                              <w:r>
                                <w:rPr>
                                  <w:rFonts w:eastAsia="仿宋_GB2312"/>
                                  <w:sz w:val="15"/>
                                  <w:szCs w:val="15"/>
                                </w:rPr>
                                <w:t>1/7</w:t>
                              </w:r>
                            </w:p>
                          </w:txbxContent>
                        </v:textbox>
                      </v:shape>
                      <v:shape id="文本框 2" o:spid="_x0000_s1026" o:spt="202" type="#_x0000_t202" style="position:absolute;left:1482213;top:1106092;height:207734;width:435095;" filled="f" stroked="f" coordsize="21600,21600" o:gfxdata="UEsDBAoAAAAAAIdO4kAAAAAAAAAAAAAAAAAEAAAAZHJzL1BLAwQUAAAACACHTuJAsstm/MQAAADj&#10;AAAADwAAAGRycy9kb3ducmV2LnhtbEWPQW/CMAyF75P2HyJP4jaSbjCgI3DYhMRpEwyQuFmNaas1&#10;TtUE2v37+TBpR/s9v/d5uR58o27UxTqwhWxsQBEXwdVcWjh8bR7noGJCdtgEJgs/FGG9ur9bYu5C&#10;zzu67VOpJIRjjhaqlNpc61hU5DGOQ0ss2iV0HpOMXaldh72E+0Y/GfOiPdYsDRW29FZR8b2/egvH&#10;j8v5NDGf5buftn0YjGa/0NaOHjLzCirRkP7Nf9dbJ/hmns2mz5NMoOUnWYBe/Q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stm/MQAAADjAAAADwAAAAAAAAABACAAAAAiAAAAZHJzL2Rvd25yZXYueG1sUEsBAhQAFAAAAAgA&#10;h07iQDMvBZ47AAAAOQAAABAAAAAAAAAAAQAgAAAAEwEAAGRycy9zaGFwZXhtbC54bWxQSwUGAAAA&#10;AAYABgBbAQAAvQMAAAAA&#10;">
                        <v:fill on="f" focussize="0,0"/>
                        <v:stroke on="f"/>
                        <v:imagedata o:title=""/>
                        <o:lock v:ext="edit" aspectratio="t"/>
                        <v:textbox>
                          <w:txbxContent>
                            <w:p w14:paraId="36DB7DC7">
                              <w:pPr>
                                <w:spacing w:line="360" w:lineRule="auto"/>
                                <w:rPr>
                                  <w:rFonts w:eastAsia="仿宋_GB2312"/>
                                  <w:sz w:val="15"/>
                                  <w:szCs w:val="15"/>
                                </w:rPr>
                              </w:pPr>
                              <w:r>
                                <w:rPr>
                                  <w:rFonts w:eastAsia="仿宋_GB2312"/>
                                  <w:sz w:val="15"/>
                                  <w:szCs w:val="15"/>
                                </w:rPr>
                                <w:t>1/9</w:t>
                              </w:r>
                            </w:p>
                          </w:txbxContent>
                        </v:textbox>
                      </v:shape>
                      <v:shape id="文本框 2" o:spid="_x0000_s1026" o:spt="202" type="#_x0000_t202" style="position:absolute;left:1725561;top:1135589;height:207734;width:435095;" filled="f" stroked="f" coordsize="21600,21600" o:gfxdata="UEsDBAoAAAAAAIdO4kAAAAAAAAAAAAAAAAAEAAAAZHJzL1BLAwQUAAAACACHTuJA3YfDZ8AAAADj&#10;AAAADwAAAGRycy9kb3ducmV2LnhtbEVPzWrCQBC+C32HZQre6m6qthpdPSgFT4q2Ct6G7JiEZmdD&#10;dmvi27tCweN8/zNfdrYSV2p86VhDMlAgiDNnSs41/Hx/vU1A+IBssHJMGm7kYbl46c0xNa7lPV0P&#10;IRcxhH2KGooQ6lRKnxVk0Q9cTRy5i2sshng2uTQNtjHcVvJdqQ9pseTYUGBNq4Ky38Of1XDcXs6n&#10;kdrlazuuW9cpyXYqte6/JmoGIlAXnuJ/98bE+WqSfI6Ho2QKj58iAH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h8Nn&#10;wAAAAOMAAAAPAAAAAAAAAAEAIAAAACIAAABkcnMvZG93bnJldi54bWxQSwECFAAUAAAACACHTuJA&#10;My8FnjsAAAA5AAAAEAAAAAAAAAABACAAAAAPAQAAZHJzL3NoYXBleG1sLnhtbFBLBQYAAAAABgAG&#10;AFsBAAC5AwAAAAA=&#10;">
                        <v:fill on="f" focussize="0,0"/>
                        <v:stroke on="f"/>
                        <v:imagedata o:title=""/>
                        <o:lock v:ext="edit" aspectratio="t"/>
                        <v:textbox>
                          <w:txbxContent>
                            <w:p w14:paraId="7465B796">
                              <w:pPr>
                                <w:spacing w:line="360" w:lineRule="auto"/>
                                <w:rPr>
                                  <w:rFonts w:eastAsia="仿宋_GB2312"/>
                                  <w:sz w:val="15"/>
                                  <w:szCs w:val="15"/>
                                </w:rPr>
                              </w:pPr>
                              <w:r>
                                <w:rPr>
                                  <w:rFonts w:eastAsia="仿宋_GB2312"/>
                                  <w:sz w:val="15"/>
                                  <w:szCs w:val="15"/>
                                </w:rPr>
                                <w:t>1/11</w:t>
                              </w:r>
                            </w:p>
                          </w:txbxContent>
                        </v:textbox>
                      </v:shape>
                      <v:shape id="文本框 2" o:spid="_x0000_s1026" o:spt="202" type="#_x0000_t202" style="position:absolute;left:2212258;top:1253576;height:230742;width:435095;" filled="f" stroked="f" coordsize="21600,21600" o:gfxdata="UEsDBAoAAAAAAIdO4kAAAAAAAAAAAAAAAAAEAAAAZHJzL1BLAwQUAAAACACHTuJAgtGgR8QAAADj&#10;AAAADwAAAGRycy9kb3ducmV2LnhtbEWPT0/DMAzF70h8h8hI3LakY2OjNNsBhMSJicKQuFmN+0c0&#10;TtWEtXx7fEDiaPv5vfcrDrPv1ZnG2AW2kC0NKOIquI4bC+9vT4sdqJiQHfaBycIPRTjsLy8KzF2Y&#10;+JXOZWqUmHDM0UKb0pBrHauWPMZlGIjlVofRY5JxbLQbcRJz3+uVMbfaY8eS0OJADy1VX+W3t3B6&#10;qT8/1ubYPPrNMIXZaPZ32trrq8zcg0o0p3/x3/ezk/pml203N+uVUAiTLEDv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tGgR8QAAADjAAAADwAAAAAAAAABACAAAAAiAAAAZHJzL2Rvd25yZXYueG1sUEsBAhQAFAAAAAgA&#10;h07iQDMvBZ47AAAAOQAAABAAAAAAAAAAAQAgAAAAEwEAAGRycy9zaGFwZXhtbC54bWxQSwUGAAAA&#10;AAYABgBbAQAAvQMAAAAA&#10;">
                        <v:fill on="f" focussize="0,0"/>
                        <v:stroke on="f"/>
                        <v:imagedata o:title=""/>
                        <o:lock v:ext="edit" aspectratio="t"/>
                        <v:textbox>
                          <w:txbxContent>
                            <w:p w14:paraId="1598486B">
                              <w:pPr>
                                <w:spacing w:line="360" w:lineRule="auto"/>
                                <w:rPr>
                                  <w:rFonts w:eastAsia="仿宋_GB2312"/>
                                  <w:sz w:val="18"/>
                                  <w:szCs w:val="18"/>
                                </w:rPr>
                              </w:pPr>
                              <w:r>
                                <w:rPr>
                                  <w:rFonts w:eastAsia="仿宋_GB2312"/>
                                  <w:sz w:val="18"/>
                                  <w:szCs w:val="18"/>
                                </w:rPr>
                                <w:t>f</w:t>
                              </w:r>
                            </w:p>
                          </w:txbxContent>
                        </v:textbox>
                      </v:shape>
                      <v:shape id="文本框 2" o:spid="_x0000_s1026" o:spt="202" type="#_x0000_t202" style="position:absolute;left:439910;top:1401504;height:207734;width:1984287;" filled="f" stroked="f" coordsize="21600,21600" o:gfxdata="UEsDBAoAAAAAAIdO4kAAAAAAAAAAAAAAAAAEAAAAZHJzL1BLAwQUAAAACACHTuJA7Z0F3MEAAADj&#10;AAAADwAAAGRycy9kb3ducmV2LnhtbEVPS2vCQBC+C/6HZQRvuhsfrU2z8dAi9GTRPqC3ITsmodnZ&#10;kF1N+u/dguBxvvdk28E24kKdrx1rSOYKBHHhTM2lhs+P3WwDwgdkg41j0vBHHrb5eJRhalzPB7oc&#10;QyliCPsUNVQhtKmUvqjIop+7ljhyJ9dZDPHsSmk67GO4beRCqQdpsebYUGFLLxUVv8ez1fC1P/18&#10;r9R7+WrXbe8GJdk+Sa2nk0Q9gwg0hLv45n4zcb7aJI/r5WqRwP9PEQCZ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Z0F&#10;3MEAAADjAAAADwAAAAAAAAABACAAAAAiAAAAZHJzL2Rvd25yZXYueG1sUEsBAhQAFAAAAAgAh07i&#10;QDMvBZ47AAAAOQAAABAAAAAAAAAAAQAgAAAAEAEAAGRycy9zaGFwZXhtbC54bWxQSwUGAAAAAAYA&#10;BgBbAQAAugMAAAAA&#10;">
                        <v:fill on="f" focussize="0,0"/>
                        <v:stroke on="f"/>
                        <v:imagedata o:title=""/>
                        <o:lock v:ext="edit" aspectratio="t"/>
                        <v:textbox>
                          <w:txbxContent>
                            <w:p w14:paraId="2E36DA69">
                              <w:pPr>
                                <w:spacing w:line="360" w:lineRule="auto"/>
                                <w:rPr>
                                  <w:rFonts w:eastAsia="仿宋_GB2312"/>
                                  <w:sz w:val="15"/>
                                  <w:szCs w:val="15"/>
                                </w:rPr>
                              </w:pPr>
                              <w:r>
                                <w:rPr>
                                  <w:rFonts w:eastAsia="仿宋_GB2312"/>
                                  <w:sz w:val="15"/>
                                  <w:szCs w:val="15"/>
                                </w:rPr>
                                <w:t>f</w:t>
                              </w:r>
                              <w:r>
                                <w:rPr>
                                  <w:rFonts w:eastAsia="仿宋_GB2312"/>
                                  <w:sz w:val="15"/>
                                  <w:szCs w:val="15"/>
                                  <w:vertAlign w:val="subscript"/>
                                </w:rPr>
                                <w:t>0</w:t>
                              </w:r>
                              <w:r>
                                <w:rPr>
                                  <w:rFonts w:eastAsia="仿宋_GB2312"/>
                                  <w:sz w:val="15"/>
                                  <w:szCs w:val="15"/>
                                </w:rPr>
                                <w:t xml:space="preserve">    3f</w:t>
                              </w:r>
                              <w:r>
                                <w:rPr>
                                  <w:rFonts w:eastAsia="仿宋_GB2312"/>
                                  <w:sz w:val="15"/>
                                  <w:szCs w:val="15"/>
                                  <w:vertAlign w:val="subscript"/>
                                </w:rPr>
                                <w:t>0</w:t>
                              </w:r>
                              <w:r>
                                <w:rPr>
                                  <w:rFonts w:eastAsia="仿宋_GB2312"/>
                                  <w:sz w:val="15"/>
                                  <w:szCs w:val="15"/>
                                </w:rPr>
                                <w:t xml:space="preserve">   5f</w:t>
                              </w:r>
                              <w:r>
                                <w:rPr>
                                  <w:rFonts w:eastAsia="仿宋_GB2312"/>
                                  <w:sz w:val="15"/>
                                  <w:szCs w:val="15"/>
                                  <w:vertAlign w:val="subscript"/>
                                </w:rPr>
                                <w:t>0</w:t>
                              </w:r>
                              <w:r>
                                <w:rPr>
                                  <w:rFonts w:eastAsia="仿宋_GB2312"/>
                                  <w:sz w:val="15"/>
                                  <w:szCs w:val="15"/>
                                </w:rPr>
                                <w:t xml:space="preserve">    7f</w:t>
                              </w:r>
                              <w:r>
                                <w:rPr>
                                  <w:rFonts w:eastAsia="仿宋_GB2312"/>
                                  <w:sz w:val="15"/>
                                  <w:szCs w:val="15"/>
                                  <w:vertAlign w:val="subscript"/>
                                </w:rPr>
                                <w:t xml:space="preserve">0   </w:t>
                              </w:r>
                              <w:r>
                                <w:rPr>
                                  <w:rFonts w:eastAsia="仿宋_GB2312"/>
                                  <w:sz w:val="15"/>
                                  <w:szCs w:val="15"/>
                                </w:rPr>
                                <w:t xml:space="preserve"> 9f</w:t>
                              </w:r>
                              <w:r>
                                <w:rPr>
                                  <w:rFonts w:eastAsia="仿宋_GB2312"/>
                                  <w:sz w:val="15"/>
                                  <w:szCs w:val="15"/>
                                  <w:vertAlign w:val="subscript"/>
                                </w:rPr>
                                <w:t>0</w:t>
                              </w:r>
                              <w:r>
                                <w:rPr>
                                  <w:rFonts w:eastAsia="仿宋_GB2312"/>
                                  <w:sz w:val="15"/>
                                  <w:szCs w:val="15"/>
                                </w:rPr>
                                <w:t xml:space="preserve">   11f</w:t>
                              </w:r>
                              <w:r>
                                <w:rPr>
                                  <w:rFonts w:eastAsia="仿宋_GB2312"/>
                                  <w:sz w:val="15"/>
                                  <w:szCs w:val="15"/>
                                  <w:vertAlign w:val="subscript"/>
                                </w:rPr>
                                <w:t>0</w:t>
                              </w:r>
                            </w:p>
                          </w:txbxContent>
                        </v:textbox>
                      </v:shape>
                    </v:group>
                  </v:group>
                </v:group>
                <v:rect id="矩形 149" o:spid="_x0000_s1026" o:spt="1" style="position:absolute;left:0;top:51619;height:1687830;width:5094605;v-text-anchor:middle;" filled="f" stroked="t" coordsize="21600,21600" o:gfxdata="UEsDBAoAAAAAAIdO4kAAAAAAAAAAAAAAAAAEAAAAZHJzL1BLAwQUAAAACACHTuJAChRSGsAAAADj&#10;AAAADwAAAGRycy9kb3ducmV2LnhtbEVPS2vCQBC+F/wPyxS8FN1NWo2kriKCUI/1dR6z0yQ0Oxuy&#10;q7H99W6h4HG+98yXN9uIK3W+dqwhGSsQxIUzNZcaDvvNaAbCB2SDjWPS8EMelovB0xxz43r+pOsu&#10;lCKGsM9RQxVCm0vpi4os+rFriSP35TqLIZ5dKU2HfQy3jUyVmkqLNceGCltaV1R87y5Ww+p4WL80&#10;J9er34tZpdnmvJUy03r4nKh3EIFu4SH+d3+YOF/Nkmzy+pam8PdTBEA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FFIa&#10;wAAAAOMAAAAPAAAAAAAAAAEAIAAAACIAAABkcnMvZG93bnJldi54bWxQSwECFAAUAAAACACHTuJA&#10;My8FnjsAAAA5AAAAEAAAAAAAAAABACAAAAAPAQAAZHJzL3NoYXBleG1sLnhtbFBLBQYAAAAABgAG&#10;AFsBAAC5AwAAAAA=&#10;">
                  <v:fill on="f" focussize="0,0"/>
                  <v:stroke color="#404040" miterlimit="8" joinstyle="miter"/>
                  <v:imagedata o:title=""/>
                  <o:lock v:ext="edit" aspectratio="t"/>
                </v:rect>
                <v:shape id="文本框 2" o:spid="_x0000_s1026" o:spt="202" type="#_x0000_t202" style="position:absolute;left:1047114;top:1474839;height:252997;width:788072;" filled="f" stroked="f" coordsize="21600,21600" o:gfxdata="UEsDBAoAAAAAAIdO4kAAAAAAAAAAAAAAAAAEAAAAZHJzL1BLAwQUAAAACACHTuJAcgM+MMEAAADj&#10;AAAADwAAAGRycy9kb3ducmV2LnhtbEVPS2vCQBC+F/oflin0prvxUW2ajYeWgieltgrehuyYhGZn&#10;Q3Zr4r93BaHH+d6TrQbbiDN1vnasIRkrEMSFMzWXGn6+P0dLED4gG2wck4YLeVjljw8Zpsb1/EXn&#10;XShFDGGfooYqhDaV0hcVWfRj1xJH7uQ6iyGeXSlNh30Mt42cKPUiLdYcGyps6b2i4nf3ZzXsN6fj&#10;Yaa25Yedt70blGT7KrV+fkrUG4hAQ/gX391rE+erZbKYT2eTKdx+igDI/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gM+&#10;MMEAAADjAAAADwAAAAAAAAABACAAAAAiAAAAZHJzL2Rvd25yZXYueG1sUEsBAhQAFAAAAAgAh07i&#10;QDMvBZ47AAAAOQAAABAAAAAAAAAAAQAgAAAAEAEAAGRycy9zaGFwZXhtbC54bWxQSwUGAAAAAAYA&#10;BgBbAQAAugMAAAAA&#10;">
                  <v:fill on="f" focussize="0,0"/>
                  <v:stroke on="f"/>
                  <v:imagedata o:title=""/>
                  <o:lock v:ext="edit" aspectratio="t"/>
                  <v:textbox>
                    <w:txbxContent>
                      <w:p w14:paraId="28FC19CD">
                        <w:pPr>
                          <w:spacing w:line="360" w:lineRule="auto"/>
                          <w:jc w:val="center"/>
                          <w:rPr>
                            <w:rFonts w:eastAsia="仿宋_GB2312"/>
                            <w:szCs w:val="21"/>
                          </w:rPr>
                        </w:pPr>
                        <w:r>
                          <w:rPr>
                            <w:rFonts w:eastAsia="仿宋_GB2312"/>
                            <w:szCs w:val="21"/>
                          </w:rPr>
                          <w:t>a</w:t>
                        </w:r>
                      </w:p>
                    </w:txbxContent>
                  </v:textbox>
                </v:shape>
                <v:shape id="文本框 2" o:spid="_x0000_s1026" o:spt="202" type="#_x0000_t202" style="position:absolute;left:3620654;top:1504325;height:252997;width:515644;" filled="f" stroked="f" coordsize="21600,21600" o:gfxdata="UEsDBAoAAAAAAIdO4kAAAAAAAAAAAAAAAAAEAAAAZHJzL1BLAwQUAAAACACHTuJA/eqmRMAAAADj&#10;AAAADwAAAGRycy9kb3ducmV2LnhtbEVPzWrCQBC+F/oOyxS86W40Vk1dPbQIPVm0KngbsmMSmp0N&#10;2dWkb+8WhB7n+5/lure1uFHrK8cakpECQZw7U3Gh4fC9Gc5B+IBssHZMGn7Jw3r1/LTEzLiOd3Tb&#10;h0LEEPYZaihDaDIpfV6SRT9yDXHkLq61GOLZFtK02MVwW8uxUq/SYsWxocSG3kvKf/ZXq+G4vZxP&#10;qfoqPuy06VyvJNuF1Hrwkqg3EIH68C9+uD9NnK/myWw6Sccp/P0UAZC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6qZE&#10;wAAAAOMAAAAPAAAAAAAAAAEAIAAAACIAAABkcnMvZG93bnJldi54bWxQSwECFAAUAAAACACHTuJA&#10;My8FnjsAAAA5AAAAEAAAAAAAAAABACAAAAAPAQAAZHJzL3NoYXBleG1sLnhtbFBLBQYAAAAABgAG&#10;AFsBAAC5AwAAAAA=&#10;">
                  <v:fill on="f" focussize="0,0"/>
                  <v:stroke on="f"/>
                  <v:imagedata o:title=""/>
                  <o:lock v:ext="edit" aspectratio="t"/>
                  <v:textbox>
                    <w:txbxContent>
                      <w:p w14:paraId="58158F2D">
                        <w:pPr>
                          <w:spacing w:line="360" w:lineRule="auto"/>
                          <w:jc w:val="center"/>
                          <w:rPr>
                            <w:rFonts w:eastAsia="仿宋_GB2312"/>
                            <w:szCs w:val="21"/>
                          </w:rPr>
                        </w:pPr>
                        <w:r>
                          <w:rPr>
                            <w:rFonts w:eastAsia="仿宋_GB2312"/>
                            <w:szCs w:val="21"/>
                          </w:rPr>
                          <w:t>b</w:t>
                        </w:r>
                      </w:p>
                    </w:txbxContent>
                  </v:textbox>
                </v:shape>
                <w10:wrap type="none"/>
                <w10:anchorlock/>
              </v:group>
            </w:pict>
          </mc:Fallback>
        </mc:AlternateContent>
      </w:r>
    </w:p>
    <w:p w14:paraId="7CCF0D80">
      <w:pPr>
        <w:pageBreakBefore w:val="0"/>
        <w:wordWrap/>
        <w:bidi w:val="0"/>
        <w:adjustRightInd w:val="0"/>
        <w:snapToGrid w:val="0"/>
        <w:spacing w:line="360" w:lineRule="auto"/>
        <w:jc w:val="center"/>
        <w:outlineLvl w:val="9"/>
        <w:rPr>
          <w:rFonts w:ascii="仿宋" w:hAnsi="仿宋" w:eastAsia="仿宋" w:cs="仿宋"/>
          <w:sz w:val="24"/>
          <w:szCs w:val="24"/>
        </w:rPr>
      </w:pPr>
      <w:r>
        <w:rPr>
          <w:rFonts w:hint="eastAsia" w:ascii="仿宋" w:hAnsi="仿宋" w:eastAsia="仿宋" w:cs="仿宋"/>
          <w:sz w:val="24"/>
          <w:szCs w:val="24"/>
        </w:rPr>
        <w:t>图5</w:t>
      </w:r>
      <w:r>
        <w:rPr>
          <w:rFonts w:hint="eastAsia" w:ascii="仿宋" w:hAnsi="仿宋" w:eastAsia="仿宋" w:cs="仿宋"/>
          <w:sz w:val="24"/>
          <w:szCs w:val="24"/>
        </w:rPr>
        <w:noBreakHyphen/>
      </w:r>
      <w:bookmarkEnd w:id="345"/>
      <w:r>
        <w:rPr>
          <w:rFonts w:hint="eastAsia" w:ascii="仿宋" w:hAnsi="仿宋" w:eastAsia="仿宋" w:cs="仿宋"/>
          <w:sz w:val="24"/>
          <w:szCs w:val="24"/>
        </w:rPr>
        <w:t>16  时域方波波形及频率域方波频谱（a：方波波形；b：方波的频谱）</w:t>
      </w:r>
    </w:p>
    <w:p w14:paraId="6675F43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图5-17</w:t>
      </w:r>
      <w:r>
        <w:rPr>
          <w:rFonts w:ascii="仿宋" w:hAnsi="仿宋" w:eastAsia="仿宋" w:cs="仿宋"/>
          <w:sz w:val="24"/>
          <w:szCs w:val="24"/>
        </w:rPr>
        <w:t>所示，Ex分量FFT变换后的振幅和相位曲线。</w:t>
      </w:r>
    </w:p>
    <w:p w14:paraId="4EEF1D86">
      <w:pPr>
        <w:pageBreakBefore w:val="0"/>
        <w:wordWrap/>
        <w:bidi w:val="0"/>
        <w:adjustRightInd w:val="0"/>
        <w:snapToGrid w:val="0"/>
        <w:spacing w:line="360" w:lineRule="auto"/>
        <w:ind w:firstLine="480" w:firstLineChars="200"/>
        <w:outlineLvl w:val="9"/>
        <w:rPr>
          <w:rFonts w:ascii="仿宋" w:hAnsi="仿宋" w:eastAsia="仿宋_GB2312" w:cs="仿宋"/>
          <w:color w:val="000000"/>
          <w:sz w:val="28"/>
          <w:szCs w:val="28"/>
          <w:lang w:val="zh-CN"/>
        </w:rPr>
      </w:pPr>
      <w:r>
        <w:rPr>
          <w:rFonts w:hint="eastAsia" w:ascii="仿宋" w:hAnsi="仿宋" w:eastAsia="仿宋" w:cs="仿宋"/>
          <w:sz w:val="24"/>
          <w:szCs w:val="24"/>
        </w:rPr>
        <w:t>在原始数据FFT变换之后，得到了所有测点实分量和虚分量数据，发射电流的实分量和虚分量数据；另外，还有发射点和接收点坐标数据。为了便于资料的处理与分析，需要建立一个数据库，将所有采集</w:t>
      </w:r>
      <w:r>
        <w:rPr>
          <w:rFonts w:hint="eastAsia" w:ascii="仿宋_GB2312" w:eastAsia="仿宋_GB2312"/>
          <w:sz w:val="28"/>
          <w:szCs w:val="28"/>
        </w:rPr>
        <w:t>的信息</w:t>
      </w:r>
      <w:r>
        <w:rPr>
          <w:rFonts w:hint="eastAsia" w:ascii="仿宋" w:hAnsi="仿宋" w:eastAsia="仿宋_GB2312" w:cs="仿宋"/>
          <w:color w:val="000000"/>
          <w:sz w:val="28"/>
          <w:szCs w:val="28"/>
          <w:lang w:val="zh-CN"/>
        </w:rPr>
        <w:t>包含在内，并对数据库的数据按照测线、发射源、频率、测点等采集参数单独显示和一起显示，所有的定性参数的处理可以在这个数据库基础上完成。</w:t>
      </w:r>
    </w:p>
    <w:p w14:paraId="26F49505">
      <w:pPr>
        <w:pageBreakBefore w:val="0"/>
        <w:wordWrap/>
        <w:bidi w:val="0"/>
        <w:adjustRightInd w:val="0"/>
        <w:snapToGrid w:val="0"/>
        <w:spacing w:line="360" w:lineRule="auto"/>
        <w:jc w:val="center"/>
        <w:outlineLvl w:val="9"/>
        <w:rPr>
          <w:rFonts w:ascii="宋体" w:hAnsi="宋体"/>
          <w:b/>
          <w:szCs w:val="21"/>
        </w:rPr>
      </w:pPr>
      <w:r>
        <w:rPr>
          <w:rFonts w:ascii="宋体" w:hAnsi="宋体"/>
          <w:b/>
          <w:szCs w:val="21"/>
        </w:rPr>
        <w:drawing>
          <wp:inline distT="0" distB="0" distL="0" distR="0">
            <wp:extent cx="2162810" cy="1598295"/>
            <wp:effectExtent l="0" t="0" r="889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3">
                      <a:extLst>
                        <a:ext uri="{28A0092B-C50C-407E-A947-70E740481C1C}">
                          <a14:useLocalDpi xmlns:a14="http://schemas.microsoft.com/office/drawing/2010/main" val="0"/>
                        </a:ext>
                      </a:extLst>
                    </a:blip>
                    <a:srcRect t="827" b="2245"/>
                    <a:stretch>
                      <a:fillRect/>
                    </a:stretch>
                  </pic:blipFill>
                  <pic:spPr>
                    <a:xfrm>
                      <a:off x="0" y="0"/>
                      <a:ext cx="2162810" cy="1598295"/>
                    </a:xfrm>
                    <a:prstGeom prst="rect">
                      <a:avLst/>
                    </a:prstGeom>
                    <a:noFill/>
                    <a:ln>
                      <a:noFill/>
                    </a:ln>
                    <a:effectLst/>
                  </pic:spPr>
                </pic:pic>
              </a:graphicData>
            </a:graphic>
          </wp:inline>
        </w:drawing>
      </w:r>
      <w:bookmarkStart w:id="346" w:name="_Ref203636742"/>
      <w:r>
        <w:rPr>
          <w:rFonts w:ascii="宋体" w:hAnsi="宋体"/>
          <w:b/>
          <w:szCs w:val="21"/>
        </w:rPr>
        <w:drawing>
          <wp:inline distT="0" distB="0" distL="0" distR="0">
            <wp:extent cx="2162810" cy="1598295"/>
            <wp:effectExtent l="0" t="0" r="889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4">
                      <a:extLst>
                        <a:ext uri="{28A0092B-C50C-407E-A947-70E740481C1C}">
                          <a14:useLocalDpi xmlns:a14="http://schemas.microsoft.com/office/drawing/2010/main" val="0"/>
                        </a:ext>
                      </a:extLst>
                    </a:blip>
                    <a:srcRect b="1247"/>
                    <a:stretch>
                      <a:fillRect/>
                    </a:stretch>
                  </pic:blipFill>
                  <pic:spPr>
                    <a:xfrm>
                      <a:off x="0" y="0"/>
                      <a:ext cx="2162810" cy="1598295"/>
                    </a:xfrm>
                    <a:prstGeom prst="rect">
                      <a:avLst/>
                    </a:prstGeom>
                    <a:noFill/>
                    <a:ln>
                      <a:noFill/>
                    </a:ln>
                    <a:effectLst/>
                  </pic:spPr>
                </pic:pic>
              </a:graphicData>
            </a:graphic>
          </wp:inline>
        </w:drawing>
      </w:r>
    </w:p>
    <w:p w14:paraId="23D5E542">
      <w:pPr>
        <w:pageBreakBefore w:val="0"/>
        <w:wordWrap/>
        <w:bidi w:val="0"/>
        <w:adjustRightInd w:val="0"/>
        <w:snapToGrid w:val="0"/>
        <w:spacing w:line="360" w:lineRule="auto"/>
        <w:jc w:val="center"/>
        <w:outlineLvl w:val="9"/>
        <w:rPr>
          <w:rFonts w:ascii="宋体" w:hAnsi="宋体"/>
          <w:b/>
          <w:szCs w:val="21"/>
        </w:rPr>
      </w:pPr>
      <w:r>
        <w:rPr>
          <w:rFonts w:hint="eastAsia" w:ascii="宋体" w:hAnsi="宋体"/>
          <w:b/>
          <w:szCs w:val="21"/>
        </w:rPr>
        <w:t>图5-</w:t>
      </w:r>
      <w:r>
        <w:rPr>
          <w:rFonts w:hint="eastAsia" w:ascii="宋体" w:hAnsi="宋体"/>
          <w:b/>
          <w:szCs w:val="21"/>
        </w:rPr>
        <w:fldChar w:fldCharType="begin"/>
      </w:r>
      <w:r>
        <w:rPr>
          <w:rFonts w:hint="eastAsia" w:ascii="宋体" w:hAnsi="宋体"/>
          <w:b/>
          <w:szCs w:val="21"/>
        </w:rPr>
        <w:instrText xml:space="preserve"> SEQ 图 \* ARABIC \s 1 </w:instrText>
      </w:r>
      <w:r>
        <w:rPr>
          <w:rFonts w:hint="eastAsia" w:ascii="宋体" w:hAnsi="宋体"/>
          <w:b/>
          <w:szCs w:val="21"/>
        </w:rPr>
        <w:fldChar w:fldCharType="separate"/>
      </w:r>
      <w:r>
        <w:rPr>
          <w:rFonts w:ascii="宋体" w:hAnsi="宋体"/>
          <w:b/>
          <w:szCs w:val="21"/>
        </w:rPr>
        <w:t>1</w:t>
      </w:r>
      <w:r>
        <w:rPr>
          <w:rFonts w:hint="eastAsia" w:ascii="宋体" w:hAnsi="宋体"/>
          <w:b/>
          <w:szCs w:val="21"/>
        </w:rPr>
        <w:fldChar w:fldCharType="end"/>
      </w:r>
      <w:bookmarkEnd w:id="346"/>
      <w:r>
        <w:rPr>
          <w:rFonts w:ascii="宋体" w:hAnsi="宋体"/>
          <w:b/>
          <w:szCs w:val="21"/>
        </w:rPr>
        <w:t>7</w:t>
      </w:r>
      <w:r>
        <w:rPr>
          <w:rFonts w:hint="eastAsia" w:ascii="宋体" w:hAnsi="宋体"/>
          <w:b/>
          <w:szCs w:val="21"/>
        </w:rPr>
        <w:t xml:space="preserve">  某测点Ex分量振幅相位曲线</w:t>
      </w:r>
    </w:p>
    <w:p w14:paraId="40EB716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bookmarkStart w:id="347" w:name="_Toc215403019"/>
      <w:bookmarkStart w:id="348" w:name="_Toc2655"/>
      <w:bookmarkStart w:id="349" w:name="_Toc215402919"/>
      <w:bookmarkStart w:id="350" w:name="_Toc24573"/>
      <w:bookmarkStart w:id="351" w:name="_Toc16810"/>
      <w:r>
        <w:rPr>
          <w:rFonts w:hint="eastAsia" w:ascii="仿宋" w:hAnsi="仿宋" w:eastAsia="仿宋" w:cs="仿宋"/>
          <w:sz w:val="24"/>
          <w:szCs w:val="24"/>
        </w:rPr>
        <w:t>(2)去噪处理</w:t>
      </w:r>
      <w:bookmarkEnd w:id="347"/>
      <w:bookmarkEnd w:id="348"/>
      <w:bookmarkEnd w:id="349"/>
      <w:bookmarkEnd w:id="350"/>
      <w:bookmarkEnd w:id="351"/>
    </w:p>
    <w:p w14:paraId="3847738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因TFEM勘探的体积效应，相邻频率的勘探范围大部分是重叠的，实测数据是相关的，反映在实测曲线上是一条连续光滑的曲线，所以曲线中的突变点为干扰所致，去噪处理则是本着该原则，剔除曲线上的突变点。</w:t>
      </w:r>
    </w:p>
    <w:p w14:paraId="50B112E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bookmarkStart w:id="352" w:name="_Toc2024"/>
      <w:bookmarkStart w:id="353" w:name="_Toc16723"/>
      <w:bookmarkStart w:id="354" w:name="_Toc215402920"/>
      <w:bookmarkStart w:id="355" w:name="_Toc19676"/>
      <w:bookmarkStart w:id="356" w:name="_Toc19744"/>
      <w:bookmarkStart w:id="357" w:name="_Toc215403020"/>
      <w:r>
        <w:rPr>
          <w:rFonts w:hint="eastAsia" w:ascii="仿宋" w:hAnsi="仿宋" w:eastAsia="仿宋" w:cs="仿宋"/>
          <w:sz w:val="24"/>
          <w:szCs w:val="24"/>
        </w:rPr>
        <w:t>(3)电流归一</w:t>
      </w:r>
      <w:bookmarkEnd w:id="352"/>
      <w:r>
        <w:rPr>
          <w:rFonts w:hint="eastAsia" w:ascii="仿宋" w:hAnsi="仿宋" w:eastAsia="仿宋" w:cs="仿宋"/>
          <w:sz w:val="24"/>
          <w:szCs w:val="24"/>
        </w:rPr>
        <w:t>化处理</w:t>
      </w:r>
      <w:bookmarkEnd w:id="353"/>
      <w:bookmarkEnd w:id="354"/>
      <w:bookmarkEnd w:id="355"/>
      <w:bookmarkEnd w:id="356"/>
      <w:bookmarkEnd w:id="357"/>
    </w:p>
    <w:p w14:paraId="11D0501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在野外实际施工时，每次发射的电流大小不可能完全一样。为了便于后续的处理，特别是电阻率、极化率的反演，不至于电流大小的影响影响资料处理的效果，这就需要对数据进行电流归一化处理。</w:t>
      </w:r>
    </w:p>
    <w:p w14:paraId="4E770C1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因系统响应，接收系统记录的观测值和实际信号有如下关系。</w:t>
      </w:r>
    </w:p>
    <w:p w14:paraId="30816BE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O(ω)=H(ω)×I(ω)                          （5.7）</w:t>
      </w:r>
    </w:p>
    <w:p w14:paraId="534EBDC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其中O(ω)为接收机记录的信号，I(ω)为实际信号，H(ω)为系统响应，也称为传导函数。具体对于记录的电流信号和电磁场信号分别有：</w:t>
      </w:r>
    </w:p>
    <w:p w14:paraId="306CEA2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O电流(ω) =H(ω)×I电流(ω)                     （5.8）</w:t>
      </w:r>
    </w:p>
    <w:p w14:paraId="7375B3C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O电磁场(ω) =H(ω)×I电磁场(ω)                   （5.9）</w:t>
      </w:r>
    </w:p>
    <w:p w14:paraId="3065C01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因为电流测量和电磁场测量采用了相同仪器，所以上2式中的系统响应函数是系统的。将电磁场信号对电流归一后有：</w:t>
      </w:r>
    </w:p>
    <w:p w14:paraId="1ABA4D5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31" o:spt="75" type="#_x0000_t75" style="height:37.5pt;width:250.5pt;" o:ole="t" filled="f" o:preferrelative="t" stroked="f" coordsize="21600,21600">
            <v:path/>
            <v:fill on="f" focussize="0,0"/>
            <v:stroke on="f" joinstyle="miter"/>
            <v:imagedata r:id="rId46" o:title=""/>
            <o:lock v:ext="edit" aspectratio="t"/>
            <w10:wrap type="none"/>
            <w10:anchorlock/>
          </v:shape>
          <o:OLEObject Type="Embed" ProgID="Equation.3" ShapeID="_x0000_i1031" DrawAspect="Content" ObjectID="_1468075731" r:id="rId45">
            <o:LockedField>false</o:LockedField>
          </o:OLEObject>
        </w:object>
      </w:r>
      <w:r>
        <w:rPr>
          <w:rFonts w:hint="eastAsia" w:ascii="仿宋" w:hAnsi="仿宋" w:eastAsia="仿宋" w:cs="仿宋"/>
          <w:sz w:val="24"/>
          <w:szCs w:val="24"/>
        </w:rPr>
        <w:t xml:space="preserve">      （5.10）</w:t>
      </w:r>
    </w:p>
    <w:p w14:paraId="44D1577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上式说明在对电流归一的</w:t>
      </w:r>
      <w:bookmarkStart w:id="358" w:name="_Hlk70409696"/>
      <w:r>
        <w:rPr>
          <w:rFonts w:hint="eastAsia" w:ascii="仿宋" w:hAnsi="仿宋" w:eastAsia="仿宋" w:cs="仿宋"/>
          <w:sz w:val="24"/>
          <w:szCs w:val="24"/>
        </w:rPr>
        <w:t>同时也消除了接收机的系统响应</w:t>
      </w:r>
      <w:bookmarkEnd w:id="358"/>
      <w:r>
        <w:rPr>
          <w:rFonts w:hint="eastAsia" w:ascii="仿宋" w:hAnsi="仿宋" w:eastAsia="仿宋" w:cs="仿宋"/>
          <w:sz w:val="24"/>
          <w:szCs w:val="24"/>
        </w:rPr>
        <w:t>。</w:t>
      </w:r>
    </w:p>
    <w:p w14:paraId="1E8EAAC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如图5</w:t>
      </w:r>
      <w:r>
        <w:rPr>
          <w:rFonts w:ascii="仿宋" w:hAnsi="仿宋" w:eastAsia="仿宋" w:cs="仿宋"/>
          <w:sz w:val="24"/>
          <w:szCs w:val="24"/>
        </w:rPr>
        <w:t>-18</w:t>
      </w:r>
      <w:r>
        <w:rPr>
          <w:rFonts w:hint="eastAsia" w:ascii="仿宋" w:hAnsi="仿宋" w:eastAsia="仿宋" w:cs="仿宋"/>
          <w:sz w:val="24"/>
          <w:szCs w:val="24"/>
        </w:rPr>
        <w:t>是Ex分量归一化前后的振幅相位曲线，图中可以看出电流归一化后，振幅曲线幅值变低，归一化后的相位和没有归一化的相位高频差别较大，低频差别较小，即高频时相移比较大，所以进行电流的归一化处理是非常有必要的。</w:t>
      </w:r>
    </w:p>
    <w:p w14:paraId="1F29F6F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ascii="仿宋" w:hAnsi="仿宋" w:eastAsia="仿宋" w:cs="仿宋"/>
          <w:sz w:val="24"/>
          <w:szCs w:val="24"/>
        </w:rPr>
        <w:drawing>
          <wp:inline distT="0" distB="0" distL="0" distR="0">
            <wp:extent cx="5542280" cy="1478915"/>
            <wp:effectExtent l="0" t="0" r="127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542280" cy="1478915"/>
                    </a:xfrm>
                    <a:prstGeom prst="rect">
                      <a:avLst/>
                    </a:prstGeom>
                    <a:noFill/>
                    <a:ln>
                      <a:noFill/>
                    </a:ln>
                  </pic:spPr>
                </pic:pic>
              </a:graphicData>
            </a:graphic>
          </wp:inline>
        </w:drawing>
      </w:r>
      <w:bookmarkStart w:id="359" w:name="_Ref203636761"/>
    </w:p>
    <w:p w14:paraId="5C9E555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图5-</w:t>
      </w:r>
      <w:r>
        <w:rPr>
          <w:rFonts w:ascii="仿宋" w:hAnsi="仿宋" w:eastAsia="仿宋" w:cs="仿宋"/>
          <w:sz w:val="24"/>
          <w:szCs w:val="24"/>
        </w:rPr>
        <w:t>18</w:t>
      </w:r>
      <w:bookmarkEnd w:id="359"/>
      <w:r>
        <w:rPr>
          <w:rFonts w:hint="eastAsia" w:ascii="仿宋" w:hAnsi="仿宋" w:eastAsia="仿宋" w:cs="仿宋"/>
          <w:sz w:val="24"/>
          <w:szCs w:val="24"/>
        </w:rPr>
        <w:t xml:space="preserve">  电流归一化前后振幅相位对比曲线</w:t>
      </w:r>
    </w:p>
    <w:p w14:paraId="7F6BF85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p>
    <w:p w14:paraId="029FEB6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bookmarkStart w:id="360" w:name="_Toc4171"/>
      <w:bookmarkStart w:id="361" w:name="_Toc30961"/>
      <w:bookmarkStart w:id="362" w:name="_Toc215402921"/>
      <w:bookmarkStart w:id="363" w:name="_Toc215403021"/>
      <w:bookmarkStart w:id="364" w:name="_Toc24269"/>
      <w:r>
        <w:rPr>
          <w:rFonts w:hint="eastAsia" w:ascii="仿宋" w:hAnsi="仿宋" w:eastAsia="仿宋" w:cs="仿宋"/>
          <w:sz w:val="24"/>
          <w:szCs w:val="24"/>
        </w:rPr>
        <w:t>(4)数据格式转换</w:t>
      </w:r>
      <w:bookmarkEnd w:id="360"/>
      <w:bookmarkEnd w:id="361"/>
      <w:bookmarkEnd w:id="362"/>
      <w:bookmarkEnd w:id="363"/>
      <w:bookmarkEnd w:id="364"/>
    </w:p>
    <w:p w14:paraId="114BD4C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因AB或MN正负不确定性，相位会有180度之差，因此预处理要对相位进行校正，TFEM理论证明，在低频时（频率趋于0时），电场实分量为正值，所以相位校正方法是判断低频实分量的正负，如果为负值时，这对电场的虚实分量同乘以－1。校正公式如下：</w:t>
      </w:r>
    </w:p>
    <w:p w14:paraId="3B845A0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ReEx’(ω)＝ReEx(ω)×Sig(ReEx(ω0))               （5.11）</w:t>
      </w:r>
    </w:p>
    <w:p w14:paraId="77B7CAE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ImEx’(ω)＝ImEx(ω)×Sig(ReEx(ω0))               （5.12）</w:t>
      </w:r>
    </w:p>
    <w:p w14:paraId="1FAA5C4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其中：</w:t>
      </w:r>
    </w:p>
    <w:p w14:paraId="68234DFE">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ReEx’(ω)和ImEx’(ω)为相位校正后的实虚分量；</w:t>
      </w:r>
    </w:p>
    <w:p w14:paraId="36ADC1F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ReEx(ω)和ImEx(ω)为相位校正前的实虚分量；</w:t>
      </w:r>
    </w:p>
    <w:p w14:paraId="34C5F4A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Sig(ReEx(ω0)为低频时实分量的符号，取值为+1或-1。</w:t>
      </w:r>
    </w:p>
    <w:p w14:paraId="40D60D2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完成相位校正后，完成数据格式转换，建立数据库，在数据库中完成电性和极化率参数等的计算。</w:t>
      </w:r>
    </w:p>
    <w:p w14:paraId="6B0392E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bookmarkStart w:id="365" w:name="_Toc215403022"/>
      <w:bookmarkStart w:id="366" w:name="_Toc457"/>
      <w:bookmarkStart w:id="367" w:name="_Toc8808"/>
      <w:bookmarkStart w:id="368" w:name="_Toc215402922"/>
      <w:bookmarkStart w:id="369" w:name="_Toc8317"/>
      <w:r>
        <w:rPr>
          <w:rFonts w:hint="eastAsia" w:ascii="仿宋" w:hAnsi="仿宋" w:eastAsia="仿宋" w:cs="仿宋"/>
          <w:sz w:val="24"/>
          <w:szCs w:val="24"/>
        </w:rPr>
        <w:t>(5)电性参数计算</w:t>
      </w:r>
      <w:bookmarkEnd w:id="365"/>
      <w:bookmarkEnd w:id="366"/>
      <w:bookmarkEnd w:id="367"/>
      <w:bookmarkEnd w:id="368"/>
      <w:bookmarkEnd w:id="369"/>
    </w:p>
    <w:p w14:paraId="3AF296F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在资料处理过程中计算测线全区电阻率形成三维视电阻率-周期图，时频电磁法资料处理解释主要应用的是全区视电阻率（简称视电阻率）。在电法勘探中，将均匀半空间的电阻率计算方法推广应用到非均匀半空间，解出的ρ，称为视电阻率。推导TFEM勘探均匀半空间的电阻率计算方法如下：如图</w:t>
      </w:r>
      <w:r>
        <w:rPr>
          <w:rFonts w:ascii="仿宋" w:hAnsi="仿宋" w:eastAsia="仿宋" w:cs="仿宋"/>
          <w:sz w:val="24"/>
          <w:szCs w:val="24"/>
        </w:rPr>
        <w:t>5-1</w:t>
      </w:r>
      <w:r>
        <w:rPr>
          <w:rFonts w:hint="eastAsia" w:ascii="仿宋" w:hAnsi="仿宋" w:eastAsia="仿宋" w:cs="仿宋"/>
          <w:sz w:val="24"/>
          <w:szCs w:val="24"/>
        </w:rPr>
        <w:t>9坐标系，对于均匀半空间发射源为dζ长的电偶源P点的Ex为：</w:t>
      </w:r>
    </w:p>
    <w:p w14:paraId="0E579DA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32" o:spt="75" type="#_x0000_t75" style="height:30.75pt;width:247.5pt;" o:ole="t" filled="f" o:preferrelative="t" stroked="f" coordsize="21600,21600">
            <v:path/>
            <v:fill on="f" focussize="0,0"/>
            <v:stroke on="f" joinstyle="miter"/>
            <v:imagedata r:id="rId49" o:title=""/>
            <o:lock v:ext="edit" aspectratio="t"/>
            <w10:wrap type="none"/>
            <w10:anchorlock/>
          </v:shape>
          <o:OLEObject Type="Embed" ProgID="Equation.3" ShapeID="_x0000_i1032" DrawAspect="Content" ObjectID="_1468075732" r:id="rId48">
            <o:LockedField>false</o:LockedField>
          </o:OLEObject>
        </w:object>
      </w:r>
      <w:r>
        <w:rPr>
          <w:rFonts w:hint="eastAsia" w:ascii="仿宋" w:hAnsi="仿宋" w:eastAsia="仿宋" w:cs="仿宋"/>
          <w:sz w:val="24"/>
          <w:szCs w:val="24"/>
        </w:rPr>
        <w:t xml:space="preserve">         （5.13)</w:t>
      </w:r>
    </w:p>
    <w:p w14:paraId="33B52D6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bookmarkStart w:id="370" w:name="_Ref203636788"/>
      <w:bookmarkStart w:id="371" w:name="_Hlk70416968"/>
      <w:r>
        <w:rPr>
          <w:rFonts w:ascii="仿宋" w:hAnsi="仿宋" w:eastAsia="仿宋" w:cs="仿宋"/>
          <w:sz w:val="24"/>
          <w:szCs w:val="24"/>
        </w:rPr>
        <mc:AlternateContent>
          <mc:Choice Requires="wpg">
            <w:drawing>
              <wp:inline distT="0" distB="0" distL="0" distR="0">
                <wp:extent cx="3357880" cy="2191385"/>
                <wp:effectExtent l="4445" t="4445" r="9525" b="13970"/>
                <wp:docPr id="21" name="组合 21"/>
                <wp:cNvGraphicFramePr/>
                <a:graphic xmlns:a="http://schemas.openxmlformats.org/drawingml/2006/main">
                  <a:graphicData uri="http://schemas.microsoft.com/office/word/2010/wordprocessingGroup">
                    <wpg:wgp>
                      <wpg:cNvGrpSpPr/>
                      <wpg:grpSpPr>
                        <a:xfrm>
                          <a:off x="0" y="0"/>
                          <a:ext cx="3357880" cy="2191385"/>
                          <a:chOff x="0" y="0"/>
                          <a:chExt cx="28530" cy="18726"/>
                        </a:xfrm>
                      </wpg:grpSpPr>
                      <wpg:grpSp>
                        <wpg:cNvPr id="23" name="组合 90"/>
                        <wpg:cNvGrpSpPr/>
                        <wpg:grpSpPr>
                          <a:xfrm>
                            <a:off x="5014" y="442"/>
                            <a:ext cx="20865" cy="15333"/>
                            <a:chOff x="0" y="0"/>
                            <a:chExt cx="20867" cy="15332"/>
                          </a:xfrm>
                        </wpg:grpSpPr>
                        <wps:wsp>
                          <wps:cNvPr id="90" name="直接箭头连接符 91"/>
                          <wps:cNvCnPr>
                            <a:cxnSpLocks noChangeShapeType="1"/>
                          </wps:cNvCnPr>
                          <wps:spPr bwMode="auto">
                            <a:xfrm>
                              <a:off x="2876" y="13790"/>
                              <a:ext cx="14522" cy="70"/>
                            </a:xfrm>
                            <a:prstGeom prst="straightConnector1">
                              <a:avLst/>
                            </a:prstGeom>
                            <a:noFill/>
                            <a:ln w="12700" cmpd="sng">
                              <a:solidFill>
                                <a:srgbClr val="000000"/>
                              </a:solidFill>
                              <a:round/>
                              <a:tailEnd type="triangle" w="sm" len="med"/>
                            </a:ln>
                          </wps:spPr>
                          <wps:bodyPr/>
                        </wps:wsp>
                        <wps:wsp>
                          <wps:cNvPr id="91" name="直接箭头连接符 92"/>
                          <wps:cNvCnPr>
                            <a:cxnSpLocks noChangeShapeType="1"/>
                          </wps:cNvCnPr>
                          <wps:spPr bwMode="auto">
                            <a:xfrm flipV="1">
                              <a:off x="2876" y="2802"/>
                              <a:ext cx="0" cy="10875"/>
                            </a:xfrm>
                            <a:prstGeom prst="straightConnector1">
                              <a:avLst/>
                            </a:prstGeom>
                            <a:noFill/>
                            <a:ln w="12700" cmpd="sng">
                              <a:solidFill>
                                <a:srgbClr val="000000"/>
                              </a:solidFill>
                              <a:round/>
                              <a:tailEnd type="triangle" w="sm" len="med"/>
                            </a:ln>
                          </wps:spPr>
                          <wps:bodyPr/>
                        </wps:wsp>
                        <wps:wsp>
                          <wps:cNvPr id="92" name="直接箭头连接符 93"/>
                          <wps:cNvCnPr>
                            <a:cxnSpLocks noChangeShapeType="1"/>
                          </wps:cNvCnPr>
                          <wps:spPr bwMode="auto">
                            <a:xfrm flipV="1">
                              <a:off x="2876" y="6268"/>
                              <a:ext cx="7150" cy="7442"/>
                            </a:xfrm>
                            <a:prstGeom prst="straightConnector1">
                              <a:avLst/>
                            </a:prstGeom>
                            <a:noFill/>
                            <a:ln w="3175" cmpd="sng">
                              <a:solidFill>
                                <a:srgbClr val="000000"/>
                              </a:solidFill>
                              <a:prstDash val="sysDash"/>
                              <a:round/>
                            </a:ln>
                          </wps:spPr>
                          <wps:bodyPr/>
                        </wps:wsp>
                        <wps:wsp>
                          <wps:cNvPr id="93" name="文本框 2"/>
                          <wps:cNvSpPr txBox="1">
                            <a:spLocks noChangeArrowheads="1"/>
                          </wps:cNvSpPr>
                          <wps:spPr bwMode="auto">
                            <a:xfrm>
                              <a:off x="16962" y="12167"/>
                              <a:ext cx="3905" cy="1914"/>
                            </a:xfrm>
                            <a:prstGeom prst="rect">
                              <a:avLst/>
                            </a:prstGeom>
                            <a:noFill/>
                            <a:ln>
                              <a:noFill/>
                            </a:ln>
                          </wps:spPr>
                          <wps:txbx>
                            <w:txbxContent>
                              <w:p w14:paraId="69947895">
                                <w:pPr>
                                  <w:spacing w:line="360" w:lineRule="auto"/>
                                  <w:ind w:firstLine="480"/>
                                  <w:jc w:val="center"/>
                                  <w:rPr>
                                    <w:i/>
                                    <w:szCs w:val="21"/>
                                  </w:rPr>
                                </w:pPr>
                                <w:r>
                                  <w:rPr>
                                    <w:i/>
                                    <w:szCs w:val="21"/>
                                  </w:rPr>
                                  <w:t>x</w:t>
                                </w:r>
                              </w:p>
                            </w:txbxContent>
                          </wps:txbx>
                          <wps:bodyPr rot="0" vert="horz" wrap="square" lIns="91440" tIns="45720" rIns="91440" bIns="45720" anchor="t" anchorCtr="0" upright="1">
                            <a:noAutofit/>
                          </wps:bodyPr>
                        </wps:wsp>
                        <wps:wsp>
                          <wps:cNvPr id="94" name="文本框 2"/>
                          <wps:cNvSpPr txBox="1">
                            <a:spLocks noChangeArrowheads="1"/>
                          </wps:cNvSpPr>
                          <wps:spPr bwMode="auto">
                            <a:xfrm>
                              <a:off x="5531" y="6782"/>
                              <a:ext cx="3909" cy="1914"/>
                            </a:xfrm>
                            <a:prstGeom prst="rect">
                              <a:avLst/>
                            </a:prstGeom>
                            <a:noFill/>
                            <a:ln>
                              <a:noFill/>
                            </a:ln>
                          </wps:spPr>
                          <wps:txbx>
                            <w:txbxContent>
                              <w:p w14:paraId="29EB60BF">
                                <w:pPr>
                                  <w:spacing w:line="360" w:lineRule="auto"/>
                                  <w:ind w:firstLine="480"/>
                                  <w:rPr>
                                    <w:i/>
                                  </w:rPr>
                                </w:pPr>
                                <w:r>
                                  <w:rPr>
                                    <w:i/>
                                  </w:rPr>
                                  <w:t>r</w:t>
                                </w:r>
                              </w:p>
                            </w:txbxContent>
                          </wps:txbx>
                          <wps:bodyPr rot="0" vert="horz" wrap="square" lIns="91440" tIns="45720" rIns="91440" bIns="45720" anchor="t" anchorCtr="0" upright="1">
                            <a:noAutofit/>
                          </wps:bodyPr>
                        </wps:wsp>
                        <wps:wsp>
                          <wps:cNvPr id="95" name="文本框 2"/>
                          <wps:cNvSpPr txBox="1">
                            <a:spLocks noChangeArrowheads="1"/>
                          </wps:cNvSpPr>
                          <wps:spPr bwMode="auto">
                            <a:xfrm>
                              <a:off x="1473" y="0"/>
                              <a:ext cx="3913" cy="1914"/>
                            </a:xfrm>
                            <a:prstGeom prst="rect">
                              <a:avLst/>
                            </a:prstGeom>
                            <a:noFill/>
                            <a:ln>
                              <a:noFill/>
                            </a:ln>
                          </wps:spPr>
                          <wps:txbx>
                            <w:txbxContent>
                              <w:p w14:paraId="22E89403">
                                <w:pPr>
                                  <w:jc w:val="center"/>
                                  <w:rPr>
                                    <w:rFonts w:ascii="宋体" w:hAnsi="宋体"/>
                                    <w:i/>
                                    <w:sz w:val="18"/>
                                  </w:rPr>
                                </w:pPr>
                                <w:r>
                                  <w:rPr>
                                    <w:rFonts w:ascii="宋体" w:hAnsi="宋体"/>
                                    <w:i/>
                                    <w:sz w:val="18"/>
                                  </w:rPr>
                                  <w:t>y</w:t>
                                </w:r>
                              </w:p>
                            </w:txbxContent>
                          </wps:txbx>
                          <wps:bodyPr rot="0" vert="horz" wrap="square" lIns="91440" tIns="45720" rIns="91440" bIns="45720" anchor="t" anchorCtr="0" upright="1">
                            <a:noAutofit/>
                          </wps:bodyPr>
                        </wps:wsp>
                        <wps:wsp>
                          <wps:cNvPr id="96" name="弧形 97"/>
                          <wps:cNvSpPr/>
                          <wps:spPr bwMode="auto">
                            <a:xfrm rot="21369038">
                              <a:off x="0" y="12094"/>
                              <a:ext cx="5010" cy="2349"/>
                            </a:xfrm>
                            <a:custGeom>
                              <a:avLst/>
                              <a:gdLst>
                                <a:gd name="T0" fmla="*/ 436300 w 501015"/>
                                <a:gd name="T1" fmla="*/ 38676 h 234950"/>
                                <a:gd name="T2" fmla="*/ 467314 w 501015"/>
                                <a:gd name="T3" fmla="*/ 176326 h 234950"/>
                                <a:gd name="T4" fmla="*/ 250508 w 501015"/>
                                <a:gd name="T5" fmla="*/ 117475 h 234950"/>
                                <a:gd name="T6" fmla="*/ 436300 w 501015"/>
                                <a:gd name="T7" fmla="*/ 38676 h 234950"/>
                                <a:gd name="T8" fmla="*/ 436300 w 501015"/>
                                <a:gd name="T9" fmla="*/ 38676 h 234950"/>
                                <a:gd name="T10" fmla="*/ 467314 w 501015"/>
                                <a:gd name="T11" fmla="*/ 176326 h 234950"/>
                              </a:gdLst>
                              <a:ahLst/>
                              <a:cxnLst>
                                <a:cxn ang="0">
                                  <a:pos x="T0" y="T1"/>
                                </a:cxn>
                                <a:cxn ang="0">
                                  <a:pos x="T2" y="T3"/>
                                </a:cxn>
                                <a:cxn ang="0">
                                  <a:pos x="T4" y="T5"/>
                                </a:cxn>
                                <a:cxn ang="0">
                                  <a:pos x="T6" y="T7"/>
                                </a:cxn>
                                <a:cxn ang="0">
                                  <a:pos x="T8" y="T9"/>
                                </a:cxn>
                                <a:cxn ang="0">
                                  <a:pos x="T10" y="T11"/>
                                </a:cxn>
                              </a:cxnLst>
                              <a:rect l="0" t="0" r="r" b="b"/>
                              <a:pathLst>
                                <a:path w="501015" h="234950" stroke="0">
                                  <a:moveTo>
                                    <a:pt x="436300" y="38676"/>
                                  </a:moveTo>
                                  <a:cubicBezTo>
                                    <a:pt x="509303" y="76529"/>
                                    <a:pt x="521836" y="132155"/>
                                    <a:pt x="467314" y="176326"/>
                                  </a:cubicBezTo>
                                  <a:lnTo>
                                    <a:pt x="250508" y="117475"/>
                                  </a:lnTo>
                                  <a:lnTo>
                                    <a:pt x="436300" y="38676"/>
                                  </a:lnTo>
                                  <a:close/>
                                </a:path>
                                <a:path w="501015" h="234950" fill="none">
                                  <a:moveTo>
                                    <a:pt x="436300" y="38676"/>
                                  </a:moveTo>
                                  <a:cubicBezTo>
                                    <a:pt x="509303" y="76529"/>
                                    <a:pt x="521836" y="132155"/>
                                    <a:pt x="467314" y="176326"/>
                                  </a:cubicBezTo>
                                </a:path>
                              </a:pathLst>
                            </a:custGeom>
                            <a:noFill/>
                            <a:ln w="3175" cmpd="sng">
                              <a:solidFill>
                                <a:srgbClr val="000000"/>
                              </a:solidFill>
                              <a:round/>
                            </a:ln>
                          </wps:spPr>
                          <wps:bodyPr rot="0" vert="horz" wrap="square" lIns="91440" tIns="45720" rIns="91440" bIns="45720" anchor="ctr" anchorCtr="0" upright="1">
                            <a:noAutofit/>
                          </wps:bodyPr>
                        </wps:wsp>
                        <wps:wsp>
                          <wps:cNvPr id="97" name="文本框 2"/>
                          <wps:cNvSpPr txBox="1">
                            <a:spLocks noChangeArrowheads="1"/>
                          </wps:cNvSpPr>
                          <wps:spPr bwMode="auto">
                            <a:xfrm>
                              <a:off x="9513" y="3836"/>
                              <a:ext cx="3905" cy="1914"/>
                            </a:xfrm>
                            <a:prstGeom prst="rect">
                              <a:avLst/>
                            </a:prstGeom>
                            <a:noFill/>
                            <a:ln>
                              <a:noFill/>
                            </a:ln>
                          </wps:spPr>
                          <wps:txbx>
                            <w:txbxContent>
                              <w:p w14:paraId="21C408C9">
                                <w:pPr>
                                  <w:spacing w:line="360" w:lineRule="auto"/>
                                  <w:rPr>
                                    <w:sz w:val="22"/>
                                  </w:rPr>
                                </w:pPr>
                                <w:r>
                                  <w:rPr>
                                    <w:sz w:val="22"/>
                                  </w:rPr>
                                  <w:t>P</w:t>
                                </w:r>
                              </w:p>
                            </w:txbxContent>
                          </wps:txbx>
                          <wps:bodyPr rot="0" vert="horz" wrap="square" lIns="91440" tIns="45720" rIns="91440" bIns="45720" anchor="t" anchorCtr="0" upright="1">
                            <a:noAutofit/>
                          </wps:bodyPr>
                        </wps:wsp>
                        <wps:wsp>
                          <wps:cNvPr id="98" name="文本框 2"/>
                          <wps:cNvSpPr txBox="1">
                            <a:spLocks noChangeArrowheads="1"/>
                          </wps:cNvSpPr>
                          <wps:spPr bwMode="auto">
                            <a:xfrm>
                              <a:off x="1035" y="13418"/>
                              <a:ext cx="5310" cy="1914"/>
                            </a:xfrm>
                            <a:prstGeom prst="rect">
                              <a:avLst/>
                            </a:prstGeom>
                            <a:noFill/>
                            <a:ln>
                              <a:noFill/>
                            </a:ln>
                          </wps:spPr>
                          <wps:txbx>
                            <w:txbxContent>
                              <w:p w14:paraId="7F864996">
                                <w:pPr>
                                  <w:spacing w:line="360" w:lineRule="auto"/>
                                  <w:rPr>
                                    <w:i/>
                                    <w:sz w:val="18"/>
                                    <w:szCs w:val="18"/>
                                  </w:rPr>
                                </w:pPr>
                                <w:r>
                                  <w:rPr>
                                    <w:sz w:val="18"/>
                                    <w:szCs w:val="18"/>
                                  </w:rPr>
                                  <w:t>d</w:t>
                                </w:r>
                                <w:r>
                                  <w:rPr>
                                    <w:rFonts w:hint="eastAsia"/>
                                    <w:i/>
                                    <w:sz w:val="18"/>
                                    <w:szCs w:val="18"/>
                                  </w:rPr>
                                  <w:t>ζ</w:t>
                                </w:r>
                              </w:p>
                            </w:txbxContent>
                          </wps:txbx>
                          <wps:bodyPr rot="0" vert="horz" wrap="square" lIns="91440" tIns="45720" rIns="91440" bIns="45720" anchor="t" anchorCtr="0" upright="1">
                            <a:noAutofit/>
                          </wps:bodyPr>
                        </wps:wsp>
                      </wpg:grpSp>
                      <wpg:grpSp>
                        <wpg:cNvPr id="24" name="组合 100"/>
                        <wpg:cNvGrpSpPr/>
                        <wpg:grpSpPr>
                          <a:xfrm>
                            <a:off x="0" y="0"/>
                            <a:ext cx="28530" cy="18726"/>
                            <a:chOff x="0" y="0"/>
                            <a:chExt cx="28530" cy="18726"/>
                          </a:xfrm>
                        </wpg:grpSpPr>
                        <wps:wsp>
                          <wps:cNvPr id="100" name="矩形 101"/>
                          <wps:cNvSpPr>
                            <a:spLocks noChangeArrowheads="1"/>
                          </wps:cNvSpPr>
                          <wps:spPr bwMode="auto">
                            <a:xfrm>
                              <a:off x="0" y="0"/>
                              <a:ext cx="28530" cy="18726"/>
                            </a:xfrm>
                            <a:prstGeom prst="rect">
                              <a:avLst/>
                            </a:prstGeom>
                            <a:noFill/>
                            <a:ln w="3175" cmpd="sng">
                              <a:solidFill>
                                <a:srgbClr val="000000"/>
                              </a:solidFill>
                              <a:miter lim="800000"/>
                            </a:ln>
                          </wps:spPr>
                          <wps:bodyPr rot="0" vert="horz" wrap="square" lIns="91440" tIns="45720" rIns="91440" bIns="45720" anchor="ctr" anchorCtr="0" upright="1">
                            <a:noAutofit/>
                          </wps:bodyPr>
                        </wps:wsp>
                        <wps:wsp>
                          <wps:cNvPr id="101" name="椭圆 102"/>
                          <wps:cNvSpPr>
                            <a:spLocks noChangeArrowheads="1"/>
                          </wps:cNvSpPr>
                          <wps:spPr bwMode="auto">
                            <a:xfrm>
                              <a:off x="14969" y="6415"/>
                              <a:ext cx="451" cy="451"/>
                            </a:xfrm>
                            <a:prstGeom prst="ellipse">
                              <a:avLst/>
                            </a:prstGeom>
                            <a:solidFill>
                              <a:srgbClr val="00B050"/>
                            </a:solidFill>
                            <a:ln w="25400" cmpd="sng">
                              <a:solidFill>
                                <a:srgbClr val="385D8A"/>
                              </a:solidFill>
                              <a:round/>
                            </a:ln>
                          </wps:spPr>
                          <wps:bodyPr rot="0" vert="horz" wrap="square" lIns="91440" tIns="45720" rIns="91440" bIns="45720" anchor="ctr" anchorCtr="0" upright="1">
                            <a:noAutofit/>
                          </wps:bodyPr>
                        </wps:wsp>
                        <wps:wsp>
                          <wps:cNvPr id="102" name="文本框 2"/>
                          <wps:cNvSpPr txBox="1">
                            <a:spLocks noChangeArrowheads="1"/>
                          </wps:cNvSpPr>
                          <wps:spPr bwMode="auto">
                            <a:xfrm>
                              <a:off x="9366" y="11576"/>
                              <a:ext cx="3904" cy="1914"/>
                            </a:xfrm>
                            <a:prstGeom prst="rect">
                              <a:avLst/>
                            </a:prstGeom>
                            <a:noFill/>
                            <a:ln>
                              <a:noFill/>
                            </a:ln>
                          </wps:spPr>
                          <wps:txbx>
                            <w:txbxContent>
                              <w:p w14:paraId="0B79C9C7">
                                <w:pPr>
                                  <w:spacing w:line="360" w:lineRule="auto"/>
                                  <w:ind w:firstLine="480"/>
                                  <w:rPr>
                                    <w:i/>
                                  </w:rPr>
                                </w:pPr>
                                <w:r>
                                  <w:rPr>
                                    <w:rFonts w:hint="eastAsia"/>
                                    <w:i/>
                                  </w:rPr>
                                  <w:t>φ</w:t>
                                </w:r>
                              </w:p>
                            </w:txbxContent>
                          </wps:txbx>
                          <wps:bodyPr rot="0" vert="horz" wrap="square" lIns="91440" tIns="45720" rIns="91440" bIns="45720" anchor="t" anchorCtr="0" upright="1">
                            <a:noAutofit/>
                          </wps:bodyPr>
                        </wps:wsp>
                        <wps:wsp>
                          <wps:cNvPr id="103" name="直接箭头连接符 104"/>
                          <wps:cNvCnPr>
                            <a:cxnSpLocks noChangeShapeType="1"/>
                          </wps:cNvCnPr>
                          <wps:spPr bwMode="auto">
                            <a:xfrm flipH="1">
                              <a:off x="5899" y="14232"/>
                              <a:ext cx="3466" cy="5"/>
                            </a:xfrm>
                            <a:prstGeom prst="straightConnector1">
                              <a:avLst/>
                            </a:prstGeom>
                            <a:noFill/>
                            <a:ln w="28575" cmpd="sng">
                              <a:solidFill>
                                <a:srgbClr val="FF0000"/>
                              </a:solidFill>
                              <a:round/>
                              <a:tailEnd type="triangle" w="sm" len="lg"/>
                            </a:ln>
                          </wps:spPr>
                          <wps:bodyPr/>
                        </wps:wsp>
                      </wpg:grpSp>
                    </wpg:wgp>
                  </a:graphicData>
                </a:graphic>
              </wp:inline>
            </w:drawing>
          </mc:Choice>
          <mc:Fallback>
            <w:pict>
              <v:group id="_x0000_s1026" o:spid="_x0000_s1026" o:spt="203" style="height:172.55pt;width:264.4pt;" coordsize="28530,18726" o:gfxdata="UEsDBAoAAAAAAIdO4kAAAAAAAAAAAAAAAAAEAAAAZHJzL1BLAwQUAAAACACHTuJAeZixW9YAAAAF&#10;AQAADwAAAGRycy9kb3ducmV2LnhtbE2PQUvDQBCF74L/YRnBm92kNVJiNkWKeiqCrSDeptlpEpqd&#10;Ddlt0v57Ry96eTC84b3vFauz69RIQ2g9G0hnCSjiytuWawMfu5e7JagQkS12nsnAhQKsyuurAnPr&#10;J36ncRtrJSEccjTQxNjnWoeqIYdh5nti8Q5+cBjlHGptB5wk3HV6niQP2mHL0tBgT+uGquP25Ay8&#10;Tjg9LdLncXM8rC9fu+ztc5OSMbc3afIIKtI5/j3DD76gQylMe39iG1RnQIbEXxUvmy9lxt7A4j5L&#10;QZeF/k9ffgNQSwMEFAAAAAgAh07iQF81+FyNBwAALygAAA4AAABkcnMvZTJvRG9jLnhtbO1aS4/b&#10;VBTeI/EfLC+RaHz9TtRM1c60BalApQb2ju0kVm1fc+1MMl2jwgqxYkMFAhUQUsuqO0D8mpnhZ/Dd&#10;h53HJJkMnbSDNLPI+HHuufee+523b96aZql2GLMyoXlXJzcMXYvzkEZJPuzqn/buve/rWlkFeRSk&#10;NI+7+lFc6rf23n3n5qToxCYd0TSKmQYmedmZFF19VFVFp9Uqw1GcBeUNWsQ5Xg4oy4IKt2zYilgw&#10;AfcsbZmG4bYmlEUFo2Fclnh6IF/qiiPbhiEdDJIwPqDhOIvzSnJlcRpU2FI5SopS3xOrHQzisPpk&#10;MCjjSku7OnZaiV9Mgus+/23t3Qw6QxYUoyRUSwi2WcLSnrIgyTFpw+ogqAJtzJIzrLIkZLSkg+pG&#10;SLOW3IiQCHZBjCXZ3Gd0XIi9DDuTYdEIHQe1JPX/zDb8+PAh05Koq5tE1/Igw4mf/vHF8TdfaXgA&#10;6UyKYQdE91nxqHjI1IOhvOMbng5Yxv9jK9pUyPWokWs8rbQQDy3L8XwfIg/xziRtYvmOlHw4wvGc&#10;GReO7qqRpu9YahzxPdPlo1r1pC2+tmYpzc2OxWQtiaktQHRBMTkGsXUN0rBtU0qilpVp+K4jJUUc&#10;y7K2lBNGebNRgudaOUFvyxmYytcD06NRUMQCoyXHiQIThFKD6btXJ1//fPr7y+Pnr/75+3t+/eIX&#10;ra2wJcbs5w8Zh1A4zR8VD2j4uNRyuj8K8mEsuPeOCqBSjMCRzw3hNyVQqfUnH9EINMG4okINl1Bp&#10;+p4rxE0sT55X0KkFTmzHNKXoPHGUjdyCTsHK6n5MM41fdPWyYkEyHFX7NM9hWSgjYrLg8EFZSWDW&#10;A/h2cnovSVM8Dzpprk2wA9MzOJizAupW5kMxuKRpEnFCTleyYX8/ZdphwM2V+FOIXyCDWcgjwbgK&#10;kvRuHmmVEFHFEggtjXU+W5npWhrDxGdxpJikObSnFhpX7bLTp9GRUGvxHLiQj3cPkJm1WQ0QAeGF&#10;0750gGiDNCk+48jislcGrIGK6RtLqlkbIsP3hPm6BsqbsCTQTeWWVgNFWMi3CRTXdP1FG+4RR2HF&#10;U/Z9Z1CxCLB4CSaFG66DoBxJ01MelfxG7qq2NtjDVTIgjR8++fbLk2cvTn58qs3bDB6taNX0DkX8&#10;IRW8XPIttxmjk1EcRPCAC86FD5VmcCvnQty2C5DCmROTwAsLw1x7F6tt1N68DZcvvUTtnWpvodwL&#10;g0/Z2qEseJjVR1NN+1NMODPzGqMyAEb4j4sRZU/gKhD8wlt8Pg4YHEf6YQ5xYKk2EFyJG9vxTNyw&#10;+Tf9+TdBHoJVV690TV7uVzLCHheMu8v6AHJ6G/55kAhfOVuV8klv0Pcg9JIm5W1Dx3Es+EEgx/X8&#10;JWcD4LRVQHcNnKsCHKjy1QAOsT3YPwBHZbAzc0PwnKdZyLKuzc3VMDdIPSRqjv/89fivn7S28BEq&#10;ZOHORhnp9d5GGm6TWG7bsPz5cBWGWTgeoy1Oe5bWIMNUMYhp2e0lxxOOZV7DnUidvaB2ESGP4Y+G&#10;kVpwDywGWYqKyHstzbZcyzC0icZZE5XAz0hhyBpSC9moq400PjVCIeERZ5Rwlg2l7XoWsdcyBZgb&#10;UuK5lrmeK4x6Q2o6hmP4a7lCjRtSQjzbc9auFWfXkJ4jAOTfDelmAaDC1lCewxQ+oCHdzJQfd0N6&#10;jljJ/GGtkCviiQYMwUhmtyL9UgBBpg5XjzKUIbBY0JLXcDhaAMaeDKYEPUfTGmIZMvVE+I75QLWB&#10;WBZLenXatZlYpvo9oWXncsZZ8DXXGrKZM5ex2OHCFuUcSjQ8iFsuNjJRbOxLPSiCikuUb5Zf8lRd&#10;KZQ2QnVMagwqsIw+RkVDCjijh3GPiiEVl7QEjViLAIVS7xlZOO4n4Z34yfwgx2hbhvQanuuYYsdY&#10;g2DomMS36hKJSRyl3fKlBJOYTWJFTbc4SZrPTyY1UI4RGqbG1FT1fzWDMC1n9lMThSktYxgRCJqL&#10;7BzRDVBM6eo5itcCnDOhbJxrRra4LSWfXcqu2Za6EOjgoJqz0meKSZeV+G2T3e04bwgrKMj/I3OA&#10;jb8aAWDb4YEebJHF9VY42FkMeJ1yXrmUE27magCHGBbCHwCHWDZZqlshG4WDu84euIPZolgx6z/x&#10;IotqRe24+9SULlSTjqCjAO2/YPtJhjFLueOqXhuc0GV26N5AvZgLRKna6Q+/8XQLyYoUkegcyeIe&#10;Wi07qgZuLVo4+MuoA/L48bJigSyp0NpPk6yr+/PNp7Vl3+vAQPU7OcZqA//85fGzp0DdcjWaW5Vd&#10;oY7YbRepIsy6a9epeR0P2A7Wxo06v5BR9BrgxSkaYqUMm+uyAI9JVRdUbGBDu/IOkm41wUK7UnY/&#10;Tce+SPcTnwgc+LdXsbuOWKNVH4usbsRzGNbAfMt9krblqgyTOGjHL8es8GzXkceWkQevHe68RY9I&#10;sYbO6crWKzFEzVEVMnf0FYdo0n9Qx/OqSe/4bWntiG1ay40Tm8OMQ6muFq2xdq/5NQfCpYu0Xu/d&#10;4x51kz0LOtt8zZEOFY+1TpmbeAUQcaUCU3WN78hEIUV988Y/VJu/F1Sz7/z2/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8CQAAW0NvbnRlbnRf&#10;VHlwZXNdLnhtbFBLAQIUAAoAAAAAAIdO4kAAAAAAAAAAAAAAAAAGAAAAAAAAAAAAEAAAAN4IAABf&#10;cmVscy9QSwECFAAUAAAACACHTuJAihRmPNEAAACUAQAACwAAAAAAAAABACAAAAACCQAAX3JlbHMv&#10;LnJlbHNQSwECFAAKAAAAAACHTuJAAAAAAAAAAAAAAAAABAAAAAAAAAAAABAAAAAAAAAAZHJzL1BL&#10;AQIUABQAAAAIAIdO4kB5mLFb1gAAAAUBAAAPAAAAAAAAAAEAIAAAACIAAABkcnMvZG93bnJldi54&#10;bWxQSwECFAAUAAAACACHTuJAXzX4XI0HAAAvKAAADgAAAAAAAAABACAAAAAlAQAAZHJzL2Uyb0Rv&#10;Yy54bWxQSwUGAAAAAAYABgBZAQAAJAsAAAAA&#10;">
                <o:lock v:ext="edit" aspectratio="f"/>
                <v:group id="组合 90" o:spid="_x0000_s1026" o:spt="203" style="position:absolute;left:5014;top:442;height:15333;width:20865;" coordsize="20867,15332"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直接箭头连接符 91" o:spid="_x0000_s1026" o:spt="32" type="#_x0000_t32" style="position:absolute;left:2876;top:13790;height:70;width:14522;" filled="f" stroked="t" coordsize="21600,21600" o:gfxdata="UEsDBAoAAAAAAIdO4kAAAAAAAAAAAAAAAAAEAAAAZHJzL1BLAwQUAAAACACHTuJAu46BDrkAAADb&#10;AAAADwAAAGRycy9kb3ducmV2LnhtbEVPS2sCMRC+F/wPYQRvNbsepLsaPQiCHirUVs/DZtwsbiZL&#10;Mj7aX98cCj1+fO/l+ul7daeYusAGymkBirgJtuPWwNfn9vUNVBJki31gMvBNCdar0csSaxse/EH3&#10;o7Qqh3Cq0YATGWqtU+PIY5qGgThzlxA9Soax1TbiI4f7Xs+KYq49dpwbHA60cdRcjzdv4PSO5U/v&#10;hkiHan+WTg4V7W/GTMZlsQAl9JR/8Z97Zw1UeX3+kn+AXv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uOgQ65AAAA2wAA&#10;AA8AAAAAAAAAAQAgAAAAIgAAAGRycy9kb3ducmV2LnhtbFBLAQIUABQAAAAIAIdO4kAzLwWeOwAA&#10;ADkAAAAQAAAAAAAAAAEAIAAAAAgBAABkcnMvc2hhcGV4bWwueG1sUEsFBgAAAAAGAAYAWwEAALID&#10;AAAAAA==&#10;">
                    <v:fill on="f" focussize="0,0"/>
                    <v:stroke weight="1pt" color="#000000" joinstyle="round" endarrow="block" endarrowwidth="narrow"/>
                    <v:imagedata o:title=""/>
                    <o:lock v:ext="edit" aspectratio="f"/>
                  </v:shape>
                  <v:shape id="直接箭头连接符 92" o:spid="_x0000_s1026" o:spt="32" type="#_x0000_t32" style="position:absolute;left:2876;top:2802;flip:y;height:10875;width:0;" filled="f" stroked="t" coordsize="21600,21600" o:gfxdata="UEsDBAoAAAAAAIdO4kAAAAAAAAAAAAAAAAAEAAAAZHJzL1BLAwQUAAAACACHTuJAlgpx8sAAAADb&#10;AAAADwAAAGRycy9kb3ducmV2LnhtbEWPT2vCQBTE74V+h+UVvJS6SUBtUjc5iEIvVvwH9vbIviap&#10;2bchu43223cLgsdhZn7DzIuracVAvWssK4jHEQji0uqGKwWH/erlFYTzyBpby6TglxwU+ePDHDNt&#10;L7ylYecrESDsMlRQe99lUrqyJoNubDvi4H3Z3qAPsq+k7vES4KaVSRRNpcGGw0KNHS1qKs+7H6OA&#10;l7PnxLvvj2PSNtPhc5JuFqe1UqOnOHoD4enq7+Fb+10rSGP4/xJ+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CnHy&#10;wAAAANsAAAAPAAAAAAAAAAEAIAAAACIAAABkcnMvZG93bnJldi54bWxQSwECFAAUAAAACACHTuJA&#10;My8FnjsAAAA5AAAAEAAAAAAAAAABACAAAAAPAQAAZHJzL3NoYXBleG1sLnhtbFBLBQYAAAAABgAG&#10;AFsBAAC5AwAAAAA=&#10;">
                    <v:fill on="f" focussize="0,0"/>
                    <v:stroke weight="1pt" color="#000000" joinstyle="round" endarrow="block" endarrowwidth="narrow"/>
                    <v:imagedata o:title=""/>
                    <o:lock v:ext="edit" aspectratio="f"/>
                  </v:shape>
                  <v:shape id="直接箭头连接符 93" o:spid="_x0000_s1026" o:spt="32" type="#_x0000_t32" style="position:absolute;left:2876;top:6268;flip:y;height:7442;width:7150;" filled="f" stroked="t" coordsize="21600,21600" o:gfxdata="UEsDBAoAAAAAAIdO4kAAAAAAAAAAAAAAAAAEAAAAZHJzL1BLAwQUAAAACACHTuJAi0r2ZbwAAADb&#10;AAAADwAAAGRycy9kb3ducmV2LnhtbEWPX0vDQBDE3wW/w7GCb/aSIGJjr30oFCqIaP+8L7k1F5rb&#10;C3ebpvXTe4Lg4zAzv2EWq4vv1Zli6gIbKGcFKOIm2I5bA4f95uEZVBJki31gMnClBKvl7c0Caxsm&#10;/qTzTlqVIZxqNOBEhlrr1DjymGZhIM7eV4geJcvYahtxynDf66oonrTHjvOCw4HWjprTbvQGpv1V&#10;Xsvj+P5dYvX4JrEdtfsw5v6uLF5ACV3kP/zX3loD8wp+v+Qfo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K9mW8AAAA&#10;2wAAAA8AAAAAAAAAAQAgAAAAIgAAAGRycy9kb3ducmV2LnhtbFBLAQIUABQAAAAIAIdO4kAzLwWe&#10;OwAAADkAAAAQAAAAAAAAAAEAIAAAAAsBAABkcnMvc2hhcGV4bWwueG1sUEsFBgAAAAAGAAYAWwEA&#10;ALUDAAAAAA==&#10;">
                    <v:fill on="f" focussize="0,0"/>
                    <v:stroke weight="0.25pt" color="#000000" joinstyle="round" dashstyle="3 1"/>
                    <v:imagedata o:title=""/>
                    <o:lock v:ext="edit" aspectratio="f"/>
                  </v:shape>
                  <v:shape id="文本框 2" o:spid="_x0000_s1026" o:spt="202" type="#_x0000_t202" style="position:absolute;left:16962;top:12167;height:1914;width:3905;" filled="f" stroked="f" coordsize="21600,21600" o:gfxdata="UEsDBAoAAAAAAIdO4kAAAAAAAAAAAAAAAAAEAAAAZHJzL1BLAwQUAAAACACHTuJA3rIb270AAADb&#10;AAAADwAAAGRycy9kb3ducmV2LnhtbEWPQWvCQBSE74L/YXlCb2Y3VotJ3XhQCj1ZtK3Q2yP7TILZ&#10;tyG7Nem/7xYKHoeZ+YbZbEfbihv1vnGsIU0UCOLSmYYrDR/vL/M1CB+QDbaOScMPedgW08kGc+MG&#10;PtLtFCoRIexz1FCH0OVS+rImiz5xHXH0Lq63GKLsK2l6HCLctnKh1JO02HBcqLGjXU3l9fRtNXwe&#10;Ll/npXqr9nbVDW5Ukm0mtX6YpeoZRKAx3MP/7VejIXuE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hv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9947895">
                          <w:pPr>
                            <w:spacing w:line="360" w:lineRule="auto"/>
                            <w:ind w:firstLine="480"/>
                            <w:jc w:val="center"/>
                            <w:rPr>
                              <w:i/>
                              <w:szCs w:val="21"/>
                            </w:rPr>
                          </w:pPr>
                          <w:r>
                            <w:rPr>
                              <w:i/>
                              <w:szCs w:val="21"/>
                            </w:rPr>
                            <w:t>x</w:t>
                          </w:r>
                        </w:p>
                      </w:txbxContent>
                    </v:textbox>
                  </v:shape>
                  <v:shape id="文本框 2" o:spid="_x0000_s1026" o:spt="202" type="#_x0000_t202" style="position:absolute;left:5531;top:6782;height:1914;width:3909;" filled="f" stroked="f" coordsize="21600,21600" o:gfxdata="UEsDBAoAAAAAAIdO4kAAAAAAAAAAAAAAAAAEAAAAZHJzL1BLAwQUAAAACACHTuJAUVuDr7sAAADb&#10;AAAADwAAAGRycy9kb3ducmV2LnhtbEWPT4vCMBTE74LfITzBmyYuumg1enARPLn4F7w9mmdbbF5K&#10;E2399htB2OMwM79hFqvWluJJtS8caxgNFQji1JmCMw2n42YwBeEDssHSMWl4kYfVsttZYGJcw3t6&#10;HkImIoR9ghryEKpESp/mZNEPXUUcvZurLYYo60yaGpsIt6X8UupbWiw4LuRY0Tqn9H54WA3n3e16&#10;Gavf7MdOqsa1SrKdSa37vZGagwjUhv/wp701GmZj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uDr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9EB60BF">
                          <w:pPr>
                            <w:spacing w:line="360" w:lineRule="auto"/>
                            <w:ind w:firstLine="480"/>
                            <w:rPr>
                              <w:i/>
                            </w:rPr>
                          </w:pPr>
                          <w:r>
                            <w:rPr>
                              <w:i/>
                            </w:rPr>
                            <w:t>r</w:t>
                          </w:r>
                        </w:p>
                      </w:txbxContent>
                    </v:textbox>
                  </v:shape>
                  <v:shape id="文本框 2" o:spid="_x0000_s1026" o:spt="202" type="#_x0000_t202" style="position:absolute;left:1473;top:0;height:1914;width:3913;" filled="f" stroked="f" coordsize="21600,21600" o:gfxdata="UEsDBAoAAAAAAIdO4kAAAAAAAAAAAAAAAAAEAAAAZHJzL1BLAwQUAAAACACHTuJAPhcmNL0AAADb&#10;AAAADwAAAGRycy9kb3ducmV2LnhtbEWPQWvCQBSE7wX/w/IK3upupBaN2eSgFHpSqrbg7ZF9JqHZ&#10;tyG7NfHfu0Khx2FmvmGyYrStuFLvG8cakpkCQVw603Cl4XR8f1mC8AHZYOuYNNzIQ5FPnjJMjRv4&#10;k66HUIkIYZ+ihjqELpXSlzVZ9DPXEUfv4nqLIcq+kqbHIcJtK+dKvUmLDceFGjva1FT+HH6thq/d&#10;5fz9qvbV1i66wY1Ksl1JrafPiVqDCDSG//Bf+8NoWC3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Y0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2E89403">
                          <w:pPr>
                            <w:jc w:val="center"/>
                            <w:rPr>
                              <w:rFonts w:ascii="宋体" w:hAnsi="宋体"/>
                              <w:i/>
                              <w:sz w:val="18"/>
                            </w:rPr>
                          </w:pPr>
                          <w:r>
                            <w:rPr>
                              <w:rFonts w:ascii="宋体" w:hAnsi="宋体"/>
                              <w:i/>
                              <w:sz w:val="18"/>
                            </w:rPr>
                            <w:t>y</w:t>
                          </w:r>
                        </w:p>
                      </w:txbxContent>
                    </v:textbox>
                  </v:shape>
                  <v:shape id="弧形 97" o:spid="_x0000_s1026" o:spt="100" style="position:absolute;left:0;top:12094;height:2349;width:5010;rotation:-252272f;v-text-anchor:middle;" filled="f" stroked="t" coordsize="501015,234950" o:gfxdata="UEsDBAoAAAAAAIdO4kAAAAAAAAAAAAAAAAAEAAAAZHJzL1BLAwQUAAAACACHTuJAohnM1r8AAADb&#10;AAAADwAAAGRycy9kb3ducmV2LnhtbEWPS2vDMBCE74X8B7GB3BrZPYTUjRJCHpBDKcQuJL1tra0t&#10;Yq1cSXn031eBQo/DzHzDzBY324kL+WAcK8jHGQji2mnDjYL3avs4BREissbOMSn4oQCL+eBhhoV2&#10;V97TpYyNSBAOBSpoY+wLKUPdksUwdj1x8r6ctxiT9I3UHq8Jbjv5lGUTadFwWmixp1VL9ak8WwV+&#10;Vx3W8c0fP8/me6k/5Gu+3kyVGg3z7AVEpFv8D/+1d1rB8wTuX9IP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ZzNa/&#10;AAAA2wAAAA8AAAAAAAAAAQAgAAAAIgAAAGRycy9kb3ducmV2LnhtbFBLAQIUABQAAAAIAIdO4kAz&#10;LwWeOwAAADkAAAAQAAAAAAAAAAEAIAAAAA4BAABkcnMvc2hhcGV4bWwueG1sUEsFBgAAAAAGAAYA&#10;WwEAALgDAAAAAA==&#10;" path="m436300,38676nsc509303,76529,521836,132155,467314,176326l250508,117475,436300,38676xem436300,38676nfc509303,76529,521836,132155,467314,176326e">
                    <v:path o:connectlocs="4362,386;4673,1762;2505,1174;4362,386;4362,386;4673,1762" o:connectangles="0,0,0,0,0,0"/>
                    <v:fill on="f" focussize="0,0"/>
                    <v:stroke weight="0.25pt" color="#000000" joinstyle="round"/>
                    <v:imagedata o:title=""/>
                    <o:lock v:ext="edit" aspectratio="f"/>
                  </v:shape>
                  <v:shape id="文本框 2" o:spid="_x0000_s1026" o:spt="202" type="#_x0000_t202" style="position:absolute;left:9513;top:3836;height:1914;width:3905;" filled="f" stroked="f" coordsize="21600,21600" o:gfxdata="UEsDBAoAAAAAAIdO4kAAAAAAAAAAAAAAAAAEAAAAZHJzL1BLAwQUAAAACACHTuJAoYkd2L0AAADb&#10;AAAADwAAAGRycy9kb3ducmV2LnhtbEWPQWvCQBSE74L/YXlCb2Y3Uq1J3XhQCj1ZtK3Q2yP7TILZ&#10;tyG7Nem/7xYKHoeZ+YbZbEfbihv1vnGsIU0UCOLSmYYrDR/vL/M1CB+QDbaOScMPedgW08kGc+MG&#10;PtLtFCoRIexz1FCH0OVS+rImiz5xHXH0Lq63GKLsK2l6HCLctnKh1EpabDgu1NjRrqbyevq2Gj4P&#10;l6/zo3qr9nbZDW5Ukm0mtX6YpeoZRKAx3MP/7VejIXuC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R3Y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1C408C9">
                          <w:pPr>
                            <w:spacing w:line="360" w:lineRule="auto"/>
                            <w:rPr>
                              <w:sz w:val="22"/>
                            </w:rPr>
                          </w:pPr>
                          <w:r>
                            <w:rPr>
                              <w:sz w:val="22"/>
                            </w:rPr>
                            <w:t>P</w:t>
                          </w:r>
                        </w:p>
                      </w:txbxContent>
                    </v:textbox>
                  </v:shape>
                  <v:shape id="文本框 2" o:spid="_x0000_s1026" o:spt="202" type="#_x0000_t202" style="position:absolute;left:1035;top:13418;height:1914;width:5310;" filled="f" stroked="f" coordsize="21600,21600" o:gfxdata="UEsDBAoAAAAAAIdO4kAAAAAAAAAAAAAAAAAEAAAAZHJzL1BLAwQUAAAACACHTuJA0BaJqrgAAADb&#10;AAAADwAAAGRycy9kb3ducmV2LnhtbEVPy4rCMBTdC/5DuII7TRRHtNPoQhFcOYw6A7O7NLcPbG5K&#10;E239e7MYcHk473Tb21o8qPWVYw2zqQJBnDlTcaHhejlMViB8QDZYOyYNT/Kw3QwHKSbGdfxNj3Mo&#10;RAxhn6CGMoQmkdJnJVn0U9cQRy53rcUQYVtI02IXw20t50otpcWKY0OJDe1Kym7nu9Xwc8r/fhfq&#10;q9jbj6ZzvZJs11Lr8WimPkEE6sNb/O8+Gg3rODZ+i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BaJq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7F864996">
                          <w:pPr>
                            <w:spacing w:line="360" w:lineRule="auto"/>
                            <w:rPr>
                              <w:i/>
                              <w:sz w:val="18"/>
                              <w:szCs w:val="18"/>
                            </w:rPr>
                          </w:pPr>
                          <w:r>
                            <w:rPr>
                              <w:sz w:val="18"/>
                              <w:szCs w:val="18"/>
                            </w:rPr>
                            <w:t>d</w:t>
                          </w:r>
                          <w:r>
                            <w:rPr>
                              <w:rFonts w:hint="eastAsia"/>
                              <w:i/>
                              <w:sz w:val="18"/>
                              <w:szCs w:val="18"/>
                            </w:rPr>
                            <w:t>ζ</w:t>
                          </w:r>
                        </w:p>
                      </w:txbxContent>
                    </v:textbox>
                  </v:shape>
                </v:group>
                <v:group id="组合 100" o:spid="_x0000_s1026" o:spt="203" style="position:absolute;left:0;top:0;height:18726;width:28530;" coordsize="28530,18726"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rect id="矩形 101" o:spid="_x0000_s1026" o:spt="1" style="position:absolute;left:0;top:0;height:18726;width:28530;v-text-anchor:middle;" filled="f" stroked="t" coordsize="21600,21600" o:gfxdata="UEsDBAoAAAAAAIdO4kAAAAAAAAAAAAAAAAAEAAAAZHJzL1BLAwQUAAAACACHTuJAkGS4xL4AAADc&#10;AAAADwAAAGRycy9kb3ducmV2LnhtbEWPQWsCMRCF74X+hzAFbzWxWKtboxRBEA+W2oLXYTNulm4m&#10;yybr6r/vHITeZnhv3vtmub6GRl2oS3VkC5OxAUVcRldzZeHne/s8B5UyssMmMlm4UYL16vFhiYWL&#10;A3/R5ZgrJSGcCrTgc24LrVPpKWAax5ZYtHPsAmZZu0q7DgcJD41+MWamA9YsDR5b2ngqf499sDBf&#10;vPWv0zP2/vQ57A/sZx+l2Vs7epqYd1CZrvnffL/eOcE3gi/PyAR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S4xL4A&#10;AADcAAAADwAAAAAAAAABACAAAAAiAAAAZHJzL2Rvd25yZXYueG1sUEsBAhQAFAAAAAgAh07iQDMv&#10;BZ47AAAAOQAAABAAAAAAAAAAAQAgAAAADQEAAGRycy9zaGFwZXhtbC54bWxQSwUGAAAAAAYABgBb&#10;AQAAtwMAAAAA&#10;">
                    <v:fill on="f" focussize="0,0"/>
                    <v:stroke weight="0.25pt" color="#000000" miterlimit="8" joinstyle="miter"/>
                    <v:imagedata o:title=""/>
                    <o:lock v:ext="edit" aspectratio="f"/>
                  </v:rect>
                  <v:shape id="椭圆 102" o:spid="_x0000_s1026" o:spt="3" type="#_x0000_t3" style="position:absolute;left:14969;top:6415;height:451;width:451;v-text-anchor:middle;" fillcolor="#00B050" filled="t" stroked="t" coordsize="21600,21600" o:gfxdata="UEsDBAoAAAAAAIdO4kAAAAAAAAAAAAAAAAAEAAAAZHJzL1BLAwQUAAAACACHTuJAm6rf07kAAADc&#10;AAAADwAAAGRycy9kb3ducmV2LnhtbEVPTYvCMBC9C/sfwgjeNKnKUrpGD8KC6Km63sdmti02k9LE&#10;WvfXbwTB2zze56w2g21ET52vHWtIZgoEceFMzaWGn9P3NAXhA7LBxjFpeJCHzfpjtMLMuDvn1B9D&#10;KWII+ww1VCG0mZS+qMiin7mWOHK/rrMYIuxKaTq8x3DbyLlSn9JizbGhwpa2FRXX481qaPNT7/6G&#10;5SHk58UjvfoD7umi9WScqC8QgYbwFr/cOxPnqwSez8QL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uq39O5AAAA3AAA&#10;AA8AAAAAAAAAAQAgAAAAIgAAAGRycy9kb3ducmV2LnhtbFBLAQIUABQAAAAIAIdO4kAzLwWeOwAA&#10;ADkAAAAQAAAAAAAAAAEAIAAAAAgBAABkcnMvc2hhcGV4bWwueG1sUEsFBgAAAAAGAAYAWwEAALID&#10;AAAAAA==&#10;">
                    <v:fill on="t" focussize="0,0"/>
                    <v:stroke weight="2pt" color="#385D8A" joinstyle="round"/>
                    <v:imagedata o:title=""/>
                    <o:lock v:ext="edit" aspectratio="f"/>
                  </v:shape>
                  <v:shape id="文本框 2" o:spid="_x0000_s1026" o:spt="202" type="#_x0000_t202" style="position:absolute;left:9366;top:11576;height:1914;width:3904;" filled="f" stroked="f" coordsize="21600,21600" o:gfxdata="UEsDBAoAAAAAAIdO4kAAAAAAAAAAAAAAAAAEAAAAZHJzL1BLAwQUAAAACACHTuJAtZAjgboAAADc&#10;AAAADwAAAGRycy9kb3ducmV2LnhtbEVPS4vCMBC+C/sfwix4s4mislajhxVhT4qPFbwNzdiWbSal&#10;ydr6740geJuP7zmLVWcrcaPGl441DBMFgjhzpuRcw+m4GXyB8AHZYOWYNNzJw2r50VtgalzLe7od&#10;Qi5iCPsUNRQh1KmUPivIok9cTRy5q2sshgibXJoG2xhuKzlSaiotlhwbCqzpu6Ds7/BvNfxur5fz&#10;WO3ytZ3UreuUZDuTWvc/h2oOIlAX3uKX+8fE+WoEz2fi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kCOB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0B79C9C7">
                          <w:pPr>
                            <w:spacing w:line="360" w:lineRule="auto"/>
                            <w:ind w:firstLine="480"/>
                            <w:rPr>
                              <w:i/>
                            </w:rPr>
                          </w:pPr>
                          <w:r>
                            <w:rPr>
                              <w:rFonts w:hint="eastAsia"/>
                              <w:i/>
                            </w:rPr>
                            <w:t>φ</w:t>
                          </w:r>
                        </w:p>
                      </w:txbxContent>
                    </v:textbox>
                  </v:shape>
                  <v:shape id="直接箭头连接符 104" o:spid="_x0000_s1026" o:spt="32" type="#_x0000_t32" style="position:absolute;left:5899;top:14232;flip:x;height:5;width:3466;" filled="f" stroked="t" coordsize="21600,21600" o:gfxdata="UEsDBAoAAAAAAIdO4kAAAAAAAAAAAAAAAAAEAAAAZHJzL1BLAwQUAAAACACHTuJAB954y70AAADc&#10;AAAADwAAAGRycy9kb3ducmV2LnhtbEVPTWvCQBC9F/oflhG8NbtWqBpdBQVLoXiozaHHMTsm0exs&#10;ml1N+u9doeBtHu9zFqve1uJKra8caxglCgRx7kzFhYbse/syBeEDssHaMWn4Iw+r5fPTAlPjOv6i&#10;6z4UIoawT1FDGUKTSunzkiz6xDXEkTu61mKIsC2kabGL4baWr0q9SYsVx4YSG9qUlJ/3F6vhc4OT&#10;2fryvt4edpPTTlbnn99ppvVwMFJzEIH68BD/uz9MnK/GcH8mXi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3njLvQAA&#10;ANwAAAAPAAAAAAAAAAEAIAAAACIAAABkcnMvZG93bnJldi54bWxQSwECFAAUAAAACACHTuJAMy8F&#10;njsAAAA5AAAAEAAAAAAAAAABACAAAAAMAQAAZHJzL3NoYXBleG1sLnhtbFBLBQYAAAAABgAGAFsB&#10;AAC2AwAAAAA=&#10;">
                    <v:fill on="f" focussize="0,0"/>
                    <v:stroke weight="2.25pt" color="#FF0000" joinstyle="round" endarrow="block" endarrowwidth="narrow" endarrowlength="long"/>
                    <v:imagedata o:title=""/>
                    <o:lock v:ext="edit" aspectratio="f"/>
                  </v:shape>
                </v:group>
                <w10:wrap type="none"/>
                <w10:anchorlock/>
              </v:group>
            </w:pict>
          </mc:Fallback>
        </mc:AlternateContent>
      </w:r>
    </w:p>
    <w:p w14:paraId="10E09C2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图5</w:t>
      </w:r>
      <w:r>
        <w:rPr>
          <w:rFonts w:hint="eastAsia" w:ascii="仿宋" w:hAnsi="仿宋" w:eastAsia="仿宋" w:cs="仿宋"/>
          <w:sz w:val="24"/>
          <w:szCs w:val="24"/>
        </w:rPr>
        <w:noBreakHyphen/>
      </w:r>
      <w:bookmarkEnd w:id="370"/>
      <w:r>
        <w:rPr>
          <w:rFonts w:ascii="仿宋" w:hAnsi="仿宋" w:eastAsia="仿宋" w:cs="仿宋"/>
          <w:sz w:val="24"/>
          <w:szCs w:val="24"/>
        </w:rPr>
        <w:t>19</w:t>
      </w:r>
      <w:r>
        <w:rPr>
          <w:rFonts w:hint="eastAsia" w:ascii="仿宋" w:hAnsi="仿宋" w:eastAsia="仿宋" w:cs="仿宋"/>
          <w:sz w:val="24"/>
          <w:szCs w:val="24"/>
        </w:rPr>
        <w:t xml:space="preserve">  均匀半空间电偶源坐标系</w:t>
      </w:r>
      <w:bookmarkEnd w:id="371"/>
    </w:p>
    <w:p w14:paraId="36BB14C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TFEM勘探工作为线源供电，电偶源沿AB的积分，因此均匀半空间线源的Ex推导过程如下：</w:t>
      </w:r>
    </w:p>
    <w:p w14:paraId="33AC39A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667456" behindDoc="0" locked="0" layoutInCell="1" allowOverlap="1">
                <wp:simplePos x="0" y="0"/>
                <wp:positionH relativeFrom="column">
                  <wp:posOffset>1910715</wp:posOffset>
                </wp:positionH>
                <wp:positionV relativeFrom="paragraph">
                  <wp:posOffset>1608455</wp:posOffset>
                </wp:positionV>
                <wp:extent cx="7620" cy="346710"/>
                <wp:effectExtent l="4445" t="0" r="6985" b="5715"/>
                <wp:wrapNone/>
                <wp:docPr id="87" name="直接连接符 87"/>
                <wp:cNvGraphicFramePr/>
                <a:graphic xmlns:a="http://schemas.openxmlformats.org/drawingml/2006/main">
                  <a:graphicData uri="http://schemas.microsoft.com/office/word/2010/wordprocessingShape">
                    <wps:wsp>
                      <wps:cNvCnPr>
                        <a:cxnSpLocks noChangeShapeType="1"/>
                      </wps:cNvCnPr>
                      <wps:spPr bwMode="auto">
                        <a:xfrm>
                          <a:off x="0" y="0"/>
                          <a:ext cx="7620" cy="346710"/>
                        </a:xfrm>
                        <a:prstGeom prst="line">
                          <a:avLst/>
                        </a:prstGeom>
                        <a:noFill/>
                        <a:ln w="3175" cmpd="sng">
                          <a:solidFill>
                            <a:srgbClr val="000000"/>
                          </a:solidFill>
                          <a:round/>
                        </a:ln>
                      </wps:spPr>
                      <wps:bodyPr/>
                    </wps:wsp>
                  </a:graphicData>
                </a:graphic>
              </wp:anchor>
            </w:drawing>
          </mc:Choice>
          <mc:Fallback>
            <w:pict>
              <v:line id="_x0000_s1026" o:spid="_x0000_s1026" o:spt="20" style="position:absolute;left:0pt;margin-left:150.45pt;margin-top:126.65pt;height:27.3pt;width:0.6pt;z-index:251667456;mso-width-relative:page;mso-height-relative:page;" filled="f" stroked="t" coordsize="21600,21600" o:gfxdata="UEsDBAoAAAAAAIdO4kAAAAAAAAAAAAAAAAAEAAAAZHJzL1BLAwQUAAAACACHTuJAgaaBm9wAAAAL&#10;AQAADwAAAGRycy9kb3ducmV2LnhtbE2Py07DMBBF90j8gzWV2FE7iSg0xKmUCBZdgNQWqWXnxtMk&#10;Ih6H2Onj7+uuYDejObpzbrY4m44dcXCtJQnRVABDqqxuqZbwtXl/fAHmvCKtOkso4YIOFvn9XaZS&#10;bU+0wuPa1yyEkEuVhMb7PuXcVQ0a5aa2Rwq3gx2M8mEdaq4HdQrhpuOxEDNuVEvhQ6N6LBusftaj&#10;keDddvfpx+VvMSs+StwU3+UbX0r5MInEKzCPZ/8Hw00/qEMenPZ2JO1YJyERYh5QCfFTkgALRCLi&#10;CNj+NjzPgecZ/98hvwJQSwMEFAAAAAgAh07iQBBPpEvvAQAAuQMAAA4AAABkcnMvZTJvRG9jLnht&#10;bK1TS44TMRDdI3EHy3vSSYBk1EpnFomGzQCRZjiA43Z3W9guy+Wkk0twASR2sGLJfm7DcAzKzodh&#10;2MyCXli2q+pVvffcs8udNWyrAmpwFR8NhpwpJ6HWrq34h9urFxecYRSuFgacqvheIb+cP382632p&#10;xtCBqVVgBOKw7H3Fuxh9WRQoO2UFDsArR8EGghWRjqEt6iB6QremGA+Hk6KHUPsAUiHS7fIQ5EfE&#10;8BRAaBot1RLkxioXD6hBGRGJEnbaI5/naZtGyfi+aVBFZipOTGNeqQnt12kt5jNRtkH4TsvjCOIp&#10;IzziZIV21PQMtRRRsE3Q/0BZLQMgNHEgwRYHIlkRYjEaPtLmphNeZS4kNfqz6Pj/YOW77SowXVf8&#10;YsqZE5Ycv//84+enr7/uvtB6//0bowjJ1HssKXvhViERlTt3469BfkTmYNEJ16o87u3eE8QoVRR/&#10;laQDemq27t9CTTliEyFrtmuCTZCkBttla/Zna9QuMkmX08mYLJMUePlqMh1l4wpRnkp9wPhGgWVp&#10;U3GjXdJNlGJ7jTGNIspTSrp2cKWNyd4bx3oCHU1fE7z1JAS6NtciGF2nvFSBoV0vTGBbkR5S/jJF&#10;ijxMC7Bx9aGfcUcFEumDfGuo96twUoYczYMdX196Mg/PufrPHzf/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GmgZvcAAAACwEAAA8AAAAAAAAAAQAgAAAAIgAAAGRycy9kb3ducmV2LnhtbFBLAQIU&#10;ABQAAAAIAIdO4kAQT6RL7wEAALkDAAAOAAAAAAAAAAEAIAAAACsBAABkcnMvZTJvRG9jLnhtbFBL&#10;BQYAAAAABgAGAFkBAACMBQAAAAA=&#10;">
                <v:fill on="f" focussize="0,0"/>
                <v:stroke weight="0.25pt" color="#000000" joinstyle="round"/>
                <v:imagedata o:title=""/>
                <o:lock v:ext="edit" aspectratio="f"/>
              </v:line>
            </w:pict>
          </mc:Fallback>
        </mc:AlternateContent>
      </w:r>
      <w:r>
        <w:rPr>
          <w:rFonts w:hint="eastAsia" w:ascii="仿宋" w:hAnsi="仿宋" w:eastAsia="仿宋" w:cs="仿宋"/>
          <w:sz w:val="24"/>
          <w:szCs w:val="24"/>
        </w:rPr>
        <w:object>
          <v:shape id="_x0000_i1033" o:spt="75" type="#_x0000_t75" style="height:195.75pt;width:296.25pt;" o:ole="t" filled="f" o:preferrelative="t" stroked="f" coordsize="21600,21600">
            <v:path/>
            <v:fill on="f" focussize="0,0"/>
            <v:stroke on="f" joinstyle="miter"/>
            <v:imagedata r:id="rId51" o:title=""/>
            <o:lock v:ext="edit" aspectratio="t"/>
            <w10:wrap type="none"/>
            <w10:anchorlock/>
          </v:shape>
          <o:OLEObject Type="Embed" ProgID="Equation.3" ShapeID="_x0000_i1033" DrawAspect="Content" ObjectID="_1468075733" r:id="rId50">
            <o:LockedField>false</o:LockedField>
          </o:OLEObject>
        </w:object>
      </w:r>
      <w:r>
        <w:rPr>
          <w:rFonts w:hint="eastAsia" w:ascii="仿宋" w:hAnsi="仿宋" w:eastAsia="仿宋" w:cs="仿宋"/>
          <w:sz w:val="24"/>
          <w:szCs w:val="24"/>
        </w:rPr>
        <w:t xml:space="preserve">      （5.14)</w:t>
      </w:r>
    </w:p>
    <w:p w14:paraId="796A45F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其中：</w:t>
      </w:r>
    </w:p>
    <w:p w14:paraId="3E075B7E">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I：发射电流，单位A；</w:t>
      </w:r>
    </w:p>
    <w:p w14:paraId="6A69E5E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ρ：均匀半空间电阻率，单位欧姆米；</w:t>
      </w:r>
    </w:p>
    <w:p w14:paraId="6765DE6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l：发射源AB半长度，单位米；</w:t>
      </w:r>
    </w:p>
    <w:p w14:paraId="66BA536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x,y：测点相对发射源中心点坐标，单位：米；</w:t>
      </w:r>
    </w:p>
    <w:p w14:paraId="5E6EB6C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ζ：发射源电缆中电流元坐标；</w:t>
      </w:r>
    </w:p>
    <w:p w14:paraId="067F102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34" o:spt="75" type="#_x0000_t75" style="height:21pt;width:93pt;" o:ole="t" filled="f" o:preferrelative="t" stroked="f" coordsize="21600,21600">
            <v:path/>
            <v:fill on="f" focussize="0,0"/>
            <v:stroke on="f" joinstyle="miter"/>
            <v:imagedata r:id="rId53" o:title=""/>
            <o:lock v:ext="edit" aspectratio="t"/>
            <w10:wrap type="none"/>
            <w10:anchorlock/>
          </v:shape>
          <o:OLEObject Type="Embed" ProgID="Equation.3" ShapeID="_x0000_i1034" DrawAspect="Content" ObjectID="_1468075734" r:id="rId52">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035" o:spt="75" type="#_x0000_t75" style="height:21pt;width:93pt;" o:ole="t" filled="f" o:preferrelative="t" stroked="f" coordsize="21600,21600">
            <v:path/>
            <v:fill on="f" focussize="0,0"/>
            <v:stroke on="f" joinstyle="miter"/>
            <v:imagedata r:id="rId55" o:title=""/>
            <o:lock v:ext="edit" aspectratio="t"/>
            <w10:wrap type="none"/>
            <w10:anchorlock/>
          </v:shape>
          <o:OLEObject Type="Embed" ProgID="Equation.3" ShapeID="_x0000_i1035" DrawAspect="Content" ObjectID="_1468075735" r:id="rId54">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036" o:spt="75" type="#_x0000_t75" style="height:21pt;width:94.5pt;" o:ole="t" filled="f" o:preferrelative="t" stroked="f" coordsize="21600,21600">
            <v:path/>
            <v:fill on="f" focussize="0,0"/>
            <v:stroke on="f" joinstyle="miter"/>
            <v:imagedata r:id="rId57" o:title=""/>
            <o:lock v:ext="edit" aspectratio="t"/>
            <w10:wrap type="none"/>
            <w10:anchorlock/>
          </v:shape>
          <o:OLEObject Type="Embed" ProgID="Equation.3" ShapeID="_x0000_i1036" DrawAspect="Content" ObjectID="_1468075736" r:id="rId56">
            <o:LockedField>false</o:LockedField>
          </o:OLEObject>
        </w:object>
      </w:r>
    </w:p>
    <w:p w14:paraId="505B0A8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37" o:spt="75" type="#_x0000_t75" style="height:21pt;width:90.75pt;" o:ole="t" filled="f" o:preferrelative="t" stroked="f" coordsize="21600,21600">
            <v:path/>
            <v:fill on="f" focussize="0,0"/>
            <v:stroke on="f" joinstyle="miter"/>
            <v:imagedata r:id="rId59" o:title=""/>
            <o:lock v:ext="edit" aspectratio="t"/>
            <w10:wrap type="none"/>
            <w10:anchorlock/>
          </v:shape>
          <o:OLEObject Type="Embed" ProgID="Equation.3" ShapeID="_x0000_i1037" DrawAspect="Content" ObjectID="_1468075737" r:id="rId58">
            <o:LockedField>false</o:LockedField>
          </o:OLEObject>
        </w:object>
      </w:r>
      <w:r>
        <w:rPr>
          <w:rFonts w:hint="eastAsia" w:ascii="仿宋" w:hAnsi="仿宋" w:eastAsia="仿宋" w:cs="仿宋"/>
          <w:sz w:val="24"/>
          <w:szCs w:val="24"/>
        </w:rPr>
        <w:t>，波数</w:t>
      </w:r>
    </w:p>
    <w:p w14:paraId="22E6749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38" o:spt="75" type="#_x0000_t75" style="height:18.75pt;width:60pt;" o:ole="t" filled="f" o:preferrelative="t" stroked="f" coordsize="21600,21600">
            <v:path/>
            <v:fill on="f" focussize="0,0"/>
            <v:stroke on="f" joinstyle="miter"/>
            <v:imagedata r:id="rId61" o:title=""/>
            <o:lock v:ext="edit" aspectratio="t"/>
            <w10:wrap type="none"/>
            <w10:anchorlock/>
          </v:shape>
          <o:OLEObject Type="Embed" ProgID="Equation.3" ShapeID="_x0000_i1038" DrawAspect="Content" ObjectID="_1468075738" r:id="rId60">
            <o:LockedField>false</o:LockedField>
          </o:OLEObject>
        </w:object>
      </w:r>
    </w:p>
    <w:p w14:paraId="2E5D5CB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ω：角频率。</w:t>
      </w:r>
    </w:p>
    <w:p w14:paraId="0C70449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式（5.14）可见，电场Ex（ω）和电阻率ρ是隐函数关系，不是简单的解析关系，需要采用数值迭代的方法，由Ex反演出ρ。</w:t>
      </w:r>
    </w:p>
    <w:p w14:paraId="483BA36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设E0为某一频率的实测值，Ec(ρ)为该频率的理论值，目标函数为：</w:t>
      </w:r>
    </w:p>
    <w:p w14:paraId="789773C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 xml:space="preserve">φ＝[Eo－Ec(ρ)]2=min                       </w:t>
      </w:r>
      <w:r>
        <w:rPr>
          <w:rFonts w:ascii="仿宋" w:hAnsi="仿宋" w:eastAsia="仿宋" w:cs="仿宋"/>
          <w:sz w:val="24"/>
          <w:szCs w:val="24"/>
        </w:rPr>
        <w:t xml:space="preserve">     </w:t>
      </w:r>
      <w:r>
        <w:rPr>
          <w:rFonts w:hint="eastAsia" w:ascii="仿宋" w:hAnsi="仿宋" w:eastAsia="仿宋" w:cs="仿宋"/>
          <w:sz w:val="24"/>
          <w:szCs w:val="24"/>
        </w:rPr>
        <w:t xml:space="preserve">    （5.15）</w:t>
      </w:r>
    </w:p>
    <w:p w14:paraId="42C23DB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为了让目标函数达到最小，有：</w:t>
      </w:r>
    </w:p>
    <w:p w14:paraId="27BE5E5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dφ/dρ=0</w:t>
      </w:r>
    </w:p>
    <w:p w14:paraId="7F1AA07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在ρ0附近将Ec(ρ0)泰勒展开，有：</w:t>
      </w:r>
    </w:p>
    <w:p w14:paraId="6C2655A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{Eo－[Ec(ρ0)－dEc(ρ0)/dρ×Δρ]}×dEc(ρ0)/dρ＝0    （5.16）</w:t>
      </w:r>
    </w:p>
    <w:p w14:paraId="30F20A7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解得：</w:t>
      </w:r>
    </w:p>
    <w:p w14:paraId="05053C0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 xml:space="preserve">Δρ＝[Eo－（Ec(ρ0)]/dEc(ρ0)/dρ               </w:t>
      </w:r>
      <w:r>
        <w:rPr>
          <w:rFonts w:ascii="仿宋" w:hAnsi="仿宋" w:eastAsia="仿宋" w:cs="仿宋"/>
          <w:sz w:val="24"/>
          <w:szCs w:val="24"/>
        </w:rPr>
        <w:t xml:space="preserve"> </w:t>
      </w:r>
      <w:r>
        <w:rPr>
          <w:rFonts w:hint="eastAsia" w:ascii="仿宋" w:hAnsi="仿宋" w:eastAsia="仿宋" w:cs="仿宋"/>
          <w:sz w:val="24"/>
          <w:szCs w:val="24"/>
        </w:rPr>
        <w:t xml:space="preserve">    （5.17）</w:t>
      </w:r>
    </w:p>
    <w:p w14:paraId="492508D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ρ1=ρ0+Δρ                                        （5.18）</w:t>
      </w:r>
    </w:p>
    <w:p w14:paraId="00401AF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通过信号的同步叠加，再对每一记录道中固有的、由放大器滤波器等非线性电路引起的过渡过程进行改正，方法是与实时记录的阶跃脉冲响应进行反褶积，得到标准化曲线</w:t>
      </w:r>
      <w:r>
        <w:rPr>
          <w:rFonts w:hint="eastAsia" w:ascii="仿宋" w:hAnsi="仿宋" w:eastAsia="仿宋" w:cs="仿宋"/>
          <w:sz w:val="24"/>
          <w:szCs w:val="24"/>
        </w:rPr>
        <w:object>
          <v:shape id="_x0000_i1039" o:spt="75" type="#_x0000_t75" style="height:18.75pt;width:28.5pt;" o:ole="t" filled="f" o:preferrelative="t" stroked="f" coordsize="21600,21600">
            <v:path/>
            <v:fill on="f" focussize="0,0"/>
            <v:stroke on="f" joinstyle="miter"/>
            <v:imagedata r:id="rId63" o:title=""/>
            <o:lock v:ext="edit" aspectratio="t"/>
            <w10:wrap type="none"/>
            <w10:anchorlock/>
          </v:shape>
          <o:OLEObject Type="Embed" ProgID="Equation.DSMT4" ShapeID="_x0000_i1039" DrawAspect="Content" ObjectID="_1468075739" r:id="rId62">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040" o:spt="75" type="#_x0000_t75" style="height:18.75pt;width:28.5pt;" o:ole="t" filled="f" o:preferrelative="t" stroked="f" coordsize="21600,21600">
            <v:path/>
            <v:fill on="f" focussize="0,0"/>
            <v:stroke on="f" joinstyle="miter"/>
            <v:imagedata r:id="rId63" o:title=""/>
            <o:lock v:ext="edit" aspectratio="t"/>
            <w10:wrap type="none"/>
            <w10:anchorlock/>
          </v:shape>
          <o:OLEObject Type="Embed" ProgID="Equation.DSMT4" ShapeID="_x0000_i1040" DrawAspect="Content" ObjectID="_1468075740" r:id="rId64">
            <o:LockedField>false</o:LockedField>
          </o:OLEObject>
        </w:object>
      </w:r>
      <w:r>
        <w:rPr>
          <w:rFonts w:hint="eastAsia" w:ascii="仿宋" w:hAnsi="仿宋" w:eastAsia="仿宋" w:cs="仿宋"/>
          <w:sz w:val="24"/>
          <w:szCs w:val="24"/>
        </w:rPr>
        <w:t>的计算公式如下式：</w:t>
      </w:r>
    </w:p>
    <w:p w14:paraId="0D6FBFC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drawing>
          <wp:inline distT="0" distB="0" distL="0" distR="0">
            <wp:extent cx="1121410" cy="20701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121410" cy="207010"/>
                    </a:xfrm>
                    <a:prstGeom prst="rect">
                      <a:avLst/>
                    </a:prstGeom>
                    <a:noFill/>
                    <a:ln>
                      <a:noFill/>
                    </a:ln>
                  </pic:spPr>
                </pic:pic>
              </a:graphicData>
            </a:graphic>
          </wp:inline>
        </w:drawing>
      </w:r>
    </w:p>
    <w:p w14:paraId="631ADFBE">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式中K是装置系数，</w:t>
      </w:r>
      <w:r>
        <w:rPr>
          <w:rFonts w:hint="eastAsia" w:ascii="仿宋" w:hAnsi="仿宋" w:eastAsia="仿宋" w:cs="仿宋"/>
          <w:sz w:val="24"/>
          <w:szCs w:val="24"/>
        </w:rPr>
        <w:object>
          <v:shape id="_x0000_i1041" o:spt="75" type="#_x0000_t75" style="height:11.25pt;width:6pt;" o:ole="t" filled="f" o:preferrelative="t" stroked="f" coordsize="21600,21600">
            <v:path/>
            <v:fill on="f" focussize="0,0"/>
            <v:stroke on="f" joinstyle="miter"/>
            <v:imagedata r:id="rId67" o:title=""/>
            <o:lock v:ext="edit" aspectratio="t"/>
            <w10:wrap type="none"/>
            <w10:anchorlock/>
          </v:shape>
          <o:OLEObject Type="Embed" ProgID="Equation.DSMT4" ShapeID="_x0000_i1041" DrawAspect="Content" ObjectID="_1468075741" r:id="rId66">
            <o:LockedField>false</o:LockedField>
          </o:OLEObject>
        </w:object>
      </w:r>
      <w:r>
        <w:rPr>
          <w:rFonts w:hint="eastAsia" w:ascii="仿宋" w:hAnsi="仿宋" w:eastAsia="仿宋" w:cs="仿宋"/>
          <w:sz w:val="24"/>
          <w:szCs w:val="24"/>
        </w:rPr>
        <w:t>是时间，</w:t>
      </w:r>
      <w:r>
        <w:rPr>
          <w:rFonts w:hint="eastAsia" w:ascii="仿宋" w:hAnsi="仿宋" w:eastAsia="仿宋" w:cs="仿宋"/>
          <w:sz w:val="24"/>
          <w:szCs w:val="24"/>
        </w:rPr>
        <w:object>
          <v:shape id="_x0000_i1042" o:spt="75" type="#_x0000_t75" style="height:18.75pt;width:26.25pt;" o:ole="t" filled="f" o:preferrelative="t" stroked="f" coordsize="21600,21600">
            <v:path/>
            <v:fill on="f" focussize="0,0"/>
            <v:stroke on="f" joinstyle="miter"/>
            <v:imagedata r:id="rId69" o:title=""/>
            <o:lock v:ext="edit" aspectratio="t"/>
            <w10:wrap type="none"/>
            <w10:anchorlock/>
          </v:shape>
          <o:OLEObject Type="Embed" ProgID="Equation.DSMT4" ShapeID="_x0000_i1042" DrawAspect="Content" ObjectID="_1468075742" r:id="rId68">
            <o:LockedField>false</o:LockedField>
          </o:OLEObject>
        </w:object>
      </w:r>
      <w:r>
        <w:rPr>
          <w:rFonts w:hint="eastAsia" w:ascii="仿宋" w:hAnsi="仿宋" w:eastAsia="仿宋" w:cs="仿宋"/>
          <w:sz w:val="24"/>
          <w:szCs w:val="24"/>
        </w:rPr>
        <w:t>电场的衰减值，</w:t>
      </w:r>
      <w:r>
        <w:rPr>
          <w:rFonts w:hint="eastAsia" w:ascii="仿宋" w:hAnsi="仿宋" w:eastAsia="仿宋" w:cs="仿宋"/>
          <w:sz w:val="24"/>
          <w:szCs w:val="24"/>
        </w:rPr>
        <w:object>
          <v:shape id="_x0000_i1043" o:spt="75" type="#_x0000_t75" style="height:18.75pt;width:28.5pt;" o:ole="t" filled="f" o:preferrelative="t" stroked="f" coordsize="21600,21600">
            <v:path/>
            <v:fill on="f" focussize="0,0"/>
            <v:stroke on="f" joinstyle="miter"/>
            <v:imagedata r:id="rId63" o:title=""/>
            <o:lock v:ext="edit" aspectratio="t"/>
            <w10:wrap type="none"/>
            <w10:anchorlock/>
          </v:shape>
          <o:OLEObject Type="Embed" ProgID="Equation.DSMT4" ShapeID="_x0000_i1043" DrawAspect="Content" ObjectID="_1468075743" r:id="rId70">
            <o:LockedField>false</o:LockedField>
          </o:OLEObject>
        </w:object>
      </w:r>
      <w:r>
        <w:rPr>
          <w:rFonts w:hint="eastAsia" w:ascii="仿宋" w:hAnsi="仿宋" w:eastAsia="仿宋" w:cs="仿宋"/>
          <w:sz w:val="24"/>
          <w:szCs w:val="24"/>
        </w:rPr>
        <w:t>是去掉系统响应、装置响应及各种干扰后结果。</w:t>
      </w:r>
    </w:p>
    <w:p w14:paraId="33E622A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将初步处理结果汇集成</w:t>
      </w:r>
      <w:r>
        <w:rPr>
          <w:rFonts w:hint="eastAsia" w:ascii="仿宋" w:hAnsi="仿宋" w:eastAsia="仿宋" w:cs="仿宋"/>
          <w:sz w:val="24"/>
          <w:szCs w:val="24"/>
        </w:rPr>
        <w:object>
          <v:shape id="_x0000_i1044" o:spt="75" type="#_x0000_t75" style="height:18.75pt;width:38.25pt;" o:ole="t" filled="f" o:preferrelative="t" stroked="f" coordsize="21600,21600">
            <v:path/>
            <v:fill on="f" focussize="0,0"/>
            <v:stroke on="f" joinstyle="miter"/>
            <v:imagedata r:id="rId72" o:title=""/>
            <o:lock v:ext="edit" aspectratio="t"/>
            <w10:wrap type="none"/>
            <w10:anchorlock/>
          </v:shape>
          <o:OLEObject Type="Embed" ProgID="Equation.DSMT4" ShapeID="_x0000_i1044" DrawAspect="Content" ObjectID="_1468075744" r:id="rId71">
            <o:LockedField>false</o:LockedField>
          </o:OLEObject>
        </w:object>
      </w:r>
      <w:r>
        <w:rPr>
          <w:rFonts w:hint="eastAsia" w:ascii="仿宋" w:hAnsi="仿宋" w:eastAsia="仿宋" w:cs="仿宋"/>
          <w:sz w:val="24"/>
          <w:szCs w:val="24"/>
        </w:rPr>
        <w:t>函数形式的数据集，并在空间域内对同一时刻的函数值采用样条平滑，以进一步减小高频噪声和处理误差，从而确保了数据的高品质。</w:t>
      </w:r>
    </w:p>
    <w:p w14:paraId="7779B9A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接下来求算每个测点的综合地电参数，即确定任意源区的视电阻率</w:t>
      </w:r>
      <w:r>
        <w:rPr>
          <w:rFonts w:hint="eastAsia" w:ascii="仿宋" w:hAnsi="仿宋" w:eastAsia="仿宋" w:cs="仿宋"/>
          <w:sz w:val="24"/>
          <w:szCs w:val="24"/>
        </w:rPr>
        <w:object>
          <v:shape id="_x0000_i1045" o:spt="75" type="#_x0000_t75" style="height:15.75pt;width:26.25pt;" o:ole="t" filled="f" o:preferrelative="t" stroked="f" coordsize="21600,21600">
            <v:path/>
            <v:fill on="f" focussize="0,0"/>
            <v:stroke on="f" joinstyle="miter"/>
            <v:imagedata r:id="rId74" croptop="5578f" cropbottom="4396f" o:title=""/>
            <o:lock v:ext="edit" aspectratio="t"/>
            <w10:wrap type="none"/>
            <w10:anchorlock/>
          </v:shape>
          <o:OLEObject Type="Embed" ProgID="Equation.DSMT4" ShapeID="_x0000_i1045" DrawAspect="Content" ObjectID="_1468075745" r:id="rId73">
            <o:LockedField>false</o:LockedField>
          </o:OLEObject>
        </w:object>
      </w:r>
      <w:r>
        <w:rPr>
          <w:rFonts w:hint="eastAsia" w:ascii="仿宋" w:hAnsi="仿宋" w:eastAsia="仿宋" w:cs="仿宋"/>
          <w:sz w:val="24"/>
          <w:szCs w:val="24"/>
        </w:rPr>
        <w:t>和纵向电导</w:t>
      </w:r>
      <w:r>
        <w:rPr>
          <w:rFonts w:hint="eastAsia" w:ascii="仿宋" w:hAnsi="仿宋" w:eastAsia="仿宋" w:cs="仿宋"/>
          <w:sz w:val="24"/>
          <w:szCs w:val="24"/>
        </w:rPr>
        <w:object>
          <v:shape id="_x0000_i1046" o:spt="75" type="#_x0000_t75" style="height:16.5pt;width:26.25pt;" o:ole="t" filled="f" o:preferrelative="t" stroked="f" coordsize="21600,21600">
            <v:path/>
            <v:fill on="f" focussize="0,0"/>
            <v:stroke on="f" joinstyle="miter"/>
            <v:imagedata r:id="rId76" croptop="3681f" cropbottom="4369f" o:title=""/>
            <o:lock v:ext="edit" aspectratio="t"/>
            <w10:wrap type="none"/>
            <w10:anchorlock/>
          </v:shape>
          <o:OLEObject Type="Embed" ProgID="Equation.DSMT4" ShapeID="_x0000_i1046" DrawAspect="Content" ObjectID="_1468075746" r:id="rId75">
            <o:LockedField>false</o:LockedField>
          </o:OLEObject>
        </w:object>
      </w:r>
      <w:r>
        <w:rPr>
          <w:rFonts w:hint="eastAsia" w:ascii="仿宋" w:hAnsi="仿宋" w:eastAsia="仿宋" w:cs="仿宋"/>
          <w:sz w:val="24"/>
          <w:szCs w:val="24"/>
        </w:rPr>
        <w:t>。将</w:t>
      </w:r>
      <w:r>
        <w:rPr>
          <w:rFonts w:hint="eastAsia" w:ascii="仿宋" w:hAnsi="仿宋" w:eastAsia="仿宋" w:cs="仿宋"/>
          <w:sz w:val="24"/>
          <w:szCs w:val="24"/>
        </w:rPr>
        <w:object>
          <v:shape id="_x0000_i1047" o:spt="75" type="#_x0000_t75" style="height:15.75pt;width:28.5pt;" o:ole="t" filled="f" o:preferrelative="t" stroked="f" coordsize="21600,21600">
            <v:path/>
            <v:fill on="f" focussize="0,0"/>
            <v:stroke on="f" joinstyle="miter"/>
            <v:imagedata r:id="rId63" croptop="4879f" cropbottom="5942f" o:title=""/>
            <o:lock v:ext="edit" aspectratio="t"/>
            <w10:wrap type="none"/>
            <w10:anchorlock/>
          </v:shape>
          <o:OLEObject Type="Embed" ProgID="Equation.DSMT4" ShapeID="_x0000_i1047" DrawAspect="Content" ObjectID="_1468075747" r:id="rId77">
            <o:LockedField>false</o:LockedField>
          </o:OLEObject>
        </w:object>
      </w:r>
      <w:r>
        <w:rPr>
          <w:rFonts w:hint="eastAsia" w:ascii="仿宋" w:hAnsi="仿宋" w:eastAsia="仿宋" w:cs="仿宋"/>
          <w:sz w:val="24"/>
          <w:szCs w:val="24"/>
        </w:rPr>
        <w:t>曲线转换为以和</w:t>
      </w:r>
      <w:r>
        <w:rPr>
          <w:rFonts w:hint="eastAsia" w:ascii="仿宋" w:hAnsi="仿宋" w:eastAsia="仿宋" w:cs="仿宋"/>
          <w:sz w:val="24"/>
          <w:szCs w:val="24"/>
        </w:rPr>
        <w:object>
          <v:shape id="_x0000_i1048" o:spt="75" type="#_x0000_t75" style="height:15.75pt;width:76.5pt;" o:ole="t" filled="f" o:preferrelative="t" stroked="f" coordsize="21600,21600">
            <v:path/>
            <v:fill on="f" focussize="0,0"/>
            <v:stroke on="f" joinstyle="miter"/>
            <v:imagedata r:id="rId79" croptop="4323f" cropbottom="6403f" o:title=""/>
            <o:lock v:ext="edit" aspectratio="t"/>
            <w10:wrap type="none"/>
            <w10:anchorlock/>
          </v:shape>
          <o:OLEObject Type="Embed" ProgID="Equation.DSMT4" ShapeID="_x0000_i1048" DrawAspect="Content" ObjectID="_1468075748" r:id="rId78">
            <o:LockedField>false</o:LockedField>
          </o:OLEObject>
        </w:object>
      </w:r>
      <w:r>
        <w:rPr>
          <w:rFonts w:hint="eastAsia" w:ascii="仿宋" w:hAnsi="仿宋" w:eastAsia="仿宋" w:cs="仿宋"/>
          <w:sz w:val="24"/>
          <w:szCs w:val="24"/>
        </w:rPr>
        <w:t>为坐标轴的曲线，在以</w:t>
      </w:r>
      <w:r>
        <w:rPr>
          <w:rFonts w:hint="eastAsia" w:ascii="仿宋" w:hAnsi="仿宋" w:eastAsia="仿宋" w:cs="仿宋"/>
          <w:sz w:val="24"/>
          <w:szCs w:val="24"/>
        </w:rPr>
        <w:object>
          <v:shape id="_x0000_i1049" o:spt="75" type="#_x0000_t75" style="height:17.25pt;width:41.25pt;" o:ole="t" filled="f" o:preferrelative="t" stroked="f" coordsize="21600,21600">
            <v:path/>
            <v:fill on="f" focussize="0,0"/>
            <v:stroke on="f" joinstyle="miter"/>
            <v:imagedata r:id="rId81" cropbottom="6068f" o:title=""/>
            <o:lock v:ext="edit" aspectratio="t"/>
            <w10:wrap type="none"/>
            <w10:anchorlock/>
          </v:shape>
          <o:OLEObject Type="Embed" ProgID="Equation.DSMT4" ShapeID="_x0000_i1049" DrawAspect="Content" ObjectID="_1468075749" r:id="rId80">
            <o:LockedField>false</o:LockedField>
          </o:OLEObject>
        </w:object>
      </w:r>
      <w:r>
        <w:rPr>
          <w:rFonts w:hint="eastAsia" w:ascii="仿宋" w:hAnsi="仿宋" w:eastAsia="仿宋" w:cs="仿宋"/>
          <w:sz w:val="24"/>
          <w:szCs w:val="24"/>
        </w:rPr>
        <w:t>和</w:t>
      </w:r>
      <w:r>
        <w:rPr>
          <w:rFonts w:hint="eastAsia" w:ascii="仿宋" w:hAnsi="仿宋" w:eastAsia="仿宋" w:cs="仿宋"/>
          <w:sz w:val="24"/>
          <w:szCs w:val="24"/>
        </w:rPr>
        <w:object>
          <v:shape id="_x0000_i1050" o:spt="75" type="#_x0000_t75" style="height:19.5pt;width:102pt;" o:ole="t" filled="f" o:preferrelative="t" stroked="f" coordsize="21600,21600">
            <v:path/>
            <v:fill on="f" focussize="0,0"/>
            <v:stroke on="f" joinstyle="miter"/>
            <v:imagedata r:id="rId83" cropbottom="5448f" o:title=""/>
            <o:lock v:ext="edit" aspectratio="t"/>
            <w10:wrap type="none"/>
            <w10:anchorlock/>
          </v:shape>
          <o:OLEObject Type="Embed" ProgID="Equation.DSMT4" ShapeID="_x0000_i1050" DrawAspect="Content" ObjectID="_1468075750" r:id="rId82">
            <o:LockedField>false</o:LockedField>
          </o:OLEObject>
        </w:object>
      </w:r>
      <w:r>
        <w:rPr>
          <w:rFonts w:hint="eastAsia" w:ascii="仿宋" w:hAnsi="仿宋" w:eastAsia="仿宋" w:cs="仿宋"/>
          <w:sz w:val="24"/>
          <w:szCs w:val="24"/>
        </w:rPr>
        <w:t>为坐标轴的坐标系中，计算出参数</w:t>
      </w:r>
      <w:r>
        <w:rPr>
          <w:rFonts w:hint="eastAsia" w:ascii="仿宋" w:hAnsi="仿宋" w:eastAsia="仿宋" w:cs="仿宋"/>
          <w:sz w:val="24"/>
          <w:szCs w:val="24"/>
        </w:rPr>
        <w:object>
          <v:shape id="_x0000_i1051" o:spt="75" type="#_x0000_t75" style="height:18pt;width:23.25pt;" o:ole="t" filled="f" o:preferrelative="t" stroked="f" coordsize="21600,21600">
            <v:path/>
            <v:fill on="f" focussize="0,0"/>
            <v:stroke on="f" joinstyle="miter"/>
            <v:imagedata r:id="rId85" o:title=""/>
            <o:lock v:ext="edit" aspectratio="t"/>
            <w10:wrap type="none"/>
            <w10:anchorlock/>
          </v:shape>
          <o:OLEObject Type="Embed" ProgID="Equation.DSMT4" ShapeID="_x0000_i1051" DrawAspect="Content" ObjectID="_1468075751" r:id="rId84">
            <o:LockedField>false</o:LockedField>
          </o:OLEObject>
        </w:object>
      </w:r>
      <w:r>
        <w:rPr>
          <w:rFonts w:hint="eastAsia" w:ascii="仿宋" w:hAnsi="仿宋" w:eastAsia="仿宋" w:cs="仿宋"/>
          <w:sz w:val="24"/>
          <w:szCs w:val="24"/>
        </w:rPr>
        <w:t>和</w:t>
      </w:r>
      <w:r>
        <w:rPr>
          <w:rFonts w:hint="eastAsia" w:ascii="仿宋" w:hAnsi="仿宋" w:eastAsia="仿宋" w:cs="仿宋"/>
          <w:sz w:val="24"/>
          <w:szCs w:val="24"/>
        </w:rPr>
        <w:object>
          <v:shape id="_x0000_i1052" o:spt="75" type="#_x0000_t75" style="height:18.75pt;width:22.5pt;" o:ole="t" filled="f" o:preferrelative="t" stroked="f" coordsize="21600,21600">
            <v:path/>
            <v:fill on="f" focussize="0,0"/>
            <v:stroke on="f" joinstyle="miter"/>
            <v:imagedata r:id="rId87" o:title=""/>
            <o:lock v:ext="edit" aspectratio="t"/>
            <w10:wrap type="none"/>
            <w10:anchorlock/>
          </v:shape>
          <o:OLEObject Type="Embed" ProgID="Equation.DSMT4" ShapeID="_x0000_i1052" DrawAspect="Content" ObjectID="_1468075752" r:id="rId86">
            <o:LockedField>false</o:LockedField>
          </o:OLEObject>
        </w:object>
      </w:r>
      <w:r>
        <w:rPr>
          <w:rFonts w:hint="eastAsia" w:ascii="仿宋" w:hAnsi="仿宋" w:eastAsia="仿宋" w:cs="仿宋"/>
          <w:sz w:val="24"/>
          <w:szCs w:val="24"/>
        </w:rPr>
        <w:t>，然后用下式算出综合地电参数：</w:t>
      </w:r>
    </w:p>
    <w:p w14:paraId="3B4B01F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53" o:spt="75" type="#_x0000_t75" style="height:37.5pt;width:123pt;" o:ole="t" fillcolor="#6D6D6D" filled="f" o:preferrelative="t" stroked="f" coordsize="21600,21600">
            <v:path/>
            <v:fill on="f" focussize="0,0"/>
            <v:stroke on="f" joinstyle="miter"/>
            <v:imagedata r:id="rId89" o:title=""/>
            <o:lock v:ext="edit" aspectratio="t"/>
            <w10:wrap type="none"/>
            <w10:anchorlock/>
          </v:shape>
          <o:OLEObject Type="Embed" ProgID="Equation.3" ShapeID="_x0000_i1053" DrawAspect="Content" ObjectID="_1468075753" r:id="rId88">
            <o:LockedField>false</o:LockedField>
          </o:OLEObject>
        </w:object>
      </w:r>
      <w:r>
        <w:rPr>
          <w:rFonts w:hint="eastAsia" w:ascii="仿宋" w:hAnsi="仿宋" w:eastAsia="仿宋" w:cs="仿宋"/>
          <w:sz w:val="24"/>
          <w:szCs w:val="24"/>
        </w:rPr>
        <w:t>，</w:t>
      </w:r>
    </w:p>
    <w:p w14:paraId="7C86813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54" o:spt="75" type="#_x0000_t75" style="height:18pt;width:105pt;" o:ole="t" fillcolor="#6D6D6D" filled="f" o:preferrelative="t" stroked="f" coordsize="21600,21600">
            <v:path/>
            <v:fill on="f" focussize="0,0"/>
            <v:stroke on="f" joinstyle="miter"/>
            <v:imagedata r:id="rId91" o:title=""/>
            <o:lock v:ext="edit" aspectratio="t"/>
            <w10:wrap type="none"/>
            <w10:anchorlock/>
          </v:shape>
          <o:OLEObject Type="Embed" ProgID="Equation.3" ShapeID="_x0000_i1054" DrawAspect="Content" ObjectID="_1468075754" r:id="rId90">
            <o:LockedField>false</o:LockedField>
          </o:OLEObject>
        </w:object>
      </w:r>
      <w:r>
        <w:rPr>
          <w:rFonts w:hint="eastAsia" w:ascii="仿宋" w:hAnsi="仿宋" w:eastAsia="仿宋" w:cs="仿宋"/>
          <w:sz w:val="24"/>
          <w:szCs w:val="24"/>
        </w:rPr>
        <w:t>，</w:t>
      </w:r>
    </w:p>
    <w:p w14:paraId="6237F69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55" o:spt="75" type="#_x0000_t75" style="height:18.75pt;width:72.75pt;" o:ole="t" fillcolor="#6D6D6D" filled="f" o:preferrelative="t" stroked="f" coordsize="21600,21600">
            <v:path/>
            <v:fill on="f" focussize="0,0"/>
            <v:stroke on="f" joinstyle="miter"/>
            <v:imagedata r:id="rId93" o:title=""/>
            <o:lock v:ext="edit" aspectratio="t"/>
            <w10:wrap type="none"/>
            <w10:anchorlock/>
          </v:shape>
          <o:OLEObject Type="Embed" ProgID="Equation.2" ShapeID="_x0000_i1055" DrawAspect="Content" ObjectID="_1468075755" r:id="rId92">
            <o:LockedField>false</o:LockedField>
          </o:OLEObject>
        </w:object>
      </w:r>
      <w:r>
        <w:rPr>
          <w:rFonts w:hint="eastAsia" w:ascii="仿宋" w:hAnsi="仿宋" w:eastAsia="仿宋" w:cs="仿宋"/>
          <w:sz w:val="24"/>
          <w:szCs w:val="24"/>
        </w:rPr>
        <w:t>，</w:t>
      </w:r>
    </w:p>
    <w:p w14:paraId="7C2E149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式中：R为收发距，t为时间。</w:t>
      </w:r>
    </w:p>
    <w:p w14:paraId="70956CF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bookmarkStart w:id="372" w:name="_Toc28719"/>
      <w:bookmarkStart w:id="373" w:name="_Toc19324"/>
      <w:bookmarkStart w:id="374" w:name="_Toc29757"/>
      <w:bookmarkStart w:id="375" w:name="_Toc215402923"/>
      <w:bookmarkStart w:id="376" w:name="_Toc11988"/>
      <w:bookmarkStart w:id="377" w:name="_Toc215403023"/>
      <w:r>
        <w:rPr>
          <w:rFonts w:hint="eastAsia" w:ascii="仿宋" w:hAnsi="仿宋" w:eastAsia="仿宋" w:cs="仿宋"/>
          <w:sz w:val="24"/>
          <w:szCs w:val="24"/>
        </w:rPr>
        <w:t>(6)极化率参数</w:t>
      </w:r>
      <w:bookmarkEnd w:id="372"/>
      <w:r>
        <w:rPr>
          <w:rFonts w:hint="eastAsia" w:ascii="仿宋" w:hAnsi="仿宋" w:eastAsia="仿宋" w:cs="仿宋"/>
          <w:sz w:val="24"/>
          <w:szCs w:val="24"/>
        </w:rPr>
        <w:t>计算</w:t>
      </w:r>
      <w:bookmarkEnd w:id="373"/>
      <w:bookmarkEnd w:id="374"/>
      <w:bookmarkEnd w:id="375"/>
      <w:bookmarkEnd w:id="376"/>
      <w:bookmarkEnd w:id="377"/>
    </w:p>
    <w:p w14:paraId="7802A18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电性、电化学性的异常，这是电磁勘探的理论基础，在强大电流激发下通过探测油气藏和矿床等的电性、电化学性的异常来确定含油气或矿产状况。时频电磁法的特点在于激发场源强，易形成对高极化体等强而有效的激发，因此时频电磁法地电参数的局部异常通常用高极化率体的预测，基本电性参数是激发极化，电分量Ex对介质电导的频率偏移反映敏感，它在低频逐渐趋于某一值的渐近现象叫介质的激发极化。所以提取这一参数时要特别注意研究相位和以它转换成的双频相位特征，双频相位是近似表示离散介质在频率域电磁场的特征。</w:t>
      </w:r>
    </w:p>
    <w:p w14:paraId="67AC8D8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由前所述知，在低频断时频电磁法以传导场为主，所以可直接用频率域传导类电法的方法在低频区提取激电信息。生成双频振幅差异常曲线和双频相位差异常曲线。</w:t>
      </w:r>
    </w:p>
    <w:p w14:paraId="19C0E0D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双频振幅差异常提取：</w:t>
      </w:r>
    </w:p>
    <w:p w14:paraId="39A2778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激电效应具有容性特征，低频振幅大，高频振幅小，因此可以通过计算近场区相对高、低频归一化振幅差值提取激电异常，双频电磁法的双频振幅差异常计算公式如下：</w:t>
      </w:r>
    </w:p>
    <w:p w14:paraId="3D66C7C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56" o:spt="75" type="#_x0000_t75" style="height:32.25pt;width:125.25pt;" o:ole="t" filled="f" o:preferrelative="t" stroked="f" coordsize="21600,21600">
            <v:path/>
            <v:fill on="f" focussize="0,0"/>
            <v:stroke on="f" joinstyle="miter"/>
            <v:imagedata r:id="rId95" croptop="4551f" cropbottom="2731f" o:title=""/>
            <o:lock v:ext="edit" aspectratio="t"/>
            <w10:wrap type="none"/>
            <w10:anchorlock/>
          </v:shape>
          <o:OLEObject Type="Embed" ProgID="Equation.3" ShapeID="_x0000_i1056" DrawAspect="Content" ObjectID="_1468075756" r:id="rId94">
            <o:LockedField>false</o:LockedField>
          </o:OLEObject>
        </w:object>
      </w:r>
    </w:p>
    <w:p w14:paraId="253DB63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其中：P_Amp：双频振幅差；AL：低频振幅；AH：高频低频振幅。</w:t>
      </w:r>
    </w:p>
    <w:p w14:paraId="5610032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双频相位差异常提取：</w:t>
      </w:r>
    </w:p>
    <w:p w14:paraId="3348A6A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相位也是评价电容特征的一个参数，相位强，电容量大，说明极化效应强，所以由相位异常可以提取极化效应，并在前面已论述。为消除感应场影响，和双频振幅差处理方法一样，也进行趋势滤波，WFL软件双频相位差的计算公式如下：</w:t>
      </w:r>
    </w:p>
    <w:p w14:paraId="7311AD3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57" o:spt="75" type="#_x0000_t75" style="height:34.5pt;width:152.25pt;" o:ole="t" filled="f" o:preferrelative="t" stroked="f" coordsize="21600,21600">
            <v:path/>
            <v:fill on="f" focussize="0,0"/>
            <v:stroke on="f" joinstyle="miter"/>
            <v:imagedata r:id="rId97" o:title=""/>
            <o:lock v:ext="edit" aspectratio="t"/>
            <w10:wrap type="none"/>
            <w10:anchorlock/>
          </v:shape>
          <o:OLEObject Type="Embed" ProgID="Equation.3" ShapeID="_x0000_i1057" DrawAspect="Content" ObjectID="_1468075757" r:id="rId96">
            <o:LockedField>false</o:LockedField>
          </o:OLEObject>
        </w:object>
      </w:r>
    </w:p>
    <w:p w14:paraId="69BE886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其中：Ph_P:双频相位异常，单位：度；</w:t>
      </w:r>
    </w:p>
    <w:p w14:paraId="22A9726E">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 xml:space="preserve">         F1：低频相位，单位：度；</w:t>
      </w:r>
    </w:p>
    <w:p w14:paraId="4F84C6C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 xml:space="preserve">         F3：高频相位，单位：度；</w:t>
      </w:r>
    </w:p>
    <w:p w14:paraId="75B54ED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ω1：低频；</w:t>
      </w:r>
    </w:p>
    <w:p w14:paraId="6B9E6BC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ω3：高频，为ω1的3次谐波频率。</w:t>
      </w:r>
    </w:p>
    <w:p w14:paraId="7CE1DF3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双频振幅差和双频相位差是从宏观上提出激电信息，是激电效应的综合反映，均为视参数，地下介质各处的真实极化率（和电阻率）需要定量反演获取。</w:t>
      </w:r>
    </w:p>
    <w:p w14:paraId="6E2736F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从双频振幅和相位异常的求取过程中可以看出，双频振幅和相位是通过两个不同频点的数据计算出来的，而不同的频点意味着不同深度的反映，通过综合分析已知资料选定特定频点进行计算，可以直接对某一深度范围的高极化率体进行定性分析解释。对高极化率异常强度和分布范围的进一步定量解释还需要通过电阻率和极化率的约束反演来确定。</w:t>
      </w:r>
    </w:p>
    <w:p w14:paraId="6A76E59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bookmarkStart w:id="378" w:name="_Toc213792929"/>
      <w:bookmarkStart w:id="379" w:name="_Toc204588312"/>
      <w:r>
        <w:rPr>
          <w:rFonts w:hint="eastAsia" w:ascii="仿宋" w:hAnsi="仿宋" w:eastAsia="仿宋" w:cs="仿宋"/>
          <w:sz w:val="24"/>
          <w:szCs w:val="24"/>
        </w:rPr>
        <w:t>4、电性参数定性分析</w:t>
      </w:r>
      <w:bookmarkEnd w:id="378"/>
      <w:bookmarkEnd w:id="379"/>
    </w:p>
    <w:p w14:paraId="64510BC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bookmarkStart w:id="380" w:name="_Toc215403024"/>
      <w:bookmarkStart w:id="381" w:name="_Toc20088"/>
      <w:bookmarkStart w:id="382" w:name="_Toc4262"/>
      <w:bookmarkStart w:id="383" w:name="_Toc20296"/>
      <w:bookmarkStart w:id="384" w:name="_Toc215402924"/>
      <w:r>
        <w:rPr>
          <w:rFonts w:hint="eastAsia" w:ascii="仿宋" w:hAnsi="仿宋" w:eastAsia="仿宋" w:cs="仿宋"/>
          <w:sz w:val="24"/>
          <w:szCs w:val="24"/>
        </w:rPr>
        <w:t>(1)曲线类型分析</w:t>
      </w:r>
      <w:bookmarkEnd w:id="380"/>
      <w:bookmarkEnd w:id="381"/>
      <w:bookmarkEnd w:id="382"/>
      <w:bookmarkEnd w:id="383"/>
      <w:bookmarkEnd w:id="384"/>
    </w:p>
    <w:p w14:paraId="324CB30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测点的曲线类型定性地反应了地层纵向上电阻率的变化规律，不同的地质构造单元具有不同的电性结构，对应的视电阻率曲线的类型也不同，横向上不同测点曲线类型的变化基本上反应了地质构造单元的变化，因此视电阻率曲线的变化将直接反映出地层电阻率变化特点。同时，曲线类型规律性的分区成带分布是依据电法资料划分一级构造单元和解释断裂的重要信息。</w:t>
      </w:r>
    </w:p>
    <w:p w14:paraId="38FABE1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bookmarkStart w:id="385" w:name="_Toc9501"/>
      <w:bookmarkStart w:id="386" w:name="_Toc16411"/>
      <w:bookmarkStart w:id="387" w:name="_Toc215402925"/>
      <w:bookmarkStart w:id="388" w:name="_Toc27552"/>
      <w:bookmarkStart w:id="389" w:name="_Toc215403025"/>
      <w:r>
        <w:rPr>
          <w:rFonts w:hint="eastAsia" w:ascii="仿宋" w:hAnsi="仿宋" w:eastAsia="仿宋" w:cs="仿宋"/>
          <w:sz w:val="24"/>
          <w:szCs w:val="24"/>
        </w:rPr>
        <w:t>(2)视电阻率-周期断面</w:t>
      </w:r>
      <w:bookmarkEnd w:id="385"/>
      <w:bookmarkEnd w:id="386"/>
      <w:bookmarkEnd w:id="387"/>
      <w:bookmarkEnd w:id="388"/>
      <w:bookmarkEnd w:id="389"/>
    </w:p>
    <w:p w14:paraId="357E0CB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分析电阻率-周期断面可以定性地了解测线上的电性分布及变化规律，基底起伏，断层分布和电性层的划分等。</w:t>
      </w:r>
    </w:p>
    <w:p w14:paraId="7F71749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电阻率周期断面图横坐标为测线方向，标出了测点位置和点号，纵坐标为频率，按照对数坐标表示，自上而下频率变低，以各测点相应频率上的视电阻率绘制等值线，则得到的一个周期-电阻率断面图。</w:t>
      </w:r>
    </w:p>
    <w:p w14:paraId="2DA4175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一般而言，视电阻率等值线的横向起伏形态与地层起伏相对应，而视电阻率等值线密集、扭曲和畸变的地方往往与断层有关，断层越浅，这种特征越明显，岩性电阻率若差别较大，视电阻率断面图也有反应。</w:t>
      </w:r>
    </w:p>
    <w:p w14:paraId="6DE79EC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bookmarkStart w:id="390" w:name="_Toc215403026"/>
      <w:bookmarkStart w:id="391" w:name="_Toc11751"/>
      <w:bookmarkStart w:id="392" w:name="_Toc21680"/>
      <w:bookmarkStart w:id="393" w:name="_Toc7295"/>
      <w:bookmarkStart w:id="394" w:name="_Toc215402926"/>
      <w:r>
        <w:rPr>
          <w:rFonts w:hint="eastAsia" w:ascii="仿宋" w:hAnsi="仿宋" w:eastAsia="仿宋" w:cs="仿宋"/>
          <w:sz w:val="24"/>
          <w:szCs w:val="24"/>
        </w:rPr>
        <w:t>(3)相位－周期断面</w:t>
      </w:r>
      <w:bookmarkEnd w:id="390"/>
      <w:bookmarkEnd w:id="391"/>
      <w:bookmarkEnd w:id="392"/>
      <w:bookmarkEnd w:id="393"/>
      <w:bookmarkEnd w:id="394"/>
    </w:p>
    <w:p w14:paraId="17DA891E">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时频电磁法的相位参数反映的是观测点的电磁场和发射电流间之间的相位差。根据希尔伯特变换，相位与视电阻率具有如下关系；</w:t>
      </w:r>
    </w:p>
    <w:p w14:paraId="4DF6BAE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58" o:spt="75" type="#_x0000_t75" style="height:36pt;width:144.75pt;" o:ole="t" filled="f" o:preferrelative="t" stroked="f" coordsize="21600,21600">
            <v:path/>
            <v:fill on="f" focussize="0,0"/>
            <v:stroke on="f" joinstyle="miter"/>
            <v:imagedata r:id="rId99" o:title=""/>
            <o:lock v:ext="edit" aspectratio="t"/>
            <w10:wrap type="none"/>
            <w10:anchorlock/>
          </v:shape>
          <o:OLEObject Type="Embed" ProgID="Equation.3" ShapeID="_x0000_i1058" DrawAspect="Content" ObjectID="_1468075758" r:id="rId98">
            <o:LockedField>false</o:LockedField>
          </o:OLEObject>
        </w:object>
      </w:r>
      <w:r>
        <w:rPr>
          <w:rFonts w:hint="eastAsia" w:ascii="仿宋" w:hAnsi="仿宋" w:eastAsia="仿宋" w:cs="仿宋"/>
          <w:sz w:val="24"/>
          <w:szCs w:val="24"/>
        </w:rPr>
        <w:t xml:space="preserve">                                </w:t>
      </w:r>
    </w:p>
    <w:p w14:paraId="7809540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又:</w:t>
      </w:r>
      <w:r>
        <w:rPr>
          <w:rFonts w:hint="eastAsia" w:ascii="仿宋" w:hAnsi="仿宋" w:eastAsia="仿宋" w:cs="仿宋"/>
          <w:sz w:val="24"/>
          <w:szCs w:val="24"/>
        </w:rPr>
        <w:object>
          <v:shape id="_x0000_i1059" o:spt="75" type="#_x0000_t75" style="height:28.5pt;width:114pt;" o:ole="t" filled="f" o:preferrelative="t" stroked="f" coordsize="21600,21600">
            <v:path/>
            <v:fill on="f" focussize="0,0"/>
            <v:stroke on="f" joinstyle="miter"/>
            <v:imagedata r:id="rId101" o:title=""/>
            <o:lock v:ext="edit" aspectratio="t"/>
            <w10:wrap type="none"/>
            <w10:anchorlock/>
          </v:shape>
          <o:OLEObject Type="Embed" ProgID="Equation.3" ShapeID="_x0000_i1059" DrawAspect="Content" ObjectID="_1468075759" r:id="rId100">
            <o:LockedField>false</o:LockedField>
          </o:OLEObject>
        </w:object>
      </w:r>
      <w:r>
        <w:rPr>
          <w:rFonts w:hint="eastAsia" w:ascii="仿宋" w:hAnsi="仿宋" w:eastAsia="仿宋" w:cs="仿宋"/>
          <w:sz w:val="24"/>
          <w:szCs w:val="24"/>
        </w:rPr>
        <w:t xml:space="preserve">                                      </w:t>
      </w:r>
    </w:p>
    <w:p w14:paraId="709218B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式中：ω为观测频率，Φ(ω)为相位，ρa(ω)为视电阻率。</w:t>
      </w:r>
    </w:p>
    <w:p w14:paraId="2B28F14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上式说明，相位正比于视电阻率对频率的导数，即相位断面相当于视电阻率－周期断面沿纵轴求一次导数，所以利用相位断面可较直观地追踪电性异常的横向变化情况。</w:t>
      </w:r>
    </w:p>
    <w:p w14:paraId="5070004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bookmarkStart w:id="395" w:name="_Toc213792930"/>
      <w:bookmarkStart w:id="396" w:name="_Toc204588313"/>
      <w:r>
        <w:rPr>
          <w:rFonts w:hint="eastAsia" w:ascii="仿宋" w:hAnsi="仿宋" w:eastAsia="仿宋" w:cs="仿宋"/>
          <w:sz w:val="24"/>
          <w:szCs w:val="24"/>
        </w:rPr>
        <w:t>5、电阻率反演</w:t>
      </w:r>
      <w:bookmarkEnd w:id="395"/>
      <w:bookmarkEnd w:id="396"/>
    </w:p>
    <w:p w14:paraId="1EE449F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地球物理反演就是在观测数据与地下介质的物性分布之间建立起数学关系式，通过各种优化方法寻找到一个最合理的地球物理模型使之与观测数据相匹配。根据优化求解过程，反演可以分为两大类：</w:t>
      </w:r>
    </w:p>
    <w:p w14:paraId="1E8E69B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反演方法分为完全非线性反演方法(全局优化方法)和线性反演方法(局部优化方法)，线性反演方法将反演问题近似为线性问题，具有收敛速度快和反演计算效率高的特点，但难以准确构建复杂的模型和观测数据关系。由于观测数据与地下介质模型之间具有高度的非线性，线性反演非常容易陷入局部极值，很难求解得到令人满意的全局最优解，为了解决这类问题通常采用吉洪诺夫正则化方法(即：对反演模型进行约束，包括最小模型约束、最平缓模型约束和最光滑模型约束)、基于某种先验约束的方法(如对模型施加背景约束、已知属性约束和界限约束等)以及多种勘探方法联合反演。</w:t>
      </w:r>
    </w:p>
    <w:p w14:paraId="2C38D81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在电磁法反演方法中，高斯牛顿类反演方法与共轭梯度类反演方法被采用次数最多，高斯牛顿类反演</w:t>
      </w:r>
      <w:bookmarkStart w:id="397" w:name="_Hlk67945064"/>
      <w:r>
        <w:rPr>
          <w:rFonts w:hint="eastAsia" w:ascii="仿宋" w:hAnsi="仿宋" w:eastAsia="仿宋" w:cs="仿宋"/>
          <w:sz w:val="24"/>
          <w:szCs w:val="24"/>
        </w:rPr>
        <w:t>需要计算并存储Hessian矩阵，使得其整体收敛特性要优于共轭梯度类反演方法，但同时也增加了大量的计算量并占用巨额内存</w:t>
      </w:r>
      <w:bookmarkEnd w:id="397"/>
      <w:r>
        <w:rPr>
          <w:rFonts w:hint="eastAsia" w:ascii="仿宋" w:hAnsi="仿宋" w:eastAsia="仿宋" w:cs="仿宋"/>
          <w:sz w:val="24"/>
          <w:szCs w:val="24"/>
        </w:rPr>
        <w:t>。共轭梯度类反演方法由于不需要显式计算Jacobian矩阵和具有收敛较快的特点，因此被认为是电磁反演中非常有效的反演方法。共轭梯度类反演方法包括线性共轭梯度法和非线性共轭梯度法，两者的区别在于最优化步长的计算方法。综合两种方法的特点，采用非线性共轭梯度法求解高斯-牛顿反演方程组，既能保留高斯-牛顿类反演方法收敛快的特性，又能省去计算Hessian矩阵带来的巨额计算量和计算内存，而这也正是本次时频电磁法反演成像研究中采用的技术手段。</w:t>
      </w:r>
    </w:p>
    <w:p w14:paraId="1C06A0DE">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由于初始模型的给定方式不同以及数据模拟过程中所采用的数学方法不同，可派生出多种反演方法，各种反演方法可以在一定意义下求得多个地电模型，但并不是说这些模型都有确切的地球物理和地质意义，所以在解释过程中必须根据已有的地质和地球物理资料和认识，舍弃那些不合理的模型，通过多种方法相互佐证，选择在地质上和地球物理上可接受的模型，作为主要的或单一的综合地质解释的依据，达到减少地球物理反演结果的多解性。</w:t>
      </w:r>
    </w:p>
    <w:p w14:paraId="2ECA8F5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反演问题的正则化反演可以表示为</w:t>
      </w:r>
    </w:p>
    <w:p w14:paraId="2EDB3BB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60" o:spt="75" type="#_x0000_t75" style="height:18pt;width:110.25pt;" o:ole="t" filled="f" o:preferrelative="t" stroked="f" coordsize="21600,21600">
            <v:path/>
            <v:fill on="f" focussize="0,0"/>
            <v:stroke on="f" joinstyle="miter"/>
            <v:imagedata r:id="rId103" o:title=""/>
            <o:lock v:ext="edit" aspectratio="t"/>
            <w10:wrap type="none"/>
            <w10:anchorlock/>
          </v:shape>
          <o:OLEObject Type="Embed" ProgID="Equation.3" ShapeID="_x0000_i1060" DrawAspect="Content" ObjectID="_1468075760" r:id="rId102">
            <o:LockedField>false</o:LockedField>
          </o:OLEObject>
        </w:object>
      </w:r>
      <w:r>
        <w:rPr>
          <w:rFonts w:hint="eastAsia" w:ascii="仿宋" w:hAnsi="仿宋" w:eastAsia="仿宋" w:cs="仿宋"/>
          <w:sz w:val="24"/>
          <w:szCs w:val="24"/>
        </w:rPr>
        <w:t xml:space="preserve">                                    (1)</w:t>
      </w:r>
    </w:p>
    <w:p w14:paraId="25E8481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w:t>
      </w:r>
      <w:r>
        <w:rPr>
          <w:rFonts w:hint="eastAsia" w:ascii="仿宋" w:hAnsi="仿宋" w:eastAsia="仿宋" w:cs="仿宋"/>
          <w:sz w:val="24"/>
          <w:szCs w:val="24"/>
        </w:rPr>
        <w:object>
          <v:shape id="_x0000_i1061" o:spt="75" type="#_x0000_t75" style="height:16.5pt;width:12pt;" o:ole="t" filled="f" o:preferrelative="t" stroked="f" coordsize="21600,21600">
            <v:path/>
            <v:fill on="f" focussize="0,0"/>
            <v:stroke on="f" joinstyle="miter"/>
            <v:imagedata r:id="rId105" o:title=""/>
            <o:lock v:ext="edit" aspectratio="t"/>
            <w10:wrap type="none"/>
            <w10:anchorlock/>
          </v:shape>
          <o:OLEObject Type="Embed" ProgID="Equation.3" ShapeID="_x0000_i1061" DrawAspect="Content" ObjectID="_1468075761" r:id="rId104">
            <o:LockedField>false</o:LockedField>
          </o:OLEObject>
        </w:object>
      </w:r>
      <w:r>
        <w:rPr>
          <w:rFonts w:hint="eastAsia" w:ascii="仿宋" w:hAnsi="仿宋" w:eastAsia="仿宋" w:cs="仿宋"/>
          <w:sz w:val="24"/>
          <w:szCs w:val="24"/>
        </w:rPr>
        <w:t>和</w:t>
      </w:r>
      <w:r>
        <w:rPr>
          <w:rFonts w:hint="eastAsia" w:ascii="仿宋" w:hAnsi="仿宋" w:eastAsia="仿宋" w:cs="仿宋"/>
          <w:sz w:val="24"/>
          <w:szCs w:val="24"/>
        </w:rPr>
        <w:object>
          <v:shape id="_x0000_i1062" o:spt="75" type="#_x0000_t75" style="height:16.5pt;width:12pt;" o:ole="t" filled="f" o:preferrelative="t" stroked="f" coordsize="21600,21600">
            <v:path/>
            <v:fill on="f" focussize="0,0"/>
            <v:stroke on="f" joinstyle="miter"/>
            <v:imagedata r:id="rId107" o:title=""/>
            <o:lock v:ext="edit" aspectratio="t"/>
            <w10:wrap type="none"/>
            <w10:anchorlock/>
          </v:shape>
          <o:OLEObject Type="Embed" ProgID="Equation.3" ShapeID="_x0000_i1062" DrawAspect="Content" ObjectID="_1468075762" r:id="rId106">
            <o:LockedField>false</o:LockedField>
          </o:OLEObject>
        </w:object>
      </w:r>
      <w:r>
        <w:rPr>
          <w:rFonts w:hint="eastAsia" w:ascii="仿宋" w:hAnsi="仿宋" w:eastAsia="仿宋" w:cs="仿宋"/>
          <w:sz w:val="24"/>
          <w:szCs w:val="24"/>
        </w:rPr>
        <w:t>分别为观测数据目标函数和模型约束目标函数，</w:t>
      </w:r>
      <w:r>
        <w:rPr>
          <w:rFonts w:hint="eastAsia" w:ascii="仿宋" w:hAnsi="仿宋" w:eastAsia="仿宋" w:cs="仿宋"/>
          <w:sz w:val="24"/>
          <w:szCs w:val="24"/>
        </w:rPr>
        <w:object>
          <v:shape id="_x0000_i1063" o:spt="75" type="#_x0000_t75" style="height:12pt;width:10.5pt;" o:ole="t" filled="f" o:preferrelative="t" stroked="f" coordsize="21600,21600">
            <v:path/>
            <v:fill on="f" focussize="0,0"/>
            <v:stroke on="f" joinstyle="miter"/>
            <v:imagedata r:id="rId109" o:title=""/>
            <o:lock v:ext="edit" aspectratio="t"/>
            <w10:wrap type="none"/>
            <w10:anchorlock/>
          </v:shape>
          <o:OLEObject Type="Embed" ProgID="Equation.3" ShapeID="_x0000_i1063" DrawAspect="Content" ObjectID="_1468075763" r:id="rId108">
            <o:LockedField>false</o:LockedField>
          </o:OLEObject>
        </w:object>
      </w:r>
      <w:r>
        <w:rPr>
          <w:rFonts w:hint="eastAsia" w:ascii="仿宋" w:hAnsi="仿宋" w:eastAsia="仿宋" w:cs="仿宋"/>
          <w:sz w:val="24"/>
          <w:szCs w:val="24"/>
        </w:rPr>
        <w:t>为正则化因子，m为模型参数矢量(如电阻率、极化率和速度等物性参数)。</w:t>
      </w:r>
    </w:p>
    <w:p w14:paraId="1E1F8AB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模型约束目标函数的构建主要包括以下四种</w:t>
      </w:r>
    </w:p>
    <w:p w14:paraId="71C60D7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① 最小模型约束(模型本身的平方和最小):</w:t>
      </w:r>
    </w:p>
    <w:p w14:paraId="0BD9C6C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64" o:spt="75" type="#_x0000_t75" style="height:21pt;width:207.75pt;" o:ole="t" filled="f" o:preferrelative="t" stroked="f" coordsize="21600,21600">
            <v:path/>
            <v:fill on="f" focussize="0,0"/>
            <v:stroke on="f" joinstyle="miter"/>
            <v:imagedata r:id="rId111" o:title=""/>
            <o:lock v:ext="edit" aspectratio="t"/>
            <w10:wrap type="none"/>
            <w10:anchorlock/>
          </v:shape>
          <o:OLEObject Type="Embed" ProgID="Equation.3" ShapeID="_x0000_i1064" DrawAspect="Content" ObjectID="_1468075764" r:id="rId110">
            <o:LockedField>false</o:LockedField>
          </o:OLEObject>
        </w:object>
      </w:r>
      <w:r>
        <w:rPr>
          <w:rFonts w:hint="eastAsia" w:ascii="仿宋" w:hAnsi="仿宋" w:eastAsia="仿宋" w:cs="仿宋"/>
          <w:sz w:val="24"/>
          <w:szCs w:val="24"/>
        </w:rPr>
        <w:t xml:space="preserve">                     (2)</w:t>
      </w:r>
    </w:p>
    <w:p w14:paraId="2D929C4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② 最平缓模型约束(模型参数变化随坐标变化的一阶导数最小):</w:t>
      </w:r>
    </w:p>
    <w:p w14:paraId="024755A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65" o:spt="75" type="#_x0000_t75" style="height:23.25pt;width:258pt;" o:ole="t" filled="f" o:preferrelative="t" stroked="f" coordsize="21600,21600">
            <v:path/>
            <v:fill on="f" focussize="0,0"/>
            <v:stroke on="f" joinstyle="miter"/>
            <v:imagedata r:id="rId113" o:title=""/>
            <o:lock v:ext="edit" aspectratio="t"/>
            <w10:wrap type="none"/>
            <w10:anchorlock/>
          </v:shape>
          <o:OLEObject Type="Embed" ProgID="Equation.3" ShapeID="_x0000_i1065" DrawAspect="Content" ObjectID="_1468075765" r:id="rId112">
            <o:LockedField>false</o:LockedField>
          </o:OLEObject>
        </w:object>
      </w:r>
      <w:r>
        <w:rPr>
          <w:rFonts w:hint="eastAsia" w:ascii="仿宋" w:hAnsi="仿宋" w:eastAsia="仿宋" w:cs="仿宋"/>
          <w:sz w:val="24"/>
          <w:szCs w:val="24"/>
        </w:rPr>
        <w:t xml:space="preserve">     </w:t>
      </w:r>
      <w:r>
        <w:rPr>
          <w:rFonts w:ascii="仿宋" w:hAnsi="仿宋" w:eastAsia="仿宋" w:cs="仿宋"/>
          <w:sz w:val="24"/>
          <w:szCs w:val="24"/>
        </w:rPr>
        <w:t xml:space="preserve"> </w:t>
      </w:r>
      <w:r>
        <w:rPr>
          <w:rFonts w:hint="eastAsia" w:ascii="仿宋" w:hAnsi="仿宋" w:eastAsia="仿宋" w:cs="仿宋"/>
          <w:sz w:val="24"/>
          <w:szCs w:val="24"/>
        </w:rPr>
        <w:t xml:space="preserve">        (3)</w:t>
      </w:r>
    </w:p>
    <w:p w14:paraId="4D50F25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③ 最光滑模型约束(模型参数变化随坐标的二阶导数最小):</w:t>
      </w:r>
    </w:p>
    <w:p w14:paraId="6FBC533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66" o:spt="75" type="#_x0000_t75" style="height:23.25pt;width:272.25pt;" o:ole="t" filled="f" o:preferrelative="t" stroked="f" coordsize="21600,21600">
            <v:path/>
            <v:fill on="f" focussize="0,0"/>
            <v:stroke on="f" joinstyle="miter"/>
            <v:imagedata r:id="rId115" o:title=""/>
            <o:lock v:ext="edit" aspectratio="t"/>
            <w10:wrap type="none"/>
            <w10:anchorlock/>
          </v:shape>
          <o:OLEObject Type="Embed" ProgID="Equation.3" ShapeID="_x0000_i1066" DrawAspect="Content" ObjectID="_1468075766" r:id="rId114">
            <o:LockedField>false</o:LockedField>
          </o:OLEObject>
        </w:object>
      </w:r>
      <w:r>
        <w:rPr>
          <w:rFonts w:hint="eastAsia" w:ascii="仿宋" w:hAnsi="仿宋" w:eastAsia="仿宋" w:cs="仿宋"/>
          <w:sz w:val="24"/>
          <w:szCs w:val="24"/>
        </w:rPr>
        <w:t xml:space="preserve">             (4)</w:t>
      </w:r>
    </w:p>
    <w:p w14:paraId="0ACA207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④ 最小支撑函数:</w:t>
      </w:r>
    </w:p>
    <w:p w14:paraId="115999A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67" o:spt="75" type="#_x0000_t75" style="height:42pt;width:312pt;" o:ole="t" filled="f" o:preferrelative="t" stroked="f" coordsize="21600,21600">
            <v:path/>
            <v:fill on="f" focussize="0,0"/>
            <v:stroke on="f" joinstyle="miter"/>
            <v:imagedata r:id="rId117" croptop="3277f" cropbottom="1646f" o:title=""/>
            <o:lock v:ext="edit" aspectratio="t"/>
            <w10:wrap type="none"/>
            <w10:anchorlock/>
          </v:shape>
          <o:OLEObject Type="Embed" ProgID="Equation.3" ShapeID="_x0000_i1067" DrawAspect="Content" ObjectID="_1468075767" r:id="rId116">
            <o:LockedField>false</o:LockedField>
          </o:OLEObject>
        </w:object>
      </w:r>
      <w:r>
        <w:rPr>
          <w:rFonts w:hint="eastAsia" w:ascii="仿宋" w:hAnsi="仿宋" w:eastAsia="仿宋" w:cs="仿宋"/>
          <w:sz w:val="24"/>
          <w:szCs w:val="24"/>
        </w:rPr>
        <w:t xml:space="preserve">       (5)</w:t>
      </w:r>
    </w:p>
    <w:p w14:paraId="659061A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前面三种模型约束方法在电磁法反演中得到了非常广泛的应用，模型参数导数的阶数越高反演越稳定，得到的反演结果越光滑，但同时对物性界面的分辨能力越差，第四种模型约束方法正是针对物性界面提出的一种聚焦反演方法(e为调节参数)，它能使模型参数中异常体剖面的面积收缩到最小，这样可以将最小支撑泛函的性质用于提高块状结构体的分辨率。</w:t>
      </w:r>
    </w:p>
    <w:p w14:paraId="44A29B5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观测数据目标函数通常可以表示为实测数据与预测数据之差的二范数，再引入数据权重系数矩阵</w:t>
      </w:r>
    </w:p>
    <w:p w14:paraId="6E82A6C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68" o:spt="75" type="#_x0000_t75" style="height:24.75pt;width:207.75pt;" o:ole="t" filled="f" o:preferrelative="t" stroked="f" coordsize="21600,21600">
            <v:path/>
            <v:fill on="f" focussize="0,0"/>
            <v:stroke on="f" joinstyle="miter"/>
            <v:imagedata r:id="rId119" croptop="2427f" cropbottom="3641f" o:title=""/>
            <o:lock v:ext="edit" aspectratio="t"/>
            <w10:wrap type="none"/>
            <w10:anchorlock/>
          </v:shape>
          <o:OLEObject Type="Embed" ProgID="Equation.3" ShapeID="_x0000_i1068" DrawAspect="Content" ObjectID="_1468075768" r:id="rId118">
            <o:LockedField>false</o:LockedField>
          </o:OLEObject>
        </w:object>
      </w:r>
      <w:r>
        <w:rPr>
          <w:rFonts w:hint="eastAsia" w:ascii="仿宋" w:hAnsi="仿宋" w:eastAsia="仿宋" w:cs="仿宋"/>
          <w:sz w:val="24"/>
          <w:szCs w:val="24"/>
        </w:rPr>
        <w:t xml:space="preserve">                         (6)</w:t>
      </w:r>
    </w:p>
    <w:p w14:paraId="6440B1B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式中，T为共轭转置(Hermitian transpose)，正演算子F(m)计算得到预测数据，dobs为观测数据向量，Wd为数据权重系数矩阵。</w:t>
      </w:r>
    </w:p>
    <w:p w14:paraId="0C79C60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本次创新的选取最光滑模型约束，综合(1)、(5)和(6)可得目标函数表达式</w:t>
      </w:r>
    </w:p>
    <w:p w14:paraId="0DB4C72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69" o:spt="75" type="#_x0000_t75" style="height:23.25pt;width:270pt;" o:ole="t" filled="f" o:preferrelative="t" stroked="f" coordsize="21600,21600">
            <v:path/>
            <v:fill on="f" focussize="0,0"/>
            <v:stroke on="f" joinstyle="miter"/>
            <v:imagedata r:id="rId121" croptop="3641f" cropbottom="4855f" o:title=""/>
            <o:lock v:ext="edit" aspectratio="t"/>
            <w10:wrap type="none"/>
            <w10:anchorlock/>
          </v:shape>
          <o:OLEObject Type="Embed" ProgID="Equation.3" ShapeID="_x0000_i1069" DrawAspect="Content" ObjectID="_1468075769" r:id="rId120">
            <o:LockedField>false</o:LockedField>
          </o:OLEObject>
        </w:object>
      </w:r>
      <w:r>
        <w:rPr>
          <w:rFonts w:hint="eastAsia" w:ascii="仿宋" w:hAnsi="仿宋" w:eastAsia="仿宋" w:cs="仿宋"/>
          <w:sz w:val="24"/>
          <w:szCs w:val="24"/>
        </w:rPr>
        <w:t xml:space="preserve">           </w:t>
      </w:r>
      <w:r>
        <w:rPr>
          <w:rFonts w:ascii="仿宋" w:hAnsi="仿宋" w:eastAsia="仿宋" w:cs="仿宋"/>
          <w:sz w:val="24"/>
          <w:szCs w:val="24"/>
        </w:rPr>
        <w:t xml:space="preserve"> </w:t>
      </w:r>
      <w:r>
        <w:rPr>
          <w:rFonts w:hint="eastAsia" w:ascii="仿宋" w:hAnsi="仿宋" w:eastAsia="仿宋" w:cs="仿宋"/>
          <w:sz w:val="24"/>
          <w:szCs w:val="24"/>
        </w:rPr>
        <w:t xml:space="preserve">    (7)</w:t>
      </w:r>
    </w:p>
    <w:p w14:paraId="496B48C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式中L为二阶差分算子(拉普拉斯算子)，由于本文反演模型参数为电导率的对数(</w:t>
      </w:r>
      <w:r>
        <w:rPr>
          <w:rFonts w:hint="eastAsia" w:ascii="仿宋" w:hAnsi="仿宋" w:eastAsia="仿宋" w:cs="仿宋"/>
          <w:sz w:val="24"/>
          <w:szCs w:val="24"/>
        </w:rPr>
        <w:object>
          <v:shape id="_x0000_i1070" o:spt="75" type="#_x0000_t75" style="height:15pt;width:18.75pt;" o:ole="t" filled="f" o:preferrelative="t" stroked="f" coordsize="21600,21600">
            <v:path/>
            <v:fill on="f" focussize="0,0"/>
            <v:stroke on="f" joinstyle="miter"/>
            <v:imagedata r:id="rId123" o:title=""/>
            <o:lock v:ext="edit" aspectratio="t"/>
            <w10:wrap type="none"/>
            <w10:anchorlock/>
          </v:shape>
          <o:OLEObject Type="Embed" ProgID="Equation.3" ShapeID="_x0000_i1070" DrawAspect="Content" ObjectID="_1468075770" r:id="rId122">
            <o:LockedField>false</o:LockedField>
          </o:OLEObject>
        </w:object>
      </w:r>
      <w:r>
        <w:rPr>
          <w:rFonts w:hint="eastAsia" w:ascii="仿宋" w:hAnsi="仿宋" w:eastAsia="仿宋" w:cs="仿宋"/>
          <w:sz w:val="24"/>
          <w:szCs w:val="24"/>
        </w:rPr>
        <w:t>)，因此Lm近似为</w:t>
      </w:r>
      <w:r>
        <w:rPr>
          <w:rFonts w:hint="eastAsia" w:ascii="仿宋" w:hAnsi="仿宋" w:eastAsia="仿宋" w:cs="仿宋"/>
          <w:sz w:val="24"/>
          <w:szCs w:val="24"/>
        </w:rPr>
        <w:object>
          <v:shape id="_x0000_i1071" o:spt="75" type="#_x0000_t75" style="height:18pt;width:41.25pt;" o:ole="t" filled="f" o:preferrelative="t" stroked="f" coordsize="21600,21600">
            <v:path/>
            <v:fill on="f" focussize="0,0"/>
            <v:stroke on="f" joinstyle="miter"/>
            <v:imagedata r:id="rId125" o:title=""/>
            <o:lock v:ext="edit" aspectratio="t"/>
            <w10:wrap type="none"/>
            <w10:anchorlock/>
          </v:shape>
          <o:OLEObject Type="Embed" ProgID="Equation.3" ShapeID="_x0000_i1071" DrawAspect="Content" ObjectID="_1468075771" r:id="rId124">
            <o:LockedField>false</o:LockedField>
          </o:OLEObject>
        </w:object>
      </w:r>
      <w:r>
        <w:rPr>
          <w:rFonts w:hint="eastAsia" w:ascii="仿宋" w:hAnsi="仿宋" w:eastAsia="仿宋" w:cs="仿宋"/>
          <w:sz w:val="24"/>
          <w:szCs w:val="24"/>
        </w:rPr>
        <w:t>。</w:t>
      </w:r>
    </w:p>
    <w:p w14:paraId="6D7187F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bookmarkStart w:id="398" w:name="_Toc215402927"/>
      <w:bookmarkStart w:id="399" w:name="_Toc215403027"/>
      <w:bookmarkStart w:id="400" w:name="_Toc13723"/>
      <w:bookmarkStart w:id="401" w:name="_Toc23020"/>
      <w:bookmarkStart w:id="402" w:name="_Toc26726"/>
      <w:bookmarkStart w:id="403" w:name="_Hlk70582523"/>
      <w:r>
        <w:rPr>
          <w:rFonts w:hint="eastAsia" w:ascii="仿宋" w:hAnsi="仿宋" w:eastAsia="仿宋" w:cs="仿宋"/>
          <w:sz w:val="24"/>
          <w:szCs w:val="24"/>
        </w:rPr>
        <w:t>(1)一维自由反演</w:t>
      </w:r>
      <w:bookmarkEnd w:id="398"/>
      <w:bookmarkEnd w:id="399"/>
      <w:bookmarkEnd w:id="400"/>
      <w:bookmarkEnd w:id="401"/>
      <w:bookmarkEnd w:id="402"/>
    </w:p>
    <w:bookmarkEnd w:id="403"/>
    <w:p w14:paraId="35CD323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一维反演是假设大地电性结构为一维的，即地下介质的电性仅随深度发生变化，沿水平方向不变的一种反演方法。一维反演可分为层状介质反演和连续介质反演，层状介质反演初始建立时需要处理人员掌握一定的先验资料，所以多应用在井旁电磁法测深资料的反演过程中，而在二维的剖面勘探中，一维反演仅仅作为一个中间环节，在对最终解释成果的定性评价及质量控制中发挥作用，其成果为下一步的反演提供初始模型，所以一维反演应尽量地避免人为因素的影响，客观地尊重原始资料，因此我们采用自由一维连续介质反演方法，它是假定地下介质沿深度(纵向)是连续变化的。</w:t>
      </w:r>
    </w:p>
    <w:p w14:paraId="34CCF0A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为适应反演方法的要求，在纵向上需离散化，即用一系列薄层来描述介质的电性分布。一维连续介质反演就是通过最佳拟合大地电磁响应函数，求各个薄层的电阻率值。</w:t>
      </w:r>
    </w:p>
    <w:p w14:paraId="0CC2B3F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一维反演主要为二维反演提供初始模型，是二维反演中的过程文件，所以在反演过程中一维反演不增加任何约束信息，以连续介质模式反演。通过一维反演主要是真实的了解一下原始资料，定性认识为主。</w:t>
      </w:r>
    </w:p>
    <w:p w14:paraId="3C70D58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bookmarkStart w:id="404" w:name="_Toc17590"/>
      <w:bookmarkStart w:id="405" w:name="_Toc19568"/>
      <w:bookmarkStart w:id="406" w:name="_Toc215402928"/>
      <w:bookmarkStart w:id="407" w:name="_Toc215403028"/>
      <w:bookmarkStart w:id="408" w:name="_Toc7328"/>
      <w:r>
        <w:rPr>
          <w:rFonts w:hint="eastAsia" w:ascii="仿宋" w:hAnsi="仿宋" w:eastAsia="仿宋" w:cs="仿宋"/>
          <w:sz w:val="24"/>
          <w:szCs w:val="24"/>
        </w:rPr>
        <w:t>(2)二维反演</w:t>
      </w:r>
      <w:bookmarkEnd w:id="404"/>
      <w:bookmarkEnd w:id="405"/>
      <w:bookmarkEnd w:id="406"/>
      <w:bookmarkEnd w:id="407"/>
      <w:bookmarkEnd w:id="408"/>
    </w:p>
    <w:p w14:paraId="4DE2DCD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二维反演是假定大地电性结构为二维的，即地下介质的电性在垂直于勘探剖面的方向上不变，而沿剖面方向和随深度发生变化的一种反演方法。与一维反演相比，二维反演的假设更接近于真实的地电情况，所以二维反演是我们的重点，最终的地质解释是建立在该成果上进行的。在对剖面电性单元的划分上，二维反演同样可分为连续介质反演和层状介质反演。</w:t>
      </w:r>
    </w:p>
    <w:p w14:paraId="440A534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二维连续介质反演是在不受任何先验认识的约束下，将剖面进行薄层单元分块划分，而后进行电性拟合，求得各单元的电阻率，在断面上呈现出电性分布的等值线图件，以此进行地质认识与解释。为适应反演方法的要求，这里我们在纵向上对模型进行离散化，每个薄层用一个连续函数来描述其横向电阻率变化，因此，二维连续模型就可以用一组连续函数集来描述，一维连续介质反演成果作为二维连续介质反演初始模型。</w:t>
      </w:r>
    </w:p>
    <w:p w14:paraId="5E40577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二维层状介质反演是在对连续介质反演结果的地质认识基础上，将“马赛克”式连续分布区块化，建立地质、地电的初始模型，进行二维反演，用以修改初始的地质认识(非约束反演)和校验地质解释成果(约束反演)。时频电磁法各种反演成像都存在多解性，造成成像结果存在不确定性，直接对成像结果进行地质解释往往误差较大，甚至会出现错误。解决这个问题较现实的途径是，综合利用已有的各种信息，进行综合建模反演成像和解释，其可靠性会更高。这里，综合信息建模就是以已有的地质、物探、测井等资料和本次试验获取的资料为基础，对各电性层和构造进行标定和确认，明确其地质意义，共同组构与各种已知信息均相容的电性—地质模型。以这样的模型作为二维层状介质反演的初始模型，进行二维反演，定量落实地层、构造和电性分布特征，最终对这样的结果进行地质解释，这样的反演成像和解释结果可靠性和精确度会大大提高。</w:t>
      </w:r>
    </w:p>
    <w:p w14:paraId="2D16AF1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为此我们采取的二维反演技术路线是利用一维连续介质反演成果作为二维反演成果的初始模型进行自由二维连续介质反演得到二维连续介质反演成果，反演技术采取二维非线性共轭梯度反演。</w:t>
      </w:r>
    </w:p>
    <w:p w14:paraId="0E19E35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bookmarkStart w:id="409" w:name="_Toc7962"/>
      <w:bookmarkStart w:id="410" w:name="_Toc1207"/>
      <w:bookmarkStart w:id="411" w:name="_Hlk79563568"/>
      <w:r>
        <w:rPr>
          <w:rFonts w:hint="eastAsia" w:ascii="仿宋" w:hAnsi="仿宋" w:eastAsia="仿宋" w:cs="仿宋"/>
          <w:sz w:val="24"/>
          <w:szCs w:val="24"/>
        </w:rPr>
        <w:t>在二维非线性共轭梯度反演过程中采用了尖锐边界算法技术、归一化函数和网格加密-收缩方法，提高了分辨率，使得边界清晰，突出局部信息，消除了场源影响，同时二维反演过程中引入地形，校正了地形影响。</w:t>
      </w:r>
    </w:p>
    <w:p w14:paraId="4D651E7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二维反演考虑模型的二维特性，同时通过综合建模，层状介质反演，参考了旁侧电性影响横向连续性较好，综合反应了地质结构，可以连续追踪地层，深度更加真实准确，深部低阻特征更加明显，信息更丰富，反映了剖面的地质构造特征与结构，是地质解释主要依据图件。二维反演因为增加了先验信息约束，考虑了旁侧电性影响，分层信息和横向连续性更好。</w:t>
      </w:r>
    </w:p>
    <w:p w14:paraId="4C579E1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bookmarkStart w:id="412" w:name="_Toc215403029"/>
      <w:bookmarkStart w:id="413" w:name="_Toc1711"/>
      <w:bookmarkStart w:id="414" w:name="_Toc215402929"/>
      <w:r>
        <w:rPr>
          <w:rFonts w:hint="eastAsia" w:ascii="仿宋" w:hAnsi="仿宋" w:eastAsia="仿宋" w:cs="仿宋"/>
          <w:sz w:val="24"/>
          <w:szCs w:val="24"/>
        </w:rPr>
        <w:t>(3)反演中关键技术</w:t>
      </w:r>
      <w:bookmarkEnd w:id="409"/>
      <w:bookmarkEnd w:id="410"/>
      <w:bookmarkEnd w:id="412"/>
      <w:bookmarkEnd w:id="413"/>
      <w:bookmarkEnd w:id="414"/>
    </w:p>
    <w:bookmarkEnd w:id="411"/>
    <w:p w14:paraId="4B5B887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进行反演过程中本次采用了一些创新算法与反演技术，提高反演精度和分辨力，多种反演技术结合，优先最佳反演手段，利用其独特反演技术的优势，综合建模，使反演结果更合理、更收敛，更接近真实地质构造。本次反演主要采用线性高斯牛顿和非线性共轭梯度两种反演算法，为了增加其横向与纵向分辨力，增强其薄层分辨能力两种反演算法都采用了尖锐边界约束反演技术。首先利用高斯牛顿反演算法其对构造反应敏感的优点，先进行高斯牛顿反演，利用其反演成果作为非线性共轭梯度算法的初始模型，进行共轭梯度法反演，共轭梯度法反演成果作为最终解释成果。</w:t>
      </w:r>
    </w:p>
    <w:p w14:paraId="2CFD6E8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bookmarkStart w:id="415" w:name="_Hlk67900500"/>
      <w:r>
        <w:rPr>
          <w:rFonts w:hint="eastAsia" w:ascii="仿宋" w:hAnsi="仿宋" w:eastAsia="仿宋" w:cs="仿宋"/>
          <w:sz w:val="24"/>
          <w:szCs w:val="24"/>
        </w:rPr>
        <w:t>1）尖锐边界反演技术(SBI反演)</w:t>
      </w:r>
    </w:p>
    <w:bookmarkEnd w:id="415"/>
    <w:p w14:paraId="05C7156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各类反演方法基本上都是通过使模型粗糙度最小来达到压制干扰的目的，对于二维构造，在反演目标函数中添加横向和纵向的粗糙度约束，要使模型粗糙度达到最小，</w:t>
      </w:r>
    </w:p>
    <w:p w14:paraId="2238FBA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就会导致反演对地下地质界面位置不清晰，一些局部构造被滤波掉，造成分辨能力降低。尖锐边界反演（简称SBI反演）可以克服上述缺陷，参与该反演的参数是各层的电阻率和所有的层深度，这种方法把地质构造表示为一定数量的层。</w:t>
      </w:r>
    </w:p>
    <w:p w14:paraId="583E96F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这些层电阻率是均匀的，层深度在横向是变化的，即不同的测点同一层的层深度不全是相同的．通过引入新的粗糙度限制条件，不仅控制地层电阻率之间的差异，同时也对层深度进行约束，避免了边界位置过多的冗余构造。</w:t>
      </w:r>
    </w:p>
    <w:p w14:paraId="08F20CA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对于一个nr层的一个均匀半空间，含有nc个小单元块，那么模型的参数是一个长度为(nr+1)+nr×nc的变量，公式为：</w:t>
      </w:r>
    </w:p>
    <w:p w14:paraId="13AD7F1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72" o:spt="75" type="#_x0000_t75" style="height:42.75pt;width:279pt;" o:ole="t" filled="f" o:preferrelative="t" stroked="f" coordsize="21600,21600">
            <v:path/>
            <v:fill on="f" focussize="0,0"/>
            <v:stroke on="f" joinstyle="miter"/>
            <v:imagedata r:id="rId127" croptop="2003f" cropbottom="2003f" o:title=""/>
            <o:lock v:ext="edit" aspectratio="t"/>
            <w10:wrap type="none"/>
            <w10:anchorlock/>
          </v:shape>
          <o:OLEObject Type="Embed" ProgID="Equation.DSMT4" ShapeID="_x0000_i1072" DrawAspect="Content" ObjectID="_1468075772" r:id="rId126">
            <o:LockedField>false</o:LockedField>
          </o:OLEObject>
        </w:object>
      </w:r>
    </w:p>
    <w:p w14:paraId="6849C54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式中pi代表第</w:t>
      </w:r>
      <w:r>
        <w:rPr>
          <w:rFonts w:hint="eastAsia" w:ascii="仿宋" w:hAnsi="仿宋" w:eastAsia="仿宋" w:cs="仿宋"/>
          <w:sz w:val="24"/>
          <w:szCs w:val="24"/>
        </w:rPr>
        <w:object>
          <v:shape id="_x0000_i1073" o:spt="75" type="#_x0000_t75" style="height:15pt;width:9pt;" o:ole="t" filled="f" o:preferrelative="t" stroked="f" coordsize="21600,21600">
            <v:path/>
            <v:fill on="f" focussize="0,0"/>
            <v:stroke on="f" joinstyle="miter"/>
            <v:imagedata r:id="rId129" o:title=""/>
            <o:lock v:ext="edit" aspectratio="t"/>
            <w10:wrap type="none"/>
            <w10:anchorlock/>
          </v:shape>
          <o:OLEObject Type="Embed" ProgID="Equation.DSMT4" ShapeID="_x0000_i1073" DrawAspect="Content" ObjectID="_1468075773" r:id="rId128">
            <o:LockedField>false</o:LockedField>
          </o:OLEObject>
        </w:object>
      </w:r>
      <w:r>
        <w:rPr>
          <w:rFonts w:hint="eastAsia" w:ascii="仿宋" w:hAnsi="仿宋" w:eastAsia="仿宋" w:cs="仿宋"/>
          <w:sz w:val="24"/>
          <w:szCs w:val="24"/>
        </w:rPr>
        <w:t>个电性单元层的电阻率，dij代表第</w:t>
      </w:r>
      <w:r>
        <w:rPr>
          <w:rFonts w:hint="eastAsia" w:ascii="仿宋" w:hAnsi="仿宋" w:eastAsia="仿宋" w:cs="仿宋"/>
          <w:sz w:val="24"/>
          <w:szCs w:val="24"/>
        </w:rPr>
        <w:object>
          <v:shape id="_x0000_i1074" o:spt="75" type="#_x0000_t75" style="height:15pt;width:9pt;" o:ole="t" filled="f" o:preferrelative="t" stroked="f" coordsize="21600,21600">
            <v:path/>
            <v:fill on="f" focussize="0,0"/>
            <v:stroke on="f" joinstyle="miter"/>
            <v:imagedata r:id="rId129" o:title=""/>
            <o:lock v:ext="edit" aspectratio="t"/>
            <w10:wrap type="none"/>
            <w10:anchorlock/>
          </v:shape>
          <o:OLEObject Type="Embed" ProgID="Equation.DSMT4" ShapeID="_x0000_i1074" DrawAspect="Content" ObjectID="_1468075774" r:id="rId130">
            <o:LockedField>false</o:LockedField>
          </o:OLEObject>
        </w:object>
      </w:r>
      <w:r>
        <w:rPr>
          <w:rFonts w:hint="eastAsia" w:ascii="仿宋" w:hAnsi="仿宋" w:eastAsia="仿宋" w:cs="仿宋"/>
          <w:sz w:val="24"/>
          <w:szCs w:val="24"/>
        </w:rPr>
        <w:t>层的第j个小块的深度。因为上面模型参数变化范围较大，因而对参数取对数值进行反演，以提高反演稳定性。</w:t>
      </w:r>
    </w:p>
    <w:p w14:paraId="0C8FA27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反演的目标函数为：</w:t>
      </w:r>
    </w:p>
    <w:p w14:paraId="7369D32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75" o:spt="75" type="#_x0000_t75" style="height:26.25pt;width:201pt;" o:ole="t" filled="f" o:preferrelative="t" stroked="f" coordsize="21600,21600">
            <v:path/>
            <v:fill on="f" focussize="0,0"/>
            <v:stroke on="f" joinstyle="miter"/>
            <v:imagedata r:id="rId132" o:title=""/>
            <o:lock v:ext="edit" aspectratio="t"/>
            <w10:wrap type="none"/>
            <w10:anchorlock/>
          </v:shape>
          <o:OLEObject Type="Embed" ProgID="Equation.DSMT4" ShapeID="_x0000_i1075" DrawAspect="Content" ObjectID="_1468075775" r:id="rId131">
            <o:LockedField>false</o:LockedField>
          </o:OLEObject>
        </w:object>
      </w:r>
    </w:p>
    <w:p w14:paraId="0EA62E9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其中：</w:t>
      </w:r>
      <w:r>
        <w:rPr>
          <w:rFonts w:hint="eastAsia" w:ascii="仿宋" w:hAnsi="仿宋" w:eastAsia="仿宋" w:cs="仿宋"/>
          <w:sz w:val="24"/>
          <w:szCs w:val="24"/>
        </w:rPr>
        <w:object>
          <v:shape id="_x0000_i1076" o:spt="75" type="#_x0000_t75" style="height:21pt;width:23.25pt;" o:ole="t" filled="f" o:preferrelative="t" stroked="f" coordsize="21600,21600">
            <v:path/>
            <v:fill on="f" focussize="0,0"/>
            <v:stroke on="f" joinstyle="miter"/>
            <v:imagedata r:id="rId134" o:title=""/>
            <o:lock v:ext="edit" aspectratio="t"/>
            <w10:wrap type="none"/>
            <w10:anchorlock/>
          </v:shape>
          <o:OLEObject Type="Embed" ProgID="Equation.DSMT4" ShapeID="_x0000_i1076" DrawAspect="Content" ObjectID="_1468075776" r:id="rId133">
            <o:LockedField>false</o:LockedField>
          </o:OLEObject>
        </w:object>
      </w:r>
      <w:r>
        <w:rPr>
          <w:rFonts w:hint="eastAsia" w:ascii="仿宋" w:hAnsi="仿宋" w:eastAsia="仿宋" w:cs="仿宋"/>
          <w:sz w:val="24"/>
          <w:szCs w:val="24"/>
        </w:rPr>
        <w:t>是拉格朗日因子；</w:t>
      </w:r>
      <w:r>
        <w:rPr>
          <w:rFonts w:hint="eastAsia" w:ascii="仿宋" w:hAnsi="仿宋" w:eastAsia="仿宋" w:cs="仿宋"/>
          <w:sz w:val="24"/>
          <w:szCs w:val="24"/>
        </w:rPr>
        <w:object>
          <v:shape id="_x0000_i1077" o:spt="75" type="#_x0000_t75" style="height:16.5pt;width:12pt;" o:ole="t" filled="f" o:preferrelative="t" stroked="f" coordsize="21600,21600">
            <v:path/>
            <v:fill on="f" focussize="0,0"/>
            <v:stroke on="f" joinstyle="miter"/>
            <v:imagedata r:id="rId136" o:title=""/>
            <o:lock v:ext="edit" aspectratio="t"/>
            <w10:wrap type="none"/>
            <w10:anchorlock/>
          </v:shape>
          <o:OLEObject Type="Embed" ProgID="Equation.DSMT4" ShapeID="_x0000_i1077" DrawAspect="Content" ObjectID="_1468075777" r:id="rId135">
            <o:LockedField>false</o:LockedField>
          </o:OLEObject>
        </w:object>
      </w:r>
      <w:r>
        <w:rPr>
          <w:rFonts w:hint="eastAsia" w:ascii="仿宋" w:hAnsi="仿宋" w:eastAsia="仿宋" w:cs="仿宋"/>
          <w:sz w:val="24"/>
          <w:szCs w:val="24"/>
        </w:rPr>
        <w:t>代表大地电磁测深数据；</w:t>
      </w:r>
      <w:r>
        <w:rPr>
          <w:rFonts w:hint="eastAsia" w:ascii="仿宋" w:hAnsi="仿宋" w:eastAsia="仿宋" w:cs="仿宋"/>
          <w:sz w:val="24"/>
          <w:szCs w:val="24"/>
        </w:rPr>
        <w:object>
          <v:shape id="_x0000_i1078" o:spt="75" type="#_x0000_t75" style="height:18.75pt;width:36pt;" o:ole="t" filled="f" o:preferrelative="t" stroked="f" coordsize="21600,21600">
            <v:path/>
            <v:fill on="f" focussize="0,0"/>
            <v:stroke on="f" joinstyle="miter"/>
            <v:imagedata r:id="rId138" o:title=""/>
            <o:lock v:ext="edit" aspectratio="t"/>
            <w10:wrap type="none"/>
            <w10:anchorlock/>
          </v:shape>
          <o:OLEObject Type="Embed" ProgID="Equation.DSMT4" ShapeID="_x0000_i1078" DrawAspect="Content" ObjectID="_1468075778" r:id="rId137">
            <o:LockedField>false</o:LockedField>
          </o:OLEObject>
        </w:object>
      </w:r>
      <w:r>
        <w:rPr>
          <w:rFonts w:hint="eastAsia" w:ascii="仿宋" w:hAnsi="仿宋" w:eastAsia="仿宋" w:cs="仿宋"/>
          <w:sz w:val="24"/>
          <w:szCs w:val="24"/>
        </w:rPr>
        <w:t>是通过模型</w:t>
      </w:r>
      <w:r>
        <w:rPr>
          <w:rFonts w:hint="eastAsia" w:ascii="仿宋" w:hAnsi="仿宋" w:eastAsia="仿宋" w:cs="仿宋"/>
          <w:sz w:val="24"/>
          <w:szCs w:val="24"/>
        </w:rPr>
        <w:object>
          <v:shape id="_x0000_i1079" o:spt="75" type="#_x0000_t75" style="height:12pt;width:15pt;" o:ole="t" filled="f" o:preferrelative="t" stroked="f" coordsize="21600,21600">
            <v:path/>
            <v:fill on="f" focussize="0,0"/>
            <v:stroke on="f" joinstyle="miter"/>
            <v:imagedata r:id="rId140" o:title=""/>
            <o:lock v:ext="edit" aspectratio="t"/>
            <w10:wrap type="none"/>
            <w10:anchorlock/>
          </v:shape>
          <o:OLEObject Type="Embed" ProgID="Equation.DSMT4" ShapeID="_x0000_i1079" DrawAspect="Content" ObjectID="_1468075779" r:id="rId139">
            <o:LockedField>false</o:LockedField>
          </o:OLEObject>
        </w:object>
      </w:r>
      <w:r>
        <w:rPr>
          <w:rFonts w:hint="eastAsia" w:ascii="仿宋" w:hAnsi="仿宋" w:eastAsia="仿宋" w:cs="仿宋"/>
          <w:sz w:val="24"/>
          <w:szCs w:val="24"/>
        </w:rPr>
        <w:t>产生的非线性的正演响应函数；</w:t>
      </w:r>
      <w:r>
        <w:rPr>
          <w:rFonts w:hint="eastAsia" w:ascii="仿宋" w:hAnsi="仿宋" w:eastAsia="仿宋" w:cs="仿宋"/>
          <w:sz w:val="24"/>
          <w:szCs w:val="24"/>
        </w:rPr>
        <w:object>
          <v:shape id="_x0000_i1080" o:spt="75" type="#_x0000_t75" style="height:18.75pt;width:26.25pt;" o:ole="t" filled="f" o:preferrelative="t" stroked="f" coordsize="21600,21600">
            <v:path/>
            <v:fill on="f" focussize="0,0"/>
            <v:stroke on="f" joinstyle="miter"/>
            <v:imagedata r:id="rId142" o:title=""/>
            <o:lock v:ext="edit" aspectratio="t"/>
            <w10:wrap type="none"/>
            <w10:anchorlock/>
          </v:shape>
          <o:OLEObject Type="Embed" ProgID="Equation.DSMT4" ShapeID="_x0000_i1080" DrawAspect="Content" ObjectID="_1468075780" r:id="rId141">
            <o:LockedField>false</o:LockedField>
          </o:OLEObject>
        </w:object>
      </w:r>
      <w:r>
        <w:rPr>
          <w:rFonts w:hint="eastAsia" w:ascii="仿宋" w:hAnsi="仿宋" w:eastAsia="仿宋" w:cs="仿宋"/>
          <w:sz w:val="24"/>
          <w:szCs w:val="24"/>
        </w:rPr>
        <w:t>是期望拟合差；w是一个对角矩阵，其对角值是数据误差的倒数。SBI反演目标函数与光滑模型反演的目标函数相似，不同之处在于它们对粗糙度的定义，SBI反演的粗糙度</w:t>
      </w:r>
      <w:r>
        <w:rPr>
          <w:rFonts w:hint="eastAsia" w:ascii="仿宋" w:hAnsi="仿宋" w:eastAsia="仿宋" w:cs="仿宋"/>
          <w:sz w:val="24"/>
          <w:szCs w:val="24"/>
        </w:rPr>
        <w:object>
          <v:shape id="_x0000_i1081" o:spt="75" type="#_x0000_t75" style="height:26.25pt;width:60.75pt;" o:ole="t" filled="f" o:preferrelative="t" stroked="f" coordsize="21600,21600">
            <v:path/>
            <v:fill on="f" focussize="0,0"/>
            <v:stroke on="f" joinstyle="miter"/>
            <v:imagedata r:id="rId144" o:title=""/>
            <o:lock v:ext="edit" aspectratio="t"/>
            <w10:wrap type="none"/>
            <w10:anchorlock/>
          </v:shape>
          <o:OLEObject Type="Embed" ProgID="Equation.DSMT4" ShapeID="_x0000_i1081" DrawAspect="Content" ObjectID="_1468075781" r:id="rId143">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082" o:spt="75" type="#_x0000_t75" style="height:16.5pt;width:12pt;" o:ole="t" filled="f" o:preferrelative="t" stroked="f" coordsize="21600,21600">
            <v:path/>
            <v:fill on="f" focussize="0,0"/>
            <v:stroke on="f" joinstyle="miter"/>
            <v:imagedata r:id="rId146" o:title=""/>
            <o:lock v:ext="edit" aspectratio="t"/>
            <w10:wrap type="none"/>
            <w10:anchorlock/>
          </v:shape>
          <o:OLEObject Type="Embed" ProgID="Equation.DSMT4" ShapeID="_x0000_i1082" DrawAspect="Content" ObjectID="_1468075782" r:id="rId145">
            <o:LockedField>false</o:LockedField>
          </o:OLEObject>
        </w:object>
      </w:r>
      <w:r>
        <w:rPr>
          <w:rFonts w:hint="eastAsia" w:ascii="仿宋" w:hAnsi="仿宋" w:eastAsia="仿宋" w:cs="仿宋"/>
          <w:sz w:val="24"/>
          <w:szCs w:val="24"/>
        </w:rPr>
        <w:t>是一个奖惩矩阵，SBI法不仅对电阻率进行奖惩，而且对相邻地层进行奖惩。下面是一般情况下SBI反演中粗糙度的定义，公式为：</w:t>
      </w:r>
    </w:p>
    <w:p w14:paraId="203D42F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83" o:spt="75" type="#_x0000_t75" style="height:40.5pt;width:84pt;" o:ole="t" filled="f" o:preferrelative="t" stroked="f" coordsize="21600,21600">
            <v:path/>
            <v:fill on="f" focussize="0,0"/>
            <v:stroke on="f" joinstyle="miter"/>
            <v:imagedata r:id="rId148" o:title=""/>
            <o:lock v:ext="edit" aspectratio="t"/>
            <w10:wrap type="none"/>
            <w10:anchorlock/>
          </v:shape>
          <o:OLEObject Type="Embed" ProgID="Equation.DSMT4" ShapeID="_x0000_i1083" DrawAspect="Content" ObjectID="_1468075783" r:id="rId147">
            <o:LockedField>false</o:LockedField>
          </o:OLEObject>
        </w:object>
      </w:r>
    </w:p>
    <w:p w14:paraId="0E7BB39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其中Srho是一个作用于电阻率参数上的nr（nr+1）阶矩阵，</w:t>
      </w:r>
    </w:p>
    <w:p w14:paraId="580DB95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84" o:spt="75" type="#_x0000_t75" style="height:69pt;width:148.5pt;" o:ole="t" filled="f" o:preferrelative="t" stroked="f" coordsize="21600,21600">
            <v:path/>
            <v:fill on="f" focussize="0,0"/>
            <v:stroke on="f" joinstyle="miter"/>
            <v:imagedata r:id="rId150" o:title=""/>
            <o:lock v:ext="edit" aspectratio="t"/>
            <w10:wrap type="none"/>
            <w10:anchorlock/>
          </v:shape>
          <o:OLEObject Type="Embed" ProgID="Equation.DSMT4" ShapeID="_x0000_i1084" DrawAspect="Content" ObjectID="_1468075784" r:id="rId149">
            <o:LockedField>false</o:LockedField>
          </o:OLEObject>
        </w:object>
      </w:r>
    </w:p>
    <w:p w14:paraId="23AD316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其中</w:t>
      </w:r>
      <w:r>
        <w:rPr>
          <w:rFonts w:hint="eastAsia" w:ascii="仿宋" w:hAnsi="仿宋" w:eastAsia="仿宋" w:cs="仿宋"/>
          <w:sz w:val="24"/>
          <w:szCs w:val="24"/>
        </w:rPr>
        <w:object>
          <v:shape id="_x0000_i1085" o:spt="75" type="#_x0000_t75" style="height:12pt;width:10.5pt;" o:ole="t" filled="f" o:preferrelative="t" stroked="f" coordsize="21600,21600">
            <v:path/>
            <v:fill on="f" focussize="0,0"/>
            <v:stroke on="f" joinstyle="miter"/>
            <v:imagedata r:id="rId152" o:title=""/>
            <o:lock v:ext="edit" aspectratio="t"/>
            <w10:wrap type="none"/>
            <w10:anchorlock/>
          </v:shape>
          <o:OLEObject Type="Embed" ProgID="Equation.DSMT4" ShapeID="_x0000_i1085" DrawAspect="Content" ObjectID="_1468075785" r:id="rId151">
            <o:LockedField>false</o:LockedField>
          </o:OLEObject>
        </w:object>
      </w:r>
      <w:r>
        <w:rPr>
          <w:rFonts w:hint="eastAsia" w:ascii="仿宋" w:hAnsi="仿宋" w:eastAsia="仿宋" w:cs="仿宋"/>
          <w:sz w:val="24"/>
          <w:szCs w:val="24"/>
        </w:rPr>
        <w:t>是用来控制是否对地层电阻率进行粗糙度约束的约束以及在粗糙度矩阵中地层电阻率所占有的权重，如果取常数</w:t>
      </w:r>
      <w:r>
        <w:rPr>
          <w:rFonts w:hint="eastAsia" w:ascii="仿宋" w:hAnsi="仿宋" w:eastAsia="仿宋" w:cs="仿宋"/>
          <w:sz w:val="24"/>
          <w:szCs w:val="24"/>
        </w:rPr>
        <w:object>
          <v:shape id="_x0000_i1086" o:spt="75" type="#_x0000_t75" style="height:16.5pt;width:31.5pt;" o:ole="t" filled="f" o:preferrelative="t" stroked="f" coordsize="21600,21600">
            <v:path/>
            <v:fill on="f" focussize="0,0"/>
            <v:stroke on="f" joinstyle="miter"/>
            <v:imagedata r:id="rId154" o:title=""/>
            <o:lock v:ext="edit" aspectratio="t"/>
            <w10:wrap type="none"/>
            <w10:anchorlock/>
          </v:shape>
          <o:OLEObject Type="Embed" ProgID="Equation.3" ShapeID="_x0000_i1086" DrawAspect="Content" ObjectID="_1468075786" r:id="rId153">
            <o:LockedField>false</o:LockedField>
          </o:OLEObject>
        </w:object>
      </w:r>
      <w:r>
        <w:rPr>
          <w:rFonts w:hint="eastAsia" w:ascii="仿宋" w:hAnsi="仿宋" w:eastAsia="仿宋" w:cs="仿宋"/>
          <w:sz w:val="24"/>
          <w:szCs w:val="24"/>
        </w:rPr>
        <w:t>，表明不对地层电阻率进行粗糙度的约束。</w:t>
      </w:r>
    </w:p>
    <w:p w14:paraId="7AE0E5D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87" o:spt="75" type="#_x0000_t75" style="height:70.5pt;width:135pt;" o:ole="t" filled="f" o:preferrelative="t" stroked="f" coordsize="21600,21600">
            <v:path/>
            <v:fill on="f" focussize="0,0"/>
            <v:stroke on="f" joinstyle="miter"/>
            <v:imagedata r:id="rId156" o:title=""/>
            <o:lock v:ext="edit" aspectratio="t"/>
            <w10:wrap type="none"/>
            <w10:anchorlock/>
          </v:shape>
          <o:OLEObject Type="Embed" ProgID="Equation.3" ShapeID="_x0000_i1087" DrawAspect="Content" ObjectID="_1468075787" r:id="rId155">
            <o:LockedField>false</o:LockedField>
          </o:OLEObject>
        </w:object>
      </w:r>
    </w:p>
    <w:p w14:paraId="4BD2B01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式中Si是（nc-1）×nc阶矩阵，表示层深度的粗糙度矩阵，</w:t>
      </w:r>
    </w:p>
    <w:p w14:paraId="430B1F3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88" o:spt="75" type="#_x0000_t75" style="height:63.75pt;width:150pt;" o:ole="t" filled="f" o:preferrelative="t" stroked="f" coordsize="21600,21600">
            <v:path/>
            <v:fill on="f" focussize="0,0"/>
            <v:stroke on="f" joinstyle="miter"/>
            <v:imagedata r:id="rId158" cropbottom="1755f" o:title=""/>
            <o:lock v:ext="edit" aspectratio="t"/>
            <w10:wrap type="none"/>
            <w10:anchorlock/>
          </v:shape>
          <o:OLEObject Type="Embed" ProgID="Equation.2" ShapeID="_x0000_i1088" DrawAspect="Content" ObjectID="_1468075788" r:id="rId157">
            <o:LockedField>false</o:LockedField>
          </o:OLEObject>
        </w:object>
      </w:r>
    </w:p>
    <w:p w14:paraId="261CF63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由于模型正演响应的函数</w:t>
      </w:r>
      <w:r>
        <w:rPr>
          <w:rFonts w:hint="eastAsia" w:ascii="仿宋" w:hAnsi="仿宋" w:eastAsia="仿宋" w:cs="仿宋"/>
          <w:sz w:val="24"/>
          <w:szCs w:val="24"/>
        </w:rPr>
        <w:object>
          <v:shape id="_x0000_i1089" o:spt="75" type="#_x0000_t75" style="height:23.25pt;width:36pt;" o:ole="t" filled="f" o:preferrelative="t" stroked="f" coordsize="21600,21600">
            <v:path/>
            <v:fill on="f" focussize="0,0"/>
            <v:stroke on="f" joinstyle="miter"/>
            <v:imagedata r:id="rId160" o:title=""/>
            <o:lock v:ext="edit" aspectratio="t"/>
            <w10:wrap type="none"/>
            <w10:anchorlock/>
          </v:shape>
          <o:OLEObject Type="Embed" ProgID="Equation.DSMT4" ShapeID="_x0000_i1089" DrawAspect="Content" ObjectID="_1468075789" r:id="rId159">
            <o:LockedField>false</o:LockedField>
          </o:OLEObject>
        </w:object>
      </w:r>
      <w:r>
        <w:rPr>
          <w:rFonts w:hint="eastAsia" w:ascii="仿宋" w:hAnsi="仿宋" w:eastAsia="仿宋" w:cs="仿宋"/>
          <w:sz w:val="24"/>
          <w:szCs w:val="24"/>
        </w:rPr>
        <w:t>是非线性的，利用泰勒公式将其线性化，公式为：</w:t>
      </w:r>
    </w:p>
    <w:p w14:paraId="5F075C2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90" o:spt="75" type="#_x0000_t75" style="height:18pt;width:171pt;" o:ole="t" filled="f" o:preferrelative="t" stroked="f" coordsize="21600,21600">
            <v:path/>
            <v:fill on="f" focussize="0,0"/>
            <v:stroke on="f" joinstyle="miter"/>
            <v:imagedata r:id="rId162" o:title=""/>
            <o:lock v:ext="edit" aspectratio="t"/>
            <w10:wrap type="none"/>
            <w10:anchorlock/>
          </v:shape>
          <o:OLEObject Type="Embed" ProgID="Equation.DSMT4" ShapeID="_x0000_i1090" DrawAspect="Content" ObjectID="_1468075790" r:id="rId161">
            <o:LockedField>false</o:LockedField>
          </o:OLEObject>
        </w:object>
      </w:r>
    </w:p>
    <w:p w14:paraId="7187770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Ji是灵敏度矩阵。</w:t>
      </w:r>
    </w:p>
    <w:p w14:paraId="37D2D96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这样目标函数的迭代形式为：</w:t>
      </w:r>
    </w:p>
    <w:p w14:paraId="15A6566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91" o:spt="75" type="#_x0000_t75" style="height:19.5pt;width:255pt;" o:ole="t" filled="f" o:preferrelative="t" stroked="f" coordsize="21600,21600">
            <v:path/>
            <v:fill on="f" focussize="0,0"/>
            <v:stroke on="f" joinstyle="miter"/>
            <v:imagedata r:id="rId164" croptop="5041f" cropbottom="1035f" o:title=""/>
            <o:lock v:ext="edit" aspectratio="t"/>
            <w10:wrap type="none"/>
            <w10:anchorlock/>
          </v:shape>
          <o:OLEObject Type="Embed" ProgID="Equation.DSMT4" ShapeID="_x0000_i1091" DrawAspect="Content" ObjectID="_1468075791" r:id="rId163">
            <o:LockedField>false</o:LockedField>
          </o:OLEObject>
        </w:object>
      </w:r>
    </w:p>
    <w:p w14:paraId="1E6EC5A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w:t>
      </w:r>
      <w:r>
        <w:rPr>
          <w:rFonts w:hint="eastAsia" w:ascii="仿宋" w:hAnsi="仿宋" w:eastAsia="仿宋" w:cs="仿宋"/>
          <w:sz w:val="24"/>
          <w:szCs w:val="24"/>
        </w:rPr>
        <w:object>
          <v:shape id="_x0000_i1092" o:spt="75" type="#_x0000_t75" style="height:17.25pt;width:125.25pt;" o:ole="t" filled="f" o:preferrelative="t" stroked="f" coordsize="21600,21600">
            <v:path/>
            <v:fill on="f" focussize="0,0"/>
            <v:stroke on="f" joinstyle="miter"/>
            <v:imagedata r:id="rId166" croptop="7764f" cropbottom="1539f" o:title=""/>
            <o:lock v:ext="edit" aspectratio="t"/>
            <w10:wrap type="none"/>
            <w10:anchorlock/>
          </v:shape>
          <o:OLEObject Type="Embed" ProgID="Equation.DSMT4" ShapeID="_x0000_i1092" DrawAspect="Content" ObjectID="_1468075792" r:id="rId165">
            <o:LockedField>false</o:LockedField>
          </o:OLEObject>
        </w:object>
      </w:r>
      <w:r>
        <w:rPr>
          <w:rFonts w:hint="eastAsia" w:ascii="仿宋" w:hAnsi="仿宋" w:eastAsia="仿宋" w:cs="仿宋"/>
          <w:sz w:val="24"/>
          <w:szCs w:val="24"/>
        </w:rPr>
        <w:t>通过迭代形式可以得到下一个模型修正值。通过不断调整修正值达到提高分辨力和提取界面的能力。</w:t>
      </w:r>
    </w:p>
    <w:p w14:paraId="03BA1DF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2）共轭梯度法非线性反演方法</w:t>
      </w:r>
    </w:p>
    <w:p w14:paraId="330035B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共轭梯度非线性反演方法，其优点是收敛速度快，精度高，反演效益高，缺点是容易陷入局部极值，其解严重依赖于初始猜测，为此共轭梯度法的初始模型采用一维连续介质反演初始模型，用非线性共轭梯度法求解高斯-牛顿反演方程组，克服了其缺点，可以快速取得与原始数据最佳的拟合模型。</w:t>
      </w:r>
    </w:p>
    <w:p w14:paraId="01CB339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①共轭梯度内循环开始（i=1,...,Nmax)</w:t>
      </w:r>
    </w:p>
    <w:p w14:paraId="6D0E99C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93" o:spt="75" type="#_x0000_t75" style="height:16.5pt;width:37.5pt;" o:ole="t" filled="f" o:preferrelative="t" stroked="f" coordsize="21600,21600">
            <v:path/>
            <v:fill on="f" focussize="0,0"/>
            <v:stroke on="f" joinstyle="miter"/>
            <v:imagedata r:id="rId168" o:title=""/>
            <o:lock v:ext="edit" aspectratio="t"/>
            <w10:wrap type="none"/>
            <w10:anchorlock/>
          </v:shape>
          <o:OLEObject Type="Embed" ProgID="Equation.DSMT4" ShapeID="_x0000_i1093" DrawAspect="Content" ObjectID="_1468075793" r:id="rId167">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094" o:spt="75" type="#_x0000_t75" style="height:18pt;width:33.75pt;" o:ole="t" filled="f" o:preferrelative="t" stroked="f" coordsize="21600,21600">
            <v:path/>
            <v:fill on="f" focussize="0,0"/>
            <v:stroke on="f" joinstyle="miter"/>
            <v:imagedata r:id="rId170" o:title=""/>
            <o:lock v:ext="edit" aspectratio="t"/>
            <w10:wrap type="none"/>
            <w10:anchorlock/>
          </v:shape>
          <o:OLEObject Type="Embed" ProgID="Equation.DSMT4" ShapeID="_x0000_i1094" DrawAspect="Content" ObjectID="_1468075794" r:id="rId169">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095" o:spt="75" type="#_x0000_t75" style="height:18pt;width:42pt;" o:ole="t" filled="f" o:preferrelative="t" stroked="f" coordsize="21600,21600">
            <v:path/>
            <v:fill on="f" focussize="0,0"/>
            <v:stroke on="f" joinstyle="miter"/>
            <v:imagedata r:id="rId172" o:title=""/>
            <o:lock v:ext="edit" aspectratio="t"/>
            <w10:wrap type="none"/>
            <w10:anchorlock/>
          </v:shape>
          <o:OLEObject Type="Embed" ProgID="Equation.DSMT4" ShapeID="_x0000_i1095" DrawAspect="Content" ObjectID="_1468075795" r:id="rId171">
            <o:LockedField>false</o:LockedField>
          </o:OLEObject>
        </w:object>
      </w:r>
      <w:r>
        <w:rPr>
          <w:rFonts w:hint="eastAsia" w:ascii="仿宋" w:hAnsi="仿宋" w:eastAsia="仿宋" w:cs="仿宋"/>
          <w:sz w:val="24"/>
          <w:szCs w:val="24"/>
        </w:rPr>
        <w:t>；</w:t>
      </w:r>
    </w:p>
    <w:p w14:paraId="68C37E5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计算海森矩阵的乘积Hpi</w:t>
      </w:r>
    </w:p>
    <w:p w14:paraId="28D7740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096" o:spt="75" type="#_x0000_t75" style="height:21pt;width:282pt;" o:ole="t" filled="f" o:preferrelative="t" stroked="f" coordsize="21600,21600">
            <v:path/>
            <v:fill on="f" focussize="0,0"/>
            <v:stroke on="f" joinstyle="miter"/>
            <v:imagedata r:id="rId174" o:title=""/>
            <o:lock v:ext="edit" aspectratio="f"/>
            <w10:wrap type="none"/>
            <w10:anchorlock/>
          </v:shape>
          <o:OLEObject Type="Embed" ProgID="Equation.DSMT4" ShapeID="_x0000_i1096" DrawAspect="Content" ObjectID="_1468075796" r:id="rId173">
            <o:LockedField>false</o:LockedField>
          </o:OLEObject>
        </w:object>
      </w:r>
    </w:p>
    <w:p w14:paraId="23C6EE0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其中：</w:t>
      </w:r>
      <w:r>
        <w:rPr>
          <w:rFonts w:hint="eastAsia" w:ascii="仿宋" w:hAnsi="仿宋" w:eastAsia="仿宋" w:cs="仿宋"/>
          <w:sz w:val="24"/>
          <w:szCs w:val="24"/>
        </w:rPr>
        <w:object>
          <v:shape id="_x0000_i1097" o:spt="75" type="#_x0000_t75" style="height:16.5pt;width:38.25pt;" o:ole="t" filled="f" o:preferrelative="t" stroked="f" coordsize="21600,21600">
            <v:path/>
            <v:fill on="f" focussize="0,0"/>
            <v:stroke on="f" joinstyle="miter"/>
            <v:imagedata r:id="rId176" o:title=""/>
            <o:lock v:ext="edit" aspectratio="t"/>
            <w10:wrap type="none"/>
            <w10:anchorlock/>
          </v:shape>
          <o:OLEObject Type="Embed" ProgID="Equation.DSMT4" ShapeID="_x0000_i1097" DrawAspect="Content" ObjectID="_1468075797" r:id="rId175">
            <o:LockedField>false</o:LockedField>
          </o:OLEObject>
        </w:object>
      </w:r>
      <w:r>
        <w:rPr>
          <w:rFonts w:hint="eastAsia" w:ascii="仿宋" w:hAnsi="仿宋" w:eastAsia="仿宋" w:cs="仿宋"/>
          <w:sz w:val="24"/>
          <w:szCs w:val="24"/>
        </w:rPr>
        <w:t>，而</w:t>
      </w:r>
      <w:r>
        <w:rPr>
          <w:rFonts w:hint="eastAsia" w:ascii="仿宋" w:hAnsi="仿宋" w:eastAsia="仿宋" w:cs="仿宋"/>
          <w:sz w:val="24"/>
          <w:szCs w:val="24"/>
        </w:rPr>
        <w:object>
          <v:shape id="_x0000_i1098" o:spt="75" type="#_x0000_t75" style="height:16.5pt;width:26.25pt;" o:ole="t" filled="f" o:preferrelative="t" stroked="f" coordsize="21600,21600">
            <v:path/>
            <v:fill on="f" focussize="0,0"/>
            <v:stroke on="f" joinstyle="miter"/>
            <v:imagedata r:id="rId178" o:title=""/>
            <o:lock v:ext="edit" aspectratio="t"/>
            <w10:wrap type="none"/>
            <w10:anchorlock/>
          </v:shape>
          <o:OLEObject Type="Embed" ProgID="Equation.DSMT4" ShapeID="_x0000_i1098" DrawAspect="Content" ObjectID="_1468075798" r:id="rId177">
            <o:LockedField>false</o:LockedField>
          </o:OLEObject>
        </w:object>
      </w:r>
      <w:r>
        <w:rPr>
          <w:rFonts w:hint="eastAsia" w:ascii="仿宋" w:hAnsi="仿宋" w:eastAsia="仿宋" w:cs="仿宋"/>
          <w:sz w:val="24"/>
          <w:szCs w:val="24"/>
        </w:rPr>
        <w:t>；这里只需要上述初始正演得到的M个解向量（如</w:t>
      </w:r>
      <w:r>
        <w:rPr>
          <w:rFonts w:hint="eastAsia" w:ascii="仿宋" w:hAnsi="仿宋" w:eastAsia="仿宋" w:cs="仿宋"/>
          <w:sz w:val="24"/>
          <w:szCs w:val="24"/>
        </w:rPr>
        <w:object>
          <v:shape id="_x0000_i1099" o:spt="75" type="#_x0000_t75" style="height:16.5pt;width:63pt;" o:ole="t" filled="f" o:preferrelative="t" stroked="f" coordsize="21600,21600">
            <v:path/>
            <v:fill on="f" focussize="0,0"/>
            <v:stroke on="f" joinstyle="miter"/>
            <v:imagedata r:id="rId180" o:title=""/>
            <o:lock v:ext="edit" aspectratio="t"/>
            <w10:wrap type="none"/>
            <w10:anchorlock/>
          </v:shape>
          <o:OLEObject Type="Embed" ProgID="Equation.DSMT4" ShapeID="_x0000_i1099" DrawAspect="Content" ObjectID="_1468075799" r:id="rId179">
            <o:LockedField>false</o:LockedField>
          </o:OLEObject>
        </w:object>
      </w:r>
      <w:r>
        <w:rPr>
          <w:rFonts w:hint="eastAsia" w:ascii="仿宋" w:hAnsi="仿宋" w:eastAsia="仿宋" w:cs="仿宋"/>
          <w:sz w:val="24"/>
          <w:szCs w:val="24"/>
        </w:rPr>
        <w:t>)，即可求得Gx，</w:t>
      </w:r>
      <w:r>
        <w:rPr>
          <w:rFonts w:hint="eastAsia" w:ascii="仿宋" w:hAnsi="仿宋" w:eastAsia="仿宋" w:cs="仿宋"/>
          <w:sz w:val="24"/>
          <w:szCs w:val="24"/>
        </w:rPr>
        <w:object>
          <v:shape id="_x0000_i1100" o:spt="75" type="#_x0000_t75" style="height:16.5pt;width:21pt;" o:ole="t" filled="f" o:preferrelative="t" stroked="f" coordsize="21600,21600">
            <v:path/>
            <v:fill on="f" focussize="0,0"/>
            <v:stroke on="f" joinstyle="miter"/>
            <v:imagedata r:id="rId182" o:title=""/>
            <o:lock v:ext="edit" aspectratio="t"/>
            <w10:wrap type="none"/>
            <w10:anchorlock/>
          </v:shape>
          <o:OLEObject Type="Embed" ProgID="Equation.DSMT4" ShapeID="_x0000_i1100" DrawAspect="Content" ObjectID="_1468075800" r:id="rId181">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101" o:spt="75" type="#_x0000_t75" style="height:12pt;width:9pt;" o:ole="t" filled="f" o:preferrelative="t" stroked="f" coordsize="21600,21600">
            <v:path/>
            <v:fill on="f" focussize="0,0"/>
            <v:stroke on="f" joinstyle="miter"/>
            <v:imagedata r:id="rId184" o:title=""/>
            <o:lock v:ext="edit" aspectratio="t"/>
            <w10:wrap type="none"/>
            <w10:anchorlock/>
          </v:shape>
          <o:OLEObject Type="Embed" ProgID="Equation.DSMT4" ShapeID="_x0000_i1101" DrawAspect="Content" ObjectID="_1468075801" r:id="rId183">
            <o:LockedField>false</o:LockedField>
          </o:OLEObject>
        </w:object>
      </w:r>
      <w:r>
        <w:rPr>
          <w:rFonts w:hint="eastAsia" w:ascii="仿宋" w:hAnsi="仿宋" w:eastAsia="仿宋" w:cs="仿宋"/>
          <w:sz w:val="24"/>
          <w:szCs w:val="24"/>
        </w:rPr>
        <w:t>为拉格朗日因子；</w:t>
      </w:r>
    </w:p>
    <w:p w14:paraId="7D31B4C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02" o:spt="75" type="#_x0000_t75" style="height:19.5pt;width:132pt;" o:ole="t" filled="f" o:preferrelative="t" stroked="f" coordsize="21600,21600">
            <v:path/>
            <v:fill on="f" focussize="0,0"/>
            <v:stroke on="f" joinstyle="miter"/>
            <v:imagedata r:id="rId186" o:title=""/>
            <o:lock v:ext="edit" aspectratio="t"/>
            <w10:wrap type="none"/>
            <w10:anchorlock/>
          </v:shape>
          <o:OLEObject Type="Embed" ProgID="Equation.DSMT4" ShapeID="_x0000_i1102" DrawAspect="Content" ObjectID="_1468075802" r:id="rId185">
            <o:LockedField>false</o:LockedField>
          </o:OLEObject>
        </w:object>
      </w:r>
      <w:r>
        <w:rPr>
          <w:rFonts w:hint="eastAsia" w:ascii="仿宋" w:hAnsi="仿宋" w:eastAsia="仿宋" w:cs="仿宋"/>
          <w:sz w:val="24"/>
          <w:szCs w:val="24"/>
        </w:rPr>
        <w:t>，修改步长；</w:t>
      </w:r>
    </w:p>
    <w:p w14:paraId="5E4A4F5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03" o:spt="75" type="#_x0000_t75" style="height:16.5pt;width:108pt;" o:ole="t" filled="f" o:preferrelative="t" stroked="f" coordsize="21600,21600">
            <v:path/>
            <v:fill on="f" focussize="0,0"/>
            <v:stroke on="f" joinstyle="miter"/>
            <v:imagedata r:id="rId188" o:title=""/>
            <o:lock v:ext="edit" aspectratio="t"/>
            <w10:wrap type="none"/>
            <w10:anchorlock/>
          </v:shape>
          <o:OLEObject Type="Embed" ProgID="Equation.DSMT4" ShapeID="_x0000_i1103" DrawAspect="Content" ObjectID="_1468075803" r:id="rId187">
            <o:LockedField>false</o:LockedField>
          </o:OLEObject>
        </w:object>
      </w:r>
      <w:r>
        <w:rPr>
          <w:rFonts w:hint="eastAsia" w:ascii="仿宋" w:hAnsi="仿宋" w:eastAsia="仿宋" w:cs="仿宋"/>
          <w:sz w:val="24"/>
          <w:szCs w:val="24"/>
        </w:rPr>
        <w:t>，修改模型；</w:t>
      </w:r>
    </w:p>
    <w:p w14:paraId="0B4743A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04" o:spt="75" type="#_x0000_t75" style="height:18.75pt;width:113.25pt;" o:ole="t" filled="f" o:preferrelative="t" stroked="f" coordsize="21600,21600">
            <v:path/>
            <v:fill on="f" focussize="0,0"/>
            <v:stroke on="f" joinstyle="miter"/>
            <v:imagedata r:id="rId190" o:title=""/>
            <o:lock v:ext="edit" aspectratio="t"/>
            <w10:wrap type="none"/>
            <w10:anchorlock/>
          </v:shape>
          <o:OLEObject Type="Embed" ProgID="Equation.DSMT4" ShapeID="_x0000_i1104" DrawAspect="Content" ObjectID="_1468075804" r:id="rId189">
            <o:LockedField>false</o:LockedField>
          </o:OLEObject>
        </w:object>
      </w:r>
      <w:r>
        <w:rPr>
          <w:rFonts w:hint="eastAsia" w:ascii="仿宋" w:hAnsi="仿宋" w:eastAsia="仿宋" w:cs="仿宋"/>
          <w:sz w:val="24"/>
          <w:szCs w:val="24"/>
        </w:rPr>
        <w:t>；</w:t>
      </w:r>
    </w:p>
    <w:p w14:paraId="003C4BD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05" o:spt="75" type="#_x0000_t75" style="height:18.75pt;width:108pt;" o:ole="t" filled="f" o:preferrelative="t" stroked="f" coordsize="21600,21600">
            <v:path/>
            <v:fill on="f" focussize="0,0"/>
            <v:stroke on="f" joinstyle="miter"/>
            <v:imagedata r:id="rId192" o:title=""/>
            <o:lock v:ext="edit" aspectratio="t"/>
            <w10:wrap type="none"/>
            <w10:anchorlock/>
          </v:shape>
          <o:OLEObject Type="Embed" ProgID="Equation.DSMT4" ShapeID="_x0000_i1105" DrawAspect="Content" ObjectID="_1468075805" r:id="rId191">
            <o:LockedField>false</o:LockedField>
          </o:OLEObject>
        </w:object>
      </w:r>
      <w:r>
        <w:rPr>
          <w:rFonts w:hint="eastAsia" w:ascii="仿宋" w:hAnsi="仿宋" w:eastAsia="仿宋" w:cs="仿宋"/>
          <w:sz w:val="24"/>
          <w:szCs w:val="24"/>
        </w:rPr>
        <w:t>；</w:t>
      </w:r>
    </w:p>
    <w:p w14:paraId="00D53B9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06" o:spt="75" type="#_x0000_t75" style="height:16.5pt;width:88.5pt;" o:ole="t" filled="f" o:preferrelative="t" stroked="f" coordsize="21600,21600">
            <v:path/>
            <v:fill on="f" focussize="0,0"/>
            <v:stroke on="f" joinstyle="miter"/>
            <v:imagedata r:id="rId194" o:title=""/>
            <o:lock v:ext="edit" aspectratio="t"/>
            <w10:wrap type="none"/>
            <w10:anchorlock/>
          </v:shape>
          <o:OLEObject Type="Embed" ProgID="Equation.DSMT4" ShapeID="_x0000_i1106" DrawAspect="Content" ObjectID="_1468075806" r:id="rId193">
            <o:LockedField>false</o:LockedField>
          </o:OLEObject>
        </w:object>
      </w:r>
      <w:r>
        <w:rPr>
          <w:rFonts w:hint="eastAsia" w:ascii="仿宋" w:hAnsi="仿宋" w:eastAsia="仿宋" w:cs="仿宋"/>
          <w:sz w:val="24"/>
          <w:szCs w:val="24"/>
        </w:rPr>
        <w:t>；</w:t>
      </w:r>
    </w:p>
    <w:p w14:paraId="43B7502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②共轭梯度迭代，求得△mk</w:t>
      </w:r>
    </w:p>
    <w:p w14:paraId="5F9C0AF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07" o:spt="75" type="#_x0000_t75" style="height:16.5pt;width:78.75pt;" o:ole="t" filled="f" o:preferrelative="t" stroked="f" coordsize="21600,21600">
            <v:path/>
            <v:fill on="f" focussize="0,0"/>
            <v:stroke on="f" joinstyle="miter"/>
            <v:imagedata r:id="rId196" o:title=""/>
            <o:lock v:ext="edit" aspectratio="t"/>
            <w10:wrap type="none"/>
            <w10:anchorlock/>
          </v:shape>
          <o:OLEObject Type="Embed" ProgID="Equation.DSMT4" ShapeID="_x0000_i1107" DrawAspect="Content" ObjectID="_1468075807" r:id="rId195">
            <o:LockedField>false</o:LockedField>
          </o:OLEObject>
        </w:object>
      </w:r>
      <w:r>
        <w:rPr>
          <w:rFonts w:hint="eastAsia" w:ascii="仿宋" w:hAnsi="仿宋" w:eastAsia="仿宋" w:cs="仿宋"/>
          <w:sz w:val="24"/>
          <w:szCs w:val="24"/>
        </w:rPr>
        <w:object>
          <v:shape id="_x0000_i1108" o:spt="75" type="#_x0000_t75" style="height:16.5pt;width:66pt;" o:ole="t" filled="f" o:preferrelative="t" stroked="f" coordsize="21600,21600">
            <v:path/>
            <v:fill on="f" focussize="0,0"/>
            <v:stroke on="f" joinstyle="miter"/>
            <v:imagedata r:id="rId198" o:title=""/>
            <o:lock v:ext="edit" aspectratio="t"/>
            <w10:wrap type="none"/>
            <w10:anchorlock/>
          </v:shape>
          <o:OLEObject Type="Embed" ProgID="Equation.DSMT4" ShapeID="_x0000_i1108" DrawAspect="Content" ObjectID="_1468075808" r:id="rId197">
            <o:LockedField>false</o:LockedField>
          </o:OLEObject>
        </w:object>
      </w:r>
    </w:p>
    <w:p w14:paraId="71B122F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③反演迭代结束：由共轭梯度迭代法求得△mk，然后修改初始模型mk，重新迭代直到满足收敛条件。</w:t>
      </w:r>
    </w:p>
    <w:p w14:paraId="2EFB256E">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为此采用非线性共轭梯度法求解高斯-牛顿反演方程组，既能保留高斯-牛顿类反演方法收敛快的特性，又能省去计算Hessian矩阵带来的巨额计算量和计算内存，而这也正是本次时频电磁法反演成像研究中采用的技术手段。</w:t>
      </w:r>
    </w:p>
    <w:p w14:paraId="49908B3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3）归一化函数法与网格加密-收缩方法</w:t>
      </w:r>
    </w:p>
    <w:p w14:paraId="062A38F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在时频电磁法二维勘探中，测线与源线通常为平行线，但在野外数据采集过程中，由于地形或地理条件的限制，可能出现测线中某些点偏离平行线、源线和测线为曲线甚至相交，如何快速高精度地计算出任意测点布设的数值结果是实现全区观测的关键问题之一。时频电磁法2.5维有限元数值模拟除了要解决以上两个问题之外，还定义了归一化响应函数，通过响应函数能更直观地反映地下介质物性分布特征。</w:t>
      </w:r>
    </w:p>
    <w:p w14:paraId="631C97A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空间导数的计算精度直接影响辅助场的计算精度，因此，在时频电磁法2.5维数值模拟中，这是一个非常重要的环节。空间导数的计算方法有很多种，包括差分算法，多次函数拟合法，有限单元形函数计算方法等，其中差分算法是最容易实现的方法，当网格剖分均匀可以采用中心差分算法(向前向后计算精度均不能满足要求)，当网格剖分不均匀可以采用多次函数拟合的方法。本文中在水平方向采用二次函数拟合的方法，根据三点的坐标及场值计算出二次函数的三个系数，对二次函数求导，代入中间点的坐标即得到中间点的水平导数。在垂向方向采用中心差分的方法，以地下一层的差分结果代替地表界面，这就要求地表(测点)向下几层网格做均匀剖分，且网格间距较小，大大提高了计算精度。</w:t>
      </w:r>
    </w:p>
    <w:p w14:paraId="40EFECF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定义了归一化函数法：将测量结果(或理论数值)与背景模型(背景模型可以任意选用，如均匀半空间模型、层状介质模型和带地形的半空间模型等)计算结果进行归一化处理。该方法具有如下特点：①归一化曲线在1附近波动，能直观地反映出异常目标体的电磁响应(背景模型选择恰当时)；②通过归一化可以有效地避开场源带来的影响(理论数据和实测数据采用两种不同的方法计算背景场);③直接对归一化函数进行反演，由于归一化结果波动范围小(在1附近)，反演收敛更快。</w:t>
      </w:r>
    </w:p>
    <w:p w14:paraId="2D797A0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设比值函数为Fg，则:</w:t>
      </w:r>
    </w:p>
    <w:p w14:paraId="0C54F76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drawing>
          <wp:inline distT="0" distB="0" distL="0" distR="0">
            <wp:extent cx="1105535" cy="826770"/>
            <wp:effectExtent l="0" t="0" r="889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99" cstate="print">
                      <a:extLst>
                        <a:ext uri="{28A0092B-C50C-407E-A947-70E740481C1C}">
                          <a14:useLocalDpi xmlns:a14="http://schemas.microsoft.com/office/drawing/2010/main" val="0"/>
                        </a:ext>
                      </a:extLst>
                    </a:blip>
                    <a:srcRect t="1790" b="3183"/>
                    <a:stretch>
                      <a:fillRect/>
                    </a:stretch>
                  </pic:blipFill>
                  <pic:spPr>
                    <a:xfrm>
                      <a:off x="0" y="0"/>
                      <a:ext cx="1105535" cy="826770"/>
                    </a:xfrm>
                    <a:prstGeom prst="rect">
                      <a:avLst/>
                    </a:prstGeom>
                    <a:noFill/>
                    <a:ln>
                      <a:noFill/>
                    </a:ln>
                  </pic:spPr>
                </pic:pic>
              </a:graphicData>
            </a:graphic>
          </wp:inline>
        </w:drawing>
      </w:r>
    </w:p>
    <w:p w14:paraId="1425293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式中参数 表示x，y和z；分母为背景模型计算结果。</w:t>
      </w:r>
    </w:p>
    <w:p w14:paraId="1CAFA32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在时频电磁法数值模拟中，电偶源和磁偶源在源点处是奇异的，从而影响源点附近网格节点的数值精度。目前场源的处理主要有三种方案：①对场源附近的网格进行局部加密，以降低场源的影响范围；②采用伪δ函数去等效场源；③采用第一类边界条件带入的方法去等效场源。采用的归一化函数法中采用两种不同的背景场计算方法分别对理论数据和实测数据进行归一化处理。</w:t>
      </w:r>
    </w:p>
    <w:p w14:paraId="4275CCB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由于场源附近一次场占主导地位，在模型网格剖分参数和测量装置相同的条件下，不同电阻率模型在源点附近数值计算误差具有相关性，因此采用归一化处理能有效地消除源点奇异性带来的影响，此外还能消除复杂地表带来的影响。简而言之，理论数据中场源附近测点具有计算误差，而背景模型计算中同样具有误差，两者归一化可以消除这种计算误差，这种处理方法不需要对场源采用额外的处理，能够降低数值模拟和反演成像的实现难度。</w:t>
      </w:r>
    </w:p>
    <w:p w14:paraId="6C19A23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将网格加密-收缩方法（5</w:t>
      </w:r>
      <w:r>
        <w:rPr>
          <w:rFonts w:ascii="仿宋" w:hAnsi="仿宋" w:eastAsia="仿宋" w:cs="仿宋"/>
          <w:sz w:val="24"/>
          <w:szCs w:val="24"/>
        </w:rPr>
        <w:t>-2</w:t>
      </w:r>
      <w:r>
        <w:rPr>
          <w:rFonts w:hint="eastAsia" w:ascii="仿宋" w:hAnsi="仿宋" w:eastAsia="仿宋" w:cs="仿宋"/>
          <w:sz w:val="24"/>
          <w:szCs w:val="24"/>
        </w:rPr>
        <w:t>0）引入到时频电磁法2.5维数值模拟中，计算背景模型的电磁响应，用于实测数据的归一化处理。通过引入该网格剖分方法后可以达到如下目的:①有效地提升场源附近测点的数值精度;②由于场源所在的网格层采用均匀加密剖分，当场源位置发生改变时不需要重新剖分网格，采用直接解法可以实现线性方程组的快速回代求解，同时还便于辅助场的计算(采用中心差分计算);③当背景模型较简单时(如带地形的均匀半空间模型等)，在深度方向只需要剖分很少的网格层数就能满足测点数值计算精度的需求，从而提升归一化背景场的计算效率。</w:t>
      </w:r>
    </w:p>
    <w:p w14:paraId="13FCF5A7">
      <w:pPr>
        <w:pageBreakBefore w:val="0"/>
        <w:wordWrap/>
        <w:bidi w:val="0"/>
        <w:adjustRightInd w:val="0"/>
        <w:snapToGrid w:val="0"/>
        <w:spacing w:line="360" w:lineRule="auto"/>
        <w:jc w:val="center"/>
        <w:outlineLvl w:val="9"/>
        <w:rPr>
          <w:rFonts w:ascii="仿宋" w:hAnsi="仿宋" w:eastAsia="仿宋" w:cs="仿宋"/>
          <w:sz w:val="24"/>
          <w:szCs w:val="24"/>
        </w:rPr>
      </w:pPr>
      <w:r>
        <w:rPr>
          <w:rFonts w:ascii="仿宋" w:hAnsi="仿宋" w:eastAsia="仿宋" w:cs="仿宋"/>
          <w:sz w:val="24"/>
          <w:szCs w:val="24"/>
        </w:rPr>
        <w:drawing>
          <wp:inline distT="0" distB="0" distL="0" distR="0">
            <wp:extent cx="4055110" cy="1438910"/>
            <wp:effectExtent l="0" t="0" r="254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00">
                      <a:extLst>
                        <a:ext uri="{28A0092B-C50C-407E-A947-70E740481C1C}">
                          <a14:useLocalDpi xmlns:a14="http://schemas.microsoft.com/office/drawing/2010/main" val="0"/>
                        </a:ext>
                      </a:extLst>
                    </a:blip>
                    <a:srcRect t="1680" b="17262"/>
                    <a:stretch>
                      <a:fillRect/>
                    </a:stretch>
                  </pic:blipFill>
                  <pic:spPr>
                    <a:xfrm>
                      <a:off x="0" y="0"/>
                      <a:ext cx="4055110" cy="1438910"/>
                    </a:xfrm>
                    <a:prstGeom prst="rect">
                      <a:avLst/>
                    </a:prstGeom>
                    <a:noFill/>
                    <a:ln>
                      <a:noFill/>
                    </a:ln>
                    <a:effectLst/>
                  </pic:spPr>
                </pic:pic>
              </a:graphicData>
            </a:graphic>
          </wp:inline>
        </w:drawing>
      </w:r>
      <w:bookmarkStart w:id="416" w:name="_Ref203638046"/>
    </w:p>
    <w:p w14:paraId="19762C1F">
      <w:pPr>
        <w:pageBreakBefore w:val="0"/>
        <w:wordWrap/>
        <w:bidi w:val="0"/>
        <w:adjustRightInd w:val="0"/>
        <w:snapToGrid w:val="0"/>
        <w:spacing w:line="360" w:lineRule="auto"/>
        <w:jc w:val="center"/>
        <w:outlineLvl w:val="9"/>
        <w:rPr>
          <w:rFonts w:ascii="仿宋" w:hAnsi="仿宋" w:eastAsia="仿宋" w:cs="仿宋"/>
          <w:sz w:val="24"/>
          <w:szCs w:val="24"/>
        </w:rPr>
      </w:pPr>
      <w:r>
        <w:rPr>
          <w:rFonts w:ascii="仿宋" w:hAnsi="仿宋" w:eastAsia="仿宋" w:cs="仿宋"/>
          <w:sz w:val="24"/>
          <w:szCs w:val="24"/>
        </w:rPr>
        <w:t>图</w:t>
      </w:r>
      <w:bookmarkEnd w:id="416"/>
      <w:r>
        <w:rPr>
          <w:rFonts w:hint="eastAsia" w:ascii="仿宋" w:hAnsi="仿宋" w:eastAsia="仿宋" w:cs="仿宋"/>
          <w:sz w:val="24"/>
          <w:szCs w:val="24"/>
        </w:rPr>
        <w:t>5-20</w:t>
      </w:r>
      <w:r>
        <w:rPr>
          <w:rFonts w:ascii="仿宋" w:hAnsi="仿宋" w:eastAsia="仿宋" w:cs="仿宋"/>
          <w:sz w:val="24"/>
          <w:szCs w:val="24"/>
        </w:rPr>
        <w:t xml:space="preserve">  不同网格剖分示意图</w:t>
      </w:r>
    </w:p>
    <w:p w14:paraId="6AE52F4F">
      <w:pPr>
        <w:pageBreakBefore w:val="0"/>
        <w:wordWrap/>
        <w:bidi w:val="0"/>
        <w:adjustRightInd w:val="0"/>
        <w:snapToGrid w:val="0"/>
        <w:spacing w:line="360" w:lineRule="auto"/>
        <w:jc w:val="center"/>
        <w:outlineLvl w:val="9"/>
        <w:rPr>
          <w:rFonts w:ascii="仿宋" w:hAnsi="仿宋" w:eastAsia="仿宋" w:cs="仿宋"/>
          <w:sz w:val="24"/>
          <w:szCs w:val="24"/>
        </w:rPr>
      </w:pPr>
      <w:r>
        <w:rPr>
          <w:rFonts w:hint="eastAsia" w:ascii="仿宋" w:hAnsi="仿宋" w:eastAsia="仿宋" w:cs="仿宋"/>
          <w:sz w:val="24"/>
          <w:szCs w:val="24"/>
        </w:rPr>
        <w:t>（a）</w:t>
      </w:r>
      <w:r>
        <w:rPr>
          <w:rFonts w:ascii="仿宋" w:hAnsi="仿宋" w:eastAsia="仿宋" w:cs="仿宋"/>
          <w:sz w:val="24"/>
          <w:szCs w:val="24"/>
        </w:rPr>
        <w:t>常规结构化网格剖分；（b）均匀加密网格剖分；（c）加密收缩网格剖分</w:t>
      </w:r>
    </w:p>
    <w:p w14:paraId="750C0B86">
      <w:pPr>
        <w:pageBreakBefore w:val="0"/>
        <w:wordWrap/>
        <w:bidi w:val="0"/>
        <w:spacing w:line="360" w:lineRule="auto"/>
        <w:ind w:firstLine="480" w:firstLineChars="200"/>
        <w:outlineLvl w:val="9"/>
        <w:rPr>
          <w:rFonts w:ascii="仿宋" w:hAnsi="仿宋" w:eastAsia="仿宋" w:cs="仿宋"/>
          <w:sz w:val="24"/>
          <w:szCs w:val="24"/>
        </w:rPr>
      </w:pPr>
      <w:bookmarkStart w:id="417" w:name="_Toc213792931"/>
      <w:bookmarkStart w:id="418" w:name="_Toc204588314"/>
      <w:r>
        <w:rPr>
          <w:rFonts w:hint="eastAsia" w:ascii="仿宋" w:hAnsi="仿宋" w:eastAsia="仿宋" w:cs="仿宋"/>
          <w:sz w:val="24"/>
          <w:szCs w:val="24"/>
        </w:rPr>
        <w:t>6、极化率反演</w:t>
      </w:r>
      <w:bookmarkEnd w:id="417"/>
      <w:bookmarkEnd w:id="418"/>
    </w:p>
    <w:p w14:paraId="234EAA0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bookmarkStart w:id="419" w:name="_Toc29219"/>
      <w:bookmarkStart w:id="420" w:name="_Toc12613"/>
      <w:bookmarkStart w:id="421" w:name="_Toc215402930"/>
      <w:bookmarkStart w:id="422" w:name="_Toc13151"/>
      <w:bookmarkStart w:id="423" w:name="_Toc215403030"/>
      <w:r>
        <w:rPr>
          <w:rFonts w:hint="eastAsia" w:ascii="仿宋" w:hAnsi="仿宋" w:eastAsia="仿宋" w:cs="仿宋"/>
          <w:sz w:val="24"/>
          <w:szCs w:val="24"/>
        </w:rPr>
        <w:t>(1)Cole-Cole模型</w:t>
      </w:r>
      <w:bookmarkEnd w:id="419"/>
      <w:bookmarkEnd w:id="420"/>
      <w:bookmarkEnd w:id="421"/>
      <w:bookmarkEnd w:id="422"/>
      <w:bookmarkEnd w:id="423"/>
    </w:p>
    <w:p w14:paraId="3E2D44A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不同矿石的成分、含量、结构构造以及产出条件各种各样，包罗万象。它们的激发极化效应在细节上千差万别，各不相同，难以一一列举。为此人们把它们简化成一定的电学模型，把有关的性质归纳为模型的几个电学参数，以便研究。目前使用得比较多、与实际情况也较符合的是Cole-Cole模型，如图5</w:t>
      </w:r>
      <w:r>
        <w:rPr>
          <w:rFonts w:ascii="仿宋" w:hAnsi="仿宋" w:eastAsia="仿宋" w:cs="仿宋"/>
          <w:sz w:val="24"/>
          <w:szCs w:val="24"/>
        </w:rPr>
        <w:t>-2</w:t>
      </w:r>
      <w:r>
        <w:rPr>
          <w:rFonts w:hint="eastAsia" w:ascii="仿宋" w:hAnsi="仿宋" w:eastAsia="仿宋" w:cs="仿宋"/>
          <w:sz w:val="24"/>
          <w:szCs w:val="24"/>
        </w:rPr>
        <w:t>1所示。Cole-Cole模型原本是Cole兄弟模拟电解质的介电性质时提出来的，发表在1941年的J.Chem.Phys.（化学物理）杂志上。W.H.Pelton于20世纪70年代把这一模型“借”到勘查地球物理学中来，因为它与激发极化现象比较符合。</w:t>
      </w:r>
    </w:p>
    <w:p w14:paraId="0A73F8BD">
      <w:pPr>
        <w:pageBreakBefore w:val="0"/>
        <w:wordWrap/>
        <w:bidi w:val="0"/>
        <w:adjustRightInd w:val="0"/>
        <w:snapToGrid w:val="0"/>
        <w:spacing w:line="360" w:lineRule="auto"/>
        <w:jc w:val="center"/>
        <w:outlineLvl w:val="9"/>
        <w:rPr>
          <w:rFonts w:ascii="仿宋" w:hAnsi="仿宋" w:eastAsia="仿宋" w:cs="仿宋"/>
          <w:sz w:val="24"/>
          <w:szCs w:val="24"/>
        </w:rPr>
      </w:pPr>
      <w:bookmarkStart w:id="424" w:name="_Ref204585896"/>
      <w:r>
        <w:rPr>
          <w:rFonts w:ascii="仿宋" w:hAnsi="仿宋" w:eastAsia="仿宋" w:cs="仿宋"/>
          <w:sz w:val="24"/>
          <w:szCs w:val="24"/>
        </w:rPr>
        <w:drawing>
          <wp:inline distT="0" distB="0" distL="0" distR="0">
            <wp:extent cx="4890135" cy="1701800"/>
            <wp:effectExtent l="0" t="0" r="5715"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1">
                      <a:extLst>
                        <a:ext uri="{28A0092B-C50C-407E-A947-70E740481C1C}">
                          <a14:useLocalDpi xmlns:a14="http://schemas.microsoft.com/office/drawing/2010/main" val="0"/>
                        </a:ext>
                      </a:extLst>
                    </a:blip>
                    <a:srcRect t="4288"/>
                    <a:stretch>
                      <a:fillRect/>
                    </a:stretch>
                  </pic:blipFill>
                  <pic:spPr>
                    <a:xfrm>
                      <a:off x="0" y="0"/>
                      <a:ext cx="4890135" cy="1701800"/>
                    </a:xfrm>
                    <a:prstGeom prst="rect">
                      <a:avLst/>
                    </a:prstGeom>
                    <a:noFill/>
                    <a:ln>
                      <a:noFill/>
                    </a:ln>
                  </pic:spPr>
                </pic:pic>
              </a:graphicData>
            </a:graphic>
          </wp:inline>
        </w:drawing>
      </w:r>
    </w:p>
    <w:p w14:paraId="2525DCFA">
      <w:pPr>
        <w:pageBreakBefore w:val="0"/>
        <w:wordWrap/>
        <w:bidi w:val="0"/>
        <w:adjustRightInd w:val="0"/>
        <w:snapToGrid w:val="0"/>
        <w:spacing w:line="360" w:lineRule="auto"/>
        <w:jc w:val="center"/>
        <w:outlineLvl w:val="9"/>
        <w:rPr>
          <w:rFonts w:ascii="仿宋" w:hAnsi="仿宋" w:eastAsia="仿宋" w:cs="仿宋"/>
          <w:sz w:val="24"/>
          <w:szCs w:val="24"/>
        </w:rPr>
      </w:pPr>
      <w:r>
        <w:rPr>
          <w:rFonts w:hint="eastAsia" w:ascii="仿宋" w:hAnsi="仿宋" w:eastAsia="仿宋" w:cs="仿宋"/>
          <w:sz w:val="24"/>
          <w:szCs w:val="24"/>
        </w:rPr>
        <w:t>图</w:t>
      </w:r>
      <w:bookmarkEnd w:id="424"/>
      <w:r>
        <w:rPr>
          <w:rFonts w:hint="eastAsia" w:ascii="仿宋" w:hAnsi="仿宋" w:eastAsia="仿宋" w:cs="仿宋"/>
          <w:sz w:val="24"/>
          <w:szCs w:val="24"/>
        </w:rPr>
        <w:t>5-21  岩矿石激发极化单元模型（左）及其Cole-Cole模型等效电路（右）</w:t>
      </w:r>
    </w:p>
    <w:p w14:paraId="0B432E4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该模型在频率域的数学表达式是：</w:t>
      </w:r>
    </w:p>
    <w:p w14:paraId="48BDB15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09" o:spt="75" type="#_x0000_t75" style="height:30.75pt;width:177.75pt;" o:ole="t" filled="f" o:preferrelative="t" stroked="f" coordsize="21600,21600">
            <v:path/>
            <v:fill on="f" focussize="0,0"/>
            <v:stroke on="f" joinstyle="miter"/>
            <v:imagedata r:id="rId203" cropbottom="1354f" o:title=""/>
            <o:lock v:ext="edit" aspectratio="t"/>
            <w10:wrap type="none"/>
            <w10:anchorlock/>
          </v:shape>
          <o:OLEObject Type="Embed" ProgID="Equation.DSMT4" ShapeID="_x0000_i1109" DrawAspect="Content" ObjectID="_1468075809" r:id="rId202">
            <o:LockedField>false</o:LockedField>
          </o:OLEObject>
        </w:object>
      </w:r>
    </w:p>
    <w:p w14:paraId="08CE14B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式中，Z（0）为频率为0时的Cole-Cole阻抗；m为充电率，相当于幅频率（时间域中的极化率）；τ为描写激发极化过程迟缓性的时间常数；c为频率相关系数。</w:t>
      </w:r>
    </w:p>
    <w:p w14:paraId="4C37BB1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各参数关系为：</w:t>
      </w:r>
    </w:p>
    <w:p w14:paraId="080AB03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10" o:spt="75" type="#_x0000_t75" style="height:29.25pt;width:174pt;" o:ole="t" filled="f" o:preferrelative="t" stroked="f" coordsize="21600,21600">
            <v:path/>
            <v:fill on="f" focussize="0,0"/>
            <v:stroke on="f" joinstyle="miter"/>
            <v:imagedata r:id="rId205" croptop="4359f" cropbottom="2887f" o:title=""/>
            <o:lock v:ext="edit" aspectratio="t"/>
            <w10:wrap type="none"/>
            <w10:anchorlock/>
          </v:shape>
          <o:OLEObject Type="Embed" ProgID="Equation.DSMT4" ShapeID="_x0000_i1110" DrawAspect="Content" ObjectID="_1468075810" r:id="rId204">
            <o:LockedField>false</o:LockedField>
          </o:OLEObject>
        </w:object>
      </w:r>
    </w:p>
    <w:p w14:paraId="4CABC3D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R0代表纯离子通道的电阻；R1代表离子溶液和电子导体共同通道的电阻。</w:t>
      </w:r>
    </w:p>
    <w:p w14:paraId="02B4A1C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bookmarkStart w:id="425" w:name="_Toc19213"/>
      <w:bookmarkStart w:id="426" w:name="_Toc215402931"/>
      <w:bookmarkStart w:id="427" w:name="_Toc30395"/>
      <w:bookmarkStart w:id="428" w:name="_Toc25271"/>
      <w:bookmarkStart w:id="429" w:name="_Toc215403031"/>
      <w:r>
        <w:rPr>
          <w:rFonts w:hint="eastAsia" w:ascii="仿宋" w:hAnsi="仿宋" w:eastAsia="仿宋" w:cs="仿宋"/>
          <w:sz w:val="24"/>
          <w:szCs w:val="24"/>
        </w:rPr>
        <w:t>(2)极化二维反演算法</w:t>
      </w:r>
      <w:bookmarkEnd w:id="425"/>
      <w:bookmarkEnd w:id="426"/>
      <w:bookmarkEnd w:id="427"/>
      <w:bookmarkEnd w:id="428"/>
      <w:bookmarkEnd w:id="429"/>
    </w:p>
    <w:p w14:paraId="75E865C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在考虑岩矿石激电效应的前提下，引入Cole-Cole模型的频率域电磁法正演模拟建立起来的反演，既考虑了激电效应和电磁感应的影响，又能确定极化体的位置和几何特征。与不考虑激电效应的TFEM反演方法相比，该方法需要同时反演出零频电阻率参数、极化率、时间常数和频率相关系数，在拟合数据相同条件下，大大增加了反演解的非唯一性。</w:t>
      </w:r>
    </w:p>
    <w:p w14:paraId="168E9FA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bookmarkStart w:id="430" w:name="OLE_LINK62"/>
      <w:r>
        <w:rPr>
          <w:rFonts w:hint="eastAsia" w:ascii="仿宋" w:hAnsi="仿宋" w:eastAsia="仿宋" w:cs="仿宋"/>
          <w:sz w:val="24"/>
          <w:szCs w:val="24"/>
        </w:rPr>
        <w:t>该算法既能保留高斯-牛顿类反演方法收敛快的特性，又能省去计算Hessian矩阵带来的巨额计算量和计算内存</w:t>
      </w:r>
      <w:bookmarkEnd w:id="430"/>
      <w:r>
        <w:rPr>
          <w:rFonts w:hint="eastAsia" w:ascii="仿宋" w:hAnsi="仿宋" w:eastAsia="仿宋" w:cs="仿宋"/>
          <w:sz w:val="24"/>
          <w:szCs w:val="24"/>
        </w:rPr>
        <w:t>。</w:t>
      </w:r>
    </w:p>
    <w:p w14:paraId="40E1715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反演参数m为Cole-Cole模型参数(零频电阻率ρ0、极化率m、时间常数τ和频率相关系数c)，该参数均为实数，其高斯-牛顿反演迭代方程组可以表示为(Re表示取实部)</w:t>
      </w:r>
    </w:p>
    <w:p w14:paraId="02BD713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11" o:spt="75" type="#_x0000_t75" style="height:20.25pt;width:312pt;" o:ole="t" filled="f" o:preferrelative="t" stroked="f" coordsize="21600,21600">
            <v:path/>
            <v:fill on="f" focussize="0,0"/>
            <v:stroke on="f" joinstyle="miter"/>
            <v:imagedata r:id="rId207" o:title="2"/>
            <o:lock v:ext="edit" aspectratio="t"/>
            <w10:wrap type="none"/>
            <w10:anchorlock/>
          </v:shape>
          <o:OLEObject Type="Embed" ProgID="Equation.DSMT4" ShapeID="_x0000_i1111" DrawAspect="Content" ObjectID="_1468075811" r:id="rId206">
            <o:LockedField>false</o:LockedField>
          </o:OLEObject>
        </w:object>
      </w:r>
      <w:r>
        <w:rPr>
          <w:rFonts w:hint="eastAsia" w:ascii="仿宋" w:hAnsi="仿宋" w:eastAsia="仿宋" w:cs="仿宋"/>
          <w:sz w:val="24"/>
          <w:szCs w:val="24"/>
        </w:rPr>
        <w:t xml:space="preserve">       </w:t>
      </w:r>
    </w:p>
    <w:p w14:paraId="391238A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从上式可以看出，高斯-牛顿法每次模型更新都需要计算矩阵的逆，由此带来了巨额的计算量并占用大量的计算内存，采用共轭梯度法求解该迭代方程式与线性方程组</w:t>
      </w:r>
      <w:r>
        <w:rPr>
          <w:rFonts w:hint="eastAsia" w:ascii="仿宋" w:hAnsi="仿宋" w:eastAsia="仿宋" w:cs="仿宋"/>
          <w:sz w:val="24"/>
          <w:szCs w:val="24"/>
        </w:rPr>
        <w:object>
          <v:shape id="_x0000_i1112" o:spt="75" type="#_x0000_t75" style="height:12pt;width:34.5pt;" o:ole="t" filled="f" o:preferrelative="t" stroked="f" coordsize="21600,21600">
            <v:path/>
            <v:fill on="f" focussize="0,0"/>
            <v:stroke on="f" joinstyle="miter"/>
            <v:imagedata r:id="rId209" o:title="3"/>
            <o:lock v:ext="edit" aspectratio="t"/>
            <w10:wrap type="none"/>
            <w10:anchorlock/>
          </v:shape>
          <o:OLEObject Type="Embed" ProgID="Equation.DSMT4" ShapeID="_x0000_i1112" DrawAspect="Content" ObjectID="_1468075812" r:id="rId208">
            <o:LockedField>false</o:LockedField>
          </o:OLEObject>
        </w:object>
      </w:r>
      <w:r>
        <w:rPr>
          <w:rFonts w:hint="eastAsia" w:ascii="仿宋" w:hAnsi="仿宋" w:eastAsia="仿宋" w:cs="仿宋"/>
          <w:sz w:val="24"/>
          <w:szCs w:val="24"/>
        </w:rPr>
        <w:t>的求解过程是相同的，其求解步骤为:</w:t>
      </w:r>
    </w:p>
    <w:p w14:paraId="5521B75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1)设置</w:t>
      </w:r>
      <w:r>
        <w:rPr>
          <w:rFonts w:hint="eastAsia" w:ascii="仿宋" w:hAnsi="仿宋" w:eastAsia="仿宋" w:cs="仿宋"/>
          <w:sz w:val="24"/>
          <w:szCs w:val="24"/>
        </w:rPr>
        <w:object>
          <v:shape id="_x0000_i1113" o:spt="75" type="#_x0000_t75" style="height:15pt;width:27pt;" o:ole="t" filled="f" o:preferrelative="t" stroked="f" coordsize="21600,21600">
            <v:path/>
            <v:fill on="f" focussize="0,0"/>
            <v:stroke on="f" joinstyle="miter"/>
            <v:imagedata r:id="rId211" o:title="4"/>
            <o:lock v:ext="edit" aspectratio="t"/>
            <w10:wrap type="none"/>
            <w10:anchorlock/>
          </v:shape>
          <o:OLEObject Type="Embed" ProgID="Equation.DSMT4" ShapeID="_x0000_i1113" DrawAspect="Content" ObjectID="_1468075813" r:id="rId210">
            <o:LockedField>false</o:LockedField>
          </o:OLEObject>
        </w:object>
      </w:r>
      <w:r>
        <w:rPr>
          <w:rFonts w:hint="eastAsia" w:ascii="仿宋" w:hAnsi="仿宋" w:eastAsia="仿宋" w:cs="仿宋"/>
          <w:sz w:val="24"/>
          <w:szCs w:val="24"/>
        </w:rPr>
        <w:t>，给定初始模型m0；</w:t>
      </w:r>
    </w:p>
    <w:p w14:paraId="7516D76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2)计算数据误差</w:t>
      </w:r>
      <w:r>
        <w:rPr>
          <w:rFonts w:hint="eastAsia" w:ascii="仿宋" w:hAnsi="仿宋" w:eastAsia="仿宋" w:cs="仿宋"/>
          <w:sz w:val="24"/>
          <w:szCs w:val="24"/>
        </w:rPr>
        <w:object>
          <v:shape id="_x0000_i1114" o:spt="75" type="#_x0000_t75" style="height:18pt;width:21pt;" o:ole="t" filled="f" o:preferrelative="t" stroked="f" coordsize="21600,21600">
            <v:path/>
            <v:fill on="f" focussize="0,0"/>
            <v:stroke on="f" joinstyle="miter"/>
            <v:imagedata r:id="rId213" o:title="5"/>
            <o:lock v:ext="edit" aspectratio="t"/>
            <w10:wrap type="none"/>
            <w10:anchorlock/>
          </v:shape>
          <o:OLEObject Type="Embed" ProgID="Equation.DSMT4" ShapeID="_x0000_i1114" DrawAspect="Content" ObjectID="_1468075814" r:id="rId212">
            <o:LockedField>false</o:LockedField>
          </o:OLEObject>
        </w:object>
      </w:r>
      <w:r>
        <w:rPr>
          <w:rFonts w:hint="eastAsia" w:ascii="仿宋" w:hAnsi="仿宋" w:eastAsia="仿宋" w:cs="仿宋"/>
          <w:sz w:val="24"/>
          <w:szCs w:val="24"/>
        </w:rPr>
        <w:t>和拟合误差ε，若拟合误差满足迭代条件退出循环，否则向下循环。其中</w:t>
      </w:r>
      <w:r>
        <w:rPr>
          <w:rFonts w:hint="eastAsia" w:ascii="仿宋" w:hAnsi="仿宋" w:eastAsia="仿宋" w:cs="仿宋"/>
          <w:sz w:val="24"/>
          <w:szCs w:val="24"/>
        </w:rPr>
        <w:object>
          <v:shape id="_x0000_i1115" o:spt="75" type="#_x0000_t75" style="height:18.75pt;width:90pt;" o:ole="t" filled="f" o:preferrelative="t" stroked="f" coordsize="21600,21600">
            <v:path/>
            <v:fill on="f" focussize="0,0"/>
            <v:stroke on="f" joinstyle="miter"/>
            <v:imagedata r:id="rId215" o:title="6"/>
            <o:lock v:ext="edit" aspectratio="t"/>
            <w10:wrap type="none"/>
            <w10:anchorlock/>
          </v:shape>
          <o:OLEObject Type="Embed" ProgID="Equation.DSMT4" ShapeID="_x0000_i1115" DrawAspect="Content" ObjectID="_1468075815" r:id="rId214">
            <o:LockedField>false</o:LockedField>
          </o:OLEObject>
        </w:object>
      </w:r>
      <w:r>
        <w:rPr>
          <w:rFonts w:hint="eastAsia" w:ascii="仿宋" w:hAnsi="仿宋" w:eastAsia="仿宋" w:cs="仿宋"/>
          <w:sz w:val="24"/>
          <w:szCs w:val="24"/>
        </w:rPr>
        <w:t>；</w:t>
      </w:r>
    </w:p>
    <w:p w14:paraId="7976E24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3)计算目标函数的梯度；</w:t>
      </w:r>
    </w:p>
    <w:p w14:paraId="7AADB4E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4)带预置条件的共轭梯度求解:</w:t>
      </w:r>
    </w:p>
    <w:p w14:paraId="6CCB108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16" o:spt="75" type="#_x0000_t75" style="height:18.75pt;width:43.5pt;" o:ole="t" filled="f" o:preferrelative="t" stroked="f" coordsize="21600,21600">
            <v:path/>
            <v:fill on="f" focussize="0,0"/>
            <v:stroke on="f" joinstyle="miter"/>
            <v:imagedata r:id="rId217" o:title="8"/>
            <o:lock v:ext="edit" aspectratio="t"/>
            <w10:wrap type="none"/>
            <w10:anchorlock/>
          </v:shape>
          <o:OLEObject Type="Embed" ProgID="Equation.DSMT4" ShapeID="_x0000_i1116" DrawAspect="Content" ObjectID="_1468075816" r:id="rId216">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117" o:spt="75" type="#_x0000_t75" style="height:18.75pt;width:33.75pt;" o:ole="t" filled="f" o:preferrelative="t" stroked="f" coordsize="21600,21600">
            <v:path/>
            <v:fill on="f" focussize="0,0"/>
            <v:stroke on="f" joinstyle="miter"/>
            <v:imagedata r:id="rId219" o:title="9"/>
            <o:lock v:ext="edit" aspectratio="t"/>
            <w10:wrap type="none"/>
            <w10:anchorlock/>
          </v:shape>
          <o:OLEObject Type="Embed" ProgID="Equation.DSMT4" ShapeID="_x0000_i1117" DrawAspect="Content" ObjectID="_1468075817" r:id="rId218">
            <o:LockedField>false</o:LockedField>
          </o:OLEObject>
        </w:object>
      </w:r>
      <w:r>
        <w:rPr>
          <w:rFonts w:hint="eastAsia" w:ascii="仿宋" w:hAnsi="仿宋" w:eastAsia="仿宋" w:cs="仿宋"/>
          <w:sz w:val="24"/>
          <w:szCs w:val="24"/>
        </w:rPr>
        <w:t>，求解线性方程组</w:t>
      </w:r>
      <w:r>
        <w:rPr>
          <w:rFonts w:hint="eastAsia" w:ascii="仿宋" w:hAnsi="仿宋" w:eastAsia="仿宋" w:cs="仿宋"/>
          <w:sz w:val="24"/>
          <w:szCs w:val="24"/>
        </w:rPr>
        <w:object>
          <v:shape id="_x0000_i1118" o:spt="75" type="#_x0000_t75" style="height:15pt;width:48.75pt;" o:ole="t" filled="f" o:preferrelative="t" stroked="f" coordsize="21600,21600">
            <v:path/>
            <v:fill on="f" focussize="0,0"/>
            <v:stroke on="f" joinstyle="miter"/>
            <v:imagedata r:id="rId221" o:title="10"/>
            <o:lock v:ext="edit" aspectratio="t"/>
            <w10:wrap type="none"/>
            <w10:anchorlock/>
          </v:shape>
          <o:OLEObject Type="Embed" ProgID="Equation.DSMT4" ShapeID="_x0000_i1118" DrawAspect="Content" ObjectID="_1468075818" r:id="rId220">
            <o:LockedField>false</o:LockedField>
          </o:OLEObject>
        </w:object>
      </w:r>
      <w:r>
        <w:rPr>
          <w:rFonts w:hint="eastAsia" w:ascii="仿宋" w:hAnsi="仿宋" w:eastAsia="仿宋" w:cs="仿宋"/>
          <w:sz w:val="24"/>
          <w:szCs w:val="24"/>
        </w:rPr>
        <w:t>，C为近似海森矩阵Ha的预优矩阵(取实部)，令</w:t>
      </w:r>
      <w:r>
        <w:rPr>
          <w:rFonts w:hint="eastAsia" w:ascii="仿宋" w:hAnsi="仿宋" w:eastAsia="仿宋" w:cs="仿宋"/>
          <w:sz w:val="24"/>
          <w:szCs w:val="24"/>
        </w:rPr>
        <w:object>
          <v:shape id="_x0000_i1119" o:spt="75" type="#_x0000_t75" style="height:18pt;width:34.5pt;" o:ole="t" filled="f" o:preferrelative="t" stroked="f" coordsize="21600,21600">
            <v:path/>
            <v:fill on="f" focussize="0,0"/>
            <v:stroke on="f" joinstyle="miter"/>
            <v:imagedata r:id="rId223" o:title="11"/>
            <o:lock v:ext="edit" aspectratio="t"/>
            <w10:wrap type="none"/>
            <w10:anchorlock/>
          </v:shape>
          <o:OLEObject Type="Embed" ProgID="Equation.DSMT4" ShapeID="_x0000_i1119" DrawAspect="Content" ObjectID="_1468075819" r:id="rId222">
            <o:LockedField>false</o:LockedField>
          </o:OLEObject>
        </w:object>
      </w:r>
      <w:r>
        <w:rPr>
          <w:rFonts w:hint="eastAsia" w:ascii="仿宋" w:hAnsi="仿宋" w:eastAsia="仿宋" w:cs="仿宋"/>
          <w:sz w:val="24"/>
          <w:szCs w:val="24"/>
        </w:rPr>
        <w:t>；</w:t>
      </w:r>
    </w:p>
    <w:p w14:paraId="7451F55E">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20" o:spt="75" type="#_x0000_t75" style="height:16.5pt;width:70.5pt;" o:ole="t" filled="f" o:preferrelative="t" stroked="f" coordsize="21600,21600">
            <v:path/>
            <v:fill on="f" focussize="0,0"/>
            <v:stroke on="f" joinstyle="miter"/>
            <v:imagedata r:id="rId225" o:title="12"/>
            <o:lock v:ext="edit" aspectratio="t"/>
            <w10:wrap type="none"/>
            <w10:anchorlock/>
          </v:shape>
          <o:OLEObject Type="Embed" ProgID="Equation.DSMT4" ShapeID="_x0000_i1120" DrawAspect="Content" ObjectID="_1468075820" r:id="rId224">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121" o:spt="75" type="#_x0000_t75" style="height:16.5pt;width:23.25pt;" o:ole="t" filled="f" o:preferrelative="t" stroked="f" coordsize="21600,21600">
            <v:path/>
            <v:fill on="f" focussize="0,0"/>
            <v:stroke on="f" joinstyle="miter"/>
            <v:imagedata r:id="rId227" o:title="13"/>
            <o:lock v:ext="edit" aspectratio="t"/>
            <w10:wrap type="none"/>
            <w10:anchorlock/>
          </v:shape>
          <o:OLEObject Type="Embed" ProgID="Equation.DSMT4" ShapeID="_x0000_i1121" DrawAspect="Content" ObjectID="_1468075821" r:id="rId226">
            <o:LockedField>false</o:LockedField>
          </o:OLEObject>
        </w:object>
      </w:r>
      <w:r>
        <w:rPr>
          <w:rFonts w:hint="eastAsia" w:ascii="仿宋" w:hAnsi="仿宋" w:eastAsia="仿宋" w:cs="仿宋"/>
          <w:sz w:val="24"/>
          <w:szCs w:val="24"/>
        </w:rPr>
        <w:t>为内循环最大次数)</w:t>
      </w:r>
    </w:p>
    <w:p w14:paraId="6718420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22" o:spt="75" type="#_x0000_t75" style="height:18.75pt;width:95.25pt;" o:ole="t" filled="f" o:preferrelative="t" stroked="f" coordsize="21600,21600">
            <v:path/>
            <v:fill on="f" focussize="0,0"/>
            <v:stroke on="f" joinstyle="miter"/>
            <v:imagedata r:id="rId229" o:title="16"/>
            <o:lock v:ext="edit" aspectratio="t"/>
            <w10:wrap type="none"/>
            <w10:anchorlock/>
          </v:shape>
          <o:OLEObject Type="Embed" ProgID="Equation.DSMT4" ShapeID="_x0000_i1122" DrawAspect="Content" ObjectID="_1468075822" r:id="rId228">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123" o:spt="75" type="#_x0000_t75" style="height:19.5pt;width:99pt;" o:ole="t" filled="f" o:preferrelative="t" stroked="f" coordsize="21600,21600">
            <v:path/>
            <v:fill on="f" focussize="0,0"/>
            <v:stroke on="f" joinstyle="miter"/>
            <v:imagedata r:id="rId231" o:title="17"/>
            <o:lock v:ext="edit" aspectratio="t"/>
            <w10:wrap type="none"/>
            <w10:anchorlock/>
          </v:shape>
          <o:OLEObject Type="Embed" ProgID="Equation.DSMT4" ShapeID="_x0000_i1123" DrawAspect="Content" ObjectID="_1468075823" r:id="rId230">
            <o:LockedField>false</o:LockedField>
          </o:OLEObject>
        </w:object>
      </w:r>
      <w:r>
        <w:rPr>
          <w:rFonts w:hint="eastAsia" w:ascii="仿宋" w:hAnsi="仿宋" w:eastAsia="仿宋" w:cs="仿宋"/>
          <w:sz w:val="24"/>
          <w:szCs w:val="24"/>
        </w:rPr>
        <w:t>，</w:t>
      </w:r>
    </w:p>
    <w:p w14:paraId="380371A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解方程组</w:t>
      </w:r>
      <w:r>
        <w:rPr>
          <w:rFonts w:hint="eastAsia" w:ascii="仿宋" w:hAnsi="仿宋" w:eastAsia="仿宋" w:cs="仿宋"/>
          <w:sz w:val="24"/>
          <w:szCs w:val="24"/>
        </w:rPr>
        <w:object>
          <v:shape id="_x0000_i1124" o:spt="75" type="#_x0000_t75" style="height:15pt;width:63pt;" o:ole="t" filled="f" o:preferrelative="t" stroked="f" coordsize="21600,21600">
            <v:path/>
            <v:fill on="f" focussize="0,0"/>
            <v:stroke on="f" joinstyle="miter"/>
            <v:imagedata r:id="rId233" o:title="18"/>
            <o:lock v:ext="edit" aspectratio="t"/>
            <w10:wrap type="none"/>
            <w10:anchorlock/>
          </v:shape>
          <o:OLEObject Type="Embed" ProgID="Equation.DSMT4" ShapeID="_x0000_i1124" DrawAspect="Content" ObjectID="_1468075824" r:id="rId232">
            <o:LockedField>false</o:LockedField>
          </o:OLEObject>
        </w:object>
      </w:r>
      <w:r>
        <w:rPr>
          <w:rFonts w:hint="eastAsia" w:ascii="仿宋" w:hAnsi="仿宋" w:eastAsia="仿宋" w:cs="仿宋"/>
          <w:sz w:val="24"/>
          <w:szCs w:val="24"/>
        </w:rPr>
        <w:t>，</w:t>
      </w:r>
    </w:p>
    <w:p w14:paraId="0A92893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25" o:spt="75" type="#_x0000_t75" style="height:34.5pt;width:69pt;" o:ole="t" filled="f" o:preferrelative="t" stroked="f" coordsize="21600,21600">
            <v:path/>
            <v:fill on="f" focussize="0,0"/>
            <v:stroke on="f" joinstyle="miter"/>
            <v:imagedata r:id="rId235" croptop="2392f" cropbottom="4016f" o:title="19"/>
            <o:lock v:ext="edit" aspectratio="t"/>
            <w10:wrap type="none"/>
            <w10:anchorlock/>
          </v:shape>
          <o:OLEObject Type="Embed" ProgID="Equation.DSMT4" ShapeID="_x0000_i1125" DrawAspect="Content" ObjectID="_1468075825" r:id="rId234">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126" o:spt="75" type="#_x0000_t75" style="height:18pt;width:81pt;" o:ole="t" filled="f" o:preferrelative="t" stroked="f" coordsize="21600,21600">
            <v:path/>
            <v:fill on="f" focussize="0,0"/>
            <v:stroke on="f" joinstyle="miter"/>
            <v:imagedata r:id="rId237" o:title="20"/>
            <o:lock v:ext="edit" aspectratio="t"/>
            <w10:wrap type="none"/>
            <w10:anchorlock/>
          </v:shape>
          <o:OLEObject Type="Embed" ProgID="Equation.DSMT4" ShapeID="_x0000_i1126" DrawAspect="Content" ObjectID="_1468075826" r:id="rId236">
            <o:LockedField>false</o:LockedField>
          </o:OLEObject>
        </w:object>
      </w:r>
      <w:r>
        <w:rPr>
          <w:rFonts w:hint="eastAsia" w:ascii="仿宋" w:hAnsi="仿宋" w:eastAsia="仿宋" w:cs="仿宋"/>
          <w:sz w:val="24"/>
          <w:szCs w:val="24"/>
        </w:rPr>
        <w:t>;</w:t>
      </w:r>
    </w:p>
    <w:p w14:paraId="23BDA07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5)共轭梯度求解迭代结束：</w:t>
      </w:r>
      <w:r>
        <w:rPr>
          <w:rFonts w:hint="eastAsia" w:ascii="仿宋" w:hAnsi="仿宋" w:eastAsia="仿宋" w:cs="仿宋"/>
          <w:sz w:val="24"/>
          <w:szCs w:val="24"/>
        </w:rPr>
        <w:object>
          <v:shape id="_x0000_i1127" o:spt="75" type="#_x0000_t75" style="height:18.75pt;width:91.5pt;" o:ole="t" filled="f" o:preferrelative="t" stroked="f" coordsize="21600,21600">
            <v:path/>
            <v:fill on="f" focussize="0,0"/>
            <v:stroke on="f" joinstyle="miter"/>
            <v:imagedata r:id="rId239" o:title="21"/>
            <o:lock v:ext="edit" aspectratio="t"/>
            <w10:wrap type="none"/>
            <w10:anchorlock/>
          </v:shape>
          <o:OLEObject Type="Embed" ProgID="Equation.DSMT4" ShapeID="_x0000_i1127" DrawAspect="Content" ObjectID="_1468075827" r:id="rId238">
            <o:LockedField>false</o:LockedField>
          </o:OLEObject>
        </w:object>
      </w:r>
      <w:r>
        <w:rPr>
          <w:rFonts w:hint="eastAsia" w:ascii="仿宋" w:hAnsi="仿宋" w:eastAsia="仿宋" w:cs="仿宋"/>
          <w:sz w:val="24"/>
          <w:szCs w:val="24"/>
        </w:rPr>
        <w:t>；</w:t>
      </w:r>
    </w:p>
    <w:p w14:paraId="070833F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6)j=j+1，返回步骤2；</w:t>
      </w:r>
    </w:p>
    <w:p w14:paraId="5941D13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上述共轭梯度算法流程中，当不存在预优矩阵C时，为常规共轭梯度算法。</w:t>
      </w:r>
    </w:p>
    <w:p w14:paraId="5EBD9FE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bookmarkStart w:id="431" w:name="_Toc21798"/>
      <w:bookmarkStart w:id="432" w:name="_Toc30582"/>
      <w:bookmarkStart w:id="433" w:name="_Toc25874"/>
      <w:bookmarkStart w:id="434" w:name="_Toc215402932"/>
      <w:bookmarkStart w:id="435" w:name="_Toc215403032"/>
      <w:r>
        <w:rPr>
          <w:rFonts w:hint="eastAsia" w:ascii="仿宋" w:hAnsi="仿宋" w:eastAsia="仿宋" w:cs="仿宋"/>
          <w:sz w:val="24"/>
          <w:szCs w:val="24"/>
        </w:rPr>
        <w:t>(3)极化率二维反演</w:t>
      </w:r>
      <w:bookmarkEnd w:id="431"/>
      <w:bookmarkEnd w:id="432"/>
      <w:bookmarkEnd w:id="433"/>
      <w:bookmarkEnd w:id="434"/>
      <w:bookmarkEnd w:id="435"/>
    </w:p>
    <w:p w14:paraId="1A67E9B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激发极化信息反演技术首先提取出频率域数据所有频点的振幅和相位，形成断面数据，然后对整个断面数据进行激发极化信息反演，得到极化率反演断面。</w:t>
      </w:r>
    </w:p>
    <w:p w14:paraId="43D9BB2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电磁法中的反演可以看成是一个反复寻找地电模型使正演值与观测数据拟合的过程，当拟合误差达到设定的误差标准后，这种寻找地电模型的过程将会自动停止。基于这种思想，设计非线性的极化率约束反演，极化率反演主要依据二维反演电阻率剖面综合解释构建模型，在反演中采用Cole-Cole模型进行计算、拟合，即可求得极化率参数。依据求得的电阻率反演剖面构建初始的几何电阻率模型，通过正演拟合寻找到最佳的解，在极化率反演时通过固定该几何电阻率模型，并对相关参数进行约束，即可计算出介质的极化率，通过剖面上极化率异常和其他已知信息综合评价勘探目标层的找矿潜力。</w:t>
      </w:r>
    </w:p>
    <w:p w14:paraId="19B64B1E">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drawing>
          <wp:inline distT="0" distB="0" distL="0" distR="0">
            <wp:extent cx="1939925" cy="246380"/>
            <wp:effectExtent l="0" t="0" r="3175" b="1270"/>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rrowheads="1"/>
                    </pic:cNvPicPr>
                  </pic:nvPicPr>
                  <pic:blipFill>
                    <a:blip r:embed="rId240">
                      <a:extLst>
                        <a:ext uri="{28A0092B-C50C-407E-A947-70E740481C1C}">
                          <a14:useLocalDpi xmlns:a14="http://schemas.microsoft.com/office/drawing/2010/main" val="0"/>
                        </a:ext>
                      </a:extLst>
                    </a:blip>
                    <a:srcRect/>
                    <a:stretch>
                      <a:fillRect/>
                    </a:stretch>
                  </pic:blipFill>
                  <pic:spPr>
                    <a:xfrm>
                      <a:off x="0" y="0"/>
                      <a:ext cx="1939925" cy="246380"/>
                    </a:xfrm>
                    <a:prstGeom prst="rect">
                      <a:avLst/>
                    </a:prstGeom>
                    <a:noFill/>
                    <a:ln>
                      <a:noFill/>
                    </a:ln>
                  </pic:spPr>
                </pic:pic>
              </a:graphicData>
            </a:graphic>
          </wp:inline>
        </w:drawing>
      </w:r>
    </w:p>
    <w:p w14:paraId="5274047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其中：</w:t>
      </w:r>
    </w:p>
    <w:p w14:paraId="4C81E2A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m：介质的极化率</w:t>
      </w:r>
    </w:p>
    <w:p w14:paraId="6BF2374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τ：时间常数</w:t>
      </w:r>
    </w:p>
    <w:p w14:paraId="1C4FAA3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c：频率相关系数</w:t>
      </w:r>
    </w:p>
    <w:p w14:paraId="23EE9DF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ρ0：视电阻率</w:t>
      </w:r>
    </w:p>
    <w:p w14:paraId="3B5A2B2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1）极化率理论上反映激发极化强度，就如一个电容器充电后放电的能力。在油气勘探中与研究目标中所含流体的饱和度和体积有关，即与双相介质中双电层的特性和有效双电层数量有关</w:t>
      </w:r>
    </w:p>
    <w:p w14:paraId="7A6DB53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2）时间常数τ理论上反映物质的结构，就如一个电容器的充放电时间一样，由于勘探体积内极化物质的结构（如粒度、连通性等）、性质的差异，导致时间常数不同。</w:t>
      </w:r>
    </w:p>
    <w:p w14:paraId="4CB04DE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3）频率相关系数c表征了勘探休积内极化物质的分布情况。极化物质呈单一和均匀性分布时，c的幅值较高。</w:t>
      </w:r>
    </w:p>
    <w:p w14:paraId="757EE5AF">
      <w:pPr>
        <w:pageBreakBefore w:val="0"/>
        <w:wordWrap/>
        <w:bidi w:val="0"/>
        <w:adjustRightInd w:val="0"/>
        <w:snapToGrid w:val="0"/>
        <w:spacing w:line="480" w:lineRule="auto"/>
        <w:outlineLvl w:val="9"/>
        <w:rPr>
          <w:rFonts w:ascii="仿宋" w:hAnsi="仿宋" w:eastAsia="仿宋" w:cs="仿宋"/>
          <w:b/>
          <w:bCs/>
          <w:snapToGrid w:val="0"/>
          <w:kern w:val="0"/>
          <w:sz w:val="24"/>
          <w:szCs w:val="24"/>
        </w:rPr>
      </w:pPr>
    </w:p>
    <w:p w14:paraId="37782EEF">
      <w:pPr>
        <w:rPr>
          <w:rFonts w:hint="eastAsia" w:ascii="仿宋" w:hAnsi="仿宋" w:eastAsia="仿宋" w:cs="仿宋"/>
          <w:b/>
          <w:bCs/>
          <w:snapToGrid w:val="0"/>
          <w:kern w:val="0"/>
          <w:sz w:val="24"/>
          <w:szCs w:val="24"/>
        </w:rPr>
      </w:pPr>
      <w:r>
        <w:rPr>
          <w:rFonts w:hint="eastAsia" w:ascii="仿宋" w:hAnsi="仿宋" w:eastAsia="仿宋" w:cs="仿宋"/>
          <w:b/>
          <w:bCs/>
          <w:snapToGrid w:val="0"/>
          <w:kern w:val="0"/>
          <w:sz w:val="24"/>
          <w:szCs w:val="24"/>
        </w:rPr>
        <w:br w:type="page"/>
      </w:r>
    </w:p>
    <w:p w14:paraId="11A9D11B">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outlineLvl w:val="1"/>
        <w:rPr>
          <w:rFonts w:ascii="仿宋" w:hAnsi="仿宋" w:eastAsia="仿宋" w:cs="仿宋"/>
          <w:b/>
          <w:bCs/>
          <w:snapToGrid w:val="0"/>
          <w:kern w:val="0"/>
          <w:sz w:val="24"/>
          <w:szCs w:val="24"/>
        </w:rPr>
      </w:pPr>
      <w:r>
        <w:rPr>
          <w:rFonts w:hint="eastAsia" w:ascii="仿宋" w:hAnsi="仿宋" w:eastAsia="仿宋" w:cs="仿宋"/>
          <w:b/>
          <w:bCs/>
          <w:snapToGrid w:val="0"/>
          <w:kern w:val="0"/>
          <w:sz w:val="24"/>
          <w:szCs w:val="24"/>
          <w:lang w:val="en-US" w:eastAsia="zh-CN"/>
        </w:rPr>
        <w:t>③、</w:t>
      </w:r>
      <w:r>
        <w:rPr>
          <w:rFonts w:hint="eastAsia" w:ascii="仿宋" w:hAnsi="仿宋" w:eastAsia="仿宋" w:cs="仿宋"/>
          <w:b/>
          <w:bCs/>
          <w:snapToGrid w:val="0"/>
          <w:kern w:val="0"/>
          <w:sz w:val="24"/>
          <w:szCs w:val="24"/>
        </w:rPr>
        <w:t>新疆和静县-托克逊县乌拉苏-阿拉沟一带金铜多金属矿普查</w:t>
      </w:r>
    </w:p>
    <w:p w14:paraId="46E6165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outlineLvl w:val="9"/>
        <w:rPr>
          <w:rFonts w:hint="eastAsia" w:ascii="仿宋" w:hAnsi="仿宋" w:eastAsia="仿宋" w:cs="仿宋"/>
          <w:b/>
          <w:bCs/>
          <w:snapToGrid w:val="0"/>
          <w:kern w:val="0"/>
          <w:sz w:val="24"/>
          <w:szCs w:val="24"/>
        </w:rPr>
      </w:pPr>
      <w:r>
        <w:rPr>
          <w:rFonts w:hint="eastAsia" w:ascii="仿宋" w:hAnsi="仿宋" w:eastAsia="仿宋" w:cs="仿宋"/>
          <w:b/>
          <w:bCs/>
          <w:snapToGrid w:val="0"/>
          <w:kern w:val="0"/>
          <w:sz w:val="24"/>
          <w:szCs w:val="24"/>
        </w:rPr>
        <w:t>一、服务内容：</w:t>
      </w:r>
    </w:p>
    <w:p w14:paraId="21353AEC">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工作区位于天山山脉冰达坂东部阿拉沟一带，行政区划隶属和静县管辖。北距乌鲁木齐140千米，南距和静县180米，东距托克逊县100千米，省道301线横穿工作区，交通较为便利。工作区总体地势为中部低南北高，中部为阿拉沟河谷，两侧山势高峻，海拔在1940～2500米之间，相对高差在560米，属深切割程度的中高山区。</w:t>
      </w:r>
    </w:p>
    <w:p w14:paraId="0D71E89C">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工作区属典型的大陆性温带半干旱气候，冬季长夏季短，气候变化大，昼夜温差大，气候冷湿，多雨水(雪)，降水量大。年平均气温15.6℃，最高气温40℃，最低气温-20℃(12月至次年1月)；7-9月为雨季，以雪、冰雹为主，而较少落雨，雨雪多在每天午后，每年最佳野外工作时间为5-10月。</w:t>
      </w:r>
    </w:p>
    <w:p w14:paraId="72B4C8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top"/>
        <w:outlineLvl w:val="9"/>
        <w:rPr>
          <w:rFonts w:hint="eastAsia" w:ascii="仿宋" w:hAnsi="仿宋" w:eastAsia="仿宋" w:cs="仿宋"/>
          <w:sz w:val="24"/>
          <w:szCs w:val="24"/>
        </w:rPr>
      </w:pPr>
      <w:r>
        <w:rPr>
          <w:rFonts w:hint="eastAsia" w:ascii="仿宋" w:hAnsi="仿宋" w:eastAsia="仿宋" w:cs="仿宋"/>
          <w:sz w:val="24"/>
          <w:szCs w:val="24"/>
        </w:rPr>
        <w:t>工作区内水系发育，主要河流为阿拉沟河，夏季冰雪融化，河水汹涌，难以涉渡。河流走向多为东西-近东西向，受区域构造线控制明显。</w:t>
      </w:r>
    </w:p>
    <w:p w14:paraId="02B7A4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二、工作量：1∶1万磁法剖面测量30千米；1∶1万激电剖面测量30千米；CSAMT电磁测深50点。</w:t>
      </w:r>
    </w:p>
    <w:p w14:paraId="4C47199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outlineLvl w:val="9"/>
        <w:rPr>
          <w:rFonts w:hint="eastAsia" w:ascii="仿宋" w:hAnsi="仿宋" w:eastAsia="仿宋" w:cs="仿宋"/>
          <w:b/>
          <w:bCs/>
          <w:snapToGrid w:val="0"/>
          <w:kern w:val="0"/>
          <w:sz w:val="24"/>
          <w:szCs w:val="24"/>
        </w:rPr>
      </w:pPr>
      <w:r>
        <w:rPr>
          <w:rFonts w:hint="eastAsia" w:ascii="仿宋" w:hAnsi="仿宋" w:eastAsia="仿宋" w:cs="仿宋"/>
          <w:b/>
          <w:bCs/>
          <w:snapToGrid w:val="0"/>
          <w:kern w:val="0"/>
          <w:sz w:val="24"/>
          <w:szCs w:val="24"/>
        </w:rPr>
        <w:t>三、技术要求</w:t>
      </w:r>
    </w:p>
    <w:p w14:paraId="79D6C4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outlineLvl w:val="9"/>
        <w:rPr>
          <w:rFonts w:hint="eastAsia" w:ascii="仿宋" w:hAnsi="仿宋" w:eastAsia="仿宋" w:cs="仿宋"/>
          <w:sz w:val="24"/>
          <w:szCs w:val="24"/>
        </w:rPr>
      </w:pPr>
      <w:bookmarkStart w:id="436" w:name="_Toc2516"/>
      <w:bookmarkStart w:id="437" w:name="_Toc2888"/>
      <w:bookmarkStart w:id="438" w:name="_Toc2584"/>
      <w:bookmarkStart w:id="439" w:name="_Toc216347362"/>
      <w:bookmarkStart w:id="440" w:name="_Toc217905525"/>
      <w:bookmarkStart w:id="441" w:name="_Toc17935"/>
      <w:bookmarkStart w:id="442" w:name="_Toc74220902"/>
      <w:r>
        <w:rPr>
          <w:rFonts w:hint="eastAsia" w:ascii="仿宋" w:hAnsi="仿宋" w:eastAsia="仿宋" w:cs="仿宋"/>
          <w:sz w:val="24"/>
          <w:szCs w:val="24"/>
        </w:rPr>
        <w:t>四、1∶1万激电中梯剖面测量</w:t>
      </w:r>
      <w:bookmarkEnd w:id="436"/>
      <w:bookmarkEnd w:id="437"/>
      <w:bookmarkEnd w:id="438"/>
      <w:bookmarkEnd w:id="439"/>
      <w:bookmarkEnd w:id="440"/>
      <w:bookmarkEnd w:id="441"/>
      <w:bookmarkEnd w:id="442"/>
    </w:p>
    <w:p w14:paraId="5AEB31DD">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目的是对已知的异常、矿化蚀变带进行解剖，寻找深部硫化物型金、铜等多金属矿产。剖面布设以控制区内主要Au、Cu高值异常或矿化蚀变带为原则，剖面线距根据矿化蚀变实际规模可适当调整。</w:t>
      </w:r>
    </w:p>
    <w:p w14:paraId="65842566">
      <w:pPr>
        <w:keepNext w:val="0"/>
        <w:keepLines w:val="0"/>
        <w:pageBreakBefore w:val="0"/>
        <w:widowControl w:val="0"/>
        <w:kinsoku/>
        <w:wordWrap/>
        <w:overflowPunct/>
        <w:topLinePunct w:val="0"/>
        <w:autoSpaceDE/>
        <w:autoSpaceDN/>
        <w:bidi w:val="0"/>
        <w:snapToGrid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(一)测地工作</w:t>
      </w:r>
    </w:p>
    <w:p w14:paraId="63E7012C">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物探剖面的布设采用GPS卫星定位仪进行剖面端点定位的方式进行基本点距为40米，矿化地段或异常地段点距加密至20米，测线端点应作长久保持醒目标志，每个测点均要写清点线号。其他技术要求参照《物化探测量技术规范》之相关规定。</w:t>
      </w:r>
    </w:p>
    <w:p w14:paraId="03A67C16">
      <w:pPr>
        <w:keepNext w:val="0"/>
        <w:keepLines w:val="0"/>
        <w:pageBreakBefore w:val="0"/>
        <w:widowControl w:val="0"/>
        <w:kinsoku/>
        <w:wordWrap/>
        <w:overflowPunct/>
        <w:topLinePunct w:val="0"/>
        <w:autoSpaceDE/>
        <w:autoSpaceDN/>
        <w:bidi w:val="0"/>
        <w:snapToGrid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(二)激电工作</w:t>
      </w:r>
    </w:p>
    <w:p w14:paraId="755D77B8">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激电测量仪器，采用重庆奔腾数控技术研究所生产的WDFZ－5B型大功率智能发射机和与之配套的WDJS－2型直流数字激电接收机。仪器于开工前及完工后均要进行校验，发射机供电电流校验采用高精度数字万用表进行，要求各档位供电电流相对误差不大于10%；采用激电模拟器对接收机进行仪器性能室内标定检查，要求一次位(Vｐ)相对误差小于1%，极化率相对误差不超过±2%。野外正式生产前及完工后，对投入生产使用的接收机要进行仪器精度剖面实测检验。测定方式：于已知的矿(化)体地段或异常地段选择20个以上的测点，二台接收机在相同条件下做往返观测，要求二台仪器的ηα均方相对误差符合规范要求。</w:t>
      </w:r>
    </w:p>
    <w:p w14:paraId="78860CF0">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采用中梯装置，AB＝1200米，MN＝40米，点距＝20－40米，供电周期为8秒，供电节拍2秒，延时200毫秒，二次场第一子样采样宽度为40毫秒，叠加次数为2次。野外工作过程中，要尽量改善A、B接地条件，以获得足够大的稳定的供电电流以保证观测质量，野外观测过程中对于出现的突变点、畸变点、异常点(幅度ηα≥1.5%)以及一次位(Vｐ)＜3ｍV的测点均要及时进行重复观测。工作过程中，对于相邻的供电AB排列要保证2个接头点，且对每个供电AB排列，均要进行漏电检查，漏检电阻要求大于20MΩ。</w:t>
      </w:r>
    </w:p>
    <w:p w14:paraId="53070A3A">
      <w:pPr>
        <w:keepNext w:val="0"/>
        <w:keepLines w:val="0"/>
        <w:pageBreakBefore w:val="0"/>
        <w:widowControl w:val="0"/>
        <w:tabs>
          <w:tab w:val="left" w:pos="3120"/>
        </w:tabs>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(三)物性测量</w:t>
      </w:r>
    </w:p>
    <w:p w14:paraId="7335A525">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物性标本的采集：要求全区大致分布均匀，</w:t>
      </w:r>
      <w:r>
        <w:rPr>
          <w:rFonts w:hint="eastAsia" w:ascii="仿宋" w:hAnsi="仿宋" w:eastAsia="仿宋" w:cs="仿宋"/>
          <w:sz w:val="24"/>
          <w:szCs w:val="24"/>
          <w:lang w:val="en-US" w:eastAsia="zh-CN"/>
        </w:rPr>
        <w:t>与异常有关的</w:t>
      </w:r>
      <w:r>
        <w:rPr>
          <w:rFonts w:hint="eastAsia" w:ascii="仿宋" w:hAnsi="仿宋" w:eastAsia="仿宋" w:cs="仿宋"/>
          <w:sz w:val="24"/>
          <w:szCs w:val="24"/>
        </w:rPr>
        <w:t>主要岩性标本数不少于30块，</w:t>
      </w:r>
      <w:r>
        <w:rPr>
          <w:rFonts w:hint="eastAsia" w:ascii="仿宋" w:hAnsi="仿宋" w:eastAsia="仿宋" w:cs="仿宋"/>
          <w:sz w:val="24"/>
          <w:szCs w:val="24"/>
          <w:lang w:val="en-US" w:eastAsia="zh-CN"/>
        </w:rPr>
        <w:t>其他岩石每类不少于10块，体积不小于</w:t>
      </w:r>
      <w:r>
        <w:rPr>
          <w:rFonts w:hint="eastAsia" w:ascii="仿宋" w:hAnsi="仿宋" w:eastAsia="仿宋" w:cs="仿宋"/>
          <w:sz w:val="24"/>
          <w:szCs w:val="24"/>
        </w:rPr>
        <w:t>10×</w:t>
      </w:r>
      <w:r>
        <w:rPr>
          <w:rFonts w:hint="eastAsia" w:ascii="仿宋" w:hAnsi="仿宋" w:eastAsia="仿宋" w:cs="仿宋"/>
          <w:sz w:val="24"/>
          <w:szCs w:val="24"/>
          <w:lang w:val="en-US" w:eastAsia="zh-CN"/>
        </w:rPr>
        <w:t>10</w:t>
      </w:r>
      <w:r>
        <w:rPr>
          <w:rFonts w:hint="eastAsia" w:ascii="仿宋" w:hAnsi="仿宋" w:eastAsia="仿宋" w:cs="仿宋"/>
          <w:sz w:val="24"/>
          <w:szCs w:val="24"/>
        </w:rPr>
        <w:t>×</w:t>
      </w:r>
      <w:r>
        <w:rPr>
          <w:rFonts w:hint="eastAsia" w:ascii="仿宋" w:hAnsi="仿宋" w:eastAsia="仿宋" w:cs="仿宋"/>
          <w:sz w:val="24"/>
          <w:szCs w:val="24"/>
          <w:lang w:val="en-US" w:eastAsia="zh-CN"/>
        </w:rPr>
        <w:t>10</w:t>
      </w:r>
      <w:r>
        <w:rPr>
          <w:rFonts w:hint="eastAsia" w:ascii="仿宋" w:hAnsi="仿宋" w:eastAsia="仿宋" w:cs="仿宋"/>
          <w:sz w:val="24"/>
          <w:szCs w:val="24"/>
        </w:rPr>
        <w:t>厘米。</w:t>
      </w:r>
    </w:p>
    <w:p w14:paraId="2BBDE92F">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电性参数的测定：野外可根据具体情况对有代表性的岩性进行适量的小四极露头参数(ηα、ρα)的测定，标本测定参数主要以极化率(η)为主，对规则的标本进行适量的电阻率(ρ)参数测定。</w:t>
      </w:r>
    </w:p>
    <w:p w14:paraId="522EED94">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质量评定：检查某一种岩性的全部标本，且达到标本总数的10%。</w:t>
      </w:r>
      <w:bookmarkStart w:id="443" w:name="_Toc22431"/>
      <w:bookmarkStart w:id="444" w:name="_Toc13989"/>
      <w:bookmarkStart w:id="445" w:name="_Toc25151"/>
      <w:bookmarkStart w:id="446" w:name="_Toc19910"/>
    </w:p>
    <w:p w14:paraId="636F06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outlineLvl w:val="9"/>
        <w:rPr>
          <w:rFonts w:hint="eastAsia" w:ascii="仿宋" w:hAnsi="仿宋" w:eastAsia="仿宋" w:cs="仿宋"/>
          <w:sz w:val="24"/>
          <w:szCs w:val="24"/>
        </w:rPr>
      </w:pPr>
      <w:bookmarkStart w:id="447" w:name="_Toc216347363"/>
      <w:bookmarkStart w:id="448" w:name="_Toc217905526"/>
      <w:r>
        <w:rPr>
          <w:rFonts w:hint="eastAsia" w:ascii="仿宋" w:hAnsi="仿宋" w:eastAsia="仿宋" w:cs="仿宋"/>
          <w:sz w:val="24"/>
          <w:szCs w:val="24"/>
        </w:rPr>
        <w:t>五、1∶1万磁法剖面测量</w:t>
      </w:r>
      <w:bookmarkEnd w:id="443"/>
      <w:bookmarkEnd w:id="444"/>
      <w:bookmarkEnd w:id="445"/>
      <w:bookmarkEnd w:id="446"/>
      <w:bookmarkEnd w:id="447"/>
      <w:bookmarkEnd w:id="448"/>
    </w:p>
    <w:p w14:paraId="2C791FA1">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目的是针对区内成矿地质体开展磁法测量工作，初步查明其物性特征，并对其含矿性进行评价。其技术要求按地矿部DZ／T0071-2025《地面高精度磁测技术规程》标准执行。</w:t>
      </w:r>
    </w:p>
    <w:p w14:paraId="21798D9A">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1.使用仪器及要求</w:t>
      </w:r>
    </w:p>
    <w:p w14:paraId="074F5B93">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磁测工作采用捷克生产的高精度质子磁力仪，仪器灵敏度高，抗干扰能力强，测量误差精度达到1nT，分辨率为±0.1nT。测量参数为总磁场强度ΔT，协调范围在54700-57700 nT之间，仪器协调后信号强度控制在8左右，单点测量时间为2ｓ。</w:t>
      </w:r>
    </w:p>
    <w:p w14:paraId="31070E08">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2.磁测方法技术</w:t>
      </w:r>
    </w:p>
    <w:p w14:paraId="15F2DA0C">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测网布设在筛选的具有寻找金属硫化物矿产前景的矿化蚀变带或1∶5万化探异常上，点距要求在20～50米。测线应尽量垂直于地质构造方向或垂直磁异常的长轴方向，提高异常解释水平和成果有效性。</w:t>
      </w:r>
    </w:p>
    <w:p w14:paraId="617D4974">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野外工作采用总场测量方式，观测参数为地磁场总场强度T，探头高度为2米。野外测量采用校正点－观测点－校正点的闭合方式进行。在校正点上读数两次，前后两次校正点的读数经过日变改正后的平均值，绝对差值必须小于两倍的观测均方误差，否则，这一闭合单元的观测资料按报废处理。</w:t>
      </w:r>
    </w:p>
    <w:p w14:paraId="1DB0A6DA">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野外遇到居民地、铁路、井场、高压输电线、有磁性的废矿石等干扰时，操作人员必须采取相应措施予以回避，把干扰减小到最小。野外观测时探头也不宜过于接近陡岩坎，以减少局部影响。</w:t>
      </w:r>
    </w:p>
    <w:p w14:paraId="6AAD55DE">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野外观测时，按规定尽可能使探头南北向放置，并使探杆直立，尽可能保持探头的高度一致。在日变站上，</w:t>
      </w:r>
      <w:r>
        <w:rPr>
          <w:rFonts w:hint="eastAsia" w:ascii="仿宋" w:hAnsi="仿宋" w:eastAsia="仿宋" w:cs="仿宋"/>
          <w:sz w:val="24"/>
          <w:szCs w:val="24"/>
          <w:lang w:val="en-US" w:eastAsia="zh-CN"/>
        </w:rPr>
        <w:t>选取夜间平稳时段（20点-6时）做日变观测，读数间隔不大于20s,应选择地磁场变化平稳段，即2h内</w:t>
      </w:r>
      <w:r>
        <w:rPr>
          <w:rFonts w:hint="eastAsia" w:ascii="仿宋" w:hAnsi="仿宋" w:eastAsia="仿宋" w:cs="仿宋"/>
          <w:sz w:val="24"/>
          <w:szCs w:val="24"/>
        </w:rPr>
        <w:t>地磁场平均值变化不超过2nT的时间段，求取</w:t>
      </w:r>
      <w:r>
        <w:rPr>
          <w:rFonts w:hint="eastAsia" w:ascii="仿宋" w:hAnsi="仿宋" w:eastAsia="仿宋" w:cs="仿宋"/>
          <w:sz w:val="24"/>
          <w:szCs w:val="24"/>
          <w:lang w:val="en-US" w:eastAsia="zh-CN"/>
        </w:rPr>
        <w:t>地磁场</w:t>
      </w:r>
      <w:r>
        <w:rPr>
          <w:rFonts w:hint="eastAsia" w:ascii="仿宋" w:hAnsi="仿宋" w:eastAsia="仿宋" w:cs="仿宋"/>
          <w:sz w:val="24"/>
          <w:szCs w:val="24"/>
        </w:rPr>
        <w:t>的平均值，即为日变站(总基点)的</w:t>
      </w:r>
      <w:r>
        <w:rPr>
          <w:rFonts w:hint="eastAsia" w:ascii="仿宋" w:hAnsi="仿宋" w:eastAsia="仿宋" w:cs="仿宋"/>
          <w:sz w:val="24"/>
          <w:szCs w:val="24"/>
          <w:lang w:val="en-US" w:eastAsia="zh-CN"/>
        </w:rPr>
        <w:t>基本场值</w:t>
      </w:r>
      <w:r>
        <w:rPr>
          <w:rFonts w:hint="eastAsia" w:ascii="仿宋" w:hAnsi="仿宋" w:eastAsia="仿宋" w:cs="仿宋"/>
          <w:sz w:val="24"/>
          <w:szCs w:val="24"/>
        </w:rPr>
        <w:t>。</w:t>
      </w:r>
    </w:p>
    <w:p w14:paraId="13D1C6DC">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校正点选择</w:t>
      </w:r>
      <w:r>
        <w:rPr>
          <w:rFonts w:hint="eastAsia" w:ascii="仿宋" w:hAnsi="仿宋" w:eastAsia="仿宋" w:cs="仿宋"/>
          <w:sz w:val="24"/>
          <w:szCs w:val="24"/>
          <w:lang w:val="en-US" w:eastAsia="zh-CN"/>
        </w:rPr>
        <w:t>位于</w:t>
      </w:r>
      <w:r>
        <w:rPr>
          <w:rFonts w:hint="eastAsia" w:ascii="仿宋" w:hAnsi="仿宋" w:eastAsia="仿宋" w:cs="仿宋"/>
          <w:sz w:val="24"/>
          <w:szCs w:val="24"/>
        </w:rPr>
        <w:t>磁场梯度较小处，即避免在异常上或磁场变化杂乱处，并应设立标志，每次对校正点时的点位和高度应保持一致</w:t>
      </w:r>
      <w:r>
        <w:rPr>
          <w:rFonts w:hint="eastAsia" w:ascii="仿宋" w:hAnsi="仿宋" w:eastAsia="仿宋" w:cs="仿宋"/>
          <w:sz w:val="24"/>
          <w:szCs w:val="24"/>
          <w:lang w:eastAsia="zh-CN"/>
        </w:rPr>
        <w:t>，</w:t>
      </w:r>
      <w:r>
        <w:rPr>
          <w:rFonts w:hint="eastAsia" w:ascii="仿宋" w:hAnsi="仿宋" w:eastAsia="仿宋" w:cs="仿宋"/>
          <w:sz w:val="24"/>
          <w:szCs w:val="24"/>
        </w:rPr>
        <w:t>其它要求同日变站的选择。</w:t>
      </w:r>
    </w:p>
    <w:p w14:paraId="0F18BC7F">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bookmarkStart w:id="449" w:name="_Toc280514629"/>
      <w:bookmarkStart w:id="450" w:name="_Toc291199339"/>
      <w:bookmarkStart w:id="451" w:name="_Toc292284537"/>
      <w:r>
        <w:rPr>
          <w:rFonts w:hint="eastAsia" w:ascii="仿宋" w:hAnsi="仿宋" w:eastAsia="仿宋" w:cs="仿宋"/>
          <w:sz w:val="24"/>
          <w:szCs w:val="24"/>
        </w:rPr>
        <w:t>3.质量检查与评价</w:t>
      </w:r>
      <w:bookmarkEnd w:id="449"/>
      <w:bookmarkEnd w:id="450"/>
      <w:bookmarkEnd w:id="451"/>
    </w:p>
    <w:p w14:paraId="44EFDA5C">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高精度磁测工作的质量检查率应在3%～5%之间，精测剖面的质量检查率应达到10%，绝对点数不少于30个。质量检查点的分布要均匀。还应包括异常场的质量检查、异常完整性的质量检查、突变点的质量检查。当检查结果误差超过设计规定，或在某些地段存在明显系统误差时，应适当增加检查量，以提高检查结果的可信度。</w:t>
      </w:r>
    </w:p>
    <w:p w14:paraId="189632E0">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连续磁测重复观测达到10%，要求两次观测异常曲线形态一致。精度计算在有标记点上进行，绝对点数不少于30个。</w:t>
      </w:r>
    </w:p>
    <w:p w14:paraId="0A92D4B7">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高精度磁测的质量，要分测区，分比例尺，分工作性质(剖面性工作)评价。计算均方误差时，可将误差过大的个别点舍弃，但舍弃数不得超过相应检查点数的1%。</w:t>
      </w:r>
    </w:p>
    <w:p w14:paraId="34EBC02B">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磁性参数测定的质量检查率应达10%。当发现野外观测阶段的工作不够完善，或因资料整理和异常研究需要时，要及时地补做一定的野外工作。</w:t>
      </w:r>
    </w:p>
    <w:p w14:paraId="3DCACE65">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bookmarkStart w:id="452" w:name="_Toc387095798"/>
      <w:r>
        <w:rPr>
          <w:rFonts w:hint="eastAsia" w:ascii="仿宋" w:hAnsi="仿宋" w:eastAsia="仿宋" w:cs="仿宋"/>
          <w:sz w:val="24"/>
          <w:szCs w:val="24"/>
        </w:rPr>
        <w:t>4</w:t>
      </w:r>
      <w:bookmarkEnd w:id="452"/>
      <w:r>
        <w:rPr>
          <w:rFonts w:hint="eastAsia" w:ascii="仿宋" w:hAnsi="仿宋" w:eastAsia="仿宋" w:cs="仿宋"/>
          <w:sz w:val="24"/>
          <w:szCs w:val="24"/>
        </w:rPr>
        <w:t>.磁法资料整理</w:t>
      </w:r>
    </w:p>
    <w:p w14:paraId="01C8461B">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磁测资料整理包括一致性计算、基点磁场值计算、磁测值计算及精度统计等内容。其中磁测值计算要求与1∶5万磁法资料的计算方法一致，各项改正起算点均统一到1∶5万磁测总基点。</w:t>
      </w:r>
    </w:p>
    <w:p w14:paraId="15CF4656">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磁测资料的处理视需要进行延拓、化极计算等为判断异常地质体的性质，推断构造形迹提供帮助。</w:t>
      </w:r>
    </w:p>
    <w:p w14:paraId="7FB254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outlineLvl w:val="9"/>
        <w:rPr>
          <w:rFonts w:hint="eastAsia" w:ascii="仿宋" w:hAnsi="仿宋" w:eastAsia="仿宋" w:cs="仿宋"/>
          <w:sz w:val="24"/>
          <w:szCs w:val="24"/>
        </w:rPr>
      </w:pPr>
      <w:bookmarkStart w:id="453" w:name="_Toc261"/>
      <w:bookmarkStart w:id="454" w:name="_Toc216347364"/>
      <w:bookmarkStart w:id="455" w:name="_Toc217905527"/>
      <w:bookmarkStart w:id="456" w:name="_Toc4878"/>
      <w:bookmarkStart w:id="457" w:name="_Toc29094"/>
      <w:bookmarkStart w:id="458" w:name="_Toc19594"/>
      <w:r>
        <w:rPr>
          <w:rFonts w:hint="eastAsia" w:ascii="仿宋" w:hAnsi="仿宋" w:eastAsia="仿宋" w:cs="仿宋"/>
          <w:sz w:val="24"/>
          <w:szCs w:val="24"/>
        </w:rPr>
        <w:t>六、CSAMT电磁测深</w:t>
      </w:r>
      <w:bookmarkEnd w:id="453"/>
      <w:bookmarkEnd w:id="454"/>
      <w:bookmarkEnd w:id="455"/>
      <w:bookmarkEnd w:id="456"/>
      <w:bookmarkEnd w:id="457"/>
      <w:bookmarkEnd w:id="458"/>
    </w:p>
    <w:p w14:paraId="6F9BE506">
      <w:pPr>
        <w:keepNext w:val="0"/>
        <w:keepLines w:val="0"/>
        <w:pageBreakBefore w:val="0"/>
        <w:widowControl w:val="0"/>
        <w:tabs>
          <w:tab w:val="left" w:pos="6300"/>
        </w:tabs>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根据本次任务书的目标要求，择优选择矿化蚀变较好、有利于开展进一步找矿工作的化探异常和矿点，布设CSAMT物探测点，设计工作量50个测深点。</w:t>
      </w:r>
    </w:p>
    <w:p w14:paraId="67ABC1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(一)工作仪器设备</w:t>
      </w:r>
    </w:p>
    <w:p w14:paraId="6C8E68CB">
      <w:pPr>
        <w:keepNext w:val="0"/>
        <w:keepLines w:val="0"/>
        <w:pageBreakBefore w:val="0"/>
        <w:widowControl w:val="0"/>
        <w:tabs>
          <w:tab w:val="left" w:pos="6300"/>
        </w:tabs>
        <w:kinsoku/>
        <w:wordWrap/>
        <w:overflowPunct/>
        <w:topLinePunct w:val="0"/>
        <w:autoSpaceDE/>
        <w:autoSpaceDN/>
        <w:bidi w:val="0"/>
        <w:spacing w:line="360" w:lineRule="auto"/>
        <w:ind w:firstLine="480" w:firstLineChars="200"/>
        <w:outlineLvl w:val="9"/>
        <w:rPr>
          <w:rFonts w:hint="eastAsia" w:ascii="仿宋" w:hAnsi="仿宋" w:eastAsia="仿宋" w:cs="仿宋"/>
          <w:b/>
          <w:sz w:val="24"/>
          <w:szCs w:val="24"/>
        </w:rPr>
      </w:pPr>
      <w:r>
        <w:rPr>
          <w:rFonts w:hint="eastAsia" w:ascii="仿宋" w:hAnsi="仿宋" w:eastAsia="仿宋" w:cs="仿宋"/>
          <w:sz w:val="24"/>
          <w:szCs w:val="24"/>
        </w:rPr>
        <w:t>本次工作采用加拿大凤凰公司生产的V8电法系统。V8多功能电法工作站接收系统由V8多功能接收主机、RXU-3E可控接收盒子组成。发射系统由TXU-30型多功能大功率（20kw）发射机以及RXU-TMR发射控制盒子构成，另外的附加组件还包括20kw大功率发电机、AMTC-30高频磁探头等。</w:t>
      </w:r>
    </w:p>
    <w:p w14:paraId="2BA5A6F5">
      <w:pPr>
        <w:keepNext w:val="0"/>
        <w:keepLines w:val="0"/>
        <w:pageBreakBefore w:val="0"/>
        <w:widowControl w:val="0"/>
        <w:tabs>
          <w:tab w:val="left" w:pos="6300"/>
        </w:tabs>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(二)测线区域的选择及测线布置</w:t>
      </w:r>
    </w:p>
    <w:p w14:paraId="7F3DCAB8">
      <w:pPr>
        <w:keepNext w:val="0"/>
        <w:keepLines w:val="0"/>
        <w:pageBreakBefore w:val="0"/>
        <w:widowControl w:val="0"/>
        <w:tabs>
          <w:tab w:val="left" w:pos="6300"/>
        </w:tabs>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在CSAMT法野外工作中，总是把观测区域布置在一个梯形面积内(图4-1)，梯形的上底为AB发射偶极所在的位置，测线到AB的距离应大于三倍的趋肤深度。测线的长度，应保持在梯形面积之内。</w:t>
      </w:r>
    </w:p>
    <w:p w14:paraId="0C982E2E">
      <w:pPr>
        <w:pageBreakBefore w:val="0"/>
        <w:tabs>
          <w:tab w:val="left" w:pos="6300"/>
        </w:tabs>
        <w:wordWrap/>
        <w:bidi w:val="0"/>
        <w:spacing w:line="360" w:lineRule="auto"/>
        <w:ind w:firstLine="1984" w:firstLineChars="945"/>
        <w:outlineLvl w:val="9"/>
        <w:rPr>
          <w:rFonts w:ascii="仿宋_GB2312" w:hAnsi="宋体" w:eastAsia="仿宋_GB2312"/>
          <w:sz w:val="28"/>
          <w:szCs w:val="28"/>
        </w:rPr>
      </w:pPr>
      <w:r>
        <w:rPr>
          <w:rFonts w:hint="eastAsia" w:ascii="仿宋_GB2312" w:eastAsia="仿宋_GB2312"/>
        </w:rPr>
        <w:drawing>
          <wp:inline distT="0" distB="0" distL="0" distR="0">
            <wp:extent cx="2654300" cy="2559050"/>
            <wp:effectExtent l="0" t="0" r="3175" b="3175"/>
            <wp:docPr id="32" name="图片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
                    <pic:cNvPicPr>
                      <a:picLocks noChangeAspect="1" noChangeArrowheads="1"/>
                    </pic:cNvPicPr>
                  </pic:nvPicPr>
                  <pic:blipFill>
                    <a:blip r:embed="rId241" cstate="print">
                      <a:extLst>
                        <a:ext uri="{28A0092B-C50C-407E-A947-70E740481C1C}">
                          <a14:useLocalDpi xmlns:a14="http://schemas.microsoft.com/office/drawing/2010/main" val="0"/>
                        </a:ext>
                      </a:extLst>
                    </a:blip>
                    <a:srcRect r="461" b="7770"/>
                    <a:stretch>
                      <a:fillRect/>
                    </a:stretch>
                  </pic:blipFill>
                  <pic:spPr>
                    <a:xfrm>
                      <a:off x="0" y="0"/>
                      <a:ext cx="2654300" cy="2559050"/>
                    </a:xfrm>
                    <a:prstGeom prst="rect">
                      <a:avLst/>
                    </a:prstGeom>
                    <a:noFill/>
                    <a:ln>
                      <a:noFill/>
                    </a:ln>
                    <a:effectLst/>
                  </pic:spPr>
                </pic:pic>
              </a:graphicData>
            </a:graphic>
          </wp:inline>
        </w:drawing>
      </w:r>
    </w:p>
    <w:p w14:paraId="06846E35">
      <w:pPr>
        <w:pageBreakBefore w:val="0"/>
        <w:tabs>
          <w:tab w:val="left" w:pos="6300"/>
        </w:tabs>
        <w:wordWrap/>
        <w:bidi w:val="0"/>
        <w:spacing w:line="360" w:lineRule="auto"/>
        <w:jc w:val="center"/>
        <w:outlineLvl w:val="9"/>
        <w:rPr>
          <w:rFonts w:ascii="宋体" w:hAnsi="宋体"/>
          <w:b/>
          <w:szCs w:val="21"/>
        </w:rPr>
      </w:pPr>
      <w:r>
        <w:rPr>
          <w:rFonts w:hint="eastAsia" w:ascii="宋体" w:hAnsi="宋体"/>
          <w:b/>
          <w:szCs w:val="21"/>
        </w:rPr>
        <w:t>图4-1  野外工作方法示意图</w:t>
      </w:r>
    </w:p>
    <w:p w14:paraId="5719864E">
      <w:pPr>
        <w:pageBreakBefore w:val="0"/>
        <w:tabs>
          <w:tab w:val="left" w:pos="63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如图4-2所示，符号|代表电极位置，符号Δ代表记录点(或测深点)的位置，测深点是取测量电极的中点。</w:t>
      </w:r>
    </w:p>
    <w:p w14:paraId="6A687304">
      <w:pPr>
        <w:pageBreakBefore w:val="0"/>
        <w:tabs>
          <w:tab w:val="left" w:pos="63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测线测点的编号，N或E定为正，S或W定为负，测线测点的编号以实际距离为准。如000N线与500N线的实际距离就是500m，1000N线与000N线的距离为1000m，并且规定沿向北（N）方向为测线编号的增大方向。又如测点号25E和75E之间的距离就是50m，0E和100E之间的距离就是100m。并且规定沿向东（E）方向为测点编号的增大方向。</w:t>
      </w:r>
    </w:p>
    <w:p w14:paraId="577ABDB0">
      <w:pPr>
        <w:pageBreakBefore w:val="0"/>
        <w:tabs>
          <w:tab w:val="left" w:pos="63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按此规定给出的测线测点编号，计算机在成图时，就会按一定的比例尺，准确无误地绘制各种图件。否则，在数据处理时会造成很大的麻烦。</w:t>
      </w:r>
    </w:p>
    <w:p w14:paraId="767409DE">
      <w:pPr>
        <w:pageBreakBefore w:val="0"/>
        <w:tabs>
          <w:tab w:val="left" w:pos="6300"/>
        </w:tabs>
        <w:wordWrap/>
        <w:bidi w:val="0"/>
        <w:spacing w:line="360" w:lineRule="auto"/>
        <w:jc w:val="center"/>
        <w:outlineLvl w:val="9"/>
        <w:rPr>
          <w:rFonts w:ascii="仿宋_GB2312" w:eastAsia="仿宋_GB2312"/>
        </w:rPr>
      </w:pPr>
      <w:r>
        <w:rPr>
          <w:rFonts w:hint="eastAsia" w:ascii="仿宋_GB2312" w:eastAsia="仿宋_GB2312"/>
        </w:rPr>
        <w:drawing>
          <wp:inline distT="0" distB="0" distL="0" distR="0">
            <wp:extent cx="4025900" cy="2668270"/>
            <wp:effectExtent l="0" t="0" r="0" b="8255"/>
            <wp:docPr id="33" name="图片 3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11"/>
                    <pic:cNvPicPr>
                      <a:picLocks noChangeAspect="1" noChangeArrowheads="1"/>
                    </pic:cNvPicPr>
                  </pic:nvPicPr>
                  <pic:blipFill>
                    <a:blip r:embed="rId242" cstate="print">
                      <a:extLst>
                        <a:ext uri="{28A0092B-C50C-407E-A947-70E740481C1C}">
                          <a14:useLocalDpi xmlns:a14="http://schemas.microsoft.com/office/drawing/2010/main" val="0"/>
                        </a:ext>
                      </a:extLst>
                    </a:blip>
                    <a:srcRect r="-1563" b="14409"/>
                    <a:stretch>
                      <a:fillRect/>
                    </a:stretch>
                  </pic:blipFill>
                  <pic:spPr>
                    <a:xfrm>
                      <a:off x="0" y="0"/>
                      <a:ext cx="4025900" cy="2668270"/>
                    </a:xfrm>
                    <a:prstGeom prst="rect">
                      <a:avLst/>
                    </a:prstGeom>
                    <a:noFill/>
                    <a:ln>
                      <a:noFill/>
                    </a:ln>
                  </pic:spPr>
                </pic:pic>
              </a:graphicData>
            </a:graphic>
          </wp:inline>
        </w:drawing>
      </w:r>
    </w:p>
    <w:p w14:paraId="4FD3648B">
      <w:pPr>
        <w:pageBreakBefore w:val="0"/>
        <w:tabs>
          <w:tab w:val="left" w:pos="6300"/>
        </w:tabs>
        <w:wordWrap/>
        <w:bidi w:val="0"/>
        <w:spacing w:line="360" w:lineRule="auto"/>
        <w:jc w:val="center"/>
        <w:outlineLvl w:val="9"/>
        <w:rPr>
          <w:rFonts w:ascii="宋体" w:hAnsi="宋体"/>
          <w:b/>
          <w:szCs w:val="21"/>
        </w:rPr>
      </w:pPr>
      <w:r>
        <w:rPr>
          <w:rFonts w:hint="eastAsia" w:ascii="宋体" w:hAnsi="宋体"/>
          <w:b/>
          <w:szCs w:val="21"/>
        </w:rPr>
        <w:t>图4-2  测线测点编号规则图</w:t>
      </w:r>
    </w:p>
    <w:p w14:paraId="1139723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(三)收发距r、发射偶极AB与测量偶极MN的选择</w:t>
      </w:r>
    </w:p>
    <w:p w14:paraId="4ECD01EB">
      <w:pPr>
        <w:pageBreakBefore w:val="0"/>
        <w:tabs>
          <w:tab w:val="left" w:pos="63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CSAMT法因场源采用人工场，所以在采集数据时，既存在因收发距r太小，使观测区过早进入近区（或S区）的问题，又存在因r距离太大，使信噪比太低，难以保证观测精度的问题。野外生产工作如何协调二者关系，显得十分必要。根据上述的理论公式推导以及结合野外工作实践经验，认为r应满足以下两个条件：</w:t>
      </w:r>
    </w:p>
    <w:p w14:paraId="3B7F14B0">
      <w:pPr>
        <w:pageBreakBefore w:val="0"/>
        <w:tabs>
          <w:tab w:val="left" w:pos="63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28" o:spt="75" type="#_x0000_t75" style="height:38.25pt;width:154.5pt;" o:ole="t" filled="f" o:preferrelative="t" stroked="f" coordsize="21600,21600">
            <v:path/>
            <v:fill on="f" focussize="0,0"/>
            <v:stroke on="f" joinstyle="miter"/>
            <v:imagedata r:id="rId244" o:title=""/>
            <o:lock v:ext="edit" aspectratio="t"/>
            <w10:wrap type="none"/>
            <w10:anchorlock/>
          </v:shape>
          <o:OLEObject Type="Embed" ProgID="Equation.3" ShapeID="_x0000_i1128" DrawAspect="Content" ObjectID="_1468075828" r:id="rId243">
            <o:LockedField>false</o:LockedField>
          </o:OLEObject>
        </w:object>
      </w:r>
    </w:p>
    <w:p w14:paraId="50FF59E9">
      <w:pPr>
        <w:pageBreakBefore w:val="0"/>
        <w:tabs>
          <w:tab w:val="left" w:pos="63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式中，H为勘探深度，I为发射电流，AB为供电偶极长度，</w:t>
      </w:r>
      <w:r>
        <w:rPr>
          <w:rFonts w:hint="eastAsia" w:ascii="仿宋" w:hAnsi="仿宋" w:eastAsia="仿宋" w:cs="仿宋"/>
          <w:sz w:val="24"/>
          <w:szCs w:val="24"/>
        </w:rPr>
        <w:object>
          <v:shape id="_x0000_i1129" o:spt="75" type="#_x0000_t75" style="height:14.25pt;width:10.5pt;" o:ole="t" filled="f" o:preferrelative="t" stroked="f" coordsize="21600,21600">
            <v:path/>
            <v:fill on="f" focussize="0,0"/>
            <v:stroke on="f" joinstyle="miter"/>
            <v:imagedata r:id="rId246" o:title=""/>
            <o:lock v:ext="edit" aspectratio="t"/>
            <w10:wrap type="none"/>
            <w10:anchorlock/>
          </v:shape>
          <o:OLEObject Type="Embed" ProgID="Equation.3" ShapeID="_x0000_i1129" DrawAspect="Content" ObjectID="_1468075829" r:id="rId245">
            <o:LockedField>false</o:LockedField>
          </o:OLEObject>
        </w:object>
      </w:r>
      <w:r>
        <w:rPr>
          <w:rFonts w:hint="eastAsia" w:ascii="仿宋" w:hAnsi="仿宋" w:eastAsia="仿宋" w:cs="仿宋"/>
          <w:sz w:val="24"/>
          <w:szCs w:val="24"/>
        </w:rPr>
        <w:t>为r与AB之间的夹角，</w:t>
      </w:r>
      <w:r>
        <w:rPr>
          <w:rFonts w:hint="eastAsia" w:ascii="仿宋" w:hAnsi="仿宋" w:eastAsia="仿宋" w:cs="仿宋"/>
          <w:sz w:val="24"/>
          <w:szCs w:val="24"/>
        </w:rPr>
        <w:object>
          <v:shape id="_x0000_i1130" o:spt="75" type="#_x0000_t75" style="height:17.25pt;width:23.25pt;" o:ole="t" filled="f" o:preferrelative="t" stroked="f" coordsize="21600,21600">
            <v:path/>
            <v:fill on="f" focussize="0,0"/>
            <v:stroke on="f" joinstyle="miter"/>
            <v:imagedata r:id="rId248" o:title=""/>
            <o:lock v:ext="edit" aspectratio="t"/>
            <w10:wrap type="none"/>
            <w10:anchorlock/>
          </v:shape>
          <o:OLEObject Type="Embed" ProgID="Equation.3" ShapeID="_x0000_i1130" DrawAspect="Content" ObjectID="_1468075830" r:id="rId247">
            <o:LockedField>false</o:LockedField>
          </o:OLEObject>
        </w:object>
      </w:r>
      <w:r>
        <w:rPr>
          <w:rFonts w:hint="eastAsia" w:ascii="仿宋" w:hAnsi="仿宋" w:eastAsia="仿宋" w:cs="仿宋"/>
          <w:sz w:val="24"/>
          <w:szCs w:val="24"/>
        </w:rPr>
        <w:t>为接收机能观测到的最小信号，一般取7</w:t>
      </w:r>
      <w:r>
        <w:rPr>
          <w:rFonts w:hint="eastAsia" w:ascii="仿宋" w:hAnsi="仿宋" w:eastAsia="仿宋" w:cs="仿宋"/>
          <w:sz w:val="24"/>
          <w:szCs w:val="24"/>
        </w:rPr>
        <w:object>
          <v:shape id="_x0000_i1131" o:spt="75" type="#_x0000_t75" style="height:16.5pt;width:19.5pt;" o:ole="t" filled="f" o:preferrelative="t" stroked="f" coordsize="21600,21600">
            <v:path/>
            <v:fill on="f" focussize="0,0"/>
            <v:stroke on="f" joinstyle="miter"/>
            <v:imagedata r:id="rId250" o:title=""/>
            <o:lock v:ext="edit" aspectratio="t"/>
            <w10:wrap type="none"/>
            <w10:anchorlock/>
          </v:shape>
          <o:OLEObject Type="Embed" ProgID="Equation.3" ShapeID="_x0000_i1131" DrawAspect="Content" ObjectID="_1468075831" r:id="rId249">
            <o:LockedField>false</o:LockedField>
          </o:OLEObject>
        </w:object>
      </w:r>
      <w:r>
        <w:rPr>
          <w:rFonts w:hint="eastAsia" w:ascii="仿宋" w:hAnsi="仿宋" w:eastAsia="仿宋" w:cs="仿宋"/>
          <w:sz w:val="24"/>
          <w:szCs w:val="24"/>
        </w:rPr>
        <w:t>。</w:t>
      </w:r>
    </w:p>
    <w:p w14:paraId="08429ADE">
      <w:pPr>
        <w:pageBreakBefore w:val="0"/>
        <w:tabs>
          <w:tab w:val="left" w:pos="63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上面的第一个式子满足了波区或远区的条件，第二个式子满足了观测精度的要求。</w:t>
      </w:r>
    </w:p>
    <w:p w14:paraId="04B7E7AA">
      <w:pPr>
        <w:pageBreakBefore w:val="0"/>
        <w:tabs>
          <w:tab w:val="left" w:pos="63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在布置工作之前，若能大致地估计探测目标的深度H，又能大致地了解测区的电阻率值，就可以根据发射功率的大小计算收发距r的大小。</w:t>
      </w:r>
    </w:p>
    <w:p w14:paraId="4B4B00E7">
      <w:pPr>
        <w:pageBreakBefore w:val="0"/>
        <w:tabs>
          <w:tab w:val="left" w:pos="63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发射偶极AB及接收偶极MN的大小，主要考虑要满足偶极子的条件，即AB与MN相对于r，要足够小。</w:t>
      </w:r>
    </w:p>
    <w:p w14:paraId="1159EB1A">
      <w:pPr>
        <w:pageBreakBefore w:val="0"/>
        <w:tabs>
          <w:tab w:val="left" w:pos="63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通常我们取</w:t>
      </w:r>
      <w:r>
        <w:rPr>
          <w:rFonts w:hint="eastAsia" w:ascii="仿宋" w:hAnsi="仿宋" w:eastAsia="仿宋" w:cs="仿宋"/>
          <w:sz w:val="24"/>
          <w:szCs w:val="24"/>
        </w:rPr>
        <w:object>
          <v:shape id="_x0000_i1132" o:spt="75" type="#_x0000_t75" style="height:31.5pt;width:126.75pt;" o:ole="t" filled="f" o:preferrelative="t" stroked="f" coordsize="21600,21600">
            <v:path/>
            <v:fill on="f" focussize="0,0"/>
            <v:stroke on="f" joinstyle="miter"/>
            <v:imagedata r:id="rId252" o:title=""/>
            <o:lock v:ext="edit" aspectratio="t"/>
            <w10:wrap type="none"/>
            <w10:anchorlock/>
          </v:shape>
          <o:OLEObject Type="Embed" ProgID="Equation.3" ShapeID="_x0000_i1132" DrawAspect="Content" ObjectID="_1468075832" r:id="rId251">
            <o:LockedField>false</o:LockedField>
          </o:OLEObject>
        </w:object>
      </w:r>
      <w:r>
        <w:rPr>
          <w:rFonts w:hint="eastAsia" w:ascii="仿宋" w:hAnsi="仿宋" w:eastAsia="仿宋" w:cs="仿宋"/>
          <w:sz w:val="24"/>
          <w:szCs w:val="24"/>
        </w:rPr>
        <w:t>即可。</w:t>
      </w:r>
    </w:p>
    <w:p w14:paraId="07390508">
      <w:pPr>
        <w:pageBreakBefore w:val="0"/>
        <w:tabs>
          <w:tab w:val="left" w:pos="900"/>
          <w:tab w:val="left" w:pos="63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另外我们还必须考虑，AB大时，低频特性好，AB小时，高频特性好，在探测较深的地质目标时，AB可选择大一些，在探测较浅层的地质体目标时，AB可选择小一些。</w:t>
      </w:r>
    </w:p>
    <w:p w14:paraId="471593DF">
      <w:pPr>
        <w:pageBreakBefore w:val="0"/>
        <w:tabs>
          <w:tab w:val="left" w:pos="900"/>
          <w:tab w:val="left" w:pos="63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对MN来说，MN过大其分辨率会降低，但测量到的电位差值大，易于观测，另外可提高工作效率，一个排列覆盖的范围大；MN变小，其分辩率会提高，但测到的电位差值变小，不能保证观测质量。另外因一个排列所覆盖的范围变小而使工作效率变低。</w:t>
      </w:r>
    </w:p>
    <w:p w14:paraId="707CB206">
      <w:pPr>
        <w:pageBreakBefore w:val="0"/>
        <w:tabs>
          <w:tab w:val="left" w:pos="900"/>
          <w:tab w:val="left" w:pos="63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当然，如果是探测深部的大目标，MN应选择大一些，如果是探测较浅部的小地质目标，MN应选择小一些。</w:t>
      </w:r>
    </w:p>
    <w:p w14:paraId="43D7AB65">
      <w:pPr>
        <w:pageBreakBefore w:val="0"/>
        <w:tabs>
          <w:tab w:val="left" w:pos="900"/>
          <w:tab w:val="left" w:pos="63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最后还要说一点，供电偶极AB的布设，除了考虑上述的基本原则以外，尽量选择交通方便的地方，如顺路、顺山沟、地形较平坦的地方，这正是CSAMT的优越之处。</w:t>
      </w:r>
    </w:p>
    <w:p w14:paraId="48296A3C">
      <w:pPr>
        <w:pageBreakBefore w:val="0"/>
        <w:tabs>
          <w:tab w:val="left" w:pos="0"/>
          <w:tab w:val="left" w:pos="6300"/>
        </w:tabs>
        <w:wordWrap/>
        <w:bidi w:val="0"/>
        <w:spacing w:line="360" w:lineRule="auto"/>
        <w:ind w:firstLine="480" w:firstLineChars="200"/>
        <w:jc w:val="left"/>
        <w:outlineLvl w:val="9"/>
        <w:rPr>
          <w:rFonts w:ascii="仿宋" w:hAnsi="仿宋" w:eastAsia="仿宋" w:cs="仿宋"/>
          <w:sz w:val="24"/>
          <w:szCs w:val="24"/>
        </w:rPr>
      </w:pPr>
      <w:r>
        <w:rPr>
          <w:rFonts w:hint="eastAsia" w:ascii="仿宋" w:hAnsi="仿宋" w:eastAsia="仿宋" w:cs="仿宋"/>
          <w:sz w:val="24"/>
          <w:szCs w:val="24"/>
        </w:rPr>
        <w:t>(四)数据采集</w:t>
      </w:r>
    </w:p>
    <w:p w14:paraId="5F00AC6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1.CSAMT接收测量时，每次采用八个不极化电极罐，每四个电极罐按照极差配对后构成一组，一次测量六个电道，共用一个磁道。该仪器所采集的视电阻率数据为卡尼亚电阻率，其计算公式为：</w:t>
      </w:r>
    </w:p>
    <w:p w14:paraId="7F41A17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33" o:spt="75" type="#_x0000_t75" style="height:39.75pt;width:63pt;" o:ole="t" filled="f" o:preferrelative="t" stroked="f" coordsize="21600,21600">
            <v:path/>
            <v:fill on="f" focussize="0,0"/>
            <v:stroke on="f" joinstyle="miter"/>
            <v:imagedata r:id="rId254" o:title=""/>
            <o:lock v:ext="edit" aspectratio="t"/>
            <w10:wrap type="none"/>
            <w10:anchorlock/>
          </v:shape>
          <o:OLEObject Type="Embed" ProgID="Equation.3" ShapeID="_x0000_i1133" DrawAspect="Content" ObjectID="_1468075833" r:id="rId253">
            <o:LockedField>false</o:LockedField>
          </o:OLEObject>
        </w:object>
      </w:r>
      <w:r>
        <w:rPr>
          <w:rFonts w:hint="eastAsia" w:ascii="仿宋" w:hAnsi="仿宋" w:eastAsia="仿宋" w:cs="仿宋"/>
          <w:sz w:val="24"/>
          <w:szCs w:val="24"/>
        </w:rPr>
        <w:object>
          <v:shape id="_x0000_i1134" o:spt="75" type="#_x0000_t75" style="height:17.25pt;width:9pt;" o:ole="t" filled="f" o:preferrelative="t" stroked="f" coordsize="21600,21600">
            <v:path/>
            <v:fill on="f" focussize="0,0"/>
            <v:stroke on="f" joinstyle="miter"/>
            <v:imagedata r:id="rId256" o:title=""/>
            <o:lock v:ext="edit" aspectratio="t"/>
            <w10:wrap type="none"/>
            <w10:anchorlock/>
          </v:shape>
          <o:OLEObject Type="Embed" ProgID="Equation.3" ShapeID="_x0000_i1134" DrawAspect="Content" ObjectID="_1468075834" r:id="rId255">
            <o:LockedField>false</o:LockedField>
          </o:OLEObject>
        </w:object>
      </w:r>
    </w:p>
    <w:p w14:paraId="6FAD9AC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测点观测只能在场源AB垂直平分线两侧30°角扇形范围内进行。接收装置示意图如图4-3所示。</w:t>
      </w:r>
    </w:p>
    <w:p w14:paraId="5B888D3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2.正式施工前，开展仪器的标定和一致性检测，确保仪器性能良好方可进场。</w:t>
      </w:r>
    </w:p>
    <w:p w14:paraId="6C49324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3.采用固体不极化电极，与土壤接触良好并浇盐水压实，接地电阻小于2KΩ。</w:t>
      </w:r>
    </w:p>
    <w:p w14:paraId="3E340679">
      <w:pPr>
        <w:pageBreakBefore w:val="0"/>
        <w:wordWrap/>
        <w:bidi w:val="0"/>
        <w:adjustRightInd w:val="0"/>
        <w:snapToGrid w:val="0"/>
        <w:spacing w:line="360" w:lineRule="auto"/>
        <w:ind w:firstLine="560" w:firstLineChars="200"/>
        <w:outlineLvl w:val="9"/>
        <w:rPr>
          <w:rFonts w:ascii="仿宋_GB2312" w:hAnsi="宋体" w:eastAsia="仿宋_GB2312"/>
          <w:sz w:val="28"/>
          <w:szCs w:val="28"/>
        </w:rPr>
      </w:pPr>
      <w:r>
        <w:rPr>
          <w:rFonts w:hint="eastAsia" w:ascii="仿宋_GB2312" w:hAnsi="宋体" w:eastAsia="仿宋_GB2312"/>
          <w:sz w:val="28"/>
          <w:szCs w:val="28"/>
        </w:rPr>
        <mc:AlternateContent>
          <mc:Choice Requires="wpg">
            <w:drawing>
              <wp:inline distT="0" distB="0" distL="0" distR="0">
                <wp:extent cx="4460240" cy="1632585"/>
                <wp:effectExtent l="0" t="0" r="0" b="0"/>
                <wp:docPr id="34" name="组合 34"/>
                <wp:cNvGraphicFramePr/>
                <a:graphic xmlns:a="http://schemas.openxmlformats.org/drawingml/2006/main">
                  <a:graphicData uri="http://schemas.microsoft.com/office/word/2010/wordprocessingGroup">
                    <wpg:wgp>
                      <wpg:cNvGrpSpPr/>
                      <wpg:grpSpPr>
                        <a:xfrm>
                          <a:off x="0" y="0"/>
                          <a:ext cx="4460240" cy="1632585"/>
                          <a:chOff x="0" y="0"/>
                          <a:chExt cx="9000" cy="3294"/>
                        </a:xfrm>
                      </wpg:grpSpPr>
                      <wps:wsp>
                        <wps:cNvPr id="35" name="Picture 20"/>
                        <wps:cNvSpPr>
                          <a:spLocks noRot="1" noChangeAspect="1" noChangeArrowheads="1" noTextEdit="1"/>
                        </wps:cNvSpPr>
                        <wps:spPr bwMode="auto">
                          <a:xfrm>
                            <a:off x="0" y="0"/>
                            <a:ext cx="9000" cy="3294"/>
                          </a:xfrm>
                          <a:prstGeom prst="rect">
                            <a:avLst/>
                          </a:prstGeom>
                          <a:noFill/>
                          <a:ln>
                            <a:noFill/>
                          </a:ln>
                        </wps:spPr>
                        <wps:bodyPr rot="0" vert="horz" wrap="square" lIns="91440" tIns="45720" rIns="91440" bIns="45720" anchor="t" anchorCtr="0" upright="1">
                          <a:noAutofit/>
                        </wps:bodyPr>
                      </wps:wsp>
                      <wps:wsp>
                        <wps:cNvPr id="36" name="直线 21"/>
                        <wps:cNvCnPr>
                          <a:cxnSpLocks noChangeShapeType="1"/>
                        </wps:cNvCnPr>
                        <wps:spPr bwMode="auto">
                          <a:xfrm>
                            <a:off x="0" y="2184"/>
                            <a:ext cx="8820" cy="1"/>
                          </a:xfrm>
                          <a:prstGeom prst="line">
                            <a:avLst/>
                          </a:prstGeom>
                          <a:noFill/>
                          <a:ln w="9525">
                            <a:solidFill>
                              <a:srgbClr val="000000"/>
                            </a:solidFill>
                            <a:round/>
                          </a:ln>
                        </wps:spPr>
                        <wps:bodyPr/>
                      </wps:wsp>
                      <wps:wsp>
                        <wps:cNvPr id="37" name="矩形 22" descr="浅色竖线"/>
                        <wps:cNvSpPr>
                          <a:spLocks noChangeArrowheads="1"/>
                        </wps:cNvSpPr>
                        <wps:spPr bwMode="auto">
                          <a:xfrm>
                            <a:off x="540" y="2184"/>
                            <a:ext cx="180" cy="312"/>
                          </a:xfrm>
                          <a:prstGeom prst="rect">
                            <a:avLst/>
                          </a:prstGeom>
                          <a:blipFill dpi="0" rotWithShape="0">
                            <a:blip r:embed="rId257"/>
                            <a:srcRect/>
                            <a:tile tx="0" ty="0" sx="100000" sy="100000" flip="none" algn="tl"/>
                          </a:blipFill>
                          <a:ln w="9525">
                            <a:solidFill>
                              <a:srgbClr val="000000"/>
                            </a:solidFill>
                            <a:miter lim="800000"/>
                          </a:ln>
                        </wps:spPr>
                        <wps:bodyPr rot="0" vert="horz" wrap="square" lIns="91440" tIns="45720" rIns="91440" bIns="45720" anchor="t" anchorCtr="0" upright="1">
                          <a:noAutofit/>
                        </wps:bodyPr>
                      </wps:wsp>
                      <wps:wsp>
                        <wps:cNvPr id="41" name="文本框 23"/>
                        <wps:cNvSpPr txBox="1">
                          <a:spLocks noChangeArrowheads="1"/>
                        </wps:cNvSpPr>
                        <wps:spPr bwMode="auto">
                          <a:xfrm>
                            <a:off x="3420" y="312"/>
                            <a:ext cx="900" cy="1248"/>
                          </a:xfrm>
                          <a:prstGeom prst="rect">
                            <a:avLst/>
                          </a:prstGeom>
                          <a:solidFill>
                            <a:srgbClr val="FFFFFF"/>
                          </a:solidFill>
                          <a:ln w="19050">
                            <a:solidFill>
                              <a:srgbClr val="000000"/>
                            </a:solidFill>
                            <a:miter lim="800000"/>
                          </a:ln>
                        </wps:spPr>
                        <wps:txbx>
                          <w:txbxContent>
                            <w:p w14:paraId="5682F183">
                              <w:pPr>
                                <w:pStyle w:val="211"/>
                                <w:rPr>
                                  <w:sz w:val="16"/>
                                </w:rPr>
                              </w:pPr>
                            </w:p>
                            <w:p w14:paraId="14AC5CA4">
                              <w:pPr>
                                <w:pStyle w:val="211"/>
                                <w:jc w:val="both"/>
                                <w:rPr>
                                  <w:b/>
                                  <w:sz w:val="16"/>
                                </w:rPr>
                              </w:pPr>
                              <w:r>
                                <w:rPr>
                                  <w:rFonts w:hint="eastAsia"/>
                                  <w:b/>
                                  <w:sz w:val="16"/>
                                </w:rPr>
                                <w:t xml:space="preserve">V8 </w:t>
                              </w:r>
                            </w:p>
                          </w:txbxContent>
                        </wps:txbx>
                        <wps:bodyPr rot="0" vert="horz" wrap="square" lIns="71323" tIns="35662" rIns="71323" bIns="35662" anchor="t" anchorCtr="0" upright="1">
                          <a:noAutofit/>
                        </wps:bodyPr>
                      </wps:wsp>
                      <wps:wsp>
                        <wps:cNvPr id="42" name="文本框 24"/>
                        <wps:cNvSpPr txBox="1">
                          <a:spLocks noChangeArrowheads="1"/>
                        </wps:cNvSpPr>
                        <wps:spPr bwMode="auto">
                          <a:xfrm>
                            <a:off x="4500" y="312"/>
                            <a:ext cx="900" cy="1248"/>
                          </a:xfrm>
                          <a:prstGeom prst="rect">
                            <a:avLst/>
                          </a:prstGeom>
                          <a:solidFill>
                            <a:srgbClr val="FFFFFF"/>
                          </a:solidFill>
                          <a:ln w="19050">
                            <a:solidFill>
                              <a:srgbClr val="000000"/>
                            </a:solidFill>
                            <a:miter lim="800000"/>
                          </a:ln>
                        </wps:spPr>
                        <wps:txbx>
                          <w:txbxContent>
                            <w:p w14:paraId="4D5FAD2B">
                              <w:pPr>
                                <w:pStyle w:val="211"/>
                                <w:rPr>
                                  <w:sz w:val="16"/>
                                </w:rPr>
                              </w:pPr>
                            </w:p>
                            <w:p w14:paraId="3D35FACC">
                              <w:pPr>
                                <w:pStyle w:val="211"/>
                                <w:jc w:val="both"/>
                                <w:rPr>
                                  <w:b/>
                                  <w:sz w:val="16"/>
                                </w:rPr>
                              </w:pPr>
                              <w:r>
                                <w:rPr>
                                  <w:rFonts w:hint="eastAsia"/>
                                  <w:b/>
                                  <w:sz w:val="16"/>
                                </w:rPr>
                                <w:t>RXU-3E</w:t>
                              </w:r>
                            </w:p>
                          </w:txbxContent>
                        </wps:txbx>
                        <wps:bodyPr rot="0" vert="horz" wrap="square" lIns="71323" tIns="35662" rIns="71323" bIns="35662" anchor="t" anchorCtr="0" upright="1">
                          <a:noAutofit/>
                        </wps:bodyPr>
                      </wps:wsp>
                      <wps:wsp>
                        <wps:cNvPr id="43" name="矩形 25" descr="浅色竖线"/>
                        <wps:cNvSpPr>
                          <a:spLocks noChangeArrowheads="1"/>
                        </wps:cNvSpPr>
                        <wps:spPr bwMode="auto">
                          <a:xfrm>
                            <a:off x="8100" y="2184"/>
                            <a:ext cx="180" cy="312"/>
                          </a:xfrm>
                          <a:prstGeom prst="rect">
                            <a:avLst/>
                          </a:prstGeom>
                          <a:blipFill dpi="0" rotWithShape="0">
                            <a:blip r:embed="rId257"/>
                            <a:srcRect/>
                            <a:tile tx="0" ty="0" sx="100000" sy="100000" flip="none" algn="tl"/>
                          </a:blipFill>
                          <a:ln w="9525">
                            <a:solidFill>
                              <a:srgbClr val="000000"/>
                            </a:solidFill>
                            <a:miter lim="800000"/>
                          </a:ln>
                        </wps:spPr>
                        <wps:bodyPr rot="0" vert="horz" wrap="square" lIns="91440" tIns="45720" rIns="91440" bIns="45720" anchor="t" anchorCtr="0" upright="1">
                          <a:noAutofit/>
                        </wps:bodyPr>
                      </wps:wsp>
                      <wps:wsp>
                        <wps:cNvPr id="44" name="矩形 26" descr="浅色竖线"/>
                        <wps:cNvSpPr>
                          <a:spLocks noChangeArrowheads="1"/>
                        </wps:cNvSpPr>
                        <wps:spPr bwMode="auto">
                          <a:xfrm>
                            <a:off x="6840" y="2184"/>
                            <a:ext cx="180" cy="312"/>
                          </a:xfrm>
                          <a:prstGeom prst="rect">
                            <a:avLst/>
                          </a:prstGeom>
                          <a:blipFill dpi="0" rotWithShape="0">
                            <a:blip r:embed="rId257"/>
                            <a:srcRect/>
                            <a:tile tx="0" ty="0" sx="100000" sy="100000" flip="none" algn="tl"/>
                          </a:blipFill>
                          <a:ln w="9525">
                            <a:solidFill>
                              <a:srgbClr val="000000"/>
                            </a:solidFill>
                            <a:miter lim="800000"/>
                          </a:ln>
                        </wps:spPr>
                        <wps:bodyPr rot="0" vert="horz" wrap="square" lIns="91440" tIns="45720" rIns="91440" bIns="45720" anchor="t" anchorCtr="0" upright="1">
                          <a:noAutofit/>
                        </wps:bodyPr>
                      </wps:wsp>
                      <wps:wsp>
                        <wps:cNvPr id="45" name="矩形 27" descr="浅色竖线"/>
                        <wps:cNvSpPr>
                          <a:spLocks noChangeArrowheads="1"/>
                        </wps:cNvSpPr>
                        <wps:spPr bwMode="auto">
                          <a:xfrm>
                            <a:off x="5580" y="2184"/>
                            <a:ext cx="180" cy="312"/>
                          </a:xfrm>
                          <a:prstGeom prst="rect">
                            <a:avLst/>
                          </a:prstGeom>
                          <a:blipFill dpi="0" rotWithShape="0">
                            <a:blip r:embed="rId257"/>
                            <a:srcRect/>
                            <a:tile tx="0" ty="0" sx="100000" sy="100000" flip="none" algn="tl"/>
                          </a:blipFill>
                          <a:ln w="9525">
                            <a:solidFill>
                              <a:srgbClr val="000000"/>
                            </a:solidFill>
                            <a:miter lim="800000"/>
                          </a:ln>
                        </wps:spPr>
                        <wps:bodyPr rot="0" vert="horz" wrap="square" lIns="91440" tIns="45720" rIns="91440" bIns="45720" anchor="t" anchorCtr="0" upright="1">
                          <a:noAutofit/>
                        </wps:bodyPr>
                      </wps:wsp>
                      <wps:wsp>
                        <wps:cNvPr id="46" name="矩形 28" descr="浅色竖线"/>
                        <wps:cNvSpPr>
                          <a:spLocks noChangeArrowheads="1"/>
                        </wps:cNvSpPr>
                        <wps:spPr bwMode="auto">
                          <a:xfrm>
                            <a:off x="1800" y="2184"/>
                            <a:ext cx="180" cy="312"/>
                          </a:xfrm>
                          <a:prstGeom prst="rect">
                            <a:avLst/>
                          </a:prstGeom>
                          <a:blipFill dpi="0" rotWithShape="0">
                            <a:blip r:embed="rId257"/>
                            <a:srcRect/>
                            <a:tile tx="0" ty="0" sx="100000" sy="100000" flip="none" algn="tl"/>
                          </a:blipFill>
                          <a:ln w="9525">
                            <a:solidFill>
                              <a:srgbClr val="000000"/>
                            </a:solidFill>
                            <a:miter lim="800000"/>
                          </a:ln>
                        </wps:spPr>
                        <wps:bodyPr rot="0" vert="horz" wrap="square" lIns="91440" tIns="45720" rIns="91440" bIns="45720" anchor="t" anchorCtr="0" upright="1">
                          <a:noAutofit/>
                        </wps:bodyPr>
                      </wps:wsp>
                      <wps:wsp>
                        <wps:cNvPr id="47" name="矩形 29" descr="浅色竖线"/>
                        <wps:cNvSpPr>
                          <a:spLocks noChangeArrowheads="1"/>
                        </wps:cNvSpPr>
                        <wps:spPr bwMode="auto">
                          <a:xfrm>
                            <a:off x="3060" y="2184"/>
                            <a:ext cx="180" cy="312"/>
                          </a:xfrm>
                          <a:prstGeom prst="rect">
                            <a:avLst/>
                          </a:prstGeom>
                          <a:blipFill dpi="0" rotWithShape="0">
                            <a:blip r:embed="rId257"/>
                            <a:srcRect/>
                            <a:tile tx="0" ty="0" sx="100000" sy="100000" flip="none" algn="tl"/>
                          </a:blipFill>
                          <a:ln w="9525">
                            <a:solidFill>
                              <a:srgbClr val="000000"/>
                            </a:solidFill>
                            <a:miter lim="800000"/>
                          </a:ln>
                        </wps:spPr>
                        <wps:bodyPr rot="0" vert="horz" wrap="square" lIns="91440" tIns="45720" rIns="91440" bIns="45720" anchor="t" anchorCtr="0" upright="1">
                          <a:noAutofit/>
                        </wps:bodyPr>
                      </wps:wsp>
                      <wps:wsp>
                        <wps:cNvPr id="48" name="矩形 30" descr="浅色竖线"/>
                        <wps:cNvSpPr>
                          <a:spLocks noChangeArrowheads="1"/>
                        </wps:cNvSpPr>
                        <wps:spPr bwMode="auto">
                          <a:xfrm>
                            <a:off x="4189" y="2184"/>
                            <a:ext cx="180" cy="312"/>
                          </a:xfrm>
                          <a:prstGeom prst="rect">
                            <a:avLst/>
                          </a:prstGeom>
                          <a:blipFill dpi="0" rotWithShape="0">
                            <a:blip r:embed="rId257"/>
                            <a:srcRect/>
                            <a:tile tx="0" ty="0" sx="100000" sy="100000" flip="none" algn="tl"/>
                          </a:blipFill>
                          <a:ln w="9525">
                            <a:solidFill>
                              <a:srgbClr val="000000"/>
                            </a:solidFill>
                            <a:miter lim="800000"/>
                          </a:ln>
                        </wps:spPr>
                        <wps:bodyPr rot="0" vert="horz" wrap="square" lIns="91440" tIns="45720" rIns="91440" bIns="45720" anchor="t" anchorCtr="0" upright="1">
                          <a:noAutofit/>
                        </wps:bodyPr>
                      </wps:wsp>
                      <wps:wsp>
                        <wps:cNvPr id="49" name="矩形 31" descr="浅色竖线"/>
                        <wps:cNvSpPr>
                          <a:spLocks noChangeArrowheads="1"/>
                        </wps:cNvSpPr>
                        <wps:spPr bwMode="auto">
                          <a:xfrm>
                            <a:off x="4451" y="2184"/>
                            <a:ext cx="180" cy="312"/>
                          </a:xfrm>
                          <a:prstGeom prst="rect">
                            <a:avLst/>
                          </a:prstGeom>
                          <a:blipFill dpi="0" rotWithShape="0">
                            <a:blip r:embed="rId257"/>
                            <a:srcRect/>
                            <a:tile tx="0" ty="0" sx="100000" sy="100000" flip="none" algn="tl"/>
                          </a:blipFill>
                          <a:ln w="9525">
                            <a:solidFill>
                              <a:srgbClr val="000000"/>
                            </a:solidFill>
                            <a:miter lim="800000"/>
                          </a:ln>
                        </wps:spPr>
                        <wps:bodyPr rot="0" vert="horz" wrap="square" lIns="91440" tIns="45720" rIns="91440" bIns="45720" anchor="t" anchorCtr="0" upright="1">
                          <a:noAutofit/>
                        </wps:bodyPr>
                      </wps:wsp>
                      <wps:wsp>
                        <wps:cNvPr id="50" name="直线 32"/>
                        <wps:cNvCnPr>
                          <a:cxnSpLocks noChangeShapeType="1"/>
                        </wps:cNvCnPr>
                        <wps:spPr bwMode="auto">
                          <a:xfrm flipH="1" flipV="1">
                            <a:off x="628" y="1716"/>
                            <a:ext cx="1" cy="468"/>
                          </a:xfrm>
                          <a:prstGeom prst="line">
                            <a:avLst/>
                          </a:prstGeom>
                          <a:noFill/>
                          <a:ln w="0">
                            <a:solidFill>
                              <a:srgbClr val="000000"/>
                            </a:solidFill>
                            <a:round/>
                          </a:ln>
                        </wps:spPr>
                        <wps:bodyPr/>
                      </wps:wsp>
                      <wps:wsp>
                        <wps:cNvPr id="51" name="直线 33"/>
                        <wps:cNvCnPr>
                          <a:cxnSpLocks noChangeShapeType="1"/>
                        </wps:cNvCnPr>
                        <wps:spPr bwMode="auto">
                          <a:xfrm>
                            <a:off x="628" y="1716"/>
                            <a:ext cx="3016" cy="1"/>
                          </a:xfrm>
                          <a:prstGeom prst="line">
                            <a:avLst/>
                          </a:prstGeom>
                          <a:noFill/>
                          <a:ln w="0">
                            <a:solidFill>
                              <a:srgbClr val="000000"/>
                            </a:solidFill>
                            <a:round/>
                          </a:ln>
                        </wps:spPr>
                        <wps:bodyPr/>
                      </wps:wsp>
                      <wps:wsp>
                        <wps:cNvPr id="52" name="直线 34"/>
                        <wps:cNvCnPr>
                          <a:cxnSpLocks noChangeShapeType="1"/>
                        </wps:cNvCnPr>
                        <wps:spPr bwMode="auto">
                          <a:xfrm flipV="1">
                            <a:off x="3828" y="1560"/>
                            <a:ext cx="1" cy="312"/>
                          </a:xfrm>
                          <a:prstGeom prst="line">
                            <a:avLst/>
                          </a:prstGeom>
                          <a:noFill/>
                          <a:ln w="0">
                            <a:solidFill>
                              <a:srgbClr val="000000"/>
                            </a:solidFill>
                            <a:round/>
                          </a:ln>
                        </wps:spPr>
                        <wps:bodyPr/>
                      </wps:wsp>
                      <wps:wsp>
                        <wps:cNvPr id="53" name="直线 35"/>
                        <wps:cNvCnPr>
                          <a:cxnSpLocks noChangeShapeType="1"/>
                        </wps:cNvCnPr>
                        <wps:spPr bwMode="auto">
                          <a:xfrm>
                            <a:off x="1894" y="1872"/>
                            <a:ext cx="1" cy="312"/>
                          </a:xfrm>
                          <a:prstGeom prst="line">
                            <a:avLst/>
                          </a:prstGeom>
                          <a:noFill/>
                          <a:ln w="0">
                            <a:solidFill>
                              <a:srgbClr val="000000"/>
                            </a:solidFill>
                            <a:round/>
                          </a:ln>
                        </wps:spPr>
                        <wps:bodyPr/>
                      </wps:wsp>
                      <wps:wsp>
                        <wps:cNvPr id="54" name="直线 36"/>
                        <wps:cNvCnPr>
                          <a:cxnSpLocks noChangeShapeType="1"/>
                        </wps:cNvCnPr>
                        <wps:spPr bwMode="auto">
                          <a:xfrm>
                            <a:off x="1894" y="1872"/>
                            <a:ext cx="1939" cy="1"/>
                          </a:xfrm>
                          <a:prstGeom prst="line">
                            <a:avLst/>
                          </a:prstGeom>
                          <a:noFill/>
                          <a:ln w="0">
                            <a:solidFill>
                              <a:srgbClr val="000000"/>
                            </a:solidFill>
                            <a:round/>
                          </a:ln>
                        </wps:spPr>
                        <wps:bodyPr/>
                      </wps:wsp>
                      <wps:wsp>
                        <wps:cNvPr id="55" name="直线 37"/>
                        <wps:cNvCnPr>
                          <a:cxnSpLocks noChangeShapeType="1"/>
                        </wps:cNvCnPr>
                        <wps:spPr bwMode="auto">
                          <a:xfrm>
                            <a:off x="3148" y="2028"/>
                            <a:ext cx="856" cy="1"/>
                          </a:xfrm>
                          <a:prstGeom prst="line">
                            <a:avLst/>
                          </a:prstGeom>
                          <a:noFill/>
                          <a:ln w="0">
                            <a:solidFill>
                              <a:srgbClr val="000000"/>
                            </a:solidFill>
                            <a:round/>
                          </a:ln>
                        </wps:spPr>
                        <wps:bodyPr/>
                      </wps:wsp>
                      <wps:wsp>
                        <wps:cNvPr id="61" name="直线 38"/>
                        <wps:cNvCnPr>
                          <a:cxnSpLocks noChangeShapeType="1"/>
                        </wps:cNvCnPr>
                        <wps:spPr bwMode="auto">
                          <a:xfrm>
                            <a:off x="4188" y="2028"/>
                            <a:ext cx="91" cy="1"/>
                          </a:xfrm>
                          <a:prstGeom prst="line">
                            <a:avLst/>
                          </a:prstGeom>
                          <a:noFill/>
                          <a:ln w="0">
                            <a:solidFill>
                              <a:srgbClr val="000000"/>
                            </a:solidFill>
                            <a:round/>
                          </a:ln>
                        </wps:spPr>
                        <wps:bodyPr/>
                      </wps:wsp>
                      <wps:wsp>
                        <wps:cNvPr id="62" name="直线 39"/>
                        <wps:cNvCnPr>
                          <a:cxnSpLocks noChangeShapeType="1"/>
                        </wps:cNvCnPr>
                        <wps:spPr bwMode="auto">
                          <a:xfrm>
                            <a:off x="3139" y="2028"/>
                            <a:ext cx="1" cy="156"/>
                          </a:xfrm>
                          <a:prstGeom prst="line">
                            <a:avLst/>
                          </a:prstGeom>
                          <a:noFill/>
                          <a:ln w="0">
                            <a:solidFill>
                              <a:srgbClr val="000000"/>
                            </a:solidFill>
                            <a:round/>
                          </a:ln>
                        </wps:spPr>
                        <wps:bodyPr/>
                      </wps:wsp>
                      <wps:wsp>
                        <wps:cNvPr id="63" name="直线 40"/>
                        <wps:cNvCnPr>
                          <a:cxnSpLocks noChangeShapeType="1"/>
                        </wps:cNvCnPr>
                        <wps:spPr bwMode="auto">
                          <a:xfrm>
                            <a:off x="5669" y="2028"/>
                            <a:ext cx="1" cy="156"/>
                          </a:xfrm>
                          <a:prstGeom prst="line">
                            <a:avLst/>
                          </a:prstGeom>
                          <a:noFill/>
                          <a:ln w="0">
                            <a:solidFill>
                              <a:srgbClr val="000000"/>
                            </a:solidFill>
                            <a:round/>
                          </a:ln>
                        </wps:spPr>
                        <wps:bodyPr/>
                      </wps:wsp>
                      <wps:wsp>
                        <wps:cNvPr id="64" name="直线 41"/>
                        <wps:cNvCnPr>
                          <a:cxnSpLocks noChangeShapeType="1"/>
                        </wps:cNvCnPr>
                        <wps:spPr bwMode="auto">
                          <a:xfrm>
                            <a:off x="4008" y="1560"/>
                            <a:ext cx="1" cy="468"/>
                          </a:xfrm>
                          <a:prstGeom prst="line">
                            <a:avLst/>
                          </a:prstGeom>
                          <a:noFill/>
                          <a:ln w="0">
                            <a:solidFill>
                              <a:srgbClr val="000000"/>
                            </a:solidFill>
                            <a:round/>
                          </a:ln>
                        </wps:spPr>
                        <wps:bodyPr/>
                      </wps:wsp>
                      <wps:wsp>
                        <wps:cNvPr id="65" name="直线 42"/>
                        <wps:cNvCnPr>
                          <a:cxnSpLocks noChangeShapeType="1"/>
                        </wps:cNvCnPr>
                        <wps:spPr bwMode="auto">
                          <a:xfrm>
                            <a:off x="4188" y="1560"/>
                            <a:ext cx="1" cy="468"/>
                          </a:xfrm>
                          <a:prstGeom prst="line">
                            <a:avLst/>
                          </a:prstGeom>
                          <a:noFill/>
                          <a:ln w="0">
                            <a:solidFill>
                              <a:srgbClr val="000000"/>
                            </a:solidFill>
                            <a:round/>
                          </a:ln>
                        </wps:spPr>
                        <wps:bodyPr/>
                      </wps:wsp>
                      <wps:wsp>
                        <wps:cNvPr id="66" name="直线 43"/>
                        <wps:cNvCnPr>
                          <a:cxnSpLocks noChangeShapeType="1"/>
                        </wps:cNvCnPr>
                        <wps:spPr bwMode="auto">
                          <a:xfrm flipV="1">
                            <a:off x="3648" y="1560"/>
                            <a:ext cx="1" cy="156"/>
                          </a:xfrm>
                          <a:prstGeom prst="line">
                            <a:avLst/>
                          </a:prstGeom>
                          <a:noFill/>
                          <a:ln w="0">
                            <a:solidFill>
                              <a:srgbClr val="000000"/>
                            </a:solidFill>
                            <a:round/>
                          </a:ln>
                        </wps:spPr>
                        <wps:bodyPr/>
                      </wps:wsp>
                      <wps:wsp>
                        <wps:cNvPr id="67" name="直线 44"/>
                        <wps:cNvCnPr>
                          <a:cxnSpLocks noChangeShapeType="1"/>
                        </wps:cNvCnPr>
                        <wps:spPr bwMode="auto">
                          <a:xfrm flipV="1">
                            <a:off x="3780" y="156"/>
                            <a:ext cx="1" cy="156"/>
                          </a:xfrm>
                          <a:prstGeom prst="line">
                            <a:avLst/>
                          </a:prstGeom>
                          <a:noFill/>
                          <a:ln w="0">
                            <a:solidFill>
                              <a:srgbClr val="000000"/>
                            </a:solidFill>
                            <a:round/>
                          </a:ln>
                        </wps:spPr>
                        <wps:bodyPr/>
                      </wps:wsp>
                      <wps:wsp>
                        <wps:cNvPr id="68" name="直线 45"/>
                        <wps:cNvCnPr>
                          <a:cxnSpLocks noChangeShapeType="1"/>
                        </wps:cNvCnPr>
                        <wps:spPr bwMode="auto">
                          <a:xfrm>
                            <a:off x="3780" y="156"/>
                            <a:ext cx="629" cy="1"/>
                          </a:xfrm>
                          <a:prstGeom prst="line">
                            <a:avLst/>
                          </a:prstGeom>
                          <a:noFill/>
                          <a:ln w="0">
                            <a:solidFill>
                              <a:srgbClr val="000000"/>
                            </a:solidFill>
                            <a:round/>
                          </a:ln>
                        </wps:spPr>
                        <wps:bodyPr/>
                      </wps:wsp>
                      <wps:wsp>
                        <wps:cNvPr id="69" name="直线 46"/>
                        <wps:cNvCnPr>
                          <a:cxnSpLocks noChangeShapeType="1"/>
                        </wps:cNvCnPr>
                        <wps:spPr bwMode="auto">
                          <a:xfrm>
                            <a:off x="4411" y="156"/>
                            <a:ext cx="1" cy="2496"/>
                          </a:xfrm>
                          <a:prstGeom prst="line">
                            <a:avLst/>
                          </a:prstGeom>
                          <a:noFill/>
                          <a:ln w="0">
                            <a:solidFill>
                              <a:srgbClr val="000000"/>
                            </a:solidFill>
                            <a:round/>
                          </a:ln>
                        </wps:spPr>
                        <wps:bodyPr/>
                      </wps:wsp>
                      <wps:wsp>
                        <wps:cNvPr id="70" name="矩形 47"/>
                        <wps:cNvSpPr>
                          <a:spLocks noChangeArrowheads="1"/>
                        </wps:cNvSpPr>
                        <wps:spPr bwMode="auto">
                          <a:xfrm>
                            <a:off x="4383" y="2652"/>
                            <a:ext cx="57" cy="468"/>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71" name="直线 48"/>
                        <wps:cNvCnPr>
                          <a:cxnSpLocks noChangeShapeType="1"/>
                        </wps:cNvCnPr>
                        <wps:spPr bwMode="auto">
                          <a:xfrm flipH="1" flipV="1">
                            <a:off x="8183" y="1716"/>
                            <a:ext cx="1" cy="468"/>
                          </a:xfrm>
                          <a:prstGeom prst="line">
                            <a:avLst/>
                          </a:prstGeom>
                          <a:noFill/>
                          <a:ln w="0">
                            <a:solidFill>
                              <a:srgbClr val="000000"/>
                            </a:solidFill>
                            <a:round/>
                          </a:ln>
                        </wps:spPr>
                        <wps:bodyPr/>
                      </wps:wsp>
                      <wps:wsp>
                        <wps:cNvPr id="72" name="直线 49"/>
                        <wps:cNvCnPr>
                          <a:cxnSpLocks noChangeShapeType="1"/>
                        </wps:cNvCnPr>
                        <wps:spPr bwMode="auto">
                          <a:xfrm>
                            <a:off x="5220" y="1716"/>
                            <a:ext cx="2959" cy="1"/>
                          </a:xfrm>
                          <a:prstGeom prst="line">
                            <a:avLst/>
                          </a:prstGeom>
                          <a:noFill/>
                          <a:ln w="0">
                            <a:solidFill>
                              <a:srgbClr val="000000"/>
                            </a:solidFill>
                            <a:round/>
                          </a:ln>
                        </wps:spPr>
                        <wps:bodyPr/>
                      </wps:wsp>
                      <wps:wsp>
                        <wps:cNvPr id="73" name="直线 50"/>
                        <wps:cNvCnPr>
                          <a:cxnSpLocks noChangeShapeType="1"/>
                        </wps:cNvCnPr>
                        <wps:spPr bwMode="auto">
                          <a:xfrm flipV="1">
                            <a:off x="5040" y="1560"/>
                            <a:ext cx="1" cy="312"/>
                          </a:xfrm>
                          <a:prstGeom prst="line">
                            <a:avLst/>
                          </a:prstGeom>
                          <a:noFill/>
                          <a:ln w="0">
                            <a:solidFill>
                              <a:srgbClr val="000000"/>
                            </a:solidFill>
                            <a:round/>
                          </a:ln>
                        </wps:spPr>
                        <wps:bodyPr/>
                      </wps:wsp>
                      <wps:wsp>
                        <wps:cNvPr id="74" name="直线 51"/>
                        <wps:cNvCnPr>
                          <a:cxnSpLocks noChangeShapeType="1"/>
                        </wps:cNvCnPr>
                        <wps:spPr bwMode="auto">
                          <a:xfrm>
                            <a:off x="6930" y="1872"/>
                            <a:ext cx="1" cy="312"/>
                          </a:xfrm>
                          <a:prstGeom prst="line">
                            <a:avLst/>
                          </a:prstGeom>
                          <a:noFill/>
                          <a:ln w="0">
                            <a:solidFill>
                              <a:srgbClr val="000000"/>
                            </a:solidFill>
                            <a:round/>
                          </a:ln>
                        </wps:spPr>
                        <wps:bodyPr/>
                      </wps:wsp>
                      <wps:wsp>
                        <wps:cNvPr id="75" name="直线 52"/>
                        <wps:cNvCnPr>
                          <a:cxnSpLocks noChangeShapeType="1"/>
                        </wps:cNvCnPr>
                        <wps:spPr bwMode="auto">
                          <a:xfrm>
                            <a:off x="5040" y="1872"/>
                            <a:ext cx="1882" cy="1"/>
                          </a:xfrm>
                          <a:prstGeom prst="line">
                            <a:avLst/>
                          </a:prstGeom>
                          <a:noFill/>
                          <a:ln w="0">
                            <a:solidFill>
                              <a:srgbClr val="000000"/>
                            </a:solidFill>
                            <a:round/>
                          </a:ln>
                        </wps:spPr>
                        <wps:bodyPr/>
                      </wps:wsp>
                      <wps:wsp>
                        <wps:cNvPr id="76" name="直线 53"/>
                        <wps:cNvCnPr>
                          <a:cxnSpLocks noChangeShapeType="1"/>
                        </wps:cNvCnPr>
                        <wps:spPr bwMode="auto">
                          <a:xfrm>
                            <a:off x="4860" y="2028"/>
                            <a:ext cx="811" cy="1"/>
                          </a:xfrm>
                          <a:prstGeom prst="line">
                            <a:avLst/>
                          </a:prstGeom>
                          <a:noFill/>
                          <a:ln w="0">
                            <a:solidFill>
                              <a:srgbClr val="000000"/>
                            </a:solidFill>
                            <a:round/>
                          </a:ln>
                        </wps:spPr>
                        <wps:bodyPr/>
                      </wps:wsp>
                      <wps:wsp>
                        <wps:cNvPr id="77" name="直线 54"/>
                        <wps:cNvCnPr>
                          <a:cxnSpLocks noChangeShapeType="1"/>
                        </wps:cNvCnPr>
                        <wps:spPr bwMode="auto">
                          <a:xfrm>
                            <a:off x="4548" y="2028"/>
                            <a:ext cx="136" cy="1"/>
                          </a:xfrm>
                          <a:prstGeom prst="line">
                            <a:avLst/>
                          </a:prstGeom>
                          <a:noFill/>
                          <a:ln w="0">
                            <a:solidFill>
                              <a:srgbClr val="000000"/>
                            </a:solidFill>
                            <a:round/>
                          </a:ln>
                        </wps:spPr>
                        <wps:bodyPr/>
                      </wps:wsp>
                      <wps:wsp>
                        <wps:cNvPr id="78" name="直线 55"/>
                        <wps:cNvCnPr>
                          <a:cxnSpLocks noChangeShapeType="1"/>
                        </wps:cNvCnPr>
                        <wps:spPr bwMode="auto">
                          <a:xfrm>
                            <a:off x="4278" y="2028"/>
                            <a:ext cx="1" cy="156"/>
                          </a:xfrm>
                          <a:prstGeom prst="line">
                            <a:avLst/>
                          </a:prstGeom>
                          <a:noFill/>
                          <a:ln w="0">
                            <a:solidFill>
                              <a:srgbClr val="000000"/>
                            </a:solidFill>
                            <a:round/>
                          </a:ln>
                        </wps:spPr>
                        <wps:bodyPr/>
                      </wps:wsp>
                      <wps:wsp>
                        <wps:cNvPr id="79" name="直线 56"/>
                        <wps:cNvCnPr>
                          <a:cxnSpLocks noChangeShapeType="1"/>
                        </wps:cNvCnPr>
                        <wps:spPr bwMode="auto">
                          <a:xfrm>
                            <a:off x="4545" y="2028"/>
                            <a:ext cx="1" cy="156"/>
                          </a:xfrm>
                          <a:prstGeom prst="line">
                            <a:avLst/>
                          </a:prstGeom>
                          <a:noFill/>
                          <a:ln w="0">
                            <a:solidFill>
                              <a:srgbClr val="000000"/>
                            </a:solidFill>
                            <a:round/>
                          </a:ln>
                        </wps:spPr>
                        <wps:bodyPr/>
                      </wps:wsp>
                      <wps:wsp>
                        <wps:cNvPr id="80" name="直线 57"/>
                        <wps:cNvCnPr>
                          <a:cxnSpLocks noChangeShapeType="1"/>
                        </wps:cNvCnPr>
                        <wps:spPr bwMode="auto">
                          <a:xfrm>
                            <a:off x="4860" y="1560"/>
                            <a:ext cx="1" cy="468"/>
                          </a:xfrm>
                          <a:prstGeom prst="line">
                            <a:avLst/>
                          </a:prstGeom>
                          <a:noFill/>
                          <a:ln w="0">
                            <a:solidFill>
                              <a:srgbClr val="000000"/>
                            </a:solidFill>
                            <a:round/>
                          </a:ln>
                        </wps:spPr>
                        <wps:bodyPr/>
                      </wps:wsp>
                      <wps:wsp>
                        <wps:cNvPr id="81" name="直线 58"/>
                        <wps:cNvCnPr>
                          <a:cxnSpLocks noChangeShapeType="1"/>
                        </wps:cNvCnPr>
                        <wps:spPr bwMode="auto">
                          <a:xfrm>
                            <a:off x="4679" y="1560"/>
                            <a:ext cx="1" cy="468"/>
                          </a:xfrm>
                          <a:prstGeom prst="line">
                            <a:avLst/>
                          </a:prstGeom>
                          <a:noFill/>
                          <a:ln w="0">
                            <a:solidFill>
                              <a:srgbClr val="000000"/>
                            </a:solidFill>
                            <a:round/>
                          </a:ln>
                        </wps:spPr>
                        <wps:bodyPr/>
                      </wps:wsp>
                      <wps:wsp>
                        <wps:cNvPr id="82" name="直线 59"/>
                        <wps:cNvCnPr>
                          <a:cxnSpLocks noChangeShapeType="1"/>
                        </wps:cNvCnPr>
                        <wps:spPr bwMode="auto">
                          <a:xfrm flipV="1">
                            <a:off x="5220" y="1560"/>
                            <a:ext cx="1" cy="156"/>
                          </a:xfrm>
                          <a:prstGeom prst="line">
                            <a:avLst/>
                          </a:prstGeom>
                          <a:noFill/>
                          <a:ln w="0">
                            <a:solidFill>
                              <a:srgbClr val="000000"/>
                            </a:solidFill>
                            <a:round/>
                          </a:ln>
                        </wps:spPr>
                        <wps:bodyPr/>
                      </wps:wsp>
                      <wps:wsp>
                        <wps:cNvPr id="128" name="文本框 60"/>
                        <wps:cNvSpPr txBox="1">
                          <a:spLocks noChangeArrowheads="1"/>
                        </wps:cNvSpPr>
                        <wps:spPr bwMode="auto">
                          <a:xfrm>
                            <a:off x="900" y="2184"/>
                            <a:ext cx="720" cy="468"/>
                          </a:xfrm>
                          <a:prstGeom prst="rect">
                            <a:avLst/>
                          </a:prstGeom>
                          <a:noFill/>
                          <a:ln>
                            <a:noFill/>
                          </a:ln>
                        </wps:spPr>
                        <wps:txbx>
                          <w:txbxContent>
                            <w:p w14:paraId="26798EF2">
                              <w:pPr>
                                <w:pStyle w:val="211"/>
                                <w:rPr>
                                  <w:sz w:val="16"/>
                                </w:rPr>
                              </w:pPr>
                              <w:r>
                                <w:rPr>
                                  <w:rFonts w:hint="eastAsia"/>
                                  <w:sz w:val="16"/>
                                </w:rPr>
                                <w:t>Ex1</w:t>
                              </w:r>
                            </w:p>
                          </w:txbxContent>
                        </wps:txbx>
                        <wps:bodyPr rot="0" vert="horz" wrap="square" lIns="71323" tIns="35662" rIns="71323" bIns="35662" anchor="t" anchorCtr="0" upright="1">
                          <a:noAutofit/>
                        </wps:bodyPr>
                      </wps:wsp>
                      <wps:wsp>
                        <wps:cNvPr id="129" name="文本框 61"/>
                        <wps:cNvSpPr txBox="1">
                          <a:spLocks noChangeArrowheads="1"/>
                        </wps:cNvSpPr>
                        <wps:spPr bwMode="auto">
                          <a:xfrm>
                            <a:off x="4320" y="2652"/>
                            <a:ext cx="720" cy="468"/>
                          </a:xfrm>
                          <a:prstGeom prst="rect">
                            <a:avLst/>
                          </a:prstGeom>
                          <a:noFill/>
                          <a:ln>
                            <a:noFill/>
                          </a:ln>
                        </wps:spPr>
                        <wps:txbx>
                          <w:txbxContent>
                            <w:p w14:paraId="1425097B">
                              <w:pPr>
                                <w:pStyle w:val="211"/>
                                <w:rPr>
                                  <w:sz w:val="16"/>
                                </w:rPr>
                              </w:pPr>
                              <w:r>
                                <w:rPr>
                                  <w:rFonts w:hint="eastAsia"/>
                                  <w:sz w:val="16"/>
                                </w:rPr>
                                <w:t>Hy</w:t>
                              </w:r>
                            </w:p>
                          </w:txbxContent>
                        </wps:txbx>
                        <wps:bodyPr rot="0" vert="horz" wrap="square" lIns="71323" tIns="35662" rIns="71323" bIns="35662" anchor="t" anchorCtr="0" upright="1">
                          <a:noAutofit/>
                        </wps:bodyPr>
                      </wps:wsp>
                      <wps:wsp>
                        <wps:cNvPr id="130" name="文本框 62"/>
                        <wps:cNvSpPr txBox="1">
                          <a:spLocks noChangeArrowheads="1"/>
                        </wps:cNvSpPr>
                        <wps:spPr bwMode="auto">
                          <a:xfrm>
                            <a:off x="4680" y="2184"/>
                            <a:ext cx="720" cy="468"/>
                          </a:xfrm>
                          <a:prstGeom prst="rect">
                            <a:avLst/>
                          </a:prstGeom>
                          <a:noFill/>
                          <a:ln>
                            <a:noFill/>
                          </a:ln>
                        </wps:spPr>
                        <wps:txbx>
                          <w:txbxContent>
                            <w:p w14:paraId="34932707">
                              <w:pPr>
                                <w:pStyle w:val="211"/>
                                <w:rPr>
                                  <w:sz w:val="16"/>
                                </w:rPr>
                              </w:pPr>
                              <w:r>
                                <w:rPr>
                                  <w:rFonts w:hint="eastAsia"/>
                                  <w:sz w:val="16"/>
                                </w:rPr>
                                <w:t>Ex4</w:t>
                              </w:r>
                            </w:p>
                          </w:txbxContent>
                        </wps:txbx>
                        <wps:bodyPr rot="0" vert="horz" wrap="square" lIns="71323" tIns="35662" rIns="71323" bIns="35662" anchor="t" anchorCtr="0" upright="1">
                          <a:noAutofit/>
                        </wps:bodyPr>
                      </wps:wsp>
                      <wps:wsp>
                        <wps:cNvPr id="131" name="文本框 63"/>
                        <wps:cNvSpPr txBox="1">
                          <a:spLocks noChangeArrowheads="1"/>
                        </wps:cNvSpPr>
                        <wps:spPr bwMode="auto">
                          <a:xfrm>
                            <a:off x="3420" y="2184"/>
                            <a:ext cx="720" cy="468"/>
                          </a:xfrm>
                          <a:prstGeom prst="rect">
                            <a:avLst/>
                          </a:prstGeom>
                          <a:noFill/>
                          <a:ln>
                            <a:noFill/>
                          </a:ln>
                        </wps:spPr>
                        <wps:txbx>
                          <w:txbxContent>
                            <w:p w14:paraId="4D2CEC17">
                              <w:pPr>
                                <w:pStyle w:val="211"/>
                                <w:rPr>
                                  <w:sz w:val="16"/>
                                </w:rPr>
                              </w:pPr>
                              <w:r>
                                <w:rPr>
                                  <w:rFonts w:hint="eastAsia"/>
                                  <w:sz w:val="16"/>
                                </w:rPr>
                                <w:t>Ex3</w:t>
                              </w:r>
                            </w:p>
                          </w:txbxContent>
                        </wps:txbx>
                        <wps:bodyPr rot="0" vert="horz" wrap="square" lIns="71323" tIns="35662" rIns="71323" bIns="35662" anchor="t" anchorCtr="0" upright="1">
                          <a:noAutofit/>
                        </wps:bodyPr>
                      </wps:wsp>
                      <wps:wsp>
                        <wps:cNvPr id="132" name="文本框 64"/>
                        <wps:cNvSpPr txBox="1">
                          <a:spLocks noChangeArrowheads="1"/>
                        </wps:cNvSpPr>
                        <wps:spPr bwMode="auto">
                          <a:xfrm>
                            <a:off x="5940" y="2184"/>
                            <a:ext cx="720" cy="468"/>
                          </a:xfrm>
                          <a:prstGeom prst="rect">
                            <a:avLst/>
                          </a:prstGeom>
                          <a:noFill/>
                          <a:ln>
                            <a:noFill/>
                          </a:ln>
                        </wps:spPr>
                        <wps:txbx>
                          <w:txbxContent>
                            <w:p w14:paraId="20EF3BCA">
                              <w:pPr>
                                <w:pStyle w:val="211"/>
                                <w:rPr>
                                  <w:sz w:val="16"/>
                                </w:rPr>
                              </w:pPr>
                              <w:r>
                                <w:rPr>
                                  <w:rFonts w:hint="eastAsia"/>
                                  <w:sz w:val="16"/>
                                </w:rPr>
                                <w:t>Ex5</w:t>
                              </w:r>
                            </w:p>
                          </w:txbxContent>
                        </wps:txbx>
                        <wps:bodyPr rot="0" vert="horz" wrap="square" lIns="71323" tIns="35662" rIns="71323" bIns="35662" anchor="t" anchorCtr="0" upright="1">
                          <a:noAutofit/>
                        </wps:bodyPr>
                      </wps:wsp>
                      <wps:wsp>
                        <wps:cNvPr id="133" name="文本框 65"/>
                        <wps:cNvSpPr txBox="1">
                          <a:spLocks noChangeArrowheads="1"/>
                        </wps:cNvSpPr>
                        <wps:spPr bwMode="auto">
                          <a:xfrm>
                            <a:off x="2160" y="2184"/>
                            <a:ext cx="720" cy="468"/>
                          </a:xfrm>
                          <a:prstGeom prst="rect">
                            <a:avLst/>
                          </a:prstGeom>
                          <a:noFill/>
                          <a:ln>
                            <a:noFill/>
                          </a:ln>
                        </wps:spPr>
                        <wps:txbx>
                          <w:txbxContent>
                            <w:p w14:paraId="5FAF9CDB">
                              <w:pPr>
                                <w:pStyle w:val="211"/>
                                <w:rPr>
                                  <w:sz w:val="16"/>
                                </w:rPr>
                              </w:pPr>
                              <w:r>
                                <w:rPr>
                                  <w:rFonts w:hint="eastAsia"/>
                                  <w:sz w:val="16"/>
                                </w:rPr>
                                <w:t>Ex2</w:t>
                              </w:r>
                            </w:p>
                          </w:txbxContent>
                        </wps:txbx>
                        <wps:bodyPr rot="0" vert="horz" wrap="square" lIns="71323" tIns="35662" rIns="71323" bIns="35662" anchor="t" anchorCtr="0" upright="1">
                          <a:noAutofit/>
                        </wps:bodyPr>
                      </wps:wsp>
                      <wps:wsp>
                        <wps:cNvPr id="134" name="文本框 66"/>
                        <wps:cNvSpPr txBox="1">
                          <a:spLocks noChangeArrowheads="1"/>
                        </wps:cNvSpPr>
                        <wps:spPr bwMode="auto">
                          <a:xfrm>
                            <a:off x="7200" y="2184"/>
                            <a:ext cx="720" cy="468"/>
                          </a:xfrm>
                          <a:prstGeom prst="rect">
                            <a:avLst/>
                          </a:prstGeom>
                          <a:noFill/>
                          <a:ln>
                            <a:noFill/>
                          </a:ln>
                        </wps:spPr>
                        <wps:txbx>
                          <w:txbxContent>
                            <w:p w14:paraId="1BD980B4">
                              <w:pPr>
                                <w:pStyle w:val="211"/>
                                <w:rPr>
                                  <w:sz w:val="16"/>
                                </w:rPr>
                              </w:pPr>
                              <w:r>
                                <w:rPr>
                                  <w:rFonts w:hint="eastAsia"/>
                                  <w:sz w:val="16"/>
                                </w:rPr>
                                <w:t>Ex6</w:t>
                              </w:r>
                            </w:p>
                          </w:txbxContent>
                        </wps:txbx>
                        <wps:bodyPr rot="0" vert="horz" wrap="square" lIns="71323" tIns="35662" rIns="71323" bIns="35662" anchor="t" anchorCtr="0" upright="1">
                          <a:noAutofit/>
                        </wps:bodyPr>
                      </wps:wsp>
                    </wpg:wgp>
                  </a:graphicData>
                </a:graphic>
              </wp:inline>
            </w:drawing>
          </mc:Choice>
          <mc:Fallback>
            <w:pict>
              <v:group id="_x0000_s1026" o:spid="_x0000_s1026" o:spt="203" style="height:128.55pt;width:351.2pt;" coordsize="9000,3294" o:gfxdata="UEsDBAoAAAAAAIdO4kAAAAAAAAAAAAAAAAAEAAAAZHJzL1BLAwQUAAAACACHTuJAb3UoH9YAAAAF&#10;AQAADwAAAGRycy9kb3ducmV2LnhtbE2PQUvDQBCF74L/YRnBm93daK3EbIoU9VQEW0G8TbPTJDQ7&#10;G7LbpP33rl70MvB4j/e+KZYn14mRhtB6NqBnCgRx5W3LtYGP7cvNA4gQkS12nsnAmQIsy8uLAnPr&#10;J36ncRNrkUo45GigibHPpQxVQw7DzPfEydv7wWFMcqilHXBK5a6TmVL30mHLaaHBnlYNVYfN0Rl4&#10;nXB6utXP4/qwX52/tvO3z7UmY66vtHoEEekU/8Lwg5/QoUxMO39kG0RnID0Sf2/yFiq7A7EzkM0X&#10;GmRZyP/05TdQSwMEFAAAAAgAh07iQEhxqaDFCAAAcmkAAA4AAABkcnMvZTJvRG9jLnhtbO1dS4/b&#10;VBTeI/EfrryniZ9xomaqMn1QqUDVFlg7tpNYOLaxPc0Ma547Vt2AhGCHYIVgA0L8ms7wMzjn3ut3&#10;3GQ6Y89kdLuYOn7l3vOd9zn35vad45VPXrhx4oXBVJJvDSXiBnboeMFiKn30/ME7pkSS1Aocyw8D&#10;dyqduIl05+Dtt26vo4mrhMvQd9yYwEuCZLKOptIyTaPJYJDYS3dlJbfCyA3g4jyMV1YKH+PFwImt&#10;Nbx95Q+U4dAYrMPYieLQdpMEzt5jFyX+xniXF4bzuWe790L7aOUGKXtr7PpWClNKll6USAd0tPO5&#10;a6cfzueJmxJ/KsFMU/oXvgSOZ/h3cHDbmixiK1p6Nh+CtcsQanNaWV4AX5q/6p6VWuQo9hqvWnl2&#10;HCbhPL1lh6sBmwilCMxCHtZo8zAOjyI6l8VkvYhyogNQNaq/8WvtD148iYnnTCVVk0hgrQDxs7+/&#10;ePXdNwROAHXW0WICNz2Mo2fRk5ifWLBPOOHjebzC/2Eq5JjS9SSnq3ucEhtOapoxVDQguQ3XZENV&#10;dFNnlLeXAE/jOXt5nz85Hg75Y6oypuMZZF85wJHlA1lHwI1JQaLkYiR6trQil1I+wdlnJNIzEj3x&#10;7PQodolCOQi/HO5CAiEpkuhxaH+akCB8GgLDyfBQeLi0goV7N4mAI6un4jhcL13LgRHTO58D1e47&#10;Hr0LyA3TLL0cPyTwNWS2fj90ACvrKA0p4+2Cw2uoaU2iOEkfuuGK4MFUimGg9MXWi8dJigMpbsFJ&#10;BuEDz/fhvDXxg8oJuBHP0IHjWJGHksksdE5g3DFSBCAFBQQHyzD+XCJrEL+plHx2ZMWuRPxHAZBi&#10;LGvIMCn9oOkjIDSJy1dm5StWYMOrplIqEXZ4mDIZP4pib7GktGRjvAv0mnt0PsWo+GCBf9hYu2ck&#10;I2Oks+//OPvrX6LITNYo1IcB4yP7OHiWsxJjIMqXz08iQJ4+kXEHe+Sc3KHIJhUpa5IJqmkinamU&#10;4nhyWSug59zhewGKhzXZhTvIGvDUFZ0+kIS+5yDr4NNJvJgd+jF5YaF6pv/491ZuAzUYOGw8rZyF&#10;l3H+PYI4ykH88ZdX//xMFEUijpvYwHqnf37537e/n/36EsAtIdvUEFwvVJRANpVcpeyMq44yAzq2&#10;iaxscmBVWXk9tNsEf+Z7EeJHnAjMG4plmH7ipUvKmngCgcWbLteik3jirmauA5rpkUN5H9nHfgpq&#10;CuhlTVLPd0nKLFBKTRBJ4JPMmIokaHn48RwGN5UC8G5AXfgL8IJSn9Mkmxy+0Q8uzLgrLwVfyfdW&#10;U8ksc3crFwv9SH0RDS0h9UVOX359+sNvpz99RRS1JkiA9rshQsz0Sk1T3r0kkVI1VInAPVxwCmUJ&#10;1pTrSkUzLyZTFW1XUYoP6D/+9sptjD3l8VBnIle5WHkH5TzqqIBCr9x2Dv5Mj2fHIGiF0dyZVUey&#10;CthxU67qhgFqkplyfoWZcn5l30y5BrNpsCr3nHPHrR9W1XTkSMGqglWpLQa1iNJahC8aSCGP8LjD&#10;AvHM1TosJthk4bGAchQeC9nriE4rsidctiDEu1rZMkwRDWB8ImQLcp37nC3R8rTbGZctiLyvVrZ0&#10;HeNpUNoi0kYRE5G2xHOUexe+FJlILltQ/rla2YJUlZAtYbdo/n+/7VYjQTy+atlSh4aQLSFbN0C2&#10;wExVchkqoHq1dkuTTZBv4ROKeGvf4y1g46psQTnmimVL02EMQraEbO25bEGxLpMt1vmh0nI8T9R3&#10;1PlBsOL9HlZK6dHHWc2U92wZChhTkC15JBtYaSxKnPAANoNoxpb65rnbQd68ZHk9e0FQO3GVyWEt&#10;V6s7ghWR2gqhOgRQO2npuXEY5pVc3pSVNUB22ZS1USBVM5NIHcK1TRK5tYtHSGRR7OQSSVtOu1W0&#10;JYmEYABKQqhVzRFV8Q2tKjCM8i7wzQVrvSiqcQypfboWGI5V8JK76JS8cWq1qN5wEEeo0noDUZWh&#10;O4uGDkPQqhVlaurCNNaWHGwWRKPh3lBK9oYhpFbaMBxzH5W1Q2eLAy7esHzTxBC77qoe6rhnMUSF&#10;iRF8QwwzBEEaQTwvsen8xmFY92mgwaNPVQq9mwLDnVdvtajSuk8Dvc59YqgNhzzab4stRLS/zS81&#10;6i4NNAH3imFmDmWB4fZVlC1yWDQ+MLcUumM7x3BztG9wB7UVTbiAYxOWEdYLt6BZlNo5muUW/I7y&#10;b5vRHPHOMA5aI+wXYG5Vr2CgKq4qNAB2Lpql1I3aCqGhiKB/t4AR6FSFsN/MjabJEFVg9o2pzoYU&#10;KtpY6NRsD4bNOnVUlKpYa6BWTtx0vZRVU02IdjBeNPRa/lQHZb9TWWrbUtbKWrgdl8yJVaHZWv7e&#10;F1yP6lkotuyy2ywUNfLttVNT5mwqiqc7bGjSomjqqSmt39SUrvAlvk0MlbEuLP5OFn9Uz01Bp0Pn&#10;TttGD1wf8nVPYPtF9XTbHkMtIlnPUkGDQ+dollxwY4z9nKJ6uts+US0Y1rNUzI/q1lyWMCzksFkB&#10;h41mRPW0uhFaC4j1NJXeQ5qqBKJmZgsGGmUbE0MsUQEvb2bXgmE9OQV9DX0qU01vrYDLqqiA7+be&#10;1HNSer85KU0ZtVXAMykUSeIt7USjelKKUaw3gwhyCCZZlMAv4tRgcr2SWIRkUK+6NLOHrcGFKJ9u&#10;y++b9TyO3nM3kYGagCWHNweIAsOtGNZzNpAn6VwON4f7efamLdwXFbdtaMrYb87UarHhHkuecOuI&#10;6f5+djGj2+qhkWzsTko3gb2UxP95N68VO4ptjmxkrIc2+KacKuqPbzSVZ3GbBSPBONmKryC8Hhsg&#10;y5jeazBOuYuqR8YxWvfyEYxz/Rgndx5LlqqcE+uPcfKtYYWpgt3Xr/mW67AJ7QaNU07E9cc4+rh1&#10;Zz6hca6fxskrmyWNU87+9cc4ipxl44VzvAcaJy+ilhin3AfXH+OAWmH1VGGqLmSq4Ccm6E/x0GZs&#10;/rNB+Fs/5c+0L6r4qaSD/wFQSwMECgAAAAAAh07iQAAAAAAAAAAAAAAAAAoAAABkcnMvbWVkaWEv&#10;UEsDBBQAAAAIAIdO4kAxSW+lfgAAAHkAAAAUAAAAZHJzL21lZGlhL2ltYWdlMS5wbmcBeQCG/4lQ&#10;TkcNChoKAAAADUlIRFIAAAAIAAAACAgCAAAAS20p3AAAAAFzUkdCAK7OHOkAAAAJcEhZcwAADsQA&#10;AA7EAZUrDhsAAAAeSURBVBhXY2RgYPj//z+QBAJGRkY4mwkihAkGpwQAcwQGDTVQwMk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CENAABbQ29udGVudF9UeXBlc10ueG1sUEsBAhQACgAAAAAAh07iQAAAAAAAAAAAAAAA&#10;AAYAAAAAAAAAAAAQAAAA7goAAF9yZWxzL1BLAQIUABQAAAAIAIdO4kCKFGY80QAAAJQBAAALAAAA&#10;AAAAAAEAIAAAABILAABfcmVscy8ucmVsc1BLAQIUAAoAAAAAAIdO4kAAAAAAAAAAAAAAAAAEAAAA&#10;AAAAAAAAEAAAAAAAAABkcnMvUEsBAhQACgAAAAAAh07iQAAAAAAAAAAAAAAAAAoAAAAAAAAAAAAQ&#10;AAAADAwAAGRycy9fcmVscy9QSwECFAAUAAAACACHTuJAqiYOvrYAAAAhAQAAGQAAAAAAAAABACAA&#10;AAA0DAAAZHJzL19yZWxzL2Uyb0RvYy54bWwucmVsc1BLAQIUABQAAAAIAIdO4kBvdSgf1gAAAAUB&#10;AAAPAAAAAAAAAAEAIAAAACIAAABkcnMvZG93bnJldi54bWxQSwECFAAUAAAACACHTuJASHGpoMUI&#10;AAByaQAADgAAAAAAAAABACAAAAAlAQAAZHJzL2Uyb0RvYy54bWxQSwECFAAKAAAAAACHTuJAAAAA&#10;AAAAAAAAAAAACgAAAAAAAAAAABAAAAAWCgAAZHJzL21lZGlhL1BLAQIUABQAAAAIAIdO4kAxSW+l&#10;fgAAAHkAAAAUAAAAAAAAAAEAIAAAAD4KAABkcnMvbWVkaWEvaW1hZ2UxLnBuZ1BLBQYAAAAACgAK&#10;AFICAABWDgAAAAA=&#10;">
                <o:lock v:ext="edit" aspectratio="f"/>
                <v:rect id="Picture 20" o:spid="_x0000_s1026" o:spt="1" style="position:absolute;left:0;top:0;height:3294;width:9000;" filled="f" stroked="f" coordsize="21600,21600" o:gfxdata="UEsDBAoAAAAAAIdO4kAAAAAAAAAAAAAAAAAEAAAAZHJzL1BLAwQUAAAACACHTuJAS/1b6L4AAADb&#10;AAAADwAAAGRycy9kb3ducmV2LnhtbEWPQWvCQBSE7wX/w/KEXopuYqm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b6L4A&#10;AADbAAAADwAAAAAAAAABACAAAAAiAAAAZHJzL2Rvd25yZXYueG1sUEsBAhQAFAAAAAgAh07iQDMv&#10;BZ47AAAAOQAAABAAAAAAAAAAAQAgAAAADQEAAGRycy9zaGFwZXhtbC54bWxQSwUGAAAAAAYABgBb&#10;AQAAtwMAAAAA&#10;">
                  <v:fill on="f" focussize="0,0"/>
                  <v:stroke on="f"/>
                  <v:imagedata o:title=""/>
                  <o:lock v:ext="edit" rotation="t" text="t" aspectratio="t"/>
                </v:rect>
                <v:line id="直线 21" o:spid="_x0000_s1026" o:spt="20" style="position:absolute;left:0;top:2184;height:1;width:8820;" filled="f" stroked="t" coordsize="21600,21600" o:gfxdata="UEsDBAoAAAAAAIdO4kAAAAAAAAAAAAAAAAAEAAAAZHJzL1BLAwQUAAAACACHTuJAjCyxJ70AAADb&#10;AAAADwAAAGRycy9kb3ducmV2LnhtbEWPQWvCQBSE7wX/w/KEXkR3NSASXT1oAz14MW3x+sg+k2D2&#10;bcxuE+2v7wqFHoeZ+YbZ7O62ET11vnasYT5TIIgLZ2ouNXx+ZNMVCB+QDTaOScODPOy2o5cNpsYN&#10;fKI+D6WIEPYpaqhCaFMpfVGRRT9zLXH0Lq6zGKLsSmk6HCLcNnKh1FJarDkuVNjSvqLimn9bDT77&#10;olv2Mykm6pyUjha3w/ENtX4dz9UaRKB7+A//td+NhmQJ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LE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22" o:spid="_x0000_s1026" o:spt="1" alt="浅色竖线" style="position:absolute;left:540;top:2184;height:312;width:180;" filled="t" stroked="t" coordsize="21600,21600" o:gfxdata="UEsDBAoAAAAAAIdO4kAAAAAAAAAAAAAAAAAEAAAAZHJzL1BLAwQUAAAACACHTuJAdMcNX78AAADb&#10;AAAADwAAAGRycy9kb3ducmV2LnhtbEWPzWrDMBCE74G8g9hAL6GRf0Jb3Cg5lBZ6CjQ1hNwWa2uZ&#10;WitjyXHcp48ChRyHmfmG2ewuthVn6n3jWEG6SkAQV043XCsovz8eX0D4gKyxdUwKJvKw285nGyy0&#10;G/mLzodQiwhhX6ACE0JXSOkrQxb9ynXE0ftxvcUQZV9L3eMY4baVWZI8SYsNxwWDHb0Zqn4Pg1Ww&#10;LAez13/r8C7zUzbsp9QfbavUwyJNXkEEuoR7+L/9qRXkz3D7En+A3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HDV+/&#10;AAAA2wAAAA8AAAAAAAAAAQAgAAAAIgAAAGRycy9kb3ducmV2LnhtbFBLAQIUABQAAAAIAIdO4kAz&#10;LwWeOwAAADkAAAAQAAAAAAAAAAEAIAAAAA4BAABkcnMvc2hhcGV4bWwueG1sUEsFBgAAAAAGAAYA&#10;WwEAALgDAAAAAA==&#10;">
                  <v:fill type="tile" on="t" o:title="浅色竖线" focussize="0,0" recolor="t" r:id="rId257"/>
                  <v:stroke color="#000000" miterlimit="8" joinstyle="miter"/>
                  <v:imagedata o:title=""/>
                  <o:lock v:ext="edit" aspectratio="f"/>
                </v:rect>
                <v:shape id="文本框 23" o:spid="_x0000_s1026" o:spt="202" type="#_x0000_t202" style="position:absolute;left:3420;top:312;height:1248;width:900;" fillcolor="#FFFFFF" filled="t" stroked="t" coordsize="21600,21600" o:gfxdata="UEsDBAoAAAAAAIdO4kAAAAAAAAAAAAAAAAAEAAAAZHJzL1BLAwQUAAAACACHTuJAgBf767sAAADb&#10;AAAADwAAAGRycy9kb3ducmV2LnhtbEWPzYrCMBSF9wO+Q7jCbAZNUwbRanQhDLhx4c8DXJtrW2xu&#10;ahJrfXszMDDLw/n5OKvNYFvRkw+NYw1qmoEgLp1puNJwPv1M5iBCRDbYOiYNLwqwWY8+VlgY9+QD&#10;9cdYiTTCoUANdYxdIWUoa7IYpq4jTt7VeYsxSV9J4/GZxm0r8yybSYsNJ0KNHW1rKm/Hh01ctcv3&#10;6nT5el3vfpFzH1s/7LX+HKtsCSLSEP/Df+2d0fCt4PdL+gF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f767sAAADb&#10;AAAADwAAAAAAAAABACAAAAAiAAAAZHJzL2Rvd25yZXYueG1sUEsBAhQAFAAAAAgAh07iQDMvBZ47&#10;AAAAOQAAABAAAAAAAAAAAQAgAAAACgEAAGRycy9zaGFwZXhtbC54bWxQSwUGAAAAAAYABgBbAQAA&#10;tAMAAAAA&#10;">
                  <v:fill on="t" focussize="0,0"/>
                  <v:stroke weight="1.5pt" color="#000000" miterlimit="8" joinstyle="miter"/>
                  <v:imagedata o:title=""/>
                  <o:lock v:ext="edit" aspectratio="f"/>
                  <v:textbox inset="5.6159842519685pt,2.80803149606299pt,5.6159842519685pt,2.80803149606299pt">
                    <w:txbxContent>
                      <w:p w14:paraId="5682F183">
                        <w:pPr>
                          <w:pStyle w:val="211"/>
                          <w:rPr>
                            <w:sz w:val="16"/>
                          </w:rPr>
                        </w:pPr>
                      </w:p>
                      <w:p w14:paraId="14AC5CA4">
                        <w:pPr>
                          <w:pStyle w:val="211"/>
                          <w:jc w:val="both"/>
                          <w:rPr>
                            <w:b/>
                            <w:sz w:val="16"/>
                          </w:rPr>
                        </w:pPr>
                        <w:r>
                          <w:rPr>
                            <w:rFonts w:hint="eastAsia"/>
                            <w:b/>
                            <w:sz w:val="16"/>
                          </w:rPr>
                          <w:t xml:space="preserve">V8 </w:t>
                        </w:r>
                      </w:p>
                    </w:txbxContent>
                  </v:textbox>
                </v:shape>
                <v:shape id="文本框 24" o:spid="_x0000_s1026" o:spt="202" type="#_x0000_t202" style="position:absolute;left:4500;top:312;height:1248;width:900;" fillcolor="#FFFFFF" filled="t" stroked="t" coordsize="21600,21600" o:gfxdata="UEsDBAoAAAAAAIdO4kAAAAAAAAAAAAAAAAAEAAAAZHJzL1BLAwQUAAAACACHTuJAcMVlnLoAAADb&#10;AAAADwAAAGRycy9kb3ducmV2LnhtbEWPzYrCMBSF94LvEK4wG9G0ZRCtRhfCgBsX/jzAtbm2xeam&#10;JrHWtzeCMMvD+fk4q01vGtGR87VlBek0AUFcWF1zqeB8+pvMQfiArLGxTApe5GGzHg5WmGv75AN1&#10;x1CKOMI+RwVVCG0upS8qMuintiWO3tU6gyFKV0rt8BnHTSOzJJlJgzVHQoUtbSsqbseHidx0l+3T&#10;02X8ut7dIuMuNK7fK/UzSpMliEB9+A9/2zut4DeDz5f4A+T6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xWWcugAAANsA&#10;AAAPAAAAAAAAAAEAIAAAACIAAABkcnMvZG93bnJldi54bWxQSwECFAAUAAAACACHTuJAMy8FnjsA&#10;AAA5AAAAEAAAAAAAAAABACAAAAAJAQAAZHJzL3NoYXBleG1sLnhtbFBLBQYAAAAABgAGAFsBAACz&#10;AwAAAAA=&#10;">
                  <v:fill on="t" focussize="0,0"/>
                  <v:stroke weight="1.5pt" color="#000000" miterlimit="8" joinstyle="miter"/>
                  <v:imagedata o:title=""/>
                  <o:lock v:ext="edit" aspectratio="f"/>
                  <v:textbox inset="5.6159842519685pt,2.80803149606299pt,5.6159842519685pt,2.80803149606299pt">
                    <w:txbxContent>
                      <w:p w14:paraId="4D5FAD2B">
                        <w:pPr>
                          <w:pStyle w:val="211"/>
                          <w:rPr>
                            <w:sz w:val="16"/>
                          </w:rPr>
                        </w:pPr>
                      </w:p>
                      <w:p w14:paraId="3D35FACC">
                        <w:pPr>
                          <w:pStyle w:val="211"/>
                          <w:jc w:val="both"/>
                          <w:rPr>
                            <w:b/>
                            <w:sz w:val="16"/>
                          </w:rPr>
                        </w:pPr>
                        <w:r>
                          <w:rPr>
                            <w:rFonts w:hint="eastAsia"/>
                            <w:b/>
                            <w:sz w:val="16"/>
                          </w:rPr>
                          <w:t>RXU-3E</w:t>
                        </w:r>
                      </w:p>
                    </w:txbxContent>
                  </v:textbox>
                </v:shape>
                <v:rect id="矩形 25" o:spid="_x0000_s1026" o:spt="1" alt="浅色竖线" style="position:absolute;left:8100;top:2184;height:312;width:180;" filled="t" stroked="t" coordsize="21600,21600" o:gfxdata="UEsDBAoAAAAAAIdO4kAAAAAAAAAAAAAAAAAEAAAAZHJzL1BLAwQUAAAACACHTuJAU/p4IbwAAADb&#10;AAAADwAAAGRycy9kb3ducmV2LnhtbEWPzarCMBSE94LvEI7gRq5pVUSq0YUouBKuCuLu0JzbFJuT&#10;0qT+Pf2NILgcZuYbZrF62ErcqPGlYwXpMAFBnDtdcqHgdNz+zED4gKyxckwKnuRhtex2Fphpd+df&#10;uh1CISKEfYYKTAh1JqXPDVn0Q1cTR+/PNRZDlE0hdYP3CLeVHCXJVFosOS4YrGltKL8eWqtgcGrN&#10;Xr8mYSPHl1G7f6b+bCul+r00mYMI9Ajf8Ke90womY3h/iT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6eCG8AAAA&#10;2wAAAA8AAAAAAAAAAQAgAAAAIgAAAGRycy9kb3ducmV2LnhtbFBLAQIUABQAAAAIAIdO4kAzLwWe&#10;OwAAADkAAAAQAAAAAAAAAAEAIAAAAAsBAABkcnMvc2hhcGV4bWwueG1sUEsFBgAAAAAGAAYAWwEA&#10;ALUDAAAAAA==&#10;">
                  <v:fill type="tile" on="t" o:title="浅色竖线" focussize="0,0" recolor="t" r:id="rId257"/>
                  <v:stroke color="#000000" miterlimit="8" joinstyle="miter"/>
                  <v:imagedata o:title=""/>
                  <o:lock v:ext="edit" aspectratio="f"/>
                </v:rect>
                <v:rect id="矩形 26" o:spid="_x0000_s1026" o:spt="1" alt="浅色竖线" style="position:absolute;left:6840;top:2184;height:312;width:180;" filled="t" stroked="t" coordsize="21600,21600" o:gfxdata="UEsDBAoAAAAAAIdO4kAAAAAAAAAAAAAAAAAEAAAAZHJzL1BLAwQUAAAACACHTuJA3BPgVb4AAADb&#10;AAAADwAAAGRycy9kb3ducmV2LnhtbEWPwWrDMBBE74X+g9hCLqWW7ZhSHCs5lARyCiQ1hN4Wa2OZ&#10;WitjyYnTr68KhR6HmXnDVJvZ9uJKo+8cK8iSFARx43THrYL6Y/fyBsIHZI29Y1JwJw+b9eNDhaV2&#10;Nz7S9RRaESHsS1RgQhhKKX1jyKJP3EAcvYsbLYYox1bqEW8RbnuZp+mrtNhxXDA40Luh5us0WQXP&#10;9WQO+rsIW7n8zKfDPfNn2yu1eMrSFYhAc/gP/7X3WkFRwO+X+A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BPgVb4A&#10;AADbAAAADwAAAAAAAAABACAAAAAiAAAAZHJzL2Rvd25yZXYueG1sUEsBAhQAFAAAAAgAh07iQDMv&#10;BZ47AAAAOQAAABAAAAAAAAAAAQAgAAAADQEAAGRycy9zaGFwZXhtbC54bWxQSwUGAAAAAAYABgBb&#10;AQAAtwMAAAAA&#10;">
                  <v:fill type="tile" on="t" o:title="浅色竖线" focussize="0,0" recolor="t" r:id="rId257"/>
                  <v:stroke color="#000000" miterlimit="8" joinstyle="miter"/>
                  <v:imagedata o:title=""/>
                  <o:lock v:ext="edit" aspectratio="f"/>
                </v:rect>
                <v:rect id="矩形 27" o:spid="_x0000_s1026" o:spt="1" alt="浅色竖线" style="position:absolute;left:5580;top:2184;height:312;width:180;" filled="t" stroked="t" coordsize="21600,21600" o:gfxdata="UEsDBAoAAAAAAIdO4kAAAAAAAAAAAAAAAAAEAAAAZHJzL1BLAwQUAAAACACHTuJAs19Fzr4AAADb&#10;AAAADwAAAGRycy9kb3ducmV2LnhtbEWPQWvCQBSE74L/YXlCL1I3ibaU1NVDaaGngDYg3h7Z12xo&#10;9m3Ibozpr3eFQo/DzHzDbPdX24oL9b5xrCBdJSCIK6cbrhWUXx+PLyB8QNbYOiYFE3nY7+azLeba&#10;jXygyzHUIkLY56jAhNDlUvrKkEW/ch1x9L5dbzFE2ddS9zhGuG1lliTP0mLDccFgR2+Gqp/jYBUs&#10;y8EU+ncT3uX6nA3FlPqTbZV6WKTJK4hA1/Af/mt/agWbJ7h/iT9A7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9Fzr4A&#10;AADbAAAADwAAAAAAAAABACAAAAAiAAAAZHJzL2Rvd25yZXYueG1sUEsBAhQAFAAAAAgAh07iQDMv&#10;BZ47AAAAOQAAABAAAAAAAAAAAQAgAAAADQEAAGRycy9zaGFwZXhtbC54bWxQSwUGAAAAAAYABgBb&#10;AQAAtwMAAAAA&#10;">
                  <v:fill type="tile" on="t" o:title="浅色竖线" focussize="0,0" recolor="t" r:id="rId257"/>
                  <v:stroke color="#000000" miterlimit="8" joinstyle="miter"/>
                  <v:imagedata o:title=""/>
                  <o:lock v:ext="edit" aspectratio="f"/>
                </v:rect>
                <v:rect id="矩形 28" o:spid="_x0000_s1026" o:spt="1" alt="浅色竖线" style="position:absolute;left:1800;top:2184;height:312;width:180;" filled="t" stroked="t" coordsize="21600,21600" o:gfxdata="UEsDBAoAAAAAAIdO4kAAAAAAAAAAAAAAAAAEAAAAZHJzL1BLAwQUAAAACACHTuJAQ43bub0AAADb&#10;AAAADwAAAGRycy9kb3ducmV2LnhtbEWPT4vCMBTE74LfIbwFL6JpXRHpmvYgCp6EdQXx9mjeNmWb&#10;l9Kk/vv0RhD2OMzMb5hVcbONuFDna8cK0mkCgrh0uuZKwfFnO1mC8AFZY+OYFNzJQ5EPByvMtLvy&#10;N10OoRIRwj5DBSaENpPSl4Ys+qlriaP36zqLIcqukrrDa4TbRs6SZCEt1hwXDLa0NlT+HXqrYHzs&#10;zV4/5mEjP8+zfn9P/ck2So0+0uQLRKBb+A+/2zutYL6A1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jdu5vQAA&#10;ANsAAAAPAAAAAAAAAAEAIAAAACIAAABkcnMvZG93bnJldi54bWxQSwECFAAUAAAACACHTuJAMy8F&#10;njsAAAA5AAAAEAAAAAAAAAABACAAAAAMAQAAZHJzL3NoYXBleG1sLnhtbFBLBQYAAAAABgAGAFsB&#10;AAC2AwAAAAA=&#10;">
                  <v:fill type="tile" on="t" o:title="浅色竖线" focussize="0,0" recolor="t" r:id="rId257"/>
                  <v:stroke color="#000000" miterlimit="8" joinstyle="miter"/>
                  <v:imagedata o:title=""/>
                  <o:lock v:ext="edit" aspectratio="f"/>
                </v:rect>
                <v:rect id="矩形 29" o:spid="_x0000_s1026" o:spt="1" alt="浅色竖线" style="position:absolute;left:3060;top:2184;height:312;width:180;" filled="t" stroked="t" coordsize="21600,21600" o:gfxdata="UEsDBAoAAAAAAIdO4kAAAAAAAAAAAAAAAAAEAAAAZHJzL1BLAwQUAAAACACHTuJALMF+Ir4AAADb&#10;AAAADwAAAGRycy9kb3ducmV2LnhtbEWPQWvCQBSE74L/YXlCL1I3idKW1NVDaaGngDYg3h7Z12xo&#10;9m3Ibozpr3eFQo/DzHzDbPdX24oL9b5xrCBdJSCIK6cbrhWUXx+PLyB8QNbYOiYFE3nY7+azLeba&#10;jXygyzHUIkLY56jAhNDlUvrKkEW/ch1x9L5dbzFE2ddS9zhGuG1lliRP0mLDccFgR2+Gqp/jYBUs&#10;y8EU+ncT3uX6nA3FlPqTbZV6WKTJK4hA1/Af/mt/agWbZ7h/iT9A7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F+Ir4A&#10;AADbAAAADwAAAAAAAAABACAAAAAiAAAAZHJzL2Rvd25yZXYueG1sUEsBAhQAFAAAAAgAh07iQDMv&#10;BZ47AAAAOQAAABAAAAAAAAAAAQAgAAAADQEAAGRycy9zaGFwZXhtbC54bWxQSwUGAAAAAAYABgBb&#10;AQAAtwMAAAAA&#10;">
                  <v:fill type="tile" on="t" o:title="浅色竖线" focussize="0,0" recolor="t" r:id="rId257"/>
                  <v:stroke color="#000000" miterlimit="8" joinstyle="miter"/>
                  <v:imagedata o:title=""/>
                  <o:lock v:ext="edit" aspectratio="f"/>
                </v:rect>
                <v:rect id="矩形 30" o:spid="_x0000_s1026" o:spt="1" alt="浅色竖线" style="position:absolute;left:4189;top:2184;height:312;width:180;" filled="t" stroked="t" coordsize="21600,21600" o:gfxdata="UEsDBAoAAAAAAIdO4kAAAAAAAAAAAAAAAAAEAAAAZHJzL1BLAwQUAAAACACHTuJAXV7qULgAAADb&#10;AAAADwAAAGRycy9kb3ducmV2LnhtbEVPy6rCMBDdX/AfwghuLppWRaQaXYiCK8EHiLuhGZtiMylN&#10;6uvrzUJweTjv+fJpK3GnxpeOFaSDBARx7nTJhYLTcdOfgvABWWPlmBS8yMNy0fmbY6bdg/d0P4RC&#10;xBD2GSowIdSZlD43ZNEPXE0cuatrLIYIm0LqBh8x3FZymCQTabHk2GCwppWh/HZorYL/U2t2+j0O&#10;azm6DNvdK/VnWynV66bJDESgZ/iJv+6tVjCOY+OX+APk4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V7qULgAAADbAAAA&#10;DwAAAAAAAAABACAAAAAiAAAAZHJzL2Rvd25yZXYueG1sUEsBAhQAFAAAAAgAh07iQDMvBZ47AAAA&#10;OQAAABAAAAAAAAAAAQAgAAAABwEAAGRycy9zaGFwZXhtbC54bWxQSwUGAAAAAAYABgBbAQAAsQMA&#10;AAAA&#10;">
                  <v:fill type="tile" on="t" o:title="浅色竖线" focussize="0,0" recolor="t" r:id="rId257"/>
                  <v:stroke color="#000000" miterlimit="8" joinstyle="miter"/>
                  <v:imagedata o:title=""/>
                  <o:lock v:ext="edit" aspectratio="f"/>
                </v:rect>
                <v:rect id="矩形 31" o:spid="_x0000_s1026" o:spt="1" alt="浅色竖线" style="position:absolute;left:4451;top:2184;height:312;width:180;" filled="t" stroked="t" coordsize="21600,21600" o:gfxdata="UEsDBAoAAAAAAIdO4kAAAAAAAAAAAAAAAAAEAAAAZHJzL1BLAwQUAAAACACHTuJAMhJPy74AAADb&#10;AAAADwAAAGRycy9kb3ducmV2LnhtbEWPQWvCQBSE74L/YXlCL1I3iVLa1NVDaaGngDYg3h7Z12xo&#10;9m3Ibozpr3eFQo/DzHzDbPdX24oL9b5xrCBdJSCIK6cbrhWUXx+PzyB8QNbYOiYFE3nY7+azLeba&#10;jXygyzHUIkLY56jAhNDlUvrKkEW/ch1x9L5dbzFE2ddS9zhGuG1lliRP0mLDccFgR2+Gqp/jYBUs&#10;y8EU+ncT3uX6nA3FlPqTbZV6WKTJK4hA1/Af/mt/agWbF7h/iT9A7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JPy74A&#10;AADbAAAADwAAAAAAAAABACAAAAAiAAAAZHJzL2Rvd25yZXYueG1sUEsBAhQAFAAAAAgAh07iQDMv&#10;BZ47AAAAOQAAABAAAAAAAAAAAQAgAAAADQEAAGRycy9zaGFwZXhtbC54bWxQSwUGAAAAAAYABgBb&#10;AQAAtwMAAAAA&#10;">
                  <v:fill type="tile" on="t" o:title="浅色竖线" focussize="0,0" recolor="t" r:id="rId257"/>
                  <v:stroke color="#000000" miterlimit="8" joinstyle="miter"/>
                  <v:imagedata o:title=""/>
                  <o:lock v:ext="edit" aspectratio="f"/>
                </v:rect>
                <v:line id="直线 32" o:spid="_x0000_s1026" o:spt="20" style="position:absolute;left:628;top:1716;flip:x y;height:468;width:1;" filled="f" stroked="t" coordsize="21600,21600" o:gfxdata="UEsDBAoAAAAAAIdO4kAAAAAAAAAAAAAAAAAEAAAAZHJzL1BLAwQUAAAACACHTuJAUGAPwrgAAADb&#10;AAAADwAAAGRycy9kb3ducmV2LnhtbEVPzYrCMBC+C/sOYYS9adKFlaVr9CAKRVDcdh9gaMa22ExC&#10;E6u+vTkIHj++/+X6bnsx0hA6xxqyuQJBXDvTcaPhv9rNfkCEiGywd0waHhRgvfqYLDE37sZ/NJax&#10;ESmEQ44a2hh9LmWoW7IY5s4TJ+7sBosxwaGRZsBbCre9/FJqIS12nBpa9LRpqb6UV6uhutT+tPX7&#10;Ijvu3GFURXd9hFLrz2mmfkFEuse3+OUujIbvtD59ST9Arp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GAPwrgAAADbAAAA&#10;DwAAAAAAAAABACAAAAAiAAAAZHJzL2Rvd25yZXYueG1sUEsBAhQAFAAAAAgAh07iQDMvBZ47AAAA&#10;OQAAABAAAAAAAAAAAQAgAAAABwEAAGRycy9zaGFwZXhtbC54bWxQSwUGAAAAAAYABgBbAQAAsQMA&#10;AAAA&#10;">
                  <v:fill on="f" focussize="0,0"/>
                  <v:stroke weight="0pt" color="#000000" joinstyle="round"/>
                  <v:imagedata o:title=""/>
                  <o:lock v:ext="edit" aspectratio="f"/>
                </v:line>
                <v:line id="直线 33" o:spid="_x0000_s1026" o:spt="20" style="position:absolute;left:628;top:1716;height:1;width:3016;" filled="f" stroked="t" coordsize="21600,21600" o:gfxdata="UEsDBAoAAAAAAIdO4kAAAAAAAAAAAAAAAAAEAAAAZHJzL1BLAwQUAAAACACHTuJAao1Jvr4AAADb&#10;AAAADwAAAGRycy9kb3ducmV2LnhtbEWPQWsCMRSE70L/Q3iF3jRJi4usRg+KUFqh7Fqox8fmubu6&#10;eVk2qdp/3xQKHoeZ+YZZrG6uExcaQuvZgJ4oEMSVty3XBj732/EMRIjIFjvPZOCHAqyWD6MF5tZf&#10;uaBLGWuRIBxyNNDE2OdShqohh2Hie+LkHf3gMCY51NIOeE1w18lnpTLpsOW00GBP64aqc/ntDKiP&#10;9+wgd+vT6ettUyh8KTulS2OeHrWag4h0i/fwf/vVGphq+PuSf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1Jv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线 34" o:spid="_x0000_s1026" o:spt="20" style="position:absolute;left:3828;top:1560;flip:y;height:312;width:1;" filled="f" stroked="t" coordsize="21600,21600" o:gfxdata="UEsDBAoAAAAAAIdO4kAAAAAAAAAAAAAAAAAEAAAAZHJzL1BLAwQUAAAACACHTuJAd5uG0b4AAADb&#10;AAAADwAAAGRycy9kb3ducmV2LnhtbEWPQWsCMRSE7wX/Q3gFbzVZQSmr0YNQFAqC2ou35+Z1d+nm&#10;ZU3S3bW/vhEEj8PMfMMs14NtREc+1I41ZBMFgrhwpuZSw9fp4+0dRIjIBhvHpOFGAdar0csSc+N6&#10;PlB3jKVIEA45aqhibHMpQ1GRxTBxLXHyvp23GJP0pTQe+wS3jZwqNZcWa04LFba0qaj4Of5aDYft&#10;WfV+U9wuw18z22eXq/zs5lqPXzO1ABFpiM/wo70zGmZTuH9JP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uG0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线 35" o:spid="_x0000_s1026" o:spt="20" style="position:absolute;left:1894;top:1872;height:312;width:1;" filled="f" stroked="t" coordsize="21600,21600" o:gfxdata="UEsDBAoAAAAAAIdO4kAAAAAAAAAAAAAAAAAEAAAAZHJzL1BLAwQUAAAACACHTuJA9RNyUr4AAADb&#10;AAAADwAAAGRycy9kb3ducmV2LnhtbEWPQWvCQBSE74L/YXkFb7obxVBSVw+KUKxQkhba4yP7msRm&#10;34bs1qT/visIPQ4z8w2z2Y22FVfqfeNYQ7JQIIhLZxquNLy/HeePIHxANtg6Jg2/5GG3nU42mBk3&#10;cE7XIlQiQthnqKEOocuk9GVNFv3CdcTR+3K9xRBlX0nT4xDhtpVLpVJpseG4UGNH+5rK7+LHalCv&#10;L+mnPO8vl4/TIVe4KlqVFFrPHhL1BCLQGP7D9/az0bBewe1L/AF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NyU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线 36" o:spid="_x0000_s1026" o:spt="20" style="position:absolute;left:1894;top:1872;height:1;width:1939;" filled="f" stroked="t" coordsize="21600,21600" o:gfxdata="UEsDBAoAAAAAAIdO4kAAAAAAAAAAAAAAAAAEAAAAZHJzL1BLAwQUAAAACACHTuJAevrqJr0AAADb&#10;AAAADwAAAGRycy9kb3ducmV2LnhtbEWPQWsCMRSE74L/ITzBmyarVWQ1elAKpRXEVdDjY/PcXd28&#10;LJtU7b9vhEKPw8x8wyxWT1uLO7W+cqwhGSoQxLkzFRcajof3wQyED8gGa8ek4Yc8rJbdzgJT4x68&#10;p3sWChEh7FPUUIbQpFL6vCSLfuga4uhdXGsxRNkW0rT4iHBby5FSU2mx4rhQYkPrkvJb9m01qN3X&#10;9Cy36+v19LnZKxxntUoyrfu9RM1BBHqG//Bf+8NomLzB60v8A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uomvQAA&#10;ANs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直线 37" o:spid="_x0000_s1026" o:spt="20" style="position:absolute;left:3148;top:2028;height:1;width:856;" filled="f" stroked="t" coordsize="21600,21600" o:gfxdata="UEsDBAoAAAAAAIdO4kAAAAAAAAAAAAAAAAAEAAAAZHJzL1BLAwQUAAAACACHTuJAFbZPvb4AAADb&#10;AAAADwAAAGRycy9kb3ducmV2LnhtbEWPQWvCQBSE7wX/w/KE3upuWgwSXXOIFEpbkKSCHh/ZZxLN&#10;vg3Zrdp/7xYKPQ4z8w2zym+2FxcafedYQzJTIIhrZzpuNOy+Xp8WIHxANtg7Jg0/5CFfTx5WmBl3&#10;5ZIuVWhEhLDPUEMbwpBJ6euWLPqZG4ijd3SjxRDl2Egz4jXCbS+flUqlxY7jQosDFS3V5+rbalDb&#10;j/QgP4vTaf++KRW+VL1KKq0fp4laggh0C//hv/ab0TCfw++X+AP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ZPv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线 38" o:spid="_x0000_s1026" o:spt="20" style="position:absolute;left:4188;top:2028;height:1;width:91;" filled="f" stroked="t" coordsize="21600,21600" o:gfxdata="UEsDBAoAAAAAAIdO4kAAAAAAAAAAAAAAAAAEAAAAZHJzL1BLAwQUAAAACACHTuJApOGDA74AAADb&#10;AAAADwAAAGRycy9kb3ducmV2LnhtbEWPQWvCQBSE70L/w/IKveluWgglunpQBKkFSVpoj4/sM4lm&#10;34bsmqT/3i0Uehxm5htmtZlsKwbqfeNYQ7JQIIhLZxquNHx+7OevIHxANtg6Jg0/5GGzfpitMDNu&#10;5JyGIlQiQthnqKEOocuk9GVNFv3CdcTRO7veYoiyr6TpcYxw28pnpVJpseG4UGNH25rKa3GzGtTp&#10;mH7L9+3l8vW2yxW+FK1KCq2fHhO1BBFoCv/hv/bBaEgT+P0Sf4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GDA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线 39" o:spid="_x0000_s1026" o:spt="20" style="position:absolute;left:3139;top:2028;height:156;width:1;" filled="f" stroked="t" coordsize="21600,21600" o:gfxdata="UEsDBAoAAAAAAIdO4kAAAAAAAAAAAAAAAAAEAAAAZHJzL1BLAwQUAAAACACHTuJAVDMddLwAAADb&#10;AAAADwAAAGRycy9kb3ducmV2LnhtbEWPT4vCMBTE78J+h/AWvGlShSJdoweXBVFBrAu7x0fzbKvN&#10;S2niv29vBMHjMDO/Yabzm23EhTpfO9aQDBUI4sKZmksNv/ufwQSED8gGG8ek4U4e5rOP3hQz4668&#10;o0seShEh7DPUUIXQZlL6oiKLfuha4ugdXGcxRNmV0nR4jXDbyJFSqbRYc1yosKVFRcUpP1sNartO&#10;/+VmcTz+rb53Csd5o5Jc6/5nor5ABLqFd/jVXhoN6QieX+IP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zHXS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直线 40" o:spid="_x0000_s1026" o:spt="20" style="position:absolute;left:5669;top:2028;height:156;width:1;" filled="f" stroked="t" coordsize="21600,21600" o:gfxdata="UEsDBAoAAAAAAIdO4kAAAAAAAAAAAAAAAAAEAAAAZHJzL1BLAwQUAAAACACHTuJAO3+477wAAADb&#10;AAAADwAAAGRycy9kb3ducmV2LnhtbEWPT4vCMBTE78J+h/AWvGlShSJdoweXBVFBrAu7x0fzbKvN&#10;S2niv29vBMHjMDO/Yabzm23EhTpfO9aQDBUI4sKZmksNv/ufwQSED8gGG8ek4U4e5rOP3hQz4668&#10;o0seShEh7DPUUIXQZlL6oiKLfuha4ugdXGcxRNmV0nR4jXDbyJFSqbRYc1yosKVFRcUpP1sNartO&#10;/+VmcTz+rb53Csd5o5Jc6/5nor5ABLqFd/jVXhoN6RieX+IP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uO+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直线 41" o:spid="_x0000_s1026" o:spt="20" style="position:absolute;left:4008;top:1560;height:468;width:1;" filled="f" stroked="t" coordsize="21600,21600" o:gfxdata="UEsDBAoAAAAAAIdO4kAAAAAAAAAAAAAAAAAEAAAAZHJzL1BLAwQUAAAACACHTuJAtJYgm74AAADb&#10;AAAADwAAAGRycy9kb3ducmV2LnhtbEWPS2vDMBCE74H+B7GF3mLJbTDFieJDSqE0gRC30BwXa+tH&#10;rZWx1Dz+fRQI5DjMzDfMojjZXhxo9K1jDWmiQBBXzrRca/j+ep++gvAB2WDvmDScyUOxfJgsMDfu&#10;yDs6lKEWEcI+Rw1NCEMupa8asugTNxBH79eNFkOUYy3NiMcIt718ViqTFluOCw0OtGqo+iv/rQa1&#10;XWd7uVl13c/n207hS9mrtNT66TFVcxCBTuEevrU/jIZsBtcv8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gm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线 42" o:spid="_x0000_s1026" o:spt="20" style="position:absolute;left:4188;top:1560;height:468;width:1;" filled="f" stroked="t" coordsize="21600,21600" o:gfxdata="UEsDBAoAAAAAAIdO4kAAAAAAAAAAAAAAAAAEAAAAZHJzL1BLAwQUAAAACACHTuJA29qFAL4AAADb&#10;AAAADwAAAGRycy9kb3ducmV2LnhtbEWPS2vDMBCE74H+B7GF3mLJLTHFieJDSqE0gRC30BwXa+tH&#10;rZWx1Dz+fRQI5DjMzDfMojjZXhxo9K1jDWmiQBBXzrRca/j+ep++gvAB2WDvmDScyUOxfJgsMDfu&#10;yDs6lKEWEcI+Rw1NCEMupa8asugTNxBH79eNFkOUYy3NiMcIt718ViqTFluOCw0OtGqo+iv/rQa1&#10;XWd7uVl13c/n207hS9mrtNT66TFVcxCBTuEevrU/jIZsBtcv8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qFAL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线 43" o:spid="_x0000_s1026" o:spt="20" style="position:absolute;left:3648;top:1560;flip:y;height:156;width:1;" filled="f" stroked="t" coordsize="21600,21600" o:gfxdata="UEsDBAoAAAAAAIdO4kAAAAAAAAAAAAAAAAAEAAAAZHJzL1BLAwQUAAAACACHTuJAxsxKb74AAADb&#10;AAAADwAAAGRycy9kb3ducmV2LnhtbEWPQWvCQBSE7wX/w/IK3upuCoaSunoQioIgqL309sy+JqHZ&#10;t3F3m0R/vVsoeBxm5htmsRptK3ryoXGsIZspEMSlMw1XGj5PHy9vIEJENtg6Jg1XCrBaTp4WWBg3&#10;8IH6Y6xEgnAoUEMdY1dIGcqaLIaZ64iT9+28xZikr6TxOCS4beWrUrm02HBaqLGjdU3lz/HXajhs&#10;vtTg1+X1PN7a+T47X+Suz7WePmfqHUSkMT7C/+2t0ZDn8Pcl/QC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xKb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线 44" o:spid="_x0000_s1026" o:spt="20" style="position:absolute;left:3780;top:156;flip:y;height:156;width:1;" filled="f" stroked="t" coordsize="21600,21600" o:gfxdata="UEsDBAoAAAAAAIdO4kAAAAAAAAAAAAAAAAAEAAAAZHJzL1BLAwQUAAAACACHTuJAqYDv9L8AAADb&#10;AAAADwAAAGRycy9kb3ducmV2LnhtbEWPzWrDMBCE74W+g9hAbo3kQpziRskhEFIoBPJz6W1jbW0T&#10;a+VKqu3k6atCocdhZr5hluvRtqInHxrHGrKZAkFcOtNwpeF82j69gAgR2WDrmDTcKMB69fiwxMK4&#10;gQ/UH2MlEoRDgRrqGLtCylDWZDHMXEecvE/nLcYkfSWNxyHBbSuflcqlxYbTQo0dbWoqr8dvq+Gw&#10;+1CD35S3y3hv5/vs8iXf+1zr6SRTryAijfE//Nd+MxryBfx+ST9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A7/S/&#10;AAAA2w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直线 45" o:spid="_x0000_s1026" o:spt="20" style="position:absolute;left:3780;top:156;height:1;width:629;" filled="f" stroked="t" coordsize="21600,21600" o:gfxdata="UEsDBAoAAAAAAIdO4kAAAAAAAAAAAAAAAAAEAAAAZHJzL1BLAwQUAAAACACHTuJANdsqnrsAAADb&#10;AAAADwAAAGRycy9kb3ducmV2LnhtbEVPz2vCMBS+D/wfwhN2m0knlFGbelCEoYNhHczjo3m21eal&#10;NNF2//1yGOz48f3O15PtxIMG3zrWkCwUCOLKmZZrDV+n3csbCB+QDXaOScMPeVgXs6ccM+NGPtKj&#10;DLWIIewz1NCE0GdS+qohi37heuLIXdxgMUQ41NIMOMZw28lXpVJpseXY0GBPm4aqW3m3GtTnIT3L&#10;j831+r3fHhUuy04lpdbP80StQASawr/4z/1uNKRxbP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qnr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直线 46" o:spid="_x0000_s1026" o:spt="20" style="position:absolute;left:4411;top:156;height:2496;width:1;" filled="f" stroked="t" coordsize="21600,21600" o:gfxdata="UEsDBAoAAAAAAIdO4kAAAAAAAAAAAAAAAAAEAAAAZHJzL1BLAwQUAAAACACHTuJAWpePBb4AAADb&#10;AAAADwAAAGRycy9kb3ducmV2LnhtbEWPS2vDMBCE74H+B7GF3mLJLZjUieJDSqE0gRC30BwXa+tH&#10;rZWx1Dz+fRQI5DjMzDfMojjZXhxo9K1jDWmiQBBXzrRca/j+ep/OQPiAbLB3TBrO5KFYPkwWmBt3&#10;5B0dylCLCGGfo4YmhCGX0lcNWfSJG4ij9+tGiyHKsZZmxGOE214+K5VJiy3HhQYHWjVU/ZX/VoPa&#10;rrO93Ky67ufzbafwpexVWmr99JiqOYhAp3AP39ofRkP2Ctcv8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ePB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rect id="矩形 47" o:spid="_x0000_s1026" o:spt="1" style="position:absolute;left:4383;top:2652;height:468;width:57;" fillcolor="#000000" filled="t" stroked="t" coordsize="21600,21600" o:gfxdata="UEsDBAoAAAAAAIdO4kAAAAAAAAAAAAAAAAAEAAAAZHJzL1BLAwQUAAAACACHTuJAleOUFLYAAADb&#10;AAAADwAAAGRycy9kb3ducmV2LnhtbEVPSwrCMBDdC94hjOBGbKoLldooKAjiRqweYGjGtthMShNt&#10;9fRmIbh8vH+67U0tXtS6yrKCWRSDIM6trrhQcLsepisQziNrrC2Tgjc52G6GgxQTbTu+0CvzhQgh&#10;7BJUUHrfJFK6vCSDLrINceDutjXoA2wLqVvsQrip5TyOF9JgxaGhxIb2JeWP7GkU7Lquup8/GU9O&#10;xa4/zfFwRV8rNR7N4jUIT73/i3/uo1awDOvDl/AD5OY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XjlBS2AAAA2wAAAA8A&#10;AAAAAAAAAQAgAAAAIgAAAGRycy9kb3ducmV2LnhtbFBLAQIUABQAAAAIAIdO4kAzLwWeOwAAADkA&#10;AAAQAAAAAAAAAAEAIAAAAAUBAABkcnMvc2hhcGV4bWwueG1sUEsFBgAAAAAGAAYAWwEAAK8DAAAA&#10;AA==&#10;">
                  <v:fill on="t" focussize="0,0"/>
                  <v:stroke color="#000000" miterlimit="8" joinstyle="miter"/>
                  <v:imagedata o:title=""/>
                  <o:lock v:ext="edit" aspectratio="f"/>
                </v:rect>
                <v:line id="直线 48" o:spid="_x0000_s1026" o:spt="20" style="position:absolute;left:8183;top:1716;flip:x y;height:468;width:1;" filled="f" stroked="t" coordsize="21600,21600" o:gfxdata="UEsDBAoAAAAAAIdO4kAAAAAAAAAAAAAAAAAEAAAAZHJzL1BLAwQUAAAACACHTuJAdJn2ObsAAADb&#10;AAAADwAAAGRycy9kb3ducmV2LnhtbEWPQYvCMBSE7wv+h/AEb2tSD7tSjR5EoQi7rNUf8GiebbF5&#10;CU2s+u/NguBxmJlvmOX6bjsxUB9axxqyqQJBXDnTcq3hdNx9zkGEiGywc0waHhRgvRp9LDE37sYH&#10;GspYiwThkKOGJkafSxmqhiyGqfPEyTu73mJMsq+l6fGW4LaTM6W+pMWW00KDnjYNVZfyajUcL5X/&#10;2/p9kf3u3M+givb6CKXWk3GmFiAi3eM7/GoXRsN3Bv9f0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n2Ob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直线 49" o:spid="_x0000_s1026" o:spt="20" style="position:absolute;left:5220;top:1716;height:1;width:2959;" filled="f" stroked="t" coordsize="21600,21600" o:gfxdata="UEsDBAoAAAAAAIdO4kAAAAAAAAAAAAAAAAAEAAAAZHJzL1BLAwQUAAAACACHTuJA0eqLqbwAAADb&#10;AAAADwAAAGRycy9kb3ducmV2LnhtbEWPT4vCMBTE7wt+h/AEb2tSBVeq0YOysOiCWAU9PppnW21e&#10;ShP/ffuNsOBxmJnfMNP5w9biRq2vHGtI+goEce5MxYWG/e77cwzCB2SDtWPS8CQP81nnY4qpcXfe&#10;0i0LhYgQ9ilqKENoUil9XpJF33cNcfROrrUYomwLaVq8R7it5UCpkbRYcVwosaFFSfklu1oNarMe&#10;HeXv4nw+rJZbhcOsVkmmda+bqAmIQI/wDv+3f4yGrwG8vsQf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qi6m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直线 50" o:spid="_x0000_s1026" o:spt="20" style="position:absolute;left:5040;top:1560;flip:y;height:312;width:1;" filled="f" stroked="t" coordsize="21600,21600" o:gfxdata="UEsDBAoAAAAAAIdO4kAAAAAAAAAAAAAAAAAEAAAAZHJzL1BLAwQUAAAACACHTuJAU2J/Kr8AAADb&#10;AAAADwAAAGRycy9kb3ducmV2LnhtbEWPQWsCMRSE74L/ITyht5qspVq2Rg+CKBQK2l68PTevu0s3&#10;L2sSd9f++qZQ8DjMzDfMcj3YRnTkQ+1YQzZVIIgLZ2ouNXx+bB9fQISIbLBxTBpuFGC9Go+WmBvX&#10;84G6YyxFgnDIUUMVY5tLGYqKLIapa4mT9+W8xZikL6Xx2Ce4beRMqbm0WHNaqLClTUXF9/FqNRx2&#10;J9X7TXE7Dz/N83t2vsi3bq71wyRTryAiDfEe/m/vjYbFE/x9S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ifyq/&#10;AAAA2w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直线 51" o:spid="_x0000_s1026" o:spt="20" style="position:absolute;left:6930;top:1872;height:312;width:1;" filled="f" stroked="t" coordsize="21600,21600" o:gfxdata="UEsDBAoAAAAAAIdO4kAAAAAAAAAAAAAAAAAEAAAAZHJzL1BLAwQUAAAACACHTuJAMU+2Rr0AAADb&#10;AAAADwAAAGRycy9kb3ducmV2LnhtbEWPQWsCMRSE74L/ITzBmyarxcpq9KAUSiuIq6DHx+a5u7p5&#10;WTap2n/fCEKPw8x8w8yXD1uLG7W+cqwhGSoQxLkzFRcaDvuPwRSED8gGa8ek4Zc8LBfdzhxT4+68&#10;o1sWChEh7FPUUIbQpFL6vCSLfuga4uidXWsxRNkW0rR4j3Bby5FSE2mx4rhQYkOrkvJr9mM1qO33&#10;5CQ3q8vl+LXeKRxntUoyrfu9RM1ABHqE//Cr/Wk0vL/B80v8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T7ZGvQAA&#10;ANs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直线 52" o:spid="_x0000_s1026" o:spt="20" style="position:absolute;left:5040;top:1872;height:1;width:1882;" filled="f" stroked="t" coordsize="21600,21600" o:gfxdata="UEsDBAoAAAAAAIdO4kAAAAAAAAAAAAAAAAAEAAAAZHJzL1BLAwQUAAAACACHTuJAXgMT3b0AAADb&#10;AAAADwAAAGRycy9kb3ducmV2LnhtbEWPQWsCMRSE74L/ITzBmyar1Mpq9KAUSiuIq6DHx+a5u7p5&#10;WTap2n/fCEKPw8x8w8yXD1uLG7W+cqwhGSoQxLkzFRcaDvuPwRSED8gGa8ek4Zc8LBfdzhxT4+68&#10;o1sWChEh7FPUUIbQpFL6vCSLfuga4uidXWsxRNkW0rR4j3Bby5FSE2mx4rhQYkOrkvJr9mM1qO33&#10;5CQ3q8vl+LXeKRxntUoyrfu9RM1ABHqE//Cr/Wk0vL/B80v8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xPdvQAA&#10;ANs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直线 53" o:spid="_x0000_s1026" o:spt="20" style="position:absolute;left:4860;top:2028;height:1;width:811;" filled="f" stroked="t" coordsize="21600,21600" o:gfxdata="UEsDBAoAAAAAAIdO4kAAAAAAAAAAAAAAAAAEAAAAZHJzL1BLAwQUAAAACACHTuJArtGNqr4AAADb&#10;AAAADwAAAGRycy9kb3ducmV2LnhtbEWPS2vDMBCE74H+B7GF3mLJLTjFieJDSqE0gRC30BwXa+tH&#10;rZWx1Dz+fRQI5DjMzDfMojjZXhxo9K1jDWmiQBBXzrRca/j+ep++gvAB2WDvmDScyUOxfJgsMDfu&#10;yDs6lKEWEcI+Rw1NCEMupa8asugTNxBH79eNFkOUYy3NiMcIt718ViqTFluOCw0OtGqo+iv/rQa1&#10;XWd7uVl13c/n207hS9mrtNT66TFVcxCBTuEevrU/jIZZBtcv8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GNq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线 54" o:spid="_x0000_s1026" o:spt="20" style="position:absolute;left:4548;top:2028;height:1;width:136;" filled="f" stroked="t" coordsize="21600,21600" o:gfxdata="UEsDBAoAAAAAAIdO4kAAAAAAAAAAAAAAAAAEAAAAZHJzL1BLAwQUAAAACACHTuJAwZ0oMb4AAADb&#10;AAAADwAAAGRycy9kb3ducmV2LnhtbEWPQWvCQBSE7wX/w/KE3upuWjASXXOIFEpbkKSCHh/ZZxLN&#10;vg3Zrdp/7xYKPQ4z8w2zym+2FxcafedYQzJTIIhrZzpuNOy+Xp8WIHxANtg7Jg0/5CFfTx5WmBl3&#10;5ZIuVWhEhLDPUEMbwpBJ6euWLPqZG4ijd3SjxRDl2Egz4jXCbS+flZpLix3HhRYHKlqqz9W31aC2&#10;H/OD/CxOp/37plT4UvUqqbR+nCZqCSLQLfyH/9pvRkOawu+X+AP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0oM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线 55" o:spid="_x0000_s1026" o:spt="20" style="position:absolute;left:4278;top:2028;height:156;width:1;" filled="f" stroked="t" coordsize="21600,21600" o:gfxdata="UEsDBAoAAAAAAIdO4kAAAAAAAAAAAAAAAAAEAAAAZHJzL1BLAwQUAAAACACHTuJAsAK8Q7oAAADb&#10;AAAADwAAAGRycy9kb3ducmV2LnhtbEVPy4rCMBTdD/gP4QqzmyZ1wBmq0YUiiApiR9Dlpbm21eam&#10;NPH192YhzPJw3uPpwzbiRp2vHWtIEwWCuHCm5lLD/m/x9QvCB2SDjWPS8CQP00nvY4yZcXfe0S0P&#10;pYgh7DPUUIXQZlL6oiKLPnEtceROrrMYIuxKaTq8x3DbyIFSQ2mx5thQYUuziopLfrUa1HY9PMrN&#10;7Hw+rOY7hd95o9Jc689+qkYgAj3Cv/jtXhoNP3Fs/BJ/gJ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ArxD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直线 56" o:spid="_x0000_s1026" o:spt="20" style="position:absolute;left:4545;top:2028;height:156;width:1;" filled="f" stroked="t" coordsize="21600,21600" o:gfxdata="UEsDBAoAAAAAAIdO4kAAAAAAAAAAAAAAAAAEAAAAZHJzL1BLAwQUAAAACACHTuJA304Z2L4AAADb&#10;AAAADwAAAGRycy9kb3ducmV2LnhtbEWPT2vCQBTE7wW/w/IEb81uFNSmrh4UQVQopoX2+Mi+JrHZ&#10;tyG7/vv2bkHwOMzMb5jZ4mobcabO1441pIkCQVw4U3Op4etz/ToF4QOywcYxabiRh8W89zLDzLgL&#10;H+ich1JECPsMNVQhtJmUvqjIok9cSxy9X9dZDFF2pTQdXiLcNnKo1FharDkuVNjSsqLiLz9ZDepj&#10;N/6R++Xx+L1dHRSO8kaludaDfqreQQS6hmf40d4YDZM3+P8Sf4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04Z2L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线 57" o:spid="_x0000_s1026" o:spt="20" style="position:absolute;left:4860;top:1560;height:468;width:1;" filled="f" stroked="t" coordsize="21600,21600" o:gfxdata="UEsDBAoAAAAAAIdO4kAAAAAAAAAAAAAAAAAEAAAAZHJzL1BLAwQUAAAACACHTuJAe6HAYrsAAADb&#10;AAAADwAAAGRycy9kb3ducmV2LnhtbEVPyWrDMBC9F/IPYgK9NZJbCMGJ7INLILSBELfQHgdr4qXW&#10;yFiqnfx9dCj0+Hj7Lr/aXkw0+taxhmSlQBBXzrRca/j82D9tQPiAbLB3TBpu5CHPFg87TI2b+UxT&#10;GWoRQ9inqKEJYUil9FVDFv3KDcSRu7jRYohwrKUZcY7htpfPSq2lxZZjQ4MDFQ1VP+Wv1aBO7+tv&#10;eSy67uvt9azwpexVUmr9uEzUFkSga/gX/7kPRsMmro9f4g+Q2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6HAYr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直线 58" o:spid="_x0000_s1026" o:spt="20" style="position:absolute;left:4679;top:1560;height:468;width:1;" filled="f" stroked="t" coordsize="21600,21600" o:gfxdata="UEsDBAoAAAAAAIdO4kAAAAAAAAAAAAAAAAAEAAAAZHJzL1BLAwQUAAAACACHTuJAFO1l+bwAAADb&#10;AAAADwAAAGRycy9kb3ducmV2LnhtbEWPT4vCMBTE7wt+h/CEvW2TKohUowdFEF1YrIIeH82zrTYv&#10;pYn/vr1ZWNjjMDO/Yabzp23EnTpfO9aQJgoEceFMzaWGw371NQbhA7LBxjFpeJGH+az3McXMuAfv&#10;6J6HUkQI+ww1VCG0mZS+qMiiT1xLHL2z6yyGKLtSmg4fEW4bOVBqJC3WHBcqbGlRUXHNb1aD+tmO&#10;TvJ7cbkcN8udwmHeqDTX+rOfqgmIQM/wH/5rr42GcQq/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tZfm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直线 59" o:spid="_x0000_s1026" o:spt="20" style="position:absolute;left:5220;top:1560;flip:y;height:156;width:1;" filled="f" stroked="t" coordsize="21600,21600" o:gfxdata="UEsDBAoAAAAAAIdO4kAAAAAAAAAAAAAAAAAEAAAAZHJzL1BLAwQUAAAACACHTuJACfuqlr4AAADb&#10;AAAADwAAAGRycy9kb3ducmV2LnhtbEWPQWsCMRSE74X+h/AEbzVZQZGt0YMgLQiC2ktvz83r7tLN&#10;yzaJu6u/3ghCj8PMfMMs14NtREc+1I41ZBMFgrhwpuZSw9dp+7YAESKywcYxabhSgPXq9WWJuXE9&#10;H6g7xlIkCIccNVQxtrmUoajIYpi4ljh5P85bjEn6UhqPfYLbRk6VmkuLNaeFClvaVFT8Hi9Ww+Hj&#10;W/V+U1zPw62Z7bPzn9x1c63Ho0y9g4g0xP/ws/1pNCym8PiSfo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uql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文本框 60" o:spid="_x0000_s1026" o:spt="202" type="#_x0000_t202" style="position:absolute;left:900;top:2184;height:468;width:720;" filled="f" stroked="f" coordsize="21600,21600" o:gfxdata="UEsDBAoAAAAAAIdO4kAAAAAAAAAAAAAAAAAEAAAAZHJzL1BLAwQUAAAACACHTuJA0tG8Qb4AAADc&#10;AAAADwAAAGRycy9kb3ducmV2LnhtbEWPT2sCMRDF74V+hzAFbzXRSpHVKFhaEE/W9lBv0824u7iZ&#10;hCT++/bOodDbDO/Ne7+ZL6++V2dKuQtsYTQ0oIjr4DpuLHx/fTxPQeWC7LAPTBZulGG5eHyYY+XC&#10;hT/pvCuNkhDOFVpoS4mV1rluyWMehkgs2iEkj0XW1GiX8CLhvtdjY161x46locVIby3Vx93JW3if&#10;uP1vd9u+7KfRbOL6hzardLJ28DQyM1CFruXf/He9doI/Flp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G8Qb4A&#10;AADcAAAADwAAAAAAAAABACAAAAAiAAAAZHJzL2Rvd25yZXYueG1sUEsBAhQAFAAAAAgAh07iQDMv&#10;BZ47AAAAOQAAABAAAAAAAAAAAQAgAAAADQEAAGRycy9zaGFwZXhtbC54bWxQSwUGAAAAAAYABgBb&#10;AQAAtwMAAAAA&#10;">
                  <v:fill on="f" focussize="0,0"/>
                  <v:stroke on="f"/>
                  <v:imagedata o:title=""/>
                  <o:lock v:ext="edit" aspectratio="f"/>
                  <v:textbox inset="5.6159842519685pt,2.80803149606299pt,5.6159842519685pt,2.80803149606299pt">
                    <w:txbxContent>
                      <w:p w14:paraId="26798EF2">
                        <w:pPr>
                          <w:pStyle w:val="211"/>
                          <w:rPr>
                            <w:sz w:val="16"/>
                          </w:rPr>
                        </w:pPr>
                        <w:r>
                          <w:rPr>
                            <w:rFonts w:hint="eastAsia"/>
                            <w:sz w:val="16"/>
                          </w:rPr>
                          <w:t>Ex1</w:t>
                        </w:r>
                      </w:p>
                    </w:txbxContent>
                  </v:textbox>
                </v:shape>
                <v:shape id="文本框 61" o:spid="_x0000_s1026" o:spt="202" type="#_x0000_t202" style="position:absolute;left:4320;top:2652;height:468;width:720;" filled="f" stroked="f" coordsize="21600,21600" o:gfxdata="UEsDBAoAAAAAAIdO4kAAAAAAAAAAAAAAAAAEAAAAZHJzL1BLAwQUAAAACACHTuJAvZ0Z2rwAAADc&#10;AAAADwAAAGRycy9kb3ducmV2LnhtbEVPS2sCMRC+F/ofwgjeauKDoluzCy0VxFNrPeht3Ex3FzeT&#10;kMTXv28Khd7m43vOsrrZXlwoxM6xhvFIgSCunem40bD7Wj3NQcSEbLB3TBruFKEqHx+WWBh35U+6&#10;bFMjcgjHAjW0KflCyli3ZDGOnCfO3LcLFlOGoZEm4DWH215OlHqWFjvODS16emupPm3PVsP7zByO&#10;3f1jeph7tfHrPW1ew1nr4WCsXkAkuqV/8Z97bfL8yQJ+n8kXy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dGdq8AAAA&#10;3AAAAA8AAAAAAAAAAQAgAAAAIgAAAGRycy9kb3ducmV2LnhtbFBLAQIUABQAAAAIAIdO4kAzLwWe&#10;OwAAADkAAAAQAAAAAAAAAAEAIAAAAAsBAABkcnMvc2hhcGV4bWwueG1sUEsFBgAAAAAGAAYAWwEA&#10;ALUDAAAAAA==&#10;">
                  <v:fill on="f" focussize="0,0"/>
                  <v:stroke on="f"/>
                  <v:imagedata o:title=""/>
                  <o:lock v:ext="edit" aspectratio="f"/>
                  <v:textbox inset="5.6159842519685pt,2.80803149606299pt,5.6159842519685pt,2.80803149606299pt">
                    <w:txbxContent>
                      <w:p w14:paraId="1425097B">
                        <w:pPr>
                          <w:pStyle w:val="211"/>
                          <w:rPr>
                            <w:sz w:val="16"/>
                          </w:rPr>
                        </w:pPr>
                        <w:r>
                          <w:rPr>
                            <w:rFonts w:hint="eastAsia"/>
                            <w:sz w:val="16"/>
                          </w:rPr>
                          <w:t>Hy</w:t>
                        </w:r>
                      </w:p>
                    </w:txbxContent>
                  </v:textbox>
                </v:shape>
                <v:shape id="文本框 62" o:spid="_x0000_s1026" o:spt="202" type="#_x0000_t202" style="position:absolute;left:4680;top:2184;height:468;width:720;" filled="f" stroked="f" coordsize="21600,21600" o:gfxdata="UEsDBAoAAAAAAIdO4kAAAAAAAAAAAAAAAAAEAAAAZHJzL1BLAwQUAAAACACHTuJAqX4mmr4AAADc&#10;AAAADwAAAGRycy9kb3ducmV2LnhtbEWPT2sCMRDF74V+hzAFbzWxSpHVKFhaEE/W9lBv0824u7iZ&#10;hCT++/bOodDbDO/Ne7+ZL6++V2dKuQtsYTQ0oIjr4DpuLHx/fTxPQeWC7LAPTBZulGG5eHyYY+XC&#10;hT/pvCuNkhDOFVpoS4mV1rluyWMehkgs2iEkj0XW1GiX8CLhvtcvxrxqjx1LQ4uR3lqqj7uTt/A+&#10;cfvf7rYd76fRbOL6hzardLJ28DQyM1CFruXf/He9doI/Fnx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4mmr4A&#10;AADcAAAADwAAAAAAAAABACAAAAAiAAAAZHJzL2Rvd25yZXYueG1sUEsBAhQAFAAAAAgAh07iQDMv&#10;BZ47AAAAOQAAABAAAAAAAAAAAQAgAAAADQEAAGRycy9zaGFwZXhtbC54bWxQSwUGAAAAAAYABgBb&#10;AQAAtwMAAAAA&#10;">
                  <v:fill on="f" focussize="0,0"/>
                  <v:stroke on="f"/>
                  <v:imagedata o:title=""/>
                  <o:lock v:ext="edit" aspectratio="f"/>
                  <v:textbox inset="5.6159842519685pt,2.80803149606299pt,5.6159842519685pt,2.80803149606299pt">
                    <w:txbxContent>
                      <w:p w14:paraId="34932707">
                        <w:pPr>
                          <w:pStyle w:val="211"/>
                          <w:rPr>
                            <w:sz w:val="16"/>
                          </w:rPr>
                        </w:pPr>
                        <w:r>
                          <w:rPr>
                            <w:rFonts w:hint="eastAsia"/>
                            <w:sz w:val="16"/>
                          </w:rPr>
                          <w:t>Ex4</w:t>
                        </w:r>
                      </w:p>
                    </w:txbxContent>
                  </v:textbox>
                </v:shape>
                <v:shape id="文本框 63" o:spid="_x0000_s1026" o:spt="202" type="#_x0000_t202" style="position:absolute;left:3420;top:2184;height:468;width:720;" filled="f" stroked="f" coordsize="21600,21600" o:gfxdata="UEsDBAoAAAAAAIdO4kAAAAAAAAAAAAAAAAAEAAAAZHJzL1BLAwQUAAAACACHTuJAxjKDAbsAAADc&#10;AAAADwAAAGRycy9kb3ducmV2LnhtbEVPS2sCMRC+F/wPYQRvNVktRbZGQVEQT1Y96G26me4u3UxC&#10;El//3hQKvc3H95zp/G47caUQW8caiqECQVw503Kt4XhYv05AxIRssHNMGh4UYT7rvUyxNO7Gn3Td&#10;p1rkEI4lamhS8qWUsWrIYhw6T5y5bxcspgxDLU3AWw63nRwp9S4ttpwbGvS0bKj62V+shtWbOX+1&#10;j934PPFq6zcn2i7CRetBv1AfIBLd07/4z70xef64gN9n8gVy9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KDAbsAAADc&#10;AAAADwAAAAAAAAABACAAAAAiAAAAZHJzL2Rvd25yZXYueG1sUEsBAhQAFAAAAAgAh07iQDMvBZ47&#10;AAAAOQAAABAAAAAAAAAAAQAgAAAACgEAAGRycy9zaGFwZXhtbC54bWxQSwUGAAAAAAYABgBbAQAA&#10;tAMAAAAA&#10;">
                  <v:fill on="f" focussize="0,0"/>
                  <v:stroke on="f"/>
                  <v:imagedata o:title=""/>
                  <o:lock v:ext="edit" aspectratio="f"/>
                  <v:textbox inset="5.6159842519685pt,2.80803149606299pt,5.6159842519685pt,2.80803149606299pt">
                    <w:txbxContent>
                      <w:p w14:paraId="4D2CEC17">
                        <w:pPr>
                          <w:pStyle w:val="211"/>
                          <w:rPr>
                            <w:sz w:val="16"/>
                          </w:rPr>
                        </w:pPr>
                        <w:r>
                          <w:rPr>
                            <w:rFonts w:hint="eastAsia"/>
                            <w:sz w:val="16"/>
                          </w:rPr>
                          <w:t>Ex3</w:t>
                        </w:r>
                      </w:p>
                    </w:txbxContent>
                  </v:textbox>
                </v:shape>
                <v:shape id="文本框 64" o:spid="_x0000_s1026" o:spt="202" type="#_x0000_t202" style="position:absolute;left:5940;top:2184;height:468;width:720;" filled="f" stroked="f" coordsize="21600,21600" o:gfxdata="UEsDBAoAAAAAAIdO4kAAAAAAAAAAAAAAAAAEAAAAZHJzL1BLAwQUAAAACACHTuJANuAddrsAAADc&#10;AAAADwAAAGRycy9kb3ducmV2LnhtbEVPS2sCMRC+C/6HMII3TdQist2s0FJBPLW2B72Nm+nu0s0k&#10;JPH175tCwdt8fM8p1zfbiwuF2DnWMJsqEMS1Mx03Gr4+N5MViJiQDfaOScOdIqyr4aDEwrgrf9Bl&#10;nxqRQzgWqKFNyRdSxroli3HqPHHmvl2wmDIMjTQBrznc9nKu1FJa7Dg3tOjptaX6Z3+2Gt6ezPHU&#10;3d8Xx5VXO7890O4lnLUej2bqGUSiW3qI/91bk+cv5vD3TL5AV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AddrsAAADc&#10;AAAADwAAAAAAAAABACAAAAAiAAAAZHJzL2Rvd25yZXYueG1sUEsBAhQAFAAAAAgAh07iQDMvBZ47&#10;AAAAOQAAABAAAAAAAAAAAQAgAAAACgEAAGRycy9zaGFwZXhtbC54bWxQSwUGAAAAAAYABgBbAQAA&#10;tAMAAAAA&#10;">
                  <v:fill on="f" focussize="0,0"/>
                  <v:stroke on="f"/>
                  <v:imagedata o:title=""/>
                  <o:lock v:ext="edit" aspectratio="f"/>
                  <v:textbox inset="5.6159842519685pt,2.80803149606299pt,5.6159842519685pt,2.80803149606299pt">
                    <w:txbxContent>
                      <w:p w14:paraId="20EF3BCA">
                        <w:pPr>
                          <w:pStyle w:val="211"/>
                          <w:rPr>
                            <w:sz w:val="16"/>
                          </w:rPr>
                        </w:pPr>
                        <w:r>
                          <w:rPr>
                            <w:rFonts w:hint="eastAsia"/>
                            <w:sz w:val="16"/>
                          </w:rPr>
                          <w:t>Ex5</w:t>
                        </w:r>
                      </w:p>
                    </w:txbxContent>
                  </v:textbox>
                </v:shape>
                <v:shape id="文本框 65" o:spid="_x0000_s1026" o:spt="202" type="#_x0000_t202" style="position:absolute;left:2160;top:2184;height:468;width:720;" filled="f" stroked="f" coordsize="21600,21600" o:gfxdata="UEsDBAoAAAAAAIdO4kAAAAAAAAAAAAAAAAAEAAAAZHJzL1BLAwQUAAAACACHTuJAWay47bwAAADc&#10;AAAADwAAAGRycy9kb3ducmV2LnhtbEVPS2sCMRC+F/wPYQq91cRuKbKaFSotiKdWPeht3Iy7i5tJ&#10;SLI+/n1TKPQ2H99z5oub7cWFQuwca5iMFQji2pmOGw277efzFERMyAZ7x6ThThEW1ehhjqVxV/6m&#10;yyY1IodwLFFDm5IvpYx1Sxbj2HnizJ1csJgyDI00Aa853PbyRak3abHj3NCip2VL9XkzWA0fr+Zw&#10;7O5fxWHq1dqv9rR+D4PWT48TNQOR6Jb+xX/ulcnziwJ+n8kXy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suO28AAAA&#10;3AAAAA8AAAAAAAAAAQAgAAAAIgAAAGRycy9kb3ducmV2LnhtbFBLAQIUABQAAAAIAIdO4kAzLwWe&#10;OwAAADkAAAAQAAAAAAAAAAEAIAAAAAsBAABkcnMvc2hhcGV4bWwueG1sUEsFBgAAAAAGAAYAWwEA&#10;ALUDAAAAAA==&#10;">
                  <v:fill on="f" focussize="0,0"/>
                  <v:stroke on="f"/>
                  <v:imagedata o:title=""/>
                  <o:lock v:ext="edit" aspectratio="f"/>
                  <v:textbox inset="5.6159842519685pt,2.80803149606299pt,5.6159842519685pt,2.80803149606299pt">
                    <w:txbxContent>
                      <w:p w14:paraId="5FAF9CDB">
                        <w:pPr>
                          <w:pStyle w:val="211"/>
                          <w:rPr>
                            <w:sz w:val="16"/>
                          </w:rPr>
                        </w:pPr>
                        <w:r>
                          <w:rPr>
                            <w:rFonts w:hint="eastAsia"/>
                            <w:sz w:val="16"/>
                          </w:rPr>
                          <w:t>Ex2</w:t>
                        </w:r>
                      </w:p>
                    </w:txbxContent>
                  </v:textbox>
                </v:shape>
                <v:shape id="文本框 66" o:spid="_x0000_s1026" o:spt="202" type="#_x0000_t202" style="position:absolute;left:7200;top:2184;height:468;width:720;" filled="f" stroked="f" coordsize="21600,21600" o:gfxdata="UEsDBAoAAAAAAIdO4kAAAAAAAAAAAAAAAAAEAAAAZHJzL1BLAwQUAAAACACHTuJA1kUgmbsAAADc&#10;AAAADwAAAGRycy9kb3ducmV2LnhtbEVPS2sCMRC+C/6HMEJvmvigyGoULBXEU6se9DZuxt3FzSQk&#10;8fXvm0Kht/n4njNfPm0r7hRi41jDcKBAEJfONFxpOOzX/SmImJANto5Jw4siLBfdzhwL4x78Tfdd&#10;qkQO4VighjolX0gZy5osxoHzxJm7uGAxZRgqaQI+crht5Uipd2mx4dxQo6ePmsrr7mY1fE7M6dy8&#10;vsanqVdbvznSdhVuWr/1hmoGItEz/Yv/3BuT548n8PtMvkA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kUgmbsAAADc&#10;AAAADwAAAAAAAAABACAAAAAiAAAAZHJzL2Rvd25yZXYueG1sUEsBAhQAFAAAAAgAh07iQDMvBZ47&#10;AAAAOQAAABAAAAAAAAAAAQAgAAAACgEAAGRycy9zaGFwZXhtbC54bWxQSwUGAAAAAAYABgBbAQAA&#10;tAMAAAAA&#10;">
                  <v:fill on="f" focussize="0,0"/>
                  <v:stroke on="f"/>
                  <v:imagedata o:title=""/>
                  <o:lock v:ext="edit" aspectratio="f"/>
                  <v:textbox inset="5.6159842519685pt,2.80803149606299pt,5.6159842519685pt,2.80803149606299pt">
                    <w:txbxContent>
                      <w:p w14:paraId="1BD980B4">
                        <w:pPr>
                          <w:pStyle w:val="211"/>
                          <w:rPr>
                            <w:sz w:val="16"/>
                          </w:rPr>
                        </w:pPr>
                        <w:r>
                          <w:rPr>
                            <w:rFonts w:hint="eastAsia"/>
                            <w:sz w:val="16"/>
                          </w:rPr>
                          <w:t>Ex6</w:t>
                        </w:r>
                      </w:p>
                    </w:txbxContent>
                  </v:textbox>
                </v:shape>
                <w10:wrap type="none"/>
                <w10:anchorlock/>
              </v:group>
            </w:pict>
          </mc:Fallback>
        </mc:AlternateContent>
      </w:r>
    </w:p>
    <w:p w14:paraId="72E49B91">
      <w:pPr>
        <w:pageBreakBefore w:val="0"/>
        <w:wordWrap/>
        <w:bidi w:val="0"/>
        <w:adjustRightInd w:val="0"/>
        <w:snapToGrid w:val="0"/>
        <w:spacing w:line="360" w:lineRule="auto"/>
        <w:ind w:firstLine="422" w:firstLineChars="200"/>
        <w:jc w:val="center"/>
        <w:outlineLvl w:val="9"/>
        <w:rPr>
          <w:rFonts w:ascii="宋体" w:hAnsi="宋体"/>
          <w:b/>
          <w:szCs w:val="21"/>
        </w:rPr>
      </w:pPr>
      <w:r>
        <w:rPr>
          <w:rFonts w:hint="eastAsia" w:ascii="宋体" w:hAnsi="宋体"/>
          <w:b/>
          <w:szCs w:val="21"/>
        </w:rPr>
        <w:t>图4-3  可控源音频大地电磁法接收装置示意图</w:t>
      </w:r>
    </w:p>
    <w:p w14:paraId="1ED9BB0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4.电极连线，磁棒连线及其他电缆均不能悬空放置，原地压实，防止晃动干扰。</w:t>
      </w:r>
    </w:p>
    <w:p w14:paraId="5B1F79A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5.水平磁棒的方位（Hy）采用森林罗盘定位，方位误差小于2°，采用水平尺校正磁棒，确保磁棒按照正确的方位水平放置。</w:t>
      </w:r>
    </w:p>
    <w:p w14:paraId="0770E7F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6.待仪器锁定卫星信号并确认仪器的各项参数正常后，数据采集人员便可通知发射系统操作人员进行发射，调整仪器的增益，然后系统开始自动逐个频率点测量，保证饱和点记录不超过2-5%，可在测线上随机选一个测点进行试验，确定增益的大小。</w:t>
      </w:r>
    </w:p>
    <w:p w14:paraId="09DA6FB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7.测量时，随时观察屏幕上显示的曲线，从曲线的整体形态上判断是否有畸变点，遇畸变点较多时及时检查观测。干扰较大时，及时增加叠加次数,当相邻测点曲线形态有较大变化时，及时进行重复观测。</w:t>
      </w:r>
    </w:p>
    <w:p w14:paraId="661C7DB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8.观测频率范围：根据穿透深度公式</w:t>
      </w:r>
      <w:r>
        <w:rPr>
          <w:rFonts w:hint="eastAsia" w:ascii="仿宋" w:hAnsi="仿宋" w:eastAsia="仿宋" w:cs="仿宋"/>
          <w:sz w:val="24"/>
          <w:szCs w:val="24"/>
        </w:rPr>
        <w:object>
          <v:shape id="_x0000_i1135" o:spt="75" type="#_x0000_t75" style="height:27.75pt;width:52.5pt;" o:ole="t" filled="f" o:preferrelative="t" stroked="f" coordsize="21600,21600">
            <v:path/>
            <v:fill on="f" focussize="0,0"/>
            <v:stroke on="f" joinstyle="miter"/>
            <v:imagedata r:id="rId259" o:title=""/>
            <o:lock v:ext="edit" aspectratio="t"/>
            <w10:wrap type="none"/>
            <w10:anchorlock/>
          </v:shape>
          <o:OLEObject Type="Embed" ProgID="Equation.3" ShapeID="_x0000_i1135" DrawAspect="Content" ObjectID="_1468075835" r:id="rId258">
            <o:LockedField>false</o:LockedField>
          </o:OLEObject>
        </w:object>
      </w:r>
      <w:r>
        <w:rPr>
          <w:rFonts w:hint="eastAsia" w:ascii="仿宋" w:hAnsi="仿宋" w:eastAsia="仿宋" w:cs="仿宋"/>
          <w:sz w:val="24"/>
          <w:szCs w:val="24"/>
        </w:rPr>
        <w:t>（m），结合工区的背景电阻率值确定所需的最低频率。</w:t>
      </w:r>
    </w:p>
    <w:p w14:paraId="6202B39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9.记录：采用统一的野外观测班报，原始记录一律用铅笔书写，字迹应认真填写，要清晰、完整，不得追记和转抄。操作员和记录员必须签名。记录错时允许划改并注明原因，严禁涂改或擦改。</w:t>
      </w:r>
    </w:p>
    <w:p w14:paraId="29A9F8B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10.每天检测不极化电极的极差，在测点数据采集前后均对不极化电极的极差进行检测，保证了配对的固体不极化电极的极差小于2mv；做好数据的备份工作，并及时进行数据的处理工作，确保了采集数据的质量满足规范的要求。</w:t>
      </w:r>
    </w:p>
    <w:p w14:paraId="2CF455F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11.车载电台设在地形开阔处，遇通讯困难时增设中转站。当测站进行观测时，关闭对讲机、电台等通讯设施，防止其对数据的干扰。</w:t>
      </w:r>
    </w:p>
    <w:p w14:paraId="6000F22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(五)质量检查</w:t>
      </w:r>
    </w:p>
    <w:p w14:paraId="48712E6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野外观测系统质量检查工作要根据生产情况，安排在整个工作过程中，在时间、地段上都要有一定的代表性，要求由不同操作员、在不同时间（可同天）对同一点进行观测的原则。要求系统质检工作量不小于总工作量的3%。</w:t>
      </w:r>
    </w:p>
    <w:p w14:paraId="683AEC8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检查工作精度以相对均方误差评价，检查观测结果要按下公式计算其均方相对误差，并相对均方误差m应小于规范要求的5%。相对均方误差m的计算按下式进行。</w:t>
      </w:r>
    </w:p>
    <w:p w14:paraId="051B4BE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drawing>
          <wp:inline distT="0" distB="0" distL="0" distR="0">
            <wp:extent cx="1794510" cy="750570"/>
            <wp:effectExtent l="0" t="0" r="5715" b="1905"/>
            <wp:docPr id="135" name="图片 135" descr="说明: 均方根误差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说明: 均方根误差公式"/>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a:xfrm>
                      <a:off x="0" y="0"/>
                      <a:ext cx="1794510" cy="750570"/>
                    </a:xfrm>
                    <a:prstGeom prst="rect">
                      <a:avLst/>
                    </a:prstGeom>
                    <a:noFill/>
                    <a:ln>
                      <a:noFill/>
                    </a:ln>
                  </pic:spPr>
                </pic:pic>
              </a:graphicData>
            </a:graphic>
          </wp:inline>
        </w:drawing>
      </w:r>
    </w:p>
    <w:p w14:paraId="0B1872C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w:t>
      </w:r>
    </w:p>
    <w:p w14:paraId="5CBFDD9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i---频点号（i=1,2,3…n）;</w:t>
      </w:r>
    </w:p>
    <w:p w14:paraId="7221C4B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Ai---第i个频点的视电阻率或相位；</w:t>
      </w:r>
    </w:p>
    <w:p w14:paraId="10B9AD5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Ai′---第i个频点的检查观测的视电阻率或相位</w:t>
      </w:r>
    </w:p>
    <w:p w14:paraId="41E94A05">
      <w:pPr>
        <w:pageBreakBefore w:val="0"/>
        <w:wordWrap/>
        <w:bidi w:val="0"/>
        <w:spacing w:line="480" w:lineRule="auto"/>
        <w:ind w:firstLine="560"/>
        <w:outlineLvl w:val="9"/>
        <w:rPr>
          <w:rFonts w:ascii="仿宋" w:hAnsi="仿宋" w:eastAsia="仿宋" w:cs="仿宋"/>
          <w:sz w:val="24"/>
          <w:szCs w:val="24"/>
        </w:rPr>
      </w:pPr>
    </w:p>
    <w:p w14:paraId="19C221F2">
      <w:pPr>
        <w:rPr>
          <w:rFonts w:hint="eastAsia" w:ascii="仿宋" w:hAnsi="仿宋" w:eastAsia="仿宋" w:cs="仿宋"/>
          <w:b/>
          <w:bCs/>
          <w:sz w:val="24"/>
          <w:szCs w:val="24"/>
        </w:rPr>
      </w:pPr>
      <w:r>
        <w:rPr>
          <w:rFonts w:hint="eastAsia" w:ascii="仿宋" w:hAnsi="仿宋" w:eastAsia="仿宋" w:cs="仿宋"/>
          <w:b/>
          <w:bCs/>
          <w:sz w:val="24"/>
          <w:szCs w:val="24"/>
        </w:rPr>
        <w:br w:type="page"/>
      </w:r>
    </w:p>
    <w:p w14:paraId="04868CEB">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1"/>
        <w:rPr>
          <w:rFonts w:ascii="仿宋" w:hAnsi="仿宋" w:eastAsia="仿宋" w:cs="仿宋"/>
          <w:b/>
          <w:bCs/>
          <w:sz w:val="24"/>
          <w:szCs w:val="24"/>
        </w:rPr>
      </w:pPr>
      <w:r>
        <w:rPr>
          <w:rFonts w:hint="eastAsia" w:ascii="仿宋" w:hAnsi="仿宋" w:eastAsia="仿宋" w:cs="仿宋"/>
          <w:b/>
          <w:bCs/>
          <w:sz w:val="24"/>
          <w:szCs w:val="24"/>
          <w:lang w:val="en-US" w:eastAsia="zh-CN"/>
        </w:rPr>
        <w:t>④、</w:t>
      </w:r>
      <w:r>
        <w:rPr>
          <w:rFonts w:hint="eastAsia" w:ascii="仿宋" w:hAnsi="仿宋" w:eastAsia="仿宋" w:cs="仿宋"/>
          <w:b/>
          <w:bCs/>
          <w:sz w:val="24"/>
          <w:szCs w:val="24"/>
        </w:rPr>
        <w:t>新疆阿图什市喀拉别勒斯一带铜矿调查评价</w:t>
      </w:r>
    </w:p>
    <w:p w14:paraId="546371E1">
      <w:pPr>
        <w:keepNext w:val="0"/>
        <w:keepLines w:val="0"/>
        <w:pageBreakBefore w:val="0"/>
        <w:widowControl w:val="0"/>
        <w:kinsoku/>
        <w:wordWrap/>
        <w:topLinePunct w:val="0"/>
        <w:bidi w:val="0"/>
        <w:spacing w:line="360" w:lineRule="auto"/>
        <w:ind w:firstLine="482" w:firstLineChars="200"/>
        <w:textAlignment w:val="auto"/>
        <w:outlineLvl w:val="9"/>
        <w:rPr>
          <w:rFonts w:ascii="仿宋" w:hAnsi="仿宋" w:eastAsia="仿宋" w:cs="仿宋"/>
          <w:b/>
          <w:bCs/>
          <w:sz w:val="24"/>
          <w:szCs w:val="24"/>
        </w:rPr>
      </w:pPr>
      <w:r>
        <w:rPr>
          <w:rFonts w:hint="eastAsia" w:ascii="仿宋" w:hAnsi="仿宋" w:eastAsia="仿宋" w:cs="仿宋"/>
          <w:b/>
          <w:bCs/>
          <w:sz w:val="24"/>
          <w:szCs w:val="24"/>
        </w:rPr>
        <w:t>一、服务内容：</w:t>
      </w:r>
    </w:p>
    <w:p w14:paraId="1A44F703">
      <w:pPr>
        <w:keepNext w:val="0"/>
        <w:keepLines w:val="0"/>
        <w:pageBreakBefore w:val="0"/>
        <w:widowControl w:val="0"/>
        <w:kinsoku/>
        <w:wordWrap/>
        <w:topLinePunct w:val="0"/>
        <w:bidi w:val="0"/>
        <w:adjustRightInd w:val="0"/>
        <w:snapToGrid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工作区位于新疆巴里坤县西部索尔巴斯陶一带，东距巴里坤县城约80千米，工作区以北3～5千米处有木垒县-巴里坤县的S303省道,距附近最大的居民点沙尔乔克乡仅30千米，交通条件较为便利。工作区总体属于中低山丘陵区，海拔高度在2000米左右。地形切割较大，相对高差达100-300米，地形坡度在10-25°之间，山势较为陡峭。塔克尔巴斯陶-索尔巴斯陶金矿一带附近有常年不枯的井泉三处,涌水量较大,水质较好，可供饮用，为生产、生活提供了水资源保障。</w:t>
      </w:r>
    </w:p>
    <w:p w14:paraId="183CE82E">
      <w:pPr>
        <w:keepNext w:val="0"/>
        <w:keepLines w:val="0"/>
        <w:pageBreakBefore w:val="0"/>
        <w:widowControl w:val="0"/>
        <w:kinsoku/>
        <w:wordWrap/>
        <w:topLinePunct w:val="0"/>
        <w:bidi w:val="0"/>
        <w:adjustRightInd w:val="0"/>
        <w:snapToGrid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工作区地处准噶尔盆地的东南缘，每年十月开始降雪，次年四月底积雪全部融化。区内无固定居民点，仅有季节性牧民放牧，在沙尔乔克乡周边至索尔巴斯陶金矿一带才有了居民点。索尔巴斯陶金矿有矿山建设及采矿人员居住，所需物资由巴里坤县、哈密市、木垒县、奇台县等地供应。</w:t>
      </w:r>
    </w:p>
    <w:p w14:paraId="495AF134">
      <w:pPr>
        <w:keepNext w:val="0"/>
        <w:keepLines w:val="0"/>
        <w:pageBreakBefore w:val="0"/>
        <w:widowControl w:val="0"/>
        <w:kinsoku/>
        <w:wordWrap/>
        <w:topLinePunct w:val="0"/>
        <w:bidi w:val="0"/>
        <w:adjustRightInd w:val="0"/>
        <w:snapToGrid w:val="0"/>
        <w:spacing w:line="360" w:lineRule="auto"/>
        <w:ind w:firstLine="482" w:firstLineChars="200"/>
        <w:textAlignment w:val="auto"/>
        <w:outlineLvl w:val="9"/>
        <w:rPr>
          <w:rFonts w:ascii="仿宋" w:hAnsi="仿宋" w:eastAsia="仿宋" w:cs="仿宋"/>
          <w:sz w:val="24"/>
          <w:szCs w:val="24"/>
        </w:rPr>
      </w:pPr>
      <w:r>
        <w:rPr>
          <w:rFonts w:hint="eastAsia" w:ascii="仿宋" w:hAnsi="仿宋" w:eastAsia="仿宋" w:cs="仿宋"/>
          <w:b/>
          <w:bCs/>
          <w:sz w:val="24"/>
          <w:szCs w:val="24"/>
        </w:rPr>
        <w:t>二、工作量</w:t>
      </w:r>
      <w:r>
        <w:rPr>
          <w:rFonts w:hint="eastAsia" w:ascii="仿宋" w:hAnsi="仿宋" w:eastAsia="仿宋" w:cs="仿宋"/>
          <w:sz w:val="24"/>
          <w:szCs w:val="24"/>
        </w:rPr>
        <w:t>：1∶1万激电剖面测量30千米；激电测深32点。</w:t>
      </w:r>
    </w:p>
    <w:p w14:paraId="34F3ABAF">
      <w:pPr>
        <w:keepNext w:val="0"/>
        <w:keepLines w:val="0"/>
        <w:pageBreakBefore w:val="0"/>
        <w:widowControl w:val="0"/>
        <w:kinsoku/>
        <w:wordWrap/>
        <w:topLinePunct w:val="0"/>
        <w:bidi w:val="0"/>
        <w:adjustRightInd w:val="0"/>
        <w:snapToGrid w:val="0"/>
        <w:spacing w:line="360" w:lineRule="auto"/>
        <w:ind w:firstLine="482" w:firstLineChars="200"/>
        <w:textAlignment w:val="auto"/>
        <w:outlineLvl w:val="9"/>
        <w:rPr>
          <w:rFonts w:ascii="仿宋" w:hAnsi="仿宋" w:eastAsia="仿宋" w:cs="仿宋"/>
          <w:b/>
          <w:bCs/>
          <w:sz w:val="24"/>
          <w:szCs w:val="24"/>
        </w:rPr>
      </w:pPr>
      <w:r>
        <w:rPr>
          <w:rFonts w:hint="eastAsia" w:ascii="仿宋" w:hAnsi="仿宋" w:eastAsia="仿宋" w:cs="仿宋"/>
          <w:b/>
          <w:bCs/>
          <w:sz w:val="24"/>
          <w:szCs w:val="24"/>
        </w:rPr>
        <w:t>三、技术要求：</w:t>
      </w:r>
    </w:p>
    <w:p w14:paraId="4153C72E">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本次工作采用激发极化法，目的是对已知的异常、矿化蚀变带进行解剖，寻找深部硫化物型金、铜等多金属矿产。剖面布设以控制区内主要Au、Cu高值异常或矿化蚀变带为原则，剖面线距根据矿化蚀变实际规模可适当调整。对成矿条件较好地段配合开展激点测深，确定异常体顶端埋深、延伸和产状变化等特征，为钻探工程验证提供参考依据。</w:t>
      </w:r>
    </w:p>
    <w:p w14:paraId="345BFD3A">
      <w:pPr>
        <w:keepNext w:val="0"/>
        <w:keepLines w:val="0"/>
        <w:pageBreakBefore w:val="0"/>
        <w:widowControl w:val="0"/>
        <w:kinsoku/>
        <w:wordWrap/>
        <w:topLinePunct w:val="0"/>
        <w:bidi w:val="0"/>
        <w:snapToGrid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1、激电剖面布设</w:t>
      </w:r>
    </w:p>
    <w:p w14:paraId="03B40FEA">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物探剖面的布设采用校正后的GPS卫星定位仪进行剖面端点定位、测绳量距的方式，以满足激电工作测点定位的精度要求。在满足地质设计目的情况下，尽量与土壤地化剖面共线布设或部分共线布设，以加强综合对比研究，部分预留工作量根据工区实际勘查进展再做具体调整。</w:t>
      </w:r>
    </w:p>
    <w:p w14:paraId="03EFAC4F">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激电剖面测量初步确定基本点距为40米，矿化地段或异常地段点距可适当加密为20米，局部段可不受点距限制。测线端点使用20cm×3cm的红布条作醒目标志，每个测点均要用黑色防水记号写明线号点号。其他技术要求参照《物化探测量技术规范》之相关规定。</w:t>
      </w:r>
    </w:p>
    <w:p w14:paraId="43222774">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2、激电剖面工作</w:t>
      </w:r>
    </w:p>
    <w:p w14:paraId="5233206B">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本次时间域激发极化法工作以中华人民共和国地质矿产行业标准《时间域激发极化法技术规定》DZ/T 0070-2016为主要作业依据。</w:t>
      </w:r>
    </w:p>
    <w:p w14:paraId="23DE00BF">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（1）仪器设备</w:t>
      </w:r>
    </w:p>
    <w:p w14:paraId="477D9344">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根据项目的任务目的要求，在充分考虑到方法的有效性、合理的技术参数以及仪器的轻便和稳定性，以及实用性，选用满足规范要求的重庆奔腾数控技术研究所研制的大功率智能激电系统。</w:t>
      </w:r>
    </w:p>
    <w:p w14:paraId="0FC53852">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（2）仪器校验</w:t>
      </w:r>
    </w:p>
    <w:p w14:paraId="3CE45D1A">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①室内标定检查</w:t>
      </w:r>
    </w:p>
    <w:p w14:paraId="32E4876D">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开工前和工作结束后撤离工地前皆应进行一次仪器性能标定检查。</w:t>
      </w:r>
    </w:p>
    <w:p w14:paraId="05ED2A46">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能用标准时间域激电模拟器进行标定检查的接收机，应用同一模拟器对各台仪器进行准确性和一致性标定检查。</w:t>
      </w:r>
    </w:p>
    <w:p w14:paraId="192D6A97">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用标准时间域激电模拟器进行标定检查接收机时，应选用△U1为1mV～100mV，且在2％～20％之间选择三个极化率值的标准输出信号对接收机做标定检测，其电位和极化率测量精度均应满足规范要求。</w:t>
      </w:r>
    </w:p>
    <w:p w14:paraId="3B2029D9">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②精度剖面实测检验</w:t>
      </w:r>
    </w:p>
    <w:p w14:paraId="6BA9596C">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在野外工作前，仪器精度应进行精度剖面实测检验，检验内容、方法流程和合格标准如下：</w:t>
      </w:r>
    </w:p>
    <w:p w14:paraId="56D013F7">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内容：每台仪器沿剖面往返观测计算各自观测精度，多台仪器应做一致性检验；</w:t>
      </w:r>
    </w:p>
    <w:p w14:paraId="4B21FAEE">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方法流程：选择一条极化率有明显变化的异常地段剖面，测点数大于20个，选择AB、MN和I尽可能使△U1在30mV以上。每台仪器在相同条件下往返观测计算均方相对误差。多台仪器取均方相对误差最小的一台仪器为“标准”，分别计算各台仪器与“标准”仪器的均方相对误</w:t>
      </w:r>
    </w:p>
    <w:p w14:paraId="0DF1593D">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误差合格标准与选用：若某仪器的均方相对误差大于设计精度的三分之二，应对该仪器调试，使其达到要求或不在本区使用。多台可用仪器的一致性误差可选合格均方误差值中最大者。</w:t>
      </w:r>
    </w:p>
    <w:p w14:paraId="62D21A24">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（3）技术参数试验</w:t>
      </w:r>
    </w:p>
    <w:p w14:paraId="76BDDFC5">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为确定最佳工作参数，选取工作区典型剖面进行工作参数试验。结合工作区地质条件试验内容侧重于电极距选择、供电脉宽选择、延时选择等试验。</w:t>
      </w:r>
    </w:p>
    <w:p w14:paraId="44D656B5">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①电极距（AB距、MN距）选择</w:t>
      </w:r>
    </w:p>
    <w:p w14:paraId="70E767C6">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供电极距的大小对勘探深度影响较为明显，过小的供电极距电流激发地质体深度较浅，所测数据仅反映浅部近地表信息；而过大的供电极距势必造成外阻增大，电流分散，亦不能达到较好的工作效果，并且供电极距增大到一定程度，深部信息亦不能有效提取，因此选择一个最佳的供电极距是试验工作重要内容之一。选择的供电极距应能同时满足探测深度，水平分辨率和一次场△U1（或总场△U）幅度的要求。即要求一次场△U1（或总场△U）大于或等于5mV，有干扰时应明显大于干扰强度且不低于10mV;△U2一般要求大于0.3mV,在干扰较小的地区，应大于1mV,在明显干扰的地区，△U2宜大于干扰信号幅度的3倍。在满足上述条件的情况下，如果电源功率允许，宜选用较大AB距。</w:t>
      </w:r>
    </w:p>
    <w:p w14:paraId="2062CCAC">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初步确定试验900米、1200米和1500米两个不同的供电极距参数组合。接收极距MN应满足MN=（1/50～1/25）AB，并等于1倍或2倍测点距。</w:t>
      </w:r>
    </w:p>
    <w:p w14:paraId="4C7E6E58">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②供电脉宽选择（T）</w:t>
      </w:r>
    </w:p>
    <w:p w14:paraId="40A6B02A">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原则是在满足抗干扰和探深的前提下兼顾工作效率，标准为已知目标体上视极化率异常且相对背景值的衬度值较大（一般不小于2%）。</w:t>
      </w:r>
    </w:p>
    <w:p w14:paraId="4AE6F67C">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选择</w:t>
      </w:r>
      <w:r>
        <w:rPr>
          <w:rFonts w:hint="eastAsia" w:ascii="仿宋" w:hAnsi="仿宋" w:eastAsia="仿宋" w:cs="仿宋"/>
          <w:sz w:val="24"/>
          <w:szCs w:val="24"/>
          <w:highlight w:val="none"/>
        </w:rPr>
        <w:t>8s供电脉宽开展试验，当实验结果符合上述标准和原则时，选定8s</w:t>
      </w:r>
      <w:r>
        <w:rPr>
          <w:rFonts w:hint="eastAsia" w:ascii="仿宋" w:hAnsi="仿宋" w:eastAsia="仿宋" w:cs="仿宋"/>
          <w:sz w:val="24"/>
          <w:szCs w:val="24"/>
        </w:rPr>
        <w:t>作为供电脉宽；否则加宽或缩短供电脉宽继续试验，直至选择出符合要求的供电脉宽。</w:t>
      </w:r>
    </w:p>
    <w:p w14:paraId="45DBB944">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③延时选择</w:t>
      </w:r>
    </w:p>
    <w:p w14:paraId="077A1F5C">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延时选择主要通过不同极距、不同电阻率、不同地质体上的放电曲线来确定，应满足避让电磁感应，兼顾提高二次场△U2的幅度，在电磁耦合较强的情况下，延时一般应不小于100ms。</w:t>
      </w:r>
    </w:p>
    <w:p w14:paraId="225E7E2C">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（4）野外观测</w:t>
      </w:r>
    </w:p>
    <w:p w14:paraId="2A345D5C">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每天出工前，方法组长应将当天的任务分工和注意事项向全组人员交待清楚，并对仪器、设备、工具、安全用品等进行检查；操作员应检查仪器电池电压，应大于9V以上，检查本台班设备、物资是否齐全。发射员应检查发电机、汽油、机油并进行试车，供电前应检查供电导线绝缘电阻大于2MΩ/km，测量导线绝缘电阻大于5MΩ/km，检查AB极位置并做记录。</w:t>
      </w:r>
    </w:p>
    <w:p w14:paraId="6E3A5EAF">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供电电极采用铝簿。测量电极采用不极化电极，要求内阻小于1kΩ，测量电极、供电电极坑均应预先浇水以改善接地条件，保证接地电阻小于7kΩ，越小越好。</w:t>
      </w:r>
    </w:p>
    <w:p w14:paraId="056CF150">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工作中记录电流变化应不大于2％，如果电流变化较大或断电，应通知台班并做记录。</w:t>
      </w:r>
    </w:p>
    <w:p w14:paraId="60A1C409">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另外对异常点、畸变点操作员要及时通知相邻测量组进行质量检查工作，确保测量数据准确无误。</w:t>
      </w:r>
    </w:p>
    <w:p w14:paraId="0F5074D1">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对异常段应进行加密观测，对有意义、不完整异常要进行控制观测。</w:t>
      </w:r>
    </w:p>
    <w:p w14:paraId="2906B0F5">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操作员应携带记录本并做好表头记录，多重复点、作废点、地质地形、地貌做必要的备注，并作为原始资料的一部分。</w:t>
      </w:r>
    </w:p>
    <w:p w14:paraId="1FD7E704">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（5）资料整理</w:t>
      </w:r>
    </w:p>
    <w:p w14:paraId="1721A694">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操作员每天收工后及时将接收机记录的数据传入计算机后，与GPS记录的点线号进行实测坐标值的配对。然后对记录本的记录质量、加点、丢点完成物理点数等，如实填入登记表中，同时进行100％自检、互检验收，对不合格的工作量及时进行返工处理。内业人员将合格的原始数据备份在计算机中并进行各项（仪器一致性、视电阻率、精度计算等）计算。</w:t>
      </w:r>
    </w:p>
    <w:p w14:paraId="1F9EA10A">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①根据AB和MN电极和测点坐标计算装置系数κ值。依据实测参数一次场电位差(△U)、供电电流(I)、κ值计算测点视电阻率值（ρs)。对剖面连接点、重复观测点，ρs、ηs值取算术平均法为测点值。</w:t>
      </w:r>
    </w:p>
    <w:p w14:paraId="291A945D">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②不可靠异常点剔除：在充分熟悉工区地质特点，对可能引起激电异常的地质体种类进行辨识，在结合实测的均方误差和异常点数判断测点的可靠程度。一般单异常点为不可靠点，而有两个以上连续点有显示的为可靠异常。结合以上两点对畸变点、突跳点、干扰点进行剔除和圆滑。</w:t>
      </w:r>
    </w:p>
    <w:p w14:paraId="0028D58C">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③ηs异常背景值：把背景地段的视极化率值求其算数平均值，即为背景值。</w:t>
      </w:r>
    </w:p>
    <w:p w14:paraId="5027BBF0">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④ηs异常下限为</w:t>
      </w:r>
      <m:oMath>
        <m:sSub>
          <m:sSubPr>
            <m:ctrlPr>
              <w:rPr>
                <w:rFonts w:hint="eastAsia" w:ascii="Cambria Math" w:hAnsi="Cambria Math" w:eastAsia="仿宋" w:cs="仿宋"/>
                <w:sz w:val="24"/>
                <w:szCs w:val="24"/>
              </w:rPr>
            </m:ctrlPr>
          </m:sSubPr>
          <m:e>
            <m:r>
              <m:rPr/>
              <w:rPr>
                <w:rFonts w:hint="eastAsia" w:ascii="Cambria Math" w:hAnsi="Cambria Math" w:eastAsia="仿宋" w:cs="仿宋"/>
                <w:sz w:val="24"/>
                <w:szCs w:val="24"/>
              </w:rPr>
              <m:t>η</m:t>
            </m:r>
            <m:ctrlPr>
              <w:rPr>
                <w:rFonts w:hint="eastAsia" w:ascii="Cambria Math" w:hAnsi="Cambria Math" w:eastAsia="仿宋" w:cs="仿宋"/>
                <w:sz w:val="24"/>
                <w:szCs w:val="24"/>
              </w:rPr>
            </m:ctrlPr>
          </m:e>
          <m:sub>
            <m:r>
              <m:rPr/>
              <w:rPr>
                <w:rFonts w:hint="eastAsia" w:ascii="Cambria Math" w:hAnsi="Cambria Math" w:eastAsia="仿宋" w:cs="仿宋"/>
                <w:sz w:val="24"/>
                <w:szCs w:val="24"/>
              </w:rPr>
              <m:t>sx</m:t>
            </m:r>
            <m:ctrlPr>
              <w:rPr>
                <w:rFonts w:hint="eastAsia" w:ascii="Cambria Math" w:hAnsi="Cambria Math" w:eastAsia="仿宋" w:cs="仿宋"/>
                <w:sz w:val="24"/>
                <w:szCs w:val="24"/>
              </w:rPr>
            </m:ctrlPr>
          </m:sub>
        </m:sSub>
        <m:r>
          <m:rPr>
            <m:sty m:val="p"/>
          </m:rPr>
          <w:rPr>
            <w:rFonts w:hint="eastAsia" w:ascii="Cambria Math" w:hAnsi="Cambria Math" w:eastAsia="仿宋" w:cs="仿宋"/>
            <w:sz w:val="24"/>
            <w:szCs w:val="24"/>
          </w:rPr>
          <m:t>=</m:t>
        </m:r>
        <m:sSub>
          <m:sSubPr>
            <m:ctrlPr>
              <w:rPr>
                <w:rFonts w:hint="eastAsia" w:ascii="Cambria Math" w:hAnsi="Cambria Math" w:eastAsia="仿宋" w:cs="仿宋"/>
                <w:sz w:val="24"/>
                <w:szCs w:val="24"/>
              </w:rPr>
            </m:ctrlPr>
          </m:sSubPr>
          <m:e>
            <m:r>
              <m:rPr/>
              <w:rPr>
                <w:rFonts w:hint="eastAsia" w:ascii="Cambria Math" w:hAnsi="Cambria Math" w:eastAsia="仿宋" w:cs="仿宋"/>
                <w:sz w:val="24"/>
                <w:szCs w:val="24"/>
              </w:rPr>
              <m:t>η</m:t>
            </m:r>
            <m:ctrlPr>
              <w:rPr>
                <w:rFonts w:hint="eastAsia" w:ascii="Cambria Math" w:hAnsi="Cambria Math" w:eastAsia="仿宋" w:cs="仿宋"/>
                <w:sz w:val="24"/>
                <w:szCs w:val="24"/>
              </w:rPr>
            </m:ctrlPr>
          </m:e>
          <m:sub>
            <m:r>
              <m:rPr/>
              <w:rPr>
                <w:rFonts w:hint="eastAsia" w:ascii="Cambria Math" w:hAnsi="Cambria Math" w:eastAsia="仿宋" w:cs="仿宋"/>
                <w:sz w:val="24"/>
                <w:szCs w:val="24"/>
              </w:rPr>
              <m:t>sb</m:t>
            </m:r>
            <m:ctrlPr>
              <w:rPr>
                <w:rFonts w:hint="eastAsia" w:ascii="Cambria Math" w:hAnsi="Cambria Math" w:eastAsia="仿宋" w:cs="仿宋"/>
                <w:sz w:val="24"/>
                <w:szCs w:val="24"/>
              </w:rPr>
            </m:ctrlPr>
          </m:sub>
        </m:sSub>
        <m:r>
          <m:rPr>
            <m:sty m:val="p"/>
          </m:rPr>
          <w:rPr>
            <w:rFonts w:hint="eastAsia" w:ascii="Cambria Math" w:hAnsi="Cambria Math" w:eastAsia="仿宋" w:cs="仿宋"/>
            <w:sz w:val="24"/>
            <w:szCs w:val="24"/>
          </w:rPr>
          <m:t>+</m:t>
        </m:r>
        <m:d>
          <m:dPr>
            <m:ctrlPr>
              <w:rPr>
                <w:rFonts w:hint="eastAsia" w:ascii="Cambria Math" w:hAnsi="Cambria Math" w:eastAsia="仿宋" w:cs="仿宋"/>
                <w:sz w:val="24"/>
                <w:szCs w:val="24"/>
              </w:rPr>
            </m:ctrlPr>
          </m:dPr>
          <m:e>
            <m:r>
              <m:rPr>
                <m:sty m:val="p"/>
              </m:rPr>
              <w:rPr>
                <w:rFonts w:hint="eastAsia" w:ascii="Cambria Math" w:hAnsi="Cambria Math" w:eastAsia="仿宋" w:cs="仿宋"/>
                <w:sz w:val="24"/>
                <w:szCs w:val="24"/>
              </w:rPr>
              <m:t>1.5~2.5</m:t>
            </m:r>
            <m:ctrlPr>
              <w:rPr>
                <w:rFonts w:hint="eastAsia" w:ascii="Cambria Math" w:hAnsi="Cambria Math" w:eastAsia="仿宋" w:cs="仿宋"/>
                <w:sz w:val="24"/>
                <w:szCs w:val="24"/>
              </w:rPr>
            </m:ctrlPr>
          </m:e>
        </m:d>
        <m:r>
          <m:rPr>
            <m:sty m:val="p"/>
          </m:rPr>
          <w:rPr>
            <w:rFonts w:hint="eastAsia" w:ascii="Cambria Math" w:hAnsi="Cambria Math" w:eastAsia="仿宋" w:cs="仿宋"/>
            <w:sz w:val="24"/>
            <w:szCs w:val="24"/>
          </w:rPr>
          <m:t>×</m:t>
        </m:r>
        <m:r>
          <m:rPr/>
          <w:rPr>
            <w:rFonts w:hint="eastAsia" w:ascii="Cambria Math" w:hAnsi="Cambria Math" w:eastAsia="仿宋" w:cs="仿宋"/>
            <w:sz w:val="24"/>
            <w:szCs w:val="24"/>
          </w:rPr>
          <m:t>N</m:t>
        </m:r>
      </m:oMath>
      <w:r>
        <w:rPr>
          <w:rFonts w:hint="eastAsia" w:ascii="仿宋" w:hAnsi="仿宋" w:eastAsia="仿宋" w:cs="仿宋"/>
          <w:sz w:val="24"/>
          <w:szCs w:val="24"/>
        </w:rPr>
        <w:t>,式中系数（1.5~2.5）决定可异常的置信度。当呈现异常的点数较多（点数＞3个），可取较小值，若仅在个别点（点数＜3个）上呈现异常，则取较大值。N决定于背景值的稳定性和观测精度，若背景值稳定，观测精度为影响异常下限的主要因素，则N取ηs的绝对均方误差值，若背景值不稳定，成为影响异常下限的主要因素，则N取背景值段n个测点的标准离差，按下式算出：</w:t>
      </w:r>
      <m:oMath>
        <m:r>
          <m:rPr>
            <m:sty m:val="p"/>
          </m:rPr>
          <w:rPr>
            <w:rFonts w:hint="eastAsia" w:ascii="Cambria Math" w:hAnsi="Cambria Math" w:eastAsia="仿宋" w:cs="仿宋"/>
            <w:sz w:val="24"/>
            <w:szCs w:val="24"/>
          </w:rPr>
          <m:t>N=±</m:t>
        </m:r>
        <m:rad>
          <m:radPr>
            <m:degHide m:val="1"/>
            <m:ctrlPr>
              <w:rPr>
                <w:rFonts w:hint="eastAsia" w:ascii="Cambria Math" w:hAnsi="Cambria Math" w:eastAsia="仿宋" w:cs="仿宋"/>
                <w:sz w:val="24"/>
                <w:szCs w:val="24"/>
              </w:rPr>
            </m:ctrlPr>
          </m:radPr>
          <m:deg>
            <m:ctrlPr>
              <w:rPr>
                <w:rFonts w:hint="eastAsia" w:ascii="Cambria Math" w:hAnsi="Cambria Math" w:eastAsia="仿宋" w:cs="仿宋"/>
                <w:sz w:val="24"/>
                <w:szCs w:val="24"/>
              </w:rPr>
            </m:ctrlPr>
          </m:deg>
          <m:e>
            <m:f>
              <m:fPr>
                <m:ctrlPr>
                  <w:rPr>
                    <w:rFonts w:hint="eastAsia" w:ascii="Cambria Math" w:hAnsi="Cambria Math" w:eastAsia="仿宋" w:cs="仿宋"/>
                    <w:sz w:val="24"/>
                    <w:szCs w:val="24"/>
                  </w:rPr>
                </m:ctrlPr>
              </m:fPr>
              <m:num>
                <m:r>
                  <m:rPr>
                    <m:sty m:val="p"/>
                  </m:rPr>
                  <w:rPr>
                    <w:rFonts w:hint="eastAsia" w:ascii="Cambria Math" w:hAnsi="Cambria Math" w:eastAsia="仿宋" w:cs="仿宋"/>
                    <w:sz w:val="24"/>
                    <w:szCs w:val="24"/>
                  </w:rPr>
                  <m:t>1</m:t>
                </m:r>
                <m:ctrlPr>
                  <w:rPr>
                    <w:rFonts w:hint="eastAsia" w:ascii="Cambria Math" w:hAnsi="Cambria Math" w:eastAsia="仿宋" w:cs="仿宋"/>
                    <w:sz w:val="24"/>
                    <w:szCs w:val="24"/>
                  </w:rPr>
                </m:ctrlPr>
              </m:num>
              <m:den>
                <m:r>
                  <m:rPr/>
                  <w:rPr>
                    <w:rFonts w:hint="eastAsia" w:ascii="Cambria Math" w:hAnsi="Cambria Math" w:eastAsia="仿宋" w:cs="仿宋"/>
                    <w:sz w:val="24"/>
                    <w:szCs w:val="24"/>
                  </w:rPr>
                  <m:t>n</m:t>
                </m:r>
                <m:r>
                  <m:rPr>
                    <m:sty m:val="p"/>
                  </m:rPr>
                  <w:rPr>
                    <w:rFonts w:ascii="Cambria Math" w:hAnsi="Cambria Math" w:eastAsia="仿宋" w:cs="Cambria Math"/>
                    <w:sz w:val="24"/>
                    <w:szCs w:val="24"/>
                  </w:rPr>
                  <m:t>−</m:t>
                </m:r>
                <m:r>
                  <m:rPr>
                    <m:sty m:val="p"/>
                  </m:rPr>
                  <w:rPr>
                    <w:rFonts w:hint="eastAsia" w:ascii="Cambria Math" w:hAnsi="Cambria Math" w:eastAsia="仿宋" w:cs="仿宋"/>
                    <w:sz w:val="24"/>
                    <w:szCs w:val="24"/>
                  </w:rPr>
                  <m:t>1</m:t>
                </m:r>
                <m:ctrlPr>
                  <w:rPr>
                    <w:rFonts w:hint="eastAsia" w:ascii="Cambria Math" w:hAnsi="Cambria Math" w:eastAsia="仿宋" w:cs="仿宋"/>
                    <w:sz w:val="24"/>
                    <w:szCs w:val="24"/>
                  </w:rPr>
                </m:ctrlPr>
              </m:den>
            </m:f>
            <m:nary>
              <m:naryPr>
                <m:chr m:val="∑"/>
                <m:limLoc m:val="undOvr"/>
                <m:ctrlPr>
                  <w:rPr>
                    <w:rFonts w:hint="eastAsia" w:ascii="Cambria Math" w:hAnsi="Cambria Math" w:eastAsia="仿宋" w:cs="仿宋"/>
                    <w:sz w:val="24"/>
                    <w:szCs w:val="24"/>
                  </w:rPr>
                </m:ctrlPr>
              </m:naryPr>
              <m:sub>
                <m:r>
                  <m:rPr/>
                  <w:rPr>
                    <w:rFonts w:hint="eastAsia" w:ascii="Cambria Math" w:hAnsi="Cambria Math" w:eastAsia="仿宋" w:cs="仿宋"/>
                    <w:sz w:val="24"/>
                    <w:szCs w:val="24"/>
                  </w:rPr>
                  <m:t>i</m:t>
                </m:r>
                <m:r>
                  <m:rPr>
                    <m:sty m:val="p"/>
                  </m:rPr>
                  <w:rPr>
                    <w:rFonts w:hint="eastAsia" w:ascii="Cambria Math" w:hAnsi="Cambria Math" w:eastAsia="仿宋" w:cs="仿宋"/>
                    <w:sz w:val="24"/>
                    <w:szCs w:val="24"/>
                  </w:rPr>
                  <m:t>=1</m:t>
                </m:r>
                <m:ctrlPr>
                  <w:rPr>
                    <w:rFonts w:hint="eastAsia" w:ascii="Cambria Math" w:hAnsi="Cambria Math" w:eastAsia="仿宋" w:cs="仿宋"/>
                    <w:sz w:val="24"/>
                    <w:szCs w:val="24"/>
                  </w:rPr>
                </m:ctrlPr>
              </m:sub>
              <m:sup>
                <m:r>
                  <m:rPr/>
                  <w:rPr>
                    <w:rFonts w:hint="eastAsia" w:ascii="Cambria Math" w:hAnsi="Cambria Math" w:eastAsia="仿宋" w:cs="仿宋"/>
                    <w:sz w:val="24"/>
                    <w:szCs w:val="24"/>
                  </w:rPr>
                  <m:t>n</m:t>
                </m:r>
                <m:ctrlPr>
                  <w:rPr>
                    <w:rFonts w:hint="eastAsia" w:ascii="Cambria Math" w:hAnsi="Cambria Math" w:eastAsia="仿宋" w:cs="仿宋"/>
                    <w:sz w:val="24"/>
                    <w:szCs w:val="24"/>
                  </w:rPr>
                </m:ctrlPr>
              </m:sup>
              <m:e>
                <m:sSup>
                  <m:sSupPr>
                    <m:ctrlPr>
                      <w:rPr>
                        <w:rFonts w:hint="eastAsia" w:ascii="Cambria Math" w:hAnsi="Cambria Math" w:eastAsia="仿宋" w:cs="仿宋"/>
                        <w:sz w:val="24"/>
                        <w:szCs w:val="24"/>
                      </w:rPr>
                    </m:ctrlPr>
                  </m:sSupPr>
                  <m:e>
                    <m:d>
                      <m:dPr>
                        <m:ctrlPr>
                          <w:rPr>
                            <w:rFonts w:hint="eastAsia" w:ascii="Cambria Math" w:hAnsi="Cambria Math" w:eastAsia="仿宋" w:cs="仿宋"/>
                            <w:sz w:val="24"/>
                            <w:szCs w:val="24"/>
                          </w:rPr>
                        </m:ctrlPr>
                      </m:dPr>
                      <m:e>
                        <m:sSub>
                          <m:sSubPr>
                            <m:ctrlPr>
                              <w:rPr>
                                <w:rFonts w:hint="eastAsia" w:ascii="Cambria Math" w:hAnsi="Cambria Math" w:eastAsia="仿宋" w:cs="仿宋"/>
                                <w:sz w:val="24"/>
                                <w:szCs w:val="24"/>
                              </w:rPr>
                            </m:ctrlPr>
                          </m:sSubPr>
                          <m:e>
                            <m:r>
                              <m:rPr/>
                              <w:rPr>
                                <w:rFonts w:hint="eastAsia" w:ascii="Cambria Math" w:hAnsi="Cambria Math" w:eastAsia="仿宋" w:cs="仿宋"/>
                                <w:sz w:val="24"/>
                                <w:szCs w:val="24"/>
                              </w:rPr>
                              <m:t>η</m:t>
                            </m:r>
                            <m:ctrlPr>
                              <w:rPr>
                                <w:rFonts w:hint="eastAsia" w:ascii="Cambria Math" w:hAnsi="Cambria Math" w:eastAsia="仿宋" w:cs="仿宋"/>
                                <w:sz w:val="24"/>
                                <w:szCs w:val="24"/>
                              </w:rPr>
                            </m:ctrlPr>
                          </m:e>
                          <m:sub>
                            <m:r>
                              <m:rPr/>
                              <w:rPr>
                                <w:rFonts w:hint="eastAsia" w:ascii="Cambria Math" w:hAnsi="Cambria Math" w:eastAsia="仿宋" w:cs="仿宋"/>
                                <w:sz w:val="24"/>
                                <w:szCs w:val="24"/>
                              </w:rPr>
                              <m:t>si</m:t>
                            </m:r>
                            <m:ctrlPr>
                              <w:rPr>
                                <w:rFonts w:hint="eastAsia" w:ascii="Cambria Math" w:hAnsi="Cambria Math" w:eastAsia="仿宋" w:cs="仿宋"/>
                                <w:sz w:val="24"/>
                                <w:szCs w:val="24"/>
                              </w:rPr>
                            </m:ctrlPr>
                          </m:sub>
                        </m:sSub>
                        <m:r>
                          <m:rPr>
                            <m:sty m:val="p"/>
                          </m:rPr>
                          <w:rPr>
                            <w:rFonts w:ascii="Cambria Math" w:hAnsi="Cambria Math" w:eastAsia="仿宋" w:cs="Cambria Math"/>
                            <w:sz w:val="24"/>
                            <w:szCs w:val="24"/>
                          </w:rPr>
                          <m:t>−</m:t>
                        </m:r>
                        <m:acc>
                          <m:accPr>
                            <m:chr m:val="̅"/>
                            <m:ctrlPr>
                              <w:rPr>
                                <w:rFonts w:hint="eastAsia" w:ascii="Cambria Math" w:hAnsi="Cambria Math" w:eastAsia="仿宋" w:cs="仿宋"/>
                                <w:sz w:val="24"/>
                                <w:szCs w:val="24"/>
                              </w:rPr>
                            </m:ctrlPr>
                          </m:accPr>
                          <m:e>
                            <m:sSub>
                              <m:sSubPr>
                                <m:ctrlPr>
                                  <w:rPr>
                                    <w:rFonts w:hint="eastAsia" w:ascii="Cambria Math" w:hAnsi="Cambria Math" w:eastAsia="仿宋" w:cs="仿宋"/>
                                    <w:sz w:val="24"/>
                                    <w:szCs w:val="24"/>
                                  </w:rPr>
                                </m:ctrlPr>
                              </m:sSubPr>
                              <m:e>
                                <m:r>
                                  <m:rPr/>
                                  <w:rPr>
                                    <w:rFonts w:hint="eastAsia" w:ascii="Cambria Math" w:hAnsi="Cambria Math" w:eastAsia="仿宋" w:cs="仿宋"/>
                                    <w:sz w:val="24"/>
                                    <w:szCs w:val="24"/>
                                  </w:rPr>
                                  <m:t>η</m:t>
                                </m:r>
                                <m:ctrlPr>
                                  <w:rPr>
                                    <w:rFonts w:hint="eastAsia" w:ascii="Cambria Math" w:hAnsi="Cambria Math" w:eastAsia="仿宋" w:cs="仿宋"/>
                                    <w:sz w:val="24"/>
                                    <w:szCs w:val="24"/>
                                  </w:rPr>
                                </m:ctrlPr>
                              </m:e>
                              <m:sub>
                                <m:r>
                                  <m:rPr/>
                                  <w:rPr>
                                    <w:rFonts w:hint="eastAsia" w:ascii="Cambria Math" w:hAnsi="Cambria Math" w:eastAsia="仿宋" w:cs="仿宋"/>
                                    <w:sz w:val="24"/>
                                    <w:szCs w:val="24"/>
                                  </w:rPr>
                                  <m:t>s</m:t>
                                </m:r>
                                <m:ctrlPr>
                                  <w:rPr>
                                    <w:rFonts w:hint="eastAsia" w:ascii="Cambria Math" w:hAnsi="Cambria Math" w:eastAsia="仿宋" w:cs="仿宋"/>
                                    <w:sz w:val="24"/>
                                    <w:szCs w:val="24"/>
                                  </w:rPr>
                                </m:ctrlPr>
                              </m:sub>
                            </m:sSub>
                            <m:ctrlPr>
                              <w:rPr>
                                <w:rFonts w:hint="eastAsia" w:ascii="Cambria Math" w:hAnsi="Cambria Math" w:eastAsia="仿宋" w:cs="仿宋"/>
                                <w:sz w:val="24"/>
                                <w:szCs w:val="24"/>
                              </w:rPr>
                            </m:ctrlPr>
                          </m:e>
                        </m:acc>
                        <m:ctrlPr>
                          <w:rPr>
                            <w:rFonts w:hint="eastAsia" w:ascii="Cambria Math" w:hAnsi="Cambria Math" w:eastAsia="仿宋" w:cs="仿宋"/>
                            <w:sz w:val="24"/>
                            <w:szCs w:val="24"/>
                          </w:rPr>
                        </m:ctrlPr>
                      </m:e>
                    </m:d>
                    <m:ctrlPr>
                      <w:rPr>
                        <w:rFonts w:hint="eastAsia" w:ascii="Cambria Math" w:hAnsi="Cambria Math" w:eastAsia="仿宋" w:cs="仿宋"/>
                        <w:sz w:val="24"/>
                        <w:szCs w:val="24"/>
                      </w:rPr>
                    </m:ctrlPr>
                  </m:e>
                  <m:sup>
                    <m:r>
                      <m:rPr>
                        <m:sty m:val="p"/>
                      </m:rPr>
                      <w:rPr>
                        <w:rFonts w:hint="eastAsia" w:ascii="Cambria Math" w:hAnsi="Cambria Math" w:eastAsia="仿宋" w:cs="仿宋"/>
                        <w:sz w:val="24"/>
                        <w:szCs w:val="24"/>
                      </w:rPr>
                      <m:t>2</m:t>
                    </m:r>
                    <m:ctrlPr>
                      <w:rPr>
                        <w:rFonts w:hint="eastAsia" w:ascii="Cambria Math" w:hAnsi="Cambria Math" w:eastAsia="仿宋" w:cs="仿宋"/>
                        <w:sz w:val="24"/>
                        <w:szCs w:val="24"/>
                      </w:rPr>
                    </m:ctrlPr>
                  </m:sup>
                </m:sSup>
                <m:ctrlPr>
                  <w:rPr>
                    <w:rFonts w:hint="eastAsia" w:ascii="Cambria Math" w:hAnsi="Cambria Math" w:eastAsia="仿宋" w:cs="仿宋"/>
                    <w:sz w:val="24"/>
                    <w:szCs w:val="24"/>
                  </w:rPr>
                </m:ctrlPr>
              </m:e>
            </m:nary>
            <m:ctrlPr>
              <w:rPr>
                <w:rFonts w:hint="eastAsia" w:ascii="Cambria Math" w:hAnsi="Cambria Math" w:eastAsia="仿宋" w:cs="仿宋"/>
                <w:sz w:val="24"/>
                <w:szCs w:val="24"/>
              </w:rPr>
            </m:ctrlPr>
          </m:e>
        </m:rad>
      </m:oMath>
      <w:r>
        <w:rPr>
          <w:rFonts w:hint="eastAsia" w:ascii="仿宋" w:hAnsi="仿宋" w:eastAsia="仿宋" w:cs="仿宋"/>
          <w:sz w:val="24"/>
          <w:szCs w:val="24"/>
        </w:rPr>
        <w:t>，</w:t>
      </w:r>
      <m:oMath>
        <m:acc>
          <m:accPr>
            <m:chr m:val="̅"/>
            <m:ctrlPr>
              <w:rPr>
                <w:rFonts w:hint="eastAsia" w:ascii="Cambria Math" w:hAnsi="Cambria Math" w:eastAsia="仿宋" w:cs="仿宋"/>
                <w:sz w:val="24"/>
                <w:szCs w:val="24"/>
              </w:rPr>
            </m:ctrlPr>
          </m:accPr>
          <m:e>
            <m:sSub>
              <m:sSubPr>
                <m:ctrlPr>
                  <w:rPr>
                    <w:rFonts w:hint="eastAsia" w:ascii="Cambria Math" w:hAnsi="Cambria Math" w:eastAsia="仿宋" w:cs="仿宋"/>
                    <w:sz w:val="24"/>
                    <w:szCs w:val="24"/>
                  </w:rPr>
                </m:ctrlPr>
              </m:sSubPr>
              <m:e>
                <m:r>
                  <m:rPr/>
                  <w:rPr>
                    <w:rFonts w:hint="eastAsia" w:ascii="Cambria Math" w:hAnsi="Cambria Math" w:eastAsia="仿宋" w:cs="仿宋"/>
                    <w:sz w:val="24"/>
                    <w:szCs w:val="24"/>
                  </w:rPr>
                  <m:t>η</m:t>
                </m:r>
                <m:ctrlPr>
                  <w:rPr>
                    <w:rFonts w:hint="eastAsia" w:ascii="Cambria Math" w:hAnsi="Cambria Math" w:eastAsia="仿宋" w:cs="仿宋"/>
                    <w:sz w:val="24"/>
                    <w:szCs w:val="24"/>
                  </w:rPr>
                </m:ctrlPr>
              </m:e>
              <m:sub>
                <m:r>
                  <m:rPr/>
                  <w:rPr>
                    <w:rFonts w:hint="eastAsia" w:ascii="Cambria Math" w:hAnsi="Cambria Math" w:eastAsia="仿宋" w:cs="仿宋"/>
                    <w:sz w:val="24"/>
                    <w:szCs w:val="24"/>
                  </w:rPr>
                  <m:t>s</m:t>
                </m:r>
                <m:ctrlPr>
                  <w:rPr>
                    <w:rFonts w:hint="eastAsia" w:ascii="Cambria Math" w:hAnsi="Cambria Math" w:eastAsia="仿宋" w:cs="仿宋"/>
                    <w:sz w:val="24"/>
                    <w:szCs w:val="24"/>
                  </w:rPr>
                </m:ctrlPr>
              </m:sub>
            </m:sSub>
            <m:ctrlPr>
              <w:rPr>
                <w:rFonts w:hint="eastAsia" w:ascii="Cambria Math" w:hAnsi="Cambria Math" w:eastAsia="仿宋" w:cs="仿宋"/>
                <w:sz w:val="24"/>
                <w:szCs w:val="24"/>
              </w:rPr>
            </m:ctrlPr>
          </m:e>
        </m:acc>
      </m:oMath>
      <w:r>
        <w:rPr>
          <w:rFonts w:hint="eastAsia" w:ascii="仿宋" w:hAnsi="仿宋" w:eastAsia="仿宋" w:cs="仿宋"/>
          <w:sz w:val="24"/>
          <w:szCs w:val="24"/>
        </w:rPr>
        <w:t>为背景段的ηs平均值。</w:t>
      </w:r>
    </w:p>
    <w:p w14:paraId="74E5A918">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⑤可靠异常确定：极化率值超过下限，剖面上呈现2个以上连续点的为可靠的异常。闭合异常必须单剖面呈现3个点、三条线上有显示，才可圈定。</w:t>
      </w:r>
    </w:p>
    <w:p w14:paraId="2703FB21">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⑥计算完成后，对数据及计算结果进行100％的校对，确定无误后，制成统一格式的成果表，编绘图件。</w:t>
      </w:r>
    </w:p>
    <w:p w14:paraId="1B6CD4AE">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⑦图件应使用成果数据绘制草图，在草图捡查无误后方成正式图件。主要图件有：实际材料图、剖面图、剖面平面图、等值线图、推断成果图等。</w:t>
      </w:r>
    </w:p>
    <w:p w14:paraId="77C8A946">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（6）质量检查</w:t>
      </w:r>
    </w:p>
    <w:p w14:paraId="6B80370D">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系统质量检查应根据生产情况安排整个野外工作过程中，尽量做到在时间，地段上均有代表性（大致均匀）。应加强对对解释推断、异常验证有重要意义和疑似人文干扰等质量存疑地段的检查。</w:t>
      </w:r>
    </w:p>
    <w:p w14:paraId="489BFFB8">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使用一台仪器工作时采用“二同二不同”（同点位、同仪器、不同操作者、不同日期）方式；使用多台仪器工作时，采用“一同三不同”（同点位、不同仪器、不同操作者、不同日期）方式。</w:t>
      </w:r>
    </w:p>
    <w:p w14:paraId="1F94BFA5">
      <w:pPr>
        <w:keepNext w:val="0"/>
        <w:keepLines w:val="0"/>
        <w:pageBreakBefore w:val="0"/>
        <w:widowControl w:val="0"/>
        <w:kinsoku/>
        <w:wordWrap/>
        <w:topLinePunct w:val="0"/>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技术负责人应亲自参与系统质量检查观测，且工作量不小于总捡查工作量的20％。</w:t>
      </w:r>
    </w:p>
    <w:p w14:paraId="424A6F8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激电工作各项精度指标如表4-1。</w:t>
      </w:r>
    </w:p>
    <w:p w14:paraId="2F6494AE">
      <w:pPr>
        <w:pageBreakBefore w:val="0"/>
        <w:wordWrap/>
        <w:bidi w:val="0"/>
        <w:adjustRightInd w:val="0"/>
        <w:snapToGrid w:val="0"/>
        <w:spacing w:line="360" w:lineRule="auto"/>
        <w:ind w:firstLine="560" w:firstLineChars="200"/>
        <w:jc w:val="left"/>
        <w:outlineLvl w:val="9"/>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表4-1          激发极化法测量工作精度分配表</w:t>
      </w:r>
    </w:p>
    <w:tbl>
      <w:tblPr>
        <w:tblStyle w:val="42"/>
        <w:tblW w:w="5000" w:type="pct"/>
        <w:tblInd w:w="0" w:type="dxa"/>
        <w:tblLayout w:type="autofit"/>
        <w:tblCellMar>
          <w:top w:w="0" w:type="dxa"/>
          <w:left w:w="108" w:type="dxa"/>
          <w:bottom w:w="0" w:type="dxa"/>
          <w:right w:w="108" w:type="dxa"/>
        </w:tblCellMar>
      </w:tblPr>
      <w:tblGrid>
        <w:gridCol w:w="1582"/>
        <w:gridCol w:w="1111"/>
        <w:gridCol w:w="2539"/>
        <w:gridCol w:w="2063"/>
        <w:gridCol w:w="1991"/>
      </w:tblGrid>
      <w:tr w14:paraId="2DD153BF">
        <w:tblPrEx>
          <w:tblCellMar>
            <w:top w:w="0" w:type="dxa"/>
            <w:left w:w="108" w:type="dxa"/>
            <w:bottom w:w="0" w:type="dxa"/>
            <w:right w:w="108" w:type="dxa"/>
          </w:tblCellMar>
        </w:tblPrEx>
        <w:tc>
          <w:tcPr>
            <w:tcW w:w="852" w:type="pct"/>
            <w:vMerge w:val="restart"/>
            <w:tcBorders>
              <w:top w:val="single" w:color="auto" w:sz="12" w:space="0"/>
              <w:left w:val="nil"/>
              <w:tl2br w:val="single" w:color="auto" w:sz="4" w:space="0"/>
            </w:tcBorders>
            <w:vAlign w:val="center"/>
          </w:tcPr>
          <w:p w14:paraId="63A4AB7E">
            <w:pPr>
              <w:pageBreakBefore w:val="0"/>
              <w:wordWrap/>
              <w:bidi w:val="0"/>
              <w:adjustRightInd w:val="0"/>
              <w:snapToGrid w:val="0"/>
              <w:jc w:val="center"/>
              <w:outlineLvl w:val="9"/>
              <w:rPr>
                <w:rFonts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kern w:val="0"/>
                <w:szCs w:val="21"/>
                <w14:textFill>
                  <w14:solidFill>
                    <w14:schemeClr w14:val="tx1"/>
                  </w14:solidFill>
                </w14:textFill>
              </w:rPr>
              <w:t xml:space="preserve">       精度</w:t>
            </w:r>
          </w:p>
          <w:p w14:paraId="085D8DC4">
            <w:pPr>
              <w:pageBreakBefore w:val="0"/>
              <w:wordWrap/>
              <w:bidi w:val="0"/>
              <w:adjustRightInd w:val="0"/>
              <w:snapToGrid w:val="0"/>
              <w:outlineLvl w:val="9"/>
              <w:rPr>
                <w:rFonts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kern w:val="0"/>
                <w:szCs w:val="21"/>
                <w14:textFill>
                  <w14:solidFill>
                    <w14:schemeClr w14:val="tx1"/>
                  </w14:solidFill>
                </w14:textFill>
              </w:rPr>
              <w:t>方法</w:t>
            </w:r>
          </w:p>
        </w:tc>
        <w:tc>
          <w:tcPr>
            <w:tcW w:w="598" w:type="pct"/>
            <w:vMerge w:val="restart"/>
            <w:tcBorders>
              <w:top w:val="single" w:color="auto" w:sz="12" w:space="0"/>
            </w:tcBorders>
            <w:vAlign w:val="center"/>
          </w:tcPr>
          <w:p w14:paraId="3960BA9F">
            <w:pPr>
              <w:pageBreakBefore w:val="0"/>
              <w:wordWrap/>
              <w:bidi w:val="0"/>
              <w:adjustRightInd w:val="0"/>
              <w:snapToGrid w:val="0"/>
              <w:jc w:val="center"/>
              <w:outlineLvl w:val="9"/>
              <w:rPr>
                <w:rFonts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kern w:val="0"/>
                <w:szCs w:val="21"/>
                <w14:textFill>
                  <w14:solidFill>
                    <w14:schemeClr w14:val="tx1"/>
                  </w14:solidFill>
                </w14:textFill>
              </w:rPr>
              <w:t>检查率</w:t>
            </w:r>
          </w:p>
        </w:tc>
        <w:tc>
          <w:tcPr>
            <w:tcW w:w="2478" w:type="pct"/>
            <w:gridSpan w:val="2"/>
            <w:tcBorders>
              <w:top w:val="single" w:color="auto" w:sz="12" w:space="0"/>
            </w:tcBorders>
            <w:vAlign w:val="center"/>
          </w:tcPr>
          <w:p w14:paraId="48A0AB9F">
            <w:pPr>
              <w:pageBreakBefore w:val="0"/>
              <w:wordWrap/>
              <w:bidi w:val="0"/>
              <w:adjustRightInd w:val="0"/>
              <w:snapToGrid w:val="0"/>
              <w:jc w:val="center"/>
              <w:outlineLvl w:val="9"/>
              <w:rPr>
                <w:rFonts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kern w:val="0"/>
                <w:szCs w:val="21"/>
                <w14:textFill>
                  <w14:solidFill>
                    <w14:schemeClr w14:val="tx1"/>
                  </w14:solidFill>
                </w14:textFill>
              </w:rPr>
              <w:t>η</w:t>
            </w:r>
            <w:r>
              <w:rPr>
                <w:rFonts w:hint="eastAsia" w:ascii="宋体" w:hAnsi="宋体" w:eastAsia="宋体"/>
                <w:color w:val="000000" w:themeColor="text1"/>
                <w:kern w:val="0"/>
                <w:szCs w:val="21"/>
                <w:vertAlign w:val="subscript"/>
                <w14:textFill>
                  <w14:solidFill>
                    <w14:schemeClr w14:val="tx1"/>
                  </w14:solidFill>
                </w14:textFill>
              </w:rPr>
              <w:t>s</w:t>
            </w:r>
          </w:p>
        </w:tc>
        <w:tc>
          <w:tcPr>
            <w:tcW w:w="1072" w:type="pct"/>
            <w:tcBorders>
              <w:top w:val="single" w:color="auto" w:sz="12" w:space="0"/>
              <w:right w:val="nil"/>
            </w:tcBorders>
            <w:vAlign w:val="center"/>
          </w:tcPr>
          <w:p w14:paraId="69EFEB2F">
            <w:pPr>
              <w:pageBreakBefore w:val="0"/>
              <w:wordWrap/>
              <w:bidi w:val="0"/>
              <w:adjustRightInd w:val="0"/>
              <w:snapToGrid w:val="0"/>
              <w:jc w:val="center"/>
              <w:outlineLvl w:val="9"/>
              <w:rPr>
                <w:rFonts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kern w:val="0"/>
                <w:szCs w:val="21"/>
                <w14:textFill>
                  <w14:solidFill>
                    <w14:schemeClr w14:val="tx1"/>
                  </w14:solidFill>
                </w14:textFill>
              </w:rPr>
              <w:t>ρ</w:t>
            </w:r>
            <w:r>
              <w:rPr>
                <w:rFonts w:hint="eastAsia" w:ascii="宋体" w:hAnsi="宋体" w:eastAsia="宋体"/>
                <w:color w:val="000000" w:themeColor="text1"/>
                <w:kern w:val="0"/>
                <w:szCs w:val="21"/>
                <w:vertAlign w:val="subscript"/>
                <w14:textFill>
                  <w14:solidFill>
                    <w14:schemeClr w14:val="tx1"/>
                  </w14:solidFill>
                </w14:textFill>
              </w:rPr>
              <w:t>s</w:t>
            </w:r>
          </w:p>
        </w:tc>
      </w:tr>
      <w:tr w14:paraId="2222EE36">
        <w:tblPrEx>
          <w:tblCellMar>
            <w:top w:w="0" w:type="dxa"/>
            <w:left w:w="108" w:type="dxa"/>
            <w:bottom w:w="0" w:type="dxa"/>
            <w:right w:w="108" w:type="dxa"/>
          </w:tblCellMar>
        </w:tblPrEx>
        <w:tc>
          <w:tcPr>
            <w:tcW w:w="852" w:type="pct"/>
            <w:vMerge w:val="continue"/>
            <w:tcBorders>
              <w:left w:val="nil"/>
              <w:tl2br w:val="single" w:color="auto" w:sz="4" w:space="0"/>
            </w:tcBorders>
            <w:vAlign w:val="center"/>
          </w:tcPr>
          <w:p w14:paraId="417CEEC2">
            <w:pPr>
              <w:pageBreakBefore w:val="0"/>
              <w:wordWrap/>
              <w:bidi w:val="0"/>
              <w:adjustRightInd w:val="0"/>
              <w:snapToGrid w:val="0"/>
              <w:jc w:val="center"/>
              <w:outlineLvl w:val="9"/>
              <w:rPr>
                <w:rFonts w:ascii="宋体" w:hAnsi="宋体" w:eastAsia="宋体"/>
                <w:color w:val="000000" w:themeColor="text1"/>
                <w:kern w:val="0"/>
                <w:szCs w:val="21"/>
                <w14:textFill>
                  <w14:solidFill>
                    <w14:schemeClr w14:val="tx1"/>
                  </w14:solidFill>
                </w14:textFill>
              </w:rPr>
            </w:pPr>
          </w:p>
        </w:tc>
        <w:tc>
          <w:tcPr>
            <w:tcW w:w="598" w:type="pct"/>
            <w:vMerge w:val="continue"/>
            <w:vAlign w:val="center"/>
          </w:tcPr>
          <w:p w14:paraId="7E18AB30">
            <w:pPr>
              <w:pageBreakBefore w:val="0"/>
              <w:wordWrap/>
              <w:bidi w:val="0"/>
              <w:adjustRightInd w:val="0"/>
              <w:snapToGrid w:val="0"/>
              <w:jc w:val="center"/>
              <w:outlineLvl w:val="9"/>
              <w:rPr>
                <w:rFonts w:ascii="宋体" w:hAnsi="宋体" w:eastAsia="宋体"/>
                <w:color w:val="000000" w:themeColor="text1"/>
                <w:kern w:val="0"/>
                <w:szCs w:val="21"/>
                <w14:textFill>
                  <w14:solidFill>
                    <w14:schemeClr w14:val="tx1"/>
                  </w14:solidFill>
                </w14:textFill>
              </w:rPr>
            </w:pPr>
          </w:p>
        </w:tc>
        <w:tc>
          <w:tcPr>
            <w:tcW w:w="1367" w:type="pct"/>
            <w:vAlign w:val="center"/>
          </w:tcPr>
          <w:p w14:paraId="443E45E8">
            <w:pPr>
              <w:pageBreakBefore w:val="0"/>
              <w:wordWrap/>
              <w:bidi w:val="0"/>
              <w:adjustRightInd w:val="0"/>
              <w:snapToGrid w:val="0"/>
              <w:jc w:val="center"/>
              <w:outlineLvl w:val="9"/>
              <w:rPr>
                <w:rFonts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kern w:val="0"/>
                <w:szCs w:val="21"/>
                <w14:textFill>
                  <w14:solidFill>
                    <w14:schemeClr w14:val="tx1"/>
                  </w14:solidFill>
                </w14:textFill>
              </w:rPr>
              <w:t>总均方相对误差m</w:t>
            </w:r>
          </w:p>
          <w:p w14:paraId="64D35B9B">
            <w:pPr>
              <w:pageBreakBefore w:val="0"/>
              <w:wordWrap/>
              <w:bidi w:val="0"/>
              <w:adjustRightInd w:val="0"/>
              <w:snapToGrid w:val="0"/>
              <w:jc w:val="center"/>
              <w:outlineLvl w:val="9"/>
              <w:rPr>
                <w:rFonts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kern w:val="0"/>
                <w:szCs w:val="21"/>
                <w14:textFill>
                  <w14:solidFill>
                    <w14:schemeClr w14:val="tx1"/>
                  </w14:solidFill>
                </w14:textFill>
              </w:rPr>
              <w:t>（η</w:t>
            </w:r>
            <w:r>
              <w:rPr>
                <w:rFonts w:hint="eastAsia" w:ascii="宋体" w:hAnsi="宋体" w:eastAsia="宋体"/>
                <w:color w:val="000000" w:themeColor="text1"/>
                <w:kern w:val="0"/>
                <w:szCs w:val="21"/>
                <w:vertAlign w:val="subscript"/>
                <w14:textFill>
                  <w14:solidFill>
                    <w14:schemeClr w14:val="tx1"/>
                  </w14:solidFill>
                </w14:textFill>
              </w:rPr>
              <w:t>s</w:t>
            </w:r>
            <w:r>
              <w:rPr>
                <w:rFonts w:hint="eastAsia" w:ascii="宋体" w:hAnsi="宋体" w:eastAsia="宋体"/>
                <w:color w:val="000000" w:themeColor="text1"/>
                <w:kern w:val="0"/>
                <w:szCs w:val="21"/>
                <w14:textFill>
                  <w14:solidFill>
                    <w14:schemeClr w14:val="tx1"/>
                  </w14:solidFill>
                </w14:textFill>
              </w:rPr>
              <w:t>&gt;3%时）</w:t>
            </w:r>
          </w:p>
        </w:tc>
        <w:tc>
          <w:tcPr>
            <w:tcW w:w="1111" w:type="pct"/>
            <w:vAlign w:val="center"/>
          </w:tcPr>
          <w:p w14:paraId="5D8E93C7">
            <w:pPr>
              <w:pageBreakBefore w:val="0"/>
              <w:wordWrap/>
              <w:bidi w:val="0"/>
              <w:adjustRightInd w:val="0"/>
              <w:snapToGrid w:val="0"/>
              <w:jc w:val="center"/>
              <w:outlineLvl w:val="9"/>
              <w:rPr>
                <w:rFonts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kern w:val="0"/>
                <w:szCs w:val="21"/>
                <w14:textFill>
                  <w14:solidFill>
                    <w14:schemeClr w14:val="tx1"/>
                  </w14:solidFill>
                </w14:textFill>
              </w:rPr>
              <w:t>总均方误差ε</w:t>
            </w:r>
          </w:p>
          <w:p w14:paraId="71B38899">
            <w:pPr>
              <w:pageBreakBefore w:val="0"/>
              <w:wordWrap/>
              <w:bidi w:val="0"/>
              <w:adjustRightInd w:val="0"/>
              <w:snapToGrid w:val="0"/>
              <w:jc w:val="center"/>
              <w:outlineLvl w:val="9"/>
              <w:rPr>
                <w:rFonts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kern w:val="0"/>
                <w:szCs w:val="21"/>
                <w14:textFill>
                  <w14:solidFill>
                    <w14:schemeClr w14:val="tx1"/>
                  </w14:solidFill>
                </w14:textFill>
              </w:rPr>
              <w:t>（η</w:t>
            </w:r>
            <w:r>
              <w:rPr>
                <w:rFonts w:hint="eastAsia" w:ascii="宋体" w:hAnsi="宋体" w:eastAsia="宋体"/>
                <w:color w:val="000000" w:themeColor="text1"/>
                <w:kern w:val="0"/>
                <w:szCs w:val="21"/>
                <w:vertAlign w:val="subscript"/>
                <w14:textFill>
                  <w14:solidFill>
                    <w14:schemeClr w14:val="tx1"/>
                  </w14:solidFill>
                </w14:textFill>
              </w:rPr>
              <w:t>s</w:t>
            </w:r>
            <w:r>
              <w:rPr>
                <w:rFonts w:hint="eastAsia" w:ascii="宋体" w:hAnsi="宋体" w:eastAsia="宋体"/>
                <w:color w:val="000000" w:themeColor="text1"/>
                <w:kern w:val="0"/>
                <w:szCs w:val="21"/>
                <w14:textFill>
                  <w14:solidFill>
                    <w14:schemeClr w14:val="tx1"/>
                  </w14:solidFill>
                </w14:textFill>
              </w:rPr>
              <w:t>&lt;3%时）</w:t>
            </w:r>
          </w:p>
        </w:tc>
        <w:tc>
          <w:tcPr>
            <w:tcW w:w="1072" w:type="pct"/>
            <w:tcBorders>
              <w:right w:val="nil"/>
            </w:tcBorders>
            <w:vAlign w:val="center"/>
          </w:tcPr>
          <w:p w14:paraId="654AFFE8">
            <w:pPr>
              <w:pageBreakBefore w:val="0"/>
              <w:wordWrap/>
              <w:bidi w:val="0"/>
              <w:adjustRightInd w:val="0"/>
              <w:snapToGrid w:val="0"/>
              <w:jc w:val="center"/>
              <w:outlineLvl w:val="9"/>
              <w:rPr>
                <w:rFonts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kern w:val="0"/>
                <w:szCs w:val="21"/>
                <w14:textFill>
                  <w14:solidFill>
                    <w14:schemeClr w14:val="tx1"/>
                  </w14:solidFill>
                </w14:textFill>
              </w:rPr>
              <w:t>总均方相对误差m</w:t>
            </w:r>
          </w:p>
        </w:tc>
      </w:tr>
      <w:tr w14:paraId="1FB4E9B4">
        <w:tblPrEx>
          <w:tblCellMar>
            <w:top w:w="0" w:type="dxa"/>
            <w:left w:w="108" w:type="dxa"/>
            <w:bottom w:w="0" w:type="dxa"/>
            <w:right w:w="108" w:type="dxa"/>
          </w:tblCellMar>
        </w:tblPrEx>
        <w:tc>
          <w:tcPr>
            <w:tcW w:w="852" w:type="pct"/>
            <w:tcBorders>
              <w:left w:val="nil"/>
              <w:bottom w:val="single" w:color="auto" w:sz="12" w:space="0"/>
            </w:tcBorders>
            <w:vAlign w:val="center"/>
          </w:tcPr>
          <w:p w14:paraId="27197DAF">
            <w:pPr>
              <w:pageBreakBefore w:val="0"/>
              <w:wordWrap/>
              <w:bidi w:val="0"/>
              <w:adjustRightInd w:val="0"/>
              <w:snapToGrid w:val="0"/>
              <w:jc w:val="center"/>
              <w:outlineLvl w:val="9"/>
              <w:rPr>
                <w:rFonts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kern w:val="0"/>
                <w:szCs w:val="21"/>
                <w14:textFill>
                  <w14:solidFill>
                    <w14:schemeClr w14:val="tx1"/>
                  </w14:solidFill>
                </w14:textFill>
              </w:rPr>
              <w:t>剖面</w:t>
            </w:r>
          </w:p>
        </w:tc>
        <w:tc>
          <w:tcPr>
            <w:tcW w:w="598" w:type="pct"/>
            <w:tcBorders>
              <w:bottom w:val="single" w:color="auto" w:sz="12" w:space="0"/>
            </w:tcBorders>
            <w:vAlign w:val="center"/>
          </w:tcPr>
          <w:p w14:paraId="7EFB93B2">
            <w:pPr>
              <w:pageBreakBefore w:val="0"/>
              <w:wordWrap/>
              <w:bidi w:val="0"/>
              <w:adjustRightInd w:val="0"/>
              <w:snapToGrid w:val="0"/>
              <w:jc w:val="center"/>
              <w:outlineLvl w:val="9"/>
              <w:rPr>
                <w:rFonts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kern w:val="0"/>
                <w:szCs w:val="21"/>
                <w14:textFill>
                  <w14:solidFill>
                    <w14:schemeClr w14:val="tx1"/>
                  </w14:solidFill>
                </w14:textFill>
              </w:rPr>
              <w:t>＞5%</w:t>
            </w:r>
          </w:p>
        </w:tc>
        <w:tc>
          <w:tcPr>
            <w:tcW w:w="1367" w:type="pct"/>
            <w:tcBorders>
              <w:bottom w:val="single" w:color="auto" w:sz="12" w:space="0"/>
            </w:tcBorders>
            <w:vAlign w:val="center"/>
          </w:tcPr>
          <w:p w14:paraId="0F52F238">
            <w:pPr>
              <w:pageBreakBefore w:val="0"/>
              <w:wordWrap/>
              <w:bidi w:val="0"/>
              <w:adjustRightInd w:val="0"/>
              <w:snapToGrid w:val="0"/>
              <w:jc w:val="center"/>
              <w:outlineLvl w:val="9"/>
              <w:rPr>
                <w:rFonts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kern w:val="0"/>
                <w:szCs w:val="21"/>
                <w14:textFill>
                  <w14:solidFill>
                    <w14:schemeClr w14:val="tx1"/>
                  </w14:solidFill>
                </w14:textFill>
              </w:rPr>
              <w:t>7%</w:t>
            </w:r>
          </w:p>
        </w:tc>
        <w:tc>
          <w:tcPr>
            <w:tcW w:w="1111" w:type="pct"/>
            <w:tcBorders>
              <w:bottom w:val="single" w:color="auto" w:sz="12" w:space="0"/>
            </w:tcBorders>
            <w:vAlign w:val="center"/>
          </w:tcPr>
          <w:p w14:paraId="4264D258">
            <w:pPr>
              <w:pageBreakBefore w:val="0"/>
              <w:wordWrap/>
              <w:bidi w:val="0"/>
              <w:adjustRightInd w:val="0"/>
              <w:snapToGrid w:val="0"/>
              <w:jc w:val="center"/>
              <w:outlineLvl w:val="9"/>
              <w:rPr>
                <w:rFonts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kern w:val="0"/>
                <w:szCs w:val="21"/>
                <w14:textFill>
                  <w14:solidFill>
                    <w14:schemeClr w14:val="tx1"/>
                  </w14:solidFill>
                </w14:textFill>
              </w:rPr>
              <w:t>0.21</w:t>
            </w:r>
          </w:p>
        </w:tc>
        <w:tc>
          <w:tcPr>
            <w:tcW w:w="1072" w:type="pct"/>
            <w:tcBorders>
              <w:bottom w:val="single" w:color="auto" w:sz="12" w:space="0"/>
              <w:right w:val="nil"/>
            </w:tcBorders>
            <w:vAlign w:val="center"/>
          </w:tcPr>
          <w:p w14:paraId="20661475">
            <w:pPr>
              <w:pageBreakBefore w:val="0"/>
              <w:wordWrap/>
              <w:bidi w:val="0"/>
              <w:adjustRightInd w:val="0"/>
              <w:snapToGrid w:val="0"/>
              <w:jc w:val="center"/>
              <w:outlineLvl w:val="9"/>
              <w:rPr>
                <w:rFonts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kern w:val="0"/>
                <w:szCs w:val="21"/>
                <w14:textFill>
                  <w14:solidFill>
                    <w14:schemeClr w14:val="tx1"/>
                  </w14:solidFill>
                </w14:textFill>
              </w:rPr>
              <w:t>7%</w:t>
            </w:r>
          </w:p>
        </w:tc>
      </w:tr>
    </w:tbl>
    <w:p w14:paraId="651EA8AE">
      <w:pPr>
        <w:pageBreakBefore w:val="0"/>
        <w:wordWrap/>
        <w:bidi w:val="0"/>
        <w:spacing w:line="360" w:lineRule="auto"/>
        <w:ind w:firstLine="200" w:firstLineChars="200"/>
        <w:outlineLvl w:val="9"/>
        <w:rPr>
          <w:rFonts w:ascii="仿宋_GB2312" w:hAnsi="宋体" w:eastAsia="仿宋_GB2312" w:cs="宋体"/>
          <w:color w:val="000000" w:themeColor="text1"/>
          <w:sz w:val="10"/>
          <w:szCs w:val="10"/>
          <w14:textFill>
            <w14:solidFill>
              <w14:schemeClr w14:val="tx1"/>
            </w14:solidFill>
          </w14:textFill>
        </w:rPr>
      </w:pPr>
    </w:p>
    <w:p w14:paraId="497456E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试验结束后将提交《激电参数试验专题报告》。</w:t>
      </w:r>
    </w:p>
    <w:p w14:paraId="27A2A8F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3、激电测深工作</w:t>
      </w:r>
    </w:p>
    <w:p w14:paraId="7FA4301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本次测深工作采用对称四极测深装置，采用等比装置，根据实地信号和干扰强弱，选择MN/AB=1/10。最小AB/2极距应使测深曲线有前支渐近线。最小AB/2为1.5米或3米，如果只是求出极化体顶端埋藏深度，可不测出后支渐近线。如果需要求出极化体中心埋深及下延深度，则测深曲线尾支获得明显的渐近线，或反映目标体上升（或下降）的拐点之后应有三个电极距数据值。结合工区地形及工程布置情况，建议最大AB/2为900，具体极距布置如下4-2。</w:t>
      </w:r>
    </w:p>
    <w:p w14:paraId="3AA2A616">
      <w:pPr>
        <w:pageBreakBefore w:val="0"/>
        <w:wordWrap/>
        <w:bidi w:val="0"/>
        <w:adjustRightIn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使用“找ΔU1升(降)沿同步”的仪器系统，一般要求一次场ΔU1(或总场ΔU)大于或等于5 mV(有干扰时应明显大子干扰强度，且不低于10 m V)；使用"其他方式同步"的仪器系统，一般要求一次场ΔU1(或总场ΔU)大于或等于3mV(有干扰时应明显大于干扰强度，且不低于6mV)。</w:t>
      </w:r>
    </w:p>
    <w:p w14:paraId="7664E7B5">
      <w:pPr>
        <w:pageBreakBefore w:val="0"/>
        <w:wordWrap/>
        <w:bidi w:val="0"/>
        <w:adjustRightIn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ΔU2一般要求大于0.3mV；在干扰较小的地区，应大于1mV；在明显干扰的地区，ΔU2宜大于干扰信号幅度的3倍。</w:t>
      </w:r>
    </w:p>
    <w:p w14:paraId="63ACD16B">
      <w:pPr>
        <w:pageBreakBefore w:val="0"/>
        <w:wordWrap/>
        <w:bidi w:val="0"/>
        <w:adjustRightIn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选择二次场多块采样输出模式，固定仪器内设叠加次数为1次，进行多次观测;当出现两次观测值满足衰减规律(即ηs1&gt;ηs2&gt;ηs3&gt;0)且首块极化率值相近时，即为合格数据；两次首块极化率值相近指的是当ηs1&gt;3%时，两次观测值的相对误差δ≤20%；可ηs1&lt;3%时，两次差值的绝对值Δ≤1%。</w:t>
      </w:r>
    </w:p>
    <w:p w14:paraId="45570E61">
      <w:pPr>
        <w:pageBreakBefore w:val="0"/>
        <w:wordWrap/>
        <w:bidi w:val="0"/>
        <w:adjustRightIn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相邻点视极化率值突变、仪器读数不稳或显示出超差等错误指示信息时，应分别检查仪器及其外部回路是否存在问题，观测周围是否存在人文干扰因素，并采取重复观测等措施以查明原因；必要时，应逐点回测至与3个正常点的观测值相符或相近。</w:t>
      </w:r>
    </w:p>
    <w:p w14:paraId="2AF441D5">
      <w:pPr>
        <w:pageBreakBefore w:val="0"/>
        <w:wordWrap/>
        <w:bidi w:val="0"/>
        <w:adjustRightIn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视极化率重复观测的取数要求:</w:t>
      </w:r>
    </w:p>
    <w:p w14:paraId="540DF372">
      <w:pPr>
        <w:pageBreakBefore w:val="0"/>
        <w:wordWrap/>
        <w:bidi w:val="0"/>
        <w:adjustRightIn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参与平均的一组ηs中，最大值与最小值之差与其平均值之比不得超过</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hint="eastAsia" w:ascii="仿宋" w:hAnsi="仿宋" w:eastAsia="仿宋" w:cs="仿宋"/>
          <w:sz w:val="24"/>
          <w:szCs w:val="24"/>
        </w:rPr>
        <w:drawing>
          <wp:inline distT="0" distB="0" distL="0" distR="0">
            <wp:extent cx="302895" cy="198120"/>
            <wp:effectExtent l="0" t="0" r="1905" b="1270"/>
            <wp:docPr id="52170374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03749" name="图片 9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02895" cy="198120"/>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hint="eastAsia" w:ascii="仿宋" w:hAnsi="仿宋" w:eastAsia="仿宋" w:cs="仿宋"/>
          <w:sz w:val="24"/>
          <w:szCs w:val="24"/>
        </w:rPr>
        <w:fldChar w:fldCharType="end"/>
      </w:r>
      <w:r>
        <w:rPr>
          <w:rFonts w:hint="eastAsia" w:ascii="仿宋" w:hAnsi="仿宋" w:eastAsia="仿宋" w:cs="仿宋"/>
          <w:sz w:val="24"/>
          <w:szCs w:val="24"/>
        </w:rPr>
        <w:drawing>
          <wp:inline distT="0" distB="0" distL="0" distR="0">
            <wp:extent cx="302895" cy="198120"/>
            <wp:effectExtent l="0" t="0" r="1905" b="1270"/>
            <wp:docPr id="108175341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10" name="图片 98"/>
                    <pic:cNvPicPr>
                      <a:picLocks noChangeAspect="1" noChangeArrowheads="1"/>
                    </pic:cNvPicPr>
                  </pic:nvPicPr>
                  <pic:blipFill>
                    <a:blip r:embed="rId14">
                      <a:clrChange>
                        <a:clrFrom>
                          <a:srgbClr val="FFFFFF"/>
                        </a:clrFrom>
                        <a:clrTo>
                          <a:srgbClr val="FFFFFF">
                            <a:alpha val="0"/>
                          </a:srgbClr>
                        </a:clrTo>
                      </a:clrChange>
                      <a:lum bright="30000"/>
                      <a:extLst>
                        <a:ext uri="{28A0092B-C50C-407E-A947-70E740481C1C}">
                          <a14:useLocalDpi xmlns:a14="http://schemas.microsoft.com/office/drawing/2010/main" val="0"/>
                        </a:ext>
                      </a:extLst>
                    </a:blip>
                    <a:srcRect/>
                    <a:stretch>
                      <a:fillRect/>
                    </a:stretch>
                  </pic:blipFill>
                  <pic:spPr>
                    <a:xfrm>
                      <a:off x="0" y="0"/>
                      <a:ext cx="302895" cy="198120"/>
                    </a:xfrm>
                    <a:prstGeom prst="rect">
                      <a:avLst/>
                    </a:prstGeom>
                    <a:noFill/>
                    <a:ln>
                      <a:noFill/>
                    </a:ln>
                  </pic:spPr>
                </pic:pic>
              </a:graphicData>
            </a:graphic>
          </wp:inline>
        </w:drawing>
      </w:r>
      <w:r>
        <w:rPr>
          <w:rFonts w:hint="eastAsia" w:ascii="仿宋" w:hAnsi="仿宋" w:eastAsia="仿宋" w:cs="仿宋"/>
          <w:sz w:val="24"/>
          <w:szCs w:val="24"/>
        </w:rPr>
        <w:t>m，在需要用均方误差衡量观测质量的地段，最大值与最小值之差不得大于</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hint="eastAsia" w:ascii="仿宋" w:hAnsi="仿宋" w:eastAsia="仿宋" w:cs="仿宋"/>
          <w:sz w:val="24"/>
          <w:szCs w:val="24"/>
        </w:rPr>
        <w:drawing>
          <wp:inline distT="0" distB="0" distL="0" distR="0">
            <wp:extent cx="302895" cy="198120"/>
            <wp:effectExtent l="0" t="0" r="1905" b="1270"/>
            <wp:docPr id="36868130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1302" name="图片 9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02895" cy="198120"/>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hint="eastAsia" w:ascii="仿宋" w:hAnsi="仿宋" w:eastAsia="仿宋" w:cs="仿宋"/>
          <w:sz w:val="24"/>
          <w:szCs w:val="24"/>
        </w:rPr>
        <w:fldChar w:fldCharType="end"/>
      </w:r>
      <w:r>
        <w:rPr>
          <w:rFonts w:hint="eastAsia" w:ascii="仿宋" w:hAnsi="仿宋" w:eastAsia="仿宋" w:cs="仿宋"/>
          <w:sz w:val="24"/>
          <w:szCs w:val="24"/>
        </w:rPr>
        <w:drawing>
          <wp:inline distT="0" distB="0" distL="0" distR="0">
            <wp:extent cx="302895" cy="198120"/>
            <wp:effectExtent l="0" t="0" r="1905" b="1270"/>
            <wp:docPr id="1821994940"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94940" name="图片 96"/>
                    <pic:cNvPicPr>
                      <a:picLocks noChangeAspect="1" noChangeArrowheads="1"/>
                    </pic:cNvPicPr>
                  </pic:nvPicPr>
                  <pic:blipFill>
                    <a:blip r:embed="rId14">
                      <a:clrChange>
                        <a:clrFrom>
                          <a:srgbClr val="FFFFFF"/>
                        </a:clrFrom>
                        <a:clrTo>
                          <a:srgbClr val="FFFFFF">
                            <a:alpha val="0"/>
                          </a:srgbClr>
                        </a:clrTo>
                      </a:clrChange>
                      <a:lum bright="30000"/>
                      <a:extLst>
                        <a:ext uri="{28A0092B-C50C-407E-A947-70E740481C1C}">
                          <a14:useLocalDpi xmlns:a14="http://schemas.microsoft.com/office/drawing/2010/main" val="0"/>
                        </a:ext>
                      </a:extLst>
                    </a:blip>
                    <a:srcRect/>
                    <a:stretch>
                      <a:fillRect/>
                    </a:stretch>
                  </pic:blipFill>
                  <pic:spPr>
                    <a:xfrm>
                      <a:off x="0" y="0"/>
                      <a:ext cx="302895" cy="198120"/>
                    </a:xfrm>
                    <a:prstGeom prst="rect">
                      <a:avLst/>
                    </a:prstGeom>
                    <a:noFill/>
                    <a:ln>
                      <a:noFill/>
                    </a:ln>
                  </pic:spPr>
                </pic:pic>
              </a:graphicData>
            </a:graphic>
          </wp:inline>
        </w:drawing>
      </w:r>
      <w:r>
        <w:rPr>
          <w:rFonts w:hint="eastAsia" w:ascii="仿宋" w:hAnsi="仿宋" w:eastAsia="仿宋" w:cs="仿宋"/>
          <w:sz w:val="24"/>
          <w:szCs w:val="24"/>
        </w:rPr>
        <w:t>ε(m、ε分别为设计观测均方相对误差与均方误差，n为参与平均的观测次数)。</w:t>
      </w:r>
    </w:p>
    <w:p w14:paraId="6B60181F">
      <w:pPr>
        <w:pageBreakBefore w:val="0"/>
        <w:wordWrap/>
        <w:bidi w:val="0"/>
        <w:adjustRightIn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误差过大的观测数据可不参与计算平均值，但舍去的次数应少于总观测次数的三分之一(因某些故障或突然性干扰影响缸中断的观测，不做舍数计算)；若超限的观测数据过多，说明不具备观测所要求的基本条件(干扰太大，或仪器、电源、线路有问题)，应停止观测，进行检查和处理。</w:t>
      </w:r>
    </w:p>
    <w:p w14:paraId="1DF26B27">
      <w:pPr>
        <w:pageBreakBefore w:val="0"/>
        <w:wordWrap/>
        <w:bidi w:val="0"/>
        <w:adjustRightIn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重复观测数据应作为原始观测数据对待，并应对一组重复观测的有效数据计算算术平均值，以此平均值作为该观测点最终的基本观测数据。</w:t>
      </w:r>
    </w:p>
    <w:p w14:paraId="775E1D1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使用一台仪器工作时采用“二同二不同”（同点位、同仪器、不同操作者、不同日期）方式；使用多台仪器工作时，采用“一同三不同”（同点位、不同仪器、不同操作者、不同日期）方式。检查点分布均匀，检查点应不小于总点数的3%。视极化率异常观测精度采用总均方误差衡量，并绘制出质量检查曲线与误差分布曲线图。激电测深工作精度指标如下(见表4-3)：</w:t>
      </w:r>
    </w:p>
    <w:p w14:paraId="245AB0E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数据整理：所有测量仪器对测量数据都是自动化采集，为保证野外数据采集质量，当天采集的原始数据在收工后即时传入计算机并进行100％的核对检查，保证点线数据准确、完整齐全，合格后作为原始文件保存；同时将采集的数据计算、归类成表册，再通过专用软件绘制基本的图件。</w:t>
      </w:r>
    </w:p>
    <w:p w14:paraId="0882E40B">
      <w:pPr>
        <w:pageBreakBefore w:val="0"/>
        <w:wordWrap/>
        <w:bidi w:val="0"/>
        <w:adjustRightInd w:val="0"/>
        <w:snapToGrid w:val="0"/>
        <w:spacing w:line="360" w:lineRule="auto"/>
        <w:ind w:firstLine="480" w:firstLineChars="200"/>
        <w:jc w:val="left"/>
        <w:outlineLvl w:val="9"/>
        <w:rPr>
          <w:rFonts w:ascii="仿宋" w:hAnsi="仿宋" w:eastAsia="仿宋" w:cs="仿宋"/>
          <w:sz w:val="24"/>
          <w:szCs w:val="24"/>
        </w:rPr>
      </w:pPr>
      <w:r>
        <w:rPr>
          <w:rFonts w:hint="eastAsia" w:ascii="仿宋" w:hAnsi="仿宋" w:eastAsia="仿宋" w:cs="仿宋"/>
          <w:sz w:val="24"/>
          <w:szCs w:val="24"/>
        </w:rPr>
        <w:t>表4-3                激电测量精度指标</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0"/>
        <w:gridCol w:w="1098"/>
        <w:gridCol w:w="2227"/>
        <w:gridCol w:w="1911"/>
        <w:gridCol w:w="2440"/>
      </w:tblGrid>
      <w:tr w14:paraId="234AC8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867" w:type="pct"/>
            <w:vMerge w:val="restart"/>
            <w:vAlign w:val="center"/>
          </w:tcPr>
          <w:p w14:paraId="207BC8B6">
            <w:pPr>
              <w:pageBreakBefore w:val="0"/>
              <w:wordWrap/>
              <w:bidi w:val="0"/>
              <w:adjustRightInd w:val="0"/>
              <w:snapToGrid w:val="0"/>
              <w:jc w:val="center"/>
              <w:outlineLvl w:val="9"/>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-65405</wp:posOffset>
                      </wp:positionH>
                      <wp:positionV relativeFrom="paragraph">
                        <wp:posOffset>2540</wp:posOffset>
                      </wp:positionV>
                      <wp:extent cx="956310" cy="518795"/>
                      <wp:effectExtent l="2540" t="4445" r="3175" b="10160"/>
                      <wp:wrapNone/>
                      <wp:docPr id="1838870193" name="任意多边形: 形状 100"/>
                      <wp:cNvGraphicFramePr/>
                      <a:graphic xmlns:a="http://schemas.openxmlformats.org/drawingml/2006/main">
                        <a:graphicData uri="http://schemas.microsoft.com/office/word/2010/wordprocessingShape">
                          <wps:wsp>
                            <wps:cNvSpPr/>
                            <wps:spPr bwMode="auto">
                              <a:xfrm>
                                <a:off x="0" y="0"/>
                                <a:ext cx="956310" cy="518795"/>
                              </a:xfrm>
                              <a:custGeom>
                                <a:avLst/>
                                <a:gdLst>
                                  <a:gd name="T0" fmla="*/ 0 w 1507"/>
                                  <a:gd name="T1" fmla="*/ 0 h 750"/>
                                  <a:gd name="T2" fmla="*/ 1507 w 1507"/>
                                  <a:gd name="T3" fmla="*/ 750 h 750"/>
                                </a:gdLst>
                                <a:ahLst/>
                                <a:cxnLst>
                                  <a:cxn ang="0">
                                    <a:pos x="T0" y="T1"/>
                                  </a:cxn>
                                  <a:cxn ang="0">
                                    <a:pos x="T2" y="T3"/>
                                  </a:cxn>
                                </a:cxnLst>
                                <a:rect l="0" t="0" r="r" b="b"/>
                                <a:pathLst>
                                  <a:path w="1507" h="750">
                                    <a:moveTo>
                                      <a:pt x="0" y="0"/>
                                    </a:moveTo>
                                    <a:lnTo>
                                      <a:pt x="1507" y="750"/>
                                    </a:lnTo>
                                  </a:path>
                                </a:pathLst>
                              </a:custGeom>
                              <a:solidFill>
                                <a:srgbClr val="FFFFFF"/>
                              </a:solidFill>
                              <a:ln w="3175" cmpd="sng">
                                <a:solidFill>
                                  <a:srgbClr val="000000"/>
                                </a:solidFill>
                                <a:round/>
                              </a:ln>
                            </wps:spPr>
                            <wps:bodyPr rot="0" vert="horz" wrap="square" lIns="91440" tIns="45720" rIns="91440" bIns="45720" anchor="t" anchorCtr="0" upright="1">
                              <a:noAutofit/>
                            </wps:bodyPr>
                          </wps:wsp>
                        </a:graphicData>
                      </a:graphic>
                    </wp:anchor>
                  </w:drawing>
                </mc:Choice>
                <mc:Fallback>
                  <w:pict>
                    <v:shape id="任意多边形: 形状 100" o:spid="_x0000_s1026" o:spt="100" style="position:absolute;left:0pt;margin-left:-5.15pt;margin-top:0.2pt;height:40.85pt;width:75.3pt;z-index:251666432;mso-width-relative:page;mso-height-relative:page;" fillcolor="#FFFFFF" filled="t" stroked="t" coordsize="1507,750" o:gfxdata="UEsDBAoAAAAAAIdO4kAAAAAAAAAAAAAAAAAEAAAAZHJzL1BLAwQUAAAACACHTuJAw1o/4tYAAAAH&#10;AQAADwAAAGRycy9kb3ducmV2LnhtbE2OwWrDMBBE74X8g9hCb4nkJBTjWA7UIYccWqjbQnOTra1t&#10;aq2MJTtJv77yqT0OM7x56f5qOjbh4FpLEqKVAIZUWd1SLeH97biMgTmvSKvOEkq4oYN9trhLVaLt&#10;hV5xKnzNAoRcoiQ03vcJ565q0Ci3sj1S6L7sYJQPcai5HtQlwE3H10I8cqNaCg+N6jFvsPouRhNO&#10;4ueyGPPbdKhz/lQcX06fHz9nKR/uI7ED5vHq/8Yw6wd1yIJTaUfSjnUSlpHYhKmELbC53s6xlBCv&#10;I+BZyv/7Z79QSwMEFAAAAAgAh07iQNcfD4fZAgAAFgYAAA4AAABkcnMvZTJvRG9jLnhtbK1UzW7U&#10;MBC+I/EOlo9INMlu092Nmq1QqyIkfip1eQCv4/xIjm1s72bLmRMX7hwRz4CEKngaCjwGYyebZhcq&#10;9UAO0Tgz+eabb8ZzfLKpOVozbSopUhwdhBgxQWVWiSLFrxfnj6cYGUtERrgULMVXzOCT+cMHx41K&#10;2EiWkmdMIwARJmlUiktrVRIEhpasJuZAKibAmUtdEwtHXQSZJg2g1zwYheFR0EidKS0pMwa+nrVO&#10;3CHq+wDKPK8oO5N0VTNhW1TNOLFQkikrZfDcs81zRu2rPDfMIp5iqNT6NyQBe+newfyYJIUmqqxo&#10;R4Hch8JeTTWpBCTtoc6IJWilq7+g6opqaWRuD6isg7YQrwhUEYV72lyWRDFfC0htVC+6+X+w9OX6&#10;QqMqg0mYjqfTSRjNxhgJUkPnf1xf/3z34ebzx9/fv958+5QgeP16/wVFodetUSaB3y/VhQYV3cmA&#10;iZbNC5nB32RlpZdkk+vaSQPFoo1X/qpXnm0sovBxFh+NI+gJBVccTSez2HUmIMn2Z7oy9imTHois&#10;nxvbNi4Dy8uedZwXAJLXHHr4KEAhalAUh5Ouy31MtBNTokm8HYQ+ZDQIcRB3IIFWfTZAQT0WUC+2&#10;5Ei55Us3oiMMFiLuxoVeIyWN08axBwUWUVc9RLnq7ggGji54PAyGvLdJNIz//uBrP/jLVhJFrOPm&#10;cjgTNTAGTi9UptiJ4hy1XLOF9CF2r3+Q7NbLxTCqhQF6nbYQ2gaA4VL55vbpHetBg43kVXZece6y&#10;Gl0sT7lGawJX+Nw/XcE7YVw49uNoEsMU1QoG2ojCF7ATtoMW+udfaFquRNZOIIcWBNvpbud8KbMr&#10;mHQt23UCyxSMUuq3GDWwSiD1mxXRDCP+TMBdnUWHh9BY6w+H8WQEBz30LIceIihApdhiGBBnntp2&#10;X62UrooSMkW+LCGfwA3LK3cTPL+WVXeAdeEl7lab20fDs4+6Xefz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MNaP+LWAAAABwEAAA8AAAAAAAAAAQAgAAAAIgAAAGRycy9kb3ducmV2LnhtbFBLAQIU&#10;ABQAAAAIAIdO4kDXHw+H2QIAABYGAAAOAAAAAAAAAAEAIAAAACUBAABkcnMvZTJvRG9jLnhtbFBL&#10;BQYAAAAABgAGAFkBAABwBgAAAAA=&#10;" path="m0,0l1507,750e">
                      <v:path o:connectlocs="0,0;956310,518795" o:connectangles="0,0"/>
                      <v:fill on="t" focussize="0,0"/>
                      <v:stroke weight="0.25pt" color="#000000" joinstyle="round"/>
                      <v:imagedata o:title=""/>
                      <o:lock v:ext="edit" aspectratio="f"/>
                    </v:shape>
                  </w:pict>
                </mc:Fallback>
              </mc:AlternateContent>
            </w:r>
            <w:r>
              <w:rPr>
                <w:rFonts w:hint="eastAsia" w:ascii="宋体" w:hAnsi="宋体" w:eastAsia="宋体"/>
                <w:color w:val="000000" w:themeColor="text1"/>
                <w:szCs w:val="21"/>
                <w14:textFill>
                  <w14:solidFill>
                    <w14:schemeClr w14:val="tx1"/>
                  </w14:solidFill>
                </w14:textFill>
              </w:rPr>
              <w:t xml:space="preserve">      指标</w:t>
            </w:r>
          </w:p>
          <w:p w14:paraId="322A70C4">
            <w:pPr>
              <w:pageBreakBefore w:val="0"/>
              <w:wordWrap/>
              <w:bidi w:val="0"/>
              <w:adjustRightInd w:val="0"/>
              <w:snapToGrid w:val="0"/>
              <w:jc w:val="center"/>
              <w:outlineLvl w:val="9"/>
              <w:rPr>
                <w:rFonts w:ascii="宋体" w:hAnsi="宋体" w:eastAsia="宋体"/>
                <w:color w:val="000000" w:themeColor="text1"/>
                <w:szCs w:val="21"/>
                <w14:textFill>
                  <w14:solidFill>
                    <w14:schemeClr w14:val="tx1"/>
                  </w14:solidFill>
                </w14:textFill>
              </w:rPr>
            </w:pPr>
          </w:p>
          <w:p w14:paraId="2659A1E3">
            <w:pPr>
              <w:pageBreakBefore w:val="0"/>
              <w:wordWrap/>
              <w:bidi w:val="0"/>
              <w:adjustRightInd w:val="0"/>
              <w:snapToGrid w:val="0"/>
              <w:outlineLvl w:val="9"/>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方法</w:t>
            </w:r>
          </w:p>
        </w:tc>
        <w:tc>
          <w:tcPr>
            <w:tcW w:w="591" w:type="pct"/>
            <w:vMerge w:val="restart"/>
            <w:vAlign w:val="center"/>
          </w:tcPr>
          <w:p w14:paraId="468892FA">
            <w:pPr>
              <w:pageBreakBefore w:val="0"/>
              <w:wordWrap/>
              <w:bidi w:val="0"/>
              <w:adjustRightInd w:val="0"/>
              <w:snapToGrid w:val="0"/>
              <w:jc w:val="center"/>
              <w:textAlignment w:val="baseline"/>
              <w:outlineLvl w:val="9"/>
              <w:rPr>
                <w:rFonts w:ascii="宋体" w:hAnsi="宋体" w:eastAsia="宋体"/>
                <w:color w:val="000000" w:themeColor="text1"/>
                <w:spacing w:val="4"/>
                <w:kern w:val="0"/>
                <w:szCs w:val="21"/>
                <w14:textFill>
                  <w14:solidFill>
                    <w14:schemeClr w14:val="tx1"/>
                  </w14:solidFill>
                </w14:textFill>
              </w:rPr>
            </w:pPr>
            <w:r>
              <w:rPr>
                <w:rFonts w:hint="eastAsia" w:ascii="宋体" w:hAnsi="宋体" w:eastAsia="宋体"/>
                <w:color w:val="000000" w:themeColor="text1"/>
                <w:spacing w:val="4"/>
                <w:kern w:val="0"/>
                <w:szCs w:val="21"/>
                <w14:textFill>
                  <w14:solidFill>
                    <w14:schemeClr w14:val="tx1"/>
                  </w14:solidFill>
                </w14:textFill>
              </w:rPr>
              <w:t>检查率</w:t>
            </w:r>
          </w:p>
        </w:tc>
        <w:tc>
          <w:tcPr>
            <w:tcW w:w="1199" w:type="pct"/>
            <w:vAlign w:val="center"/>
          </w:tcPr>
          <w:p w14:paraId="57038EB1">
            <w:pPr>
              <w:pageBreakBefore w:val="0"/>
              <w:wordWrap/>
              <w:bidi w:val="0"/>
              <w:adjustRightInd w:val="0"/>
              <w:snapToGrid w:val="0"/>
              <w:jc w:val="center"/>
              <w:outlineLvl w:val="9"/>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总均方相对误差M</w:t>
            </w:r>
            <w:r>
              <w:rPr>
                <w:rFonts w:hint="eastAsia" w:ascii="宋体" w:hAnsi="宋体" w:eastAsia="宋体"/>
                <w:color w:val="000000" w:themeColor="text1"/>
                <w:szCs w:val="21"/>
                <w:vertAlign w:val="subscript"/>
                <w14:textFill>
                  <w14:solidFill>
                    <w14:schemeClr w14:val="tx1"/>
                  </w14:solidFill>
                </w14:textFill>
              </w:rPr>
              <w:t>1</w:t>
            </w:r>
          </w:p>
        </w:tc>
        <w:tc>
          <w:tcPr>
            <w:tcW w:w="1029" w:type="pct"/>
            <w:vAlign w:val="center"/>
          </w:tcPr>
          <w:p w14:paraId="7C851B8E">
            <w:pPr>
              <w:pageBreakBefore w:val="0"/>
              <w:wordWrap/>
              <w:bidi w:val="0"/>
              <w:adjustRightInd w:val="0"/>
              <w:snapToGrid w:val="0"/>
              <w:jc w:val="center"/>
              <w:outlineLvl w:val="9"/>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总均方误差ε</w:t>
            </w:r>
          </w:p>
        </w:tc>
        <w:tc>
          <w:tcPr>
            <w:tcW w:w="1314" w:type="pct"/>
            <w:vAlign w:val="center"/>
          </w:tcPr>
          <w:p w14:paraId="069B2501">
            <w:pPr>
              <w:pageBreakBefore w:val="0"/>
              <w:wordWrap/>
              <w:bidi w:val="0"/>
              <w:adjustRightInd w:val="0"/>
              <w:snapToGrid w:val="0"/>
              <w:jc w:val="center"/>
              <w:outlineLvl w:val="9"/>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ρ</w:t>
            </w:r>
            <w:r>
              <w:rPr>
                <w:rFonts w:hint="eastAsia" w:ascii="宋体" w:hAnsi="宋体" w:eastAsia="宋体"/>
                <w:color w:val="000000" w:themeColor="text1"/>
                <w:szCs w:val="21"/>
                <w:vertAlign w:val="subscript"/>
                <w14:textFill>
                  <w14:solidFill>
                    <w14:schemeClr w14:val="tx1"/>
                  </w14:solidFill>
                </w14:textFill>
              </w:rPr>
              <w:t>a</w:t>
            </w:r>
          </w:p>
        </w:tc>
      </w:tr>
      <w:tr w14:paraId="37324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vMerge w:val="continue"/>
            <w:vAlign w:val="center"/>
          </w:tcPr>
          <w:p w14:paraId="2171CBC2">
            <w:pPr>
              <w:pageBreakBefore w:val="0"/>
              <w:wordWrap/>
              <w:bidi w:val="0"/>
              <w:adjustRightInd w:val="0"/>
              <w:snapToGrid w:val="0"/>
              <w:jc w:val="center"/>
              <w:outlineLvl w:val="9"/>
              <w:rPr>
                <w:rFonts w:ascii="宋体" w:hAnsi="宋体" w:eastAsia="宋体"/>
                <w:color w:val="000000" w:themeColor="text1"/>
                <w:szCs w:val="21"/>
                <w14:textFill>
                  <w14:solidFill>
                    <w14:schemeClr w14:val="tx1"/>
                  </w14:solidFill>
                </w14:textFill>
              </w:rPr>
            </w:pPr>
          </w:p>
        </w:tc>
        <w:tc>
          <w:tcPr>
            <w:tcW w:w="591" w:type="pct"/>
            <w:vMerge w:val="continue"/>
            <w:vAlign w:val="center"/>
          </w:tcPr>
          <w:p w14:paraId="671ACC07">
            <w:pPr>
              <w:pageBreakBefore w:val="0"/>
              <w:wordWrap/>
              <w:bidi w:val="0"/>
              <w:adjustRightInd w:val="0"/>
              <w:snapToGrid w:val="0"/>
              <w:jc w:val="center"/>
              <w:outlineLvl w:val="9"/>
              <w:rPr>
                <w:rFonts w:ascii="宋体" w:hAnsi="宋体" w:eastAsia="宋体"/>
                <w:color w:val="000000" w:themeColor="text1"/>
                <w:szCs w:val="21"/>
                <w14:textFill>
                  <w14:solidFill>
                    <w14:schemeClr w14:val="tx1"/>
                  </w14:solidFill>
                </w14:textFill>
              </w:rPr>
            </w:pPr>
          </w:p>
        </w:tc>
        <w:tc>
          <w:tcPr>
            <w:tcW w:w="1199" w:type="pct"/>
            <w:vAlign w:val="center"/>
          </w:tcPr>
          <w:p w14:paraId="6E7ABF08">
            <w:pPr>
              <w:pageBreakBefore w:val="0"/>
              <w:wordWrap/>
              <w:bidi w:val="0"/>
              <w:adjustRightInd w:val="0"/>
              <w:snapToGrid w:val="0"/>
              <w:jc w:val="center"/>
              <w:textAlignment w:val="baseline"/>
              <w:outlineLvl w:val="9"/>
              <w:rPr>
                <w:rFonts w:ascii="宋体" w:hAnsi="宋体" w:eastAsia="宋体"/>
                <w:color w:val="000000" w:themeColor="text1"/>
                <w:spacing w:val="4"/>
                <w:kern w:val="0"/>
                <w:szCs w:val="21"/>
                <w14:textFill>
                  <w14:solidFill>
                    <w14:schemeClr w14:val="tx1"/>
                  </w14:solidFill>
                </w14:textFill>
              </w:rPr>
            </w:pPr>
            <w:r>
              <w:rPr>
                <w:rFonts w:hint="eastAsia" w:ascii="宋体" w:hAnsi="宋体" w:eastAsia="宋体"/>
                <w:color w:val="000000" w:themeColor="text1"/>
                <w:spacing w:val="4"/>
                <w:kern w:val="0"/>
                <w:szCs w:val="21"/>
                <w14:textFill>
                  <w14:solidFill>
                    <w14:schemeClr w14:val="tx1"/>
                  </w14:solidFill>
                </w14:textFill>
              </w:rPr>
              <w:t>(ηa&gt;3%时)</w:t>
            </w:r>
          </w:p>
        </w:tc>
        <w:tc>
          <w:tcPr>
            <w:tcW w:w="1029" w:type="pct"/>
            <w:vAlign w:val="center"/>
          </w:tcPr>
          <w:p w14:paraId="51C30C19">
            <w:pPr>
              <w:pageBreakBefore w:val="0"/>
              <w:wordWrap/>
              <w:bidi w:val="0"/>
              <w:adjustRightInd w:val="0"/>
              <w:snapToGrid w:val="0"/>
              <w:jc w:val="center"/>
              <w:textAlignment w:val="baseline"/>
              <w:outlineLvl w:val="9"/>
              <w:rPr>
                <w:rFonts w:ascii="宋体" w:hAnsi="宋体" w:eastAsia="宋体"/>
                <w:color w:val="000000" w:themeColor="text1"/>
                <w:spacing w:val="4"/>
                <w:kern w:val="0"/>
                <w:szCs w:val="21"/>
                <w14:textFill>
                  <w14:solidFill>
                    <w14:schemeClr w14:val="tx1"/>
                  </w14:solidFill>
                </w14:textFill>
              </w:rPr>
            </w:pPr>
            <w:r>
              <w:rPr>
                <w:rFonts w:hint="eastAsia" w:ascii="宋体" w:hAnsi="宋体" w:eastAsia="宋体"/>
                <w:color w:val="000000" w:themeColor="text1"/>
                <w:spacing w:val="4"/>
                <w:kern w:val="0"/>
                <w:szCs w:val="21"/>
                <w14:textFill>
                  <w14:solidFill>
                    <w14:schemeClr w14:val="tx1"/>
                  </w14:solidFill>
                </w14:textFill>
              </w:rPr>
              <w:t>(ηa&lt;3%时)</w:t>
            </w:r>
          </w:p>
        </w:tc>
        <w:tc>
          <w:tcPr>
            <w:tcW w:w="1314" w:type="pct"/>
            <w:vAlign w:val="center"/>
          </w:tcPr>
          <w:p w14:paraId="1807040D">
            <w:pPr>
              <w:pageBreakBefore w:val="0"/>
              <w:wordWrap/>
              <w:bidi w:val="0"/>
              <w:adjustRightInd w:val="0"/>
              <w:snapToGrid w:val="0"/>
              <w:jc w:val="center"/>
              <w:textAlignment w:val="baseline"/>
              <w:outlineLvl w:val="9"/>
              <w:rPr>
                <w:rFonts w:ascii="宋体" w:hAnsi="宋体" w:eastAsia="宋体"/>
                <w:color w:val="000000" w:themeColor="text1"/>
                <w:spacing w:val="4"/>
                <w:kern w:val="0"/>
                <w:szCs w:val="21"/>
                <w14:textFill>
                  <w14:solidFill>
                    <w14:schemeClr w14:val="tx1"/>
                  </w14:solidFill>
                </w14:textFill>
              </w:rPr>
            </w:pPr>
            <w:r>
              <w:rPr>
                <w:rFonts w:hint="eastAsia" w:ascii="宋体" w:hAnsi="宋体" w:eastAsia="宋体"/>
                <w:color w:val="000000" w:themeColor="text1"/>
                <w:spacing w:val="4"/>
                <w:kern w:val="0"/>
                <w:szCs w:val="21"/>
                <w14:textFill>
                  <w14:solidFill>
                    <w14:schemeClr w14:val="tx1"/>
                  </w14:solidFill>
                </w14:textFill>
              </w:rPr>
              <w:t>总均方相对误差</w:t>
            </w:r>
          </w:p>
        </w:tc>
      </w:tr>
      <w:tr w14:paraId="306C99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vAlign w:val="center"/>
          </w:tcPr>
          <w:p w14:paraId="4ECCC0DF">
            <w:pPr>
              <w:pageBreakBefore w:val="0"/>
              <w:wordWrap/>
              <w:bidi w:val="0"/>
              <w:adjustRightInd w:val="0"/>
              <w:snapToGrid w:val="0"/>
              <w:jc w:val="center"/>
              <w:textAlignment w:val="baseline"/>
              <w:outlineLvl w:val="9"/>
              <w:rPr>
                <w:rFonts w:ascii="宋体" w:hAnsi="宋体" w:eastAsia="宋体"/>
                <w:color w:val="000000" w:themeColor="text1"/>
                <w:spacing w:val="4"/>
                <w:kern w:val="0"/>
                <w:szCs w:val="21"/>
                <w14:textFill>
                  <w14:solidFill>
                    <w14:schemeClr w14:val="tx1"/>
                  </w14:solidFill>
                </w14:textFill>
              </w:rPr>
            </w:pPr>
            <w:r>
              <w:rPr>
                <w:rFonts w:hint="eastAsia" w:ascii="宋体" w:hAnsi="宋体" w:eastAsia="宋体"/>
                <w:color w:val="000000" w:themeColor="text1"/>
                <w:spacing w:val="4"/>
                <w:kern w:val="0"/>
                <w:szCs w:val="21"/>
                <w14:textFill>
                  <w14:solidFill>
                    <w14:schemeClr w14:val="tx1"/>
                  </w14:solidFill>
                </w14:textFill>
              </w:rPr>
              <w:t>激电测深</w:t>
            </w:r>
          </w:p>
        </w:tc>
        <w:tc>
          <w:tcPr>
            <w:tcW w:w="591" w:type="pct"/>
            <w:vAlign w:val="center"/>
          </w:tcPr>
          <w:p w14:paraId="4881F96E">
            <w:pPr>
              <w:pageBreakBefore w:val="0"/>
              <w:wordWrap/>
              <w:bidi w:val="0"/>
              <w:adjustRightInd w:val="0"/>
              <w:snapToGrid w:val="0"/>
              <w:jc w:val="center"/>
              <w:textAlignment w:val="baseline"/>
              <w:outlineLvl w:val="9"/>
              <w:rPr>
                <w:rFonts w:ascii="宋体" w:hAnsi="宋体" w:eastAsia="宋体"/>
                <w:color w:val="000000" w:themeColor="text1"/>
                <w:spacing w:val="4"/>
                <w:kern w:val="0"/>
                <w:szCs w:val="21"/>
                <w14:textFill>
                  <w14:solidFill>
                    <w14:schemeClr w14:val="tx1"/>
                  </w14:solidFill>
                </w14:textFill>
              </w:rPr>
            </w:pPr>
            <w:r>
              <w:rPr>
                <w:rFonts w:hint="eastAsia" w:ascii="宋体" w:hAnsi="宋体" w:eastAsia="宋体"/>
                <w:color w:val="000000" w:themeColor="text1"/>
                <w:spacing w:val="4"/>
                <w:kern w:val="0"/>
                <w:szCs w:val="21"/>
                <w14:textFill>
                  <w14:solidFill>
                    <w14:schemeClr w14:val="tx1"/>
                  </w14:solidFill>
                </w14:textFill>
              </w:rPr>
              <w:t>≥3%</w:t>
            </w:r>
          </w:p>
        </w:tc>
        <w:tc>
          <w:tcPr>
            <w:tcW w:w="1199" w:type="pct"/>
            <w:vAlign w:val="center"/>
          </w:tcPr>
          <w:p w14:paraId="46982F47">
            <w:pPr>
              <w:pageBreakBefore w:val="0"/>
              <w:wordWrap/>
              <w:bidi w:val="0"/>
              <w:adjustRightInd w:val="0"/>
              <w:snapToGrid w:val="0"/>
              <w:jc w:val="center"/>
              <w:textAlignment w:val="baseline"/>
              <w:outlineLvl w:val="9"/>
              <w:rPr>
                <w:rFonts w:ascii="宋体" w:hAnsi="宋体" w:eastAsia="宋体"/>
                <w:color w:val="000000" w:themeColor="text1"/>
                <w:spacing w:val="4"/>
                <w:kern w:val="0"/>
                <w:szCs w:val="21"/>
                <w14:textFill>
                  <w14:solidFill>
                    <w14:schemeClr w14:val="tx1"/>
                  </w14:solidFill>
                </w14:textFill>
              </w:rPr>
            </w:pPr>
            <w:r>
              <w:rPr>
                <w:rFonts w:hint="eastAsia" w:ascii="宋体" w:hAnsi="宋体" w:eastAsia="宋体"/>
                <w:color w:val="000000" w:themeColor="text1"/>
                <w:spacing w:val="4"/>
                <w:kern w:val="0"/>
                <w:szCs w:val="21"/>
                <w14:textFill>
                  <w14:solidFill>
                    <w14:schemeClr w14:val="tx1"/>
                  </w14:solidFill>
                </w14:textFill>
              </w:rPr>
              <w:t>7.0%</w:t>
            </w:r>
          </w:p>
        </w:tc>
        <w:tc>
          <w:tcPr>
            <w:tcW w:w="1029" w:type="pct"/>
            <w:vAlign w:val="center"/>
          </w:tcPr>
          <w:p w14:paraId="4557FE0B">
            <w:pPr>
              <w:pageBreakBefore w:val="0"/>
              <w:wordWrap/>
              <w:bidi w:val="0"/>
              <w:adjustRightInd w:val="0"/>
              <w:snapToGrid w:val="0"/>
              <w:jc w:val="center"/>
              <w:textAlignment w:val="baseline"/>
              <w:outlineLvl w:val="9"/>
              <w:rPr>
                <w:rFonts w:ascii="宋体" w:hAnsi="宋体" w:eastAsia="宋体"/>
                <w:color w:val="000000" w:themeColor="text1"/>
                <w:spacing w:val="4"/>
                <w:kern w:val="0"/>
                <w:szCs w:val="21"/>
                <w14:textFill>
                  <w14:solidFill>
                    <w14:schemeClr w14:val="tx1"/>
                  </w14:solidFill>
                </w14:textFill>
              </w:rPr>
            </w:pPr>
            <w:r>
              <w:rPr>
                <w:rFonts w:hint="eastAsia" w:ascii="宋体" w:hAnsi="宋体" w:eastAsia="宋体"/>
                <w:color w:val="000000" w:themeColor="text1"/>
                <w:spacing w:val="4"/>
                <w:kern w:val="0"/>
                <w:szCs w:val="21"/>
                <w14:textFill>
                  <w14:solidFill>
                    <w14:schemeClr w14:val="tx1"/>
                  </w14:solidFill>
                </w14:textFill>
              </w:rPr>
              <w:t>0.21</w:t>
            </w:r>
          </w:p>
        </w:tc>
        <w:tc>
          <w:tcPr>
            <w:tcW w:w="1314" w:type="pct"/>
            <w:vAlign w:val="center"/>
          </w:tcPr>
          <w:p w14:paraId="39873D89">
            <w:pPr>
              <w:pageBreakBefore w:val="0"/>
              <w:wordWrap/>
              <w:bidi w:val="0"/>
              <w:adjustRightInd w:val="0"/>
              <w:snapToGrid w:val="0"/>
              <w:jc w:val="center"/>
              <w:textAlignment w:val="baseline"/>
              <w:outlineLvl w:val="9"/>
              <w:rPr>
                <w:rFonts w:ascii="宋体" w:hAnsi="宋体" w:eastAsia="宋体"/>
                <w:color w:val="000000" w:themeColor="text1"/>
                <w:spacing w:val="4"/>
                <w:kern w:val="0"/>
                <w:szCs w:val="21"/>
                <w14:textFill>
                  <w14:solidFill>
                    <w14:schemeClr w14:val="tx1"/>
                  </w14:solidFill>
                </w14:textFill>
              </w:rPr>
            </w:pPr>
            <w:r>
              <w:rPr>
                <w:rFonts w:hint="eastAsia" w:ascii="宋体" w:hAnsi="宋体" w:eastAsia="宋体"/>
                <w:color w:val="000000" w:themeColor="text1"/>
                <w:spacing w:val="4"/>
                <w:kern w:val="0"/>
                <w:szCs w:val="21"/>
                <w14:textFill>
                  <w14:solidFill>
                    <w14:schemeClr w14:val="tx1"/>
                  </w14:solidFill>
                </w14:textFill>
              </w:rPr>
              <w:t>7%</w:t>
            </w:r>
          </w:p>
        </w:tc>
      </w:tr>
    </w:tbl>
    <w:p w14:paraId="04BB55B7">
      <w:pPr>
        <w:pageBreakBefore w:val="0"/>
        <w:wordWrap/>
        <w:bidi w:val="0"/>
        <w:adjustRightInd w:val="0"/>
        <w:snapToGrid w:val="0"/>
        <w:spacing w:line="100" w:lineRule="exact"/>
        <w:ind w:firstLine="560" w:firstLineChars="200"/>
        <w:outlineLvl w:val="9"/>
        <w:rPr>
          <w:rFonts w:ascii="宋体" w:hAnsi="宋体" w:eastAsia="宋体" w:cs="宋体"/>
          <w:color w:val="000000" w:themeColor="text1"/>
          <w:sz w:val="28"/>
          <w:szCs w:val="28"/>
          <w14:textFill>
            <w14:solidFill>
              <w14:schemeClr w14:val="tx1"/>
            </w14:solidFill>
          </w14:textFill>
        </w:rPr>
      </w:pPr>
    </w:p>
    <w:p w14:paraId="779AB50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激电数据采集工作应严格参照《时间域激发极化法技术规定》DZ/T 0070-2016相关技术要求执行。</w:t>
      </w:r>
    </w:p>
    <w:p w14:paraId="4C8C65BF">
      <w:pPr>
        <w:pageBreakBefore w:val="0"/>
        <w:tabs>
          <w:tab w:val="left" w:pos="312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4、物性测量</w:t>
      </w:r>
    </w:p>
    <w:p w14:paraId="67BD462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（1）标本的采集</w:t>
      </w:r>
    </w:p>
    <w:p w14:paraId="0DF605D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物性工作是物探普查的基础工作，不同地质体或岩性间的物性差异是物探工作的前提。主要为剖面异常的划分、研究和解释提供有力的依据，按照剖面工作所投入的方法，将有针对性地采集各类岩性的物性标本。</w:t>
      </w:r>
    </w:p>
    <w:p w14:paraId="23A20CB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采集工作由物探和地质技术人员配合进行标本采集，力求按物探测线均匀进行，标本应具有代表性。采集的标本力求新鲜，避免采集风化层和转石标本。</w:t>
      </w:r>
    </w:p>
    <w:p w14:paraId="2B9C9E6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标本的采集要求现场准确定名、编号，并记录采样位置，对有关地质现象进行必要的备注。区内若有钻孔，尽可能对钻孔岩芯标本进行采集。同名岩（矿）石标本块数不少于30块。</w:t>
      </w:r>
    </w:p>
    <w:p w14:paraId="48D8B3E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（2）电性标本测定</w:t>
      </w:r>
    </w:p>
    <w:p w14:paraId="240056D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要求测定极化率和电阻率两个参数。电性标本的测定采用双盆边架法。在基岩出露区，采用实测小极露头法或小四极测深法进行一定数量级基岩露头电性测定工作，该部分资料可作为参考资料利用。</w:t>
      </w:r>
    </w:p>
    <w:p w14:paraId="3E01E02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（3）物性参数的统计</w:t>
      </w:r>
    </w:p>
    <w:p w14:paraId="7506102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当同类岩（矿）石的标本数量大于30块时，须绘制正态曲线并要求统计常见值及变化范围。</w:t>
      </w:r>
    </w:p>
    <w:p w14:paraId="190EF0E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当同类岩（矿）石的标本数量不足30块时，只计算其算术平均值。</w:t>
      </w:r>
    </w:p>
    <w:p w14:paraId="4384B9F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（4）室内资料整理</w:t>
      </w:r>
    </w:p>
    <w:p w14:paraId="0CFAD96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整理计算并校正观测结果，根据自动或半自动记录资料绘制各种相应原始图件。对成果资料进行数理统计处理，对其结果进行全面综合研究与总结。完成各种原始资料的综合整理和质量评价。</w:t>
      </w:r>
    </w:p>
    <w:p w14:paraId="1093E7B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（5）质量评价</w:t>
      </w:r>
    </w:p>
    <w:p w14:paraId="3B68E5D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电性标本质检率不小于10%，误差不大于20%。</w:t>
      </w:r>
    </w:p>
    <w:p w14:paraId="3A2737EB">
      <w:pPr>
        <w:pStyle w:val="15"/>
        <w:pageBreakBefore w:val="0"/>
        <w:wordWrap/>
        <w:bidi w:val="0"/>
        <w:spacing w:line="480" w:lineRule="auto"/>
        <w:outlineLvl w:val="9"/>
        <w:rPr>
          <w:rFonts w:ascii="仿宋" w:hAnsi="仿宋" w:eastAsia="仿宋" w:cs="仿宋"/>
          <w:sz w:val="22"/>
          <w:szCs w:val="18"/>
        </w:rPr>
      </w:pPr>
    </w:p>
    <w:p w14:paraId="71FB2594">
      <w:pPr>
        <w:pageBreakBefore w:val="0"/>
        <w:wordWrap/>
        <w:bidi w:val="0"/>
        <w:outlineLvl w:val="9"/>
        <w:rPr>
          <w:rFonts w:ascii="仿宋" w:hAnsi="仿宋" w:eastAsia="仿宋" w:cs="仿宋"/>
          <w:b/>
          <w:bCs/>
          <w:sz w:val="24"/>
          <w:szCs w:val="24"/>
        </w:rPr>
      </w:pPr>
      <w:r>
        <w:rPr>
          <w:rFonts w:hint="eastAsia" w:ascii="仿宋" w:hAnsi="仿宋" w:eastAsia="仿宋" w:cs="仿宋"/>
          <w:b/>
          <w:bCs/>
          <w:sz w:val="24"/>
          <w:szCs w:val="24"/>
        </w:rPr>
        <w:br w:type="page"/>
      </w:r>
    </w:p>
    <w:p w14:paraId="2FC363D8">
      <w:pPr>
        <w:keepNext/>
        <w:keepLines w:val="0"/>
        <w:pageBreakBefore w:val="0"/>
        <w:widowControl/>
        <w:kinsoku/>
        <w:wordWrap/>
        <w:overflowPunct/>
        <w:topLinePunct w:val="0"/>
        <w:autoSpaceDE/>
        <w:autoSpaceDN/>
        <w:bidi w:val="0"/>
        <w:adjustRightInd/>
        <w:snapToGrid/>
        <w:spacing w:line="480" w:lineRule="auto"/>
        <w:jc w:val="center"/>
        <w:textAlignment w:val="auto"/>
        <w:outlineLvl w:val="1"/>
        <w:rPr>
          <w:rFonts w:ascii="仿宋" w:hAnsi="仿宋" w:eastAsia="仿宋" w:cs="仿宋"/>
          <w:b/>
          <w:bCs/>
          <w:sz w:val="40"/>
          <w:szCs w:val="40"/>
        </w:rPr>
      </w:pPr>
      <w:r>
        <w:rPr>
          <w:rFonts w:hint="eastAsia" w:ascii="仿宋" w:hAnsi="仿宋" w:eastAsia="仿宋" w:cs="仿宋"/>
          <w:b/>
          <w:bCs/>
          <w:sz w:val="24"/>
          <w:szCs w:val="24"/>
          <w:lang w:val="en-US" w:eastAsia="zh-CN"/>
        </w:rPr>
        <w:t>⑤、</w:t>
      </w:r>
      <w:r>
        <w:rPr>
          <w:rFonts w:hint="eastAsia" w:ascii="仿宋" w:hAnsi="仿宋" w:eastAsia="仿宋" w:cs="仿宋"/>
          <w:b/>
          <w:bCs/>
          <w:sz w:val="24"/>
          <w:szCs w:val="24"/>
        </w:rPr>
        <w:t>新疆鄯善县乔尕山-花梁子一带金多金属矿调查评价</w:t>
      </w:r>
    </w:p>
    <w:p w14:paraId="55081BB0">
      <w:pPr>
        <w:keepNext w:val="0"/>
        <w:keepLines w:val="0"/>
        <w:pageBreakBefore w:val="0"/>
        <w:widowControl w:val="0"/>
        <w:kinsoku/>
        <w:wordWrap/>
        <w:overflowPunct/>
        <w:topLinePunct w:val="0"/>
        <w:autoSpaceDE/>
        <w:autoSpaceDN/>
        <w:bidi w:val="0"/>
        <w:adjustRightInd w:val="0"/>
        <w:spacing w:line="360" w:lineRule="auto"/>
        <w:ind w:firstLine="482" w:firstLineChars="200"/>
        <w:textAlignment w:val="auto"/>
        <w:outlineLvl w:val="9"/>
        <w:rPr>
          <w:rFonts w:ascii="仿宋" w:hAnsi="仿宋" w:eastAsia="仿宋" w:cs="仿宋"/>
          <w:b/>
          <w:bCs/>
          <w:sz w:val="24"/>
          <w:szCs w:val="24"/>
        </w:rPr>
      </w:pPr>
      <w:r>
        <w:rPr>
          <w:rFonts w:hint="eastAsia" w:ascii="仿宋" w:hAnsi="仿宋" w:eastAsia="仿宋" w:cs="仿宋"/>
          <w:b/>
          <w:bCs/>
          <w:sz w:val="24"/>
          <w:szCs w:val="24"/>
        </w:rPr>
        <w:t>一、服务内容：</w:t>
      </w:r>
    </w:p>
    <w:p w14:paraId="145A2B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调查区位于鄯善县城南约150km处，行政区划隶属鄯善县管辖，区内大部分地区可通行越野汽车，部分地区可通行载重汽车，从调查区经底坎尔至连木沁与312国道相接，公路里程约160km。调查区内地势平坦，沿沟谷可通行载重汽车，交通较为便利。调查区地形地貌总体属中低山地貌，地势西、南部高，北、东部低，西部尖山最高海拔1045m，中部低洼盐池最低海拔873m，气候属典型的大陆性干旱气候，冬冷夏热，春秋多风，温差大，雨量稀少。</w:t>
      </w:r>
    </w:p>
    <w:p w14:paraId="7A1AC78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ascii="仿宋" w:hAnsi="仿宋" w:eastAsia="仿宋" w:cs="仿宋"/>
          <w:sz w:val="24"/>
          <w:szCs w:val="24"/>
        </w:rPr>
      </w:pPr>
      <w:r>
        <w:rPr>
          <w:rFonts w:hint="eastAsia" w:ascii="仿宋" w:hAnsi="仿宋" w:eastAsia="仿宋" w:cs="仿宋"/>
          <w:b/>
          <w:bCs/>
          <w:sz w:val="24"/>
          <w:szCs w:val="24"/>
        </w:rPr>
        <w:t>二、工作量：</w:t>
      </w:r>
      <w:r>
        <w:rPr>
          <w:rFonts w:hint="eastAsia" w:ascii="仿宋" w:hAnsi="仿宋" w:eastAsia="仿宋" w:cs="仿宋"/>
          <w:sz w:val="24"/>
          <w:szCs w:val="24"/>
        </w:rPr>
        <w:t>1∶1万地面磁法测量50平方千米；音频大地电磁测深点（AMT）30个；激电测深点30个。</w:t>
      </w:r>
    </w:p>
    <w:p w14:paraId="2B8CA665">
      <w:pPr>
        <w:pStyle w:val="15"/>
        <w:keepNext w:val="0"/>
        <w:keepLines w:val="0"/>
        <w:pageBreakBefore w:val="0"/>
        <w:widowControl w:val="0"/>
        <w:kinsoku/>
        <w:wordWrap/>
        <w:overflowPunct/>
        <w:topLinePunct w:val="0"/>
        <w:autoSpaceDE/>
        <w:autoSpaceDN/>
        <w:bidi w:val="0"/>
        <w:spacing w:after="0" w:line="360" w:lineRule="auto"/>
        <w:ind w:firstLine="482" w:firstLineChars="200"/>
        <w:textAlignment w:val="auto"/>
        <w:outlineLvl w:val="9"/>
        <w:rPr>
          <w:rFonts w:ascii="仿宋" w:hAnsi="仿宋" w:eastAsia="仿宋" w:cs="仿宋"/>
          <w:b/>
          <w:bCs/>
          <w:szCs w:val="24"/>
        </w:rPr>
      </w:pPr>
      <w:r>
        <w:rPr>
          <w:rFonts w:hint="eastAsia" w:ascii="仿宋" w:hAnsi="仿宋" w:eastAsia="仿宋" w:cs="仿宋"/>
          <w:b/>
          <w:bCs/>
          <w:szCs w:val="24"/>
        </w:rPr>
        <w:t xml:space="preserve">三、技术方法  </w:t>
      </w:r>
      <w:bookmarkStart w:id="459" w:name="_Toc218674640"/>
      <w:bookmarkStart w:id="460" w:name="_Toc218674644"/>
    </w:p>
    <w:p w14:paraId="63F2ADBC">
      <w:pPr>
        <w:pStyle w:val="15"/>
        <w:keepNext w:val="0"/>
        <w:keepLines w:val="0"/>
        <w:pageBreakBefore w:val="0"/>
        <w:widowControl w:val="0"/>
        <w:kinsoku/>
        <w:wordWrap/>
        <w:overflowPunct/>
        <w:topLinePunct w:val="0"/>
        <w:autoSpaceDE/>
        <w:autoSpaceDN/>
        <w:bidi w:val="0"/>
        <w:spacing w:after="0" w:line="360" w:lineRule="auto"/>
        <w:ind w:firstLine="482" w:firstLineChars="200"/>
        <w:textAlignment w:val="auto"/>
        <w:outlineLvl w:val="9"/>
        <w:rPr>
          <w:rFonts w:ascii="仿宋" w:hAnsi="仿宋" w:eastAsia="仿宋" w:cs="仿宋"/>
          <w:b/>
          <w:kern w:val="2"/>
          <w:szCs w:val="24"/>
        </w:rPr>
      </w:pPr>
      <w:r>
        <w:rPr>
          <w:rFonts w:hint="eastAsia" w:ascii="仿宋" w:hAnsi="仿宋" w:eastAsia="仿宋" w:cs="仿宋"/>
          <w:b/>
          <w:kern w:val="2"/>
          <w:szCs w:val="24"/>
        </w:rPr>
        <w:t>1∶1万地面磁法测量</w:t>
      </w:r>
      <w:bookmarkEnd w:id="459"/>
    </w:p>
    <w:p w14:paraId="544F6104">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1∶1万地面磁法测量部署在花梁子工作区，目的是解译控矿构造、找矿标志层，解译火山机构，圈定成矿有利区。</w:t>
      </w:r>
    </w:p>
    <w:p w14:paraId="5F65DFE1">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本次设计布设1∶1万地面高精度磁测50平方千米，方位120°，网度100m×40m,线号依次为100、110、120……900。</w:t>
      </w:r>
    </w:p>
    <w:p w14:paraId="350AEEEF">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本次1:1万地面高精度磁测工作以中华人民共和国地质矿产行业标准《地面高精度磁测技术规程》（DZ/T0071-2025）为主要依据。</w:t>
      </w:r>
    </w:p>
    <w:p w14:paraId="2BC128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（一）仪器设备</w:t>
      </w:r>
    </w:p>
    <w:p w14:paraId="47CF0C7D">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磁法仪器设备使用加拿大产GSM-19T质子磁力仪，分辨率优于0.1nT,以保障测量数据质量。</w:t>
      </w:r>
    </w:p>
    <w:p w14:paraId="747DDE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（二）仪器性能试验</w:t>
      </w:r>
    </w:p>
    <w:p w14:paraId="796846F1">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在正式施工前，应对所使用的仪器性能进行测定，包括噪声试验、各仪器观测误差试验、仪器系统误差试验、一致性试验。</w:t>
      </w:r>
    </w:p>
    <w:p w14:paraId="480A9942">
      <w:pPr>
        <w:keepNext w:val="0"/>
        <w:keepLines w:val="0"/>
        <w:pageBreakBefore w:val="0"/>
        <w:widowControl w:val="0"/>
        <w:tabs>
          <w:tab w:val="left" w:pos="3120"/>
          <w:tab w:val="left" w:pos="5220"/>
          <w:tab w:val="left" w:pos="7400"/>
        </w:tabs>
        <w:kinsoku/>
        <w:wordWrap/>
        <w:overflowPunct/>
        <w:topLinePunct w:val="0"/>
        <w:autoSpaceDE/>
        <w:autoSpaceDN/>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1．噪声水平试验</w:t>
      </w:r>
    </w:p>
    <w:p w14:paraId="1B2C92CA">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outlineLvl w:val="9"/>
        <w:rPr>
          <w:rFonts w:ascii="仿宋" w:hAnsi="仿宋" w:eastAsia="仿宋" w:cs="仿宋"/>
          <w:sz w:val="24"/>
          <w:szCs w:val="24"/>
        </w:rPr>
      </w:pPr>
      <w:r>
        <w:rPr>
          <w:rFonts w:hint="eastAsia" w:ascii="仿宋" w:hAnsi="仿宋" w:eastAsia="仿宋" w:cs="仿宋"/>
          <w:sz w:val="24"/>
          <w:szCs w:val="24"/>
        </w:rPr>
        <w:t>噪声试验选择在磁场平稳地段，而又不受人文干扰场影响的地方进行，探头间距离保持在20米以上，使用仪器同时作秒级同步日变观测，每5～10秒读取一次读数。取100个以上观测值按下式计算每台仪器的噪声均方根的值S。</w:t>
      </w:r>
    </w:p>
    <w:p w14:paraId="4063AD80">
      <w:pPr>
        <w:pageBreakBefore w:val="0"/>
        <w:wordWrap/>
        <w:bidi w:val="0"/>
        <w:spacing w:line="360" w:lineRule="auto"/>
        <w:ind w:firstLine="480" w:firstLineChars="200"/>
        <w:jc w:val="center"/>
        <w:outlineLvl w:val="9"/>
        <w:rPr>
          <w:rFonts w:ascii="仿宋" w:hAnsi="仿宋" w:eastAsia="仿宋" w:cs="仿宋"/>
          <w:sz w:val="24"/>
          <w:szCs w:val="24"/>
        </w:rPr>
      </w:pPr>
      <w:r>
        <w:rPr>
          <w:rFonts w:ascii="仿宋" w:hAnsi="仿宋" w:eastAsia="仿宋" w:cs="仿宋"/>
          <w:sz w:val="24"/>
          <w:szCs w:val="24"/>
        </w:rPr>
        <w:object>
          <v:shape id="_x0000_i1136" o:spt="75" type="#_x0000_t75" style="height:57pt;width:127.5pt;" o:ole="t" filled="f" o:preferrelative="t" stroked="f" coordsize="21600,21600">
            <v:path/>
            <v:fill on="f" focussize="0,0"/>
            <v:stroke on="f" joinstyle="miter"/>
            <v:imagedata r:id="rId262" o:title=""/>
            <o:lock v:ext="edit" aspectratio="t"/>
            <w10:wrap type="none"/>
            <w10:anchorlock/>
          </v:shape>
          <o:OLEObject Type="Embed" ProgID="Equation.3" ShapeID="_x0000_i1136" DrawAspect="Content" ObjectID="_1468075836" r:id="rId261">
            <o:LockedField>false</o:LockedField>
          </o:OLEObject>
        </w:object>
      </w:r>
    </w:p>
    <w:p w14:paraId="38050D54">
      <w:pPr>
        <w:pageBreakBefore w:val="0"/>
        <w:wordWrap/>
        <w:bidi w:val="0"/>
        <w:spacing w:line="360" w:lineRule="auto"/>
        <w:ind w:firstLine="480" w:firstLineChars="200"/>
        <w:jc w:val="center"/>
        <w:outlineLvl w:val="9"/>
        <w:rPr>
          <w:rFonts w:ascii="仿宋" w:hAnsi="仿宋" w:eastAsia="仿宋" w:cs="仿宋"/>
          <w:sz w:val="24"/>
          <w:szCs w:val="24"/>
        </w:rPr>
      </w:pPr>
      <w:r>
        <w:rPr>
          <w:rFonts w:ascii="仿宋" w:hAnsi="仿宋" w:eastAsia="仿宋" w:cs="仿宋"/>
          <w:sz w:val="24"/>
          <w:szCs w:val="24"/>
        </w:rPr>
        <w:object>
          <v:shape id="_x0000_i1137" o:spt="75" type="#_x0000_t75" style="height:36pt;width:141.75pt;" o:ole="t" filled="f" o:preferrelative="t" stroked="f" coordsize="21600,21600">
            <v:path/>
            <v:fill on="f" focussize="0,0"/>
            <v:stroke on="f" joinstyle="miter"/>
            <v:imagedata r:id="rId264" o:title=""/>
            <o:lock v:ext="edit" aspectratio="t"/>
            <w10:wrap type="none"/>
            <w10:anchorlock/>
          </v:shape>
          <o:OLEObject Type="Embed" ProgID="Equation.3" ShapeID="_x0000_i1137" DrawAspect="Content" ObjectID="_1468075837" r:id="rId263">
            <o:LockedField>false</o:LockedField>
          </o:OLEObject>
        </w:object>
      </w:r>
    </w:p>
    <w:p w14:paraId="60086CE1">
      <w:pPr>
        <w:pageBreakBefore w:val="0"/>
        <w:wordWrap/>
        <w:bidi w:val="0"/>
        <w:spacing w:line="360" w:lineRule="auto"/>
        <w:ind w:firstLine="600" w:firstLineChars="250"/>
        <w:jc w:val="left"/>
        <w:outlineLvl w:val="9"/>
        <w:rPr>
          <w:rFonts w:ascii="仿宋" w:hAnsi="仿宋" w:eastAsia="仿宋" w:cs="仿宋"/>
          <w:sz w:val="24"/>
          <w:szCs w:val="24"/>
        </w:rPr>
      </w:pPr>
      <w:r>
        <w:rPr>
          <w:rFonts w:hint="eastAsia" w:ascii="仿宋" w:hAnsi="仿宋" w:eastAsia="仿宋" w:cs="仿宋"/>
          <w:sz w:val="24"/>
          <w:szCs w:val="24"/>
        </w:rPr>
        <w:t>式中：</w:t>
      </w:r>
    </w:p>
    <w:p w14:paraId="0AC1DFDF">
      <w:pPr>
        <w:pageBreakBefore w:val="0"/>
        <w:wordWrap/>
        <w:bidi w:val="0"/>
        <w:spacing w:line="360" w:lineRule="auto"/>
        <w:ind w:firstLine="600" w:firstLineChars="250"/>
        <w:jc w:val="left"/>
        <w:outlineLvl w:val="9"/>
        <w:rPr>
          <w:rFonts w:ascii="仿宋" w:hAnsi="仿宋" w:eastAsia="仿宋" w:cs="仿宋"/>
          <w:sz w:val="24"/>
          <w:szCs w:val="24"/>
        </w:rPr>
      </w:pPr>
      <w:r>
        <w:rPr>
          <w:rFonts w:hint="eastAsia" w:ascii="仿宋" w:hAnsi="仿宋" w:eastAsia="仿宋" w:cs="仿宋"/>
          <w:sz w:val="24"/>
          <w:szCs w:val="24"/>
        </w:rPr>
        <w:object>
          <v:shape id="_x0000_i1138" o:spt="75" type="#_x0000_t75" style="height:16.5pt;width:18.75pt;" o:ole="t" filled="f" o:preferrelative="t" stroked="f" coordsize="21600,21600">
            <v:path/>
            <v:fill on="f" focussize="0,0"/>
            <v:stroke on="f" joinstyle="miter"/>
            <v:imagedata r:id="rId266" o:title=""/>
            <o:lock v:ext="edit" aspectratio="t"/>
            <w10:wrap type="none"/>
            <w10:anchorlock/>
          </v:shape>
          <o:OLEObject Type="Embed" ProgID="Equation.3" ShapeID="_x0000_i1138" DrawAspect="Content" ObjectID="_1468075838" r:id="rId265">
            <o:LockedField>false</o:LockedField>
          </o:OLEObject>
        </w:object>
      </w:r>
      <w:r>
        <w:rPr>
          <w:rFonts w:hint="eastAsia" w:ascii="仿宋" w:hAnsi="仿宋" w:eastAsia="仿宋" w:cs="仿宋"/>
          <w:sz w:val="24"/>
          <w:szCs w:val="24"/>
        </w:rPr>
        <w:t>—第j台仪器的噪声均方根值;</w:t>
      </w:r>
    </w:p>
    <w:p w14:paraId="4054EFDE">
      <w:pPr>
        <w:pageBreakBefore w:val="0"/>
        <w:wordWrap/>
        <w:bidi w:val="0"/>
        <w:spacing w:line="360" w:lineRule="auto"/>
        <w:ind w:firstLine="600" w:firstLineChars="250"/>
        <w:jc w:val="left"/>
        <w:outlineLvl w:val="9"/>
        <w:rPr>
          <w:rFonts w:ascii="仿宋" w:hAnsi="仿宋" w:eastAsia="仿宋" w:cs="仿宋"/>
          <w:sz w:val="24"/>
          <w:szCs w:val="24"/>
        </w:rPr>
      </w:pPr>
      <w:r>
        <w:rPr>
          <w:rFonts w:hint="eastAsia" w:ascii="仿宋" w:hAnsi="仿宋" w:eastAsia="仿宋" w:cs="仿宋"/>
          <w:sz w:val="24"/>
          <w:szCs w:val="24"/>
        </w:rPr>
        <w:object>
          <v:shape id="_x0000_i1139" o:spt="75" type="#_x0000_t75" style="height:15pt;width:33.75pt;" o:ole="t" filled="f" o:preferrelative="t" stroked="f" coordsize="21600,21600">
            <v:path/>
            <v:fill on="f" focussize="0,0"/>
            <v:stroke on="f" joinstyle="miter"/>
            <v:imagedata r:id="rId268" o:title=""/>
            <o:lock v:ext="edit" aspectratio="t"/>
            <w10:wrap type="none"/>
            <w10:anchorlock/>
          </v:shape>
          <o:OLEObject Type="Embed" ProgID="Equation.3" ShapeID="_x0000_i1139" DrawAspect="Content" ObjectID="_1468075839" r:id="rId267">
            <o:LockedField>false</o:LockedField>
          </o:OLEObject>
        </w:object>
      </w:r>
      <w:r>
        <w:rPr>
          <w:rFonts w:hint="eastAsia" w:ascii="仿宋" w:hAnsi="仿宋" w:eastAsia="仿宋" w:cs="仿宋"/>
          <w:sz w:val="24"/>
          <w:szCs w:val="24"/>
        </w:rPr>
        <w:t>—第j台仪器第i时的观测值</w:t>
      </w:r>
      <w:r>
        <w:rPr>
          <w:rFonts w:hint="eastAsia" w:ascii="仿宋" w:hAnsi="仿宋" w:eastAsia="仿宋" w:cs="仿宋"/>
          <w:sz w:val="24"/>
          <w:szCs w:val="24"/>
        </w:rPr>
        <w:object>
          <v:shape id="_x0000_i1140" o:spt="75" type="#_x0000_t75" style="height:17.25pt;width:28.5pt;" o:ole="t" filled="f" o:preferrelative="t" stroked="f" coordsize="21600,21600">
            <v:path/>
            <v:fill on="f" focussize="0,0"/>
            <v:stroke on="f" joinstyle="miter"/>
            <v:imagedata r:id="rId270" o:title=""/>
            <o:lock v:ext="edit" aspectratio="t"/>
            <w10:wrap type="none"/>
            <w10:anchorlock/>
          </v:shape>
          <o:OLEObject Type="Embed" ProgID="Equation.3" ShapeID="_x0000_i1140" DrawAspect="Content" ObjectID="_1468075840" r:id="rId269">
            <o:LockedField>false</o:LockedField>
          </o:OLEObject>
        </w:object>
      </w:r>
      <w:r>
        <w:rPr>
          <w:rFonts w:hint="eastAsia" w:ascii="仿宋" w:hAnsi="仿宋" w:eastAsia="仿宋" w:cs="仿宋"/>
          <w:sz w:val="24"/>
          <w:szCs w:val="24"/>
        </w:rPr>
        <w:t>与起始值观测值</w:t>
      </w:r>
      <w:r>
        <w:rPr>
          <w:rFonts w:hint="eastAsia" w:ascii="仿宋" w:hAnsi="仿宋" w:eastAsia="仿宋" w:cs="仿宋"/>
          <w:sz w:val="24"/>
          <w:szCs w:val="24"/>
        </w:rPr>
        <w:object>
          <v:shape id="_x0000_i1141" o:spt="75" type="#_x0000_t75" style="height:21.75pt;width:33.75pt;" o:ole="t" filled="f" o:preferrelative="t" stroked="f" coordsize="21600,21600">
            <v:path/>
            <v:fill on="f" focussize="0,0"/>
            <v:stroke on="f" joinstyle="miter"/>
            <v:imagedata r:id="rId272" o:title=""/>
            <o:lock v:ext="edit" aspectratio="t"/>
            <w10:wrap type="none"/>
            <w10:anchorlock/>
          </v:shape>
          <o:OLEObject Type="Embed" ProgID="Equation.3" ShapeID="_x0000_i1141" DrawAspect="Content" ObjectID="_1468075841" r:id="rId271">
            <o:LockedField>false</o:LockedField>
          </o:OLEObject>
        </w:object>
      </w:r>
      <w:r>
        <w:rPr>
          <w:rFonts w:hint="eastAsia" w:ascii="仿宋" w:hAnsi="仿宋" w:eastAsia="仿宋" w:cs="仿宋"/>
          <w:sz w:val="24"/>
          <w:szCs w:val="24"/>
        </w:rPr>
        <w:t>的差值；</w:t>
      </w:r>
    </w:p>
    <w:p w14:paraId="37956212">
      <w:pPr>
        <w:pageBreakBefore w:val="0"/>
        <w:wordWrap/>
        <w:bidi w:val="0"/>
        <w:spacing w:line="360" w:lineRule="auto"/>
        <w:ind w:firstLine="600" w:firstLineChars="250"/>
        <w:jc w:val="left"/>
        <w:outlineLvl w:val="9"/>
        <w:rPr>
          <w:rFonts w:ascii="仿宋" w:hAnsi="仿宋" w:eastAsia="仿宋" w:cs="仿宋"/>
          <w:sz w:val="24"/>
          <w:szCs w:val="24"/>
        </w:rPr>
      </w:pPr>
      <w:r>
        <w:rPr>
          <w:rFonts w:hint="eastAsia" w:ascii="仿宋" w:hAnsi="仿宋" w:eastAsia="仿宋" w:cs="仿宋"/>
          <w:sz w:val="24"/>
          <w:szCs w:val="24"/>
        </w:rPr>
        <w:object>
          <v:shape id="_x0000_i1142" o:spt="75" type="#_x0000_t75" style="height:14.25pt;width:21.75pt;" o:ole="t" filled="f" o:preferrelative="t" stroked="f" coordsize="21600,21600">
            <v:path/>
            <v:fill on="f" focussize="0,0"/>
            <v:stroke on="f" joinstyle="miter"/>
            <v:imagedata r:id="rId274" o:title=""/>
            <o:lock v:ext="edit" aspectratio="t"/>
            <w10:wrap type="none"/>
            <w10:anchorlock/>
          </v:shape>
          <o:OLEObject Type="Embed" ProgID="Equation.3" ShapeID="_x0000_i1142" DrawAspect="Content" ObjectID="_1468075842" r:id="rId273">
            <o:LockedField>false</o:LockedField>
          </o:OLEObject>
        </w:object>
      </w:r>
      <w:r>
        <w:rPr>
          <w:rFonts w:hint="eastAsia" w:ascii="仿宋" w:hAnsi="仿宋" w:eastAsia="仿宋" w:cs="仿宋"/>
          <w:sz w:val="24"/>
          <w:szCs w:val="24"/>
        </w:rPr>
        <w:t>—所有仪器第i时</w:t>
      </w:r>
      <w:r>
        <w:rPr>
          <w:rFonts w:hint="eastAsia" w:ascii="仿宋" w:hAnsi="仿宋" w:eastAsia="仿宋" w:cs="仿宋"/>
          <w:sz w:val="24"/>
          <w:szCs w:val="24"/>
        </w:rPr>
        <w:object>
          <v:shape id="_x0000_i1143" o:spt="75" type="#_x0000_t75" style="height:14.25pt;width:32.25pt;" o:ole="t" filled="f" o:preferrelative="t" stroked="f" coordsize="21600,21600">
            <v:path/>
            <v:fill on="f" focussize="0,0"/>
            <v:stroke on="f" joinstyle="miter"/>
            <v:imagedata r:id="rId268" o:title=""/>
            <o:lock v:ext="edit" aspectratio="t"/>
            <w10:wrap type="none"/>
            <w10:anchorlock/>
          </v:shape>
          <o:OLEObject Type="Embed" ProgID="Equation.3" ShapeID="_x0000_i1143" DrawAspect="Content" ObjectID="_1468075843" r:id="rId275">
            <o:LockedField>false</o:LockedField>
          </o:OLEObject>
        </w:object>
      </w:r>
      <w:r>
        <w:rPr>
          <w:rFonts w:hint="eastAsia" w:ascii="仿宋" w:hAnsi="仿宋" w:eastAsia="仿宋" w:cs="仿宋"/>
          <w:sz w:val="24"/>
          <w:szCs w:val="24"/>
        </w:rPr>
        <w:t>的算数平均值；</w:t>
      </w:r>
    </w:p>
    <w:p w14:paraId="25E52595">
      <w:pPr>
        <w:pageBreakBefore w:val="0"/>
        <w:wordWrap/>
        <w:bidi w:val="0"/>
        <w:spacing w:line="360" w:lineRule="auto"/>
        <w:ind w:firstLine="600" w:firstLineChars="250"/>
        <w:jc w:val="left"/>
        <w:outlineLvl w:val="9"/>
        <w:rPr>
          <w:rFonts w:ascii="仿宋" w:hAnsi="仿宋" w:eastAsia="仿宋" w:cs="仿宋"/>
          <w:sz w:val="24"/>
          <w:szCs w:val="24"/>
        </w:rPr>
      </w:pPr>
      <w:r>
        <w:rPr>
          <w:rFonts w:hint="eastAsia" w:ascii="仿宋" w:hAnsi="仿宋" w:eastAsia="仿宋" w:cs="仿宋"/>
          <w:sz w:val="24"/>
          <w:szCs w:val="24"/>
        </w:rPr>
        <w:t>n—总观测数，i=1,2,3……n；</w:t>
      </w:r>
    </w:p>
    <w:p w14:paraId="03883D82">
      <w:pPr>
        <w:pageBreakBefore w:val="0"/>
        <w:wordWrap/>
        <w:bidi w:val="0"/>
        <w:spacing w:line="360" w:lineRule="auto"/>
        <w:ind w:firstLine="600" w:firstLineChars="250"/>
        <w:jc w:val="left"/>
        <w:outlineLvl w:val="9"/>
        <w:rPr>
          <w:rFonts w:ascii="仿宋" w:hAnsi="仿宋" w:eastAsia="仿宋" w:cs="仿宋"/>
          <w:sz w:val="24"/>
          <w:szCs w:val="24"/>
        </w:rPr>
      </w:pPr>
      <w:r>
        <w:rPr>
          <w:rFonts w:hint="eastAsia" w:ascii="仿宋" w:hAnsi="仿宋" w:eastAsia="仿宋" w:cs="仿宋"/>
          <w:sz w:val="24"/>
          <w:szCs w:val="24"/>
        </w:rPr>
        <w:t>m—磁力仪个数，j=1,2,3……m。</w:t>
      </w:r>
    </w:p>
    <w:p w14:paraId="60FC9DD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磁力仪噪声水平测定结果不大于1.0nT。</w:t>
      </w:r>
    </w:p>
    <w:p w14:paraId="2F462CF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2．观测误差试验</w:t>
      </w:r>
    </w:p>
    <w:p w14:paraId="788687B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各仪器的观测误差试验选择在无人文干扰且磁场平稳的地方进行往返观测，观测点不少于50个，点距不小于20米，投入使用的磁力仪在这些测点上按校正点-测点-校正点的方式进行观测。</w:t>
      </w:r>
    </w:p>
    <w:p w14:paraId="26993FB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仪器观测均方误差的计算公式为：</w:t>
      </w:r>
    </w:p>
    <w:p w14:paraId="2DFAE66F">
      <w:pPr>
        <w:pageBreakBefore w:val="0"/>
        <w:wordWrap/>
        <w:bidi w:val="0"/>
        <w:spacing w:line="360" w:lineRule="auto"/>
        <w:ind w:firstLine="480" w:firstLineChars="200"/>
        <w:jc w:val="center"/>
        <w:outlineLvl w:val="9"/>
        <w:rPr>
          <w:rFonts w:ascii="仿宋" w:hAnsi="仿宋" w:eastAsia="仿宋" w:cs="仿宋"/>
          <w:sz w:val="24"/>
          <w:szCs w:val="24"/>
        </w:rPr>
      </w:pPr>
      <w:r>
        <w:rPr>
          <w:rFonts w:hint="eastAsia" w:ascii="仿宋" w:hAnsi="仿宋" w:eastAsia="仿宋" w:cs="仿宋"/>
          <w:sz w:val="24"/>
          <w:szCs w:val="24"/>
        </w:rPr>
        <w:object>
          <v:shape id="_x0000_i1144" o:spt="75" type="#_x0000_t75" style="height:54pt;width:67.5pt;" o:ole="t" filled="f" o:preferrelative="t" stroked="f" coordsize="21600,21600">
            <v:path/>
            <v:fill on="f" focussize="0,0"/>
            <v:stroke on="f" joinstyle="miter"/>
            <v:imagedata r:id="rId277" o:title=""/>
            <o:lock v:ext="edit" aspectratio="t"/>
            <w10:wrap type="none"/>
            <w10:anchorlock/>
          </v:shape>
          <o:OLEObject Type="Embed" ProgID="Equation.3" ShapeID="_x0000_i1144" DrawAspect="Content" ObjectID="_1468075844" r:id="rId276">
            <o:LockedField>false</o:LockedField>
          </o:OLEObject>
        </w:object>
      </w:r>
    </w:p>
    <w:p w14:paraId="0C5BDA3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w:t>
      </w:r>
    </w:p>
    <w:p w14:paraId="2644AD59">
      <w:pPr>
        <w:pageBreakBefore w:val="0"/>
        <w:wordWrap/>
        <w:bidi w:val="0"/>
        <w:spacing w:line="360" w:lineRule="auto"/>
        <w:ind w:firstLine="480" w:firstLineChars="200"/>
        <w:outlineLvl w:val="9"/>
        <w:rPr>
          <w:rFonts w:ascii="仿宋" w:hAnsi="仿宋" w:eastAsia="仿宋" w:cs="仿宋"/>
          <w:sz w:val="24"/>
          <w:szCs w:val="24"/>
        </w:rPr>
      </w:pPr>
      <w:r>
        <w:rPr>
          <w:rFonts w:ascii="仿宋" w:hAnsi="仿宋" w:eastAsia="仿宋" w:cs="仿宋"/>
          <w:sz w:val="24"/>
          <w:szCs w:val="24"/>
        </w:rPr>
        <w:drawing>
          <wp:inline distT="0" distB="0" distL="0" distR="0">
            <wp:extent cx="163830" cy="18097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a:xfrm>
                      <a:off x="0" y="0"/>
                      <a:ext cx="163830" cy="180975"/>
                    </a:xfrm>
                    <a:prstGeom prst="rect">
                      <a:avLst/>
                    </a:prstGeom>
                    <a:noFill/>
                    <a:ln>
                      <a:noFill/>
                    </a:ln>
                  </pic:spPr>
                </pic:pic>
              </a:graphicData>
            </a:graphic>
          </wp:inline>
        </w:drawing>
      </w:r>
      <w:r>
        <w:rPr>
          <w:rFonts w:hint="eastAsia" w:ascii="仿宋" w:hAnsi="仿宋" w:eastAsia="仿宋" w:cs="仿宋"/>
          <w:sz w:val="24"/>
          <w:szCs w:val="24"/>
        </w:rPr>
        <w:t>－仪器观测误差；</w:t>
      </w:r>
    </w:p>
    <w:p w14:paraId="5F75EC7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45" o:spt="75" type="#_x0000_t75" style="height:17.25pt;width:12pt;" o:ole="t" filled="f" o:preferrelative="t" stroked="f" coordsize="21600,21600">
            <v:path/>
            <v:fill on="f" focussize="0,0"/>
            <v:stroke on="f" joinstyle="miter"/>
            <v:imagedata r:id="rId280" o:title=""/>
            <o:lock v:ext="edit" aspectratio="t"/>
            <w10:wrap type="none"/>
            <w10:anchorlock/>
          </v:shape>
          <o:OLEObject Type="Embed" ProgID="Equation.3" ShapeID="_x0000_i1145" DrawAspect="Content" ObjectID="_1468075845" r:id="rId279">
            <o:LockedField>false</o:LockedField>
          </o:OLEObject>
        </w:object>
      </w:r>
      <w:r>
        <w:rPr>
          <w:rFonts w:hint="eastAsia" w:ascii="仿宋" w:hAnsi="仿宋" w:eastAsia="仿宋" w:cs="仿宋"/>
          <w:sz w:val="24"/>
          <w:szCs w:val="24"/>
        </w:rPr>
        <w:t>－仪器第i点往、返观测值经日变改正后的差值；</w:t>
      </w:r>
    </w:p>
    <w:p w14:paraId="4FA58BA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n－观测点数，i＝1，2，3，……n。</w:t>
      </w:r>
    </w:p>
    <w:p w14:paraId="03222FF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要求所有仪器的观测误差不大于1.5nT。</w:t>
      </w:r>
    </w:p>
    <w:p w14:paraId="584069A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3．系统误差试验</w:t>
      </w:r>
    </w:p>
    <w:p w14:paraId="3DA3A90C">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同一工区使用两台及以上仪器时，应进行仪器系统误差测定。各仪器的系统误差试验选择在无人文干扰且磁场平稳的地方进行，观测点不少于50个，点距不小于20米，按相同顺序进行单次观测，投入使用的磁力仪在这些测点上按校正点-测点-校正点的方式进行观测。</w:t>
      </w:r>
    </w:p>
    <w:p w14:paraId="5C45C13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仪器系统误差计算公式为：</w:t>
      </w:r>
    </w:p>
    <w:p w14:paraId="4DDB8724">
      <w:pPr>
        <w:pageBreakBefore w:val="0"/>
        <w:wordWrap/>
        <w:bidi w:val="0"/>
        <w:spacing w:line="360" w:lineRule="auto"/>
        <w:jc w:val="center"/>
        <w:outlineLvl w:val="9"/>
        <w:rPr>
          <w:rFonts w:ascii="仿宋" w:hAnsi="仿宋" w:eastAsia="仿宋" w:cs="仿宋"/>
          <w:sz w:val="24"/>
          <w:szCs w:val="24"/>
        </w:rPr>
      </w:pPr>
      <w:r>
        <w:rPr>
          <w:rFonts w:hint="eastAsia" w:ascii="仿宋" w:hAnsi="仿宋" w:eastAsia="仿宋" w:cs="仿宋"/>
          <w:sz w:val="24"/>
          <w:szCs w:val="24"/>
        </w:rPr>
        <w:object>
          <v:shape id="_x0000_i1146" o:spt="75" type="#_x0000_t75" style="height:42.75pt;width:75pt;" o:ole="t" filled="f" o:preferrelative="t" stroked="f" coordsize="21600,21600">
            <v:path/>
            <v:fill on="f" focussize="0,0"/>
            <v:stroke on="f" joinstyle="miter"/>
            <v:imagedata r:id="rId282" o:title=""/>
            <o:lock v:ext="edit" aspectratio="t"/>
            <w10:wrap type="none"/>
            <w10:anchorlock/>
          </v:shape>
          <o:OLEObject Type="Embed" ProgID="Equation.3" ShapeID="_x0000_i1146" DrawAspect="Content" ObjectID="_1468075846" r:id="rId281">
            <o:LockedField>false</o:LockedField>
          </o:OLEObject>
        </w:object>
      </w:r>
    </w:p>
    <w:p w14:paraId="3379BD4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w:t>
      </w:r>
    </w:p>
    <w:p w14:paraId="7AFC88E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47" o:spt="75" type="#_x0000_t75" style="height:23.25pt;width:17.25pt;" o:ole="t" filled="f" o:preferrelative="t" stroked="f" coordsize="21600,21600">
            <v:path/>
            <v:fill on="f" focussize="0,0"/>
            <v:stroke on="f" joinstyle="miter"/>
            <v:imagedata r:id="rId284" o:title=""/>
            <o:lock v:ext="edit" aspectratio="t"/>
            <w10:wrap type="none"/>
            <w10:anchorlock/>
          </v:shape>
          <o:OLEObject Type="Embed" ProgID="Equation.3" ShapeID="_x0000_i1147" DrawAspect="Content" ObjectID="_1468075847" r:id="rId283">
            <o:LockedField>false</o:LockedField>
          </o:OLEObject>
        </w:object>
      </w:r>
      <w:r>
        <w:rPr>
          <w:rFonts w:hint="eastAsia" w:ascii="仿宋" w:hAnsi="仿宋" w:eastAsia="仿宋" w:cs="仿宋"/>
          <w:sz w:val="24"/>
          <w:szCs w:val="24"/>
        </w:rPr>
        <w:t>－仪器系统误差；</w:t>
      </w:r>
    </w:p>
    <w:p w14:paraId="01C4EBB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48" o:spt="75" type="#_x0000_t75" style="height:19.5pt;width:13.5pt;" o:ole="t" filled="f" o:preferrelative="t" stroked="f" coordsize="21600,21600">
            <v:path/>
            <v:fill on="f" focussize="0,0"/>
            <v:stroke on="f" joinstyle="miter"/>
            <v:imagedata r:id="rId286" o:title=""/>
            <o:lock v:ext="edit" aspectratio="t"/>
            <w10:wrap type="none"/>
            <w10:anchorlock/>
          </v:shape>
          <o:OLEObject Type="Embed" ProgID="Equation.3" ShapeID="_x0000_i1148" DrawAspect="Content" ObjectID="_1468075848" r:id="rId285">
            <o:LockedField>false</o:LockedField>
          </o:OLEObject>
        </w:object>
      </w:r>
      <w:r>
        <w:rPr>
          <w:rFonts w:hint="eastAsia" w:ascii="仿宋" w:hAnsi="仿宋" w:eastAsia="仿宋" w:cs="仿宋"/>
          <w:sz w:val="24"/>
          <w:szCs w:val="24"/>
        </w:rPr>
        <w:t>－单台仪器在第i点经日变改正后的磁力值与第i点经日变改正后所有磁力值平均值之差；</w:t>
      </w:r>
    </w:p>
    <w:p w14:paraId="35A4559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n－观测点数，i＝1，2，3，……n。</w:t>
      </w:r>
    </w:p>
    <w:p w14:paraId="6054571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要求所有仪器的系统误差不大于0.7nT。</w:t>
      </w:r>
    </w:p>
    <w:p w14:paraId="32FEC2A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4．一致性试验</w:t>
      </w:r>
    </w:p>
    <w:p w14:paraId="3947A23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各仪器的一致性试验在野外工作区实地测量，观测点不少于50个，点距不小于20米，，磁场稳定且少数点应处于较强的异常场上（大于设计观测均方误差的10倍）。投入使用的磁力仪在这些测点上按校正点-测点-校正点的方式进行往返观测，用经日变改正后的观测值计算总观测均方误差，计算公式为：</w:t>
      </w:r>
    </w:p>
    <w:p w14:paraId="65BBE07D">
      <w:pPr>
        <w:pageBreakBefore w:val="0"/>
        <w:wordWrap/>
        <w:bidi w:val="0"/>
        <w:spacing w:line="360" w:lineRule="auto"/>
        <w:ind w:firstLine="2400" w:firstLineChars="1000"/>
        <w:outlineLvl w:val="9"/>
        <w:rPr>
          <w:rFonts w:ascii="仿宋" w:hAnsi="仿宋" w:eastAsia="仿宋" w:cs="仿宋"/>
          <w:sz w:val="24"/>
          <w:szCs w:val="24"/>
        </w:rPr>
      </w:pPr>
      <w:r>
        <w:rPr>
          <w:rFonts w:hint="eastAsia" w:ascii="仿宋" w:hAnsi="仿宋" w:eastAsia="仿宋" w:cs="仿宋"/>
          <w:sz w:val="24"/>
          <w:szCs w:val="24"/>
        </w:rPr>
        <w:object>
          <v:shape id="_x0000_i1149" o:spt="75" type="#_x0000_t75" style="height:57pt;width:103.5pt;" o:ole="t" filled="f" o:preferrelative="t" stroked="f" coordsize="21600,21600">
            <v:path/>
            <v:fill on="f" focussize="0,0"/>
            <v:stroke on="f" joinstyle="miter"/>
            <v:imagedata r:id="rId288" o:title=""/>
            <o:lock v:ext="edit" aspectratio="t"/>
            <w10:wrap type="none"/>
            <w10:anchorlock/>
          </v:shape>
          <o:OLEObject Type="Embed" ProgID="Equation.3" ShapeID="_x0000_i1149" DrawAspect="Content" ObjectID="_1468075849" r:id="rId287">
            <o:LockedField>false</o:LockedField>
          </o:OLEObject>
        </w:object>
      </w:r>
      <w:r>
        <w:rPr>
          <w:rFonts w:hint="eastAsia" w:ascii="仿宋" w:hAnsi="仿宋" w:eastAsia="仿宋" w:cs="仿宋"/>
          <w:sz w:val="24"/>
          <w:szCs w:val="24"/>
        </w:rPr>
        <w:t xml:space="preserve">               </w:t>
      </w:r>
    </w:p>
    <w:p w14:paraId="3A0904F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w:t>
      </w:r>
    </w:p>
    <w:p w14:paraId="77355D2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50" o:spt="75" type="#_x0000_t75" style="height:25.5pt;width:17.25pt;" o:ole="t" filled="f" o:preferrelative="t" stroked="f" coordsize="21600,21600">
            <v:path/>
            <v:fill on="f" focussize="0,0"/>
            <v:stroke on="f" joinstyle="miter"/>
            <v:imagedata r:id="rId290" o:title=""/>
            <o:lock v:ext="edit" aspectratio="t"/>
            <w10:wrap type="none"/>
            <w10:anchorlock/>
          </v:shape>
          <o:OLEObject Type="Embed" ProgID="Equation.3" ShapeID="_x0000_i1150" DrawAspect="Content" ObjectID="_1468075850" r:id="rId289">
            <o:LockedField>false</o:LockedField>
          </o:OLEObject>
        </w:object>
      </w:r>
      <w:r>
        <w:rPr>
          <w:rFonts w:hint="eastAsia" w:ascii="仿宋" w:hAnsi="仿宋" w:eastAsia="仿宋" w:cs="仿宋"/>
          <w:sz w:val="24"/>
          <w:szCs w:val="24"/>
        </w:rPr>
        <w:t>---仪器一致性误差；</w:t>
      </w:r>
    </w:p>
    <w:p w14:paraId="5FD8735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51" o:spt="75" type="#_x0000_t75" style="height:22.5pt;width:17.25pt;" o:ole="t" filled="f" o:preferrelative="t" stroked="f" coordsize="21600,21600">
            <v:path/>
            <v:fill on="f" focussize="0,0"/>
            <v:stroke on="f" joinstyle="miter"/>
            <v:imagedata r:id="rId292" o:title=""/>
            <o:lock v:ext="edit" aspectratio="t"/>
            <w10:wrap type="none"/>
            <w10:anchorlock/>
          </v:shape>
          <o:OLEObject Type="Embed" ProgID="Equation.3" ShapeID="_x0000_i1151" DrawAspect="Content" ObjectID="_1468075851" r:id="rId291">
            <o:LockedField>false</o:LockedField>
          </o:OLEObject>
        </w:object>
      </w:r>
      <w:r>
        <w:rPr>
          <w:rFonts w:hint="eastAsia" w:ascii="仿宋" w:hAnsi="仿宋" w:eastAsia="仿宋" w:cs="仿宋"/>
          <w:sz w:val="24"/>
          <w:szCs w:val="24"/>
        </w:rPr>
        <w:t>---第j台仪器在第i点往或返的经日变校正的观测值与所有仪器在该点的经日变校正后的观测值的平均值之差；</w:t>
      </w:r>
    </w:p>
    <w:p w14:paraId="5DF567A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m－参加一致性观测的仪器台数；</w:t>
      </w:r>
    </w:p>
    <w:p w14:paraId="73730D2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n－观测点数，i＝1，2，3，……n。</w:t>
      </w:r>
    </w:p>
    <w:p w14:paraId="378D60B1">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要求所使用磁力仪的一致性试验总观测均方误差不大于2.0n。</w:t>
      </w:r>
    </w:p>
    <w:p w14:paraId="09928E7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（三）日变站的建立和日变基本场的确定</w:t>
      </w:r>
    </w:p>
    <w:p w14:paraId="5E9FE36C">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1．日变站的建立</w:t>
      </w:r>
    </w:p>
    <w:p w14:paraId="6A1662D3">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本次磁法测量范围较小，仅需设立一个日变基站。日变基站设立在正常场内，附近无磁性干扰物体，远离车道，使用方便且有利于长期保存。日变基站磁场的水平梯度和垂直梯度变化较小，在半径2米及高差0.5米范围内其变化不超过1.0nT/m。</w:t>
      </w:r>
    </w:p>
    <w:p w14:paraId="09D83D01">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为了了解一天或一段工作时间内仪器性能是否正常，日变站控制范围内设立一个磁测校正点，每个闭合观测单元的观测始于校正点，终于校正点。在校验点上前后两次读数经日变在改正后的差值小于两倍设计观测均方误差。</w:t>
      </w:r>
    </w:p>
    <w:p w14:paraId="1105819C">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2．日变站基本场值的确定</w:t>
      </w:r>
    </w:p>
    <w:p w14:paraId="107AF976">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使用质子磁力仪选取夜间地磁场平稳时段做日变观测，读数间隔不大于20s，选取2h内地磁场平均值变化不超过2nT的时间段，求取地磁场的平均值，即日变站的基本场值。</w:t>
      </w:r>
    </w:p>
    <w:p w14:paraId="7E6BD407">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3．日变站单独观测误差计算</w:t>
      </w:r>
    </w:p>
    <w:p w14:paraId="383C0B58">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依据规范要求进行日变站单独观测误差计算，计算公式为：</w:t>
      </w:r>
    </w:p>
    <w:p w14:paraId="3EA3243A">
      <w:pPr>
        <w:pageBreakBefore w:val="0"/>
        <w:tabs>
          <w:tab w:val="left" w:pos="3120"/>
          <w:tab w:val="left" w:pos="5220"/>
          <w:tab w:val="left" w:pos="7400"/>
        </w:tabs>
        <w:wordWrap/>
        <w:bidi w:val="0"/>
        <w:spacing w:line="360" w:lineRule="auto"/>
        <w:ind w:firstLine="480"/>
        <w:jc w:val="center"/>
        <w:outlineLvl w:val="9"/>
        <w:rPr>
          <w:rFonts w:ascii="仿宋" w:hAnsi="仿宋" w:eastAsia="仿宋" w:cs="仿宋"/>
          <w:sz w:val="24"/>
          <w:szCs w:val="24"/>
        </w:rPr>
      </w:pPr>
      <w:r>
        <w:rPr>
          <w:rFonts w:hint="eastAsia" w:ascii="仿宋" w:hAnsi="仿宋" w:eastAsia="仿宋" w:cs="仿宋"/>
          <w:sz w:val="24"/>
          <w:szCs w:val="24"/>
        </w:rPr>
        <w:object>
          <v:shape id="_x0000_i1152" o:spt="75" type="#_x0000_t75" style="height:54pt;width:108pt;" o:ole="t" filled="f" o:preferrelative="t" stroked="f" coordsize="21600,21600">
            <v:path/>
            <v:fill on="f" focussize="0,0"/>
            <v:stroke on="f" joinstyle="miter"/>
            <v:imagedata r:id="rId294" o:title=""/>
            <o:lock v:ext="edit" aspectratio="t"/>
            <w10:wrap type="none"/>
            <w10:anchorlock/>
          </v:shape>
          <o:OLEObject Type="Embed" ProgID="Equation.3" ShapeID="_x0000_i1152" DrawAspect="Content" ObjectID="_1468075852" r:id="rId293">
            <o:LockedField>false</o:LockedField>
          </o:OLEObject>
        </w:object>
      </w:r>
    </w:p>
    <w:p w14:paraId="572CE4FF">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式中：</w:t>
      </w:r>
    </w:p>
    <w:p w14:paraId="7F275ED4">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object>
          <v:shape id="_x0000_i1153" o:spt="75" type="#_x0000_t75" style="height:25.5pt;width:17.25pt;" o:ole="t" filled="f" o:preferrelative="t" stroked="f" coordsize="21600,21600">
            <v:path/>
            <v:fill on="f" focussize="0,0"/>
            <v:stroke on="f" joinstyle="miter"/>
            <v:imagedata r:id="rId296" o:title=""/>
            <o:lock v:ext="edit" aspectratio="t"/>
            <w10:wrap type="none"/>
            <w10:anchorlock/>
          </v:shape>
          <o:OLEObject Type="Embed" ProgID="Equation.3" ShapeID="_x0000_i1153" DrawAspect="Content" ObjectID="_1468075853" r:id="rId295">
            <o:LockedField>false</o:LockedField>
          </o:OLEObject>
        </w:object>
      </w:r>
      <w:r>
        <w:rPr>
          <w:rFonts w:hint="eastAsia" w:ascii="仿宋" w:hAnsi="仿宋" w:eastAsia="仿宋" w:cs="仿宋"/>
          <w:sz w:val="24"/>
          <w:szCs w:val="24"/>
        </w:rPr>
        <w:t>－日变站基本场值测定误差；</w:t>
      </w:r>
    </w:p>
    <w:p w14:paraId="48CCF906">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object>
          <v:shape id="_x0000_i1154" o:spt="75" type="#_x0000_t75" style="height:15.75pt;width:15pt;" o:ole="t" filled="f" o:preferrelative="t" stroked="f" coordsize="21600,21600">
            <v:path/>
            <v:fill on="f" focussize="0,0"/>
            <v:stroke on="f" joinstyle="miter"/>
            <v:imagedata r:id="rId298" o:title=""/>
            <o:lock v:ext="edit" aspectratio="t"/>
            <w10:wrap type="none"/>
            <w10:anchorlock/>
          </v:shape>
          <o:OLEObject Type="Embed" ProgID="Equation.3" ShapeID="_x0000_i1154" DrawAspect="Content" ObjectID="_1468075854" r:id="rId297">
            <o:LockedField>false</o:LockedField>
          </o:OLEObject>
        </w:object>
      </w:r>
      <w:r>
        <w:rPr>
          <w:rFonts w:hint="eastAsia" w:ascii="仿宋" w:hAnsi="仿宋" w:eastAsia="仿宋" w:cs="仿宋"/>
          <w:sz w:val="24"/>
          <w:szCs w:val="24"/>
        </w:rPr>
        <w:t>－该处基本磁场值；</w:t>
      </w:r>
    </w:p>
    <w:p w14:paraId="63ECF677">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object>
          <v:shape id="_x0000_i1155" o:spt="75" type="#_x0000_t75" style="height:15pt;width:14.25pt;" o:ole="t" filled="f" o:preferrelative="t" stroked="f" coordsize="21600,21600">
            <v:path/>
            <v:fill on="f" focussize="0,0"/>
            <v:stroke on="f" joinstyle="miter"/>
            <v:imagedata r:id="rId300" o:title=""/>
            <o:lock v:ext="edit" aspectratio="t"/>
            <w10:wrap type="none"/>
            <w10:anchorlock/>
          </v:shape>
          <o:OLEObject Type="Embed" ProgID="Equation.3" ShapeID="_x0000_i1155" DrawAspect="Content" ObjectID="_1468075855" r:id="rId299">
            <o:LockedField>false</o:LockedField>
          </o:OLEObject>
        </w:object>
      </w:r>
      <w:r>
        <w:rPr>
          <w:rFonts w:hint="eastAsia" w:ascii="仿宋" w:hAnsi="仿宋" w:eastAsia="仿宋" w:cs="仿宋"/>
          <w:sz w:val="24"/>
          <w:szCs w:val="24"/>
        </w:rPr>
        <w:t>－第i时刻日变站的观测值；</w:t>
      </w:r>
    </w:p>
    <w:p w14:paraId="6CD09C10">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n－参与统计的地磁场</w:t>
      </w:r>
      <w:r>
        <w:rPr>
          <w:rFonts w:hint="eastAsia" w:ascii="仿宋" w:hAnsi="仿宋" w:eastAsia="仿宋" w:cs="仿宋"/>
          <w:sz w:val="24"/>
          <w:szCs w:val="24"/>
        </w:rPr>
        <w:object>
          <v:shape id="_x0000_i1156" o:spt="75" type="#_x0000_t75" style="height:15.75pt;width:15pt;" o:ole="t" filled="f" o:preferrelative="t" stroked="f" coordsize="21600,21600">
            <v:path/>
            <v:fill on="f" focussize="0,0"/>
            <v:stroke on="f" joinstyle="miter"/>
            <v:imagedata r:id="rId300" o:title=""/>
            <o:lock v:ext="edit" aspectratio="t"/>
            <w10:wrap type="none"/>
            <w10:anchorlock/>
          </v:shape>
          <o:OLEObject Type="Embed" ProgID="Equation.3" ShapeID="_x0000_i1156" DrawAspect="Content" ObjectID="_1468075856" r:id="rId301">
            <o:LockedField>false</o:LockedField>
          </o:OLEObject>
        </w:object>
      </w:r>
      <w:r>
        <w:rPr>
          <w:rFonts w:hint="eastAsia" w:ascii="仿宋" w:hAnsi="仿宋" w:eastAsia="仿宋" w:cs="仿宋"/>
          <w:sz w:val="24"/>
          <w:szCs w:val="24"/>
        </w:rPr>
        <w:t>值总数。</w:t>
      </w:r>
    </w:p>
    <w:p w14:paraId="3D436567">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要求日变站基本场值测定误差不大于1.8nT。</w:t>
      </w:r>
    </w:p>
    <w:p w14:paraId="27D7F05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（四）日变观测</w:t>
      </w:r>
    </w:p>
    <w:p w14:paraId="410AA838">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1．工作前,对进行日变观测仪器,应与所有参与测点观测的仪器进行秒级时间同步调对。</w:t>
      </w:r>
    </w:p>
    <w:p w14:paraId="1E8014FB">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2．应在投人施工的同类型仪器中,挑选性能最好的磁力仪进行日变观测。采样间隔5s～20s。</w:t>
      </w:r>
    </w:p>
    <w:p w14:paraId="0272752E">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3．日变站架设时,应保证每天位置准确,同时每天探杆应保持竖直且探头高度一致。</w:t>
      </w:r>
    </w:p>
    <w:p w14:paraId="7AA91BDE">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4．在一个工作日内,日变观测应始于早校正点观测之前,终于晚校正点观测之后。</w:t>
      </w:r>
    </w:p>
    <w:p w14:paraId="0DCA9882">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5．在每一个测区开工前,应做少量的昼夜连续观测,以了解仪器性能和短周期日变特征。</w:t>
      </w:r>
    </w:p>
    <w:p w14:paraId="76481A1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（五）测点观测</w:t>
      </w:r>
    </w:p>
    <w:p w14:paraId="56CFE328">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1．每天工作前,所有观测仪器均应进行秒级时间同步调对。</w:t>
      </w:r>
    </w:p>
    <w:p w14:paraId="08C3BC3F">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2．每个闭合观测单元的观测,应始于校正点,终于校正点。长剖面工作,如果一天内不能结束工作并且无法回到校正点进行观测时,应在当日观测的剖面末端设2个～3个连接点,次日观测从重复各连接点的观测开始,并于剖面观测结束后回到校正点观测。当在校正点上的前后两次读数,经日变改正后的差值超过两倍设计观测均方误差时,则全闭合观测单元工作量报废,并查明仪器不正常的原因。</w:t>
      </w:r>
    </w:p>
    <w:p w14:paraId="1553886D">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3．测点观测时应遵守下列要求,并随时注意观测结果的变化,及时采取妥善的处理措施:</w:t>
      </w:r>
    </w:p>
    <w:p w14:paraId="5D9B537C">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a)在工作时,应在校正点及测点观测两次读数,两次读数差不应大于观测精度,否则应查明原因;</w:t>
      </w:r>
    </w:p>
    <w:p w14:paraId="6077154A">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b)观测时,观测人员应“去磁”即不能带小刀、发卡、皮带扣、鞋扣等磁性物品,应携带的磁性物件和其他有磁性的设备应离开测点一定距离,这个距离可以通过试验确定,以不影响观测结果为原则;</w:t>
      </w:r>
    </w:p>
    <w:p w14:paraId="15033A27">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c)观测时应保证点位准确,同时每次观测时探杆应保持竖直且探头高度一致;</w:t>
      </w:r>
    </w:p>
    <w:p w14:paraId="02CDFB99">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d)观测时如遇事故(如仪器受震),仪器性能可能发生突然变化时,应回到事故发生前测过的几个测点上(点位应正确)做重复观测,必要时应回到校正点上做重复观测,以检查仪器性能,当确认仪器性能正常后,方可继续观测。</w:t>
      </w:r>
    </w:p>
    <w:p w14:paraId="34872F72">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4．当观测结果出现如下变化时,应采取相应措施</w:t>
      </w:r>
    </w:p>
    <w:p w14:paraId="00951671">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a)当相邻两测点读数相差较大时,或当有值得注意的地质现象时,应加密观测点和重复测量;</w:t>
      </w:r>
    </w:p>
    <w:p w14:paraId="6B7B13DA">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b)当相邻测线的异常特征明显不一致时,应加密测线;</w:t>
      </w:r>
    </w:p>
    <w:p w14:paraId="1D38C345">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c)当测区边缘发现可能有意义的异常或值得注意的地质现象时,应追踪观测;</w:t>
      </w:r>
    </w:p>
    <w:p w14:paraId="450DCAE9">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d)随时注意异常与周围地质现象之间的关系,记于备注栏内,必要时需测定岩石磁性或采集标本;</w:t>
      </w:r>
    </w:p>
    <w:p w14:paraId="41740904">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e)遇有磁性干扰物时,应合理移动点位,并应记录干扰物的类别,测定干扰物的距离。遇到磁暴或磁扰较大时应停止工作。</w:t>
      </w:r>
    </w:p>
    <w:p w14:paraId="4F22F51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（六）资料整理</w:t>
      </w:r>
    </w:p>
    <w:p w14:paraId="21742297">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1．日常资料整理主要是对实际记录数据进行初步整理，以方便后续资料整理的顺利进行。其内容包括：剔除畸变点数据、重复观测和检查观测点处理、资料整合等。</w:t>
      </w:r>
    </w:p>
    <w:p w14:paraId="28AC9256">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2．对资料进行预处理和预分析，要使对资料的解释建立在资料完整、可靠和便于解释的基础上，主要包括以下几个方面：</w:t>
      </w:r>
    </w:p>
    <w:p w14:paraId="7F343F27">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a)仪器性能校验：对所有用于生产的仪器性能、观测精度和各仪器间的一致性进行校验，并计算磁力仪噪声水平、探头一致性、磁力仪观测精度。</w:t>
      </w:r>
    </w:p>
    <w:p w14:paraId="369CC0EC">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b)正常场计算：采用最新高斯球谐分析方法计算国际地磁参考场，根据工区每个测点的坐标，计算高度改正与纬度改正。</w:t>
      </w:r>
    </w:p>
    <w:p w14:paraId="0B9C42B4">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c)日变改正：日变改正某时间的场值，由日变观测时间间隔内插求取并与测点观测时间达到秒级同步。首先对日变观测值进行5点或7点圆滑后再进行日变改正，以提高日变改正精度。</w:t>
      </w:r>
    </w:p>
    <w:p w14:paraId="73214E44">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d)高度改正：从总基点的高程算起，按照高程改正系数进行高程改正。高于总基点高程，改正值取正；低于总基点高程，改正值取负。</w:t>
      </w:r>
    </w:p>
    <w:p w14:paraId="5FD61E75">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e)△T计算：△T计算公式如下：</w:t>
      </w:r>
      <w:r>
        <w:rPr>
          <w:rFonts w:hint="eastAsia" w:ascii="仿宋" w:hAnsi="仿宋" w:eastAsia="仿宋" w:cs="仿宋"/>
          <w:sz w:val="24"/>
          <w:szCs w:val="24"/>
        </w:rPr>
        <w:object>
          <v:shape id="_x0000_i1157" o:spt="75" type="#_x0000_t75" style="height:17.25pt;width:141.75pt;" o:ole="t" filled="f" o:preferrelative="t" stroked="f" coordsize="21600,21600">
            <v:path/>
            <v:fill on="f" focussize="0,0"/>
            <v:stroke on="f" joinstyle="miter"/>
            <v:imagedata r:id="rId303" o:title=""/>
            <o:lock v:ext="edit" aspectratio="t"/>
            <w10:wrap type="none"/>
            <w10:anchorlock/>
          </v:shape>
          <o:OLEObject Type="Embed" ProgID="Equation.3" ShapeID="_x0000_i1157" DrawAspect="Content" ObjectID="_1468075857" r:id="rId302">
            <o:LockedField>false</o:LockedField>
          </o:OLEObject>
        </w:object>
      </w:r>
    </w:p>
    <w:p w14:paraId="28EFF28E">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式中：TC-测点磁场观测值；T0-总基点磁场值；TR-日变改正值；TZ-正常场梯度改正值；TG-高度改正值。</w:t>
      </w:r>
    </w:p>
    <w:p w14:paraId="038966A0">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f)△T磁异常总精度公式：</w:t>
      </w:r>
    </w:p>
    <w:p w14:paraId="613140C1">
      <w:pPr>
        <w:pageBreakBefore w:val="0"/>
        <w:tabs>
          <w:tab w:val="left" w:pos="3120"/>
          <w:tab w:val="left" w:pos="5220"/>
          <w:tab w:val="left" w:pos="7400"/>
        </w:tabs>
        <w:wordWrap/>
        <w:bidi w:val="0"/>
        <w:spacing w:line="360" w:lineRule="auto"/>
        <w:ind w:firstLine="480"/>
        <w:jc w:val="center"/>
        <w:outlineLvl w:val="9"/>
        <w:rPr>
          <w:rFonts w:ascii="仿宋" w:hAnsi="仿宋" w:eastAsia="仿宋" w:cs="仿宋"/>
          <w:sz w:val="24"/>
          <w:szCs w:val="24"/>
        </w:rPr>
      </w:pPr>
      <w:r>
        <w:rPr>
          <w:rFonts w:hint="eastAsia" w:ascii="仿宋" w:hAnsi="仿宋" w:eastAsia="仿宋" w:cs="仿宋"/>
          <w:sz w:val="24"/>
          <w:szCs w:val="24"/>
        </w:rPr>
        <w:object>
          <v:shape id="_x0000_i1158" o:spt="75" type="#_x0000_t75" style="height:31.5pt;width:141pt;" o:ole="t" filled="f" o:preferrelative="t" stroked="f" coordsize="21600,21600">
            <v:path/>
            <v:fill on="f" focussize="0,0"/>
            <v:stroke on="f" joinstyle="miter"/>
            <v:imagedata r:id="rId305" o:title=""/>
            <o:lock v:ext="edit" aspectratio="t"/>
            <w10:wrap type="none"/>
            <w10:anchorlock/>
          </v:shape>
          <o:OLEObject Type="Embed" ProgID="Equation.3" ShapeID="_x0000_i1158" DrawAspect="Content" ObjectID="_1468075858" r:id="rId304">
            <o:LockedField>false</o:LockedField>
          </o:OLEObject>
        </w:object>
      </w:r>
    </w:p>
    <w:p w14:paraId="4C23984E">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式中：</w:t>
      </w:r>
      <w:r>
        <w:rPr>
          <w:rFonts w:hint="eastAsia" w:ascii="仿宋" w:hAnsi="仿宋" w:eastAsia="仿宋" w:cs="仿宋"/>
          <w:sz w:val="24"/>
          <w:szCs w:val="24"/>
        </w:rPr>
        <w:object>
          <v:shape id="_x0000_i1159" o:spt="75" type="#_x0000_t75" style="height:18.75pt;width:20.25pt;" o:ole="t" filled="f" o:preferrelative="t" stroked="f" coordsize="21600,21600">
            <v:path/>
            <v:fill on="f" focussize="0,0"/>
            <v:stroke on="f" joinstyle="miter"/>
            <v:imagedata r:id="rId307" o:title=""/>
            <o:lock v:ext="edit" aspectratio="t"/>
            <w10:wrap type="none"/>
            <w10:anchorlock/>
          </v:shape>
          <o:OLEObject Type="Embed" ProgID="Equation.3" ShapeID="_x0000_i1159" DrawAspect="Content" ObjectID="_1468075859" r:id="rId306">
            <o:LockedField>false</o:LockedField>
          </o:OLEObject>
        </w:object>
      </w:r>
      <w:r>
        <w:rPr>
          <w:rFonts w:hint="eastAsia" w:ascii="仿宋" w:hAnsi="仿宋" w:eastAsia="仿宋" w:cs="仿宋"/>
          <w:sz w:val="24"/>
          <w:szCs w:val="24"/>
        </w:rPr>
        <w:t>—△T磁异常总精度；</w:t>
      </w:r>
      <w:r>
        <w:rPr>
          <w:rFonts w:hint="eastAsia" w:ascii="仿宋" w:hAnsi="仿宋" w:eastAsia="仿宋" w:cs="仿宋"/>
          <w:sz w:val="24"/>
          <w:szCs w:val="24"/>
        </w:rPr>
        <w:object>
          <v:shape id="_x0000_i1160" o:spt="75" type="#_x0000_t75" style="height:21.75pt;width:20.25pt;" o:ole="t" filled="f" o:preferrelative="t" stroked="f" coordsize="21600,21600">
            <v:path/>
            <v:fill on="f" focussize="0,0"/>
            <v:stroke on="f" joinstyle="miter"/>
            <v:imagedata r:id="rId309" o:title=""/>
            <o:lock v:ext="edit" aspectratio="t"/>
            <w10:wrap type="none"/>
            <w10:anchorlock/>
          </v:shape>
          <o:OLEObject Type="Embed" ProgID="Equation.3" ShapeID="_x0000_i1160" DrawAspect="Content" ObjectID="_1468075860" r:id="rId308">
            <o:LockedField>false</o:LockedField>
          </o:OLEObject>
        </w:object>
      </w:r>
      <w:r>
        <w:rPr>
          <w:rFonts w:hint="eastAsia" w:ascii="仿宋" w:hAnsi="仿宋" w:eastAsia="仿宋" w:cs="仿宋"/>
          <w:sz w:val="24"/>
          <w:szCs w:val="24"/>
        </w:rPr>
        <w:t>—磁测点检查观测均方误差；</w:t>
      </w:r>
    </w:p>
    <w:p w14:paraId="7F7832C4">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object>
          <v:shape id="_x0000_i1161" o:spt="75" type="#_x0000_t75" style="height:21pt;width:15pt;" o:ole="t" filled="f" o:preferrelative="t" stroked="f" coordsize="21600,21600">
            <v:path/>
            <v:fill on="f" focussize="0,0"/>
            <v:stroke on="f" joinstyle="miter"/>
            <v:imagedata r:id="rId311" o:title=""/>
            <o:lock v:ext="edit" aspectratio="t"/>
            <w10:wrap type="none"/>
            <w10:anchorlock/>
          </v:shape>
          <o:OLEObject Type="Embed" ProgID="Equation.3" ShapeID="_x0000_i1161" DrawAspect="Content" ObjectID="_1468075861" r:id="rId310">
            <o:LockedField>false</o:LockedField>
          </o:OLEObject>
        </w:object>
      </w:r>
      <w:r>
        <w:rPr>
          <w:rFonts w:hint="eastAsia" w:ascii="仿宋" w:hAnsi="仿宋" w:eastAsia="仿宋" w:cs="仿宋"/>
          <w:sz w:val="24"/>
          <w:szCs w:val="24"/>
        </w:rPr>
        <w:t>—正常场改正均方误差；</w:t>
      </w:r>
      <w:r>
        <w:rPr>
          <w:rFonts w:hint="eastAsia" w:ascii="仿宋" w:hAnsi="仿宋" w:eastAsia="仿宋" w:cs="仿宋"/>
          <w:sz w:val="24"/>
          <w:szCs w:val="24"/>
        </w:rPr>
        <w:object>
          <v:shape id="_x0000_i1162" o:spt="75" type="#_x0000_t75" style="height:19.5pt;width:15pt;" o:ole="t" filled="f" o:preferrelative="t" stroked="f" coordsize="21600,21600">
            <v:path/>
            <v:fill on="f" focussize="0,0"/>
            <v:stroke on="f" joinstyle="miter"/>
            <v:imagedata r:id="rId313" o:title=""/>
            <o:lock v:ext="edit" aspectratio="t"/>
            <w10:wrap type="none"/>
            <w10:anchorlock/>
          </v:shape>
          <o:OLEObject Type="Embed" ProgID="Equation.3" ShapeID="_x0000_i1162" DrawAspect="Content" ObjectID="_1468075862" r:id="rId312">
            <o:LockedField>false</o:LockedField>
          </o:OLEObject>
        </w:object>
      </w:r>
      <w:r>
        <w:rPr>
          <w:rFonts w:hint="eastAsia" w:ascii="仿宋" w:hAnsi="仿宋" w:eastAsia="仿宋" w:cs="仿宋"/>
          <w:sz w:val="24"/>
          <w:szCs w:val="24"/>
        </w:rPr>
        <w:t>—日变站基值测定精度。</w:t>
      </w:r>
    </w:p>
    <w:p w14:paraId="7936611C">
      <w:pPr>
        <w:pageBreakBefore w:val="0"/>
        <w:tabs>
          <w:tab w:val="left" w:pos="3120"/>
          <w:tab w:val="left" w:pos="5220"/>
          <w:tab w:val="left" w:pos="7400"/>
        </w:tabs>
        <w:wordWrap/>
        <w:bidi w:val="0"/>
        <w:spacing w:line="360" w:lineRule="auto"/>
        <w:ind w:firstLine="480"/>
        <w:outlineLvl w:val="9"/>
        <w:rPr>
          <w:rFonts w:ascii="仿宋" w:hAnsi="仿宋" w:eastAsia="仿宋" w:cs="仿宋"/>
          <w:sz w:val="24"/>
          <w:szCs w:val="24"/>
        </w:rPr>
      </w:pPr>
      <w:r>
        <w:rPr>
          <w:rFonts w:hint="eastAsia" w:ascii="仿宋" w:hAnsi="仿宋" w:eastAsia="仿宋" w:cs="仿宋"/>
          <w:sz w:val="24"/>
          <w:szCs w:val="24"/>
        </w:rPr>
        <w:t>g)各项改正值取至0.01nT,△T磁力异常值取至0.1nT。</w:t>
      </w:r>
    </w:p>
    <w:p w14:paraId="29AC3FC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（七）数据处理</w:t>
      </w:r>
    </w:p>
    <w:p w14:paraId="248BBA0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数据处理的主要项目有：化极、上延、垂向导数、方向导数、小波变换多尺度分解等,可根据具体问题进行调整。</w:t>
      </w:r>
    </w:p>
    <w:p w14:paraId="23D29FC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（八）精度指标</w:t>
      </w:r>
    </w:p>
    <w:p w14:paraId="7F56CA2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质量检查采用“一同三不同”（同点、不同仪器、不同日期、不同操作员）重复观测法。质检点要求分布基本均匀，并具代表性，以容易产生质量问题的薄弱环节、质量可疑地段、异常区为重点。</w:t>
      </w:r>
    </w:p>
    <w:p w14:paraId="3230297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本次1:1万磁测工作其总均方误差均±5.0nT，各项误差分配见表5-3。质检率不低于3%，绝对点数不少于30点。</w:t>
      </w:r>
    </w:p>
    <w:p w14:paraId="52D3E52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计算均方误差时，可将误差过大的个别点舍弃，但舍弃点数不得超过相应检查点数的1％。</w:t>
      </w:r>
    </w:p>
    <w:p w14:paraId="3CAD8685">
      <w:pPr>
        <w:pageBreakBefore w:val="0"/>
        <w:wordWrap/>
        <w:bidi w:val="0"/>
        <w:adjustRightInd w:val="0"/>
        <w:snapToGrid w:val="0"/>
        <w:spacing w:line="360" w:lineRule="auto"/>
        <w:ind w:firstLine="422" w:firstLineChars="200"/>
        <w:outlineLvl w:val="9"/>
        <w:rPr>
          <w:rFonts w:ascii="宋体" w:hAnsi="宋体" w:eastAsia="等线" w:cs="Times New Roman"/>
          <w:b/>
        </w:rPr>
      </w:pPr>
      <w:r>
        <w:rPr>
          <w:rFonts w:hint="eastAsia" w:ascii="宋体" w:hAnsi="宋体" w:eastAsia="宋体"/>
          <w:b/>
          <w:szCs w:val="24"/>
        </w:rPr>
        <w:t>表5-3           1∶1万地面高精度磁测工作精度分配表</w:t>
      </w:r>
    </w:p>
    <w:tbl>
      <w:tblPr>
        <w:tblStyle w:val="4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7"/>
        <w:gridCol w:w="415"/>
        <w:gridCol w:w="759"/>
        <w:gridCol w:w="789"/>
        <w:gridCol w:w="719"/>
        <w:gridCol w:w="772"/>
        <w:gridCol w:w="726"/>
        <w:gridCol w:w="731"/>
        <w:gridCol w:w="455"/>
        <w:gridCol w:w="673"/>
        <w:gridCol w:w="760"/>
        <w:gridCol w:w="1087"/>
      </w:tblGrid>
      <w:tr w14:paraId="716C2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627" w:type="dxa"/>
            <w:vMerge w:val="restart"/>
            <w:tcBorders>
              <w:top w:val="single" w:color="auto" w:sz="12" w:space="0"/>
              <w:left w:val="nil"/>
              <w:bottom w:val="single" w:color="auto" w:sz="4" w:space="0"/>
              <w:right w:val="single" w:color="auto" w:sz="4" w:space="0"/>
            </w:tcBorders>
            <w:vAlign w:val="center"/>
          </w:tcPr>
          <w:p w14:paraId="7B391407">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磁测总误差nT</w:t>
            </w:r>
          </w:p>
        </w:tc>
        <w:tc>
          <w:tcPr>
            <w:tcW w:w="4911" w:type="dxa"/>
            <w:gridSpan w:val="7"/>
            <w:tcBorders>
              <w:top w:val="single" w:color="auto" w:sz="12" w:space="0"/>
              <w:left w:val="single" w:color="auto" w:sz="4" w:space="0"/>
              <w:bottom w:val="single" w:color="auto" w:sz="4" w:space="0"/>
              <w:right w:val="single" w:color="auto" w:sz="4" w:space="0"/>
            </w:tcBorders>
            <w:vAlign w:val="center"/>
          </w:tcPr>
          <w:p w14:paraId="6797489F">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检查观测误差nT</w:t>
            </w:r>
          </w:p>
        </w:tc>
        <w:tc>
          <w:tcPr>
            <w:tcW w:w="1888" w:type="dxa"/>
            <w:gridSpan w:val="3"/>
            <w:tcBorders>
              <w:top w:val="single" w:color="auto" w:sz="12" w:space="0"/>
              <w:left w:val="single" w:color="auto" w:sz="4" w:space="0"/>
              <w:bottom w:val="single" w:color="auto" w:sz="4" w:space="0"/>
              <w:right w:val="single" w:color="auto" w:sz="4" w:space="0"/>
            </w:tcBorders>
            <w:vAlign w:val="center"/>
          </w:tcPr>
          <w:p w14:paraId="7A18280B">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正常场改正误差nT</w:t>
            </w:r>
          </w:p>
        </w:tc>
        <w:tc>
          <w:tcPr>
            <w:tcW w:w="1087" w:type="dxa"/>
            <w:vMerge w:val="restart"/>
            <w:tcBorders>
              <w:top w:val="single" w:color="auto" w:sz="12" w:space="0"/>
              <w:left w:val="single" w:color="auto" w:sz="4" w:space="0"/>
              <w:bottom w:val="single" w:color="auto" w:sz="4" w:space="0"/>
              <w:right w:val="nil"/>
            </w:tcBorders>
            <w:vAlign w:val="center"/>
          </w:tcPr>
          <w:p w14:paraId="6FCABC38">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日变站基值测定误差nT</w:t>
            </w:r>
          </w:p>
        </w:tc>
      </w:tr>
      <w:tr w14:paraId="73F5D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627" w:type="dxa"/>
            <w:vMerge w:val="continue"/>
            <w:tcBorders>
              <w:top w:val="single" w:color="auto" w:sz="12" w:space="0"/>
              <w:left w:val="nil"/>
              <w:bottom w:val="single" w:color="auto" w:sz="4" w:space="0"/>
              <w:right w:val="single" w:color="auto" w:sz="4" w:space="0"/>
            </w:tcBorders>
            <w:vAlign w:val="center"/>
          </w:tcPr>
          <w:p w14:paraId="5687C931">
            <w:pPr>
              <w:pageBreakBefore w:val="0"/>
              <w:widowControl/>
              <w:wordWrap/>
              <w:bidi w:val="0"/>
              <w:jc w:val="left"/>
              <w:outlineLvl w:val="9"/>
              <w:rPr>
                <w:rFonts w:ascii="宋体" w:hAnsi="宋体" w:eastAsia="宋体" w:cs="宋体"/>
                <w:color w:val="000000"/>
                <w:sz w:val="18"/>
                <w:szCs w:val="18"/>
              </w:rPr>
            </w:pPr>
          </w:p>
        </w:tc>
        <w:tc>
          <w:tcPr>
            <w:tcW w:w="415" w:type="dxa"/>
            <w:tcBorders>
              <w:top w:val="single" w:color="auto" w:sz="4" w:space="0"/>
              <w:left w:val="single" w:color="auto" w:sz="4" w:space="0"/>
              <w:bottom w:val="single" w:color="auto" w:sz="4" w:space="0"/>
              <w:right w:val="single" w:color="auto" w:sz="4" w:space="0"/>
            </w:tcBorders>
            <w:vAlign w:val="center"/>
          </w:tcPr>
          <w:p w14:paraId="23EB8298">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总计</w:t>
            </w:r>
          </w:p>
        </w:tc>
        <w:tc>
          <w:tcPr>
            <w:tcW w:w="759" w:type="dxa"/>
            <w:tcBorders>
              <w:top w:val="single" w:color="auto" w:sz="4" w:space="0"/>
              <w:left w:val="single" w:color="auto" w:sz="4" w:space="0"/>
              <w:bottom w:val="single" w:color="auto" w:sz="4" w:space="0"/>
              <w:right w:val="single" w:color="auto" w:sz="4" w:space="0"/>
            </w:tcBorders>
            <w:vAlign w:val="center"/>
          </w:tcPr>
          <w:p w14:paraId="135DEC83">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操作及点位误差</w:t>
            </w:r>
          </w:p>
        </w:tc>
        <w:tc>
          <w:tcPr>
            <w:tcW w:w="789" w:type="dxa"/>
            <w:tcBorders>
              <w:top w:val="single" w:color="auto" w:sz="4" w:space="0"/>
              <w:left w:val="single" w:color="auto" w:sz="4" w:space="0"/>
              <w:bottom w:val="single" w:color="auto" w:sz="4" w:space="0"/>
              <w:right w:val="single" w:color="auto" w:sz="4" w:space="0"/>
            </w:tcBorders>
            <w:vAlign w:val="center"/>
          </w:tcPr>
          <w:p w14:paraId="45C26FB1">
            <w:pPr>
              <w:pageBreakBefore w:val="0"/>
              <w:widowControl/>
              <w:wordWrap/>
              <w:bidi w:val="0"/>
              <w:ind w:left="-84" w:leftChars="-40" w:right="-84" w:rightChars="-40"/>
              <w:jc w:val="center"/>
              <w:textAlignment w:val="center"/>
              <w:outlineLvl w:val="9"/>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仪器噪声</w:t>
            </w:r>
          </w:p>
          <w:p w14:paraId="236D3D8F">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误差</w:t>
            </w:r>
          </w:p>
        </w:tc>
        <w:tc>
          <w:tcPr>
            <w:tcW w:w="719" w:type="dxa"/>
            <w:tcBorders>
              <w:top w:val="single" w:color="auto" w:sz="4" w:space="0"/>
              <w:left w:val="single" w:color="auto" w:sz="4" w:space="0"/>
              <w:bottom w:val="single" w:color="auto" w:sz="4" w:space="0"/>
              <w:right w:val="single" w:color="auto" w:sz="4" w:space="0"/>
            </w:tcBorders>
            <w:vAlign w:val="center"/>
          </w:tcPr>
          <w:p w14:paraId="7A3ED0C8">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仪器观测误差</w:t>
            </w:r>
          </w:p>
        </w:tc>
        <w:tc>
          <w:tcPr>
            <w:tcW w:w="772" w:type="dxa"/>
            <w:tcBorders>
              <w:top w:val="single" w:color="auto" w:sz="4" w:space="0"/>
              <w:left w:val="single" w:color="auto" w:sz="4" w:space="0"/>
              <w:bottom w:val="single" w:color="auto" w:sz="4" w:space="0"/>
              <w:right w:val="single" w:color="auto" w:sz="4" w:space="0"/>
            </w:tcBorders>
            <w:vAlign w:val="center"/>
          </w:tcPr>
          <w:p w14:paraId="6416C660">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仪器系统误差</w:t>
            </w:r>
          </w:p>
        </w:tc>
        <w:tc>
          <w:tcPr>
            <w:tcW w:w="726" w:type="dxa"/>
            <w:tcBorders>
              <w:top w:val="single" w:color="auto" w:sz="4" w:space="0"/>
              <w:left w:val="single" w:color="auto" w:sz="4" w:space="0"/>
              <w:bottom w:val="single" w:color="auto" w:sz="4" w:space="0"/>
              <w:right w:val="single" w:color="auto" w:sz="4" w:space="0"/>
            </w:tcBorders>
            <w:vAlign w:val="center"/>
          </w:tcPr>
          <w:p w14:paraId="7DAC4348">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仪器一致性误差</w:t>
            </w:r>
          </w:p>
        </w:tc>
        <w:tc>
          <w:tcPr>
            <w:tcW w:w="731" w:type="dxa"/>
            <w:tcBorders>
              <w:top w:val="single" w:color="auto" w:sz="4" w:space="0"/>
              <w:left w:val="single" w:color="auto" w:sz="4" w:space="0"/>
              <w:bottom w:val="single" w:color="auto" w:sz="4" w:space="0"/>
              <w:right w:val="single" w:color="auto" w:sz="4" w:space="0"/>
            </w:tcBorders>
            <w:vAlign w:val="center"/>
          </w:tcPr>
          <w:p w14:paraId="34C6D5A8">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日变改正误差</w:t>
            </w:r>
          </w:p>
        </w:tc>
        <w:tc>
          <w:tcPr>
            <w:tcW w:w="455" w:type="dxa"/>
            <w:tcBorders>
              <w:top w:val="single" w:color="auto" w:sz="4" w:space="0"/>
              <w:left w:val="single" w:color="auto" w:sz="4" w:space="0"/>
              <w:bottom w:val="single" w:color="auto" w:sz="4" w:space="0"/>
              <w:right w:val="single" w:color="auto" w:sz="4" w:space="0"/>
            </w:tcBorders>
            <w:vAlign w:val="center"/>
          </w:tcPr>
          <w:p w14:paraId="443E2B21">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总计</w:t>
            </w:r>
          </w:p>
        </w:tc>
        <w:tc>
          <w:tcPr>
            <w:tcW w:w="673" w:type="dxa"/>
            <w:tcBorders>
              <w:top w:val="single" w:color="auto" w:sz="4" w:space="0"/>
              <w:left w:val="single" w:color="auto" w:sz="4" w:space="0"/>
              <w:bottom w:val="single" w:color="auto" w:sz="4" w:space="0"/>
              <w:right w:val="single" w:color="auto" w:sz="4" w:space="0"/>
            </w:tcBorders>
            <w:vAlign w:val="center"/>
          </w:tcPr>
          <w:p w14:paraId="7008F60B">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纬度改正误差</w:t>
            </w:r>
          </w:p>
        </w:tc>
        <w:tc>
          <w:tcPr>
            <w:tcW w:w="760" w:type="dxa"/>
            <w:tcBorders>
              <w:top w:val="single" w:color="auto" w:sz="4" w:space="0"/>
              <w:left w:val="single" w:color="auto" w:sz="4" w:space="0"/>
              <w:bottom w:val="single" w:color="auto" w:sz="4" w:space="0"/>
              <w:right w:val="single" w:color="auto" w:sz="4" w:space="0"/>
            </w:tcBorders>
            <w:vAlign w:val="center"/>
          </w:tcPr>
          <w:p w14:paraId="0899C8F3">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高程改正误差</w:t>
            </w:r>
          </w:p>
        </w:tc>
        <w:tc>
          <w:tcPr>
            <w:tcW w:w="1087" w:type="dxa"/>
            <w:vMerge w:val="continue"/>
            <w:tcBorders>
              <w:top w:val="single" w:color="auto" w:sz="12" w:space="0"/>
              <w:left w:val="single" w:color="auto" w:sz="4" w:space="0"/>
              <w:bottom w:val="single" w:color="auto" w:sz="4" w:space="0"/>
              <w:right w:val="nil"/>
            </w:tcBorders>
            <w:vAlign w:val="center"/>
          </w:tcPr>
          <w:p w14:paraId="1E23CFB9">
            <w:pPr>
              <w:pageBreakBefore w:val="0"/>
              <w:widowControl/>
              <w:wordWrap/>
              <w:bidi w:val="0"/>
              <w:jc w:val="left"/>
              <w:outlineLvl w:val="9"/>
              <w:rPr>
                <w:rFonts w:ascii="宋体" w:hAnsi="宋体" w:eastAsia="宋体" w:cs="宋体"/>
                <w:color w:val="000000"/>
                <w:sz w:val="18"/>
                <w:szCs w:val="18"/>
              </w:rPr>
            </w:pPr>
          </w:p>
        </w:tc>
      </w:tr>
      <w:tr w14:paraId="153B1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627" w:type="dxa"/>
            <w:tcBorders>
              <w:top w:val="single" w:color="auto" w:sz="4" w:space="0"/>
              <w:left w:val="nil"/>
              <w:bottom w:val="single" w:color="auto" w:sz="12" w:space="0"/>
              <w:right w:val="single" w:color="auto" w:sz="4" w:space="0"/>
            </w:tcBorders>
            <w:vAlign w:val="center"/>
          </w:tcPr>
          <w:p w14:paraId="38CD55B6">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415" w:type="dxa"/>
            <w:tcBorders>
              <w:top w:val="single" w:color="auto" w:sz="4" w:space="0"/>
              <w:left w:val="single" w:color="auto" w:sz="4" w:space="0"/>
              <w:bottom w:val="single" w:color="auto" w:sz="12" w:space="0"/>
              <w:right w:val="single" w:color="auto" w:sz="4" w:space="0"/>
            </w:tcBorders>
            <w:vAlign w:val="center"/>
          </w:tcPr>
          <w:p w14:paraId="37A65636">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4.40 </w:t>
            </w:r>
          </w:p>
        </w:tc>
        <w:tc>
          <w:tcPr>
            <w:tcW w:w="759" w:type="dxa"/>
            <w:tcBorders>
              <w:top w:val="single" w:color="auto" w:sz="4" w:space="0"/>
              <w:left w:val="single" w:color="auto" w:sz="4" w:space="0"/>
              <w:bottom w:val="single" w:color="auto" w:sz="12" w:space="0"/>
              <w:right w:val="single" w:color="auto" w:sz="4" w:space="0"/>
            </w:tcBorders>
            <w:vAlign w:val="center"/>
          </w:tcPr>
          <w:p w14:paraId="58A72BA0">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2.76 </w:t>
            </w:r>
          </w:p>
        </w:tc>
        <w:tc>
          <w:tcPr>
            <w:tcW w:w="789" w:type="dxa"/>
            <w:tcBorders>
              <w:top w:val="single" w:color="auto" w:sz="4" w:space="0"/>
              <w:left w:val="single" w:color="auto" w:sz="4" w:space="0"/>
              <w:bottom w:val="single" w:color="auto" w:sz="12" w:space="0"/>
              <w:right w:val="single" w:color="auto" w:sz="4" w:space="0"/>
            </w:tcBorders>
            <w:vAlign w:val="center"/>
          </w:tcPr>
          <w:p w14:paraId="4D9E6CF5">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1.00 </w:t>
            </w:r>
          </w:p>
        </w:tc>
        <w:tc>
          <w:tcPr>
            <w:tcW w:w="719" w:type="dxa"/>
            <w:tcBorders>
              <w:top w:val="single" w:color="auto" w:sz="4" w:space="0"/>
              <w:left w:val="single" w:color="auto" w:sz="4" w:space="0"/>
              <w:bottom w:val="single" w:color="auto" w:sz="12" w:space="0"/>
              <w:right w:val="single" w:color="auto" w:sz="4" w:space="0"/>
            </w:tcBorders>
            <w:vAlign w:val="center"/>
          </w:tcPr>
          <w:p w14:paraId="4158413F">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1.50 </w:t>
            </w:r>
          </w:p>
        </w:tc>
        <w:tc>
          <w:tcPr>
            <w:tcW w:w="772" w:type="dxa"/>
            <w:tcBorders>
              <w:top w:val="single" w:color="auto" w:sz="4" w:space="0"/>
              <w:left w:val="single" w:color="auto" w:sz="4" w:space="0"/>
              <w:bottom w:val="single" w:color="auto" w:sz="12" w:space="0"/>
              <w:right w:val="single" w:color="auto" w:sz="4" w:space="0"/>
            </w:tcBorders>
            <w:vAlign w:val="center"/>
          </w:tcPr>
          <w:p w14:paraId="78FBB7D4">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0.70 </w:t>
            </w:r>
          </w:p>
        </w:tc>
        <w:tc>
          <w:tcPr>
            <w:tcW w:w="726" w:type="dxa"/>
            <w:tcBorders>
              <w:top w:val="single" w:color="auto" w:sz="4" w:space="0"/>
              <w:left w:val="single" w:color="auto" w:sz="4" w:space="0"/>
              <w:bottom w:val="single" w:color="auto" w:sz="12" w:space="0"/>
              <w:right w:val="single" w:color="auto" w:sz="4" w:space="0"/>
            </w:tcBorders>
            <w:vAlign w:val="center"/>
          </w:tcPr>
          <w:p w14:paraId="5CC859F3">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2.00 </w:t>
            </w:r>
          </w:p>
        </w:tc>
        <w:tc>
          <w:tcPr>
            <w:tcW w:w="731" w:type="dxa"/>
            <w:tcBorders>
              <w:top w:val="single" w:color="auto" w:sz="4" w:space="0"/>
              <w:left w:val="single" w:color="auto" w:sz="4" w:space="0"/>
              <w:bottom w:val="single" w:color="auto" w:sz="12" w:space="0"/>
              <w:right w:val="single" w:color="auto" w:sz="4" w:space="0"/>
            </w:tcBorders>
            <w:vAlign w:val="center"/>
          </w:tcPr>
          <w:p w14:paraId="071559AD">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2.00 </w:t>
            </w:r>
          </w:p>
        </w:tc>
        <w:tc>
          <w:tcPr>
            <w:tcW w:w="455" w:type="dxa"/>
            <w:tcBorders>
              <w:top w:val="single" w:color="auto" w:sz="4" w:space="0"/>
              <w:left w:val="single" w:color="auto" w:sz="4" w:space="0"/>
              <w:bottom w:val="single" w:color="auto" w:sz="12" w:space="0"/>
              <w:right w:val="single" w:color="auto" w:sz="4" w:space="0"/>
            </w:tcBorders>
            <w:vAlign w:val="center"/>
          </w:tcPr>
          <w:p w14:paraId="5091E7DD">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1.50 </w:t>
            </w:r>
          </w:p>
        </w:tc>
        <w:tc>
          <w:tcPr>
            <w:tcW w:w="673" w:type="dxa"/>
            <w:tcBorders>
              <w:top w:val="single" w:color="auto" w:sz="4" w:space="0"/>
              <w:left w:val="single" w:color="auto" w:sz="4" w:space="0"/>
              <w:bottom w:val="single" w:color="auto" w:sz="12" w:space="0"/>
              <w:right w:val="single" w:color="auto" w:sz="4" w:space="0"/>
            </w:tcBorders>
            <w:vAlign w:val="center"/>
          </w:tcPr>
          <w:p w14:paraId="74E8347D">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1.10 </w:t>
            </w:r>
          </w:p>
        </w:tc>
        <w:tc>
          <w:tcPr>
            <w:tcW w:w="760" w:type="dxa"/>
            <w:tcBorders>
              <w:top w:val="single" w:color="auto" w:sz="4" w:space="0"/>
              <w:left w:val="single" w:color="auto" w:sz="4" w:space="0"/>
              <w:bottom w:val="single" w:color="auto" w:sz="12" w:space="0"/>
              <w:right w:val="single" w:color="auto" w:sz="4" w:space="0"/>
            </w:tcBorders>
            <w:vAlign w:val="center"/>
          </w:tcPr>
          <w:p w14:paraId="0431A366">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1.00 </w:t>
            </w:r>
          </w:p>
        </w:tc>
        <w:tc>
          <w:tcPr>
            <w:tcW w:w="1087" w:type="dxa"/>
            <w:tcBorders>
              <w:top w:val="single" w:color="auto" w:sz="4" w:space="0"/>
              <w:left w:val="single" w:color="auto" w:sz="4" w:space="0"/>
              <w:bottom w:val="single" w:color="auto" w:sz="12" w:space="0"/>
              <w:right w:val="nil"/>
            </w:tcBorders>
            <w:vAlign w:val="center"/>
          </w:tcPr>
          <w:p w14:paraId="3F22BF9F">
            <w:pPr>
              <w:pageBreakBefore w:val="0"/>
              <w:widowControl/>
              <w:wordWrap/>
              <w:bidi w:val="0"/>
              <w:ind w:left="-84" w:leftChars="-40" w:right="-84" w:rightChars="-40"/>
              <w:jc w:val="center"/>
              <w:textAlignment w:val="center"/>
              <w:outlineLvl w:val="9"/>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1.80 </w:t>
            </w:r>
          </w:p>
        </w:tc>
      </w:tr>
    </w:tbl>
    <w:p w14:paraId="7C5DBCB1">
      <w:pPr>
        <w:pageBreakBefore w:val="0"/>
        <w:wordWrap/>
        <w:bidi w:val="0"/>
        <w:outlineLvl w:val="9"/>
        <w:rPr>
          <w:rFonts w:ascii="等线" w:hAnsi="等线" w:eastAsia="等线" w:cs="Times New Roman"/>
        </w:rPr>
      </w:pPr>
    </w:p>
    <w:p w14:paraId="48651C0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（九）资料解释</w:t>
      </w:r>
    </w:p>
    <w:p w14:paraId="418AE45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1．磁异常的划分</w:t>
      </w:r>
    </w:p>
    <w:p w14:paraId="2B4A0C4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异常下限超过设计精度2.5倍即13nT，视为可信弱磁异常的下限；两条以上测线有显示，沿测线方向有三个点高于背景场；形成明显的局部磁力高圈闭。</w:t>
      </w:r>
    </w:p>
    <w:p w14:paraId="25A5994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2．磁异常登记</w:t>
      </w:r>
    </w:p>
    <w:p w14:paraId="062D410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按照由北向南，从西向东的原则对局部高磁异常进行编号，然后在异常登记表中填写异常长度、宽度、走向中心位置、异常幅值、有无伴生负磁异常及其坐标等资料。</w:t>
      </w:r>
    </w:p>
    <w:p w14:paraId="79F09C1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3．地质构造划分</w:t>
      </w:r>
    </w:p>
    <w:p w14:paraId="097A162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主要包括构造（断裂构造、火山构造）、地层（磁性火山岩地层、磁性变质岩地层）、岩浆岩等均为可引起磁异常的地质构造的划分,它们有时可以作为找矿的间接标志。</w:t>
      </w:r>
    </w:p>
    <w:p w14:paraId="540452D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4．磁场的推断解释</w:t>
      </w:r>
    </w:p>
    <w:p w14:paraId="53D8675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对磁场的分解，能够分辩深浅源磁异常体；对磁场的处理,可对构造带、侵入岩进行划分；研究磁异常，筛选磁异常。</w:t>
      </w:r>
    </w:p>
    <w:p w14:paraId="64CC8F6A">
      <w:pPr>
        <w:pageBreakBefore w:val="0"/>
        <w:wordWrap/>
        <w:bidi w:val="0"/>
        <w:spacing w:line="360" w:lineRule="auto"/>
        <w:ind w:firstLine="480" w:firstLineChars="200"/>
        <w:outlineLvl w:val="9"/>
        <w:rPr>
          <w:rFonts w:ascii="仿宋" w:hAnsi="仿宋" w:eastAsia="仿宋" w:cs="仿宋"/>
          <w:sz w:val="24"/>
          <w:szCs w:val="24"/>
        </w:rPr>
      </w:pPr>
      <w:bookmarkStart w:id="461" w:name="_Toc391292490"/>
      <w:r>
        <w:rPr>
          <w:rFonts w:hint="eastAsia" w:ascii="仿宋" w:hAnsi="仿宋" w:eastAsia="仿宋" w:cs="仿宋"/>
          <w:sz w:val="24"/>
          <w:szCs w:val="24"/>
        </w:rPr>
        <w:t>5．磁异常的推断解释</w:t>
      </w:r>
    </w:p>
    <w:p w14:paraId="61050CD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对磁异常的解释推断，主要用于寻找能引起磁异常的矿床。由于磁异常可以解释推断的矿床有很多种，所以各种矿床在解释推断方法、途径及准则上均有不同，因此要求根据不同的矿床选择不同的准则进行，磁异常的解释推断包括：</w:t>
      </w:r>
      <w:bookmarkEnd w:id="461"/>
      <w:r>
        <w:rPr>
          <w:rFonts w:hint="eastAsia" w:ascii="仿宋" w:hAnsi="仿宋" w:eastAsia="仿宋" w:cs="仿宋"/>
          <w:sz w:val="24"/>
          <w:szCs w:val="24"/>
        </w:rPr>
        <w:t>根据定性和定量解释、平面和剖面的解释结果，按照地质学的基本原理编制各类推断成果图件；对推断成果图件上磁测工作解释出的地质体、地质现象进行地质解释和推断，阐明它们相互间的关系及与已知地质情况的关系等，建立地质地球物理概念模型；当原有地质观点无法合理解释物探推断时，要在深入研究综合资料后，按照物探推断结果做出新的地质解释。</w:t>
      </w:r>
    </w:p>
    <w:p w14:paraId="1318C4B0">
      <w:pPr>
        <w:pStyle w:val="15"/>
        <w:pageBreakBefore w:val="0"/>
        <w:wordWrap/>
        <w:bidi w:val="0"/>
        <w:spacing w:line="480" w:lineRule="auto"/>
        <w:ind w:firstLine="560" w:firstLineChars="200"/>
        <w:outlineLvl w:val="9"/>
        <w:rPr>
          <w:rFonts w:ascii="仿宋" w:hAnsi="仿宋" w:eastAsia="仿宋" w:cs="仿宋"/>
          <w:b/>
          <w:bCs/>
          <w:szCs w:val="24"/>
        </w:rPr>
      </w:pPr>
      <w:r>
        <w:rPr>
          <w:rFonts w:hint="eastAsia" w:ascii="仿宋_GB2312" w:hAnsi="宋体" w:eastAsia="仿宋_GB2312"/>
          <w:bCs/>
          <w:sz w:val="28"/>
          <w:szCs w:val="28"/>
        </w:rPr>
        <w:t>音频大地电磁测深点、激电测深点</w:t>
      </w:r>
      <w:bookmarkEnd w:id="460"/>
    </w:p>
    <w:p w14:paraId="3A59362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音频大地电磁测深点和激电测深点同步部署，主要验证该物探方法对寻找隐伏锑矿体、金矿化体及矿化蚀变带的有效性，遵循从已知到未知的原则，部署在已施工3个找矿且见矿最有利地段的12勘查线，为后续物探深部探测有效性提供依据，进一步指导钻探工作部署。设计音频大地电磁测深点、激电测深点各30个。</w:t>
      </w:r>
    </w:p>
    <w:p w14:paraId="6477C04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按40m间距部署在12勘查线30个测深点，与勘查线方向重合，测线中心位置位于ZK1203。</w:t>
      </w:r>
      <w:bookmarkStart w:id="462" w:name="_Toc24648"/>
      <w:bookmarkEnd w:id="462"/>
    </w:p>
    <w:p w14:paraId="11937DF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本次大深度二维激电测深工作以中华人民共和国地质矿产行业标准DZ/T0070—2016《时间域激发极化法技术规定》为主要作业依据。</w:t>
      </w:r>
    </w:p>
    <w:p w14:paraId="2C34873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（一）仪器设备</w:t>
      </w:r>
    </w:p>
    <w:p w14:paraId="103A633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本次工作采用国科仪器生产的ELOG-4大功率三维激电系统，TX-60B发射机和Elog-4智能数据采集站进行数据采集（图5-1、图5-2）。</w:t>
      </w:r>
    </w:p>
    <w:tbl>
      <w:tblPr>
        <w:tblStyle w:val="42"/>
        <w:tblW w:w="0" w:type="auto"/>
        <w:tblInd w:w="0" w:type="dxa"/>
        <w:tblLayout w:type="fixed"/>
        <w:tblCellMar>
          <w:top w:w="0" w:type="dxa"/>
          <w:left w:w="108" w:type="dxa"/>
          <w:bottom w:w="0" w:type="dxa"/>
          <w:right w:w="108" w:type="dxa"/>
        </w:tblCellMar>
      </w:tblPr>
      <w:tblGrid>
        <w:gridCol w:w="4704"/>
        <w:gridCol w:w="4705"/>
      </w:tblGrid>
      <w:tr w14:paraId="0055A244">
        <w:tblPrEx>
          <w:tblCellMar>
            <w:top w:w="0" w:type="dxa"/>
            <w:left w:w="108" w:type="dxa"/>
            <w:bottom w:w="0" w:type="dxa"/>
            <w:right w:w="108" w:type="dxa"/>
          </w:tblCellMar>
        </w:tblPrEx>
        <w:trPr>
          <w:trHeight w:val="4181" w:hRule="atLeast"/>
        </w:trPr>
        <w:tc>
          <w:tcPr>
            <w:tcW w:w="4704" w:type="dxa"/>
            <w:vAlign w:val="center"/>
          </w:tcPr>
          <w:p w14:paraId="14844A1C">
            <w:pPr>
              <w:pageBreakBefore w:val="0"/>
              <w:wordWrap/>
              <w:bidi w:val="0"/>
              <w:spacing w:line="360" w:lineRule="auto"/>
              <w:ind w:firstLine="480" w:firstLineChars="200"/>
              <w:outlineLvl w:val="9"/>
              <w:rPr>
                <w:rFonts w:ascii="仿宋" w:hAnsi="仿宋" w:eastAsia="仿宋" w:cs="仿宋"/>
                <w:sz w:val="24"/>
                <w:szCs w:val="24"/>
              </w:rPr>
            </w:pPr>
            <w:r>
              <w:rPr>
                <w:rFonts w:ascii="仿宋" w:hAnsi="仿宋" w:eastAsia="仿宋" w:cs="仿宋"/>
                <w:sz w:val="24"/>
                <w:szCs w:val="24"/>
              </w:rPr>
              <w:drawing>
                <wp:inline distT="0" distB="0" distL="0" distR="0">
                  <wp:extent cx="2872740" cy="1751330"/>
                  <wp:effectExtent l="0" t="0" r="3810" b="127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314">
                            <a:extLst>
                              <a:ext uri="{28A0092B-C50C-407E-A947-70E740481C1C}">
                                <a14:useLocalDpi xmlns:a14="http://schemas.microsoft.com/office/drawing/2010/main" val="0"/>
                              </a:ext>
                            </a:extLst>
                          </a:blip>
                          <a:srcRect l="18059" t="19510" r="26971" b="37149"/>
                          <a:stretch>
                            <a:fillRect/>
                          </a:stretch>
                        </pic:blipFill>
                        <pic:spPr>
                          <a:xfrm>
                            <a:off x="0" y="0"/>
                            <a:ext cx="2872740" cy="1751330"/>
                          </a:xfrm>
                          <a:prstGeom prst="rect">
                            <a:avLst/>
                          </a:prstGeom>
                          <a:noFill/>
                          <a:ln>
                            <a:noFill/>
                          </a:ln>
                        </pic:spPr>
                      </pic:pic>
                    </a:graphicData>
                  </a:graphic>
                </wp:inline>
              </w:drawing>
            </w:r>
          </w:p>
        </w:tc>
        <w:tc>
          <w:tcPr>
            <w:tcW w:w="4705" w:type="dxa"/>
            <w:vAlign w:val="center"/>
          </w:tcPr>
          <w:p w14:paraId="6DD60BD0">
            <w:pPr>
              <w:pageBreakBefore w:val="0"/>
              <w:wordWrap/>
              <w:bidi w:val="0"/>
              <w:spacing w:line="360" w:lineRule="auto"/>
              <w:ind w:firstLine="480" w:firstLineChars="200"/>
              <w:outlineLvl w:val="9"/>
              <w:rPr>
                <w:rFonts w:ascii="仿宋" w:hAnsi="仿宋" w:eastAsia="仿宋" w:cs="仿宋"/>
                <w:sz w:val="24"/>
                <w:szCs w:val="24"/>
              </w:rPr>
            </w:pPr>
            <w:r>
              <w:rPr>
                <w:rFonts w:ascii="仿宋" w:hAnsi="仿宋" w:eastAsia="仿宋" w:cs="仿宋"/>
                <w:sz w:val="24"/>
                <w:szCs w:val="24"/>
              </w:rPr>
              <w:drawing>
                <wp:inline distT="0" distB="0" distL="0" distR="0">
                  <wp:extent cx="2527300" cy="215646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315" cstate="print">
                            <a:extLst>
                              <a:ext uri="{28A0092B-C50C-407E-A947-70E740481C1C}">
                                <a14:useLocalDpi xmlns:a14="http://schemas.microsoft.com/office/drawing/2010/main" val="0"/>
                              </a:ext>
                            </a:extLst>
                          </a:blip>
                          <a:srcRect l="17612" t="14973" r="2678" b="15007"/>
                          <a:stretch>
                            <a:fillRect/>
                          </a:stretch>
                        </pic:blipFill>
                        <pic:spPr>
                          <a:xfrm>
                            <a:off x="0" y="0"/>
                            <a:ext cx="2527300" cy="2156460"/>
                          </a:xfrm>
                          <a:prstGeom prst="rect">
                            <a:avLst/>
                          </a:prstGeom>
                          <a:noFill/>
                          <a:ln>
                            <a:noFill/>
                          </a:ln>
                        </pic:spPr>
                      </pic:pic>
                    </a:graphicData>
                  </a:graphic>
                </wp:inline>
              </w:drawing>
            </w:r>
          </w:p>
        </w:tc>
      </w:tr>
      <w:tr w14:paraId="4B262892">
        <w:tblPrEx>
          <w:tblCellMar>
            <w:top w:w="0" w:type="dxa"/>
            <w:left w:w="108" w:type="dxa"/>
            <w:bottom w:w="0" w:type="dxa"/>
            <w:right w:w="108" w:type="dxa"/>
          </w:tblCellMar>
        </w:tblPrEx>
        <w:trPr>
          <w:trHeight w:val="450" w:hRule="atLeast"/>
        </w:trPr>
        <w:tc>
          <w:tcPr>
            <w:tcW w:w="4704" w:type="dxa"/>
            <w:vAlign w:val="center"/>
          </w:tcPr>
          <w:p w14:paraId="67671EA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图5-1  TX-60B大功率发射机</w:t>
            </w:r>
          </w:p>
        </w:tc>
        <w:tc>
          <w:tcPr>
            <w:tcW w:w="4705" w:type="dxa"/>
            <w:vAlign w:val="center"/>
          </w:tcPr>
          <w:p w14:paraId="5A4104A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图5-2  Elog-4智能数据采集站</w:t>
            </w:r>
          </w:p>
        </w:tc>
      </w:tr>
    </w:tbl>
    <w:p w14:paraId="766F976E">
      <w:pPr>
        <w:pageBreakBefore w:val="0"/>
        <w:wordWrap/>
        <w:bidi w:val="0"/>
        <w:spacing w:line="360" w:lineRule="auto"/>
        <w:ind w:firstLine="480" w:firstLineChars="200"/>
        <w:outlineLvl w:val="9"/>
        <w:rPr>
          <w:rFonts w:ascii="仿宋" w:hAnsi="仿宋" w:eastAsia="仿宋" w:cs="仿宋"/>
          <w:sz w:val="24"/>
          <w:szCs w:val="24"/>
        </w:rPr>
      </w:pPr>
      <w:bookmarkStart w:id="463" w:name="_Toc168182343"/>
      <w:r>
        <w:rPr>
          <w:rFonts w:hint="eastAsia" w:ascii="仿宋" w:hAnsi="仿宋" w:eastAsia="仿宋" w:cs="仿宋"/>
          <w:sz w:val="24"/>
          <w:szCs w:val="24"/>
        </w:rPr>
        <w:t>（二）工作装置</w:t>
      </w:r>
      <w:bookmarkEnd w:id="463"/>
    </w:p>
    <w:p w14:paraId="0D61B0B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采用双向单极-偶极装置，根据测线长度和探测目标体深度确定部署接收机的数量。</w:t>
      </w:r>
    </w:p>
    <w:p w14:paraId="2804351B">
      <w:pPr>
        <w:pageBreakBefore w:val="0"/>
        <w:wordWrap/>
        <w:bidi w:val="0"/>
        <w:spacing w:line="360" w:lineRule="auto"/>
        <w:ind w:firstLine="480" w:firstLineChars="200"/>
        <w:outlineLvl w:val="9"/>
        <w:rPr>
          <w:rFonts w:ascii="仿宋" w:hAnsi="仿宋" w:eastAsia="仿宋" w:cs="仿宋"/>
          <w:sz w:val="24"/>
          <w:szCs w:val="24"/>
        </w:rPr>
      </w:pPr>
      <w:bookmarkStart w:id="464" w:name="_Toc168182344"/>
      <w:r>
        <w:rPr>
          <w:rFonts w:hint="eastAsia" w:ascii="仿宋" w:hAnsi="仿宋" w:eastAsia="仿宋" w:cs="仿宋"/>
          <w:sz w:val="24"/>
          <w:szCs w:val="24"/>
        </w:rPr>
        <w:t>（三）工作参数试验</w:t>
      </w:r>
    </w:p>
    <w:p w14:paraId="7233F07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根据以往工作区及周边项目开展电法作业情况，设置本次工作采用参数如下：</w:t>
      </w:r>
    </w:p>
    <w:p w14:paraId="06CB745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极距选择：AO=1600米，可探测深度为600米左右；无穷远极为6000米，垂直于测深剖面。</w:t>
      </w:r>
    </w:p>
    <w:p w14:paraId="1EF87AB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工作周期：暂定为16秒，数据质量不满足工作需求时可开展32秒周期实验。</w:t>
      </w:r>
    </w:p>
    <w:p w14:paraId="4FF4F50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观测极距（MN）:40米。</w:t>
      </w:r>
    </w:p>
    <w:p w14:paraId="47D094D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隔离系数：40，并完整控制探测目标，最小电极距可获得被测目标顶部以浅的围岩信息，最大电极距能探测到被测目标底部以深的围岩信息（图5-3）。</w:t>
      </w:r>
    </w:p>
    <w:bookmarkEnd w:id="464"/>
    <w:p w14:paraId="4301DA7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（四）测点观测</w:t>
      </w:r>
    </w:p>
    <w:p w14:paraId="58D81AC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1.测深点布设时电极排列方向与测深剖面方向一致，垂直于目标体走向。</w:t>
      </w:r>
    </w:p>
    <w:p w14:paraId="371BFF6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2.在野外观测现场，当外部干扰导致影响观测时，可适当增加重复观测次数，严重影响观测且无法避免时应停止观测工作。</w:t>
      </w:r>
    </w:p>
    <w:p w14:paraId="32FEF0F8">
      <w:pPr>
        <w:pageBreakBefore w:val="0"/>
        <w:wordWrap/>
        <w:bidi w:val="0"/>
        <w:spacing w:line="360" w:lineRule="auto"/>
        <w:ind w:firstLine="480" w:firstLineChars="200"/>
        <w:outlineLvl w:val="9"/>
        <w:rPr>
          <w:rFonts w:ascii="仿宋" w:hAnsi="仿宋" w:eastAsia="仿宋" w:cs="仿宋"/>
          <w:sz w:val="24"/>
          <w:szCs w:val="24"/>
        </w:rPr>
      </w:pPr>
      <w:r>
        <w:rPr>
          <w:rFonts w:ascii="仿宋" w:hAnsi="仿宋" w:eastAsia="仿宋" w:cs="仿宋"/>
          <w:sz w:val="24"/>
          <w:szCs w:val="24"/>
        </w:rPr>
        <w:drawing>
          <wp:inline distT="0" distB="0" distL="0" distR="0">
            <wp:extent cx="5452110" cy="2630805"/>
            <wp:effectExtent l="0" t="0" r="5715" b="7620"/>
            <wp:docPr id="139" name="图片 139" descr="二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二维1"/>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a:xfrm>
                      <a:off x="0" y="0"/>
                      <a:ext cx="5452110" cy="2630805"/>
                    </a:xfrm>
                    <a:prstGeom prst="rect">
                      <a:avLst/>
                    </a:prstGeom>
                    <a:noFill/>
                    <a:ln>
                      <a:noFill/>
                    </a:ln>
                  </pic:spPr>
                </pic:pic>
              </a:graphicData>
            </a:graphic>
          </wp:inline>
        </w:drawing>
      </w:r>
    </w:p>
    <w:p w14:paraId="32B28C5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图5-3  二维激电测深设计示意图</w:t>
      </w:r>
    </w:p>
    <w:p w14:paraId="1C2969A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3.经过相关软件预处理后保存M1～M18各延时窗口的K值、一次电位（Vp）和电流（I）等参数。</w:t>
      </w:r>
    </w:p>
    <w:p w14:paraId="7041777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测量电极使用不极化电极。在戈壁荒漠地区进行激电测深工作时，应使用盐水改善接地条件，无穷远极采样多坑并联方式降低电阻，一次位小于5毫伏时应重复观测。在人为动土的区域，均偏移到未动土的地方或将回填土方挖穿。</w:t>
      </w:r>
    </w:p>
    <w:p w14:paraId="0E8D5BA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5.在测深前后均对供电系统和测量系统进行漏电检查，无漏电方可方可开展工作。发现漏电后应及时处理，对漏电后数据进行重新测量。</w:t>
      </w:r>
    </w:p>
    <w:p w14:paraId="6E2AF00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6.每个测深点开始观测和观测结束时，应采用两次供电观测来检查供电电流的稳定性。供电电流不稳定时，不允许进行观测。</w:t>
      </w:r>
    </w:p>
    <w:p w14:paraId="1C153AA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（五）精度指标</w:t>
      </w:r>
    </w:p>
    <w:p w14:paraId="6EDC448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质量检查采用“两同两不同”（同点、同仪器、不同时间、不同操作员）重复观测法。</w:t>
      </w:r>
    </w:p>
    <w:p w14:paraId="17B329A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本次大深度二维几点测深工作质检率不低于3%，精度见表5-7。</w:t>
      </w:r>
    </w:p>
    <w:p w14:paraId="7E0AFBEC">
      <w:pPr>
        <w:pageBreakBefore w:val="0"/>
        <w:wordWrap/>
        <w:bidi w:val="0"/>
        <w:spacing w:line="360" w:lineRule="auto"/>
        <w:ind w:firstLine="480" w:firstLineChars="200"/>
        <w:outlineLvl w:val="9"/>
        <w:rPr>
          <w:rFonts w:ascii="仿宋" w:hAnsi="仿宋" w:eastAsia="仿宋" w:cs="仿宋"/>
          <w:sz w:val="24"/>
          <w:szCs w:val="24"/>
        </w:rPr>
      </w:pPr>
    </w:p>
    <w:p w14:paraId="5FC3CF5C">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表5-7                    大深度二维激电测深误差一览表</w:t>
      </w:r>
    </w:p>
    <w:tbl>
      <w:tblPr>
        <w:tblStyle w:val="4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42"/>
        <w:gridCol w:w="2524"/>
        <w:gridCol w:w="2229"/>
        <w:gridCol w:w="2943"/>
      </w:tblGrid>
      <w:tr w14:paraId="1E76F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60" w:hRule="atLeast"/>
          <w:jc w:val="center"/>
        </w:trPr>
        <w:tc>
          <w:tcPr>
            <w:tcW w:w="1242" w:type="dxa"/>
            <w:vMerge w:val="restart"/>
            <w:tcBorders>
              <w:top w:val="single" w:color="auto" w:sz="12" w:space="0"/>
              <w:left w:val="nil"/>
              <w:bottom w:val="single" w:color="auto" w:sz="4" w:space="0"/>
              <w:right w:val="single" w:color="auto" w:sz="4" w:space="0"/>
            </w:tcBorders>
            <w:tcMar>
              <w:top w:w="15" w:type="dxa"/>
              <w:left w:w="15" w:type="dxa"/>
              <w:bottom w:w="0" w:type="dxa"/>
              <w:right w:w="15" w:type="dxa"/>
            </w:tcMar>
            <w:vAlign w:val="center"/>
          </w:tcPr>
          <w:p w14:paraId="44EA744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总误差</w:t>
            </w:r>
          </w:p>
        </w:tc>
        <w:tc>
          <w:tcPr>
            <w:tcW w:w="4753" w:type="dxa"/>
            <w:gridSpan w:val="2"/>
            <w:tcBorders>
              <w:top w:val="single" w:color="auto" w:sz="12" w:space="0"/>
              <w:left w:val="single" w:color="auto" w:sz="4" w:space="0"/>
              <w:bottom w:val="single" w:color="auto" w:sz="4" w:space="0"/>
              <w:right w:val="single" w:color="auto" w:sz="4" w:space="0"/>
            </w:tcBorders>
            <w:tcMar>
              <w:top w:w="15" w:type="dxa"/>
              <w:left w:w="15" w:type="dxa"/>
              <w:bottom w:w="0" w:type="dxa"/>
              <w:right w:w="15" w:type="dxa"/>
            </w:tcMar>
            <w:vAlign w:val="center"/>
          </w:tcPr>
          <w:p w14:paraId="46E6A64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视极化率ηs(%)</w:t>
            </w:r>
          </w:p>
        </w:tc>
        <w:tc>
          <w:tcPr>
            <w:tcW w:w="2943" w:type="dxa"/>
            <w:tcBorders>
              <w:top w:val="single" w:color="auto" w:sz="12" w:space="0"/>
              <w:left w:val="single" w:color="auto" w:sz="4" w:space="0"/>
              <w:bottom w:val="single" w:color="auto" w:sz="4" w:space="0"/>
              <w:right w:val="nil"/>
            </w:tcBorders>
            <w:tcMar>
              <w:top w:w="15" w:type="dxa"/>
              <w:left w:w="15" w:type="dxa"/>
              <w:bottom w:w="0" w:type="dxa"/>
              <w:right w:w="15" w:type="dxa"/>
            </w:tcMar>
            <w:vAlign w:val="center"/>
          </w:tcPr>
          <w:p w14:paraId="2760975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视电阻率</w:t>
            </w:r>
            <w:bookmarkStart w:id="465" w:name="OLE_LINK20"/>
            <w:r>
              <w:rPr>
                <w:rFonts w:hint="eastAsia" w:ascii="仿宋" w:hAnsi="仿宋" w:eastAsia="仿宋" w:cs="仿宋"/>
                <w:sz w:val="24"/>
                <w:szCs w:val="24"/>
              </w:rPr>
              <w:t>ρs</w:t>
            </w:r>
            <w:bookmarkEnd w:id="465"/>
            <w:bookmarkStart w:id="466" w:name="OLE_LINK19"/>
            <w:r>
              <w:rPr>
                <w:rFonts w:hint="eastAsia" w:ascii="仿宋" w:hAnsi="仿宋" w:eastAsia="仿宋" w:cs="仿宋"/>
                <w:sz w:val="24"/>
                <w:szCs w:val="24"/>
              </w:rPr>
              <w:t>(Ω·m)</w:t>
            </w:r>
            <w:bookmarkEnd w:id="466"/>
          </w:p>
        </w:tc>
      </w:tr>
      <w:tr w14:paraId="6427D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8" w:hRule="atLeast"/>
          <w:jc w:val="center"/>
        </w:trPr>
        <w:tc>
          <w:tcPr>
            <w:tcW w:w="1242" w:type="dxa"/>
            <w:vMerge w:val="continue"/>
            <w:tcBorders>
              <w:top w:val="single" w:color="auto" w:sz="12" w:space="0"/>
              <w:left w:val="nil"/>
              <w:bottom w:val="single" w:color="auto" w:sz="4" w:space="0"/>
              <w:right w:val="single" w:color="auto" w:sz="4" w:space="0"/>
            </w:tcBorders>
            <w:vAlign w:val="center"/>
          </w:tcPr>
          <w:p w14:paraId="726011DA">
            <w:pPr>
              <w:pageBreakBefore w:val="0"/>
              <w:wordWrap/>
              <w:bidi w:val="0"/>
              <w:spacing w:line="360" w:lineRule="auto"/>
              <w:ind w:firstLine="480" w:firstLineChars="200"/>
              <w:outlineLvl w:val="9"/>
              <w:rPr>
                <w:rFonts w:ascii="仿宋" w:hAnsi="仿宋" w:eastAsia="仿宋" w:cs="仿宋"/>
                <w:sz w:val="24"/>
                <w:szCs w:val="24"/>
              </w:rPr>
            </w:pPr>
          </w:p>
        </w:tc>
        <w:tc>
          <w:tcPr>
            <w:tcW w:w="252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84EB51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总均方相对误差M(ηs＞3%)</w:t>
            </w:r>
          </w:p>
        </w:tc>
        <w:tc>
          <w:tcPr>
            <w:tcW w:w="222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E29E86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总均方误差ε(ηs≤3%)</w:t>
            </w:r>
          </w:p>
        </w:tc>
        <w:tc>
          <w:tcPr>
            <w:tcW w:w="2943" w:type="dxa"/>
            <w:tcBorders>
              <w:top w:val="single" w:color="auto" w:sz="4" w:space="0"/>
              <w:left w:val="single" w:color="auto" w:sz="4" w:space="0"/>
              <w:bottom w:val="single" w:color="auto" w:sz="4" w:space="0"/>
              <w:right w:val="nil"/>
            </w:tcBorders>
            <w:tcMar>
              <w:top w:w="15" w:type="dxa"/>
              <w:left w:w="15" w:type="dxa"/>
              <w:bottom w:w="0" w:type="dxa"/>
              <w:right w:w="15" w:type="dxa"/>
            </w:tcMar>
            <w:vAlign w:val="center"/>
          </w:tcPr>
          <w:p w14:paraId="312C2F7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总均方相对误差M</w:t>
            </w:r>
          </w:p>
        </w:tc>
      </w:tr>
      <w:tr w14:paraId="342B3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5" w:hRule="atLeast"/>
          <w:jc w:val="center"/>
        </w:trPr>
        <w:tc>
          <w:tcPr>
            <w:tcW w:w="1242" w:type="dxa"/>
            <w:tcBorders>
              <w:top w:val="single" w:color="auto" w:sz="4" w:space="0"/>
              <w:left w:val="nil"/>
              <w:bottom w:val="single" w:color="auto" w:sz="12" w:space="0"/>
              <w:right w:val="single" w:color="auto" w:sz="4" w:space="0"/>
            </w:tcBorders>
            <w:tcMar>
              <w:top w:w="15" w:type="dxa"/>
              <w:left w:w="15" w:type="dxa"/>
              <w:bottom w:w="0" w:type="dxa"/>
              <w:right w:w="15" w:type="dxa"/>
            </w:tcMar>
            <w:vAlign w:val="center"/>
          </w:tcPr>
          <w:p w14:paraId="7FF39BD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设计</w:t>
            </w:r>
          </w:p>
        </w:tc>
        <w:tc>
          <w:tcPr>
            <w:tcW w:w="2524" w:type="dxa"/>
            <w:tcBorders>
              <w:top w:val="single" w:color="auto" w:sz="4" w:space="0"/>
              <w:left w:val="single" w:color="auto" w:sz="4" w:space="0"/>
              <w:bottom w:val="single" w:color="auto" w:sz="12" w:space="0"/>
              <w:right w:val="single" w:color="auto" w:sz="4" w:space="0"/>
            </w:tcBorders>
            <w:tcMar>
              <w:top w:w="15" w:type="dxa"/>
              <w:left w:w="15" w:type="dxa"/>
              <w:bottom w:w="0" w:type="dxa"/>
              <w:right w:w="15" w:type="dxa"/>
            </w:tcMar>
            <w:vAlign w:val="center"/>
          </w:tcPr>
          <w:p w14:paraId="5AEE33C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7%</w:t>
            </w:r>
          </w:p>
        </w:tc>
        <w:tc>
          <w:tcPr>
            <w:tcW w:w="2229" w:type="dxa"/>
            <w:tcBorders>
              <w:top w:val="single" w:color="auto" w:sz="4" w:space="0"/>
              <w:left w:val="single" w:color="auto" w:sz="4" w:space="0"/>
              <w:bottom w:val="single" w:color="auto" w:sz="12" w:space="0"/>
              <w:right w:val="single" w:color="auto" w:sz="4" w:space="0"/>
            </w:tcBorders>
            <w:tcMar>
              <w:top w:w="15" w:type="dxa"/>
              <w:left w:w="15" w:type="dxa"/>
              <w:bottom w:w="0" w:type="dxa"/>
              <w:right w:w="15" w:type="dxa"/>
            </w:tcMar>
            <w:vAlign w:val="center"/>
          </w:tcPr>
          <w:p w14:paraId="564509B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0.21</w:t>
            </w:r>
          </w:p>
        </w:tc>
        <w:tc>
          <w:tcPr>
            <w:tcW w:w="2943" w:type="dxa"/>
            <w:tcBorders>
              <w:top w:val="single" w:color="auto" w:sz="4" w:space="0"/>
              <w:left w:val="single" w:color="auto" w:sz="4" w:space="0"/>
              <w:bottom w:val="single" w:color="auto" w:sz="12" w:space="0"/>
              <w:right w:val="nil"/>
            </w:tcBorders>
            <w:tcMar>
              <w:top w:w="15" w:type="dxa"/>
              <w:left w:w="15" w:type="dxa"/>
              <w:bottom w:w="0" w:type="dxa"/>
              <w:right w:w="15" w:type="dxa"/>
            </w:tcMar>
            <w:vAlign w:val="center"/>
          </w:tcPr>
          <w:p w14:paraId="4E0579E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7%</w:t>
            </w:r>
          </w:p>
        </w:tc>
      </w:tr>
    </w:tbl>
    <w:p w14:paraId="2E024EE9">
      <w:pPr>
        <w:pageBreakBefore w:val="0"/>
        <w:wordWrap/>
        <w:bidi w:val="0"/>
        <w:spacing w:line="360" w:lineRule="auto"/>
        <w:ind w:firstLine="480" w:firstLineChars="200"/>
        <w:outlineLvl w:val="9"/>
        <w:rPr>
          <w:rFonts w:ascii="仿宋" w:hAnsi="仿宋" w:eastAsia="仿宋" w:cs="仿宋"/>
          <w:sz w:val="24"/>
          <w:szCs w:val="24"/>
        </w:rPr>
      </w:pPr>
    </w:p>
    <w:p w14:paraId="2229F13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（六）数据处理</w:t>
      </w:r>
    </w:p>
    <w:p w14:paraId="3CC744C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预处理采用ELOG-4软件，主要通过数据筛选、滤波处理，得到反演数据；反演采用Res2DInv软件，最终应得到MAPGIS平台下的数据格式图件。</w:t>
      </w:r>
    </w:p>
    <w:p w14:paraId="0E6C9A53">
      <w:pPr>
        <w:pageBreakBefore w:val="0"/>
        <w:wordWrap/>
        <w:bidi w:val="0"/>
        <w:spacing w:line="360" w:lineRule="auto"/>
        <w:ind w:firstLine="480" w:firstLineChars="200"/>
        <w:outlineLvl w:val="9"/>
        <w:rPr>
          <w:rFonts w:ascii="仿宋" w:hAnsi="仿宋" w:eastAsia="仿宋" w:cs="仿宋"/>
          <w:sz w:val="24"/>
          <w:szCs w:val="24"/>
        </w:rPr>
      </w:pPr>
      <w:bookmarkStart w:id="467" w:name="_Toc218674658"/>
      <w:r>
        <w:rPr>
          <w:rFonts w:hint="eastAsia" w:ascii="仿宋" w:hAnsi="仿宋" w:eastAsia="仿宋" w:cs="仿宋"/>
          <w:sz w:val="24"/>
          <w:szCs w:val="24"/>
        </w:rPr>
        <w:t>七、音频大地电磁测深（AMT）</w:t>
      </w:r>
      <w:bookmarkEnd w:id="467"/>
    </w:p>
    <w:p w14:paraId="4F8AAB5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本次音频大地电磁法测深法工作，严格按“中华人民共和国地质矿产行业标准（DZ/T 0305-2017）”《天然场音频大地电磁法技术规程》执行。</w:t>
      </w:r>
    </w:p>
    <w:p w14:paraId="1E4EB41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（一）仪器设备</w:t>
      </w:r>
    </w:p>
    <w:p w14:paraId="2141EF9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使用加拿大凤凰地球物理有限公司生产的第八代地球物理数据采集系统（V8），由V8-6R主接收机、两台辅助接收机RXU-3ER以及两根AMTC-30磁传感器组成。</w:t>
      </w:r>
    </w:p>
    <w:p w14:paraId="1FACA0FC">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（二）仪器标定</w:t>
      </w:r>
    </w:p>
    <w:p w14:paraId="253DC72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1.对仪器设备进行标定与检测，仪器标定应满足以下要求：</w:t>
      </w:r>
    </w:p>
    <w:p w14:paraId="3763F4B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a)工区开工前和仪器发生故障后应对仪器进行标定以检查仪器是否正常。</w:t>
      </w:r>
    </w:p>
    <w:p w14:paraId="5C6088B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b)测区工作前和工作期间应视工期长短定期对接收机和附属设备进行调节检测。接收机具有自检功能的，应定期进行自动校准检测。磁探头应在开工前进行校准，若发现出现异常现象应及时校准。</w:t>
      </w:r>
    </w:p>
    <w:p w14:paraId="1FE4D7C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c)应按不同仪器的要求定期进行标定，相邻两次标定的视电阻率的相对误差不大于2%。</w:t>
      </w:r>
    </w:p>
    <w:p w14:paraId="605D0D5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d)所有使用的仪器设备都应进行标定，不能标定的仪器，应进行仪器稳定性测试。各项指标合格后方可进行野外工作。</w:t>
      </w:r>
    </w:p>
    <w:p w14:paraId="720625F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2.野外测量仪器应在测区开工和收工前进行平行测试，相邻电道或磁道间测试的频率域结果相对误差不大于2%。</w:t>
      </w:r>
    </w:p>
    <w:p w14:paraId="42F2789C">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3.仪器一致性检查，应按下列要求进行：</w:t>
      </w:r>
    </w:p>
    <w:p w14:paraId="2F9F75C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a)同一测区有两台或两台以上仪器测量时，测量开工前与结束后应进行多台仪器一致性对比试验，应有80%以上的频点测量结果的均方相对误差不大于5%。</w:t>
      </w:r>
    </w:p>
    <w:p w14:paraId="2573F85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b)仪器一致性对比应在野外条件下，选择电磁干扰小的地段进行单点全频段测定</w:t>
      </w:r>
    </w:p>
    <w:p w14:paraId="5AA2161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c)仪器一致性由某测点多台仪器观测的视电阻率总均方相对误差ε一致性来衡量，计算公式为</w:t>
      </w:r>
    </w:p>
    <w:p w14:paraId="0CD3088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63" o:spt="75" type="#_x0000_t75" style="height:45pt;width:135.75pt;" o:ole="t" filled="f" o:preferrelative="t" stroked="f" coordsize="21600,21600">
            <v:path/>
            <v:fill on="f" focussize="0,0"/>
            <v:stroke on="f" joinstyle="miter"/>
            <v:imagedata r:id="rId318" o:title=""/>
            <o:lock v:ext="edit" aspectratio="t"/>
            <w10:wrap type="none"/>
            <w10:anchorlock/>
          </v:shape>
          <o:OLEObject Type="Embed" ProgID="Equation.3" ShapeID="_x0000_i1163" DrawAspect="Content" ObjectID="_1468075863" r:id="rId317">
            <o:LockedField>false</o:LockedField>
          </o:OLEObject>
        </w:object>
      </w:r>
    </w:p>
    <w:p w14:paraId="3DE331D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w:t>
      </w:r>
    </w:p>
    <w:p w14:paraId="49CCD25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Vij-第j台仪器在第i频点视电阻率观测值与m台仪器在第i频点上视电阻率观测值平均值的相对误差，</w:t>
      </w:r>
      <w:r>
        <w:rPr>
          <w:rFonts w:hint="eastAsia" w:ascii="仿宋" w:hAnsi="仿宋" w:eastAsia="仿宋" w:cs="仿宋"/>
          <w:sz w:val="24"/>
          <w:szCs w:val="24"/>
        </w:rPr>
        <w:object>
          <v:shape id="_x0000_i1164" o:spt="75" type="#_x0000_t75" style="height:39pt;width:74.25pt;" o:ole="t" filled="f" o:preferrelative="t" stroked="f" coordsize="21600,21600">
            <v:path/>
            <v:fill on="f" focussize="0,0"/>
            <v:stroke on="f" joinstyle="miter"/>
            <v:imagedata r:id="rId320" o:title=""/>
            <o:lock v:ext="edit" aspectratio="t"/>
            <w10:wrap type="none"/>
            <w10:anchorlock/>
          </v:shape>
          <o:OLEObject Type="Embed" ProgID="Equation.3" ShapeID="_x0000_i1164" DrawAspect="Content" ObjectID="_1468075864" r:id="rId319">
            <o:LockedField>false</o:LockedField>
          </o:OLEObject>
        </w:object>
      </w:r>
      <w:r>
        <w:rPr>
          <w:rFonts w:hint="eastAsia" w:ascii="仿宋" w:hAnsi="仿宋" w:eastAsia="仿宋" w:cs="仿宋"/>
          <w:sz w:val="24"/>
          <w:szCs w:val="24"/>
        </w:rPr>
        <w:t>（其中，ρij为第j台仪器在第i频点视电阻率观测；</w:t>
      </w:r>
      <w:r>
        <w:rPr>
          <w:rFonts w:hint="eastAsia" w:ascii="仿宋" w:hAnsi="仿宋" w:eastAsia="仿宋" w:cs="仿宋"/>
          <w:sz w:val="24"/>
          <w:szCs w:val="24"/>
        </w:rPr>
        <w:object>
          <v:shape id="_x0000_i1165" o:spt="75" type="#_x0000_t75" style="height:20.25pt;width:15pt;" o:ole="t" filled="f" o:preferrelative="t" stroked="f" coordsize="21600,21600">
            <v:path/>
            <v:fill on="f" focussize="0,0"/>
            <v:stroke on="f" joinstyle="miter"/>
            <v:imagedata r:id="rId322" o:title=""/>
            <o:lock v:ext="edit" aspectratio="t"/>
            <w10:wrap type="none"/>
            <w10:anchorlock/>
          </v:shape>
          <o:OLEObject Type="Embed" ProgID="Equation.3" ShapeID="_x0000_i1165" DrawAspect="Content" ObjectID="_1468075865" r:id="rId321">
            <o:LockedField>false</o:LockedField>
          </o:OLEObject>
        </w:object>
      </w:r>
      <w:r>
        <w:rPr>
          <w:rFonts w:hint="eastAsia" w:ascii="仿宋" w:hAnsi="仿宋" w:eastAsia="仿宋" w:cs="仿宋"/>
          <w:sz w:val="24"/>
          <w:szCs w:val="24"/>
        </w:rPr>
        <w:t>为m台仪器在第i频点视电阻率观测值平均值，</w:t>
      </w:r>
      <w:r>
        <w:rPr>
          <w:rFonts w:hint="eastAsia" w:ascii="仿宋" w:hAnsi="仿宋" w:eastAsia="仿宋" w:cs="仿宋"/>
          <w:sz w:val="24"/>
          <w:szCs w:val="24"/>
        </w:rPr>
        <w:object>
          <v:shape id="_x0000_i1166" o:spt="75" type="#_x0000_t75" style="height:36pt;width:56.25pt;" o:ole="t" filled="f" o:preferrelative="t" stroked="f" coordsize="21600,21600">
            <v:path/>
            <v:fill on="f" focussize="0,0"/>
            <v:stroke on="f" joinstyle="miter"/>
            <v:imagedata r:id="rId324" o:title=""/>
            <o:lock v:ext="edit" aspectratio="t"/>
            <w10:wrap type="none"/>
            <w10:anchorlock/>
          </v:shape>
          <o:OLEObject Type="Embed" ProgID="Equation.3" ShapeID="_x0000_i1166" DrawAspect="Content" ObjectID="_1468075866" r:id="rId323">
            <o:LockedField>false</o:LockedField>
          </o:OLEObject>
        </w:object>
      </w:r>
      <w:r>
        <w:rPr>
          <w:rFonts w:hint="eastAsia" w:ascii="仿宋" w:hAnsi="仿宋" w:eastAsia="仿宋" w:cs="仿宋"/>
          <w:sz w:val="24"/>
          <w:szCs w:val="24"/>
        </w:rPr>
        <w:t>）；</w:t>
      </w:r>
    </w:p>
    <w:p w14:paraId="4C1E795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m-参加一致性观测的仪器台数；</w:t>
      </w:r>
    </w:p>
    <w:p w14:paraId="392E674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n-参与一致性试验的观测频点数；</w:t>
      </w:r>
    </w:p>
    <w:p w14:paraId="0BB062B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L-相对误差的总个数，L=m×n。</w:t>
      </w:r>
    </w:p>
    <w:p w14:paraId="0054416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d)一致性试验的ε一致性应不大于设计的观测误差，否则应从参加试验的m台仪器中找出偏离均方误差εj偏大的某仪器不予使用，或经调节该仪器性能后达到一致性要求时方可使用。</w:t>
      </w:r>
    </w:p>
    <w:p w14:paraId="3E5EF58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e)从参加一致性试验的m台仪器中找出εj偏大仪器可采用以下公式：</w:t>
      </w:r>
    </w:p>
    <w:p w14:paraId="62BBE7F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67" o:spt="75" type="#_x0000_t75" style="height:39.75pt;width:153.75pt;" o:ole="t" filled="f" o:preferrelative="t" stroked="f" coordsize="21600,21600">
            <v:path/>
            <v:fill on="f" focussize="0,0"/>
            <v:stroke on="f" joinstyle="miter"/>
            <v:imagedata r:id="rId326" o:title=""/>
            <o:lock v:ext="edit" aspectratio="t"/>
            <w10:wrap type="none"/>
            <w10:anchorlock/>
          </v:shape>
          <o:OLEObject Type="Embed" ProgID="Equation.3" ShapeID="_x0000_i1167" DrawAspect="Content" ObjectID="_1468075867" r:id="rId325">
            <o:LockedField>false</o:LockedField>
          </o:OLEObject>
        </w:object>
      </w:r>
    </w:p>
    <w:p w14:paraId="19D0E49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w:t>
      </w:r>
    </w:p>
    <w:p w14:paraId="4A5A6D9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ρij-第j台仪器在第i频点视电阻率观测值；</w:t>
      </w:r>
    </w:p>
    <w:p w14:paraId="2C6CCF4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68" o:spt="75" type="#_x0000_t75" style="height:20.25pt;width:15pt;" o:ole="t" filled="f" o:preferrelative="t" stroked="f" coordsize="21600,21600">
            <v:path/>
            <v:fill on="f" focussize="0,0"/>
            <v:stroke on="f" joinstyle="miter"/>
            <v:imagedata r:id="rId328" o:title=""/>
            <o:lock v:ext="edit" aspectratio="t"/>
            <w10:wrap type="none"/>
            <w10:anchorlock/>
          </v:shape>
          <o:OLEObject Type="Embed" ProgID="Equation.3" ShapeID="_x0000_i1168" DrawAspect="Content" ObjectID="_1468075868" r:id="rId327">
            <o:LockedField>false</o:LockedField>
          </o:OLEObject>
        </w:object>
      </w:r>
      <w:r>
        <w:rPr>
          <w:rFonts w:hint="eastAsia" w:ascii="仿宋" w:hAnsi="仿宋" w:eastAsia="仿宋" w:cs="仿宋"/>
          <w:sz w:val="24"/>
          <w:szCs w:val="24"/>
        </w:rPr>
        <w:t>-m台仪器在第i频点视电阻率观测值平均值，</w:t>
      </w:r>
      <w:r>
        <w:rPr>
          <w:rFonts w:hint="eastAsia" w:ascii="仿宋" w:hAnsi="仿宋" w:eastAsia="仿宋" w:cs="仿宋"/>
          <w:sz w:val="24"/>
          <w:szCs w:val="24"/>
        </w:rPr>
        <w:object>
          <v:shape id="_x0000_i1169" o:spt="75" type="#_x0000_t75" style="height:33.75pt;width:53.25pt;" o:ole="t" filled="f" o:preferrelative="t" stroked="f" coordsize="21600,21600">
            <v:path/>
            <v:fill on="f" focussize="0,0"/>
            <v:stroke on="f" joinstyle="miter"/>
            <v:imagedata r:id="rId330" o:title=""/>
            <o:lock v:ext="edit" aspectratio="t"/>
            <w10:wrap type="none"/>
            <w10:anchorlock/>
          </v:shape>
          <o:OLEObject Type="Embed" ProgID="Equation.3" ShapeID="_x0000_i1169" DrawAspect="Content" ObjectID="_1468075869" r:id="rId329">
            <o:LockedField>false</o:LockedField>
          </o:OLEObject>
        </w:object>
      </w:r>
      <w:r>
        <w:rPr>
          <w:rFonts w:hint="eastAsia" w:ascii="仿宋" w:hAnsi="仿宋" w:eastAsia="仿宋" w:cs="仿宋"/>
          <w:sz w:val="24"/>
          <w:szCs w:val="24"/>
        </w:rPr>
        <w:t>（其中，m为参加一致性观测的仪器台数）；</w:t>
      </w:r>
    </w:p>
    <w:p w14:paraId="31736FB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n-参与一致性试验的观测频点数。</w:t>
      </w:r>
    </w:p>
    <w:p w14:paraId="6F6735E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施工仪器在开工前、收工后的施工满六个月，应在干扰小的对比点采用相同装置观测，同台仪器相邻两次测定同一极化模式视电阻率和相位的均方相对误差应不大于5%。开工前、收工后的测定允许与仪器一致性合并进行。</w:t>
      </w:r>
    </w:p>
    <w:p w14:paraId="2E0585F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5.仪器维护与要求应做到：</w:t>
      </w:r>
    </w:p>
    <w:p w14:paraId="428576F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a)仪器应配有专门操作员，野外工作期间严格按仪器使用说明书和操作规程进行使用与维护；</w:t>
      </w:r>
    </w:p>
    <w:p w14:paraId="3DC74C8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b)仪器设备应定期保养检查，发生故障时应及时检修，检修标定合格后方可继续使用；</w:t>
      </w:r>
    </w:p>
    <w:p w14:paraId="05616C2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c)仪器设备检修须由熟悉仪器设备性能的专业人员进行，应填写完整的检修记录并存档；</w:t>
      </w:r>
    </w:p>
    <w:p w14:paraId="37D07D5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d)仪器及设备在搬运、埋设过程中应轻装、轻放，避免碰撞；</w:t>
      </w:r>
    </w:p>
    <w:p w14:paraId="7408946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e)野外工作期间，如遇到仪器发生无法排除的故障，应立即停止野外观测并送回修理；</w:t>
      </w:r>
    </w:p>
    <w:p w14:paraId="71BBC14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f)探头发生碰撞或跌落，应对其进行检测。</w:t>
      </w:r>
    </w:p>
    <w:p w14:paraId="240C9D6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（三）参数试验</w:t>
      </w:r>
    </w:p>
    <w:p w14:paraId="7EB4BDA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1.考虑到工区地形较平坦，本次施测MN采用40米。</w:t>
      </w:r>
    </w:p>
    <w:p w14:paraId="55B23B0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2.工作频率：根据工区实际地质条件、勘查任务目标拟探测的最大深度和测区介质的平均电阻率初步确定。</w:t>
      </w:r>
    </w:p>
    <w:p w14:paraId="53843C0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3.观测时间长度：根据探测深度和干扰水平确定观测时间，并进行观测时间长度试验，结合视电阻率和相位曲线圆滑连续情况，选取合理的观测时间长度。</w:t>
      </w:r>
    </w:p>
    <w:p w14:paraId="3B98225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（四）观测装置的铺设</w:t>
      </w:r>
    </w:p>
    <w:p w14:paraId="6E6D45D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张量测量时宜采用“十”字形装置，装置的铺设应采用森林罗盘，水平方向的两对测量电极（Ex、Ey）分别和两个磁棒（Hy、Hx）相交垂直布设，各自方位偏差不大于1°，水平磁棒（Hy、Hx）埋设于其顶端距中心点8m～10m处，误差不大于1°，在施工条件允许的地方，应采用这种布设方式，具体其装置布设，见图5-4。</w:t>
      </w:r>
    </w:p>
    <w:p w14:paraId="584A384B">
      <w:pPr>
        <w:pageBreakBefore w:val="0"/>
        <w:wordWrap/>
        <w:bidi w:val="0"/>
        <w:spacing w:line="360" w:lineRule="auto"/>
        <w:ind w:firstLine="480" w:firstLineChars="200"/>
        <w:outlineLvl w:val="9"/>
        <w:rPr>
          <w:rFonts w:ascii="仿宋" w:hAnsi="仿宋" w:eastAsia="仿宋" w:cs="仿宋"/>
          <w:sz w:val="24"/>
          <w:szCs w:val="24"/>
        </w:rPr>
      </w:pPr>
      <w:r>
        <w:rPr>
          <w:rFonts w:ascii="仿宋" w:hAnsi="仿宋" w:eastAsia="仿宋" w:cs="仿宋"/>
          <w:sz w:val="24"/>
          <w:szCs w:val="24"/>
        </w:rPr>
        <w:drawing>
          <wp:inline distT="0" distB="0" distL="0" distR="0">
            <wp:extent cx="3597275" cy="2950210"/>
            <wp:effectExtent l="0" t="0" r="3175" b="254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a:xfrm>
                      <a:off x="0" y="0"/>
                      <a:ext cx="3597275" cy="2950210"/>
                    </a:xfrm>
                    <a:prstGeom prst="rect">
                      <a:avLst/>
                    </a:prstGeom>
                    <a:noFill/>
                    <a:ln>
                      <a:noFill/>
                    </a:ln>
                  </pic:spPr>
                </pic:pic>
              </a:graphicData>
            </a:graphic>
          </wp:inline>
        </w:drawing>
      </w:r>
    </w:p>
    <w:p w14:paraId="34D9C96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图5-4  AMT装置布设示意图</w:t>
      </w:r>
    </w:p>
    <w:p w14:paraId="778A603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2.在施工条件不适宜“十”字形布设的情况下，可采用“L”形装置，使两对测量电极不以测点中心为对称布设的观测装置。依据试验或设计书规定的电极距布置，应按实测水平距布极，极距误差应小于1%。</w:t>
      </w:r>
    </w:p>
    <w:p w14:paraId="52A3ABE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电极接地电阻应不大于2KΩ，避免布设在流水、污水、腐殖土中或废石堆上，极坑内不得残留有砾石和杂物；地表干燥时，应提前向坑内浇水以减小接地电阻；在沙漠、戈壁、高阻岩石露头区，应采用电极四周垫土、周围浇水等方法来降低接地电阻。</w:t>
      </w:r>
    </w:p>
    <w:p w14:paraId="2DEEE3A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4.水平磁棒与垂直磁棒埋入土中保持水平或垂直，磁棒应保持稳定，尽量埋入土中，用水平仪校准。</w:t>
      </w:r>
    </w:p>
    <w:p w14:paraId="279FFFC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5.电极、磁棒连线及仪器或前置放大器的电缆均不能悬空，不能平行放置，每隔3m～5m需用土或石块压实，防止晃动。避免因风吹使导线晃动产生电磁干扰。</w:t>
      </w:r>
    </w:p>
    <w:p w14:paraId="546021C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（五）野外观测工作要求</w:t>
      </w:r>
    </w:p>
    <w:p w14:paraId="70D9169C">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1.仪器到达测点，电极、磁棒的布设连接工作就绪后，观测前应检查以下内容：</w:t>
      </w:r>
    </w:p>
    <w:p w14:paraId="2DFA088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a)电道、磁道信号线与屏蔽层的绝缘度应大于2MΩ；</w:t>
      </w:r>
    </w:p>
    <w:p w14:paraId="524C83B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b)各信号线与大地的绝缘电阻应大于2MΩ；</w:t>
      </w:r>
    </w:p>
    <w:p w14:paraId="7FF0230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c)电极、磁棒、信号线的埋置和敷设应按“3、观测装置和敷设”的规定进行</w:t>
      </w:r>
    </w:p>
    <w:p w14:paraId="42024F0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d)应检查仪器与传输线连接是否正确、是否牢固，接收电极接地是否良好，电源电压和仪器是否正常，探头摆向是否正确。</w:t>
      </w:r>
    </w:p>
    <w:p w14:paraId="0E30603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e)按班报表各项内容逐项检查、记录。</w:t>
      </w:r>
    </w:p>
    <w:p w14:paraId="44752AC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2.仪器启动后应按仪器操作说明书时行各项测试，如噪声测试、增益测试和极性比较等。</w:t>
      </w:r>
    </w:p>
    <w:p w14:paraId="61449FE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3.每个测点应达到完成地质任务所必须观测的最低观测频率。</w:t>
      </w:r>
    </w:p>
    <w:p w14:paraId="1635C74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4.每一个频点应有足够的叠加次数，特别是低频段数据质量，如达不到要求，应延长观测时间，增加叠加次数，以保证数据质量。</w:t>
      </w:r>
    </w:p>
    <w:p w14:paraId="4C1788B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5.开始观测时，除操作人员以外的其他人员应远离测站；在观测过程中，对有实时监测功能的仪器应随时注意监视各道变化，如遇记录道饱和、严重干扰等现象，应及时调整参数和补测。</w:t>
      </w:r>
    </w:p>
    <w:p w14:paraId="6F9F8B7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6.观测时要做野外观测现场工作记录。除按规定认真填写工作记录和测点布置等信息外，还应记录观测点附近的地质现象、地形地貌、可能引起噪声的干扰源等。应使用2H铅笔记录，要求字迹清晰，不应出现涂改。</w:t>
      </w:r>
    </w:p>
    <w:p w14:paraId="59A47A1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7.每天收工后应及时将当天采集的数据传入计算机，经检查确认无丢失遗漏数据后，另存盘备份并设定为唯一标识，直至确认所有数据无遗漏并备份成功后方可清除仪器内存储的数据。</w:t>
      </w:r>
    </w:p>
    <w:p w14:paraId="134EFA0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8.每天应及时对所测的数据进行处理，并对数据进行评价，填写视电阻率曲线、相位曲线质量评价表，对不符合数据质量要求的应择日重测。</w:t>
      </w:r>
    </w:p>
    <w:p w14:paraId="699272A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9.野外施工结束，应将本区观测记录刻制光盘存档。光盘应贴标签，注明施工单位、测区、测线号、测点号、光盘编号、操作员姓名、日期等。</w:t>
      </w:r>
    </w:p>
    <w:p w14:paraId="02C32FB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（六）数据质量及评价</w:t>
      </w:r>
    </w:p>
    <w:p w14:paraId="071B9D4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1.检查点应是同一测点，不同日期、不同操作员、重新布极用相同或不同仪器的重复观测点。</w:t>
      </w:r>
    </w:p>
    <w:p w14:paraId="73E1A56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2.检查点应在空间、时间上分布均匀，并选在干扰背景平静的地区。质检率不得低于3%。</w:t>
      </w:r>
    </w:p>
    <w:p w14:paraId="0BCF7B6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3.检查点的观测和生产观测全频段视电阻率（</w:t>
      </w:r>
      <w:r>
        <w:rPr>
          <w:rFonts w:hint="eastAsia" w:ascii="仿宋" w:hAnsi="仿宋" w:eastAsia="仿宋" w:cs="仿宋"/>
          <w:sz w:val="24"/>
          <w:szCs w:val="24"/>
        </w:rPr>
        <w:object>
          <v:shape id="_x0000_i1170" o:spt="75" type="#_x0000_t75" style="height:18.75pt;width:18pt;" o:ole="t" filled="f" o:preferrelative="t" stroked="f" coordsize="21600,21600">
            <v:path/>
            <v:fill on="f" focussize="0,0"/>
            <v:stroke on="f" joinstyle="miter"/>
            <v:imagedata r:id="rId333" o:title=""/>
            <o:lock v:ext="edit" aspectratio="t"/>
            <w10:wrap type="none"/>
            <w10:anchorlock/>
          </v:shape>
          <o:OLEObject Type="Embed" ProgID="Equation.3" ShapeID="_x0000_i1170" DrawAspect="Content" ObjectID="_1468075870" r:id="rId332">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171" o:spt="75" type="#_x0000_t75" style="height:18.75pt;width:18.75pt;" o:ole="t" filled="f" o:preferrelative="t" stroked="f" coordsize="21600,21600">
            <v:path/>
            <v:fill on="f" focussize="0,0"/>
            <v:stroke on="f" joinstyle="miter"/>
            <v:imagedata r:id="rId335" o:title=""/>
            <o:lock v:ext="edit" aspectratio="t"/>
            <w10:wrap type="none"/>
            <w10:anchorlock/>
          </v:shape>
          <o:OLEObject Type="Embed" ProgID="Equation.3" ShapeID="_x0000_i1171" DrawAspect="Content" ObjectID="_1468075871" r:id="rId334">
            <o:LockedField>false</o:LockedField>
          </o:OLEObject>
        </w:object>
      </w:r>
      <w:r>
        <w:rPr>
          <w:rFonts w:hint="eastAsia" w:ascii="仿宋" w:hAnsi="仿宋" w:eastAsia="仿宋" w:cs="仿宋"/>
          <w:sz w:val="24"/>
          <w:szCs w:val="24"/>
        </w:rPr>
        <w:t>）曲线和相位（</w:t>
      </w:r>
      <w:r>
        <w:rPr>
          <w:rFonts w:hint="eastAsia" w:ascii="仿宋" w:hAnsi="仿宋" w:eastAsia="仿宋" w:cs="仿宋"/>
          <w:sz w:val="24"/>
          <w:szCs w:val="24"/>
        </w:rPr>
        <w:object>
          <v:shape id="_x0000_i1172" o:spt="75" type="#_x0000_t75" style="height:18.75pt;width:18pt;" o:ole="t" filled="f" o:preferrelative="t" stroked="f" coordsize="21600,21600">
            <v:path/>
            <v:fill on="f" focussize="0,0"/>
            <v:stroke on="f" joinstyle="miter"/>
            <v:imagedata r:id="rId337" o:title=""/>
            <o:lock v:ext="edit" aspectratio="t"/>
            <w10:wrap type="none"/>
            <w10:anchorlock/>
          </v:shape>
          <o:OLEObject Type="Embed" ProgID="Equation.3" ShapeID="_x0000_i1172" DrawAspect="Content" ObjectID="_1468075872" r:id="rId336">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173" o:spt="75" type="#_x0000_t75" style="height:18.75pt;width:18pt;" o:ole="t" filled="f" o:preferrelative="t" stroked="f" coordsize="21600,21600">
            <v:path/>
            <v:fill on="f" focussize="0,0"/>
            <v:stroke on="f" joinstyle="miter"/>
            <v:imagedata r:id="rId339" o:title=""/>
            <o:lock v:ext="edit" aspectratio="t"/>
            <w10:wrap type="none"/>
            <w10:anchorlock/>
          </v:shape>
          <o:OLEObject Type="Embed" ProgID="Equation.3" ShapeID="_x0000_i1173" DrawAspect="Content" ObjectID="_1468075873" r:id="rId338">
            <o:LockedField>false</o:LockedField>
          </o:OLEObject>
        </w:object>
      </w:r>
      <w:r>
        <w:rPr>
          <w:rFonts w:hint="eastAsia" w:ascii="仿宋" w:hAnsi="仿宋" w:eastAsia="仿宋" w:cs="仿宋"/>
          <w:sz w:val="24"/>
          <w:szCs w:val="24"/>
        </w:rPr>
        <w:t>）曲线，应形态一致，对应频点的数值接近，经编辑、插值后两次观测同一极化模式下的视电阻率和相位的均方相对误差不大于7%。计算观测误差时，可剔除个别干扰大的频点，但删除频点数在每个级次不应超过本级次的三分之一频点，并不大于检查总频点数的15%。误差计算结果应编制误差统计表。</w:t>
      </w:r>
    </w:p>
    <w:p w14:paraId="52776A4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4.根据原始观测和检查观测数据，计算观测误差。</w:t>
      </w:r>
    </w:p>
    <w:p w14:paraId="0302B1C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a)计算各个频点的视电阻率（</w:t>
      </w:r>
      <w:r>
        <w:rPr>
          <w:rFonts w:hint="eastAsia" w:ascii="仿宋" w:hAnsi="仿宋" w:eastAsia="仿宋" w:cs="仿宋"/>
          <w:sz w:val="24"/>
          <w:szCs w:val="24"/>
        </w:rPr>
        <w:object>
          <v:shape id="_x0000_i1174" o:spt="75" type="#_x0000_t75" style="height:18.75pt;width:18pt;" o:ole="t" filled="f" o:preferrelative="t" stroked="f" coordsize="21600,21600">
            <v:path/>
            <v:fill on="f" focussize="0,0"/>
            <v:stroke on="f" joinstyle="miter"/>
            <v:imagedata r:id="rId333" o:title=""/>
            <o:lock v:ext="edit" aspectratio="t"/>
            <w10:wrap type="none"/>
            <w10:anchorlock/>
          </v:shape>
          <o:OLEObject Type="Embed" ProgID="Equation.3" ShapeID="_x0000_i1174" DrawAspect="Content" ObjectID="_1468075874" r:id="rId340">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175" o:spt="75" type="#_x0000_t75" style="height:18.75pt;width:18.75pt;" o:ole="t" filled="f" o:preferrelative="t" stroked="f" coordsize="21600,21600">
            <v:path/>
            <v:fill on="f" focussize="0,0"/>
            <v:stroke on="f" joinstyle="miter"/>
            <v:imagedata r:id="rId335" o:title=""/>
            <o:lock v:ext="edit" aspectratio="t"/>
            <w10:wrap type="none"/>
            <w10:anchorlock/>
          </v:shape>
          <o:OLEObject Type="Embed" ProgID="Equation.3" ShapeID="_x0000_i1175" DrawAspect="Content" ObjectID="_1468075875" r:id="rId341">
            <o:LockedField>false</o:LockedField>
          </o:OLEObject>
        </w:object>
      </w:r>
      <w:r>
        <w:rPr>
          <w:rFonts w:hint="eastAsia" w:ascii="仿宋" w:hAnsi="仿宋" w:eastAsia="仿宋" w:cs="仿宋"/>
          <w:sz w:val="24"/>
          <w:szCs w:val="24"/>
        </w:rPr>
        <w:t>）或相位（</w:t>
      </w:r>
      <w:r>
        <w:rPr>
          <w:rFonts w:hint="eastAsia" w:ascii="仿宋" w:hAnsi="仿宋" w:eastAsia="仿宋" w:cs="仿宋"/>
          <w:sz w:val="24"/>
          <w:szCs w:val="24"/>
        </w:rPr>
        <w:object>
          <v:shape id="_x0000_i1176" o:spt="75" type="#_x0000_t75" style="height:18.75pt;width:18pt;" o:ole="t" filled="f" o:preferrelative="t" stroked="f" coordsize="21600,21600">
            <v:path/>
            <v:fill on="f" focussize="0,0"/>
            <v:stroke on="f" joinstyle="miter"/>
            <v:imagedata r:id="rId343" o:title=""/>
            <o:lock v:ext="edit" aspectratio="t"/>
            <w10:wrap type="none"/>
            <w10:anchorlock/>
          </v:shape>
          <o:OLEObject Type="Embed" ProgID="Equation.3" ShapeID="_x0000_i1176" DrawAspect="Content" ObjectID="_1468075876" r:id="rId342">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177" o:spt="75" type="#_x0000_t75" style="height:18.75pt;width:18pt;" o:ole="t" filled="f" o:preferrelative="t" stroked="f" coordsize="21600,21600">
            <v:path/>
            <v:fill on="f" focussize="0,0"/>
            <v:stroke on="f" joinstyle="miter"/>
            <v:imagedata r:id="rId345" o:title=""/>
            <o:lock v:ext="edit" aspectratio="t"/>
            <w10:wrap type="none"/>
            <w10:anchorlock/>
          </v:shape>
          <o:OLEObject Type="Embed" ProgID="Equation.3" ShapeID="_x0000_i1177" DrawAspect="Content" ObjectID="_1468075877" r:id="rId344">
            <o:LockedField>false</o:LockedField>
          </o:OLEObject>
        </w:object>
      </w:r>
      <w:r>
        <w:rPr>
          <w:rFonts w:hint="eastAsia" w:ascii="仿宋" w:hAnsi="仿宋" w:eastAsia="仿宋" w:cs="仿宋"/>
          <w:sz w:val="24"/>
          <w:szCs w:val="24"/>
        </w:rPr>
        <w:t>）相对误差mi分布曲线。mi计算公式为</w:t>
      </w:r>
    </w:p>
    <w:p w14:paraId="7EE2D1C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78" o:spt="75" type="#_x0000_t75" style="height:36.75pt;width:136.5pt;" o:ole="t" filled="f" o:preferrelative="t" stroked="f" coordsize="21600,21600">
            <v:path/>
            <v:fill on="f" focussize="0,0"/>
            <v:stroke on="f" joinstyle="miter"/>
            <v:imagedata r:id="rId347" o:title=""/>
            <o:lock v:ext="edit" aspectratio="t"/>
            <w10:wrap type="none"/>
            <w10:anchorlock/>
          </v:shape>
          <o:OLEObject Type="Embed" ProgID="Equation.3" ShapeID="_x0000_i1178" DrawAspect="Content" ObjectID="_1468075878" r:id="rId346">
            <o:LockedField>false</o:LockedField>
          </o:OLEObject>
        </w:object>
      </w:r>
    </w:p>
    <w:p w14:paraId="597776A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w:t>
      </w:r>
    </w:p>
    <w:p w14:paraId="34BA012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79" o:spt="75" type="#_x0000_t75" style="height:18pt;width:17.25pt;" o:ole="t" filled="f" o:preferrelative="t" stroked="f" coordsize="21600,21600">
            <v:path/>
            <v:fill on="f" focussize="0,0"/>
            <v:stroke on="f" joinstyle="miter"/>
            <v:imagedata r:id="rId349" o:title=""/>
            <o:lock v:ext="edit" aspectratio="t"/>
            <w10:wrap type="none"/>
            <w10:anchorlock/>
          </v:shape>
          <o:OLEObject Type="Embed" ProgID="Equation.3" ShapeID="_x0000_i1179" DrawAspect="Content" ObjectID="_1468075879" r:id="rId348">
            <o:LockedField>false</o:LockedField>
          </o:OLEObject>
        </w:object>
      </w:r>
      <w:r>
        <w:rPr>
          <w:rFonts w:hint="eastAsia" w:ascii="仿宋" w:hAnsi="仿宋" w:eastAsia="仿宋" w:cs="仿宋"/>
          <w:sz w:val="24"/>
          <w:szCs w:val="24"/>
        </w:rPr>
        <w:t>-第i频点原始观测视电阻率（</w:t>
      </w:r>
      <w:r>
        <w:rPr>
          <w:rFonts w:hint="eastAsia" w:ascii="仿宋" w:hAnsi="仿宋" w:eastAsia="仿宋" w:cs="仿宋"/>
          <w:sz w:val="24"/>
          <w:szCs w:val="24"/>
        </w:rPr>
        <w:object>
          <v:shape id="_x0000_i1180" o:spt="75" type="#_x0000_t75" style="height:18.75pt;width:18pt;" o:ole="t" filled="f" o:preferrelative="t" stroked="f" coordsize="21600,21600">
            <v:path/>
            <v:fill on="f" focussize="0,0"/>
            <v:stroke on="f" joinstyle="miter"/>
            <v:imagedata r:id="rId333" o:title=""/>
            <o:lock v:ext="edit" aspectratio="t"/>
            <w10:wrap type="none"/>
            <w10:anchorlock/>
          </v:shape>
          <o:OLEObject Type="Embed" ProgID="Equation.3" ShapeID="_x0000_i1180" DrawAspect="Content" ObjectID="_1468075880" r:id="rId350">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181" o:spt="75" type="#_x0000_t75" style="height:18.75pt;width:18.75pt;" o:ole="t" filled="f" o:preferrelative="t" stroked="f" coordsize="21600,21600">
            <v:path/>
            <v:fill on="f" focussize="0,0"/>
            <v:stroke on="f" joinstyle="miter"/>
            <v:imagedata r:id="rId335" o:title=""/>
            <o:lock v:ext="edit" aspectratio="t"/>
            <w10:wrap type="none"/>
            <w10:anchorlock/>
          </v:shape>
          <o:OLEObject Type="Embed" ProgID="Equation.3" ShapeID="_x0000_i1181" DrawAspect="Content" ObjectID="_1468075881" r:id="rId351">
            <o:LockedField>false</o:LockedField>
          </o:OLEObject>
        </w:object>
      </w:r>
      <w:r>
        <w:rPr>
          <w:rFonts w:hint="eastAsia" w:ascii="仿宋" w:hAnsi="仿宋" w:eastAsia="仿宋" w:cs="仿宋"/>
          <w:sz w:val="24"/>
          <w:szCs w:val="24"/>
        </w:rPr>
        <w:t>）或相位（</w:t>
      </w:r>
      <w:r>
        <w:rPr>
          <w:rFonts w:hint="eastAsia" w:ascii="仿宋" w:hAnsi="仿宋" w:eastAsia="仿宋" w:cs="仿宋"/>
          <w:sz w:val="24"/>
          <w:szCs w:val="24"/>
        </w:rPr>
        <w:object>
          <v:shape id="_x0000_i1182" o:spt="75" type="#_x0000_t75" style="height:18.75pt;width:18pt;" o:ole="t" filled="f" o:preferrelative="t" stroked="f" coordsize="21600,21600">
            <v:path/>
            <v:fill on="f" focussize="0,0"/>
            <v:stroke on="f" joinstyle="miter"/>
            <v:imagedata r:id="rId343" o:title=""/>
            <o:lock v:ext="edit" aspectratio="t"/>
            <w10:wrap type="none"/>
            <w10:anchorlock/>
          </v:shape>
          <o:OLEObject Type="Embed" ProgID="Equation.3" ShapeID="_x0000_i1182" DrawAspect="Content" ObjectID="_1468075882" r:id="rId352">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183" o:spt="75" type="#_x0000_t75" style="height:18.75pt;width:18pt;" o:ole="t" filled="f" o:preferrelative="t" stroked="f" coordsize="21600,21600">
            <v:path/>
            <v:fill on="f" focussize="0,0"/>
            <v:stroke on="f" joinstyle="miter"/>
            <v:imagedata r:id="rId345" o:title=""/>
            <o:lock v:ext="edit" aspectratio="t"/>
            <w10:wrap type="none"/>
            <w10:anchorlock/>
          </v:shape>
          <o:OLEObject Type="Embed" ProgID="Equation.3" ShapeID="_x0000_i1183" DrawAspect="Content" ObjectID="_1468075883" r:id="rId353">
            <o:LockedField>false</o:LockedField>
          </o:OLEObject>
        </w:object>
      </w:r>
      <w:r>
        <w:rPr>
          <w:rFonts w:hint="eastAsia" w:ascii="仿宋" w:hAnsi="仿宋" w:eastAsia="仿宋" w:cs="仿宋"/>
          <w:sz w:val="24"/>
          <w:szCs w:val="24"/>
        </w:rPr>
        <w:t>）；</w:t>
      </w:r>
    </w:p>
    <w:p w14:paraId="02919A2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84" o:spt="75" type="#_x0000_t75" style="height:18pt;width:17.25pt;" o:ole="t" filled="f" o:preferrelative="t" stroked="f" coordsize="21600,21600">
            <v:path/>
            <v:fill on="f" focussize="0,0"/>
            <v:stroke on="f" joinstyle="miter"/>
            <v:imagedata r:id="rId355" o:title=""/>
            <o:lock v:ext="edit" aspectratio="t"/>
            <w10:wrap type="none"/>
            <w10:anchorlock/>
          </v:shape>
          <o:OLEObject Type="Embed" ProgID="Equation.3" ShapeID="_x0000_i1184" DrawAspect="Content" ObjectID="_1468075884" r:id="rId354">
            <o:LockedField>false</o:LockedField>
          </o:OLEObject>
        </w:object>
      </w:r>
      <w:r>
        <w:rPr>
          <w:rFonts w:hint="eastAsia" w:ascii="仿宋" w:hAnsi="仿宋" w:eastAsia="仿宋" w:cs="仿宋"/>
          <w:sz w:val="24"/>
          <w:szCs w:val="24"/>
        </w:rPr>
        <w:t>-第i频点检查观测视电阻率（</w:t>
      </w:r>
      <w:r>
        <w:rPr>
          <w:rFonts w:hint="eastAsia" w:ascii="仿宋" w:hAnsi="仿宋" w:eastAsia="仿宋" w:cs="仿宋"/>
          <w:sz w:val="24"/>
          <w:szCs w:val="24"/>
        </w:rPr>
        <w:object>
          <v:shape id="_x0000_i1185" o:spt="75" type="#_x0000_t75" style="height:18.75pt;width:18pt;" o:ole="t" filled="f" o:preferrelative="t" stroked="f" coordsize="21600,21600">
            <v:path/>
            <v:fill on="f" focussize="0,0"/>
            <v:stroke on="f" joinstyle="miter"/>
            <v:imagedata r:id="rId333" o:title=""/>
            <o:lock v:ext="edit" aspectratio="t"/>
            <w10:wrap type="none"/>
            <w10:anchorlock/>
          </v:shape>
          <o:OLEObject Type="Embed" ProgID="Equation.3" ShapeID="_x0000_i1185" DrawAspect="Content" ObjectID="_1468075885" r:id="rId356">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186" o:spt="75" type="#_x0000_t75" style="height:18.75pt;width:18.75pt;" o:ole="t" filled="f" o:preferrelative="t" stroked="f" coordsize="21600,21600">
            <v:path/>
            <v:fill on="f" focussize="0,0"/>
            <v:stroke on="f" joinstyle="miter"/>
            <v:imagedata r:id="rId335" o:title=""/>
            <o:lock v:ext="edit" aspectratio="t"/>
            <w10:wrap type="none"/>
            <w10:anchorlock/>
          </v:shape>
          <o:OLEObject Type="Embed" ProgID="Equation.3" ShapeID="_x0000_i1186" DrawAspect="Content" ObjectID="_1468075886" r:id="rId357">
            <o:LockedField>false</o:LockedField>
          </o:OLEObject>
        </w:object>
      </w:r>
      <w:r>
        <w:rPr>
          <w:rFonts w:hint="eastAsia" w:ascii="仿宋" w:hAnsi="仿宋" w:eastAsia="仿宋" w:cs="仿宋"/>
          <w:sz w:val="24"/>
          <w:szCs w:val="24"/>
        </w:rPr>
        <w:t>）或相位（</w:t>
      </w:r>
      <w:r>
        <w:rPr>
          <w:rFonts w:hint="eastAsia" w:ascii="仿宋" w:hAnsi="仿宋" w:eastAsia="仿宋" w:cs="仿宋"/>
          <w:sz w:val="24"/>
          <w:szCs w:val="24"/>
        </w:rPr>
        <w:object>
          <v:shape id="_x0000_i1187" o:spt="75" type="#_x0000_t75" style="height:18.75pt;width:18pt;" o:ole="t" filled="f" o:preferrelative="t" stroked="f" coordsize="21600,21600">
            <v:path/>
            <v:fill on="f" focussize="0,0"/>
            <v:stroke on="f" joinstyle="miter"/>
            <v:imagedata r:id="rId343" o:title=""/>
            <o:lock v:ext="edit" aspectratio="t"/>
            <w10:wrap type="none"/>
            <w10:anchorlock/>
          </v:shape>
          <o:OLEObject Type="Embed" ProgID="Equation.3" ShapeID="_x0000_i1187" DrawAspect="Content" ObjectID="_1468075887" r:id="rId358">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188" o:spt="75" type="#_x0000_t75" style="height:18.75pt;width:18pt;" o:ole="t" filled="f" o:preferrelative="t" stroked="f" coordsize="21600,21600">
            <v:path/>
            <v:fill on="f" focussize="0,0"/>
            <v:stroke on="f" joinstyle="miter"/>
            <v:imagedata r:id="rId345" o:title=""/>
            <o:lock v:ext="edit" aspectratio="t"/>
            <w10:wrap type="none"/>
            <w10:anchorlock/>
          </v:shape>
          <o:OLEObject Type="Embed" ProgID="Equation.3" ShapeID="_x0000_i1188" DrawAspect="Content" ObjectID="_1468075888" r:id="rId359">
            <o:LockedField>false</o:LockedField>
          </o:OLEObject>
        </w:object>
      </w:r>
      <w:r>
        <w:rPr>
          <w:rFonts w:hint="eastAsia" w:ascii="仿宋" w:hAnsi="仿宋" w:eastAsia="仿宋" w:cs="仿宋"/>
          <w:sz w:val="24"/>
          <w:szCs w:val="24"/>
        </w:rPr>
        <w:t>）；</w:t>
      </w:r>
    </w:p>
    <w:p w14:paraId="01D3FD9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检查点观测结果按以下计算均方相对误差M：</w:t>
      </w:r>
    </w:p>
    <w:p w14:paraId="19CA330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89" o:spt="75" type="#_x0000_t75" style="height:39.75pt;width:93pt;" o:ole="t" filled="f" o:preferrelative="t" stroked="f" coordsize="21600,21600">
            <v:path/>
            <v:fill on="f" focussize="0,0"/>
            <v:stroke on="f" joinstyle="miter"/>
            <v:imagedata r:id="rId361" o:title=""/>
            <o:lock v:ext="edit" aspectratio="t"/>
            <w10:wrap type="none"/>
            <w10:anchorlock/>
          </v:shape>
          <o:OLEObject Type="Embed" ProgID="Equation.3" ShapeID="_x0000_i1189" DrawAspect="Content" ObjectID="_1468075889" r:id="rId360">
            <o:LockedField>false</o:LockedField>
          </o:OLEObject>
        </w:object>
      </w:r>
    </w:p>
    <w:p w14:paraId="51D2D98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w:t>
      </w:r>
    </w:p>
    <w:p w14:paraId="5BED24D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Mi-第i个频点的视电阻率（</w:t>
      </w:r>
      <w:r>
        <w:rPr>
          <w:rFonts w:hint="eastAsia" w:ascii="仿宋" w:hAnsi="仿宋" w:eastAsia="仿宋" w:cs="仿宋"/>
          <w:sz w:val="24"/>
          <w:szCs w:val="24"/>
        </w:rPr>
        <w:object>
          <v:shape id="_x0000_i1190" o:spt="75" type="#_x0000_t75" style="height:18.75pt;width:18pt;" o:ole="t" filled="f" o:preferrelative="t" stroked="f" coordsize="21600,21600">
            <v:path/>
            <v:fill on="f" focussize="0,0"/>
            <v:stroke on="f" joinstyle="miter"/>
            <v:imagedata r:id="rId333" o:title=""/>
            <o:lock v:ext="edit" aspectratio="t"/>
            <w10:wrap type="none"/>
            <w10:anchorlock/>
          </v:shape>
          <o:OLEObject Type="Embed" ProgID="Equation.3" ShapeID="_x0000_i1190" DrawAspect="Content" ObjectID="_1468075890" r:id="rId362">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191" o:spt="75" type="#_x0000_t75" style="height:18.75pt;width:18.75pt;" o:ole="t" filled="f" o:preferrelative="t" stroked="f" coordsize="21600,21600">
            <v:path/>
            <v:fill on="f" focussize="0,0"/>
            <v:stroke on="f" joinstyle="miter"/>
            <v:imagedata r:id="rId335" o:title=""/>
            <o:lock v:ext="edit" aspectratio="t"/>
            <w10:wrap type="none"/>
            <w10:anchorlock/>
          </v:shape>
          <o:OLEObject Type="Embed" ProgID="Equation.3" ShapeID="_x0000_i1191" DrawAspect="Content" ObjectID="_1468075891" r:id="rId363">
            <o:LockedField>false</o:LockedField>
          </o:OLEObject>
        </w:object>
      </w:r>
      <w:r>
        <w:rPr>
          <w:rFonts w:hint="eastAsia" w:ascii="仿宋" w:hAnsi="仿宋" w:eastAsia="仿宋" w:cs="仿宋"/>
          <w:sz w:val="24"/>
          <w:szCs w:val="24"/>
        </w:rPr>
        <w:t>）或相位（</w:t>
      </w:r>
      <w:r>
        <w:rPr>
          <w:rFonts w:hint="eastAsia" w:ascii="仿宋" w:hAnsi="仿宋" w:eastAsia="仿宋" w:cs="仿宋"/>
          <w:sz w:val="24"/>
          <w:szCs w:val="24"/>
        </w:rPr>
        <w:object>
          <v:shape id="_x0000_i1192" o:spt="75" type="#_x0000_t75" style="height:18.75pt;width:18pt;" o:ole="t" filled="f" o:preferrelative="t" stroked="f" coordsize="21600,21600">
            <v:path/>
            <v:fill on="f" focussize="0,0"/>
            <v:stroke on="f" joinstyle="miter"/>
            <v:imagedata r:id="rId343" o:title=""/>
            <o:lock v:ext="edit" aspectratio="t"/>
            <w10:wrap type="none"/>
            <w10:anchorlock/>
          </v:shape>
          <o:OLEObject Type="Embed" ProgID="Equation.3" ShapeID="_x0000_i1192" DrawAspect="Content" ObjectID="_1468075892" r:id="rId364">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193" o:spt="75" type="#_x0000_t75" style="height:18.75pt;width:18pt;" o:ole="t" filled="f" o:preferrelative="t" stroked="f" coordsize="21600,21600">
            <v:path/>
            <v:fill on="f" focussize="0,0"/>
            <v:stroke on="f" joinstyle="miter"/>
            <v:imagedata r:id="rId345" o:title=""/>
            <o:lock v:ext="edit" aspectratio="t"/>
            <w10:wrap type="none"/>
            <w10:anchorlock/>
          </v:shape>
          <o:OLEObject Type="Embed" ProgID="Equation.3" ShapeID="_x0000_i1193" DrawAspect="Content" ObjectID="_1468075893" r:id="rId365">
            <o:LockedField>false</o:LockedField>
          </o:OLEObject>
        </w:object>
      </w:r>
      <w:r>
        <w:rPr>
          <w:rFonts w:hint="eastAsia" w:ascii="仿宋" w:hAnsi="仿宋" w:eastAsia="仿宋" w:cs="仿宋"/>
          <w:sz w:val="24"/>
          <w:szCs w:val="24"/>
        </w:rPr>
        <w:t>）；相对误差；</w:t>
      </w:r>
    </w:p>
    <w:p w14:paraId="10CF626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n-检查观测并参与统计的频点数。</w:t>
      </w:r>
    </w:p>
    <w:p w14:paraId="156ABE3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5.在噪声干扰强的地区，检查点的均方相对误差达不到7%时，可适当放宽到15%，应经任务来源单位同意后在设计书中明确规定。</w:t>
      </w:r>
    </w:p>
    <w:p w14:paraId="02B2B88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每个测点的视电阻率和相位四条曲线分别进行评定，按级登记。</w:t>
      </w:r>
    </w:p>
    <w:p w14:paraId="4E423FB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全频视电阻率曲线和相位曲线的质量评价分为三级：</w:t>
      </w:r>
    </w:p>
    <w:p w14:paraId="5BCB98D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Ⅰ级：数据曲线连续性好，能严格确定曲线类型；</w:t>
      </w:r>
    </w:p>
    <w:p w14:paraId="3B414B1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Ⅱ级：数据曲线无明显脱节现象，曲线形态明确；</w:t>
      </w:r>
    </w:p>
    <w:p w14:paraId="1256ED9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Ⅲ级（不合格）：数据点分散，不满足（Ⅱ）级要求。</w:t>
      </w:r>
    </w:p>
    <w:p w14:paraId="15BB113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6.测深点质量评价</w:t>
      </w:r>
    </w:p>
    <w:p w14:paraId="20F831F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a)Ⅰ级：一个测点的视电阻率和相位四条曲线Ⅰ级不少于两条，且无Ⅲ级，频率范围符合设计要求：</w:t>
      </w:r>
    </w:p>
    <w:p w14:paraId="5A27269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b)Ⅱ级：一个测点的视电阻率和相位四条曲线Ⅱ级不少于三条，频率范围符合设计要求：</w:t>
      </w:r>
    </w:p>
    <w:p w14:paraId="5770EDA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c)Ⅲ级（不合格）：不能满足Ⅱ级的要求。</w:t>
      </w:r>
    </w:p>
    <w:p w14:paraId="01DE494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对每个测深点的视电阻率（</w:t>
      </w:r>
      <w:r>
        <w:rPr>
          <w:rFonts w:hint="eastAsia" w:ascii="仿宋" w:hAnsi="仿宋" w:eastAsia="仿宋" w:cs="仿宋"/>
          <w:sz w:val="24"/>
          <w:szCs w:val="24"/>
        </w:rPr>
        <w:object>
          <v:shape id="_x0000_i1194" o:spt="75" type="#_x0000_t75" style="height:18.75pt;width:18pt;" o:ole="t" filled="f" o:preferrelative="t" stroked="f" coordsize="21600,21600">
            <v:path/>
            <v:fill on="f" focussize="0,0"/>
            <v:stroke on="f" joinstyle="miter"/>
            <v:imagedata r:id="rId333" o:title=""/>
            <o:lock v:ext="edit" aspectratio="t"/>
            <w10:wrap type="none"/>
            <w10:anchorlock/>
          </v:shape>
          <o:OLEObject Type="Embed" ProgID="Equation.3" ShapeID="_x0000_i1194" DrawAspect="Content" ObjectID="_1468075894" r:id="rId366">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195" o:spt="75" type="#_x0000_t75" style="height:18.75pt;width:18.75pt;" o:ole="t" filled="f" o:preferrelative="t" stroked="f" coordsize="21600,21600">
            <v:path/>
            <v:fill on="f" focussize="0,0"/>
            <v:stroke on="f" joinstyle="miter"/>
            <v:imagedata r:id="rId335" o:title=""/>
            <o:lock v:ext="edit" aspectratio="t"/>
            <w10:wrap type="none"/>
            <w10:anchorlock/>
          </v:shape>
          <o:OLEObject Type="Embed" ProgID="Equation.3" ShapeID="_x0000_i1195" DrawAspect="Content" ObjectID="_1468075895" r:id="rId367">
            <o:LockedField>false</o:LockedField>
          </o:OLEObject>
        </w:object>
      </w:r>
      <w:r>
        <w:rPr>
          <w:rFonts w:hint="eastAsia" w:ascii="仿宋" w:hAnsi="仿宋" w:eastAsia="仿宋" w:cs="仿宋"/>
          <w:sz w:val="24"/>
          <w:szCs w:val="24"/>
        </w:rPr>
        <w:t>）或相位（</w:t>
      </w:r>
      <w:r>
        <w:rPr>
          <w:rFonts w:hint="eastAsia" w:ascii="仿宋" w:hAnsi="仿宋" w:eastAsia="仿宋" w:cs="仿宋"/>
          <w:sz w:val="24"/>
          <w:szCs w:val="24"/>
        </w:rPr>
        <w:object>
          <v:shape id="_x0000_i1196" o:spt="75" type="#_x0000_t75" style="height:18.75pt;width:18pt;" o:ole="t" filled="f" o:preferrelative="t" stroked="f" coordsize="21600,21600">
            <v:path/>
            <v:fill on="f" focussize="0,0"/>
            <v:stroke on="f" joinstyle="miter"/>
            <v:imagedata r:id="rId343" o:title=""/>
            <o:lock v:ext="edit" aspectratio="t"/>
            <w10:wrap type="none"/>
            <w10:anchorlock/>
          </v:shape>
          <o:OLEObject Type="Embed" ProgID="Equation.3" ShapeID="_x0000_i1196" DrawAspect="Content" ObjectID="_1468075896" r:id="rId368">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197" o:spt="75" type="#_x0000_t75" style="height:18.75pt;width:18pt;" o:ole="t" filled="f" o:preferrelative="t" stroked="f" coordsize="21600,21600">
            <v:path/>
            <v:fill on="f" focussize="0,0"/>
            <v:stroke on="f" joinstyle="miter"/>
            <v:imagedata r:id="rId345" o:title=""/>
            <o:lock v:ext="edit" aspectratio="t"/>
            <w10:wrap type="none"/>
            <w10:anchorlock/>
          </v:shape>
          <o:OLEObject Type="Embed" ProgID="Equation.3" ShapeID="_x0000_i1197" DrawAspect="Content" ObjectID="_1468075897" r:id="rId369">
            <o:LockedField>false</o:LockedField>
          </o:OLEObject>
        </w:object>
      </w:r>
      <w:r>
        <w:rPr>
          <w:rFonts w:hint="eastAsia" w:ascii="仿宋" w:hAnsi="仿宋" w:eastAsia="仿宋" w:cs="仿宋"/>
          <w:sz w:val="24"/>
          <w:szCs w:val="24"/>
        </w:rPr>
        <w:t>）曲线分别进行评定，四条曲线按级填写评价表，对不合格曲线注明原因。</w:t>
      </w:r>
    </w:p>
    <w:p w14:paraId="53EC4EA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（七）资料整理</w:t>
      </w:r>
    </w:p>
    <w:p w14:paraId="658A652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1.对数据偏离太大、明显不合理的频点予以删除，删除频点的原则为：</w:t>
      </w:r>
    </w:p>
    <w:p w14:paraId="40EE1D0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a)删掉频点数在每个级次不应超过本级次频点数的三分之一；</w:t>
      </w:r>
    </w:p>
    <w:p w14:paraId="0FFB4CF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b)删掉的频点数不大于总频点数的15%；</w:t>
      </w:r>
    </w:p>
    <w:p w14:paraId="6051D2D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c)不能连续删除多于三个的频点；</w:t>
      </w:r>
    </w:p>
    <w:p w14:paraId="37BBF74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d)保留的频点在整条曲线上应均匀分布。</w:t>
      </w:r>
    </w:p>
    <w:p w14:paraId="6144694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2.由张量测量结果，通过数据处理确定主轴方向，进而获得TE和TM模式的视电阻率和相位曲线。</w:t>
      </w:r>
    </w:p>
    <w:p w14:paraId="59AB025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3.对视电阻率、相位曲线按极化模式分别按上述删除频点原则剔除干扰大的频点，再按曲线形态进行剔除频点内插；并应保留原始数据，供以后的再处理和检查处理之用。</w:t>
      </w:r>
    </w:p>
    <w:p w14:paraId="6EFBEFF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4.按测线平滑后曲线进行静态效应分析，对地形复杂地区，宜采用合适的方法时行地形校正。</w:t>
      </w:r>
    </w:p>
    <w:p w14:paraId="209453D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由已知到未知的原则，充分收集、分析、认识、研究已有的地质、地球物理勘探成果，系统地掌握本区地质规律和地球物理规律和地球球特征，指导整个数据处理与解释过程中各个环节。利用标本物性测定资料，表层电阻率分布资料，研究不同地层、不同岩性的电性特征，把握地层、岩性与电性的对应规律，合理地对实测的电性断面进行解释。</w:t>
      </w:r>
    </w:p>
    <w:p w14:paraId="7F26CD6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由定性到定量的原则，首先依据AMT勘探原理及其对各种地质构造的响应规律，定性分析频率域成果，全面把握原始资料中所提供的信息，对测区内的构造痕迹、断层位置、地层起伏变化等建立整体认识。尔后，在定性分析认识的基础上进行定量解释，对定性成果定时化。针对勘探任务采用的数据处理解释方法与技术，试验评价不同方法技术的应用条件及其解决问题的能力，以便客观正确利用这些成果，选择确定出最优化的数据处理解释方案。</w:t>
      </w:r>
    </w:p>
    <w:p w14:paraId="6D9564D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由粗到细、逐步深入和多次反复、多方法佐证的原则，即首先按常规方法进行资料处理和反演成像，并与已有成果进行对比。通过对比，判明AMT资料的可靠性、干扰程度等，据此确定完成地质任务的技术措施。其次采用可视化人机交互数据预处理系统，根据AMT资料的特点，参照已有地质、地球物理勘探成果，重新进行人机交互数据处理，压制各种干扰，消除静态效应，突出有效信息，对去噪后的数据采用多种方法反演成像，以此成果进行综合地质解释。</w:t>
      </w:r>
    </w:p>
    <w:p w14:paraId="54C9A0CE">
      <w:pPr>
        <w:pStyle w:val="15"/>
        <w:pageBreakBefore w:val="0"/>
        <w:wordWrap/>
        <w:bidi w:val="0"/>
        <w:spacing w:line="480" w:lineRule="auto"/>
        <w:ind w:firstLine="480" w:firstLineChars="200"/>
        <w:outlineLvl w:val="9"/>
        <w:rPr>
          <w:rFonts w:ascii="仿宋" w:hAnsi="仿宋" w:eastAsia="仿宋" w:cs="仿宋"/>
          <w:szCs w:val="24"/>
        </w:rPr>
      </w:pPr>
    </w:p>
    <w:p w14:paraId="6C17DCFF">
      <w:pPr>
        <w:rPr>
          <w:rFonts w:hint="eastAsia" w:ascii="仿宋" w:hAnsi="仿宋" w:eastAsia="仿宋" w:cs="仿宋"/>
          <w:b/>
          <w:bCs/>
          <w:sz w:val="24"/>
          <w:szCs w:val="24"/>
        </w:rPr>
      </w:pPr>
      <w:r>
        <w:rPr>
          <w:rFonts w:hint="eastAsia" w:ascii="仿宋" w:hAnsi="仿宋" w:eastAsia="仿宋" w:cs="仿宋"/>
          <w:b/>
          <w:bCs/>
          <w:sz w:val="24"/>
          <w:szCs w:val="24"/>
        </w:rPr>
        <w:br w:type="page"/>
      </w:r>
    </w:p>
    <w:p w14:paraId="2C7D51DF">
      <w:pPr>
        <w:keepNext w:val="0"/>
        <w:keepLines w:val="0"/>
        <w:pageBreakBefore w:val="0"/>
        <w:widowControl w:val="0"/>
        <w:tabs>
          <w:tab w:val="left" w:pos="4883"/>
        </w:tabs>
        <w:kinsoku/>
        <w:wordWrap/>
        <w:overflowPunct/>
        <w:topLinePunct w:val="0"/>
        <w:autoSpaceDE/>
        <w:autoSpaceDN/>
        <w:bidi w:val="0"/>
        <w:adjustRightInd/>
        <w:snapToGrid/>
        <w:spacing w:line="336" w:lineRule="auto"/>
        <w:jc w:val="center"/>
        <w:textAlignment w:val="auto"/>
        <w:outlineLvl w:val="1"/>
        <w:rPr>
          <w:rFonts w:ascii="仿宋" w:hAnsi="仿宋" w:eastAsia="仿宋" w:cs="仿宋"/>
          <w:b/>
          <w:bCs/>
          <w:sz w:val="40"/>
          <w:szCs w:val="40"/>
        </w:rPr>
      </w:pPr>
      <w:r>
        <w:rPr>
          <w:rFonts w:hint="eastAsia" w:ascii="仿宋" w:hAnsi="仿宋" w:eastAsia="仿宋" w:cs="仿宋"/>
          <w:b/>
          <w:bCs/>
          <w:sz w:val="24"/>
          <w:szCs w:val="24"/>
          <w:lang w:val="en-US" w:eastAsia="zh-CN"/>
        </w:rPr>
        <w:t>⑥、</w:t>
      </w:r>
      <w:r>
        <w:rPr>
          <w:rFonts w:hint="eastAsia" w:ascii="仿宋" w:hAnsi="仿宋" w:eastAsia="仿宋" w:cs="仿宋"/>
          <w:b/>
          <w:bCs/>
          <w:snapToGrid w:val="0"/>
          <w:kern w:val="0"/>
          <w:sz w:val="24"/>
          <w:szCs w:val="24"/>
        </w:rPr>
        <w:t>新疆鄯善县康北铜镍矿普查</w:t>
      </w:r>
    </w:p>
    <w:p w14:paraId="66F6920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eastAsia" w:ascii="仿宋" w:hAnsi="仿宋" w:eastAsia="仿宋" w:cs="仿宋"/>
          <w:b/>
          <w:bCs/>
          <w:snapToGrid w:val="0"/>
          <w:kern w:val="0"/>
          <w:sz w:val="24"/>
          <w:szCs w:val="24"/>
        </w:rPr>
      </w:pPr>
      <w:r>
        <w:rPr>
          <w:rFonts w:hint="eastAsia" w:ascii="仿宋" w:hAnsi="仿宋" w:eastAsia="仿宋" w:cs="仿宋"/>
          <w:b/>
          <w:bCs/>
          <w:snapToGrid w:val="0"/>
          <w:kern w:val="0"/>
          <w:sz w:val="24"/>
          <w:szCs w:val="24"/>
        </w:rPr>
        <w:t>一、服务内容：</w:t>
      </w:r>
    </w:p>
    <w:p w14:paraId="0228DB9F">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普查区地处吐哈盆地南缘，位于鄯善县城东南约110千米，可沿省道S328沙尔湖向南行驶40千米到达工区，区内可通行汽车，交通较为便利，行政区划属吐鲁番市鄯善县管辖。普查区地形起伏不大，总体为低中山戈壁丘陵地貌，切割较浅。地势由南西向北东缓斜降低，海拔高程1067.6米～1156.0米，最大高差88.4米。大部地段汽车可以通行，地形地貌环境相对较好。普查区气候属典型大陆性气候，冬季寒冷，夏季炎热，春秋多风，昼夜温差大，异常干燥。年平均气温-10℃，七月最热，最高气温可达40℃以上，一月最冷，最低气温-20℃以下，昼夜温差10～30℃。年降水量20～60mm，总降水时间不超过20天，多集中在7～8月，以非区域性暴雨形式降落，次数少，雨量大，时间短，常形成暂时性强地表迳流。冬季有积雪覆盖，厚度20～40mm，翌年3月初可融尽。年蒸发量是降水量的近百倍。4～5月为风季，风向多为西北，一般风速2～2.5m/s，最高可达25m/s。</w:t>
      </w:r>
    </w:p>
    <w:p w14:paraId="6AB284B3">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 xml:space="preserve"> 工作量：1:1万重、磁、电剖面30千米。</w:t>
      </w:r>
    </w:p>
    <w:p w14:paraId="0A317FC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二、技术要求</w:t>
      </w:r>
    </w:p>
    <w:p w14:paraId="1F7C7A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sz w:val="24"/>
          <w:szCs w:val="24"/>
        </w:rPr>
      </w:pPr>
      <w:bookmarkStart w:id="468" w:name="_Toc21600"/>
      <w:r>
        <w:rPr>
          <w:rFonts w:hint="eastAsia" w:ascii="仿宋" w:hAnsi="仿宋" w:eastAsia="仿宋" w:cs="仿宋"/>
          <w:sz w:val="24"/>
          <w:szCs w:val="24"/>
        </w:rPr>
        <w:t>1∶1万重、磁、电剖面</w:t>
      </w:r>
      <w:bookmarkEnd w:id="468"/>
    </w:p>
    <w:p w14:paraId="2CE638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通过1∶1万重、磁、电剖面测量，探测工作区主要的基性-超基性岩体、硫化物等，以此对地质体产状进行解析，对矿体埋藏深度等进行测量。探索深部储矿空间，为后续的钻孔布设提供依据。</w:t>
      </w:r>
    </w:p>
    <w:p w14:paraId="7356C52E">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在调查区内通过1:1万重、磁、电综合剖面查明矿致异常规模、延伸情况，为布设钻探验证提供参考依据。设计1:1万重、磁、电剖面30千米。</w:t>
      </w:r>
    </w:p>
    <w:p w14:paraId="2FD0AB70">
      <w:pPr>
        <w:keepNext w:val="0"/>
        <w:keepLines w:val="0"/>
        <w:pageBreakBefore w:val="0"/>
        <w:widowControl w:val="0"/>
        <w:kinsoku/>
        <w:wordWrap/>
        <w:overflowPunct/>
        <w:topLinePunct w:val="0"/>
        <w:autoSpaceDE/>
        <w:autoSpaceDN/>
        <w:bidi w:val="0"/>
        <w:spacing w:before="0" w:after="0" w:line="360" w:lineRule="auto"/>
        <w:ind w:firstLine="480" w:firstLineChars="200"/>
        <w:jc w:val="left"/>
        <w:textAlignment w:val="auto"/>
        <w:outlineLvl w:val="9"/>
        <w:rPr>
          <w:rFonts w:hint="eastAsia" w:ascii="仿宋" w:hAnsi="仿宋" w:eastAsia="仿宋" w:cs="仿宋"/>
          <w:sz w:val="24"/>
          <w:szCs w:val="24"/>
        </w:rPr>
      </w:pPr>
      <w:bookmarkStart w:id="469" w:name="_Toc15572"/>
      <w:r>
        <w:rPr>
          <w:rFonts w:hint="eastAsia" w:ascii="仿宋" w:hAnsi="仿宋" w:eastAsia="仿宋" w:cs="仿宋"/>
          <w:sz w:val="24"/>
          <w:szCs w:val="24"/>
        </w:rPr>
        <w:t>三、物探工作</w:t>
      </w:r>
      <w:bookmarkEnd w:id="469"/>
    </w:p>
    <w:p w14:paraId="5EDE83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(一)1∶1万磁法剖面测量</w:t>
      </w:r>
    </w:p>
    <w:p w14:paraId="656C84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(1)磁物性测量</w:t>
      </w:r>
    </w:p>
    <w:p w14:paraId="0027CFE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结合工作区的地质条件及岩(矿)石磁性强弱选择了磁化率参数测定，测量工作按以下要求进行：</w:t>
      </w:r>
    </w:p>
    <w:p w14:paraId="4454BF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①按每个异常都要解释和交待的原则确定采样的分布。</w:t>
      </w:r>
    </w:p>
    <w:p w14:paraId="27332E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②采集新鲜的岩、矿石标本，标本具有代表性，形状规则、体积适中。</w:t>
      </w:r>
    </w:p>
    <w:p w14:paraId="097AA6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③每类岩石标本大于30块。</w:t>
      </w:r>
    </w:p>
    <w:p w14:paraId="4797BE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④采集标本时在现场编号，同时记录采集地点。</w:t>
      </w:r>
    </w:p>
    <w:p w14:paraId="1E73D9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⑤标本正确定名，并做必要的岩性描述。</w:t>
      </w:r>
    </w:p>
    <w:p w14:paraId="6F78A1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⑥磁参数的测定灵敏度应不低于10</w:t>
      </w:r>
      <w:r>
        <w:rPr>
          <w:rFonts w:hint="eastAsia" w:ascii="仿宋" w:hAnsi="仿宋" w:eastAsia="仿宋" w:cs="仿宋"/>
          <w:sz w:val="24"/>
          <w:szCs w:val="24"/>
          <w:vertAlign w:val="superscript"/>
        </w:rPr>
        <w:t>-5</w:t>
      </w:r>
      <w:r>
        <w:rPr>
          <w:rFonts w:hint="eastAsia" w:ascii="仿宋" w:hAnsi="仿宋" w:eastAsia="仿宋" w:cs="仿宋"/>
          <w:sz w:val="24"/>
          <w:szCs w:val="24"/>
        </w:rPr>
        <w:t>SI。</w:t>
      </w:r>
    </w:p>
    <w:p w14:paraId="0A8E892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(2)仪器试验</w:t>
      </w:r>
    </w:p>
    <w:p w14:paraId="46E598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①噪声水平试验</w:t>
      </w:r>
    </w:p>
    <w:p w14:paraId="67A073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将3台仪器置于无人文干扰的磁场平稳处，探头间隔在20m以上。在日变平稳时段进行秒级同步观测，工前试验采样间隔5秒，工后试验采样间隔为10秒，取100个观测值计算仪器的噪声水平。每台仪器的噪声均方根误差用式(1)计算：</w:t>
      </w:r>
    </w:p>
    <w:p w14:paraId="59B828A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ascii="仿宋" w:hAnsi="仿宋" w:eastAsia="仿宋" w:cs="仿宋"/>
          <w:sz w:val="24"/>
          <w:szCs w:val="24"/>
        </w:rPr>
        <w:drawing>
          <wp:inline distT="0" distB="0" distL="0" distR="0">
            <wp:extent cx="1359535" cy="437515"/>
            <wp:effectExtent l="0" t="0" r="2540" b="63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3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359535" cy="437515"/>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hint="eastAsia" w:ascii="仿宋" w:hAnsi="仿宋" w:eastAsia="仿宋" w:cs="仿宋"/>
          <w:sz w:val="24"/>
          <w:szCs w:val="24"/>
        </w:rPr>
        <w:fldChar w:fldCharType="separate"/>
      </w:r>
      <w:r>
        <w:rPr>
          <w:rFonts w:ascii="仿宋" w:hAnsi="仿宋" w:eastAsia="仿宋" w:cs="仿宋"/>
          <w:sz w:val="24"/>
          <w:szCs w:val="24"/>
        </w:rPr>
        <w:drawing>
          <wp:inline distT="0" distB="0" distL="0" distR="0">
            <wp:extent cx="1359535" cy="437515"/>
            <wp:effectExtent l="0" t="0" r="2540" b="635"/>
            <wp:docPr id="1081753430" name="图片 108175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30" name="图片 1081753430"/>
                    <pic:cNvPicPr>
                      <a:picLocks noChangeAspect="1" noChangeArrowheads="1"/>
                    </pic:cNvPicPr>
                  </pic:nvPicPr>
                  <pic:blipFill>
                    <a:blip r:embed="rId3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359535" cy="437515"/>
                    </a:xfrm>
                    <a:prstGeom prst="rect">
                      <a:avLst/>
                    </a:prstGeom>
                    <a:noFill/>
                    <a:ln>
                      <a:noFill/>
                    </a:ln>
                  </pic:spPr>
                </pic:pic>
              </a:graphicData>
            </a:graphic>
          </wp:inline>
        </w:drawing>
      </w:r>
      <w:r>
        <w:rPr>
          <w:rFonts w:hint="eastAsia" w:ascii="仿宋" w:hAnsi="仿宋" w:eastAsia="仿宋" w:cs="仿宋"/>
          <w:sz w:val="24"/>
          <w:szCs w:val="24"/>
        </w:rPr>
        <w:fldChar w:fldCharType="end"/>
      </w:r>
      <w:r>
        <w:rPr>
          <w:rFonts w:hint="eastAsia" w:ascii="仿宋" w:hAnsi="仿宋" w:eastAsia="仿宋" w:cs="仿宋"/>
          <w:sz w:val="24"/>
          <w:szCs w:val="24"/>
        </w:rPr>
        <w:t xml:space="preserve">           (1)</w:t>
      </w:r>
    </w:p>
    <w:p w14:paraId="3452086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式中：S-噪声均方根误差值，nT；</w:t>
      </w:r>
    </w:p>
    <w:p w14:paraId="06FE357A">
      <w:pPr>
        <w:pageBreakBefore w:val="0"/>
        <w:wordWrap/>
        <w:bidi w:val="0"/>
        <w:adjustRightInd w:val="0"/>
        <w:snapToGrid w:val="0"/>
        <w:spacing w:line="360" w:lineRule="auto"/>
        <w:ind w:firstLine="720" w:firstLineChars="300"/>
        <w:outlineLvl w:val="9"/>
        <w:rPr>
          <w:rFonts w:ascii="仿宋" w:hAnsi="仿宋" w:eastAsia="仿宋" w:cs="仿宋"/>
          <w:sz w:val="24"/>
          <w:szCs w:val="24"/>
        </w:rPr>
      </w:pPr>
      <w:r>
        <w:rPr>
          <w:rFonts w:ascii="仿宋" w:hAnsi="仿宋" w:eastAsia="仿宋" w:cs="仿宋"/>
          <w:sz w:val="24"/>
          <w:szCs w:val="24"/>
        </w:rPr>
        <w:drawing>
          <wp:inline distT="0" distB="0" distL="0" distR="0">
            <wp:extent cx="174625" cy="182880"/>
            <wp:effectExtent l="0" t="0" r="6350" b="7620"/>
            <wp:docPr id="1081753431" name="图片 108175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31" name="图片 1081753431"/>
                    <pic:cNvPicPr>
                      <a:picLocks noChangeAspect="1" noChangeArrowheads="1"/>
                    </pic:cNvPicPr>
                  </pic:nvPicPr>
                  <pic:blipFill>
                    <a:blip r:embed="rId371">
                      <a:extLst>
                        <a:ext uri="{28A0092B-C50C-407E-A947-70E740481C1C}">
                          <a14:useLocalDpi xmlns:a14="http://schemas.microsoft.com/office/drawing/2010/main" val="0"/>
                        </a:ext>
                      </a:extLst>
                    </a:blip>
                    <a:srcRect l="52061" t="30098" r="31729" b="43501"/>
                    <a:stretch>
                      <a:fillRect/>
                    </a:stretch>
                  </pic:blipFill>
                  <pic:spPr>
                    <a:xfrm>
                      <a:off x="0" y="0"/>
                      <a:ext cx="174625" cy="182880"/>
                    </a:xfrm>
                    <a:prstGeom prst="rect">
                      <a:avLst/>
                    </a:prstGeom>
                    <a:noFill/>
                    <a:ln>
                      <a:noFill/>
                    </a:ln>
                  </pic:spPr>
                </pic:pic>
              </a:graphicData>
            </a:graphic>
          </wp:inline>
        </w:drawing>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Δxi </w:instrText>
      </w:r>
      <w:r>
        <w:rPr>
          <w:rFonts w:hint="eastAsia" w:ascii="仿宋" w:hAnsi="仿宋" w:eastAsia="仿宋" w:cs="仿宋"/>
          <w:sz w:val="24"/>
          <w:szCs w:val="24"/>
        </w:rPr>
        <w:fldChar w:fldCharType="end"/>
      </w:r>
      <w:r>
        <w:rPr>
          <w:rFonts w:hint="eastAsia" w:ascii="仿宋" w:hAnsi="仿宋" w:eastAsia="仿宋" w:cs="仿宋"/>
          <w:sz w:val="24"/>
          <w:szCs w:val="24"/>
        </w:rPr>
        <w:t>-第i时观测值</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xi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xi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ascii="仿宋" w:hAnsi="仿宋" w:eastAsia="仿宋" w:cs="仿宋"/>
          <w:sz w:val="24"/>
          <w:szCs w:val="24"/>
        </w:rPr>
        <w:drawing>
          <wp:inline distT="0" distB="0" distL="0" distR="0">
            <wp:extent cx="135255" cy="207010"/>
            <wp:effectExtent l="0" t="0" r="7620" b="1905"/>
            <wp:docPr id="1081753432" name="图片 108175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32" name="图片 1081753432"/>
                    <pic:cNvPicPr>
                      <a:picLocks noChangeAspect="1" noChangeArrowheads="1"/>
                    </pic:cNvPicPr>
                  </pic:nvPicPr>
                  <pic:blipFill>
                    <a:blip r:embed="rId3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35255" cy="207010"/>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hint="eastAsia" w:ascii="仿宋" w:hAnsi="仿宋" w:eastAsia="仿宋" w:cs="仿宋"/>
          <w:sz w:val="24"/>
          <w:szCs w:val="24"/>
        </w:rPr>
        <w:fldChar w:fldCharType="separate"/>
      </w:r>
      <w:r>
        <w:rPr>
          <w:rFonts w:ascii="仿宋" w:hAnsi="仿宋" w:eastAsia="仿宋" w:cs="仿宋"/>
          <w:sz w:val="24"/>
          <w:szCs w:val="24"/>
        </w:rPr>
        <w:drawing>
          <wp:inline distT="0" distB="0" distL="0" distR="0">
            <wp:extent cx="135255" cy="207010"/>
            <wp:effectExtent l="0" t="0" r="7620" b="1905"/>
            <wp:docPr id="1081753433" name="图片 108175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33" name="图片 1081753433"/>
                    <pic:cNvPicPr>
                      <a:picLocks noChangeAspect="1" noChangeArrowheads="1"/>
                    </pic:cNvPicPr>
                  </pic:nvPicPr>
                  <pic:blipFill>
                    <a:blip r:embed="rId3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35255" cy="207010"/>
                    </a:xfrm>
                    <a:prstGeom prst="rect">
                      <a:avLst/>
                    </a:prstGeom>
                    <a:noFill/>
                    <a:ln>
                      <a:noFill/>
                    </a:ln>
                  </pic:spPr>
                </pic:pic>
              </a:graphicData>
            </a:graphic>
          </wp:inline>
        </w:drawing>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r>
        <w:rPr>
          <w:rFonts w:hint="eastAsia" w:ascii="仿宋" w:hAnsi="仿宋" w:eastAsia="仿宋" w:cs="仿宋"/>
          <w:sz w:val="24"/>
          <w:szCs w:val="24"/>
        </w:rPr>
        <w:t>与起始观测值</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x0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x0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ascii="仿宋" w:hAnsi="仿宋" w:eastAsia="仿宋" w:cs="仿宋"/>
          <w:sz w:val="24"/>
          <w:szCs w:val="24"/>
        </w:rPr>
        <w:drawing>
          <wp:inline distT="0" distB="0" distL="0" distR="0">
            <wp:extent cx="174625" cy="207010"/>
            <wp:effectExtent l="0" t="0" r="6350" b="1905"/>
            <wp:docPr id="1081753434" name="图片 108175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34" name="图片 1081753434"/>
                    <pic:cNvPicPr>
                      <a:picLocks noChangeAspect="1" noChangeArrowheads="1"/>
                    </pic:cNvPicPr>
                  </pic:nvPicPr>
                  <pic:blipFill>
                    <a:blip r:embed="rId3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74625" cy="207010"/>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hint="eastAsia" w:ascii="仿宋" w:hAnsi="仿宋" w:eastAsia="仿宋" w:cs="仿宋"/>
          <w:sz w:val="24"/>
          <w:szCs w:val="24"/>
        </w:rPr>
        <w:fldChar w:fldCharType="separate"/>
      </w:r>
      <w:r>
        <w:rPr>
          <w:rFonts w:ascii="仿宋" w:hAnsi="仿宋" w:eastAsia="仿宋" w:cs="仿宋"/>
          <w:sz w:val="24"/>
          <w:szCs w:val="24"/>
        </w:rPr>
        <w:drawing>
          <wp:inline distT="0" distB="0" distL="0" distR="0">
            <wp:extent cx="174625" cy="207010"/>
            <wp:effectExtent l="0" t="0" r="6350" b="1905"/>
            <wp:docPr id="1081753435" name="图片 108175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35" name="图片 1081753435"/>
                    <pic:cNvPicPr>
                      <a:picLocks noChangeAspect="1" noChangeArrowheads="1"/>
                    </pic:cNvPicPr>
                  </pic:nvPicPr>
                  <pic:blipFill>
                    <a:blip r:embed="rId3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74625" cy="207010"/>
                    </a:xfrm>
                    <a:prstGeom prst="rect">
                      <a:avLst/>
                    </a:prstGeom>
                    <a:noFill/>
                    <a:ln>
                      <a:noFill/>
                    </a:ln>
                  </pic:spPr>
                </pic:pic>
              </a:graphicData>
            </a:graphic>
          </wp:inline>
        </w:drawing>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r>
        <w:rPr>
          <w:rFonts w:hint="eastAsia" w:ascii="仿宋" w:hAnsi="仿宋" w:eastAsia="仿宋" w:cs="仿宋"/>
          <w:sz w:val="24"/>
          <w:szCs w:val="24"/>
        </w:rPr>
        <w:t>的差，nT；</w:t>
      </w:r>
    </w:p>
    <w:p w14:paraId="40F2166F">
      <w:pPr>
        <w:pageBreakBefore w:val="0"/>
        <w:wordWrap/>
        <w:bidi w:val="0"/>
        <w:adjustRightInd w:val="0"/>
        <w:snapToGrid w:val="0"/>
        <w:spacing w:line="360" w:lineRule="auto"/>
        <w:ind w:firstLine="720" w:firstLineChars="300"/>
        <w:outlineLvl w:val="9"/>
        <w:rPr>
          <w:rFonts w:ascii="仿宋" w:hAnsi="仿宋" w:eastAsia="仿宋" w:cs="仿宋"/>
          <w:sz w:val="24"/>
          <w:szCs w:val="24"/>
        </w:rPr>
      </w:pPr>
      <w:r>
        <w:rPr>
          <w:rFonts w:ascii="仿宋" w:hAnsi="仿宋" w:eastAsia="仿宋" w:cs="仿宋"/>
          <w:sz w:val="24"/>
          <w:szCs w:val="24"/>
        </w:rPr>
        <w:drawing>
          <wp:inline distT="0" distB="0" distL="0" distR="0">
            <wp:extent cx="151130" cy="198755"/>
            <wp:effectExtent l="0" t="0" r="1270" b="0"/>
            <wp:docPr id="1081753436" name="图片 108175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36" name="图片 1081753436"/>
                    <pic:cNvPicPr>
                      <a:picLocks noChangeAspect="1" noChangeArrowheads="1"/>
                    </pic:cNvPicPr>
                  </pic:nvPicPr>
                  <pic:blipFill>
                    <a:blip r:embed="rId371">
                      <a:extLst>
                        <a:ext uri="{28A0092B-C50C-407E-A947-70E740481C1C}">
                          <a14:useLocalDpi xmlns:a14="http://schemas.microsoft.com/office/drawing/2010/main" val="0"/>
                        </a:ext>
                      </a:extLst>
                    </a:blip>
                    <a:srcRect l="79671" t="22430" r="8450" b="44066"/>
                    <a:stretch>
                      <a:fillRect/>
                    </a:stretch>
                  </pic:blipFill>
                  <pic:spPr>
                    <a:xfrm>
                      <a:off x="0" y="0"/>
                      <a:ext cx="151130" cy="198755"/>
                    </a:xfrm>
                    <a:prstGeom prst="rect">
                      <a:avLst/>
                    </a:prstGeom>
                    <a:noFill/>
                    <a:ln>
                      <a:noFill/>
                    </a:ln>
                  </pic:spPr>
                </pic:pic>
              </a:graphicData>
            </a:graphic>
          </wp:inline>
        </w:drawing>
      </w:r>
      <w:r>
        <w:rPr>
          <w:rFonts w:hint="eastAsia" w:ascii="仿宋" w:hAnsi="仿宋" w:eastAsia="仿宋" w:cs="仿宋"/>
          <w:sz w:val="24"/>
          <w:szCs w:val="24"/>
        </w:rPr>
        <w:t>-所有仪器同一时间观测差值的平均值，nT；</w:t>
      </w:r>
    </w:p>
    <w:p w14:paraId="5FEDB024">
      <w:pPr>
        <w:pageBreakBefore w:val="0"/>
        <w:wordWrap/>
        <w:bidi w:val="0"/>
        <w:adjustRightInd w:val="0"/>
        <w:snapToGrid w:val="0"/>
        <w:spacing w:line="360" w:lineRule="auto"/>
        <w:ind w:firstLine="720" w:firstLineChars="300"/>
        <w:outlineLvl w:val="9"/>
        <w:rPr>
          <w:rFonts w:ascii="仿宋" w:hAnsi="仿宋" w:eastAsia="仿宋" w:cs="仿宋"/>
          <w:sz w:val="24"/>
          <w:szCs w:val="24"/>
        </w:rPr>
      </w:pPr>
      <w:r>
        <w:rPr>
          <w:rFonts w:ascii="仿宋" w:hAnsi="仿宋" w:eastAsia="仿宋" w:cs="仿宋"/>
          <w:sz w:val="24"/>
          <w:szCs w:val="24"/>
        </w:rPr>
        <w:drawing>
          <wp:inline distT="0" distB="0" distL="0" distR="0">
            <wp:extent cx="103505" cy="111125"/>
            <wp:effectExtent l="0" t="0" r="1270" b="2540"/>
            <wp:docPr id="1081753437" name="图片 108175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37" name="图片 1081753437"/>
                    <pic:cNvPicPr>
                      <a:picLocks noChangeAspect="1" noChangeArrowheads="1"/>
                    </pic:cNvPicPr>
                  </pic:nvPicPr>
                  <pic:blipFill>
                    <a:blip r:embed="rId371">
                      <a:extLst>
                        <a:ext uri="{28A0092B-C50C-407E-A947-70E740481C1C}">
                          <a14:useLocalDpi xmlns:a14="http://schemas.microsoft.com/office/drawing/2010/main" val="0"/>
                        </a:ext>
                      </a:extLst>
                    </a:blip>
                    <a:srcRect l="50537" t="65848" r="41391" b="15262"/>
                    <a:stretch>
                      <a:fillRect/>
                    </a:stretch>
                  </pic:blipFill>
                  <pic:spPr>
                    <a:xfrm>
                      <a:off x="0" y="0"/>
                      <a:ext cx="103505" cy="111125"/>
                    </a:xfrm>
                    <a:prstGeom prst="rect">
                      <a:avLst/>
                    </a:prstGeom>
                    <a:noFill/>
                    <a:ln>
                      <a:noFill/>
                    </a:ln>
                  </pic:spPr>
                </pic:pic>
              </a:graphicData>
            </a:graphic>
          </wp:inline>
        </w:drawing>
      </w:r>
      <w:r>
        <w:rPr>
          <w:rFonts w:hint="eastAsia" w:ascii="仿宋" w:hAnsi="仿宋" w:eastAsia="仿宋" w:cs="仿宋"/>
          <w:sz w:val="24"/>
          <w:szCs w:val="24"/>
        </w:rPr>
        <w:t>-观测值总个数。</w:t>
      </w:r>
    </w:p>
    <w:p w14:paraId="626B3E7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②一致性试验</w:t>
      </w:r>
    </w:p>
    <w:p w14:paraId="1CD8889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开工前及完工后一致性试验均在工作区内进行，选择50个以上的观测点，观测点磁异常变化达到60nT以上。</w:t>
      </w:r>
    </w:p>
    <w:p w14:paraId="2BF6DFB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将参与生产的各台仪器在这些点上作往返观测，观测值经日变改正后，计算出各台仪器的观测均方根误差。</w:t>
      </w:r>
    </w:p>
    <w:p w14:paraId="4CD18CDE">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经试验合格后将仪器投入生产使用。</w:t>
      </w:r>
    </w:p>
    <w:p w14:paraId="20F192E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(3)磁法野外施工方法</w:t>
      </w:r>
    </w:p>
    <w:p w14:paraId="42F351B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①建立日变站：本工区共建立一个日变站，日变站设于平稳磁场内，磁场的水平梯度和垂直梯度较小，在半径2m及高差0.5m范围内磁场变化不超过设计总均方根误差的1/2。附近无磁性干扰源，并远离建筑物和工业设施(铁路、厂房、高压线等)。周围地形平坦，有利于标志的保存，并测定坐标和高程。</w:t>
      </w:r>
    </w:p>
    <w:p w14:paraId="2E785C2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②日变站正常地磁场值(T0值)测定：选择一台性能优良的仪器做为日变站主机，采样间隔20s，连续观测2h，截取其中磁场平稳时段内，磁场平均值变化不超过2nT的平稳数据，计算出基本场值。</w:t>
      </w:r>
    </w:p>
    <w:p w14:paraId="4185E67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③校正点选点：本工区建立磁力校对点一个，点位选取在磁场平稳、交通方便处，校对点编号为：00，所有工作单元全部起闭于校对点。</w:t>
      </w:r>
    </w:p>
    <w:p w14:paraId="098BBB2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④每天开始工作前，投入使用的每台仪器的电子表必须按北京时间对表，保证各台仪器达到秒级同步，工作中随时注意仪器的计时情况，发现问题及时处理。</w:t>
      </w:r>
    </w:p>
    <w:p w14:paraId="4089A7A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⑤每个闭合观测单元的观测，必须始于校正点，终于校正点。操作员每天进行操作前严格“去磁”，不随身携带任何磁性物质，如因工作需要携带时，放置一定的距离，以不影响读数为原则。</w:t>
      </w:r>
    </w:p>
    <w:p w14:paraId="3DAA201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⑥遇有磁暴发生时停止野外工作。</w:t>
      </w:r>
    </w:p>
    <w:p w14:paraId="3F19601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⑦每天的数据及时传输到计算机保存，并进行日变改正计算。</w:t>
      </w:r>
    </w:p>
    <w:p w14:paraId="1B34973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bookmarkStart w:id="470" w:name="_Toc236026621"/>
      <w:r>
        <w:rPr>
          <w:rFonts w:hint="eastAsia" w:ascii="仿宋" w:hAnsi="仿宋" w:eastAsia="仿宋" w:cs="仿宋"/>
          <w:sz w:val="24"/>
          <w:szCs w:val="24"/>
        </w:rPr>
        <w:t>(4)磁测数据整理</w:t>
      </w:r>
      <w:bookmarkEnd w:id="470"/>
    </w:p>
    <w:p w14:paraId="199909A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①日变改正</w:t>
      </w:r>
    </w:p>
    <w:p w14:paraId="3F195C3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日变改正公式为：</w:t>
      </w:r>
    </w:p>
    <w:p w14:paraId="07B574C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ascii="仿宋" w:hAnsi="仿宋" w:eastAsia="仿宋" w:cs="仿宋"/>
          <w:sz w:val="24"/>
          <w:szCs w:val="24"/>
        </w:rPr>
        <w:drawing>
          <wp:inline distT="0" distB="0" distL="0" distR="0">
            <wp:extent cx="1621790" cy="270510"/>
            <wp:effectExtent l="0" t="0" r="0" b="0"/>
            <wp:docPr id="1081753438" name="图片 108175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38" name="图片 1081753438"/>
                    <pic:cNvPicPr>
                      <a:picLocks noChangeAspect="1" noChangeArrowheads="1"/>
                    </pic:cNvPicPr>
                  </pic:nvPicPr>
                  <pic:blipFill>
                    <a:blip r:embed="rId3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621790" cy="270510"/>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hint="eastAsia" w:ascii="仿宋" w:hAnsi="仿宋" w:eastAsia="仿宋" w:cs="仿宋"/>
          <w:sz w:val="24"/>
          <w:szCs w:val="24"/>
        </w:rPr>
        <w:fldChar w:fldCharType="separate"/>
      </w:r>
      <w:r>
        <w:rPr>
          <w:rFonts w:ascii="仿宋" w:hAnsi="仿宋" w:eastAsia="仿宋" w:cs="仿宋"/>
          <w:sz w:val="24"/>
          <w:szCs w:val="24"/>
        </w:rPr>
        <w:drawing>
          <wp:inline distT="0" distB="0" distL="0" distR="0">
            <wp:extent cx="1621790" cy="270510"/>
            <wp:effectExtent l="0" t="0" r="0" b="0"/>
            <wp:docPr id="1081753439" name="图片 108175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39" name="图片 1081753439"/>
                    <pic:cNvPicPr>
                      <a:picLocks noChangeAspect="1" noChangeArrowheads="1"/>
                    </pic:cNvPicPr>
                  </pic:nvPicPr>
                  <pic:blipFill>
                    <a:blip r:embed="rId3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621790" cy="270510"/>
                    </a:xfrm>
                    <a:prstGeom prst="rect">
                      <a:avLst/>
                    </a:prstGeom>
                    <a:noFill/>
                    <a:ln>
                      <a:noFill/>
                    </a:ln>
                  </pic:spPr>
                </pic:pic>
              </a:graphicData>
            </a:graphic>
          </wp:inline>
        </w:drawing>
      </w:r>
      <w:r>
        <w:rPr>
          <w:rFonts w:hint="eastAsia" w:ascii="仿宋" w:hAnsi="仿宋" w:eastAsia="仿宋" w:cs="仿宋"/>
          <w:sz w:val="24"/>
          <w:szCs w:val="24"/>
        </w:rPr>
        <w:fldChar w:fldCharType="end"/>
      </w:r>
      <w:r>
        <w:rPr>
          <w:rFonts w:hint="eastAsia" w:ascii="仿宋" w:hAnsi="仿宋" w:eastAsia="仿宋" w:cs="仿宋"/>
          <w:sz w:val="24"/>
          <w:szCs w:val="24"/>
        </w:rPr>
        <w:t xml:space="preserve"> </w:t>
      </w:r>
    </w:p>
    <w:p w14:paraId="79EF127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T改=T测-T日+T基 </w:instrText>
      </w:r>
      <w:r>
        <w:rPr>
          <w:rFonts w:hint="eastAsia" w:ascii="仿宋" w:hAnsi="仿宋" w:eastAsia="仿宋" w:cs="仿宋"/>
          <w:sz w:val="24"/>
          <w:szCs w:val="24"/>
        </w:rPr>
        <w:fldChar w:fldCharType="end"/>
      </w:r>
      <w:r>
        <w:rPr>
          <w:rFonts w:hint="eastAsia" w:ascii="仿宋" w:hAnsi="仿宋" w:eastAsia="仿宋" w:cs="仿宋"/>
          <w:sz w:val="24"/>
          <w:szCs w:val="24"/>
        </w:rPr>
        <w:t>式中：T改-日变改正后的磁力观测绝对值，nT；</w:t>
      </w:r>
    </w:p>
    <w:p w14:paraId="39D57DC6">
      <w:pPr>
        <w:pageBreakBefore w:val="0"/>
        <w:wordWrap/>
        <w:bidi w:val="0"/>
        <w:adjustRightInd w:val="0"/>
        <w:snapToGrid w:val="0"/>
        <w:spacing w:line="360" w:lineRule="auto"/>
        <w:ind w:firstLine="1200" w:firstLineChars="500"/>
        <w:outlineLvl w:val="9"/>
        <w:rPr>
          <w:rFonts w:ascii="仿宋" w:hAnsi="仿宋" w:eastAsia="仿宋" w:cs="仿宋"/>
          <w:sz w:val="24"/>
          <w:szCs w:val="24"/>
        </w:rPr>
      </w:pPr>
      <w:r>
        <w:rPr>
          <w:rFonts w:hint="eastAsia" w:ascii="仿宋" w:hAnsi="仿宋" w:eastAsia="仿宋" w:cs="仿宋"/>
          <w:sz w:val="24"/>
          <w:szCs w:val="24"/>
        </w:rPr>
        <w:t>T测-测点的磁力观测值，nT；</w:t>
      </w:r>
    </w:p>
    <w:p w14:paraId="1F768C8B">
      <w:pPr>
        <w:pageBreakBefore w:val="0"/>
        <w:wordWrap/>
        <w:bidi w:val="0"/>
        <w:adjustRightInd w:val="0"/>
        <w:snapToGrid w:val="0"/>
        <w:spacing w:line="360" w:lineRule="auto"/>
        <w:ind w:firstLine="1200" w:firstLineChars="500"/>
        <w:outlineLvl w:val="9"/>
        <w:rPr>
          <w:rFonts w:ascii="仿宋" w:hAnsi="仿宋" w:eastAsia="仿宋" w:cs="仿宋"/>
          <w:sz w:val="24"/>
          <w:szCs w:val="24"/>
        </w:rPr>
      </w:pPr>
      <w:r>
        <w:rPr>
          <w:rFonts w:hint="eastAsia" w:ascii="仿宋" w:hAnsi="仿宋" w:eastAsia="仿宋" w:cs="仿宋"/>
          <w:sz w:val="24"/>
          <w:szCs w:val="24"/>
        </w:rPr>
        <w:t>T日-日变站的磁力观测值，nT；</w:t>
      </w:r>
    </w:p>
    <w:p w14:paraId="35AEDF96">
      <w:pPr>
        <w:pageBreakBefore w:val="0"/>
        <w:wordWrap/>
        <w:bidi w:val="0"/>
        <w:adjustRightInd w:val="0"/>
        <w:snapToGrid w:val="0"/>
        <w:spacing w:line="360" w:lineRule="auto"/>
        <w:ind w:firstLine="1200" w:firstLineChars="500"/>
        <w:outlineLvl w:val="9"/>
        <w:rPr>
          <w:rFonts w:ascii="仿宋" w:hAnsi="仿宋" w:eastAsia="仿宋" w:cs="仿宋"/>
          <w:sz w:val="24"/>
          <w:szCs w:val="24"/>
        </w:rPr>
      </w:pPr>
      <w:r>
        <w:rPr>
          <w:rFonts w:hint="eastAsia" w:ascii="仿宋" w:hAnsi="仿宋" w:eastAsia="仿宋" w:cs="仿宋"/>
          <w:sz w:val="24"/>
          <w:szCs w:val="24"/>
        </w:rPr>
        <w:t>T基-日变站的基本磁场值，nT。</w:t>
      </w:r>
    </w:p>
    <w:p w14:paraId="3E35554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②异常值计算</w:t>
      </w:r>
    </w:p>
    <w:p w14:paraId="605CF7B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异常值计算公式为：</w:t>
      </w:r>
    </w:p>
    <w:p w14:paraId="0040A01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ascii="仿宋" w:hAnsi="仿宋" w:eastAsia="仿宋" w:cs="仿宋"/>
          <w:sz w:val="24"/>
          <w:szCs w:val="24"/>
        </w:rPr>
        <w:drawing>
          <wp:inline distT="0" distB="0" distL="0" distR="0">
            <wp:extent cx="1065530" cy="270510"/>
            <wp:effectExtent l="0" t="0" r="1270" b="0"/>
            <wp:docPr id="1081753440" name="图片 108175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40" name="图片 1081753440"/>
                    <pic:cNvPicPr>
                      <a:picLocks noChangeAspect="1" noChangeArrowheads="1"/>
                    </pic:cNvPicPr>
                  </pic:nvPicPr>
                  <pic:blipFill>
                    <a:blip r:embed="rId3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065530" cy="270510"/>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hint="eastAsia" w:ascii="仿宋" w:hAnsi="仿宋" w:eastAsia="仿宋" w:cs="仿宋"/>
          <w:sz w:val="24"/>
          <w:szCs w:val="24"/>
        </w:rPr>
        <w:fldChar w:fldCharType="separate"/>
      </w:r>
      <w:r>
        <w:rPr>
          <w:rFonts w:ascii="仿宋" w:hAnsi="仿宋" w:eastAsia="仿宋" w:cs="仿宋"/>
          <w:sz w:val="24"/>
          <w:szCs w:val="24"/>
        </w:rPr>
        <w:drawing>
          <wp:inline distT="0" distB="0" distL="0" distR="0">
            <wp:extent cx="1065530" cy="270510"/>
            <wp:effectExtent l="0" t="0" r="1270" b="0"/>
            <wp:docPr id="1081753441" name="图片 108175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41" name="图片 1081753441"/>
                    <pic:cNvPicPr>
                      <a:picLocks noChangeAspect="1" noChangeArrowheads="1"/>
                    </pic:cNvPicPr>
                  </pic:nvPicPr>
                  <pic:blipFill>
                    <a:blip r:embed="rId3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065530" cy="270510"/>
                    </a:xfrm>
                    <a:prstGeom prst="rect">
                      <a:avLst/>
                    </a:prstGeom>
                    <a:noFill/>
                    <a:ln>
                      <a:noFill/>
                    </a:ln>
                  </pic:spPr>
                </pic:pic>
              </a:graphicData>
            </a:graphic>
          </wp:inline>
        </w:drawing>
      </w:r>
      <w:r>
        <w:rPr>
          <w:rFonts w:hint="eastAsia" w:ascii="仿宋" w:hAnsi="仿宋" w:eastAsia="仿宋" w:cs="仿宋"/>
          <w:sz w:val="24"/>
          <w:szCs w:val="24"/>
        </w:rPr>
        <w:fldChar w:fldCharType="end"/>
      </w:r>
      <w:r>
        <w:rPr>
          <w:rFonts w:hint="eastAsia" w:ascii="仿宋" w:hAnsi="仿宋" w:eastAsia="仿宋" w:cs="仿宋"/>
          <w:sz w:val="24"/>
          <w:szCs w:val="24"/>
        </w:rPr>
        <w:t xml:space="preserve"> </w:t>
      </w:r>
    </w:p>
    <w:p w14:paraId="071D38F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ΔT=T改-T0 </w:instrText>
      </w:r>
      <w:r>
        <w:rPr>
          <w:rFonts w:hint="eastAsia" w:ascii="仿宋" w:hAnsi="仿宋" w:eastAsia="仿宋" w:cs="仿宋"/>
          <w:sz w:val="24"/>
          <w:szCs w:val="24"/>
        </w:rPr>
        <w:fldChar w:fldCharType="end"/>
      </w:r>
      <w:r>
        <w:rPr>
          <w:rFonts w:hint="eastAsia" w:ascii="仿宋" w:hAnsi="仿宋" w:eastAsia="仿宋" w:cs="仿宋"/>
          <w:sz w:val="24"/>
          <w:szCs w:val="24"/>
        </w:rPr>
        <w:t>式中：ΔT-磁力异常值，nT；</w:t>
      </w:r>
    </w:p>
    <w:p w14:paraId="7FA2BBCF">
      <w:pPr>
        <w:pageBreakBefore w:val="0"/>
        <w:wordWrap/>
        <w:bidi w:val="0"/>
        <w:adjustRightInd w:val="0"/>
        <w:snapToGrid w:val="0"/>
        <w:spacing w:line="360" w:lineRule="auto"/>
        <w:ind w:firstLine="1200" w:firstLineChars="500"/>
        <w:outlineLvl w:val="9"/>
        <w:rPr>
          <w:rFonts w:ascii="仿宋" w:hAnsi="仿宋" w:eastAsia="仿宋" w:cs="仿宋"/>
          <w:sz w:val="24"/>
          <w:szCs w:val="24"/>
        </w:rPr>
      </w:pPr>
      <w:r>
        <w:rPr>
          <w:rFonts w:hint="eastAsia" w:ascii="仿宋" w:hAnsi="仿宋" w:eastAsia="仿宋" w:cs="仿宋"/>
          <w:sz w:val="24"/>
          <w:szCs w:val="24"/>
        </w:rPr>
        <w:t>T改-日变改正后的磁力观测绝对值，nT；</w:t>
      </w:r>
    </w:p>
    <w:p w14:paraId="56636FAC">
      <w:pPr>
        <w:pageBreakBefore w:val="0"/>
        <w:wordWrap/>
        <w:bidi w:val="0"/>
        <w:adjustRightInd w:val="0"/>
        <w:snapToGrid w:val="0"/>
        <w:spacing w:line="360" w:lineRule="auto"/>
        <w:ind w:firstLine="1200" w:firstLineChars="500"/>
        <w:outlineLvl w:val="9"/>
        <w:rPr>
          <w:rFonts w:ascii="仿宋" w:hAnsi="仿宋" w:eastAsia="仿宋" w:cs="仿宋"/>
          <w:sz w:val="24"/>
          <w:szCs w:val="24"/>
        </w:rPr>
      </w:pPr>
      <w:r>
        <w:rPr>
          <w:rFonts w:hint="eastAsia" w:ascii="仿宋" w:hAnsi="仿宋" w:eastAsia="仿宋" w:cs="仿宋"/>
          <w:sz w:val="24"/>
          <w:szCs w:val="24"/>
        </w:rPr>
        <w:t>T0-工区的基本场值。</w:t>
      </w:r>
    </w:p>
    <w:p w14:paraId="63BC226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(5)质量检查</w:t>
      </w:r>
    </w:p>
    <w:p w14:paraId="225BF99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磁力工作质量检查采用“一同三不同”(同点位、不同时间、不同仪器、不同操作员)的质量检查原则，检查点分布均匀。</w:t>
      </w:r>
    </w:p>
    <w:p w14:paraId="21804BA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地面磁测测点观测精度采用测点均方误差衡量，精度计算公式为：</w:t>
      </w:r>
    </w:p>
    <w:p w14:paraId="5EEC9D7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ascii="仿宋" w:hAnsi="仿宋" w:eastAsia="仿宋" w:cs="仿宋"/>
          <w:sz w:val="24"/>
          <w:szCs w:val="24"/>
        </w:rPr>
        <w:drawing>
          <wp:inline distT="0" distB="0" distL="0" distR="0">
            <wp:extent cx="1017905" cy="437515"/>
            <wp:effectExtent l="0" t="0" r="1270" b="635"/>
            <wp:docPr id="1081753442" name="图片 108175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42" name="图片 1081753442"/>
                    <pic:cNvPicPr>
                      <a:picLocks noChangeAspect="1" noChangeArrowheads="1"/>
                    </pic:cNvPicPr>
                  </pic:nvPicPr>
                  <pic:blipFill>
                    <a:blip r:embed="rId3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017905" cy="437515"/>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hint="eastAsia" w:ascii="仿宋" w:hAnsi="仿宋" w:eastAsia="仿宋" w:cs="仿宋"/>
          <w:sz w:val="24"/>
          <w:szCs w:val="24"/>
        </w:rPr>
        <w:fldChar w:fldCharType="separate"/>
      </w:r>
      <w:r>
        <w:rPr>
          <w:rFonts w:ascii="仿宋" w:hAnsi="仿宋" w:eastAsia="仿宋" w:cs="仿宋"/>
          <w:sz w:val="24"/>
          <w:szCs w:val="24"/>
        </w:rPr>
        <w:drawing>
          <wp:inline distT="0" distB="0" distL="0" distR="0">
            <wp:extent cx="1017905" cy="437515"/>
            <wp:effectExtent l="0" t="0" r="1270" b="635"/>
            <wp:docPr id="1081753443" name="图片 108175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43" name="图片 1081753443"/>
                    <pic:cNvPicPr>
                      <a:picLocks noChangeAspect="1" noChangeArrowheads="1"/>
                    </pic:cNvPicPr>
                  </pic:nvPicPr>
                  <pic:blipFill>
                    <a:blip r:embed="rId3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017905" cy="437515"/>
                    </a:xfrm>
                    <a:prstGeom prst="rect">
                      <a:avLst/>
                    </a:prstGeom>
                    <a:noFill/>
                    <a:ln>
                      <a:noFill/>
                    </a:ln>
                  </pic:spPr>
                </pic:pic>
              </a:graphicData>
            </a:graphic>
          </wp:inline>
        </w:drawing>
      </w:r>
      <w:r>
        <w:rPr>
          <w:rFonts w:hint="eastAsia" w:ascii="仿宋" w:hAnsi="仿宋" w:eastAsia="仿宋" w:cs="仿宋"/>
          <w:sz w:val="24"/>
          <w:szCs w:val="24"/>
        </w:rPr>
        <w:fldChar w:fldCharType="end"/>
      </w:r>
      <w:r>
        <w:rPr>
          <w:rFonts w:hint="eastAsia" w:ascii="仿宋" w:hAnsi="仿宋" w:eastAsia="仿宋" w:cs="仿宋"/>
          <w:sz w:val="24"/>
          <w:szCs w:val="24"/>
        </w:rPr>
        <w:t xml:space="preserve"> </w:t>
      </w:r>
    </w:p>
    <w:p w14:paraId="14499E2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δi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δi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ascii="仿宋" w:hAnsi="仿宋" w:eastAsia="仿宋" w:cs="仿宋"/>
          <w:sz w:val="24"/>
          <w:szCs w:val="24"/>
        </w:rPr>
        <w:drawing>
          <wp:inline distT="0" distB="0" distL="0" distR="0">
            <wp:extent cx="142875" cy="207010"/>
            <wp:effectExtent l="0" t="0" r="0" b="1905"/>
            <wp:docPr id="1081753444" name="图片 108175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44" name="图片 1081753444"/>
                    <pic:cNvPicPr>
                      <a:picLocks noChangeAspect="1" noChangeArrowheads="1"/>
                    </pic:cNvPicPr>
                  </pic:nvPicPr>
                  <pic:blipFill>
                    <a:blip r:embed="rId3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42875" cy="207010"/>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hint="eastAsia" w:ascii="仿宋" w:hAnsi="仿宋" w:eastAsia="仿宋" w:cs="仿宋"/>
          <w:sz w:val="24"/>
          <w:szCs w:val="24"/>
        </w:rPr>
        <w:fldChar w:fldCharType="separate"/>
      </w:r>
      <w:r>
        <w:rPr>
          <w:rFonts w:ascii="仿宋" w:hAnsi="仿宋" w:eastAsia="仿宋" w:cs="仿宋"/>
          <w:sz w:val="24"/>
          <w:szCs w:val="24"/>
        </w:rPr>
        <w:drawing>
          <wp:inline distT="0" distB="0" distL="0" distR="0">
            <wp:extent cx="142875" cy="207010"/>
            <wp:effectExtent l="0" t="0" r="0" b="1905"/>
            <wp:docPr id="1081753445" name="图片 108175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45" name="图片 1081753445"/>
                    <pic:cNvPicPr>
                      <a:picLocks noChangeAspect="1" noChangeArrowheads="1"/>
                    </pic:cNvPicPr>
                  </pic:nvPicPr>
                  <pic:blipFill>
                    <a:blip r:embed="rId3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42875" cy="207010"/>
                    </a:xfrm>
                    <a:prstGeom prst="rect">
                      <a:avLst/>
                    </a:prstGeom>
                    <a:noFill/>
                    <a:ln>
                      <a:noFill/>
                    </a:ln>
                  </pic:spPr>
                </pic:pic>
              </a:graphicData>
            </a:graphic>
          </wp:inline>
        </w:drawing>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r>
        <w:rPr>
          <w:rFonts w:hint="eastAsia" w:ascii="仿宋" w:hAnsi="仿宋" w:eastAsia="仿宋" w:cs="仿宋"/>
          <w:sz w:val="24"/>
          <w:szCs w:val="24"/>
        </w:rPr>
        <w:t>-第i点原始观测值与检查观测值之差；</w:t>
      </w:r>
    </w:p>
    <w:p w14:paraId="1CC3B30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n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n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ascii="仿宋" w:hAnsi="仿宋" w:eastAsia="仿宋" w:cs="仿宋"/>
          <w:sz w:val="24"/>
          <w:szCs w:val="24"/>
        </w:rPr>
        <w:drawing>
          <wp:inline distT="0" distB="0" distL="0" distR="0">
            <wp:extent cx="95250" cy="207010"/>
            <wp:effectExtent l="0" t="0" r="0" b="0"/>
            <wp:docPr id="1081753446" name="图片 108175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46" name="图片 1081753446"/>
                    <pic:cNvPicPr>
                      <a:picLocks noChangeAspect="1" noChangeArrowheads="1"/>
                    </pic:cNvPicPr>
                  </pic:nvPicPr>
                  <pic:blipFill>
                    <a:blip r:embed="rId3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95250" cy="207010"/>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hint="eastAsia" w:ascii="仿宋" w:hAnsi="仿宋" w:eastAsia="仿宋" w:cs="仿宋"/>
          <w:sz w:val="24"/>
          <w:szCs w:val="24"/>
        </w:rPr>
        <w:fldChar w:fldCharType="separate"/>
      </w:r>
      <w:r>
        <w:rPr>
          <w:rFonts w:ascii="仿宋" w:hAnsi="仿宋" w:eastAsia="仿宋" w:cs="仿宋"/>
          <w:sz w:val="24"/>
          <w:szCs w:val="24"/>
        </w:rPr>
        <w:drawing>
          <wp:inline distT="0" distB="0" distL="0" distR="0">
            <wp:extent cx="95250" cy="207010"/>
            <wp:effectExtent l="0" t="0" r="0" b="0"/>
            <wp:docPr id="1081753447" name="图片 108175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47" name="图片 1081753447"/>
                    <pic:cNvPicPr>
                      <a:picLocks noChangeAspect="1" noChangeArrowheads="1"/>
                    </pic:cNvPicPr>
                  </pic:nvPicPr>
                  <pic:blipFill>
                    <a:blip r:embed="rId3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95250" cy="207010"/>
                    </a:xfrm>
                    <a:prstGeom prst="rect">
                      <a:avLst/>
                    </a:prstGeom>
                    <a:noFill/>
                    <a:ln>
                      <a:noFill/>
                    </a:ln>
                  </pic:spPr>
                </pic:pic>
              </a:graphicData>
            </a:graphic>
          </wp:inline>
        </w:drawing>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r>
        <w:rPr>
          <w:rFonts w:hint="eastAsia" w:ascii="仿宋" w:hAnsi="仿宋" w:eastAsia="仿宋" w:cs="仿宋"/>
          <w:sz w:val="24"/>
          <w:szCs w:val="24"/>
        </w:rPr>
        <w:t>-总检查点数。</w:t>
      </w:r>
    </w:p>
    <w:p w14:paraId="5DDB8E3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(二)1∶1万激电剖面测量</w:t>
      </w:r>
    </w:p>
    <w:p w14:paraId="6878493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(1)仪器试验</w:t>
      </w:r>
    </w:p>
    <w:p w14:paraId="1D21C96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投入生产的两台激电接收仪在开工作前及工作结束后用标准信号发生器对其进行校验和一致性检测，经检测合格后方可投入使用。</w:t>
      </w:r>
    </w:p>
    <w:p w14:paraId="0F1260A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(2)仪器参数设置</w:t>
      </w:r>
    </w:p>
    <w:p w14:paraId="541D852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激电工作拟使用的参数为：发射机供电周期及接收机测量周期均为8s。接收机测量参数设定为：叠加次数2次，延时200ms，采样宽度40ms。发射机自动将发射电流、电压、时间、日期存储在仪器的内存中，每个测点观测结束后将测点观测结果自动存入激电接收机内存中，包括自然电位、一次位、极化率、观测时间、日期等。</w:t>
      </w:r>
    </w:p>
    <w:p w14:paraId="76CB2F5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激电剖面测量工作采用中间梯度装置，采用一线供电，多线观测的观测方式。AB供电极沿测线方向布设，测量范围为AB极间三分之二AB距的区间内进行。旁测线距AB供电极的垂直距离，满足旁剖面与主剖面间的最大距离小于五分之一的AB距的要求。</w:t>
      </w:r>
    </w:p>
    <w:p w14:paraId="25D7362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(3)野外观测装置的敷设</w:t>
      </w:r>
    </w:p>
    <w:p w14:paraId="2A0F7CD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①电线漏电检查：每天开始供电前均进行了电缆线漏电检查，供电电缆的绝缘电阻均大于10MΩ以上。</w:t>
      </w:r>
    </w:p>
    <w:p w14:paraId="0B5E9CB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②供电电极的敷设：在开始观测前，提前一天挖好供电电极坑，铺好铝箔并浇足水，让水充分渗透，接地条件良好稳定；进行观测试验，如果观测读数不稳定，要适当加大供电电流或改善接地条件。</w:t>
      </w:r>
    </w:p>
    <w:p w14:paraId="665A123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③测量电极的敷设：测量电极的接地电阻应小于15kΩ；电极坑内不得留有砾石和杂物。地表干燥时，应提前向坑内浇水；测点岩石裸露时，应填以湿土。</w:t>
      </w:r>
    </w:p>
    <w:p w14:paraId="318ED4E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④观测读数：每个测点至少观测两次，如果两读数误差小于5%，则将数据存入仪器内存，否则应重新观测，保证数据观测质量。</w:t>
      </w:r>
    </w:p>
    <w:p w14:paraId="25517FF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⑤安全和通讯：保证发射和接受机之间的通讯畅通，在移动供电电极时和处理供电回路故障时，确保关闭发电机和发射机，保证人员安全。</w:t>
      </w:r>
    </w:p>
    <w:p w14:paraId="7DE953E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(4)数据整理</w:t>
      </w:r>
    </w:p>
    <w:p w14:paraId="791618B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野外当天采集的原始数据在收工后及时传入计算机并进行100%的核对检查,保证数据准确、完整齐全，合格后作为原始文件保存，同时将采集的数据按以下公式计算每个测点的视电阻率ρs:</w:t>
      </w:r>
    </w:p>
    <w:p w14:paraId="1003DF0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Κ=2π/(1/AM -1/AN -1/BM +1/BN)</w:t>
      </w:r>
    </w:p>
    <w:p w14:paraId="095EB7F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ρs=Κ×Vp/I</w:t>
      </w:r>
    </w:p>
    <w:p w14:paraId="56E2F96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再通过专用软件绘制图件(平面等值线图)。</w:t>
      </w:r>
    </w:p>
    <w:p w14:paraId="1DACD34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(5)质量检查</w:t>
      </w:r>
    </w:p>
    <w:p w14:paraId="7F1C6F6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激电工作质量检查采用“一同三不同”(同点位、不同时间、不同仪器、不同操作员)的质量检查原则，检查点分布均匀。激电测深质量检查采取整个测深点质检的方式进行。视极化率异常观测精度采用总均方误差衡量，精度计算公式为：</w:t>
      </w:r>
    </w:p>
    <w:p w14:paraId="2F4DA55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ascii="仿宋" w:hAnsi="仿宋" w:eastAsia="仿宋" w:cs="仿宋"/>
          <w:sz w:val="24"/>
          <w:szCs w:val="24"/>
        </w:rPr>
        <w:drawing>
          <wp:inline distT="0" distB="0" distL="0" distR="0">
            <wp:extent cx="1478915" cy="437515"/>
            <wp:effectExtent l="0" t="0" r="6985" b="635"/>
            <wp:docPr id="1081753448" name="图片 108175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48" name="图片 1081753448"/>
                    <pic:cNvPicPr>
                      <a:picLocks noChangeAspect="1" noChangeArrowheads="1"/>
                    </pic:cNvPicPr>
                  </pic:nvPicPr>
                  <pic:blipFill>
                    <a:blip r:embed="rId3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478915" cy="437515"/>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hint="eastAsia" w:ascii="仿宋" w:hAnsi="仿宋" w:eastAsia="仿宋" w:cs="仿宋"/>
          <w:sz w:val="24"/>
          <w:szCs w:val="24"/>
        </w:rPr>
        <w:fldChar w:fldCharType="separate"/>
      </w:r>
      <w:r>
        <w:rPr>
          <w:rFonts w:ascii="仿宋" w:hAnsi="仿宋" w:eastAsia="仿宋" w:cs="仿宋"/>
          <w:sz w:val="24"/>
          <w:szCs w:val="24"/>
        </w:rPr>
        <w:drawing>
          <wp:inline distT="0" distB="0" distL="0" distR="0">
            <wp:extent cx="1478915" cy="437515"/>
            <wp:effectExtent l="0" t="0" r="6985" b="635"/>
            <wp:docPr id="1081753449" name="图片 108175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49" name="图片 1081753449"/>
                    <pic:cNvPicPr>
                      <a:picLocks noChangeAspect="1" noChangeArrowheads="1"/>
                    </pic:cNvPicPr>
                  </pic:nvPicPr>
                  <pic:blipFill>
                    <a:blip r:embed="rId3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478915" cy="437515"/>
                    </a:xfrm>
                    <a:prstGeom prst="rect">
                      <a:avLst/>
                    </a:prstGeom>
                    <a:noFill/>
                    <a:ln>
                      <a:noFill/>
                    </a:ln>
                  </pic:spPr>
                </pic:pic>
              </a:graphicData>
            </a:graphic>
          </wp:inline>
        </w:drawing>
      </w:r>
      <w:r>
        <w:rPr>
          <w:rFonts w:hint="eastAsia" w:ascii="仿宋" w:hAnsi="仿宋" w:eastAsia="仿宋" w:cs="仿宋"/>
          <w:sz w:val="24"/>
          <w:szCs w:val="24"/>
        </w:rPr>
        <w:fldChar w:fldCharType="end"/>
      </w:r>
      <w:r>
        <w:rPr>
          <w:rFonts w:hint="eastAsia" w:ascii="仿宋" w:hAnsi="仿宋" w:eastAsia="仿宋" w:cs="仿宋"/>
          <w:sz w:val="24"/>
          <w:szCs w:val="24"/>
        </w:rPr>
        <w:t xml:space="preserve"> </w:t>
      </w:r>
    </w:p>
    <w:p w14:paraId="65A6067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式中：i-测点(i=1、2、3.......、n)个；</w:t>
      </w:r>
    </w:p>
    <w:p w14:paraId="538F18C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 xml:space="preserve">     ηi-第i点原始观测视极化率数据；</w:t>
      </w:r>
    </w:p>
    <w:p w14:paraId="41E5317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ascii="仿宋" w:hAnsi="仿宋" w:eastAsia="仿宋" w:cs="仿宋"/>
          <w:sz w:val="24"/>
          <w:szCs w:val="24"/>
        </w:rPr>
        <w:drawing>
          <wp:inline distT="0" distB="0" distL="0" distR="0">
            <wp:extent cx="151130" cy="207010"/>
            <wp:effectExtent l="0" t="0" r="1270" b="1905"/>
            <wp:docPr id="1081753450" name="图片 108175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50" name="图片 1081753450"/>
                    <pic:cNvPicPr>
                      <a:picLocks noChangeAspect="1" noChangeArrowheads="1"/>
                    </pic:cNvPicPr>
                  </pic:nvPicPr>
                  <pic:blipFill>
                    <a:blip r:embed="rId3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51130" cy="207010"/>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hint="eastAsia" w:ascii="仿宋" w:hAnsi="仿宋" w:eastAsia="仿宋" w:cs="仿宋"/>
          <w:sz w:val="24"/>
          <w:szCs w:val="24"/>
        </w:rPr>
        <w:fldChar w:fldCharType="separate"/>
      </w:r>
      <w:r>
        <w:rPr>
          <w:rFonts w:ascii="仿宋" w:hAnsi="仿宋" w:eastAsia="仿宋" w:cs="仿宋"/>
          <w:sz w:val="24"/>
          <w:szCs w:val="24"/>
        </w:rPr>
        <w:drawing>
          <wp:inline distT="0" distB="0" distL="0" distR="0">
            <wp:extent cx="151130" cy="207010"/>
            <wp:effectExtent l="0" t="0" r="1270" b="1905"/>
            <wp:docPr id="1081753451" name="图片 108175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51" name="图片 1081753451"/>
                    <pic:cNvPicPr>
                      <a:picLocks noChangeAspect="1" noChangeArrowheads="1"/>
                    </pic:cNvPicPr>
                  </pic:nvPicPr>
                  <pic:blipFill>
                    <a:blip r:embed="rId3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51130" cy="207010"/>
                    </a:xfrm>
                    <a:prstGeom prst="rect">
                      <a:avLst/>
                    </a:prstGeom>
                    <a:noFill/>
                    <a:ln>
                      <a:noFill/>
                    </a:ln>
                  </pic:spPr>
                </pic:pic>
              </a:graphicData>
            </a:graphic>
          </wp:inline>
        </w:drawing>
      </w:r>
      <w:r>
        <w:rPr>
          <w:rFonts w:hint="eastAsia" w:ascii="仿宋" w:hAnsi="仿宋" w:eastAsia="仿宋" w:cs="仿宋"/>
          <w:sz w:val="24"/>
          <w:szCs w:val="24"/>
        </w:rPr>
        <w:fldChar w:fldCharType="end"/>
      </w:r>
      <w:r>
        <w:rPr>
          <w:rFonts w:hint="eastAsia" w:ascii="仿宋" w:hAnsi="仿宋" w:eastAsia="仿宋" w:cs="仿宋"/>
          <w:sz w:val="24"/>
          <w:szCs w:val="24"/>
        </w:rPr>
        <w:t>-第i点质检观测视极化率数据；</w:t>
      </w:r>
    </w:p>
    <w:p w14:paraId="73124FD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 xml:space="preserve">      n-参加统计计算的测点数</w:t>
      </w:r>
    </w:p>
    <w:p w14:paraId="6F701B0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视电阻率异常观测精度采用总均方相对误差衡量，精度计算公式：</w:t>
      </w:r>
    </w:p>
    <w:p w14:paraId="0DC5039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ascii="仿宋" w:hAnsi="仿宋" w:eastAsia="仿宋" w:cs="仿宋"/>
          <w:sz w:val="24"/>
          <w:szCs w:val="24"/>
        </w:rPr>
        <w:drawing>
          <wp:inline distT="0" distB="0" distL="0" distR="0">
            <wp:extent cx="1812925" cy="628015"/>
            <wp:effectExtent l="0" t="0" r="6350" b="635"/>
            <wp:docPr id="1081753452" name="图片 108175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52" name="图片 1081753452"/>
                    <pic:cNvPicPr>
                      <a:picLocks noChangeAspect="1" noChangeArrowheads="1"/>
                    </pic:cNvPicPr>
                  </pic:nvPicPr>
                  <pic:blipFill>
                    <a:blip r:embed="rId3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812925" cy="628015"/>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hint="eastAsia" w:ascii="仿宋" w:hAnsi="仿宋" w:eastAsia="仿宋" w:cs="仿宋"/>
          <w:sz w:val="24"/>
          <w:szCs w:val="24"/>
        </w:rPr>
        <w:fldChar w:fldCharType="separate"/>
      </w:r>
      <w:r>
        <w:rPr>
          <w:rFonts w:ascii="仿宋" w:hAnsi="仿宋" w:eastAsia="仿宋" w:cs="仿宋"/>
          <w:sz w:val="24"/>
          <w:szCs w:val="24"/>
        </w:rPr>
        <w:drawing>
          <wp:inline distT="0" distB="0" distL="0" distR="0">
            <wp:extent cx="1812925" cy="628015"/>
            <wp:effectExtent l="0" t="0" r="6350" b="635"/>
            <wp:docPr id="1081753453" name="图片 108175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53" name="图片 1081753453"/>
                    <pic:cNvPicPr>
                      <a:picLocks noChangeAspect="1" noChangeArrowheads="1"/>
                    </pic:cNvPicPr>
                  </pic:nvPicPr>
                  <pic:blipFill>
                    <a:blip r:embed="rId3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812925" cy="628015"/>
                    </a:xfrm>
                    <a:prstGeom prst="rect">
                      <a:avLst/>
                    </a:prstGeom>
                    <a:noFill/>
                    <a:ln>
                      <a:noFill/>
                    </a:ln>
                  </pic:spPr>
                </pic:pic>
              </a:graphicData>
            </a:graphic>
          </wp:inline>
        </w:drawing>
      </w:r>
      <w:r>
        <w:rPr>
          <w:rFonts w:hint="eastAsia" w:ascii="仿宋" w:hAnsi="仿宋" w:eastAsia="仿宋" w:cs="仿宋"/>
          <w:sz w:val="24"/>
          <w:szCs w:val="24"/>
        </w:rPr>
        <w:fldChar w:fldCharType="end"/>
      </w:r>
      <w:r>
        <w:rPr>
          <w:rFonts w:hint="eastAsia" w:ascii="仿宋" w:hAnsi="仿宋" w:eastAsia="仿宋" w:cs="仿宋"/>
          <w:sz w:val="24"/>
          <w:szCs w:val="24"/>
        </w:rPr>
        <w:t xml:space="preserve">     </w:t>
      </w:r>
    </w:p>
    <w:p w14:paraId="6E98C7A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i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i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ascii="仿宋" w:hAnsi="仿宋" w:eastAsia="仿宋" w:cs="仿宋"/>
          <w:sz w:val="24"/>
          <w:szCs w:val="24"/>
        </w:rPr>
        <w:drawing>
          <wp:inline distT="0" distB="0" distL="0" distR="0">
            <wp:extent cx="47625" cy="207010"/>
            <wp:effectExtent l="0" t="0" r="0" b="0"/>
            <wp:docPr id="1081753454" name="图片 108175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54" name="图片 1081753454"/>
                    <pic:cNvPicPr>
                      <a:picLocks noChangeAspect="1" noChangeArrowheads="1"/>
                    </pic:cNvPicPr>
                  </pic:nvPicPr>
                  <pic:blipFill>
                    <a:blip r:embed="rId3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7625" cy="207010"/>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hint="eastAsia" w:ascii="仿宋" w:hAnsi="仿宋" w:eastAsia="仿宋" w:cs="仿宋"/>
          <w:sz w:val="24"/>
          <w:szCs w:val="24"/>
        </w:rPr>
        <w:fldChar w:fldCharType="separate"/>
      </w:r>
      <w:r>
        <w:rPr>
          <w:rFonts w:ascii="仿宋" w:hAnsi="仿宋" w:eastAsia="仿宋" w:cs="仿宋"/>
          <w:sz w:val="24"/>
          <w:szCs w:val="24"/>
        </w:rPr>
        <w:drawing>
          <wp:inline distT="0" distB="0" distL="0" distR="0">
            <wp:extent cx="47625" cy="207010"/>
            <wp:effectExtent l="0" t="0" r="0" b="0"/>
            <wp:docPr id="1081753455" name="图片 108175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55" name="图片 1081753455"/>
                    <pic:cNvPicPr>
                      <a:picLocks noChangeAspect="1" noChangeArrowheads="1"/>
                    </pic:cNvPicPr>
                  </pic:nvPicPr>
                  <pic:blipFill>
                    <a:blip r:embed="rId3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7625" cy="207010"/>
                    </a:xfrm>
                    <a:prstGeom prst="rect">
                      <a:avLst/>
                    </a:prstGeom>
                    <a:noFill/>
                    <a:ln>
                      <a:noFill/>
                    </a:ln>
                  </pic:spPr>
                </pic:pic>
              </a:graphicData>
            </a:graphic>
          </wp:inline>
        </w:drawing>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r>
        <w:rPr>
          <w:rFonts w:hint="eastAsia" w:ascii="仿宋" w:hAnsi="仿宋" w:eastAsia="仿宋" w:cs="仿宋"/>
          <w:sz w:val="24"/>
          <w:szCs w:val="24"/>
        </w:rPr>
        <w:t>-测点(i=1,2,3......,n)个；</w:t>
      </w:r>
    </w:p>
    <w:p w14:paraId="16F6BD0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ηi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ηi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ascii="仿宋" w:hAnsi="仿宋" w:eastAsia="仿宋" w:cs="仿宋"/>
          <w:sz w:val="24"/>
          <w:szCs w:val="24"/>
        </w:rPr>
        <w:drawing>
          <wp:inline distT="0" distB="0" distL="0" distR="0">
            <wp:extent cx="142875" cy="207010"/>
            <wp:effectExtent l="0" t="0" r="0" b="1905"/>
            <wp:docPr id="1081753456" name="图片 108175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56" name="图片 1081753456"/>
                    <pic:cNvPicPr>
                      <a:picLocks noChangeAspect="1" noChangeArrowheads="1"/>
                    </pic:cNvPicPr>
                  </pic:nvPicPr>
                  <pic:blipFill>
                    <a:blip r:embed="rId3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42875" cy="207010"/>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hint="eastAsia" w:ascii="仿宋" w:hAnsi="仿宋" w:eastAsia="仿宋" w:cs="仿宋"/>
          <w:sz w:val="24"/>
          <w:szCs w:val="24"/>
        </w:rPr>
        <w:fldChar w:fldCharType="separate"/>
      </w:r>
      <w:r>
        <w:rPr>
          <w:rFonts w:ascii="仿宋" w:hAnsi="仿宋" w:eastAsia="仿宋" w:cs="仿宋"/>
          <w:sz w:val="24"/>
          <w:szCs w:val="24"/>
        </w:rPr>
        <w:drawing>
          <wp:inline distT="0" distB="0" distL="0" distR="0">
            <wp:extent cx="142875" cy="207010"/>
            <wp:effectExtent l="0" t="0" r="0" b="1905"/>
            <wp:docPr id="1081753457" name="图片 108175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57" name="图片 1081753457"/>
                    <pic:cNvPicPr>
                      <a:picLocks noChangeAspect="1" noChangeArrowheads="1"/>
                    </pic:cNvPicPr>
                  </pic:nvPicPr>
                  <pic:blipFill>
                    <a:blip r:embed="rId3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42875" cy="207010"/>
                    </a:xfrm>
                    <a:prstGeom prst="rect">
                      <a:avLst/>
                    </a:prstGeom>
                    <a:noFill/>
                    <a:ln>
                      <a:noFill/>
                    </a:ln>
                  </pic:spPr>
                </pic:pic>
              </a:graphicData>
            </a:graphic>
          </wp:inline>
        </w:drawing>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r>
        <w:rPr>
          <w:rFonts w:hint="eastAsia" w:ascii="仿宋" w:hAnsi="仿宋" w:eastAsia="仿宋" w:cs="仿宋"/>
          <w:sz w:val="24"/>
          <w:szCs w:val="24"/>
        </w:rPr>
        <w:t>-第i点原始观测视电阻率数据；</w:t>
      </w:r>
    </w:p>
    <w:p w14:paraId="28FF5F3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ηi'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ηi'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ascii="仿宋" w:hAnsi="仿宋" w:eastAsia="仿宋" w:cs="仿宋"/>
          <w:sz w:val="24"/>
          <w:szCs w:val="24"/>
        </w:rPr>
        <w:drawing>
          <wp:inline distT="0" distB="0" distL="0" distR="0">
            <wp:extent cx="151130" cy="207010"/>
            <wp:effectExtent l="0" t="0" r="1270" b="1905"/>
            <wp:docPr id="1081753458" name="图片 108175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58" name="图片 1081753458"/>
                    <pic:cNvPicPr>
                      <a:picLocks noChangeAspect="1" noChangeArrowheads="1"/>
                    </pic:cNvPicPr>
                  </pic:nvPicPr>
                  <pic:blipFill>
                    <a:blip r:embed="rId3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51130" cy="207010"/>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hint="eastAsia" w:ascii="仿宋" w:hAnsi="仿宋" w:eastAsia="仿宋" w:cs="仿宋"/>
          <w:sz w:val="24"/>
          <w:szCs w:val="24"/>
        </w:rPr>
        <w:fldChar w:fldCharType="separate"/>
      </w:r>
      <w:r>
        <w:rPr>
          <w:rFonts w:ascii="仿宋" w:hAnsi="仿宋" w:eastAsia="仿宋" w:cs="仿宋"/>
          <w:sz w:val="24"/>
          <w:szCs w:val="24"/>
        </w:rPr>
        <w:drawing>
          <wp:inline distT="0" distB="0" distL="0" distR="0">
            <wp:extent cx="151130" cy="207010"/>
            <wp:effectExtent l="0" t="0" r="1270" b="1905"/>
            <wp:docPr id="1081753459" name="图片 108175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59" name="图片 1081753459"/>
                    <pic:cNvPicPr>
                      <a:picLocks noChangeAspect="1" noChangeArrowheads="1"/>
                    </pic:cNvPicPr>
                  </pic:nvPicPr>
                  <pic:blipFill>
                    <a:blip r:embed="rId3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51130" cy="207010"/>
                    </a:xfrm>
                    <a:prstGeom prst="rect">
                      <a:avLst/>
                    </a:prstGeom>
                    <a:noFill/>
                    <a:ln>
                      <a:noFill/>
                    </a:ln>
                  </pic:spPr>
                </pic:pic>
              </a:graphicData>
            </a:graphic>
          </wp:inline>
        </w:drawing>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r>
        <w:rPr>
          <w:rFonts w:hint="eastAsia" w:ascii="仿宋" w:hAnsi="仿宋" w:eastAsia="仿宋" w:cs="仿宋"/>
          <w:sz w:val="24"/>
          <w:szCs w:val="24"/>
        </w:rPr>
        <w:t>-第i点质检观测视电阻率数据；</w:t>
      </w:r>
    </w:p>
    <w:p w14:paraId="54887EA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η=ηi+ηi'2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η=ηi+ηi'2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ascii="仿宋" w:hAnsi="仿宋" w:eastAsia="仿宋" w:cs="仿宋"/>
          <w:sz w:val="24"/>
          <w:szCs w:val="24"/>
        </w:rPr>
        <w:drawing>
          <wp:inline distT="0" distB="0" distL="0" distR="0">
            <wp:extent cx="1184910" cy="207010"/>
            <wp:effectExtent l="0" t="0" r="5715" b="1905"/>
            <wp:docPr id="1081753460" name="图片 108175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60" name="图片 1081753460"/>
                    <pic:cNvPicPr>
                      <a:picLocks noChangeAspect="1" noChangeArrowheads="1"/>
                    </pic:cNvPicPr>
                  </pic:nvPicPr>
                  <pic:blipFill>
                    <a:blip r:embed="rId3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184910" cy="207010"/>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hint="eastAsia" w:ascii="仿宋" w:hAnsi="仿宋" w:eastAsia="仿宋" w:cs="仿宋"/>
          <w:sz w:val="24"/>
          <w:szCs w:val="24"/>
        </w:rPr>
        <w:fldChar w:fldCharType="separate"/>
      </w:r>
      <w:r>
        <w:rPr>
          <w:rFonts w:ascii="仿宋" w:hAnsi="仿宋" w:eastAsia="仿宋" w:cs="仿宋"/>
          <w:sz w:val="24"/>
          <w:szCs w:val="24"/>
        </w:rPr>
        <w:drawing>
          <wp:inline distT="0" distB="0" distL="0" distR="0">
            <wp:extent cx="1184910" cy="207010"/>
            <wp:effectExtent l="0" t="0" r="5715" b="1905"/>
            <wp:docPr id="1081753461" name="图片 108175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61" name="图片 1081753461"/>
                    <pic:cNvPicPr>
                      <a:picLocks noChangeAspect="1" noChangeArrowheads="1"/>
                    </pic:cNvPicPr>
                  </pic:nvPicPr>
                  <pic:blipFill>
                    <a:blip r:embed="rId3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184910" cy="207010"/>
                    </a:xfrm>
                    <a:prstGeom prst="rect">
                      <a:avLst/>
                    </a:prstGeom>
                    <a:noFill/>
                    <a:ln>
                      <a:noFill/>
                    </a:ln>
                  </pic:spPr>
                </pic:pic>
              </a:graphicData>
            </a:graphic>
          </wp:inline>
        </w:drawing>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r>
        <w:rPr>
          <w:rFonts w:hint="eastAsia" w:ascii="仿宋" w:hAnsi="仿宋" w:eastAsia="仿宋" w:cs="仿宋"/>
          <w:sz w:val="24"/>
          <w:szCs w:val="24"/>
        </w:rPr>
        <w:t>-第i个测点两次观测数据的平均值；</w:t>
      </w:r>
    </w:p>
    <w:p w14:paraId="15AFD86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n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n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ascii="仿宋" w:hAnsi="仿宋" w:eastAsia="仿宋" w:cs="仿宋"/>
          <w:sz w:val="24"/>
          <w:szCs w:val="24"/>
        </w:rPr>
        <w:drawing>
          <wp:inline distT="0" distB="0" distL="0" distR="0">
            <wp:extent cx="95250" cy="207010"/>
            <wp:effectExtent l="0" t="0" r="0" b="0"/>
            <wp:docPr id="1081753462" name="图片 108175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62" name="图片 1081753462"/>
                    <pic:cNvPicPr>
                      <a:picLocks noChangeAspect="1" noChangeArrowheads="1"/>
                    </pic:cNvPicPr>
                  </pic:nvPicPr>
                  <pic:blipFill>
                    <a:blip r:embed="rId3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95250" cy="207010"/>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hint="eastAsia" w:ascii="仿宋" w:hAnsi="仿宋" w:eastAsia="仿宋" w:cs="仿宋"/>
          <w:sz w:val="24"/>
          <w:szCs w:val="24"/>
        </w:rPr>
        <w:fldChar w:fldCharType="separate"/>
      </w:r>
      <w:r>
        <w:rPr>
          <w:rFonts w:ascii="仿宋" w:hAnsi="仿宋" w:eastAsia="仿宋" w:cs="仿宋"/>
          <w:sz w:val="24"/>
          <w:szCs w:val="24"/>
        </w:rPr>
        <w:drawing>
          <wp:inline distT="0" distB="0" distL="0" distR="0">
            <wp:extent cx="95250" cy="207010"/>
            <wp:effectExtent l="0" t="0" r="0" b="0"/>
            <wp:docPr id="1081753463" name="图片 108175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63" name="图片 1081753463"/>
                    <pic:cNvPicPr>
                      <a:picLocks noChangeAspect="1" noChangeArrowheads="1"/>
                    </pic:cNvPicPr>
                  </pic:nvPicPr>
                  <pic:blipFill>
                    <a:blip r:embed="rId3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95250" cy="207010"/>
                    </a:xfrm>
                    <a:prstGeom prst="rect">
                      <a:avLst/>
                    </a:prstGeom>
                    <a:noFill/>
                    <a:ln>
                      <a:noFill/>
                    </a:ln>
                  </pic:spPr>
                </pic:pic>
              </a:graphicData>
            </a:graphic>
          </wp:inline>
        </w:drawing>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r>
        <w:rPr>
          <w:rFonts w:hint="eastAsia" w:ascii="仿宋" w:hAnsi="仿宋" w:eastAsia="仿宋" w:cs="仿宋"/>
          <w:sz w:val="24"/>
          <w:szCs w:val="24"/>
        </w:rPr>
        <w:t>-参加统计计算的测点数。</w:t>
      </w:r>
    </w:p>
    <w:p w14:paraId="7E6B116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(三)1∶1万重力剖面测量</w:t>
      </w:r>
    </w:p>
    <w:p w14:paraId="4365D09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(1)仪器设备</w:t>
      </w:r>
    </w:p>
    <w:p w14:paraId="5B25CE9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工作使用高精度LaCoste-Romberg-G(LCR-G)型重力仪或CG-5型重力仪。</w:t>
      </w:r>
    </w:p>
    <w:p w14:paraId="16C5C9F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(2)仪器性能试验</w:t>
      </w:r>
    </w:p>
    <w:p w14:paraId="4DB90A1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开工前应对重力仪进行检查与调节、格值标定以及格值校正系数测定，必须保证仪器处于正常工作状态。</w:t>
      </w:r>
    </w:p>
    <w:p w14:paraId="5FE58F4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所有重力仪在开工前应进行静态试验、动态试验和多台重力仪间的一致性试验，通过调校与试验，仪器的各项指标必须满足设计书的要求，才可以在野外生产中使用。在外业数据采集工作结束后，应对重力仪进行动态试验和多台重力仪间一致性试验。</w:t>
      </w:r>
    </w:p>
    <w:p w14:paraId="5D5DB12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①静态试验</w:t>
      </w:r>
    </w:p>
    <w:p w14:paraId="7B875E5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选择环境温度变化较小、地基稳固、无振动干扰的试验场地。连续观测时间不短于24小时,LCR-G型重力仪每间隔30分钟读一个数,CG-5型重力仪每5～10分钟记录一次读数。</w:t>
      </w:r>
    </w:p>
    <w:p w14:paraId="71C5DDC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静态试验观测结果经固体潮改正后，计算出各观测时刻的观测重力值，绘制出每台重力仪的静态观测曲线，并用线性回归计算出混合零点位移漂移。静态试验结果判定，静态观测曲线应近于线性。在判定的闭合时间内，静态观测曲线与直线的最大偏差应小于设计的测点重力观测均方误差，否则判定该重力仪不合格。</w:t>
      </w:r>
    </w:p>
    <w:p w14:paraId="633D766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②动态试验</w:t>
      </w:r>
    </w:p>
    <w:p w14:paraId="0AD50B7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出队前挑选重力仪可采用两点动态试验，重力仪性能试验应采用多点动态试验方法，并在工作区完成，动态试验时间不少于12小时。</w:t>
      </w:r>
    </w:p>
    <w:p w14:paraId="5F025E7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两点动态试验，选择地基稳固、干扰小的试验点，两点间重力段差不小于3×10-5m/s2；采用连续观测方式(观测方式：1→2→1→2→1→2··)，相邻两点间单程观测时间间隔不大于20分钟。</w:t>
      </w:r>
    </w:p>
    <w:p w14:paraId="2FCB545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多点动态试验,试验点和路面状况应于工作区的实际地形情况类似，在工作区和周边地区选择18个以上试验点，选择地基稳固、干扰小、相邻两点间重力段差在0.5×10-5m/s2～5×10-5m/s2之间；以汽车或步行运输重力仪，采用双程往返观测方式(观测方式：1→2→3→··→n-1→n；n→n-1→··→3→2→1)进行；相邻两点间单程观测时间间隔不大于20分钟。</w:t>
      </w:r>
    </w:p>
    <w:p w14:paraId="57522736">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以每个独立增量与独立增量平均值的差值为纵坐标，测点编号为横坐标，绘制重力仪的动态观测曲线。根据静态观测曲线及线性回归直线，按照“最大混合零点位移漂移不大于3倍的测点重力观测均方误差”的要求，大致确定每台重力仪的最大闭合时间；根据动态观测曲线与静态试验回归直线，按照“最大偏差小于设计的测点重力观测均方误差”的要求，确定每台重力仪的闭合时间。重力仪动态试验均方误差应不大于设计的测点重力观测均方误差。</w:t>
      </w:r>
    </w:p>
    <w:p w14:paraId="14318C7E">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③多台重力仪的一致性试验</w:t>
      </w:r>
    </w:p>
    <w:p w14:paraId="26134F2D">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试验点数不少于15个(不包含基点)，点距和场地选择应于工作区的地形情况类似。选某一点作为起始点，以汽车或步行运送重力仪，按照“起始点→试验点→··→试验点→起始点”观测方式进行观测，相邻两点间重力段差在0.5×10-5m/s2～5×10-5m/s2之间。</w:t>
      </w:r>
    </w:p>
    <w:p w14:paraId="6EA6B7F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将各台仪器的一致性观测曲线及多台仪器一致性观测重力值的平均值曲线绘制在同一坐标系中，观测多台仪器的一致性状况。当某台重力仪一致性均方误差大于设计的基点联测均方误差或测点重力观测均方误差时，不应使用该重力仪。各台重力仪间一致性均方误差不应超过设计的测点重力观测均方误差，否则可剔除偏离大的重力仪，重新进行试验或统计精度。观察多台重力仪的一致性试验曲线图，曲线越接近，该组重力仪一致性越好；从性能试验曲线上识别出偏离较大的重力仪；依据单台重力仪的观测均方误差及图示结果，对投入生产的重力仪进行优选。</w:t>
      </w:r>
    </w:p>
    <w:p w14:paraId="7777C29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重力操作员对重力仪的使用维护按规范中的有关要求及仪器使用手册执行。</w:t>
      </w:r>
    </w:p>
    <w:p w14:paraId="7A75051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(3)基点选择</w:t>
      </w:r>
    </w:p>
    <w:p w14:paraId="700C7E7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重力基点应选择在地基稳固、周围无振动源、近期不被占用、附近地形和其它引力质量近期内不会有较大变化的地段设立一个总基点，总基点应有明显标识。重力基点应尽量在正常场区，具体可依据小比例尺的布格重力异常平面图或通过实测重力剖面确定；基点的重力值建议取起算点的正常重力值。</w:t>
      </w:r>
    </w:p>
    <w:p w14:paraId="224A4CF7">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(4)基点、测点观测</w:t>
      </w:r>
    </w:p>
    <w:p w14:paraId="22E92304">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①每日早基观测前，要对LCR-G型重力仪温度、正确读数线、光线位移灵敏度、横水准器、纵水准器进行检查保证仪器处于正常工作状态；要对CG-5型重力仪的温度补偿、漂移改正、倾斜传感器零点和灵敏度进行检查保证仪器处于正常工作状态。检查和测定结果均应记入记录本。</w:t>
      </w:r>
    </w:p>
    <w:p w14:paraId="578AD0A7">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②重力仪检查正常后，按照基点—辅基点—基点的方式进行往返观测，在基点上读三次数，辅基点读两次数。基点与辅基点之间的重力差值不宜太小，距离适宜，两次基点读数时间间隔不小于6分钟。</w:t>
      </w:r>
    </w:p>
    <w:p w14:paraId="0089FA93">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③测点观测采用单程观测法，测点观测时，调平重力仪，水泡调平精准到1/5刻度，观测中允许变化1/2刻度。重力仪脚架盘平面与高程测量点的高度应保持同一水平面，其高差不超过2cm。每个测点读两次数，取平均值作为该点的读格数(或重力观测值)。LCR-G型重力仪在第一次读数后，应转动计数器，并检查和调准水泡，然后进行第二次读数，依此要求进行第三次读数。同一次基点读数中任意两个读数之差不大于0.005格，前后两次基点的平均读格之差不大于0.010格。CG-5型重力仪读数时间间隔设置不小于30s，同一次基点读数中任意两个读数之差不大于0.005×10-5m/s2，前后两次基点的平均读格之差不大于0.010×10-5m/s2。测点重力值观测后，记录者及时按要求做好记录。</w:t>
      </w:r>
    </w:p>
    <w:p w14:paraId="657BD7CA">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每个闭合单元内不应对重力仪测程进行调节，闭合时间不应超出性能试验确定的最大闭合时间。每个闭合单元的混合零点位移漂移应小于3倍的测点重力观测均方误差。</w:t>
      </w:r>
    </w:p>
    <w:p w14:paraId="35784532">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(5)地形改正</w:t>
      </w:r>
    </w:p>
    <w:p w14:paraId="58A69F57">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近区(0m～20m)做八方位地形改正。实测时，应以正北为起始方位，按顺时针方向依次观测八个方位的地形坡度角或相对高差，按照仰角为正、俯角为负的要求记录在地形改正原始记录本上。根据地形特点，选择适宜的公式计算地形改正值。</w:t>
      </w:r>
    </w:p>
    <w:p w14:paraId="25B571EF">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中区(20m～500m)和远区(500m～2000m)地形改正高程节点网格距通过实验确定，一般要求中区地形改正高程DEM数据的节点格距为5m～10m,远区地形改正高程DEM数据的节点格距为20m～50m；本区没有更大比例尺的的地形图或航片式，应尽可能收集高程30m×30m节点的DEM数据。</w:t>
      </w:r>
    </w:p>
    <w:p w14:paraId="446E6851">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(6)资料整理</w:t>
      </w:r>
    </w:p>
    <w:p w14:paraId="78FE03E1">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对野外作业的原始资料进行必要各项计算，内容包括绝对重力值计算、正常重力值改正(纬度改正)、布格改正(高度改正和中间层改正)、地形改正等，中间层密度使用2.67×103kg/m3，具体各项计算公式按照相关要求执行，分述如下：</w:t>
      </w:r>
    </w:p>
    <w:p w14:paraId="41DDBC62">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①绝对重力值计算</w:t>
      </w:r>
    </w:p>
    <w:p w14:paraId="43B282A7">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野外测点重力值的计算公式为：</w:t>
      </w:r>
    </w:p>
    <w:p w14:paraId="4F49C3CB">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98" o:spt="75" type="#_x0000_t75" style="height:33.75pt;width:366pt;" o:ole="t" filled="f" o:preferrelative="f" stroked="f" coordsize="21600,21600">
            <v:path/>
            <v:fill on="f" focussize="0,0"/>
            <v:stroke on="f" joinstyle="miter"/>
            <v:imagedata r:id="rId387" cropbottom="5311f" o:title=""/>
            <o:lock v:ext="edit" aspectratio="f"/>
            <w10:wrap type="none"/>
            <w10:anchorlock/>
          </v:shape>
          <o:OLEObject Type="Embed" ProgID="Equation.3" ShapeID="_x0000_i1198" DrawAspect="Content" ObjectID="_1468075898" r:id="rId386">
            <o:LockedField>false</o:LockedField>
          </o:OLEObject>
        </w:object>
      </w:r>
    </w:p>
    <w:p w14:paraId="771B3571">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K-重力仪格值；</w:t>
      </w:r>
    </w:p>
    <w:p w14:paraId="4ACEEE97">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G1、G2-起始基点、闭合基点的绝对重力值；</w:t>
      </w:r>
    </w:p>
    <w:p w14:paraId="79D09055">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S1、T1、R1-起始基点重力观测值(读格)、观测时间、固体潮改正值；</w:t>
      </w:r>
    </w:p>
    <w:p w14:paraId="31D99D2E">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S2、T2、R2-闭合基点重力观测值(读格)、观测时间、固体潮改正值；</w:t>
      </w:r>
    </w:p>
    <w:p w14:paraId="392F298C">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Si、Ti、Ri-某测点上的重力观测值(读格)、观测时间、固体潮改正值；</w:t>
      </w:r>
    </w:p>
    <w:p w14:paraId="2B3BCC51">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②正常重力值改正(纬度改正)</w:t>
      </w:r>
    </w:p>
    <w:p w14:paraId="5FDA1B6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采用第十七届国际大地测量和地球物理联合会(IUGG)通过，由国际大地测量协会(IAG)推荐的1980年大地测量参考系统中的正常重力公式计算大地水准面上的重力值，公式为：</w:t>
      </w:r>
    </w:p>
    <w:p w14:paraId="5B2D4104">
      <w:pPr>
        <w:pageBreakBefore w:val="0"/>
        <w:tabs>
          <w:tab w:val="left" w:pos="5940"/>
        </w:tabs>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199" o:spt="75" type="#_x0000_t75" style="height:17.25pt;width:296.25pt;" o:ole="t" filled="f" o:preferrelative="t" stroked="f" coordsize="21600,21600">
            <v:path/>
            <v:fill on="f" focussize="0,0"/>
            <v:stroke on="f" joinstyle="miter"/>
            <v:imagedata r:id="rId389" o:title=""/>
            <o:lock v:ext="edit" aspectratio="t"/>
            <w10:wrap type="none"/>
            <w10:anchorlock/>
          </v:shape>
          <o:OLEObject Type="Embed" ProgID="Equation.3" ShapeID="_x0000_i1199" DrawAspect="Content" ObjectID="_1468075899" r:id="rId388">
            <o:LockedField>false</o:LockedField>
          </o:OLEObject>
        </w:object>
      </w:r>
    </w:p>
    <w:p w14:paraId="2A2FDEB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w:t>
      </w:r>
      <w:r>
        <w:rPr>
          <w:rFonts w:hint="eastAsia" w:ascii="仿宋" w:hAnsi="仿宋" w:eastAsia="仿宋" w:cs="仿宋"/>
          <w:sz w:val="24"/>
          <w:szCs w:val="24"/>
        </w:rPr>
        <w:object>
          <v:shape id="_x0000_i1200" o:spt="75" type="#_x0000_t75" style="height:12.75pt;width:10.5pt;" o:ole="t" filled="f" o:preferrelative="t" stroked="f" coordsize="21600,21600">
            <v:path/>
            <v:fill on="f" focussize="0,0"/>
            <v:stroke on="f" joinstyle="miter"/>
            <v:imagedata r:id="rId391" o:title=""/>
            <o:lock v:ext="edit" aspectratio="t"/>
            <w10:wrap type="none"/>
            <w10:anchorlock/>
          </v:shape>
          <o:OLEObject Type="Embed" ProgID="Equation.3" ShapeID="_x0000_i1200" DrawAspect="Content" ObjectID="_1468075900" r:id="rId390">
            <o:LockedField>false</o:LockedField>
          </o:OLEObject>
        </w:object>
      </w:r>
      <w:r>
        <w:rPr>
          <w:rFonts w:hint="eastAsia" w:ascii="仿宋" w:hAnsi="仿宋" w:eastAsia="仿宋" w:cs="仿宋"/>
          <w:sz w:val="24"/>
          <w:szCs w:val="24"/>
        </w:rPr>
        <w:t>—计算点的地理纬度。</w:t>
      </w:r>
    </w:p>
    <w:p w14:paraId="7D20A54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③布格改正</w:t>
      </w:r>
    </w:p>
    <w:p w14:paraId="0AB5485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01" o:spt="75" type="#_x0000_t75" style="height:37.5pt;width:410.25pt;" o:ole="t" filled="f" o:preferrelative="t" stroked="f" coordsize="21600,21600">
            <v:path/>
            <v:fill on="f" focussize="0,0"/>
            <v:stroke on="f" joinstyle="miter"/>
            <v:imagedata r:id="rId393" cropbottom="2915f" o:title=""/>
            <o:lock v:ext="edit" aspectratio="t"/>
            <w10:wrap type="none"/>
            <w10:anchorlock/>
          </v:shape>
          <o:OLEObject Type="Embed" ProgID="Equation.DSMT4" ShapeID="_x0000_i1201" DrawAspect="Content" ObjectID="_1468075901" r:id="rId392">
            <o:LockedField>false</o:LockedField>
          </o:OLEObject>
        </w:object>
      </w:r>
    </w:p>
    <w:p w14:paraId="1F1D9A2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上述各式中，各符号意义如下：</w:t>
      </w:r>
    </w:p>
    <w:p w14:paraId="693CE5D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02" o:spt="75" type="#_x0000_t75" style="height:12.75pt;width:10.5pt;" o:ole="t" filled="f" o:preferrelative="t" stroked="f" coordsize="21600,21600">
            <v:path/>
            <v:fill on="f" focussize="0,0"/>
            <v:stroke on="f" joinstyle="miter"/>
            <v:imagedata r:id="rId395" o:title=""/>
            <o:lock v:ext="edit" aspectratio="t"/>
            <w10:wrap type="none"/>
            <w10:anchorlock/>
          </v:shape>
          <o:OLEObject Type="Embed" ProgID="Equation.3" ShapeID="_x0000_i1202" DrawAspect="Content" ObjectID="_1468075902" r:id="rId394">
            <o:LockedField>false</o:LockedField>
          </o:OLEObject>
        </w:object>
      </w:r>
      <w:r>
        <w:rPr>
          <w:rFonts w:hint="eastAsia" w:ascii="仿宋" w:hAnsi="仿宋" w:eastAsia="仿宋" w:cs="仿宋"/>
          <w:sz w:val="24"/>
          <w:szCs w:val="24"/>
        </w:rPr>
        <w:t>-重力测点地理纬度；</w:t>
      </w:r>
    </w:p>
    <w:p w14:paraId="2F273B0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03" o:spt="75" type="#_x0000_t75" style="height:14.25pt;width:9.75pt;" o:ole="t" filled="f" o:preferrelative="t" stroked="f" coordsize="21600,21600">
            <v:path/>
            <v:fill on="f" focussize="0,0"/>
            <v:stroke on="f" joinstyle="miter"/>
            <v:imagedata r:id="rId397" o:title=""/>
            <o:lock v:ext="edit" aspectratio="t"/>
            <w10:wrap type="none"/>
            <w10:anchorlock/>
          </v:shape>
          <o:OLEObject Type="Embed" ProgID="Equation.3" ShapeID="_x0000_i1203" DrawAspect="Content" ObjectID="_1468075903" r:id="rId396">
            <o:LockedField>false</o:LockedField>
          </o:OLEObject>
        </w:object>
      </w:r>
      <w:r>
        <w:rPr>
          <w:rFonts w:hint="eastAsia" w:ascii="仿宋" w:hAnsi="仿宋" w:eastAsia="仿宋" w:cs="仿宋"/>
          <w:sz w:val="24"/>
          <w:szCs w:val="24"/>
        </w:rPr>
        <w:t>-重力测点海拔高程(测点低于高程基准面时为负值，单位m)；</w:t>
      </w:r>
    </w:p>
    <w:p w14:paraId="74A11E6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ρ-中间层密度(2.67×103kg/m3)；</w:t>
      </w:r>
    </w:p>
    <w:p w14:paraId="6BB3DA1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04" o:spt="75" type="#_x0000_t75" style="height:10.5pt;width:9.75pt;" o:ole="t" filled="f" o:preferrelative="t" stroked="f" coordsize="21600,21600">
            <v:path/>
            <v:fill on="f" focussize="0,0"/>
            <v:stroke on="f" joinstyle="miter"/>
            <v:imagedata r:id="rId399" o:title=""/>
            <o:lock v:ext="edit" aspectratio="t"/>
            <w10:wrap type="none"/>
            <w10:anchorlock/>
          </v:shape>
          <o:OLEObject Type="Embed" ProgID="Equation.3" ShapeID="_x0000_i1204" DrawAspect="Content" ObjectID="_1468075904" r:id="rId398">
            <o:LockedField>false</o:LockedField>
          </o:OLEObject>
        </w:object>
      </w:r>
      <w:r>
        <w:rPr>
          <w:rFonts w:hint="eastAsia" w:ascii="仿宋" w:hAnsi="仿宋" w:eastAsia="仿宋" w:cs="仿宋"/>
          <w:sz w:val="24"/>
          <w:szCs w:val="24"/>
        </w:rPr>
        <w:t>-圆域中间层改正半径(20000m)。</w:t>
      </w:r>
    </w:p>
    <w:p w14:paraId="11A5D05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④地形改正</w:t>
      </w:r>
    </w:p>
    <w:p w14:paraId="0F57985B">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普查工作的地形改正分为近、中、远三个区进行。近区地形改正使用锥形或扇形公式计算，中区和远区地形改正使用方域计算公式。</w:t>
      </w:r>
    </w:p>
    <w:p w14:paraId="253CFA8D">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A．近区地形改正</w:t>
      </w:r>
    </w:p>
    <w:p w14:paraId="644CF705">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在0-10米范围内的地改采用锥形公式计算：</w:t>
      </w:r>
    </w:p>
    <w:p w14:paraId="736070BE">
      <w:pPr>
        <w:pageBreakBefore w:val="0"/>
        <w:kinsoku w:val="0"/>
        <w:wordWrap/>
        <w:overflowPunct w:val="0"/>
        <w:autoSpaceDE w:val="0"/>
        <w:autoSpaceDN w:val="0"/>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05" o:spt="75" type="#_x0000_t75" style="height:29.25pt;width:120pt;" o:ole="t" filled="f" o:preferrelative="t" stroked="f" coordsize="21600,21600">
            <v:path/>
            <v:fill on="f" focussize="0,0"/>
            <v:stroke on="f" joinstyle="miter"/>
            <v:imagedata r:id="rId401" o:title=""/>
            <o:lock v:ext="edit" aspectratio="t"/>
            <w10:wrap type="none"/>
            <w10:anchorlock/>
          </v:shape>
          <o:OLEObject Type="Embed" ProgID="Equation.DSMT4" ShapeID="_x0000_i1205" DrawAspect="Content" ObjectID="_1468075905" r:id="rId400">
            <o:LockedField>false</o:LockedField>
          </o:OLEObject>
        </w:object>
      </w:r>
    </w:p>
    <w:p w14:paraId="0931B684">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式中：G-引力常数(6.67×10-11m3/(kg·s2))；σ-地形校正密度(取2.67×103kg/m3)；R-地形改正半径(米)；i-地形倾角；n-方位数(即以O为顶点，将近区地形分成小锥形体的个数)。</w:t>
      </w:r>
    </w:p>
    <w:p w14:paraId="62D00866">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在10-20米范围内采用扇形公式计算：</w:t>
      </w:r>
    </w:p>
    <w:p w14:paraId="4DA3944A">
      <w:pPr>
        <w:pageBreakBefore w:val="0"/>
        <w:kinsoku w:val="0"/>
        <w:wordWrap/>
        <w:overflowPunct w:val="0"/>
        <w:autoSpaceDE w:val="0"/>
        <w:autoSpaceDN w:val="0"/>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06" o:spt="75" type="#_x0000_t75" style="height:30.75pt;width:261pt;" o:ole="t" filled="f" o:preferrelative="t" stroked="f" coordsize="21600,21600">
            <v:path/>
            <v:fill on="f" focussize="0,0"/>
            <v:stroke on="f" joinstyle="miter"/>
            <v:imagedata r:id="rId403" o:title=""/>
            <o:lock v:ext="edit" aspectratio="t"/>
            <w10:wrap type="none"/>
            <w10:anchorlock/>
          </v:shape>
          <o:OLEObject Type="Embed" ProgID="Equation.DSMT4" ShapeID="_x0000_i1206" DrawAspect="Content" ObjectID="_1468075906" r:id="rId402">
            <o:LockedField>false</o:LockedField>
          </o:OLEObject>
        </w:object>
      </w:r>
    </w:p>
    <w:p w14:paraId="2BFB9B40">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w:t>
      </w:r>
      <w:r>
        <w:rPr>
          <w:rFonts w:hint="eastAsia" w:ascii="仿宋" w:hAnsi="仿宋" w:eastAsia="仿宋" w:cs="仿宋"/>
          <w:sz w:val="24"/>
          <w:szCs w:val="24"/>
        </w:rPr>
        <w:object>
          <v:shape id="_x0000_i1207" o:spt="75" type="#_x0000_t75" style="height:18pt;width:16.5pt;" o:ole="t" filled="f" o:preferrelative="t" stroked="f" coordsize="21600,21600">
            <v:path/>
            <v:fill on="f" focussize="0,0"/>
            <v:stroke on="f" joinstyle="miter"/>
            <v:imagedata r:id="rId405" o:title=""/>
            <o:lock v:ext="edit" aspectratio="t"/>
            <w10:wrap type="none"/>
            <w10:anchorlock/>
          </v:shape>
          <o:OLEObject Type="Embed" ProgID="Equation.DSMT4" ShapeID="_x0000_i1207" DrawAspect="Content" ObjectID="_1468075907" r:id="rId404">
            <o:LockedField>false</o:LockedField>
          </o:OLEObject>
        </w:object>
      </w:r>
      <w:r>
        <w:rPr>
          <w:rFonts w:hint="eastAsia" w:ascii="仿宋" w:hAnsi="仿宋" w:eastAsia="仿宋" w:cs="仿宋"/>
          <w:sz w:val="24"/>
          <w:szCs w:val="24"/>
        </w:rPr>
        <w:t>-扇形体的内半径，米；</w:t>
      </w:r>
      <w:r>
        <w:rPr>
          <w:rFonts w:hint="eastAsia" w:ascii="仿宋" w:hAnsi="仿宋" w:eastAsia="仿宋" w:cs="仿宋"/>
          <w:sz w:val="24"/>
          <w:szCs w:val="24"/>
        </w:rPr>
        <w:object>
          <v:shape id="_x0000_i1208" o:spt="75" type="#_x0000_t75" style="height:18pt;width:23.25pt;" o:ole="t" filled="f" o:preferrelative="t" stroked="f" coordsize="21600,21600">
            <v:path/>
            <v:fill on="f" focussize="0,0"/>
            <v:stroke on="f" joinstyle="miter"/>
            <v:imagedata r:id="rId407" o:title=""/>
            <o:lock v:ext="edit" aspectratio="t"/>
            <w10:wrap type="none"/>
            <w10:anchorlock/>
          </v:shape>
          <o:OLEObject Type="Embed" ProgID="Equation.DSMT4" ShapeID="_x0000_i1208" DrawAspect="Content" ObjectID="_1468075908" r:id="rId406">
            <o:LockedField>false</o:LockedField>
          </o:OLEObject>
        </w:object>
      </w:r>
      <w:r>
        <w:rPr>
          <w:rFonts w:hint="eastAsia" w:ascii="仿宋" w:hAnsi="仿宋" w:eastAsia="仿宋" w:cs="仿宋"/>
          <w:sz w:val="24"/>
          <w:szCs w:val="24"/>
        </w:rPr>
        <w:t>-扇形体的外半径，米；</w:t>
      </w:r>
      <w:r>
        <w:rPr>
          <w:rFonts w:hint="eastAsia" w:ascii="仿宋" w:hAnsi="仿宋" w:eastAsia="仿宋" w:cs="仿宋"/>
          <w:sz w:val="24"/>
          <w:szCs w:val="24"/>
        </w:rPr>
        <w:object>
          <v:shape id="_x0000_i1209" o:spt="75" type="#_x0000_t75" style="height:12.75pt;width:21pt;" o:ole="t" filled="f" o:preferrelative="t" stroked="f" coordsize="21600,21600">
            <v:path/>
            <v:fill on="f" focussize="0,0"/>
            <v:stroke on="f" joinstyle="miter"/>
            <v:imagedata r:id="rId409" o:title=""/>
            <o:lock v:ext="edit" aspectratio="t"/>
            <w10:wrap type="none"/>
            <w10:anchorlock/>
          </v:shape>
          <o:OLEObject Type="Embed" ProgID="Equation.DSMT4" ShapeID="_x0000_i1209" DrawAspect="Content" ObjectID="_1468075909" r:id="rId408">
            <o:LockedField>false</o:LockedField>
          </o:OLEObject>
        </w:object>
      </w:r>
      <w:r>
        <w:rPr>
          <w:rFonts w:hint="eastAsia" w:ascii="仿宋" w:hAnsi="仿宋" w:eastAsia="仿宋" w:cs="仿宋"/>
          <w:sz w:val="24"/>
          <w:szCs w:val="24"/>
        </w:rPr>
        <w:t>-扇形体的平均高程与测点高程之差，米。</w:t>
      </w:r>
    </w:p>
    <w:p w14:paraId="4BCC611F">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B．中、远区地形改正</w:t>
      </w:r>
    </w:p>
    <w:p w14:paraId="4F3F3D67">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中区地改半径为20～500米，远区地改半径是500～2000米，收集工区及周边图幅的大比例尺数字地形图DEM数据，采用GeoIPAS软件进行计算。</w:t>
      </w:r>
    </w:p>
    <w:p w14:paraId="24993751">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采用方域计算方法，先计算测点附近四个节点的地形校正值，然后将四个节点地形校正值内插到测程位置上来作为测点地形校正值，节点校正值计算按数值积分法的基本公式：</w:t>
      </w:r>
    </w:p>
    <w:p w14:paraId="1432EB21">
      <w:pPr>
        <w:pageBreakBefore w:val="0"/>
        <w:kinsoku w:val="0"/>
        <w:wordWrap/>
        <w:overflowPunct w:val="0"/>
        <w:autoSpaceDE w:val="0"/>
        <w:autoSpaceDN w:val="0"/>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10" o:spt="75" type="#_x0000_t75" style="height:48pt;width:224.25pt;" o:ole="t" filled="f" o:preferrelative="t" stroked="f" coordsize="21600,21600">
            <v:path/>
            <v:fill on="f" focussize="0,0"/>
            <v:stroke on="f" joinstyle="miter"/>
            <v:imagedata r:id="rId411" o:title=""/>
            <o:lock v:ext="edit" aspectratio="t"/>
            <w10:wrap type="none"/>
            <w10:anchorlock/>
          </v:shape>
          <o:OLEObject Type="Embed" ProgID="Equation.DSMT4" ShapeID="_x0000_i1210" DrawAspect="Content" ObjectID="_1468075910" r:id="rId410">
            <o:LockedField>false</o:LockedField>
          </o:OLEObject>
        </w:object>
      </w:r>
    </w:p>
    <w:p w14:paraId="6164B31D">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11" o:spt="75" type="#_x0000_t75" style="height:18.75pt;width:12.75pt;" o:ole="t" filled="f" o:preferrelative="t" stroked="f" coordsize="21600,21600">
            <v:path/>
            <v:fill on="f" focussize="0,0"/>
            <v:stroke on="f" joinstyle="miter"/>
            <v:imagedata r:id="rId413" o:title=""/>
            <o:lock v:ext="edit" aspectratio="t"/>
            <w10:wrap type="none"/>
            <w10:anchorlock/>
          </v:shape>
          <o:OLEObject Type="Embed" ProgID="Equation.DSMT4" ShapeID="_x0000_i1211" DrawAspect="Content" ObjectID="_1468075911" r:id="rId412">
            <o:LockedField>false</o:LockedField>
          </o:OLEObject>
        </w:object>
      </w:r>
      <w:r>
        <w:rPr>
          <w:rFonts w:hint="eastAsia" w:ascii="仿宋" w:hAnsi="仿宋" w:eastAsia="仿宋" w:cs="仿宋"/>
          <w:sz w:val="24"/>
          <w:szCs w:val="24"/>
        </w:rPr>
        <w:t>-积分节点(i，j)与计算点之间的高差；</w:t>
      </w:r>
      <w:r>
        <w:rPr>
          <w:rFonts w:hint="eastAsia" w:ascii="仿宋" w:hAnsi="仿宋" w:eastAsia="仿宋" w:cs="仿宋"/>
          <w:sz w:val="24"/>
          <w:szCs w:val="24"/>
        </w:rPr>
        <w:object>
          <v:shape id="_x0000_i1212" o:spt="75" type="#_x0000_t75" style="height:18.75pt;width:10.5pt;" o:ole="t" filled="f" o:preferrelative="t" stroked="f" coordsize="21600,21600">
            <v:path/>
            <v:fill on="f" focussize="0,0"/>
            <v:stroke on="f" joinstyle="miter"/>
            <v:imagedata r:id="rId415" o:title=""/>
            <o:lock v:ext="edit" aspectratio="t"/>
            <w10:wrap type="none"/>
            <w10:anchorlock/>
          </v:shape>
          <o:OLEObject Type="Embed" ProgID="Equation.DSMT4" ShapeID="_x0000_i1212" DrawAspect="Content" ObjectID="_1468075912" r:id="rId414">
            <o:LockedField>false</o:LockedField>
          </o:OLEObject>
        </w:object>
      </w:r>
      <w:r>
        <w:rPr>
          <w:rFonts w:hint="eastAsia" w:ascii="仿宋" w:hAnsi="仿宋" w:eastAsia="仿宋" w:cs="仿宋"/>
          <w:sz w:val="24"/>
          <w:szCs w:val="24"/>
        </w:rPr>
        <w:t>-积分节点(i，j)与计算点之间的距离；</w:t>
      </w:r>
      <w:r>
        <w:rPr>
          <w:rFonts w:hint="eastAsia" w:ascii="仿宋" w:hAnsi="仿宋" w:eastAsia="仿宋" w:cs="仿宋"/>
          <w:sz w:val="24"/>
          <w:szCs w:val="24"/>
        </w:rPr>
        <w:object>
          <v:shape id="_x0000_i1213" o:spt="75" type="#_x0000_t75" style="height:12.75pt;width:19.5pt;" o:ole="t" filled="f" o:preferrelative="t" stroked="f" coordsize="21600,21600">
            <v:path/>
            <v:fill on="f" focussize="0,0"/>
            <v:stroke on="f" joinstyle="miter"/>
            <v:imagedata r:id="rId417" o:title=""/>
            <o:lock v:ext="edit" aspectratio="t"/>
            <w10:wrap type="none"/>
            <w10:anchorlock/>
          </v:shape>
          <o:OLEObject Type="Embed" ProgID="Equation.DSMT4" ShapeID="_x0000_i1213" DrawAspect="Content" ObjectID="_1468075913" r:id="rId416">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214" o:spt="75" type="#_x0000_t75" style="height:12.75pt;width:18.75pt;" o:ole="t" filled="f" o:preferrelative="t" stroked="f" coordsize="21600,21600">
            <v:path/>
            <v:fill on="f" focussize="0,0"/>
            <v:stroke on="f" joinstyle="miter"/>
            <v:imagedata r:id="rId419" o:title=""/>
            <o:lock v:ext="edit" aspectratio="t"/>
            <w10:wrap type="none"/>
            <w10:anchorlock/>
          </v:shape>
          <o:OLEObject Type="Embed" ProgID="Equation.3" ShapeID="_x0000_i1214" DrawAspect="Content" ObjectID="_1468075914" r:id="rId418">
            <o:LockedField>false</o:LockedField>
          </o:OLEObject>
        </w:object>
      </w:r>
      <w:r>
        <w:rPr>
          <w:rFonts w:hint="eastAsia" w:ascii="仿宋" w:hAnsi="仿宋" w:eastAsia="仿宋" w:cs="仿宋"/>
          <w:sz w:val="24"/>
          <w:szCs w:val="24"/>
        </w:rPr>
        <w:t>-网格距；</w:t>
      </w:r>
      <w:r>
        <w:rPr>
          <w:rFonts w:hint="eastAsia" w:ascii="仿宋" w:hAnsi="仿宋" w:eastAsia="仿宋" w:cs="仿宋"/>
          <w:sz w:val="24"/>
          <w:szCs w:val="24"/>
        </w:rPr>
        <w:object>
          <v:shape id="_x0000_i1215" o:spt="75" type="#_x0000_t75" style="height:18.75pt;width:16.5pt;" o:ole="t" filled="f" o:preferrelative="t" stroked="f" coordsize="21600,21600">
            <v:path/>
            <v:fill on="f" focussize="0,0"/>
            <v:stroke on="f" joinstyle="miter"/>
            <v:imagedata r:id="rId421" o:title=""/>
            <o:lock v:ext="edit" aspectratio="t"/>
            <w10:wrap type="none"/>
            <w10:anchorlock/>
          </v:shape>
          <o:OLEObject Type="Embed" ProgID="Equation.3" ShapeID="_x0000_i1215" DrawAspect="Content" ObjectID="_1468075915" r:id="rId420">
            <o:LockedField>false</o:LockedField>
          </o:OLEObject>
        </w:object>
      </w:r>
      <w:r>
        <w:rPr>
          <w:rFonts w:hint="eastAsia" w:ascii="仿宋" w:hAnsi="仿宋" w:eastAsia="仿宋" w:cs="仿宋"/>
          <w:sz w:val="24"/>
          <w:szCs w:val="24"/>
        </w:rPr>
        <w:t>-积分常数，选用梯形系数。</w:t>
      </w:r>
    </w:p>
    <w:p w14:paraId="5C9C3896">
      <w:pPr>
        <w:pageBreakBefore w:val="0"/>
        <w:tabs>
          <w:tab w:val="left" w:pos="5940"/>
        </w:tabs>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计算测点地形改值，以就近四个节点的地形校正值用双线性插值公式：</w:t>
      </w:r>
    </w:p>
    <w:p w14:paraId="43F5661D">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16" o:spt="75" type="#_x0000_t75" style="height:37.5pt;width:340.5pt;" o:ole="t" filled="f" o:preferrelative="t" stroked="f" coordsize="21600,21600">
            <v:path/>
            <v:fill on="f" focussize="0,0"/>
            <v:stroke on="f" joinstyle="miter"/>
            <v:imagedata r:id="rId423" o:title=""/>
            <o:lock v:ext="edit" aspectratio="t"/>
            <w10:wrap type="none"/>
            <w10:anchorlock/>
          </v:shape>
          <o:OLEObject Type="Embed" ProgID="Equation.3" ShapeID="_x0000_i1216" DrawAspect="Content" ObjectID="_1468075916" r:id="rId422">
            <o:LockedField>false</o:LockedField>
          </o:OLEObject>
        </w:object>
      </w:r>
    </w:p>
    <w:p w14:paraId="7BA8951B">
      <w:pPr>
        <w:pageBreakBefore w:val="0"/>
        <w:kinsoku w:val="0"/>
        <w:wordWrap/>
        <w:overflowPunct w:val="0"/>
        <w:autoSpaceDE w:val="0"/>
        <w:autoSpaceDN w:val="0"/>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17" o:spt="75" type="#_x0000_t75" style="height:37.5pt;width:334.5pt;" o:ole="t" filled="f" o:preferrelative="t" stroked="f" coordsize="21600,21600">
            <v:path/>
            <v:fill on="f" focussize="0,0"/>
            <v:stroke on="f" joinstyle="miter"/>
            <v:imagedata r:id="rId425" o:title=""/>
            <o:lock v:ext="edit" aspectratio="t"/>
            <w10:wrap type="none"/>
            <w10:anchorlock/>
          </v:shape>
          <o:OLEObject Type="Embed" ProgID="Equation.3" ShapeID="_x0000_i1217" DrawAspect="Content" ObjectID="_1468075917" r:id="rId424">
            <o:LockedField>false</o:LockedField>
          </o:OLEObject>
        </w:object>
      </w:r>
    </w:p>
    <w:p w14:paraId="1226BC63">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18" o:spt="75" type="#_x0000_t75" style="height:16.5pt;width:18pt;" o:ole="t" filled="f" o:preferrelative="t" stroked="f" coordsize="21600,21600">
            <v:path/>
            <v:fill on="f" focussize="0,0"/>
            <v:stroke on="f" joinstyle="miter"/>
            <v:imagedata r:id="rId427" o:title=""/>
            <o:lock v:ext="edit" aspectratio="t"/>
            <w10:wrap type="none"/>
            <w10:anchorlock/>
          </v:shape>
          <o:OLEObject Type="Embed" ProgID="Equation.3" ShapeID="_x0000_i1218" DrawAspect="Content" ObjectID="_1468075918" r:id="rId426">
            <o:LockedField>false</o:LockedField>
          </o:OLEObject>
        </w:object>
      </w:r>
      <w:r>
        <w:rPr>
          <w:rFonts w:hint="eastAsia" w:ascii="仿宋" w:hAnsi="仿宋" w:eastAsia="仿宋" w:cs="仿宋"/>
          <w:sz w:val="24"/>
          <w:szCs w:val="24"/>
        </w:rPr>
        <w:t>-测点地形校正值；</w:t>
      </w:r>
      <w:r>
        <w:rPr>
          <w:rFonts w:hint="eastAsia" w:ascii="仿宋" w:hAnsi="仿宋" w:eastAsia="仿宋" w:cs="仿宋"/>
          <w:sz w:val="24"/>
          <w:szCs w:val="24"/>
        </w:rPr>
        <w:object>
          <v:shape id="_x0000_i1219" o:spt="75" type="#_x0000_t75" style="height:18pt;width:36.75pt;" o:ole="t" filled="f" o:preferrelative="t" stroked="f" coordsize="21600,21600">
            <v:path/>
            <v:fill on="f" focussize="0,0"/>
            <v:stroke on="f" joinstyle="miter"/>
            <v:imagedata r:id="rId429" o:title=""/>
            <o:lock v:ext="edit" aspectratio="t"/>
            <w10:wrap type="none"/>
            <w10:anchorlock/>
          </v:shape>
          <o:OLEObject Type="Embed" ProgID="Equation.3" ShapeID="_x0000_i1219" DrawAspect="Content" ObjectID="_1468075919" r:id="rId428">
            <o:LockedField>false</o:LockedField>
          </o:OLEObject>
        </w:object>
      </w:r>
      <w:r>
        <w:rPr>
          <w:rFonts w:hint="eastAsia" w:ascii="仿宋" w:hAnsi="仿宋" w:eastAsia="仿宋" w:cs="仿宋"/>
          <w:sz w:val="24"/>
          <w:szCs w:val="24"/>
        </w:rPr>
        <w:t>-节点A、B、C、D的地形校正值；</w:t>
      </w:r>
      <w:r>
        <w:rPr>
          <w:rFonts w:hint="eastAsia" w:ascii="仿宋" w:hAnsi="仿宋" w:eastAsia="仿宋" w:cs="仿宋"/>
          <w:sz w:val="24"/>
          <w:szCs w:val="24"/>
        </w:rPr>
        <w:object>
          <v:shape id="_x0000_i1220" o:spt="75" type="#_x0000_t75" style="height:12.75pt;width:19.5pt;" o:ole="t" filled="f" o:preferrelative="t" stroked="f" coordsize="21600,21600">
            <v:path/>
            <v:fill on="f" focussize="0,0"/>
            <v:stroke on="f" joinstyle="miter"/>
            <v:imagedata r:id="rId417" o:title=""/>
            <o:lock v:ext="edit" aspectratio="t"/>
            <w10:wrap type="none"/>
            <w10:anchorlock/>
          </v:shape>
          <o:OLEObject Type="Embed" ProgID="Equation.3" ShapeID="_x0000_i1220" DrawAspect="Content" ObjectID="_1468075920" r:id="rId430">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221" o:spt="75" type="#_x0000_t75" style="height:12.75pt;width:18.75pt;" o:ole="t" filled="f" o:preferrelative="t" stroked="f" coordsize="21600,21600">
            <v:path/>
            <v:fill on="f" focussize="0,0"/>
            <v:stroke on="f" joinstyle="miter"/>
            <v:imagedata r:id="rId419" o:title=""/>
            <o:lock v:ext="edit" aspectratio="t"/>
            <w10:wrap type="none"/>
            <w10:anchorlock/>
          </v:shape>
          <o:OLEObject Type="Embed" ProgID="Equation.3" ShapeID="_x0000_i1221" DrawAspect="Content" ObjectID="_1468075921" r:id="rId431">
            <o:LockedField>false</o:LockedField>
          </o:OLEObject>
        </w:object>
      </w:r>
      <w:r>
        <w:rPr>
          <w:rFonts w:hint="eastAsia" w:ascii="仿宋" w:hAnsi="仿宋" w:eastAsia="仿宋" w:cs="仿宋"/>
          <w:sz w:val="24"/>
          <w:szCs w:val="24"/>
        </w:rPr>
        <w:t>-节点网格距。</w:t>
      </w:r>
    </w:p>
    <w:p w14:paraId="35F9E431">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⑤布格重力异常：</w:t>
      </w:r>
      <w:r>
        <w:rPr>
          <w:rFonts w:hint="eastAsia" w:ascii="仿宋" w:hAnsi="仿宋" w:eastAsia="仿宋" w:cs="仿宋"/>
          <w:sz w:val="24"/>
          <w:szCs w:val="24"/>
        </w:rPr>
        <w:object>
          <v:shape id="_x0000_i1222" o:spt="75" type="#_x0000_t75" style="height:23.25pt;width:146.25pt;" o:ole="t" filled="f" o:preferrelative="t" stroked="f" coordsize="21600,21600">
            <v:path/>
            <v:fill on="f" focussize="0,0"/>
            <v:stroke on="f" joinstyle="miter"/>
            <v:imagedata r:id="rId433" o:title=""/>
            <o:lock v:ext="edit" aspectratio="t"/>
            <w10:wrap type="none"/>
            <w10:anchorlock/>
          </v:shape>
          <o:OLEObject Type="Embed" ProgID="Equation.3" ShapeID="_x0000_i1222" DrawAspect="Content" ObjectID="_1468075922" r:id="rId432">
            <o:LockedField>false</o:LockedField>
          </o:OLEObject>
        </w:object>
      </w:r>
    </w:p>
    <w:p w14:paraId="0387F478">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673600" behindDoc="0" locked="0" layoutInCell="0" allowOverlap="1">
                <wp:simplePos x="0" y="0"/>
                <wp:positionH relativeFrom="column">
                  <wp:posOffset>2984500</wp:posOffset>
                </wp:positionH>
                <wp:positionV relativeFrom="paragraph">
                  <wp:posOffset>15875</wp:posOffset>
                </wp:positionV>
                <wp:extent cx="444500" cy="0"/>
                <wp:effectExtent l="0" t="0" r="0" b="0"/>
                <wp:wrapTopAndBottom/>
                <wp:docPr id="142" name="直接连接符 142"/>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a:noFill/>
                        </a:ln>
                      </wps:spPr>
                      <wps:bodyPr/>
                    </wps:wsp>
                  </a:graphicData>
                </a:graphic>
              </wp:anchor>
            </w:drawing>
          </mc:Choice>
          <mc:Fallback>
            <w:pict>
              <v:line id="_x0000_s1026" o:spid="_x0000_s1026" o:spt="20" style="position:absolute;left:0pt;margin-left:235pt;margin-top:1.25pt;height:0pt;width:35pt;mso-wrap-distance-bottom:0pt;mso-wrap-distance-top:0pt;z-index:251673600;mso-width-relative:page;mso-height-relative:page;" filled="f" stroked="f" coordsize="21600,21600" o:allowincell="f" o:gfxdata="UEsDBAoAAAAAAIdO4kAAAAAAAAAAAAAAAAAEAAAAZHJzL1BLAwQUAAAACACHTuJATVpjOtUAAAAH&#10;AQAADwAAAGRycy9kb3ducmV2LnhtbE2PMU/DMBCFdyT+g3VIbNRuaWlJ43QAAQMTLVLF5sbXJDQ+&#10;R7abtP+eKwuMn97pve/y1cm1oscQG08axiMFAqn0tqFKw+fm5W4BIiZD1rSeUMMZI6yK66vcZNYP&#10;9IH9OlWCSyhmRkOdUpdJGcsanYkj3yFxtvfBmcQYKmmDGbjctXKi1IN0piFeqE2HTzWWh/XRaYjP&#10;h63//hreFv1j2OD7eVvOX++1vr0ZqyWIhKf0dwwXfVaHgp12/kg2ilbDdK74l6RhMgPB+Wx64d0v&#10;yyKX//2LH1BLAwQUAAAACACHTuJAGiJdFsMBAABxAwAADgAAAGRycy9lMm9Eb2MueG1srVPLbhMx&#10;FN0j8Q+W92QmUYrQKJMuGpVNKZFaPuDG48lY2L6W7WQmP8EPILGDFUv2/A3pZ3DtPKBl0wUby76P&#10;43vOsWeXg9FsK31QaGs+HpWcSSuwUXZd8w/316/ecBYi2AY0WlnznQz8cv7yxax3lZxgh7qRnhGI&#10;DVXvat7F6KqiCKKTBsIInbSUbNEbiHT066Lx0BO60cWkLF8XPfrGeRQyBIouDkl+RPTPAcS2VUIu&#10;UGyMtPGA6qWGSJRCp1zg8zxt20oR37dtkJHpmhPTmFe6hPartBbzGVRrD65T4jgCPGeEJ5wMKEuX&#10;nqEWEIFtvPoHyijhMWAbRwJNcSCSFSEW4/KJNncdOJm5kNTBnUUP/w9W3G6XnqmGXsJ0wpkFQ5bv&#10;P//49enrw88vtO6/f2MpRUL1LlRUf2WXPlEVg71zNyg+BmbxqgO7lnng+50jjHHqKB61pENwdN2q&#10;f4cN1cAmYlZtaL1JkKQHG7I5u7M5cohMUHA6nV6UZJs4pQqoTn3Oh/hWomFpU3OtbJINKtjehJjm&#10;gOpUksIWr5XW2XptHwWoMEXy3GnUA+kVNrulP/EhJzLi8dUkq/8+5+4/P2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1aYzrVAAAABwEAAA8AAAAAAAAAAQAgAAAAIgAAAGRycy9kb3ducmV2Lnht&#10;bFBLAQIUABQAAAAIAIdO4kAaIl0WwwEAAHEDAAAOAAAAAAAAAAEAIAAAACQBAABkcnMvZTJvRG9j&#10;LnhtbFBLBQYAAAAABgAGAFkBAABZBQAAAAA=&#10;">
                <v:fill on="f" focussize="0,0"/>
                <v:stroke on="f"/>
                <v:imagedata o:title=""/>
                <o:lock v:ext="edit" aspectratio="f"/>
                <w10:wrap type="topAndBottom"/>
              </v:line>
            </w:pict>
          </mc:Fallback>
        </mc:AlternateContent>
      </w:r>
      <w:r>
        <w:rPr>
          <w:rFonts w:hint="eastAsia" w:ascii="仿宋" w:hAnsi="仿宋" w:eastAsia="仿宋" w:cs="仿宋"/>
          <w:sz w:val="24"/>
          <w:szCs w:val="24"/>
        </w:rPr>
        <mc:AlternateContent>
          <mc:Choice Requires="wps">
            <w:drawing>
              <wp:anchor distT="0" distB="0" distL="114300" distR="114300" simplePos="0" relativeHeight="251674624" behindDoc="0" locked="0" layoutInCell="0" allowOverlap="1">
                <wp:simplePos x="0" y="0"/>
                <wp:positionH relativeFrom="column">
                  <wp:posOffset>2984500</wp:posOffset>
                </wp:positionH>
                <wp:positionV relativeFrom="paragraph">
                  <wp:posOffset>15875</wp:posOffset>
                </wp:positionV>
                <wp:extent cx="508000" cy="0"/>
                <wp:effectExtent l="0" t="0" r="0" b="0"/>
                <wp:wrapTopAndBottom/>
                <wp:docPr id="143" name="直接连接符 143"/>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line">
                          <a:avLst/>
                        </a:prstGeom>
                        <a:noFill/>
                        <a:ln>
                          <a:noFill/>
                        </a:ln>
                      </wps:spPr>
                      <wps:bodyPr/>
                    </wps:wsp>
                  </a:graphicData>
                </a:graphic>
              </wp:anchor>
            </w:drawing>
          </mc:Choice>
          <mc:Fallback>
            <w:pict>
              <v:line id="_x0000_s1026" o:spid="_x0000_s1026" o:spt="20" style="position:absolute;left:0pt;margin-left:235pt;margin-top:1.25pt;height:0pt;width:40pt;mso-wrap-distance-bottom:0pt;mso-wrap-distance-top:0pt;z-index:251674624;mso-width-relative:page;mso-height-relative:page;" filled="f" stroked="f" coordsize="21600,21600" o:allowincell="f" o:gfxdata="UEsDBAoAAAAAAIdO4kAAAAAAAAAAAAAAAAAEAAAAZHJzL1BLAwQUAAAACACHTuJAUKfWO9UAAAAH&#10;AQAADwAAAGRycy9kb3ducmV2LnhtbE2PMU/DMBCFdyT+g3VIbNRuIbSEOB1AwMDUFqlic+MjCY3P&#10;ke0m7b/nygLjp3d677tieXSdGDDE1pOG6USBQKq8banW8LF5uVmAiMmQNZ0n1HDCCMvy8qIwufUj&#10;rXBYp1pwCcXcaGhS6nMpY9WgM3HieyTOvnxwJjGGWtpgRi53nZwpdS+daYkXGtPjU4PVfn1wGuLz&#10;fuu/P8e3xfAQNvh+2lbz11utr6+m6hFEwmP6O4azPqtDyU47fyAbRafhbq74l6RhloHgPMvOvPtl&#10;WRbyv3/5A1BLAwQUAAAACACHTuJAhsFZSMMBAABxAwAADgAAAGRycy9lMm9Eb2MueG1srVPLbhMx&#10;FN0j8Q+W98ST8lA1yqSLRmVTIFLLB9x4PBkL29eynczkJ/gBJHawYsmev6F8BtfOA1o2XbCx7Ps4&#10;vucce3YxWsO2KkSNruHTScWZchJb7dYNf3979eycs5jAtWDQqYbvVOQX86dPZoOv1Rn2aFoVGIG4&#10;WA++4X1KvhYiyl5ZiBP0ylGyw2Ah0TGsRRtgIHRrxFlVvRIDhtYHlCpGii72SX5ADI8BxK7TUi1Q&#10;bqxyaY8alIFElGKvfeTzMm3XKZnedV1UiZmGE9NUVrqE9qu8ivkM6nUA32t5GAEeM8IDTha0o0tP&#10;UAtIwDZB/wNltQwYsUsTiVbsiRRFiMW0eqDNTQ9eFS4kdfQn0eP/g5Vvt8vAdEsv4cVzzhxYsvzu&#10;0/efH7/8+vGZ1rtvX1lOkVCDjzXVX7plyFTl6G78NcoPkTm87MGtVRn4ducJY5o7xL2WfIierlsN&#10;b7ClGtgkLKqNXbAZkvRgYzFndzJHjYlJCr6szquKbJPHlID62OdDTK8VWpY3DTfaZdmghu11THkO&#10;qI8lOezwShtTrDfuXoAKc6TMnUfdk15hu1uGIx9yoiAeXk22+u9z6f7zU+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Cn1jvVAAAABwEAAA8AAAAAAAAAAQAgAAAAIgAAAGRycy9kb3ducmV2Lnht&#10;bFBLAQIUABQAAAAIAIdO4kCGwVlIwwEAAHEDAAAOAAAAAAAAAAEAIAAAACQBAABkcnMvZTJvRG9j&#10;LnhtbFBLBQYAAAAABgAGAFkBAABZBQAAAAA=&#10;">
                <v:fill on="f" focussize="0,0"/>
                <v:stroke on="f"/>
                <v:imagedata o:title=""/>
                <o:lock v:ext="edit" aspectratio="f"/>
                <w10:wrap type="topAndBottom"/>
              </v:line>
            </w:pict>
          </mc:Fallback>
        </mc:AlternateContent>
      </w:r>
      <w:r>
        <w:rPr>
          <w:rFonts w:hint="eastAsia" w:ascii="仿宋" w:hAnsi="仿宋" w:eastAsia="仿宋" w:cs="仿宋"/>
          <w:sz w:val="24"/>
          <w:szCs w:val="24"/>
        </w:rPr>
        <w:t>式中：</w:t>
      </w:r>
      <w:r>
        <w:rPr>
          <w:rFonts w:hint="eastAsia" w:ascii="仿宋" w:hAnsi="仿宋" w:eastAsia="仿宋" w:cs="仿宋"/>
          <w:sz w:val="24"/>
          <w:szCs w:val="24"/>
        </w:rPr>
        <w:object>
          <v:shape id="_x0000_i1223" o:spt="75" type="#_x0000_t75" style="height:18pt;width:21.75pt;" o:ole="t" filled="f" o:preferrelative="t" stroked="f" coordsize="21600,21600">
            <v:path/>
            <v:fill on="f" focussize="0,0"/>
            <v:stroke on="f" joinstyle="miter"/>
            <v:imagedata r:id="rId435" o:title=""/>
            <o:lock v:ext="edit" aspectratio="t"/>
            <w10:wrap type="none"/>
            <w10:anchorlock/>
          </v:shape>
          <o:OLEObject Type="Embed" ProgID="Equation.3" ShapeID="_x0000_i1223" DrawAspect="Content" ObjectID="_1468075923" r:id="rId434">
            <o:LockedField>false</o:LockedField>
          </o:OLEObject>
        </w:object>
      </w:r>
      <w:r>
        <w:rPr>
          <w:rFonts w:hint="eastAsia" w:ascii="仿宋" w:hAnsi="仿宋" w:eastAsia="仿宋" w:cs="仿宋"/>
          <w:sz w:val="24"/>
          <w:szCs w:val="24"/>
        </w:rPr>
        <w:t>-布格重力异常，单位10-5m/s2；g-测点重力值，单位10-5m/s2；g0-测点重力值，单位10-5m/s2；δgb-布格改正值，单位10-5m/s2；ggt-地形改正值，单位10-5m/s2。</w:t>
      </w:r>
    </w:p>
    <w:p w14:paraId="2C4929BD">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(7)质量检查精度指标</w:t>
      </w:r>
    </w:p>
    <w:p w14:paraId="4A40492B">
      <w:pPr>
        <w:pageBreakBefore w:val="0"/>
        <w:wordWrap/>
        <w:bidi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质量检查点的分布要相对均匀，并在不同地形类别区及异常区均有分布；检查工作应随外业工作同步进行，并贯穿野外工作全过程，不应集中在某一时间段或外业工作结束前突击检查。多台仪器工作时，测定重力值观测质量检查应按照“同点位、不同仪器、不同操作员、不同闭合单元”的要求进行，检查工作量不少于总工作量的3％；单台仪器工作时，按照“同点位、同仪器、不同操作员、不同闭合单元”的要求进行，检查工作量不少于总工作量的10％。精度分配见下表5-2：</w:t>
      </w:r>
    </w:p>
    <w:p w14:paraId="57E3C1CC">
      <w:pPr>
        <w:pStyle w:val="2"/>
        <w:pageBreakBefore w:val="0"/>
        <w:wordWrap/>
        <w:bidi w:val="0"/>
        <w:snapToGrid w:val="0"/>
        <w:spacing w:line="360" w:lineRule="auto"/>
        <w:outlineLvl w:val="9"/>
        <w:rPr>
          <w:rFonts w:hAnsi="宋体"/>
          <w:b/>
          <w:bCs/>
          <w:sz w:val="21"/>
          <w:szCs w:val="21"/>
        </w:rPr>
      </w:pPr>
      <w:r>
        <w:rPr>
          <w:rFonts w:hint="eastAsia" w:hAnsi="宋体"/>
          <w:b/>
          <w:sz w:val="21"/>
          <w:szCs w:val="21"/>
        </w:rPr>
        <w:t>表5-2  布格重力异常总精度及各项误差分配</w:t>
      </w:r>
      <w:r>
        <w:rPr>
          <w:rFonts w:hint="eastAsia" w:hAnsi="宋体"/>
          <w:b/>
          <w:bCs/>
          <w:sz w:val="21"/>
          <w:szCs w:val="21"/>
        </w:rPr>
        <w:t>(单位为10</w:t>
      </w:r>
      <w:r>
        <w:rPr>
          <w:rFonts w:hint="eastAsia" w:hAnsi="宋体"/>
          <w:b/>
          <w:bCs/>
          <w:sz w:val="21"/>
          <w:szCs w:val="21"/>
          <w:vertAlign w:val="superscript"/>
        </w:rPr>
        <w:t>－5</w:t>
      </w:r>
      <w:r>
        <w:rPr>
          <w:rFonts w:hint="eastAsia" w:hAnsi="宋体"/>
          <w:b/>
          <w:bCs/>
          <w:sz w:val="21"/>
          <w:szCs w:val="21"/>
        </w:rPr>
        <w:t>m/s</w:t>
      </w:r>
      <w:r>
        <w:rPr>
          <w:rFonts w:hint="eastAsia" w:hAnsi="宋体"/>
          <w:b/>
          <w:bCs/>
          <w:sz w:val="21"/>
          <w:szCs w:val="21"/>
          <w:vertAlign w:val="superscript"/>
        </w:rPr>
        <w:t>2</w:t>
      </w:r>
      <w:r>
        <w:rPr>
          <w:rFonts w:hint="eastAsia" w:hAnsi="宋体"/>
          <w:b/>
          <w:bCs/>
          <w:sz w:val="21"/>
          <w:szCs w:val="21"/>
        </w:rPr>
        <w:t>)</w:t>
      </w:r>
    </w:p>
    <w:tbl>
      <w:tblPr>
        <w:tblStyle w:val="4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1399"/>
        <w:gridCol w:w="1426"/>
        <w:gridCol w:w="1089"/>
        <w:gridCol w:w="1244"/>
        <w:gridCol w:w="1125"/>
        <w:gridCol w:w="1381"/>
      </w:tblGrid>
      <w:tr w14:paraId="184145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restart"/>
            <w:tcBorders>
              <w:top w:val="single" w:color="auto" w:sz="12" w:space="0"/>
              <w:left w:val="nil"/>
              <w:bottom w:val="single" w:color="auto" w:sz="4" w:space="0"/>
              <w:right w:val="single" w:color="auto" w:sz="4" w:space="0"/>
            </w:tcBorders>
            <w:vAlign w:val="center"/>
          </w:tcPr>
          <w:p w14:paraId="1C1755EE">
            <w:pPr>
              <w:pageBreakBefore w:val="0"/>
              <w:wordWrap/>
              <w:bidi w:val="0"/>
              <w:jc w:val="center"/>
              <w:outlineLvl w:val="9"/>
              <w:rPr>
                <w:rFonts w:ascii="宋体" w:hAnsi="宋体" w:cs="宋体"/>
                <w:sz w:val="18"/>
                <w:szCs w:val="18"/>
              </w:rPr>
            </w:pPr>
            <w:r>
              <w:rPr>
                <w:rFonts w:hint="eastAsia" w:ascii="宋体" w:hAnsi="宋体" w:cs="宋体"/>
                <w:sz w:val="18"/>
                <w:szCs w:val="18"/>
              </w:rPr>
              <w:t>布格重力异常总精度</w:t>
            </w:r>
          </w:p>
        </w:tc>
        <w:tc>
          <w:tcPr>
            <w:tcW w:w="1399" w:type="dxa"/>
            <w:vMerge w:val="restart"/>
            <w:tcBorders>
              <w:top w:val="single" w:color="auto" w:sz="12" w:space="0"/>
              <w:left w:val="single" w:color="auto" w:sz="4" w:space="0"/>
              <w:bottom w:val="single" w:color="auto" w:sz="4" w:space="0"/>
              <w:right w:val="single" w:color="auto" w:sz="4" w:space="0"/>
            </w:tcBorders>
            <w:vAlign w:val="center"/>
          </w:tcPr>
          <w:p w14:paraId="4FD99B90">
            <w:pPr>
              <w:pageBreakBefore w:val="0"/>
              <w:wordWrap/>
              <w:bidi w:val="0"/>
              <w:jc w:val="center"/>
              <w:outlineLvl w:val="9"/>
              <w:rPr>
                <w:rFonts w:ascii="宋体" w:hAnsi="宋体" w:cs="宋体"/>
                <w:sz w:val="18"/>
                <w:szCs w:val="18"/>
              </w:rPr>
            </w:pPr>
            <w:r>
              <w:rPr>
                <w:rFonts w:hint="eastAsia" w:ascii="宋体" w:hAnsi="宋体" w:cs="宋体"/>
                <w:sz w:val="18"/>
                <w:szCs w:val="18"/>
              </w:rPr>
              <w:t>测点重力观测均方误差</w:t>
            </w:r>
          </w:p>
        </w:tc>
        <w:tc>
          <w:tcPr>
            <w:tcW w:w="1426" w:type="dxa"/>
            <w:vMerge w:val="restart"/>
            <w:tcBorders>
              <w:top w:val="single" w:color="auto" w:sz="12" w:space="0"/>
              <w:left w:val="single" w:color="auto" w:sz="4" w:space="0"/>
              <w:bottom w:val="single" w:color="auto" w:sz="4" w:space="0"/>
              <w:right w:val="single" w:color="auto" w:sz="4" w:space="0"/>
            </w:tcBorders>
            <w:vAlign w:val="center"/>
          </w:tcPr>
          <w:p w14:paraId="599FDB11">
            <w:pPr>
              <w:pageBreakBefore w:val="0"/>
              <w:wordWrap/>
              <w:bidi w:val="0"/>
              <w:jc w:val="center"/>
              <w:outlineLvl w:val="9"/>
              <w:rPr>
                <w:rFonts w:ascii="宋体" w:hAnsi="宋体" w:cs="宋体"/>
                <w:sz w:val="18"/>
                <w:szCs w:val="18"/>
              </w:rPr>
            </w:pPr>
            <w:r>
              <w:rPr>
                <w:rFonts w:hint="eastAsia" w:ascii="宋体" w:hAnsi="宋体" w:cs="宋体"/>
                <w:sz w:val="18"/>
                <w:szCs w:val="18"/>
              </w:rPr>
              <w:t>布格改正均方误差</w:t>
            </w:r>
          </w:p>
        </w:tc>
        <w:tc>
          <w:tcPr>
            <w:tcW w:w="3458" w:type="dxa"/>
            <w:gridSpan w:val="3"/>
            <w:tcBorders>
              <w:top w:val="single" w:color="auto" w:sz="12" w:space="0"/>
              <w:left w:val="single" w:color="auto" w:sz="4" w:space="0"/>
              <w:bottom w:val="single" w:color="auto" w:sz="4" w:space="0"/>
              <w:right w:val="single" w:color="auto" w:sz="4" w:space="0"/>
            </w:tcBorders>
            <w:vAlign w:val="center"/>
          </w:tcPr>
          <w:p w14:paraId="39D26065">
            <w:pPr>
              <w:pageBreakBefore w:val="0"/>
              <w:wordWrap/>
              <w:bidi w:val="0"/>
              <w:jc w:val="center"/>
              <w:outlineLvl w:val="9"/>
              <w:rPr>
                <w:rFonts w:ascii="宋体" w:hAnsi="宋体" w:cs="宋体"/>
                <w:sz w:val="18"/>
                <w:szCs w:val="18"/>
              </w:rPr>
            </w:pPr>
            <w:r>
              <w:rPr>
                <w:rFonts w:hint="eastAsia" w:ascii="宋体" w:hAnsi="宋体" w:cs="宋体"/>
                <w:sz w:val="18"/>
                <w:szCs w:val="18"/>
              </w:rPr>
              <w:t>地形改正均方误差</w:t>
            </w:r>
          </w:p>
        </w:tc>
        <w:tc>
          <w:tcPr>
            <w:tcW w:w="1381" w:type="dxa"/>
            <w:vMerge w:val="restart"/>
            <w:tcBorders>
              <w:top w:val="single" w:color="auto" w:sz="12" w:space="0"/>
              <w:left w:val="single" w:color="auto" w:sz="4" w:space="0"/>
              <w:bottom w:val="single" w:color="auto" w:sz="4" w:space="0"/>
              <w:right w:val="nil"/>
            </w:tcBorders>
            <w:vAlign w:val="center"/>
          </w:tcPr>
          <w:p w14:paraId="35BFA28C">
            <w:pPr>
              <w:pageBreakBefore w:val="0"/>
              <w:wordWrap/>
              <w:bidi w:val="0"/>
              <w:jc w:val="center"/>
              <w:outlineLvl w:val="9"/>
              <w:rPr>
                <w:rFonts w:ascii="宋体" w:hAnsi="宋体" w:cs="宋体"/>
                <w:sz w:val="18"/>
                <w:szCs w:val="18"/>
              </w:rPr>
            </w:pPr>
            <w:r>
              <w:rPr>
                <w:rFonts w:hint="eastAsia" w:ascii="宋体" w:hAnsi="宋体" w:cs="宋体"/>
                <w:sz w:val="18"/>
                <w:szCs w:val="18"/>
              </w:rPr>
              <w:t>正常场改正均方误差</w:t>
            </w:r>
          </w:p>
        </w:tc>
      </w:tr>
      <w:tr w14:paraId="3A5C51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tcBorders>
              <w:top w:val="single" w:color="auto" w:sz="12" w:space="0"/>
              <w:left w:val="nil"/>
              <w:bottom w:val="single" w:color="auto" w:sz="4" w:space="0"/>
              <w:right w:val="single" w:color="auto" w:sz="4" w:space="0"/>
            </w:tcBorders>
            <w:vAlign w:val="center"/>
          </w:tcPr>
          <w:p w14:paraId="25586643">
            <w:pPr>
              <w:pageBreakBefore w:val="0"/>
              <w:widowControl/>
              <w:wordWrap/>
              <w:bidi w:val="0"/>
              <w:jc w:val="left"/>
              <w:outlineLvl w:val="9"/>
              <w:rPr>
                <w:rFonts w:ascii="宋体" w:hAnsi="宋体" w:cs="宋体"/>
                <w:sz w:val="18"/>
                <w:szCs w:val="18"/>
              </w:rPr>
            </w:pPr>
          </w:p>
        </w:tc>
        <w:tc>
          <w:tcPr>
            <w:tcW w:w="1399" w:type="dxa"/>
            <w:vMerge w:val="continue"/>
            <w:tcBorders>
              <w:top w:val="single" w:color="auto" w:sz="12" w:space="0"/>
              <w:left w:val="single" w:color="auto" w:sz="4" w:space="0"/>
              <w:bottom w:val="single" w:color="auto" w:sz="4" w:space="0"/>
              <w:right w:val="single" w:color="auto" w:sz="4" w:space="0"/>
            </w:tcBorders>
            <w:vAlign w:val="center"/>
          </w:tcPr>
          <w:p w14:paraId="52988B74">
            <w:pPr>
              <w:pageBreakBefore w:val="0"/>
              <w:widowControl/>
              <w:wordWrap/>
              <w:bidi w:val="0"/>
              <w:jc w:val="left"/>
              <w:outlineLvl w:val="9"/>
              <w:rPr>
                <w:rFonts w:ascii="宋体" w:hAnsi="宋体" w:cs="宋体"/>
                <w:sz w:val="18"/>
                <w:szCs w:val="18"/>
              </w:rPr>
            </w:pPr>
          </w:p>
        </w:tc>
        <w:tc>
          <w:tcPr>
            <w:tcW w:w="1426" w:type="dxa"/>
            <w:vMerge w:val="continue"/>
            <w:tcBorders>
              <w:top w:val="single" w:color="auto" w:sz="12" w:space="0"/>
              <w:left w:val="single" w:color="auto" w:sz="4" w:space="0"/>
              <w:bottom w:val="single" w:color="auto" w:sz="4" w:space="0"/>
              <w:right w:val="single" w:color="auto" w:sz="4" w:space="0"/>
            </w:tcBorders>
            <w:vAlign w:val="center"/>
          </w:tcPr>
          <w:p w14:paraId="31EF40AD">
            <w:pPr>
              <w:pageBreakBefore w:val="0"/>
              <w:widowControl/>
              <w:wordWrap/>
              <w:bidi w:val="0"/>
              <w:jc w:val="left"/>
              <w:outlineLvl w:val="9"/>
              <w:rPr>
                <w:rFonts w:ascii="宋体" w:hAnsi="宋体" w:cs="宋体"/>
                <w:sz w:val="18"/>
                <w:szCs w:val="18"/>
              </w:rPr>
            </w:pPr>
          </w:p>
        </w:tc>
        <w:tc>
          <w:tcPr>
            <w:tcW w:w="1089" w:type="dxa"/>
            <w:tcBorders>
              <w:top w:val="single" w:color="auto" w:sz="4" w:space="0"/>
              <w:left w:val="single" w:color="auto" w:sz="4" w:space="0"/>
              <w:bottom w:val="single" w:color="auto" w:sz="4" w:space="0"/>
              <w:right w:val="single" w:color="auto" w:sz="4" w:space="0"/>
            </w:tcBorders>
            <w:vAlign w:val="center"/>
          </w:tcPr>
          <w:p w14:paraId="0BA839BF">
            <w:pPr>
              <w:pageBreakBefore w:val="0"/>
              <w:wordWrap/>
              <w:bidi w:val="0"/>
              <w:jc w:val="center"/>
              <w:outlineLvl w:val="9"/>
              <w:rPr>
                <w:rFonts w:ascii="宋体" w:hAnsi="宋体" w:cs="宋体"/>
                <w:sz w:val="18"/>
                <w:szCs w:val="18"/>
              </w:rPr>
            </w:pPr>
            <w:r>
              <w:rPr>
                <w:rFonts w:hint="eastAsia" w:ascii="宋体" w:hAnsi="宋体" w:cs="宋体"/>
                <w:sz w:val="18"/>
                <w:szCs w:val="18"/>
              </w:rPr>
              <w:t>近区地改</w:t>
            </w:r>
          </w:p>
        </w:tc>
        <w:tc>
          <w:tcPr>
            <w:tcW w:w="1244" w:type="dxa"/>
            <w:tcBorders>
              <w:top w:val="single" w:color="auto" w:sz="4" w:space="0"/>
              <w:left w:val="single" w:color="auto" w:sz="4" w:space="0"/>
              <w:bottom w:val="single" w:color="auto" w:sz="4" w:space="0"/>
              <w:right w:val="single" w:color="auto" w:sz="4" w:space="0"/>
            </w:tcBorders>
            <w:vAlign w:val="center"/>
          </w:tcPr>
          <w:p w14:paraId="0D1D8AD4">
            <w:pPr>
              <w:pageBreakBefore w:val="0"/>
              <w:wordWrap/>
              <w:bidi w:val="0"/>
              <w:jc w:val="center"/>
              <w:outlineLvl w:val="9"/>
              <w:rPr>
                <w:rFonts w:ascii="宋体" w:hAnsi="宋体" w:cs="宋体"/>
                <w:sz w:val="18"/>
                <w:szCs w:val="18"/>
              </w:rPr>
            </w:pPr>
            <w:r>
              <w:rPr>
                <w:rFonts w:hint="eastAsia" w:ascii="宋体" w:hAnsi="宋体" w:cs="宋体"/>
                <w:sz w:val="18"/>
                <w:szCs w:val="18"/>
              </w:rPr>
              <w:t>中区地改</w:t>
            </w:r>
          </w:p>
        </w:tc>
        <w:tc>
          <w:tcPr>
            <w:tcW w:w="1125" w:type="dxa"/>
            <w:tcBorders>
              <w:top w:val="single" w:color="auto" w:sz="4" w:space="0"/>
              <w:left w:val="single" w:color="auto" w:sz="4" w:space="0"/>
              <w:bottom w:val="single" w:color="auto" w:sz="4" w:space="0"/>
              <w:right w:val="single" w:color="auto" w:sz="4" w:space="0"/>
            </w:tcBorders>
            <w:vAlign w:val="center"/>
          </w:tcPr>
          <w:p w14:paraId="5BD5485B">
            <w:pPr>
              <w:pageBreakBefore w:val="0"/>
              <w:wordWrap/>
              <w:bidi w:val="0"/>
              <w:jc w:val="center"/>
              <w:outlineLvl w:val="9"/>
              <w:rPr>
                <w:rFonts w:ascii="宋体" w:hAnsi="宋体" w:cs="宋体"/>
                <w:sz w:val="18"/>
                <w:szCs w:val="18"/>
              </w:rPr>
            </w:pPr>
            <w:r>
              <w:rPr>
                <w:rFonts w:hint="eastAsia" w:ascii="宋体" w:hAnsi="宋体" w:cs="宋体"/>
                <w:sz w:val="18"/>
                <w:szCs w:val="18"/>
              </w:rPr>
              <w:t>远区地改</w:t>
            </w:r>
          </w:p>
        </w:tc>
        <w:tc>
          <w:tcPr>
            <w:tcW w:w="1381" w:type="dxa"/>
            <w:vMerge w:val="continue"/>
            <w:tcBorders>
              <w:top w:val="single" w:color="auto" w:sz="12" w:space="0"/>
              <w:left w:val="single" w:color="auto" w:sz="4" w:space="0"/>
              <w:bottom w:val="single" w:color="auto" w:sz="4" w:space="0"/>
              <w:right w:val="nil"/>
            </w:tcBorders>
            <w:vAlign w:val="center"/>
          </w:tcPr>
          <w:p w14:paraId="11915BF6">
            <w:pPr>
              <w:pageBreakBefore w:val="0"/>
              <w:widowControl/>
              <w:wordWrap/>
              <w:bidi w:val="0"/>
              <w:jc w:val="left"/>
              <w:outlineLvl w:val="9"/>
              <w:rPr>
                <w:rFonts w:ascii="宋体" w:hAnsi="宋体" w:cs="宋体"/>
                <w:sz w:val="18"/>
                <w:szCs w:val="18"/>
              </w:rPr>
            </w:pPr>
          </w:p>
        </w:tc>
      </w:tr>
      <w:tr w14:paraId="5FA91A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tcBorders>
              <w:top w:val="single" w:color="auto" w:sz="4" w:space="0"/>
              <w:left w:val="nil"/>
              <w:bottom w:val="single" w:color="auto" w:sz="12" w:space="0"/>
              <w:right w:val="single" w:color="auto" w:sz="4" w:space="0"/>
            </w:tcBorders>
            <w:vAlign w:val="center"/>
          </w:tcPr>
          <w:p w14:paraId="352EA892">
            <w:pPr>
              <w:pageBreakBefore w:val="0"/>
              <w:wordWrap/>
              <w:bidi w:val="0"/>
              <w:jc w:val="center"/>
              <w:outlineLvl w:val="9"/>
              <w:rPr>
                <w:rFonts w:ascii="宋体" w:hAnsi="宋体" w:cs="宋体"/>
                <w:sz w:val="18"/>
                <w:szCs w:val="18"/>
              </w:rPr>
            </w:pPr>
            <w:r>
              <w:rPr>
                <w:rFonts w:hint="eastAsia" w:ascii="宋体" w:hAnsi="宋体" w:cs="宋体"/>
                <w:sz w:val="18"/>
                <w:szCs w:val="18"/>
              </w:rPr>
              <w:t>±0.100</w:t>
            </w:r>
          </w:p>
        </w:tc>
        <w:tc>
          <w:tcPr>
            <w:tcW w:w="1399" w:type="dxa"/>
            <w:tcBorders>
              <w:top w:val="single" w:color="auto" w:sz="4" w:space="0"/>
              <w:left w:val="single" w:color="auto" w:sz="4" w:space="0"/>
              <w:bottom w:val="single" w:color="auto" w:sz="12" w:space="0"/>
              <w:right w:val="single" w:color="auto" w:sz="4" w:space="0"/>
            </w:tcBorders>
            <w:vAlign w:val="center"/>
          </w:tcPr>
          <w:p w14:paraId="354D1DD3">
            <w:pPr>
              <w:pageBreakBefore w:val="0"/>
              <w:wordWrap/>
              <w:bidi w:val="0"/>
              <w:jc w:val="center"/>
              <w:outlineLvl w:val="9"/>
              <w:rPr>
                <w:rFonts w:ascii="宋体" w:hAnsi="宋体" w:cs="宋体"/>
                <w:sz w:val="18"/>
                <w:szCs w:val="18"/>
              </w:rPr>
            </w:pPr>
            <w:r>
              <w:rPr>
                <w:rFonts w:hint="eastAsia" w:ascii="宋体" w:hAnsi="宋体" w:cs="宋体"/>
                <w:sz w:val="18"/>
                <w:szCs w:val="18"/>
              </w:rPr>
              <w:t>±0.030</w:t>
            </w:r>
          </w:p>
        </w:tc>
        <w:tc>
          <w:tcPr>
            <w:tcW w:w="1426" w:type="dxa"/>
            <w:tcBorders>
              <w:top w:val="single" w:color="auto" w:sz="4" w:space="0"/>
              <w:left w:val="single" w:color="auto" w:sz="4" w:space="0"/>
              <w:bottom w:val="single" w:color="auto" w:sz="12" w:space="0"/>
              <w:right w:val="single" w:color="auto" w:sz="4" w:space="0"/>
            </w:tcBorders>
            <w:vAlign w:val="center"/>
          </w:tcPr>
          <w:p w14:paraId="729F0D4A">
            <w:pPr>
              <w:pageBreakBefore w:val="0"/>
              <w:wordWrap/>
              <w:bidi w:val="0"/>
              <w:jc w:val="center"/>
              <w:outlineLvl w:val="9"/>
              <w:rPr>
                <w:rFonts w:ascii="宋体" w:hAnsi="宋体" w:cs="宋体"/>
                <w:sz w:val="18"/>
                <w:szCs w:val="18"/>
              </w:rPr>
            </w:pPr>
            <w:r>
              <w:rPr>
                <w:rFonts w:hint="eastAsia" w:ascii="宋体" w:hAnsi="宋体" w:cs="宋体"/>
                <w:sz w:val="18"/>
                <w:szCs w:val="18"/>
              </w:rPr>
              <w:t>0.045</w:t>
            </w:r>
          </w:p>
        </w:tc>
        <w:tc>
          <w:tcPr>
            <w:tcW w:w="1089" w:type="dxa"/>
            <w:tcBorders>
              <w:top w:val="single" w:color="auto" w:sz="4" w:space="0"/>
              <w:left w:val="single" w:color="auto" w:sz="4" w:space="0"/>
              <w:bottom w:val="single" w:color="auto" w:sz="12" w:space="0"/>
              <w:right w:val="single" w:color="auto" w:sz="4" w:space="0"/>
            </w:tcBorders>
            <w:vAlign w:val="center"/>
          </w:tcPr>
          <w:p w14:paraId="05BC54ED">
            <w:pPr>
              <w:pageBreakBefore w:val="0"/>
              <w:wordWrap/>
              <w:bidi w:val="0"/>
              <w:jc w:val="center"/>
              <w:outlineLvl w:val="9"/>
              <w:rPr>
                <w:rFonts w:ascii="宋体" w:hAnsi="宋体" w:cs="宋体"/>
                <w:sz w:val="18"/>
                <w:szCs w:val="18"/>
              </w:rPr>
            </w:pPr>
            <w:r>
              <w:rPr>
                <w:rFonts w:hint="eastAsia" w:ascii="宋体" w:hAnsi="宋体" w:cs="宋体"/>
                <w:sz w:val="18"/>
                <w:szCs w:val="18"/>
              </w:rPr>
              <w:t>±0.025</w:t>
            </w:r>
          </w:p>
        </w:tc>
        <w:tc>
          <w:tcPr>
            <w:tcW w:w="1244" w:type="dxa"/>
            <w:tcBorders>
              <w:top w:val="single" w:color="auto" w:sz="4" w:space="0"/>
              <w:left w:val="single" w:color="auto" w:sz="4" w:space="0"/>
              <w:bottom w:val="single" w:color="auto" w:sz="12" w:space="0"/>
              <w:right w:val="single" w:color="auto" w:sz="4" w:space="0"/>
            </w:tcBorders>
            <w:vAlign w:val="center"/>
          </w:tcPr>
          <w:p w14:paraId="4B97D073">
            <w:pPr>
              <w:pageBreakBefore w:val="0"/>
              <w:wordWrap/>
              <w:bidi w:val="0"/>
              <w:jc w:val="center"/>
              <w:outlineLvl w:val="9"/>
              <w:rPr>
                <w:rFonts w:ascii="宋体" w:hAnsi="宋体" w:cs="宋体"/>
                <w:sz w:val="18"/>
                <w:szCs w:val="18"/>
              </w:rPr>
            </w:pPr>
            <w:r>
              <w:rPr>
                <w:rFonts w:hint="eastAsia" w:ascii="宋体" w:hAnsi="宋体" w:cs="宋体"/>
                <w:sz w:val="18"/>
                <w:szCs w:val="18"/>
              </w:rPr>
              <w:t>±0.060</w:t>
            </w:r>
          </w:p>
        </w:tc>
        <w:tc>
          <w:tcPr>
            <w:tcW w:w="1125" w:type="dxa"/>
            <w:tcBorders>
              <w:top w:val="single" w:color="auto" w:sz="4" w:space="0"/>
              <w:left w:val="single" w:color="auto" w:sz="4" w:space="0"/>
              <w:bottom w:val="single" w:color="auto" w:sz="12" w:space="0"/>
              <w:right w:val="single" w:color="auto" w:sz="4" w:space="0"/>
            </w:tcBorders>
            <w:vAlign w:val="center"/>
          </w:tcPr>
          <w:p w14:paraId="3B098C71">
            <w:pPr>
              <w:pageBreakBefore w:val="0"/>
              <w:wordWrap/>
              <w:bidi w:val="0"/>
              <w:jc w:val="center"/>
              <w:outlineLvl w:val="9"/>
              <w:rPr>
                <w:rFonts w:ascii="宋体" w:hAnsi="宋体" w:cs="宋体"/>
                <w:sz w:val="18"/>
                <w:szCs w:val="18"/>
              </w:rPr>
            </w:pPr>
            <w:r>
              <w:rPr>
                <w:rFonts w:hint="eastAsia" w:ascii="宋体" w:hAnsi="宋体" w:cs="宋体"/>
                <w:sz w:val="18"/>
                <w:szCs w:val="18"/>
              </w:rPr>
              <w:t>0.045</w:t>
            </w:r>
          </w:p>
        </w:tc>
        <w:tc>
          <w:tcPr>
            <w:tcW w:w="1381" w:type="dxa"/>
            <w:tcBorders>
              <w:top w:val="single" w:color="auto" w:sz="4" w:space="0"/>
              <w:left w:val="single" w:color="auto" w:sz="4" w:space="0"/>
              <w:bottom w:val="single" w:color="auto" w:sz="12" w:space="0"/>
              <w:right w:val="nil"/>
            </w:tcBorders>
            <w:vAlign w:val="center"/>
          </w:tcPr>
          <w:p w14:paraId="2FB0EB42">
            <w:pPr>
              <w:pageBreakBefore w:val="0"/>
              <w:wordWrap/>
              <w:bidi w:val="0"/>
              <w:jc w:val="center"/>
              <w:outlineLvl w:val="9"/>
              <w:rPr>
                <w:rFonts w:ascii="宋体" w:hAnsi="宋体" w:cs="宋体"/>
                <w:sz w:val="18"/>
                <w:szCs w:val="18"/>
              </w:rPr>
            </w:pPr>
            <w:r>
              <w:rPr>
                <w:rFonts w:hint="eastAsia" w:ascii="宋体" w:hAnsi="宋体" w:cs="宋体"/>
                <w:sz w:val="18"/>
                <w:szCs w:val="18"/>
              </w:rPr>
              <w:t>±0.003</w:t>
            </w:r>
          </w:p>
        </w:tc>
      </w:tr>
    </w:tbl>
    <w:p w14:paraId="651E8A40">
      <w:pPr>
        <w:pageBreakBefore w:val="0"/>
        <w:wordWrap/>
        <w:bidi w:val="0"/>
        <w:snapToGrid w:val="0"/>
        <w:spacing w:line="360" w:lineRule="auto"/>
        <w:ind w:firstLine="200" w:firstLineChars="200"/>
        <w:outlineLvl w:val="9"/>
        <w:rPr>
          <w:rFonts w:ascii="仿宋_GB2312" w:hAnsi="宋体" w:eastAsia="仿宋_GB2312" w:cs="宋体"/>
          <w:sz w:val="10"/>
          <w:szCs w:val="10"/>
        </w:rPr>
      </w:pPr>
    </w:p>
    <w:p w14:paraId="5AF636FC">
      <w:pPr>
        <w:pageBreakBefore w:val="0"/>
        <w:wordWrap/>
        <w:bidi w:val="0"/>
        <w:snapToGrid w:val="0"/>
        <w:spacing w:line="360" w:lineRule="auto"/>
        <w:ind w:firstLine="560" w:firstLineChars="200"/>
        <w:outlineLvl w:val="9"/>
        <w:rPr>
          <w:rFonts w:ascii="仿宋_GB2312" w:hAnsi="仿宋_GB2312" w:eastAsia="仿宋_GB2312" w:cs="仿宋_GB2312"/>
          <w:b/>
          <w:sz w:val="28"/>
          <w:szCs w:val="28"/>
        </w:rPr>
      </w:pPr>
      <w:r>
        <w:rPr>
          <w:rFonts w:hint="eastAsia" w:ascii="仿宋_GB2312" w:hAnsi="仿宋_GB2312" w:eastAsia="仿宋_GB2312" w:cs="仿宋_GB2312"/>
          <w:sz w:val="28"/>
          <w:szCs w:val="28"/>
        </w:rPr>
        <w:t>其它未尽事宜参照按照《大比例尺重力勘查规范》DZ/T 0171—2017执行。</w:t>
      </w:r>
    </w:p>
    <w:p w14:paraId="391C814B">
      <w:pPr>
        <w:pageBreakBefore w:val="0"/>
        <w:wordWrap/>
        <w:bidi w:val="0"/>
        <w:spacing w:line="360" w:lineRule="auto"/>
        <w:ind w:firstLine="480" w:firstLineChars="200"/>
        <w:outlineLvl w:val="9"/>
        <w:rPr>
          <w:rFonts w:ascii="仿宋" w:hAnsi="仿宋" w:eastAsia="仿宋" w:cs="仿宋"/>
          <w:sz w:val="24"/>
          <w:szCs w:val="24"/>
        </w:rPr>
      </w:pPr>
    </w:p>
    <w:p w14:paraId="6D022AED">
      <w:pPr>
        <w:pageBreakBefore w:val="0"/>
        <w:wordWrap/>
        <w:bidi w:val="0"/>
        <w:outlineLvl w:val="9"/>
        <w:rPr>
          <w:rFonts w:ascii="仿宋" w:hAnsi="仿宋" w:eastAsia="仿宋" w:cs="仿宋"/>
          <w:b/>
          <w:bCs/>
          <w:sz w:val="24"/>
          <w:szCs w:val="24"/>
        </w:rPr>
      </w:pPr>
    </w:p>
    <w:p w14:paraId="51273FE8">
      <w:pPr>
        <w:rPr>
          <w:rFonts w:hint="eastAsia" w:ascii="仿宋" w:hAnsi="仿宋" w:eastAsia="仿宋" w:cs="仿宋"/>
          <w:b/>
          <w:bCs/>
          <w:sz w:val="24"/>
          <w:szCs w:val="24"/>
        </w:rPr>
      </w:pPr>
      <w:r>
        <w:rPr>
          <w:rFonts w:hint="eastAsia" w:ascii="仿宋" w:hAnsi="仿宋" w:eastAsia="仿宋" w:cs="仿宋"/>
          <w:b/>
          <w:bCs/>
          <w:sz w:val="24"/>
          <w:szCs w:val="24"/>
        </w:rPr>
        <w:br w:type="page"/>
      </w:r>
    </w:p>
    <w:p w14:paraId="7F04A314">
      <w:pPr>
        <w:keepNext/>
        <w:keepLines w:val="0"/>
        <w:pageBreakBefore w:val="0"/>
        <w:widowControl/>
        <w:kinsoku/>
        <w:wordWrap/>
        <w:overflowPunct/>
        <w:topLinePunct w:val="0"/>
        <w:autoSpaceDE/>
        <w:autoSpaceDN/>
        <w:bidi w:val="0"/>
        <w:adjustRightInd/>
        <w:snapToGrid/>
        <w:spacing w:line="480" w:lineRule="auto"/>
        <w:jc w:val="center"/>
        <w:textAlignment w:val="auto"/>
        <w:outlineLvl w:val="1"/>
        <w:rPr>
          <w:rFonts w:ascii="仿宋" w:hAnsi="仿宋" w:eastAsia="仿宋" w:cs="仿宋"/>
          <w:b/>
          <w:bCs/>
          <w:sz w:val="24"/>
          <w:szCs w:val="24"/>
        </w:rPr>
      </w:pPr>
      <w:r>
        <w:rPr>
          <w:rFonts w:hint="eastAsia" w:ascii="仿宋" w:hAnsi="仿宋" w:eastAsia="仿宋" w:cs="仿宋"/>
          <w:b/>
          <w:bCs/>
          <w:sz w:val="24"/>
          <w:szCs w:val="24"/>
          <w:lang w:val="en-US" w:eastAsia="zh-CN"/>
        </w:rPr>
        <w:t>⑦、</w:t>
      </w:r>
      <w:r>
        <w:rPr>
          <w:rFonts w:hint="eastAsia" w:ascii="仿宋" w:hAnsi="仿宋" w:eastAsia="仿宋" w:cs="仿宋"/>
          <w:b/>
          <w:bCs/>
          <w:sz w:val="24"/>
          <w:szCs w:val="24"/>
        </w:rPr>
        <w:t>新疆吐鲁番市高昌区黑云山铜多金属矿调查评价</w:t>
      </w:r>
    </w:p>
    <w:p w14:paraId="2ACCD0D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outlineLvl w:val="9"/>
        <w:rPr>
          <w:rFonts w:hint="eastAsia" w:ascii="仿宋" w:hAnsi="仿宋" w:eastAsia="仿宋" w:cs="仿宋"/>
          <w:b/>
          <w:bCs/>
          <w:sz w:val="24"/>
          <w:szCs w:val="24"/>
        </w:rPr>
      </w:pPr>
      <w:r>
        <w:rPr>
          <w:rFonts w:hint="eastAsia" w:ascii="仿宋" w:hAnsi="仿宋" w:eastAsia="仿宋" w:cs="仿宋"/>
          <w:b/>
          <w:bCs/>
          <w:sz w:val="24"/>
          <w:szCs w:val="24"/>
        </w:rPr>
        <w:t>一、服务内容：</w:t>
      </w:r>
    </w:p>
    <w:p w14:paraId="288A31A0">
      <w:pPr>
        <w:keepNext w:val="0"/>
        <w:keepLines w:val="0"/>
        <w:pageBreakBefore w:val="0"/>
        <w:widowControl w:val="0"/>
        <w:kinsoku/>
        <w:wordWrap/>
        <w:overflowPunct/>
        <w:topLinePunct w:val="0"/>
        <w:autoSpaceDE/>
        <w:autoSpaceDN/>
        <w:bidi w:val="0"/>
        <w:adjustRightInd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工作区位于吐哈盆地西南缘，行政区划隶属吐鲁番市高昌区。距吐鲁番市高昌区方向直距约110千米处，距托克逊县方向直距约115千米；从工作区至吐鲁番市高昌区、托克逊县均有简易公路相通，交通便利。总体地势特征为南高北低，东西低中间高，地形略有起伏；最低海拔761米，最高海拔1044米。相对高差较小，一般相对高差小于150米，局部283米，属低山丘陵地貌，丘陵山系走向为北西西向。工作区所在的吐鲁番地区，属于东天山地震带的一部分，南面紧临南天山地震带，这两个地震带都是新疆的主要强震活动区。</w:t>
      </w:r>
    </w:p>
    <w:p w14:paraId="099C5EC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outlineLvl w:val="9"/>
        <w:rPr>
          <w:rFonts w:hint="eastAsia" w:ascii="仿宋" w:hAnsi="仿宋" w:eastAsia="仿宋" w:cs="仿宋"/>
          <w:sz w:val="24"/>
          <w:szCs w:val="24"/>
        </w:rPr>
      </w:pPr>
      <w:r>
        <w:rPr>
          <w:rFonts w:hint="eastAsia" w:ascii="仿宋" w:hAnsi="仿宋" w:eastAsia="仿宋" w:cs="仿宋"/>
          <w:b/>
          <w:bCs/>
          <w:sz w:val="24"/>
          <w:szCs w:val="24"/>
        </w:rPr>
        <w:t>二、工作量：</w:t>
      </w:r>
      <w:r>
        <w:rPr>
          <w:rFonts w:hint="eastAsia" w:ascii="仿宋" w:hAnsi="仿宋" w:eastAsia="仿宋" w:cs="仿宋"/>
          <w:sz w:val="24"/>
          <w:szCs w:val="24"/>
        </w:rPr>
        <w:t>1∶1万激电剖面测量20千米；1∶1万磁法剖面测量20千米；激电测深40点。</w:t>
      </w:r>
    </w:p>
    <w:p w14:paraId="66D8B137">
      <w:pPr>
        <w:keepNext w:val="0"/>
        <w:keepLines w:val="0"/>
        <w:pageBreakBefore w:val="0"/>
        <w:widowControl w:val="0"/>
        <w:kinsoku/>
        <w:wordWrap/>
        <w:overflowPunct/>
        <w:topLinePunct w:val="0"/>
        <w:autoSpaceDE/>
        <w:autoSpaceDN/>
        <w:bidi w:val="0"/>
        <w:spacing w:line="360" w:lineRule="auto"/>
        <w:ind w:firstLine="482" w:firstLineChars="200"/>
        <w:outlineLvl w:val="9"/>
        <w:rPr>
          <w:rFonts w:hint="eastAsia" w:ascii="仿宋" w:hAnsi="仿宋" w:eastAsia="仿宋" w:cs="仿宋"/>
          <w:b/>
          <w:bCs/>
          <w:sz w:val="24"/>
          <w:szCs w:val="24"/>
        </w:rPr>
      </w:pPr>
      <w:r>
        <w:rPr>
          <w:rFonts w:hint="eastAsia" w:ascii="仿宋" w:hAnsi="仿宋" w:eastAsia="仿宋" w:cs="仿宋"/>
          <w:b/>
          <w:bCs/>
          <w:sz w:val="24"/>
          <w:szCs w:val="24"/>
        </w:rPr>
        <w:t>三、技术方法</w:t>
      </w:r>
    </w:p>
    <w:p w14:paraId="42DA1990">
      <w:pPr>
        <w:keepNext w:val="0"/>
        <w:keepLines w:val="0"/>
        <w:pageBreakBefore w:val="0"/>
        <w:widowControl w:val="0"/>
        <w:kinsoku/>
        <w:wordWrap/>
        <w:overflowPunct/>
        <w:topLinePunct w:val="0"/>
        <w:autoSpaceDE/>
        <w:autoSpaceDN/>
        <w:bidi w:val="0"/>
        <w:spacing w:line="360" w:lineRule="auto"/>
        <w:ind w:firstLine="482" w:firstLineChars="200"/>
        <w:outlineLvl w:val="9"/>
        <w:rPr>
          <w:rFonts w:hint="eastAsia" w:ascii="仿宋" w:hAnsi="仿宋" w:eastAsia="仿宋" w:cs="仿宋"/>
          <w:b/>
          <w:bCs/>
          <w:sz w:val="24"/>
          <w:szCs w:val="24"/>
        </w:rPr>
      </w:pPr>
      <w:r>
        <w:rPr>
          <w:rFonts w:hint="eastAsia" w:ascii="仿宋" w:hAnsi="仿宋" w:eastAsia="仿宋" w:cs="仿宋"/>
          <w:b/>
          <w:bCs/>
          <w:sz w:val="24"/>
          <w:szCs w:val="24"/>
        </w:rPr>
        <w:t>1、物探工作</w:t>
      </w:r>
    </w:p>
    <w:p w14:paraId="16EBBA8E">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baseline"/>
        <w:outlineLvl w:val="9"/>
        <w:rPr>
          <w:rFonts w:hint="eastAsia" w:ascii="仿宋" w:hAnsi="仿宋" w:eastAsia="仿宋" w:cs="仿宋"/>
          <w:sz w:val="24"/>
          <w:szCs w:val="24"/>
        </w:rPr>
      </w:pPr>
      <w:r>
        <w:rPr>
          <w:rFonts w:hint="eastAsia" w:ascii="仿宋" w:hAnsi="仿宋" w:eastAsia="仿宋" w:cs="仿宋"/>
          <w:bCs w:val="0"/>
          <w:kern w:val="2"/>
          <w:sz w:val="24"/>
          <w:szCs w:val="24"/>
        </w:rPr>
        <w:t>本次物探工作主要有1∶1万磁法剖面、1∶1万激电中梯剖面测量及激电测深，主要对筛选出的化探异常及矿化区的矿产重点检查，配合大比例尺地质草测、1∶1万地化剖面及探矿工程评价等工作来开展，拟部署在黑云山铜多金属矿点、黑云山北金多金属矿点及外围套合Cu、Au异常的矿化蚀变带中(附图3)，1∶1万磁法剖面、1∶1万激电中梯剖面测量应尽量垂直于蚀变带及异常的走向、地质构造方向，尽可能与已有地化剖面或主勘查线重合，提高异常解释水平和成果有效性。部署目的：一是直接发现金属硫化物蚀变或低阻高极化异常带，总结矿致激电异常标志；二是推测深部矿(化)体产状、顶底板埋深，为布设钻探验证提供参考依据。</w:t>
      </w:r>
    </w:p>
    <w:p w14:paraId="68B472C4">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1∶1万磁法剖面测量</w:t>
      </w:r>
    </w:p>
    <w:p w14:paraId="7EFE5AB0">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1∶1万磁法剖面测量主要目的是解剖异常，寻找异常源，了解矿化蚀变与构造的关系，为后期工作的布置提供地质依据。</w:t>
      </w:r>
    </w:p>
    <w:p w14:paraId="61B77867">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具体工作要求为：剖面布设与1∶1万激电中梯剖面重叠，总体按40米点距布设，异常中心查证点距加密至20米。异常区要保证3～5条1∶1万磁测剖面进行控制，磁测剖面要求贯穿化探异常或矿化蚀变带，剖面数量应控制矿致异常体走向长度为宜；背景场区适当放稀，剖面通过异常或矿化蚀变带后进入正常场结束，保证3～5个测点进入正常场；测点距应保证测线上至少有3个连续测点能在既定工作精度上反映异常。测区范围必须保证磁测成果轮廓完整，周围有一定面积的正常场背景。当相邻两测点读数相差较大时，或当有值得注意的地质现象时，需加密观测点；当相邻测线的异常特征明显不一致时，需加密测线；当测区边缘发现可能有意义的异常或值得注意的地质现象时，需追踪观测。采用分式方式编号，分子代表点号，分母代表线号，由南向北，由西向东，从小号到大号编号。点线号实地用红油漆在木桩上标注，全区统一。</w:t>
      </w:r>
    </w:p>
    <w:p w14:paraId="40D16A4E">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4.1∶1万激电中梯剖面测量及激电测深</w:t>
      </w:r>
    </w:p>
    <w:p w14:paraId="3ACB5E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目的是对已知的异常、矿化蚀变带进行解剖，寻找深部硫化物型金、铜、铅、锌等多金属矿产。剖面布设以控制矿化蚀变带及化探异常为原则，垂直地质体布置，剖面长度以控制目标地质体的宽度为原则，剖面间距根据矿化蚀变带及化探异常实际规模可适当调整。</w:t>
      </w:r>
    </w:p>
    <w:p w14:paraId="4C725220">
      <w:pPr>
        <w:keepNext w:val="0"/>
        <w:keepLines w:val="0"/>
        <w:pageBreakBefore w:val="0"/>
        <w:widowControl w:val="0"/>
        <w:kinsoku/>
        <w:wordWrap/>
        <w:overflowPunct/>
        <w:topLinePunct w:val="0"/>
        <w:autoSpaceDE/>
        <w:autoSpaceDN/>
        <w:bidi w:val="0"/>
        <w:snapToGrid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(1)测地工作</w:t>
      </w:r>
    </w:p>
    <w:p w14:paraId="37801CF1">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物探剖面的布设采用作应采用全球卫星导航定位系统</w:t>
      </w:r>
      <w:r>
        <w:rPr>
          <w:rFonts w:hint="eastAsia" w:ascii="仿宋" w:hAnsi="仿宋" w:eastAsia="仿宋" w:cs="仿宋"/>
          <w:sz w:val="24"/>
          <w:szCs w:val="24"/>
          <w:lang w:eastAsia="zh-CN"/>
        </w:rPr>
        <w:t>（</w:t>
      </w:r>
      <w:r>
        <w:rPr>
          <w:rFonts w:hint="eastAsia" w:ascii="仿宋" w:hAnsi="仿宋" w:eastAsia="仿宋" w:cs="仿宋"/>
          <w:sz w:val="24"/>
          <w:szCs w:val="24"/>
        </w:rPr>
        <w:t>GNSS</w:t>
      </w:r>
      <w:r>
        <w:rPr>
          <w:rFonts w:hint="eastAsia" w:ascii="仿宋" w:hAnsi="仿宋" w:eastAsia="仿宋" w:cs="仿宋"/>
          <w:sz w:val="24"/>
          <w:szCs w:val="24"/>
          <w:lang w:eastAsia="zh-CN"/>
        </w:rPr>
        <w:t>）</w:t>
      </w:r>
      <w:r>
        <w:rPr>
          <w:rFonts w:hint="eastAsia" w:ascii="仿宋" w:hAnsi="仿宋" w:eastAsia="仿宋" w:cs="仿宋"/>
          <w:sz w:val="24"/>
          <w:szCs w:val="24"/>
        </w:rPr>
        <w:t>仪器、全站仪或其他满足点位精度和相应的测地技术标准要求的方法进行测点</w:t>
      </w:r>
      <w:r>
        <w:rPr>
          <w:rFonts w:hint="eastAsia" w:ascii="仿宋" w:hAnsi="仿宋" w:eastAsia="仿宋" w:cs="仿宋"/>
          <w:sz w:val="24"/>
          <w:szCs w:val="24"/>
          <w:lang w:val="en-US" w:eastAsia="zh-CN"/>
        </w:rPr>
        <w:t>三</w:t>
      </w:r>
      <w:r>
        <w:rPr>
          <w:rFonts w:hint="eastAsia" w:ascii="仿宋" w:hAnsi="仿宋" w:eastAsia="仿宋" w:cs="仿宋"/>
          <w:sz w:val="24"/>
          <w:szCs w:val="24"/>
        </w:rPr>
        <w:t>维坐标测量，有条件采用连续运行参考站系统</w:t>
      </w:r>
      <w:r>
        <w:rPr>
          <w:rFonts w:hint="eastAsia" w:ascii="仿宋" w:hAnsi="仿宋" w:eastAsia="仿宋" w:cs="仿宋"/>
          <w:sz w:val="24"/>
          <w:szCs w:val="24"/>
          <w:lang w:eastAsia="zh-CN"/>
        </w:rPr>
        <w:t>（</w:t>
      </w:r>
      <w:r>
        <w:rPr>
          <w:rFonts w:hint="eastAsia" w:ascii="仿宋" w:hAnsi="仿宋" w:eastAsia="仿宋" w:cs="仿宋"/>
          <w:sz w:val="24"/>
          <w:szCs w:val="24"/>
        </w:rPr>
        <w:t>CORS</w:t>
      </w:r>
      <w:r>
        <w:rPr>
          <w:rFonts w:hint="eastAsia" w:ascii="仿宋" w:hAnsi="仿宋" w:eastAsia="仿宋" w:cs="仿宋"/>
          <w:sz w:val="24"/>
          <w:szCs w:val="24"/>
          <w:lang w:eastAsia="zh-CN"/>
        </w:rPr>
        <w:t>）</w:t>
      </w:r>
      <w:r>
        <w:rPr>
          <w:rFonts w:hint="eastAsia" w:ascii="仿宋" w:hAnsi="仿宋" w:eastAsia="仿宋" w:cs="仿宋"/>
          <w:sz w:val="24"/>
          <w:szCs w:val="24"/>
        </w:rPr>
        <w:t>作站测量的地区，宜优先采用</w:t>
      </w:r>
      <w:r>
        <w:rPr>
          <w:rFonts w:hint="eastAsia" w:ascii="仿宋" w:hAnsi="仿宋" w:eastAsia="仿宋" w:cs="仿宋"/>
          <w:sz w:val="24"/>
          <w:szCs w:val="24"/>
          <w:lang w:eastAsia="zh-CN"/>
        </w:rPr>
        <w:t>（</w:t>
      </w:r>
      <w:r>
        <w:rPr>
          <w:rFonts w:hint="eastAsia" w:ascii="仿宋" w:hAnsi="仿宋" w:eastAsia="仿宋" w:cs="仿宋"/>
          <w:sz w:val="24"/>
          <w:szCs w:val="24"/>
        </w:rPr>
        <w:t>CORS</w:t>
      </w:r>
      <w:r>
        <w:rPr>
          <w:rFonts w:hint="eastAsia" w:ascii="仿宋" w:hAnsi="仿宋" w:eastAsia="仿宋" w:cs="仿宋"/>
          <w:sz w:val="24"/>
          <w:szCs w:val="24"/>
          <w:lang w:eastAsia="zh-CN"/>
        </w:rPr>
        <w:t>）</w:t>
      </w:r>
      <w:r>
        <w:rPr>
          <w:rFonts w:hint="eastAsia" w:ascii="仿宋" w:hAnsi="仿宋" w:eastAsia="仿宋" w:cs="仿宋"/>
          <w:sz w:val="24"/>
          <w:szCs w:val="24"/>
        </w:rPr>
        <w:t>工作站技术。</w:t>
      </w:r>
    </w:p>
    <w:p w14:paraId="24845DA1">
      <w:pPr>
        <w:keepNext w:val="0"/>
        <w:keepLines w:val="0"/>
        <w:pageBreakBefore w:val="0"/>
        <w:widowControl w:val="0"/>
        <w:kinsoku/>
        <w:wordWrap/>
        <w:overflowPunct/>
        <w:topLinePunct w:val="0"/>
        <w:autoSpaceDE/>
        <w:autoSpaceDN/>
        <w:bidi w:val="0"/>
        <w:snapToGrid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(2)激电工作</w:t>
      </w:r>
    </w:p>
    <w:p w14:paraId="00F60E4E">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激电测量仪器，采用重庆奔腾数控技术研究所生产的WDFZ-2型大功率智能发射机和与之配套的WDJS-1型直流数字激电接收机。仪器于开工前及完工后均要进行校验，发射机供电电流较验采用高精度数字万用表进行，要求各档位供电电流相对误差不大于10%；采用DJ米-1型激电模拟器对接收机进行仪器校验，要求一次位(Vｐ)相对误差小于1%，极化率相对误差不超过±2%。野外正式生产前及完工后，对投入生产使用的二台接收机要进行仪器一致性测定。测定方式：于已知的矿(化)体地段或异常地段选择20个以上的测点，二台接收机在相同条件下做往返观测，要求二台仪器的ηα均方相对误差不超过±4%。</w:t>
      </w:r>
    </w:p>
    <w:p w14:paraId="4C333341">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采用中梯装置，AB=1200米，</w:t>
      </w:r>
      <w:r>
        <w:rPr>
          <w:rFonts w:hint="eastAsia" w:ascii="仿宋" w:hAnsi="仿宋" w:eastAsia="仿宋" w:cs="仿宋"/>
          <w:sz w:val="24"/>
          <w:szCs w:val="24"/>
          <w:lang w:val="en-US" w:eastAsia="zh-CN"/>
        </w:rPr>
        <w:t>M</w:t>
      </w:r>
      <w:r>
        <w:rPr>
          <w:rFonts w:hint="eastAsia" w:ascii="仿宋" w:hAnsi="仿宋" w:eastAsia="仿宋" w:cs="仿宋"/>
          <w:sz w:val="24"/>
          <w:szCs w:val="24"/>
        </w:rPr>
        <w:t>N=40米，点距=20～40米，供电周期为8秒，供电节拍2秒，延返时间200毫秒，二次场第一子样采样宽度为40毫秒，叠加次数为2次。野外工作过程中，要尽量改善A、B接地条件，以获得足够大的稳定的供电电流以保证观测质量，野外观测过程中对于出现的突变点、畸变点、异常点(幅度ηα≥1.5%)以及一次位(Vｐ)＜3ｍV的测点均要及时进行重复观测。工作过程中，对于相邻的供电AB排列要保证2个接头点，且对每个供电AB排列，均要进行漏电检查，漏检电阻要求大于20米Ω。</w:t>
      </w:r>
    </w:p>
    <w:p w14:paraId="15FB734E">
      <w:pPr>
        <w:keepNext w:val="0"/>
        <w:keepLines w:val="0"/>
        <w:pageBreakBefore w:val="0"/>
        <w:widowControl w:val="0"/>
        <w:tabs>
          <w:tab w:val="left" w:pos="3120"/>
        </w:tabs>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(3)激电测深工作</w:t>
      </w:r>
    </w:p>
    <w:p w14:paraId="64FB26A0">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目的任务：在1∶1万激电中梯剖面测量工作基础上，择优选择矿化蚀变较好、有利于开展进一步找矿工作的矿点，为了解矿(化)体的大致形态，根据蚀变带或矿体规模，每条测深断面至少应布置5个测深点，且异常两边的正常场上至少保证一个测点，按20～80米的点距布设激电测深点，共设计工作量40点。</w:t>
      </w:r>
    </w:p>
    <w:p w14:paraId="2EC624FE">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采用对称四极装置，AB/MN＝8，其技术参数与剖面性工作相同。</w:t>
      </w:r>
    </w:p>
    <w:p w14:paraId="203E5CE6">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质量评述：野外工作过程中，评定工作质量的主要标准就是进行系统质量检查工作。质检工作遵循“一同三不同(同点位、不同日期、不同仪器、不同操作员)的原则，剖面性工作要求在全区时间上、平面上基本分布均匀，主要分布于异常地段，同时也兼顾正常场，质检工作量要占总工作量的10%以上，精度按B级精度要求。激电测深质检工作量不低于10%，且要检查该测深点的全部极距点，精度按A级精度要求。</w:t>
      </w:r>
    </w:p>
    <w:p w14:paraId="2E301CF8">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其他未尽事宜参照《时间域激发极化法技术规定》(DZ/T 0070-2016)之相关技术要求执行。</w:t>
      </w:r>
    </w:p>
    <w:p w14:paraId="1DB6D4B3">
      <w:pPr>
        <w:keepNext w:val="0"/>
        <w:keepLines w:val="0"/>
        <w:pageBreakBefore w:val="0"/>
        <w:widowControl w:val="0"/>
        <w:tabs>
          <w:tab w:val="left" w:pos="3120"/>
        </w:tabs>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(4)物性测量</w:t>
      </w:r>
    </w:p>
    <w:p w14:paraId="38413591">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物性标本的采集：要求全区大致分布均匀，且主要岩性标本数不少于30块，规格10×</w:t>
      </w:r>
      <w:r>
        <w:rPr>
          <w:rFonts w:hint="eastAsia" w:ascii="仿宋" w:hAnsi="仿宋" w:eastAsia="仿宋" w:cs="仿宋"/>
          <w:sz w:val="24"/>
          <w:szCs w:val="24"/>
          <w:lang w:val="en-US" w:eastAsia="zh-CN"/>
        </w:rPr>
        <w:t>10</w:t>
      </w:r>
      <w:r>
        <w:rPr>
          <w:rFonts w:hint="eastAsia" w:ascii="仿宋" w:hAnsi="仿宋" w:eastAsia="仿宋" w:cs="仿宋"/>
          <w:sz w:val="24"/>
          <w:szCs w:val="24"/>
        </w:rPr>
        <w:t>×</w:t>
      </w:r>
      <w:r>
        <w:rPr>
          <w:rFonts w:hint="eastAsia" w:ascii="仿宋" w:hAnsi="仿宋" w:eastAsia="仿宋" w:cs="仿宋"/>
          <w:sz w:val="24"/>
          <w:szCs w:val="24"/>
          <w:lang w:val="en-US" w:eastAsia="zh-CN"/>
        </w:rPr>
        <w:t>10</w:t>
      </w:r>
      <w:r>
        <w:rPr>
          <w:rFonts w:hint="eastAsia" w:ascii="仿宋" w:hAnsi="仿宋" w:eastAsia="仿宋" w:cs="仿宋"/>
          <w:sz w:val="24"/>
          <w:szCs w:val="24"/>
        </w:rPr>
        <w:t>厘米。</w:t>
      </w:r>
    </w:p>
    <w:p w14:paraId="33703B4F">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电性参数的测定：野外可根据具体情况对有代表性的岩性进行适量的小四极露头参数(ηα、ρα)的测定，标本测定参数主要以极化率(η)为主，对规则的标本进行适量的电阻率(ρ)参数测定。</w:t>
      </w:r>
    </w:p>
    <w:p w14:paraId="4B947636">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质量评定：检查某一种岩性的全部标本，且达到标本总数的10%。</w:t>
      </w:r>
    </w:p>
    <w:p w14:paraId="65471E09">
      <w:pPr>
        <w:pageBreakBefore w:val="0"/>
        <w:wordWrap/>
        <w:bidi w:val="0"/>
        <w:adjustRightInd w:val="0"/>
        <w:snapToGrid w:val="0"/>
        <w:spacing w:line="360" w:lineRule="auto"/>
        <w:outlineLvl w:val="9"/>
        <w:rPr>
          <w:rFonts w:ascii="仿宋" w:hAnsi="仿宋" w:eastAsia="仿宋" w:cs="仿宋"/>
          <w:sz w:val="24"/>
          <w:szCs w:val="24"/>
        </w:rPr>
      </w:pPr>
    </w:p>
    <w:p w14:paraId="27ADE5EE">
      <w:pPr>
        <w:rPr>
          <w:rFonts w:hint="eastAsia" w:ascii="仿宋" w:hAnsi="仿宋" w:eastAsia="仿宋" w:cs="仿宋"/>
          <w:b/>
          <w:bCs/>
          <w:snapToGrid w:val="0"/>
          <w:kern w:val="0"/>
          <w:sz w:val="24"/>
          <w:szCs w:val="24"/>
        </w:rPr>
      </w:pPr>
      <w:r>
        <w:rPr>
          <w:rFonts w:hint="eastAsia" w:ascii="仿宋" w:hAnsi="仿宋" w:eastAsia="仿宋" w:cs="仿宋"/>
          <w:b/>
          <w:bCs/>
          <w:snapToGrid w:val="0"/>
          <w:kern w:val="0"/>
          <w:sz w:val="24"/>
          <w:szCs w:val="24"/>
        </w:rPr>
        <w:br w:type="page"/>
      </w:r>
    </w:p>
    <w:p w14:paraId="6FC813B3">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outlineLvl w:val="1"/>
        <w:rPr>
          <w:rFonts w:ascii="仿宋" w:hAnsi="仿宋" w:eastAsia="仿宋" w:cs="仿宋"/>
          <w:b/>
          <w:bCs/>
          <w:snapToGrid w:val="0"/>
          <w:kern w:val="0"/>
          <w:sz w:val="24"/>
          <w:szCs w:val="24"/>
        </w:rPr>
      </w:pPr>
      <w:r>
        <w:rPr>
          <w:rFonts w:hint="eastAsia" w:ascii="仿宋" w:hAnsi="仿宋" w:eastAsia="仿宋" w:cs="仿宋"/>
          <w:b/>
          <w:bCs/>
          <w:snapToGrid w:val="0"/>
          <w:kern w:val="0"/>
          <w:sz w:val="24"/>
          <w:szCs w:val="24"/>
          <w:lang w:val="en-US" w:eastAsia="zh-CN"/>
        </w:rPr>
        <w:t>⑧、</w:t>
      </w:r>
      <w:r>
        <w:rPr>
          <w:rFonts w:hint="eastAsia" w:ascii="仿宋" w:hAnsi="仿宋" w:eastAsia="仿宋" w:cs="仿宋"/>
          <w:b/>
          <w:bCs/>
          <w:snapToGrid w:val="0"/>
          <w:kern w:val="0"/>
          <w:sz w:val="24"/>
          <w:szCs w:val="24"/>
        </w:rPr>
        <w:t>新疆哈巴河县塔勒德铜矿外围铜多金属矿普查</w:t>
      </w:r>
    </w:p>
    <w:p w14:paraId="1CCF0F53">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仿宋" w:hAnsi="仿宋" w:eastAsia="仿宋" w:cs="仿宋"/>
          <w:b/>
          <w:bCs/>
          <w:snapToGrid w:val="0"/>
          <w:kern w:val="0"/>
          <w:sz w:val="24"/>
          <w:szCs w:val="24"/>
        </w:rPr>
      </w:pPr>
      <w:r>
        <w:rPr>
          <w:rFonts w:hint="eastAsia" w:ascii="仿宋" w:hAnsi="仿宋" w:eastAsia="仿宋" w:cs="仿宋"/>
          <w:b/>
          <w:bCs/>
          <w:snapToGrid w:val="0"/>
          <w:kern w:val="0"/>
          <w:sz w:val="24"/>
          <w:szCs w:val="24"/>
        </w:rPr>
        <w:t>一、服务内容：</w:t>
      </w:r>
    </w:p>
    <w:p w14:paraId="4010E368">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 w:val="24"/>
          <w:szCs w:val="24"/>
        </w:rPr>
      </w:pPr>
      <w:bookmarkStart w:id="471" w:name="_Toc422426333"/>
      <w:bookmarkStart w:id="472" w:name="_Toc490153230"/>
      <w:bookmarkStart w:id="473" w:name="_Toc421902304"/>
      <w:bookmarkStart w:id="474" w:name="_Toc451598675"/>
      <w:r>
        <w:rPr>
          <w:rFonts w:hint="eastAsia" w:ascii="仿宋" w:hAnsi="仿宋" w:eastAsia="仿宋" w:cs="仿宋"/>
          <w:sz w:val="24"/>
          <w:szCs w:val="24"/>
        </w:rPr>
        <w:t>普查区位于阿尔泰山脉南缘哈巴河县城北西约20千米，行政区划隶属哈巴河县管辖。</w:t>
      </w:r>
    </w:p>
    <w:p w14:paraId="4F9BB354">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区内交通较便利，自哈巴河县出发，沿S229省道向北约15千米至塔勒德岔路口有一公路从普查区西部穿过，普查区内部有多条乡间道路。区内通信条件较好，通讯网络已基本覆盖全区。工作所需生产和生活物质从县城拉运。</w:t>
      </w:r>
    </w:p>
    <w:bookmarkEnd w:id="471"/>
    <w:bookmarkEnd w:id="472"/>
    <w:bookmarkEnd w:id="473"/>
    <w:bookmarkEnd w:id="474"/>
    <w:p w14:paraId="4B7608E3">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普查区位于阿尔泰山脉西段南麓与额尔齐斯河谷平原过渡地带。海拔高度600～800米，属低山丘陵地貌区。地形切割弱，北东-南西向水系相对较发育，普查区外主要河流有哈巴河，河上建有水库。</w:t>
      </w:r>
    </w:p>
    <w:p w14:paraId="2B32B2CE">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该区属温带寒冷干旱气候区，年平均气温-4℃。冬季寒冷漫长，夏季短促炎热，春、秋季短暂过渡较快，气温年较差和日较差较大，光照充足，全年日照时数丰富。降水稀少，蒸发量大，年均降水量仅205.6毫米，而蒸发量很大。</w:t>
      </w:r>
    </w:p>
    <w:p w14:paraId="66B8A2CE">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仿宋" w:hAnsi="仿宋" w:eastAsia="仿宋" w:cs="仿宋"/>
          <w:b/>
          <w:bCs/>
          <w:snapToGrid w:val="0"/>
          <w:kern w:val="0"/>
          <w:sz w:val="24"/>
          <w:szCs w:val="24"/>
        </w:rPr>
      </w:pPr>
      <w:r>
        <w:rPr>
          <w:rFonts w:hint="eastAsia" w:ascii="仿宋" w:hAnsi="仿宋" w:eastAsia="仿宋" w:cs="仿宋"/>
          <w:b/>
          <w:bCs/>
          <w:snapToGrid w:val="0"/>
          <w:kern w:val="0"/>
          <w:sz w:val="24"/>
          <w:szCs w:val="24"/>
        </w:rPr>
        <w:t>二、</w:t>
      </w:r>
      <w:r>
        <w:rPr>
          <w:rFonts w:hint="eastAsia" w:ascii="仿宋" w:hAnsi="仿宋" w:eastAsia="仿宋" w:cs="仿宋"/>
          <w:b/>
          <w:sz w:val="24"/>
          <w:szCs w:val="24"/>
        </w:rPr>
        <w:t>1∶1万激电剖面20千米；1∶1万重力剖面20千米；1∶1万磁法剖面20千米；激电测深点80个。</w:t>
      </w:r>
    </w:p>
    <w:p w14:paraId="59D092E7">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仿宋" w:hAnsi="仿宋" w:eastAsia="仿宋" w:cs="仿宋"/>
          <w:b/>
          <w:bCs/>
          <w:snapToGrid w:val="0"/>
          <w:kern w:val="0"/>
          <w:sz w:val="24"/>
          <w:szCs w:val="24"/>
        </w:rPr>
      </w:pPr>
      <w:r>
        <w:rPr>
          <w:rFonts w:hint="eastAsia" w:ascii="仿宋" w:hAnsi="仿宋" w:eastAsia="仿宋" w:cs="仿宋"/>
          <w:b/>
          <w:bCs/>
          <w:snapToGrid w:val="0"/>
          <w:kern w:val="0"/>
          <w:sz w:val="24"/>
          <w:szCs w:val="24"/>
        </w:rPr>
        <w:t>三、技术要求</w:t>
      </w:r>
    </w:p>
    <w:p w14:paraId="7E94AD4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1．1∶1万磁法剖面测量</w:t>
      </w:r>
    </w:p>
    <w:p w14:paraId="220C59C3">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bookmarkStart w:id="475" w:name="_Toc420868001"/>
      <w:r>
        <w:rPr>
          <w:rFonts w:hint="eastAsia" w:ascii="仿宋" w:hAnsi="仿宋" w:eastAsia="仿宋" w:cs="仿宋"/>
          <w:sz w:val="24"/>
          <w:szCs w:val="24"/>
        </w:rPr>
        <w:t>共设计工作量20千米。</w:t>
      </w:r>
    </w:p>
    <w:p w14:paraId="752A1FEC">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(1)仪器及</w:t>
      </w:r>
      <w:bookmarkEnd w:id="475"/>
      <w:r>
        <w:rPr>
          <w:rFonts w:hint="eastAsia" w:ascii="仿宋" w:hAnsi="仿宋" w:eastAsia="仿宋" w:cs="仿宋"/>
          <w:sz w:val="24"/>
          <w:szCs w:val="24"/>
        </w:rPr>
        <w:t>性能试验</w:t>
      </w:r>
    </w:p>
    <w:p w14:paraId="0126AC9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磁测剖面工作使用高精度质子磁力仪，直接观测绝对地磁场值(T)。</w:t>
      </w:r>
    </w:p>
    <w:p w14:paraId="5F958AA4">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在工作区选择一个磁场相对平稳的地区，对参与工作的磁力仪进行仪器性能测定。计划在野外工作开始前、野外工作结束后对仪器进行仪器性能试验。磁力仪性能试验主要包括噪声试验、仪器观测误差、系统误差、仪器一致性测定等。对噪声不符合要求的仪器，有明显系统误差或观测均方误差不达标的仪器，尽快查明原因，重新进行调节和校验，若仍不达标，则不能参与野外作业。</w:t>
      </w:r>
    </w:p>
    <w:p w14:paraId="458C0F47">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(2)磁测日变站(基点)及校验点的选择</w:t>
      </w:r>
    </w:p>
    <w:p w14:paraId="78A2BEF1">
      <w:pPr>
        <w:pStyle w:val="7"/>
        <w:keepNext w:val="0"/>
        <w:keepLines w:val="0"/>
        <w:pageBreakBefore w:val="0"/>
        <w:kinsoku/>
        <w:wordWrap/>
        <w:overflowPunct/>
        <w:topLinePunct w:val="0"/>
        <w:autoSpaceDE/>
        <w:autoSpaceDN/>
        <w:bidi w:val="0"/>
        <w:snapToGrid w:val="0"/>
        <w:spacing w:line="360" w:lineRule="auto"/>
        <w:ind w:firstLine="480"/>
        <w:textAlignment w:val="auto"/>
        <w:outlineLvl w:val="9"/>
        <w:rPr>
          <w:rFonts w:hint="eastAsia" w:ascii="仿宋" w:hAnsi="仿宋" w:eastAsia="仿宋" w:cs="仿宋"/>
          <w:kern w:val="2"/>
          <w:sz w:val="24"/>
          <w:szCs w:val="24"/>
        </w:rPr>
      </w:pPr>
      <w:r>
        <w:rPr>
          <w:rFonts w:hint="eastAsia" w:ascii="仿宋" w:hAnsi="仿宋" w:eastAsia="仿宋" w:cs="仿宋"/>
          <w:kern w:val="2"/>
          <w:sz w:val="24"/>
          <w:szCs w:val="24"/>
        </w:rPr>
        <w:t>在需要进行磁法的工作区或异常查证区内，选择建立磁测基点、日变站及校验点。按照每个日变观测点控制半径小于50千米范围的原则设置日变站，通过日变改正，把测区的观测值归一化到同一时间。</w:t>
      </w:r>
    </w:p>
    <w:p w14:paraId="09609F63">
      <w:pPr>
        <w:pStyle w:val="7"/>
        <w:keepNext w:val="0"/>
        <w:keepLines w:val="0"/>
        <w:pageBreakBefore w:val="0"/>
        <w:kinsoku/>
        <w:wordWrap/>
        <w:overflowPunct/>
        <w:topLinePunct w:val="0"/>
        <w:autoSpaceDE/>
        <w:autoSpaceDN/>
        <w:bidi w:val="0"/>
        <w:snapToGrid w:val="0"/>
        <w:spacing w:line="360" w:lineRule="auto"/>
        <w:ind w:firstLine="480"/>
        <w:textAlignment w:val="auto"/>
        <w:outlineLvl w:val="9"/>
        <w:rPr>
          <w:rFonts w:hint="eastAsia" w:ascii="仿宋" w:hAnsi="仿宋" w:eastAsia="仿宋" w:cs="仿宋"/>
          <w:kern w:val="2"/>
          <w:sz w:val="24"/>
          <w:szCs w:val="24"/>
        </w:rPr>
      </w:pPr>
      <w:r>
        <w:rPr>
          <w:rFonts w:hint="eastAsia" w:ascii="仿宋" w:hAnsi="仿宋" w:eastAsia="仿宋" w:cs="仿宋"/>
          <w:kern w:val="2"/>
          <w:sz w:val="24"/>
          <w:szCs w:val="24"/>
        </w:rPr>
        <w:t>磁测日变站观测点布设要求位于正常场内，附近无磁性干扰物，磁场的水平梯度和垂直梯度变化较小，在半径2米、高差0.5米范围内其变化不超过1nT/m。</w:t>
      </w:r>
    </w:p>
    <w:p w14:paraId="201AAD84">
      <w:pPr>
        <w:pStyle w:val="7"/>
        <w:keepNext w:val="0"/>
        <w:keepLines w:val="0"/>
        <w:pageBreakBefore w:val="0"/>
        <w:kinsoku/>
        <w:wordWrap/>
        <w:overflowPunct/>
        <w:topLinePunct w:val="0"/>
        <w:autoSpaceDE/>
        <w:autoSpaceDN/>
        <w:bidi w:val="0"/>
        <w:snapToGrid w:val="0"/>
        <w:spacing w:line="360" w:lineRule="auto"/>
        <w:ind w:firstLine="480"/>
        <w:textAlignment w:val="auto"/>
        <w:outlineLvl w:val="9"/>
        <w:rPr>
          <w:rFonts w:hint="eastAsia" w:ascii="仿宋" w:hAnsi="仿宋" w:eastAsia="仿宋" w:cs="仿宋"/>
          <w:kern w:val="2"/>
          <w:sz w:val="24"/>
          <w:szCs w:val="24"/>
        </w:rPr>
      </w:pPr>
      <w:r>
        <w:rPr>
          <w:rFonts w:hint="eastAsia" w:ascii="仿宋" w:hAnsi="仿宋" w:eastAsia="仿宋" w:cs="仿宋"/>
          <w:kern w:val="2"/>
          <w:sz w:val="24"/>
          <w:szCs w:val="24"/>
        </w:rPr>
        <w:t>选择一个固定点做为每日工作开始及结束的校正点，该点要求布设于交通方便且位于正常场内，附近无磁性干扰物，磁场的水平梯度和垂直梯度变化较小的地方。</w:t>
      </w:r>
    </w:p>
    <w:p w14:paraId="06293CD2">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日变站(基点)T0值的测定：为准确求出基点、日变站的T0值，用质子磁力仪在基点、日变站上，选择夜间平稳时段做日变观测，读数间隔不大于20s。要选择地磁场变化平稳段，即2小时内地磁场平均值不超过2nT的时间段，求取</w:t>
      </w:r>
      <w:r>
        <w:rPr>
          <w:rFonts w:hint="eastAsia" w:ascii="仿宋" w:hAnsi="仿宋" w:eastAsia="仿宋" w:cs="仿宋"/>
          <w:sz w:val="24"/>
          <w:szCs w:val="24"/>
        </w:rPr>
        <w:object>
          <v:shape id="_x0000_i1224" o:spt="75" type="#_x0000_t75" style="height:14.25pt;width:12.75pt;" o:ole="t" filled="f" o:preferrelative="t" stroked="f" coordsize="21600,21600">
            <v:path/>
            <v:fill on="f" focussize="0,0"/>
            <v:stroke on="f" joinstyle="miter"/>
            <v:imagedata r:id="rId437" o:title=""/>
            <o:lock v:ext="edit" aspectratio="t"/>
            <w10:wrap type="none"/>
            <w10:anchorlock/>
          </v:shape>
          <o:OLEObject Type="Embed" ProgID="Equation.3" ShapeID="_x0000_i1224" DrawAspect="Content" ObjectID="_1468075924" r:id="rId436">
            <o:LockedField>false</o:LockedField>
          </o:OLEObject>
        </w:object>
      </w:r>
      <w:r>
        <w:rPr>
          <w:rFonts w:hint="eastAsia" w:ascii="仿宋" w:hAnsi="仿宋" w:eastAsia="仿宋" w:cs="仿宋"/>
          <w:sz w:val="24"/>
          <w:szCs w:val="24"/>
        </w:rPr>
        <w:t>的平均值</w:t>
      </w:r>
      <w:r>
        <w:rPr>
          <w:rFonts w:hint="eastAsia" w:ascii="仿宋" w:hAnsi="仿宋" w:eastAsia="仿宋" w:cs="仿宋"/>
          <w:sz w:val="24"/>
          <w:szCs w:val="24"/>
        </w:rPr>
        <w:object>
          <v:shape id="_x0000_i1225" o:spt="75" type="#_x0000_t75" style="height:18.75pt;width:11.25pt;" o:ole="t" filled="f" o:preferrelative="t" stroked="f" coordsize="21600,21600">
            <v:path/>
            <v:fill on="f" focussize="0,0"/>
            <v:stroke on="f" joinstyle="miter"/>
            <v:imagedata r:id="rId439" o:title=""/>
            <o:lock v:ext="edit" aspectratio="t"/>
            <w10:wrap type="none"/>
            <w10:anchorlock/>
          </v:shape>
          <o:OLEObject Type="Embed" ProgID="Equation.3" ShapeID="_x0000_i1225" DrawAspect="Content" ObjectID="_1468075925" r:id="rId438">
            <o:LockedField>false</o:LockedField>
          </o:OLEObject>
        </w:object>
      </w:r>
      <w:r>
        <w:rPr>
          <w:rFonts w:hint="eastAsia" w:ascii="仿宋" w:hAnsi="仿宋" w:eastAsia="仿宋" w:cs="仿宋"/>
          <w:sz w:val="24"/>
          <w:szCs w:val="24"/>
        </w:rPr>
        <w:t>，</w:t>
      </w:r>
      <w:r>
        <w:rPr>
          <w:rFonts w:hint="eastAsia" w:ascii="仿宋" w:hAnsi="仿宋" w:eastAsia="仿宋" w:cs="仿宋"/>
          <w:sz w:val="24"/>
          <w:szCs w:val="24"/>
        </w:rPr>
        <w:object>
          <v:shape id="_x0000_i1226" o:spt="75" type="#_x0000_t75" style="height:18.75pt;width:11.25pt;" o:ole="t" filled="f" o:preferrelative="t" stroked="f" coordsize="21600,21600">
            <v:path/>
            <v:fill on="f" focussize="0,0"/>
            <v:stroke on="f" joinstyle="miter"/>
            <v:imagedata r:id="rId441" o:title=""/>
            <o:lock v:ext="edit" aspectratio="t"/>
            <w10:wrap type="none"/>
            <w10:anchorlock/>
          </v:shape>
          <o:OLEObject Type="Embed" ProgID="Equation.3" ShapeID="_x0000_i1226" DrawAspect="Content" ObjectID="_1468075926" r:id="rId440">
            <o:LockedField>false</o:LockedField>
          </o:OLEObject>
        </w:object>
      </w:r>
      <w:r>
        <w:rPr>
          <w:rFonts w:hint="eastAsia" w:ascii="仿宋" w:hAnsi="仿宋" w:eastAsia="仿宋" w:cs="仿宋"/>
          <w:sz w:val="24"/>
          <w:szCs w:val="24"/>
        </w:rPr>
        <w:t>即为该处的</w:t>
      </w:r>
      <w:r>
        <w:rPr>
          <w:rFonts w:hint="eastAsia" w:ascii="仿宋" w:hAnsi="仿宋" w:eastAsia="仿宋" w:cs="仿宋"/>
          <w:sz w:val="24"/>
          <w:szCs w:val="24"/>
        </w:rPr>
        <w:object>
          <v:shape id="_x0000_i1227" o:spt="75" type="#_x0000_t75" style="height:18.75pt;width:12.75pt;" o:ole="t" filled="f" o:preferrelative="t" stroked="f" coordsize="21600,21600">
            <v:path/>
            <v:fill on="f" focussize="0,0"/>
            <v:stroke on="f" joinstyle="miter"/>
            <v:imagedata r:id="rId443" o:title=""/>
            <o:lock v:ext="edit" aspectratio="t"/>
            <w10:wrap type="none"/>
            <w10:anchorlock/>
          </v:shape>
          <o:OLEObject Type="Embed" ProgID="Equation.3" ShapeID="_x0000_i1227" DrawAspect="Content" ObjectID="_1468075927" r:id="rId442">
            <o:LockedField>false</o:LockedField>
          </o:OLEObject>
        </w:object>
      </w:r>
      <w:r>
        <w:rPr>
          <w:rFonts w:hint="eastAsia" w:ascii="仿宋" w:hAnsi="仿宋" w:eastAsia="仿宋" w:cs="仿宋"/>
          <w:sz w:val="24"/>
          <w:szCs w:val="24"/>
        </w:rPr>
        <w:t>值。</w:t>
      </w:r>
    </w:p>
    <w:p w14:paraId="538E63E7">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(3)日变观测</w:t>
      </w:r>
    </w:p>
    <w:p w14:paraId="13D6991D">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日变站的T0值一经确定后，不应变动，剖面工作日变周期一般选择20秒。在一个工作日内，日变观测应始于早校正点观测之前，终于晚校正点观测之后。</w:t>
      </w:r>
    </w:p>
    <w:p w14:paraId="0E991F01">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(4)测点观测</w:t>
      </w:r>
    </w:p>
    <w:p w14:paraId="0B1321C7">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每天开工前，应将日变仪器和野外观测仪器时间、日期调整秒级同步。测点使用高精度质子磁力仪测量总磁场强度T，严格按校正点－测点－校正点进行观测。观测人员应“去磁”，观测时按规定尽可能使探头上标注的N、S极南北向放置，并使探杆直立，尽可能保持探头的高度一致。每个闭合观测单元的观测，必须始于校正点，终于校正点。在校正点上前后两次读数经日变改正后的差值应小于两倍设计观测均方误差，如超差，查明原因后重做，当日此台班工作报废。观测中如遇事故，应回到事故前已完工测点作重复观测，必要时回到校正点，当仪器确认正常后方可继续工作。当观测中如遇有磁性干扰物(如高压电线、钻机、矿区、民房等)时，需移动点位，避开干扰，并备注说明。当观测中遇到磁暴或磁扰较大时应停止工作。当测点间磁场值读数相差较大时，应采取必要措施进行加密测量。</w:t>
      </w:r>
    </w:p>
    <w:p w14:paraId="357B897A">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(5)资料整理</w:t>
      </w:r>
    </w:p>
    <w:p w14:paraId="7DF88423">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野外当天原始数据应及时传入计算机，之后进行100%自检，100%互验，确保记录数据完整齐全，合格后保存原始观测文件。内业计算主要包括仪器噪声、仪器观测误差、系统误差、一致性精度计算、基点T0值计算、测点ΔT值计算、质量检查精度计算等。其中磁测值计算中要求基点、日变最小改正值0.1nT。并做正常场、高度、纬度改正。</w:t>
      </w:r>
    </w:p>
    <w:p w14:paraId="75C8935C">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(6)磁测工作精度指标及质量检查</w:t>
      </w:r>
    </w:p>
    <w:p w14:paraId="53788E3B">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磁测剖面工作的质量检查采用“一同三不同”的方式进行，即同点位、不同仪器、不同操作员、不同时间。检查按测线进行，要求分布均匀，检查点兼顾正常场区和异常区，剖面质检率要大于10%。本次1∶1万磁测剖面工作总均方误差均为±5.0nT，其精度指标要求见表4-1。</w:t>
      </w:r>
    </w:p>
    <w:p w14:paraId="06338C29">
      <w:pPr>
        <w:pStyle w:val="7"/>
        <w:keepNext w:val="0"/>
        <w:keepLines w:val="0"/>
        <w:pageBreakBefore w:val="0"/>
        <w:kinsoku/>
        <w:wordWrap/>
        <w:overflowPunct/>
        <w:topLinePunct w:val="0"/>
        <w:autoSpaceDE/>
        <w:autoSpaceDN/>
        <w:bidi w:val="0"/>
        <w:spacing w:line="360" w:lineRule="auto"/>
        <w:ind w:firstLine="480"/>
        <w:textAlignment w:val="auto"/>
        <w:outlineLvl w:val="9"/>
        <w:rPr>
          <w:rFonts w:hint="eastAsia" w:ascii="仿宋" w:hAnsi="仿宋" w:eastAsia="仿宋" w:cs="仿宋"/>
          <w:kern w:val="2"/>
          <w:sz w:val="24"/>
          <w:szCs w:val="24"/>
        </w:rPr>
      </w:pPr>
      <w:r>
        <w:rPr>
          <w:rFonts w:hint="eastAsia" w:ascii="仿宋" w:hAnsi="仿宋" w:eastAsia="仿宋" w:cs="仿宋"/>
          <w:kern w:val="2"/>
          <w:sz w:val="24"/>
          <w:szCs w:val="24"/>
        </w:rPr>
        <w:t>其它未尽事宜参照《地面高精度磁测技术规定》(DZ/T 0071-2025)执行。</w:t>
      </w:r>
    </w:p>
    <w:p w14:paraId="38A8A7E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2．1∶1万重力剖面测量</w:t>
      </w:r>
    </w:p>
    <w:p w14:paraId="46FEE810">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本次地面重力测量工作以中华人民共和国地质矿产行业标准DZ/T0171—2017《大比例尺重力勘查规范》为主要依据。共设计工作量20千米。</w:t>
      </w:r>
    </w:p>
    <w:p w14:paraId="35172621">
      <w:pPr>
        <w:pageBreakBefore w:val="0"/>
        <w:wordWrap/>
        <w:bidi w:val="0"/>
        <w:spacing w:line="360" w:lineRule="auto"/>
        <w:ind w:firstLine="422" w:firstLineChars="200"/>
        <w:jc w:val="left"/>
        <w:outlineLvl w:val="9"/>
        <w:rPr>
          <w:rFonts w:ascii="宋体" w:hAnsi="宋体"/>
          <w:b/>
          <w:bCs/>
          <w:color w:val="000000"/>
          <w:szCs w:val="21"/>
        </w:rPr>
      </w:pPr>
      <w:r>
        <w:rPr>
          <w:rFonts w:hint="eastAsia" w:ascii="宋体" w:hAnsi="宋体"/>
          <w:b/>
          <w:bCs/>
          <w:szCs w:val="21"/>
        </w:rPr>
        <w:t>表4-1</w:t>
      </w:r>
      <w:r>
        <w:rPr>
          <w:rFonts w:hint="eastAsia" w:ascii="宋体" w:hAnsi="宋体"/>
          <w:b/>
          <w:bCs/>
          <w:color w:val="FF0000"/>
          <w:szCs w:val="21"/>
        </w:rPr>
        <w:t xml:space="preserve"> </w:t>
      </w:r>
      <w:r>
        <w:rPr>
          <w:rFonts w:ascii="宋体" w:hAnsi="宋体"/>
          <w:b/>
          <w:bCs/>
          <w:color w:val="FF0000"/>
          <w:szCs w:val="21"/>
        </w:rPr>
        <w:t xml:space="preserve">                       </w:t>
      </w:r>
      <w:r>
        <w:rPr>
          <w:rFonts w:hint="eastAsia" w:ascii="宋体" w:hAnsi="宋体"/>
          <w:b/>
          <w:bCs/>
          <w:color w:val="000000"/>
          <w:szCs w:val="21"/>
        </w:rPr>
        <w:t xml:space="preserve"> </w:t>
      </w:r>
      <w:r>
        <w:rPr>
          <w:rFonts w:hint="eastAsia" w:ascii="宋体" w:hAnsi="宋体" w:cs="宋体"/>
          <w:b/>
          <w:bCs/>
          <w:color w:val="000000"/>
          <w:szCs w:val="21"/>
        </w:rPr>
        <w:t>磁测剖面</w:t>
      </w:r>
      <w:r>
        <w:rPr>
          <w:rFonts w:hint="eastAsia" w:ascii="宋体" w:hAnsi="宋体"/>
          <w:b/>
          <w:bCs/>
          <w:color w:val="000000"/>
          <w:szCs w:val="21"/>
        </w:rPr>
        <w:t>各项精度指标</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79"/>
        <w:gridCol w:w="1978"/>
        <w:gridCol w:w="1775"/>
        <w:gridCol w:w="1978"/>
        <w:gridCol w:w="1776"/>
      </w:tblGrid>
      <w:tr w14:paraId="223D5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958" w:type="pct"/>
            <w:vMerge w:val="restart"/>
            <w:vAlign w:val="center"/>
          </w:tcPr>
          <w:p w14:paraId="55BD856F">
            <w:pPr>
              <w:pageBreakBefore w:val="0"/>
              <w:tabs>
                <w:tab w:val="left" w:pos="5940"/>
              </w:tabs>
              <w:wordWrap/>
              <w:bidi w:val="0"/>
              <w:jc w:val="center"/>
              <w:outlineLvl w:val="9"/>
              <w:rPr>
                <w:rFonts w:ascii="宋体" w:hAnsi="宋体"/>
                <w:color w:val="000000"/>
                <w:sz w:val="18"/>
                <w:szCs w:val="18"/>
              </w:rPr>
            </w:pPr>
            <w:r>
              <w:rPr>
                <w:rFonts w:hint="eastAsia" w:ascii="宋体" w:hAnsi="宋体"/>
                <w:color w:val="000000"/>
                <w:sz w:val="18"/>
                <w:szCs w:val="18"/>
              </w:rPr>
              <w:t>磁测</w:t>
            </w:r>
          </w:p>
          <w:p w14:paraId="09538882">
            <w:pPr>
              <w:pageBreakBefore w:val="0"/>
              <w:tabs>
                <w:tab w:val="left" w:pos="5940"/>
              </w:tabs>
              <w:wordWrap/>
              <w:bidi w:val="0"/>
              <w:jc w:val="center"/>
              <w:outlineLvl w:val="9"/>
              <w:rPr>
                <w:rFonts w:ascii="宋体" w:hAnsi="宋体"/>
                <w:color w:val="000000"/>
                <w:sz w:val="18"/>
                <w:szCs w:val="18"/>
              </w:rPr>
            </w:pPr>
            <w:r>
              <w:rPr>
                <w:rFonts w:hint="eastAsia" w:ascii="宋体" w:hAnsi="宋体"/>
                <w:color w:val="000000"/>
                <w:sz w:val="18"/>
                <w:szCs w:val="18"/>
              </w:rPr>
              <w:t>总精度(nT)</w:t>
            </w:r>
          </w:p>
        </w:tc>
        <w:tc>
          <w:tcPr>
            <w:tcW w:w="4042" w:type="pct"/>
            <w:gridSpan w:val="4"/>
            <w:vAlign w:val="center"/>
          </w:tcPr>
          <w:p w14:paraId="57167D83">
            <w:pPr>
              <w:pageBreakBefore w:val="0"/>
              <w:tabs>
                <w:tab w:val="left" w:pos="5940"/>
              </w:tabs>
              <w:wordWrap/>
              <w:bidi w:val="0"/>
              <w:jc w:val="center"/>
              <w:outlineLvl w:val="9"/>
              <w:rPr>
                <w:rFonts w:ascii="宋体" w:hAnsi="宋体"/>
                <w:color w:val="000000"/>
                <w:sz w:val="18"/>
                <w:szCs w:val="18"/>
              </w:rPr>
            </w:pPr>
            <w:r>
              <w:rPr>
                <w:rFonts w:hint="eastAsia" w:ascii="宋体" w:hAnsi="宋体"/>
                <w:sz w:val="18"/>
                <w:szCs w:val="18"/>
              </w:rPr>
              <w:t>野外观测均方误差，nT</w:t>
            </w:r>
          </w:p>
        </w:tc>
      </w:tr>
      <w:tr w14:paraId="0DA4A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958" w:type="pct"/>
            <w:vMerge w:val="continue"/>
            <w:vAlign w:val="center"/>
          </w:tcPr>
          <w:p w14:paraId="42958960">
            <w:pPr>
              <w:pageBreakBefore w:val="0"/>
              <w:tabs>
                <w:tab w:val="left" w:pos="5940"/>
              </w:tabs>
              <w:wordWrap/>
              <w:bidi w:val="0"/>
              <w:jc w:val="center"/>
              <w:outlineLvl w:val="9"/>
              <w:rPr>
                <w:rFonts w:ascii="宋体" w:hAnsi="宋体"/>
                <w:color w:val="000000"/>
                <w:sz w:val="18"/>
                <w:szCs w:val="18"/>
              </w:rPr>
            </w:pPr>
          </w:p>
        </w:tc>
        <w:tc>
          <w:tcPr>
            <w:tcW w:w="1065" w:type="pct"/>
            <w:vAlign w:val="center"/>
          </w:tcPr>
          <w:p w14:paraId="18D8E398">
            <w:pPr>
              <w:pageBreakBefore w:val="0"/>
              <w:wordWrap/>
              <w:bidi w:val="0"/>
              <w:jc w:val="center"/>
              <w:outlineLvl w:val="9"/>
              <w:rPr>
                <w:rFonts w:ascii="宋体" w:hAnsi="宋体"/>
                <w:sz w:val="18"/>
                <w:szCs w:val="18"/>
              </w:rPr>
            </w:pPr>
            <w:r>
              <w:rPr>
                <w:rFonts w:hint="eastAsia" w:ascii="宋体" w:hAnsi="宋体"/>
                <w:sz w:val="18"/>
                <w:szCs w:val="18"/>
              </w:rPr>
              <w:t>操作及点位误差</w:t>
            </w:r>
          </w:p>
        </w:tc>
        <w:tc>
          <w:tcPr>
            <w:tcW w:w="956" w:type="pct"/>
            <w:vAlign w:val="center"/>
          </w:tcPr>
          <w:p w14:paraId="74D38D1E">
            <w:pPr>
              <w:pageBreakBefore w:val="0"/>
              <w:wordWrap/>
              <w:bidi w:val="0"/>
              <w:jc w:val="center"/>
              <w:outlineLvl w:val="9"/>
              <w:rPr>
                <w:rFonts w:ascii="宋体" w:hAnsi="宋体"/>
                <w:sz w:val="18"/>
                <w:szCs w:val="18"/>
              </w:rPr>
            </w:pPr>
            <w:r>
              <w:rPr>
                <w:rFonts w:hint="eastAsia" w:ascii="宋体" w:hAnsi="宋体"/>
                <w:sz w:val="18"/>
                <w:szCs w:val="18"/>
              </w:rPr>
              <w:t>仪器一致性误差</w:t>
            </w:r>
          </w:p>
        </w:tc>
        <w:tc>
          <w:tcPr>
            <w:tcW w:w="1065" w:type="pct"/>
            <w:vAlign w:val="center"/>
          </w:tcPr>
          <w:p w14:paraId="697704F3">
            <w:pPr>
              <w:pageBreakBefore w:val="0"/>
              <w:wordWrap/>
              <w:bidi w:val="0"/>
              <w:jc w:val="center"/>
              <w:outlineLvl w:val="9"/>
              <w:rPr>
                <w:rFonts w:ascii="宋体" w:hAnsi="宋体"/>
                <w:sz w:val="18"/>
                <w:szCs w:val="18"/>
              </w:rPr>
            </w:pPr>
            <w:r>
              <w:rPr>
                <w:rFonts w:hint="eastAsia" w:ascii="宋体" w:hAnsi="宋体"/>
                <w:sz w:val="18"/>
                <w:szCs w:val="18"/>
              </w:rPr>
              <w:t>仪器噪声误差</w:t>
            </w:r>
          </w:p>
        </w:tc>
        <w:tc>
          <w:tcPr>
            <w:tcW w:w="956" w:type="pct"/>
            <w:vAlign w:val="center"/>
          </w:tcPr>
          <w:p w14:paraId="6E48665E">
            <w:pPr>
              <w:pageBreakBefore w:val="0"/>
              <w:wordWrap/>
              <w:bidi w:val="0"/>
              <w:jc w:val="center"/>
              <w:outlineLvl w:val="9"/>
              <w:rPr>
                <w:rFonts w:ascii="宋体" w:hAnsi="宋体"/>
                <w:sz w:val="18"/>
                <w:szCs w:val="18"/>
              </w:rPr>
            </w:pPr>
            <w:r>
              <w:rPr>
                <w:rFonts w:hint="eastAsia" w:ascii="宋体" w:hAnsi="宋体"/>
                <w:sz w:val="18"/>
                <w:szCs w:val="18"/>
              </w:rPr>
              <w:t>日变改正误差</w:t>
            </w:r>
          </w:p>
        </w:tc>
      </w:tr>
      <w:tr w14:paraId="6A535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958" w:type="pct"/>
            <w:vAlign w:val="center"/>
          </w:tcPr>
          <w:p w14:paraId="71F998BE">
            <w:pPr>
              <w:pageBreakBefore w:val="0"/>
              <w:tabs>
                <w:tab w:val="left" w:pos="5940"/>
              </w:tabs>
              <w:wordWrap/>
              <w:bidi w:val="0"/>
              <w:jc w:val="center"/>
              <w:outlineLvl w:val="9"/>
              <w:rPr>
                <w:rFonts w:ascii="宋体" w:hAnsi="宋体"/>
                <w:color w:val="000000"/>
                <w:sz w:val="18"/>
                <w:szCs w:val="18"/>
              </w:rPr>
            </w:pPr>
            <w:r>
              <w:rPr>
                <w:rFonts w:hint="eastAsia" w:ascii="宋体" w:hAnsi="宋体"/>
                <w:color w:val="000000"/>
                <w:sz w:val="18"/>
                <w:szCs w:val="18"/>
              </w:rPr>
              <w:t>±5.0</w:t>
            </w:r>
          </w:p>
        </w:tc>
        <w:tc>
          <w:tcPr>
            <w:tcW w:w="1065" w:type="pct"/>
            <w:vAlign w:val="center"/>
          </w:tcPr>
          <w:p w14:paraId="5E5BC4B9">
            <w:pPr>
              <w:pageBreakBefore w:val="0"/>
              <w:tabs>
                <w:tab w:val="left" w:pos="5940"/>
              </w:tabs>
              <w:wordWrap/>
              <w:bidi w:val="0"/>
              <w:jc w:val="center"/>
              <w:outlineLvl w:val="9"/>
              <w:rPr>
                <w:rFonts w:ascii="宋体" w:hAnsi="宋体"/>
                <w:color w:val="000000"/>
                <w:sz w:val="18"/>
                <w:szCs w:val="18"/>
              </w:rPr>
            </w:pPr>
            <w:r>
              <w:rPr>
                <w:rFonts w:hint="eastAsia" w:ascii="宋体" w:hAnsi="宋体"/>
                <w:color w:val="000000"/>
                <w:sz w:val="18"/>
                <w:szCs w:val="18"/>
              </w:rPr>
              <w:t>±3.60</w:t>
            </w:r>
          </w:p>
        </w:tc>
        <w:tc>
          <w:tcPr>
            <w:tcW w:w="956" w:type="pct"/>
            <w:vAlign w:val="center"/>
          </w:tcPr>
          <w:p w14:paraId="185BA713">
            <w:pPr>
              <w:pageBreakBefore w:val="0"/>
              <w:tabs>
                <w:tab w:val="left" w:pos="5940"/>
              </w:tabs>
              <w:wordWrap/>
              <w:bidi w:val="0"/>
              <w:jc w:val="center"/>
              <w:outlineLvl w:val="9"/>
              <w:rPr>
                <w:rFonts w:ascii="宋体" w:hAnsi="宋体"/>
                <w:color w:val="000000"/>
                <w:sz w:val="18"/>
                <w:szCs w:val="18"/>
              </w:rPr>
            </w:pPr>
            <w:r>
              <w:rPr>
                <w:rFonts w:hint="eastAsia" w:ascii="宋体" w:hAnsi="宋体"/>
                <w:color w:val="000000"/>
                <w:sz w:val="18"/>
                <w:szCs w:val="18"/>
              </w:rPr>
              <w:t>±2.0</w:t>
            </w:r>
          </w:p>
        </w:tc>
        <w:tc>
          <w:tcPr>
            <w:tcW w:w="1065" w:type="pct"/>
            <w:vAlign w:val="center"/>
          </w:tcPr>
          <w:p w14:paraId="7042A4FD">
            <w:pPr>
              <w:pageBreakBefore w:val="0"/>
              <w:tabs>
                <w:tab w:val="left" w:pos="5940"/>
              </w:tabs>
              <w:wordWrap/>
              <w:bidi w:val="0"/>
              <w:jc w:val="center"/>
              <w:outlineLvl w:val="9"/>
              <w:rPr>
                <w:rFonts w:ascii="宋体" w:hAnsi="宋体"/>
                <w:color w:val="000000"/>
                <w:sz w:val="18"/>
                <w:szCs w:val="18"/>
              </w:rPr>
            </w:pPr>
            <w:r>
              <w:rPr>
                <w:rFonts w:hint="eastAsia" w:ascii="宋体" w:hAnsi="宋体"/>
                <w:color w:val="000000"/>
                <w:sz w:val="18"/>
                <w:szCs w:val="18"/>
              </w:rPr>
              <w:t>±2.0</w:t>
            </w:r>
          </w:p>
        </w:tc>
        <w:tc>
          <w:tcPr>
            <w:tcW w:w="956" w:type="pct"/>
            <w:vAlign w:val="center"/>
          </w:tcPr>
          <w:p w14:paraId="55E763CB">
            <w:pPr>
              <w:pageBreakBefore w:val="0"/>
              <w:tabs>
                <w:tab w:val="left" w:pos="5940"/>
              </w:tabs>
              <w:wordWrap/>
              <w:bidi w:val="0"/>
              <w:jc w:val="center"/>
              <w:outlineLvl w:val="9"/>
              <w:rPr>
                <w:rFonts w:ascii="宋体" w:hAnsi="宋体"/>
                <w:color w:val="000000"/>
                <w:sz w:val="18"/>
                <w:szCs w:val="18"/>
              </w:rPr>
            </w:pPr>
            <w:r>
              <w:rPr>
                <w:rFonts w:hint="eastAsia" w:ascii="宋体" w:hAnsi="宋体"/>
                <w:color w:val="000000"/>
                <w:sz w:val="18"/>
                <w:szCs w:val="18"/>
              </w:rPr>
              <w:t>±2.0</w:t>
            </w:r>
          </w:p>
        </w:tc>
      </w:tr>
    </w:tbl>
    <w:p w14:paraId="7D264E8C">
      <w:pPr>
        <w:pStyle w:val="7"/>
        <w:pageBreakBefore w:val="0"/>
        <w:wordWrap/>
        <w:bidi w:val="0"/>
        <w:spacing w:line="360" w:lineRule="auto"/>
        <w:ind w:firstLine="200"/>
        <w:outlineLvl w:val="9"/>
        <w:rPr>
          <w:rFonts w:ascii="宋体" w:hAnsi="宋体"/>
          <w:sz w:val="10"/>
          <w:szCs w:val="10"/>
        </w:rPr>
      </w:pPr>
    </w:p>
    <w:p w14:paraId="05821B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(1)仪器设备</w:t>
      </w:r>
    </w:p>
    <w:p w14:paraId="56C2DB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根据项目任务需要，充分考虑重力仪自身精度应满足测点重力观测均方误差的要求，本次重力测量工作选用自动读数石英弹簧型重力仪CG-5。</w:t>
      </w:r>
    </w:p>
    <w:p w14:paraId="68169D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(2)仪器校验</w:t>
      </w:r>
    </w:p>
    <w:p w14:paraId="0967AE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①仪器调节</w:t>
      </w:r>
    </w:p>
    <w:p w14:paraId="4D6364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a、在开工前和生产期间，应定期对投入生产的重力仪进行相应的检查与调节。</w:t>
      </w:r>
    </w:p>
    <w:p w14:paraId="6F8A4D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b、定期检查和调整CG-5型重力仪弹性系统的漂移校正，对漂移常量(DRIFT)进行必要的调整，保证在24小时之内仪器零点漂移值不超过设计精度均方误差的3倍值。</w:t>
      </w:r>
    </w:p>
    <w:p w14:paraId="2A9AC7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c、CG-5型重力仪的温度补偿、漂移改正、倾斜传感器零点和灵敏度的检查与调节每月进行一次。</w:t>
      </w:r>
    </w:p>
    <w:p w14:paraId="17D1EE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d、重力仪经长途搬运后，应及时对重力仪进行检查与调节。</w:t>
      </w:r>
    </w:p>
    <w:p w14:paraId="7CD030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②格值标定</w:t>
      </w:r>
    </w:p>
    <w:p w14:paraId="34C0A5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CG-5重力仪应在国家重力基本点标定场进行格值测定。</w:t>
      </w:r>
    </w:p>
    <w:p w14:paraId="72D291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③性能试验</w:t>
      </w:r>
    </w:p>
    <w:p w14:paraId="088115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所有重力仪在开工前应进行静态试验、动态试验和多台重力仪间的一致性试验，各项性能试验应在工作区(或工作区周边地段)完成。工作期间重力仪受剧烈碰撞，或工作期间发现其性能异常，经过中、大修后应重新进行各项性能试验，各项精度满足要求后方可投入生产。在外业数据采集工作结束后，应对重力仪进行动态试验和多台重力仪间一致性试验。</w:t>
      </w:r>
    </w:p>
    <w:p w14:paraId="626AD2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a、静态试验</w:t>
      </w:r>
    </w:p>
    <w:p w14:paraId="7AFBAF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选择环境温度变化较小、地基稳固、无振动干扰的试验场地。连续观测时间不少于24小时，CG-5型重力仪每5分钟～10分钟记录一次读数。</w:t>
      </w:r>
    </w:p>
    <w:p w14:paraId="49CC08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b、动态试验</w:t>
      </w:r>
    </w:p>
    <w:p w14:paraId="351BC3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分为两点动态试验和多点动态试验。重力仪性能试验应采用多点动态试验方法，并在工作区完成；开工前挑选重力仪可采用两点动态试验。</w:t>
      </w:r>
    </w:p>
    <w:p w14:paraId="76090B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两点动态试验：选择地基稳固、干扰较小的试验点，两点间重力段差不小于3×10-5m/s2；采用连续观测方式(观测方式：1→2→1→2→1→2……)，相邻两点间单程观测时间间隔不大于20分钟，试验时间不少于12小时。</w:t>
      </w:r>
    </w:p>
    <w:p w14:paraId="7169E1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多点动态试验：试验点距和路面状况应与工作区的实际地形情况类似，在工作区和周边地区选择18个以上试验点，选择地基稳固、干扰小、相邻两点间重力段差在0.5×10-5m/s2～5×10-5m/s2之间；以汽车或步行运输重力仪，采用双程往返观测方式(观测方式：1→2→3→n-1→n；n→n-l→3→2→1)进行；相邻两点间单程观测时间间隔不大于20分钟,试验时间不少于12小时。</w:t>
      </w:r>
    </w:p>
    <w:p w14:paraId="6F7880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c、多台仪器一致性试验</w:t>
      </w:r>
    </w:p>
    <w:p w14:paraId="6FBEDD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试验点数不少于15个(不包含基点)，点距和场地选择应与工作区的地形情况类似。选择某一点作为起始点，以汽车或步行运送重力仪，按照“起始点→试验点→……试验点→起始点”;观测方式进行观测，相邻两点间重力段差在0.5×10-5m/s2～5×10-5m/s2之间。</w:t>
      </w:r>
    </w:p>
    <w:p w14:paraId="62CA1D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d、性能试验资料整理</w:t>
      </w:r>
    </w:p>
    <w:p w14:paraId="65AEC2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静态试验观测结果经固体潮改正后，计算出各观测时刻的观测重力值，绘制出每台重力仪的静态观测曲线，并用线性回归计算出混合零点位移漂移。</w:t>
      </w:r>
    </w:p>
    <w:p w14:paraId="402549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多台重力仪的一致性均方误差不超过设计的测点重力观测均方误差。若超差可剔除偏离大的重力仪观测数据并重新统计精度或进行试验，满足要求的重力仪可投入生产，但剔除数据的重力仪禁止使用。</w:t>
      </w:r>
      <w:r>
        <w:rPr>
          <w:rFonts w:ascii="Calibri" w:hAnsi="Calibri" w:eastAsia="仿宋" w:cs="Calibri"/>
          <w:sz w:val="24"/>
          <w:szCs w:val="24"/>
        </w:rPr>
        <w:t> </w:t>
      </w:r>
    </w:p>
    <w:p w14:paraId="3E03F9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在多点动态试验均方误差满足项目技术要求的前提下，可利用多点动态试验观测数据统计多台重力仪间的一致性均方误差。</w:t>
      </w:r>
    </w:p>
    <w:p w14:paraId="5506FD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根据一致性试验观测结果，统计单台重力仪及多台重力仪间的一致性精度。</w:t>
      </w:r>
    </w:p>
    <w:p w14:paraId="2C1752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根据动态试验观测结果，求取段差或增量值、统计动态观测均方误差、绘制每台重力仪的动态试验曲线，对比分析各台重力仪动态试验曲线相互之间的偏离规律(特别是与平均值曲线之间的偏离)，识别出偏离大的重力仪，分析原因并判定是否满足要求。</w:t>
      </w:r>
    </w:p>
    <w:p w14:paraId="7C359E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e、重力仪闭合时间确定</w:t>
      </w:r>
    </w:p>
    <w:p w14:paraId="2B5FA5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根据静态观测曲线及线性回归直线，按照“最大混合零点位移漂移不大于3倍的测点重力观测均方误差”的要求，大致确定每台重力仪的最大闭合时间。</w:t>
      </w:r>
    </w:p>
    <w:p w14:paraId="168C26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也可根据动态观测曲线与静态试验回归直线，按照“最大偏差小于设计的测点重力观测均方误差”的要求，确定每台重力仪的闭合时间。</w:t>
      </w:r>
    </w:p>
    <w:p w14:paraId="10F4D2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f、绘制仪器性能曲线图</w:t>
      </w:r>
    </w:p>
    <w:p w14:paraId="31E135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静态观测曲线图：以时间为横坐标、重力值(以起始时刻重力值为相对零点)为纵坐标，绘制每台重力仪的静态观测曲线。</w:t>
      </w:r>
    </w:p>
    <w:p w14:paraId="096539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动态观测曲线图：以每个独立增量与独立增量平均值的差值为纵坐标，测点编号为横坐标，绘制各台重力仪的动态观测曲线。</w:t>
      </w:r>
    </w:p>
    <w:p w14:paraId="3CC16F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一致性曲线图：将各台仪器的一致性观测曲线及多台仪器一致性观测重力值的平均值曲线绘制在同一坐标系中，观测多台仪器的一致性状况。每点观测值经固体潮及混合零点位移漂移改正之后，求取各台仪器在该点与起始点的重力段差值；以点号为横坐标，重力段差为纵坐标，将单台仪器在各观测点上的重力值用点画线连接起来，得到该组重力仪的一致性试验曲线图。</w:t>
      </w:r>
    </w:p>
    <w:p w14:paraId="2D0B08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g、仪器性能结果判定</w:t>
      </w:r>
    </w:p>
    <w:p w14:paraId="31CE39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静态试验结果判定：静态零观测曲线应近于线性。在判定的闭合时间内，静态零观测曲线与直线的最大偏差应小于设计的测点重力观测均方误差，否则判定该重力仪不合格。</w:t>
      </w:r>
    </w:p>
    <w:p w14:paraId="154C6F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动态试验结果判定：重力仪动态试验均方误差不大于设计的测点重力观测均方误差。</w:t>
      </w:r>
    </w:p>
    <w:p w14:paraId="0EB461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一致性结果判定：当某台重力仪一致性均方误差大于设计的基点联测均方误差或测点重力观测均方误差时，不应使用该重力仪。各台重力仪间一致性均方误差不应超过设计的测点重力观测均方误差，否则可剔除偏离大的重力仪，重新进行试验或统计精度。观察多台重力仪的一致性试验曲线图，曲线越接近，该组重力仪一致性越好；对比分析各台重力仪性能试验曲线与平均值曲线之间的偏离、各台重力仪性能试验曲线相互之间的偏离规律，从性能试验曲线上识别出偏离较大的重力仪；依据单台重力仪的观测均方误差及图示结果，对投入生产的重力仪进行优选。</w:t>
      </w:r>
    </w:p>
    <w:p w14:paraId="5CC481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(3)野外观测</w:t>
      </w:r>
    </w:p>
    <w:p w14:paraId="010313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①基点选择</w:t>
      </w:r>
    </w:p>
    <w:p w14:paraId="27AD6A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重力基点应选择在地基稳固、周围无振动源、近期不被占用、附近地形和其它引力质量近期内不会有较大变化且交通便利的地段设立总基点，总基点应有明显标识。重力基点应尽量在正常场区，具体可依据小比例尺的布格重力异常平面图或通过实测重力剖面确定。</w:t>
      </w:r>
    </w:p>
    <w:p w14:paraId="718557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②测点观测</w:t>
      </w:r>
    </w:p>
    <w:p w14:paraId="3041D2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a、每日早基观测前，要对CG-5型重力仪的温度补偿、漂移改正、倾斜传感器零点和灵敏度进行检查保证仪器处于正常工作状态。检查和测定结果均应记入记录本。</w:t>
      </w:r>
    </w:p>
    <w:p w14:paraId="1135A1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b、重力仪检查正常后，按照基点-辅基点-基点的次序进行观测，在基点上读三次数，辅基点读两次数。基点与辅基点之间的重力差值不宜太小，距离适宜，两次基点读数时间间隔不小于6分钟。</w:t>
      </w:r>
    </w:p>
    <w:p w14:paraId="475431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c、CG-5型重力仪读数时间间隔设置不小于30秒，同一次基点读数中任意两个读数之差不大于0.005×10-5m/s2，前后两次基点的平均读格之差不大于0.010×10-5m/s2。闭合到基点上观测时，在基点上读三次数，读数按重力仪类型满足上述基点观测技术要求。</w:t>
      </w:r>
    </w:p>
    <w:p w14:paraId="708E9D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d、测点重力值观测采用单程闭合观测法，每个闭合单元内不应对重力仪测程进行调节，闭合时间不应超出性能试验确定的最大闭合时间。每个闭合单元的混合零点位移漂移应小于3倍的测点重力观测均方误差。</w:t>
      </w:r>
    </w:p>
    <w:p w14:paraId="632717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e、测点重力值观测后，记录者及时按要求做好记录。</w:t>
      </w:r>
    </w:p>
    <w:p w14:paraId="2C0872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f、测点观测时，调平重力仪，水泡调平精准到1/5刻度，观测中允许变化1/2刻度。重力仪脚架盘平面与高程测量点的高度应保持同一水平面，其高差不超过2厘米，每个测点读两次数，两个读数之差不大于0.005×10-5m/s2，取平均值作为该点的重力观测值。</w:t>
      </w:r>
    </w:p>
    <w:p w14:paraId="04F387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g、如重力仪读数线大幅度摆动时，应停止观测，待读数线稳定后再进行测量。</w:t>
      </w:r>
    </w:p>
    <w:p w14:paraId="1B20B8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h、当重力仪工作期间受到碰撞，应返回受撞前3-5个测点进行重复观测，检查重力仪掉格情况，如果掉格不符合要求，则停止作业返回驻地，对重力仪进行检查，并对该闭合单元的工作量做返工处理。</w:t>
      </w:r>
    </w:p>
    <w:p w14:paraId="23E482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i、观测值跳变部位应重复观测，确保测量数据准确无误。</w:t>
      </w:r>
    </w:p>
    <w:p w14:paraId="38281B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j、对异常段应进行加密观测。</w:t>
      </w:r>
    </w:p>
    <w:p w14:paraId="2E283A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③地形改正</w:t>
      </w:r>
    </w:p>
    <w:p w14:paraId="08A48E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a、近区(0米～20米)做八方位地形改正。实测时，采用重力测量近区地形改正系统(GTCS-1)进行观测，以正北为起始方位，按顺时针方向依次观测八个方位的地形坡度角(或相对高差)，按照仰角为正、俯角为负的要求记录在地形改正原始记录本上。根据地形特点选用相应的公式，软件计算地形改正值。</w:t>
      </w:r>
    </w:p>
    <w:p w14:paraId="5E96DF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b、中区(20米～500米)和远区(500米～2000米)。中、远区地形改正高程节点网格距通过实验确定，要求中区地形改正高程DEM数据的节点格距为5米～10米，远区地形改正高程DEM数据的节点格距为20米～50米；本区没有1∶5000比例尺的地形图或航片，应尽可能收集高程30米×30米节点的DEM数据。</w:t>
      </w:r>
    </w:p>
    <w:p w14:paraId="40B1B1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(4)质量评述</w:t>
      </w:r>
    </w:p>
    <w:p w14:paraId="67E4E8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①质量检查</w:t>
      </w:r>
    </w:p>
    <w:p w14:paraId="15BADE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观测质量检查主要有测点重力值观测、实测地形改正观测质量检查。各方法的质量检查均采用同精度检查方式。观测质量检查点应采用离散点随机抽查，检查点应在平面上大致分布均匀，并在不同地形类别区及异常区均有分布；检查工作应随外业工作同步进行，并贯穿野外工作全过程，不应集中在某一时间段或外业工作结束前突击检查。</w:t>
      </w:r>
    </w:p>
    <w:p w14:paraId="582917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多台仪器工作时，测定重力值观测质量检查应按照“同点位、不同仪器、不同操作员、不同闭合单元”的要求进行。检查工作量不少于总工作量的3％；单台仪器工作时，按照“同点位、同仪器、不同操作员、不同闭合单元”的要求进行，检查工作量不少于总工作量的10％；检查的测点观测均方误差满足设计精度外，检查点原始观测值与检查观测值的差值还应不大于3倍的设计测点重力观测均方误差，当不满足时，应布置不少于该闭合单元总工作量10％的专门性检查，仍不满足时该闭合单元的重力观测工作量进行返工。</w:t>
      </w:r>
    </w:p>
    <w:p w14:paraId="411449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实测法地形改正质量检查采用重复测定法，按照“同点位、不同操作员”的要求完成；检查观测值与原始观测值的差值不大于3倍的设计地形改正误差。采用高程DEM数据的高程作为测点高程，重新计算地形改正值，进行中、远区地形改正质量检查；地形改正质量检查工作量不少于总地形改正点数的3％，检查点数不少于30个；对高程DEM数据应以实测高程为标准进行精度评价，要求中区地形改正观测DEM数据中误差小于±2.0米，远区地形改正观测DEM数据中误差小于±4.0米。</w:t>
      </w:r>
    </w:p>
    <w:p w14:paraId="538152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②精度指标</w:t>
      </w:r>
    </w:p>
    <w:p w14:paraId="14D983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a、平均读格差计算结果小数保留3位有效数字。</w:t>
      </w:r>
    </w:p>
    <w:p w14:paraId="6BE382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b、格值计算及格值校正系数计算结果小数保留8位有效数字。</w:t>
      </w:r>
    </w:p>
    <w:p w14:paraId="1468A2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c、其它各类计算结果均要求精确到0.001×10-5m/s2。</w:t>
      </w:r>
    </w:p>
    <w:p w14:paraId="6FFDBC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d、布格异常总精度及各项精度分配、地形改正总精度及各区精度分配和控制测量及测点三维坐标定位测量精度分配参照表4-2、表4-3执行。在保证总精度不变的前提下，表中各项精度可根据工作比例尺、仪器类型、地形改正方法及地形类型等因素合理调整。</w:t>
      </w:r>
    </w:p>
    <w:p w14:paraId="49ED29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⑸数据处理</w:t>
      </w:r>
    </w:p>
    <w:p w14:paraId="1966B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①数据处理前尽可能使用周边地区的重力实测数据进行扩边处理。</w:t>
      </w:r>
    </w:p>
    <w:p w14:paraId="61F1EA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②网格化的格距应与测网的最小点距、线距相同；网格化方法及参数按照保真度高的要求通过试验确定。</w:t>
      </w:r>
    </w:p>
    <w:p w14:paraId="382810FF">
      <w:pPr>
        <w:pageBreakBefore w:val="0"/>
        <w:wordWrap/>
        <w:bidi w:val="0"/>
        <w:spacing w:line="360" w:lineRule="auto"/>
        <w:ind w:firstLine="422" w:firstLineChars="200"/>
        <w:jc w:val="left"/>
        <w:outlineLvl w:val="9"/>
        <w:rPr>
          <w:rFonts w:ascii="宋体" w:hAnsi="宋体" w:cs="宋体"/>
          <w:b/>
          <w:szCs w:val="21"/>
        </w:rPr>
      </w:pPr>
      <w:r>
        <w:rPr>
          <w:rFonts w:hint="eastAsia" w:ascii="宋体" w:hAnsi="宋体" w:cs="宋体"/>
          <w:b/>
          <w:szCs w:val="21"/>
        </w:rPr>
        <w:t>表4-2</w:t>
      </w:r>
      <w:r>
        <w:rPr>
          <w:rFonts w:ascii="宋体" w:hAnsi="宋体" w:cs="宋体"/>
          <w:b/>
          <w:szCs w:val="21"/>
        </w:rPr>
        <w:t xml:space="preserve"> </w:t>
      </w:r>
      <w:r>
        <w:rPr>
          <w:rFonts w:hint="eastAsia" w:ascii="宋体" w:hAnsi="宋体" w:cs="宋体"/>
          <w:b/>
          <w:szCs w:val="21"/>
        </w:rPr>
        <w:t xml:space="preserve"> </w:t>
      </w:r>
      <w:r>
        <w:rPr>
          <w:rFonts w:ascii="宋体" w:hAnsi="宋体" w:cs="宋体"/>
          <w:b/>
          <w:szCs w:val="21"/>
        </w:rPr>
        <w:t xml:space="preserve">         </w:t>
      </w:r>
      <w:r>
        <w:rPr>
          <w:rFonts w:hint="eastAsia" w:ascii="宋体" w:hAnsi="宋体" w:cs="宋体"/>
          <w:b/>
          <w:szCs w:val="21"/>
        </w:rPr>
        <w:t>布格异常总精度及各项精度分配表(单位：1</w:t>
      </w:r>
      <w:r>
        <w:rPr>
          <w:rFonts w:ascii="宋体" w:hAnsi="宋体" w:cs="宋体"/>
          <w:b/>
          <w:szCs w:val="21"/>
        </w:rPr>
        <w:t>0</w:t>
      </w:r>
      <w:r>
        <w:rPr>
          <w:rFonts w:ascii="宋体" w:hAnsi="宋体" w:cs="宋体"/>
          <w:b/>
          <w:szCs w:val="21"/>
          <w:vertAlign w:val="superscript"/>
        </w:rPr>
        <w:t>-5</w:t>
      </w:r>
      <w:r>
        <w:rPr>
          <w:rFonts w:ascii="宋体" w:hAnsi="宋体" w:cs="宋体"/>
          <w:b/>
          <w:szCs w:val="21"/>
        </w:rPr>
        <w:t>m/s</w:t>
      </w:r>
      <w:r>
        <w:rPr>
          <w:rFonts w:ascii="宋体" w:hAnsi="宋体" w:cs="宋体"/>
          <w:b/>
          <w:szCs w:val="21"/>
          <w:vertAlign w:val="superscript"/>
        </w:rPr>
        <w:t>2</w:t>
      </w:r>
      <w:r>
        <w:rPr>
          <w:rFonts w:hint="eastAsia" w:ascii="宋体" w:hAnsi="宋体" w:cs="宋体"/>
          <w:b/>
          <w:szCs w:val="21"/>
        </w:rPr>
        <w:t>)</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7"/>
        <w:gridCol w:w="1857"/>
        <w:gridCol w:w="1858"/>
      </w:tblGrid>
      <w:tr w14:paraId="47FC40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000" w:type="pct"/>
            <w:vAlign w:val="center"/>
          </w:tcPr>
          <w:p w14:paraId="441D3FFD">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布格重力异常</w:t>
            </w:r>
          </w:p>
          <w:p w14:paraId="5EC104DE">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总精度</w:t>
            </w:r>
          </w:p>
        </w:tc>
        <w:tc>
          <w:tcPr>
            <w:tcW w:w="1000" w:type="pct"/>
            <w:vAlign w:val="center"/>
          </w:tcPr>
          <w:p w14:paraId="16E167DD">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测点重力观测</w:t>
            </w:r>
          </w:p>
          <w:p w14:paraId="0279261B">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均方误差</w:t>
            </w:r>
          </w:p>
        </w:tc>
        <w:tc>
          <w:tcPr>
            <w:tcW w:w="1000" w:type="pct"/>
            <w:vAlign w:val="center"/>
          </w:tcPr>
          <w:p w14:paraId="427694A8">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布格改正</w:t>
            </w:r>
          </w:p>
          <w:p w14:paraId="5F10D732">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均方误差</w:t>
            </w:r>
          </w:p>
        </w:tc>
        <w:tc>
          <w:tcPr>
            <w:tcW w:w="1000" w:type="pct"/>
            <w:vAlign w:val="center"/>
          </w:tcPr>
          <w:p w14:paraId="4661F01C">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地形改正</w:t>
            </w:r>
          </w:p>
          <w:p w14:paraId="446806CE">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均方误差</w:t>
            </w:r>
          </w:p>
        </w:tc>
        <w:tc>
          <w:tcPr>
            <w:tcW w:w="1000" w:type="pct"/>
            <w:vAlign w:val="center"/>
          </w:tcPr>
          <w:p w14:paraId="7B5235CA">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正常场改正</w:t>
            </w:r>
          </w:p>
          <w:p w14:paraId="134850DF">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均方误差</w:t>
            </w:r>
          </w:p>
        </w:tc>
      </w:tr>
      <w:tr w14:paraId="2477C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000" w:type="pct"/>
            <w:vAlign w:val="center"/>
          </w:tcPr>
          <w:p w14:paraId="297D8C78">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±0.050</w:t>
            </w:r>
          </w:p>
        </w:tc>
        <w:tc>
          <w:tcPr>
            <w:tcW w:w="1000" w:type="pct"/>
            <w:vAlign w:val="center"/>
          </w:tcPr>
          <w:p w14:paraId="503778FD">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±0.025</w:t>
            </w:r>
          </w:p>
        </w:tc>
        <w:tc>
          <w:tcPr>
            <w:tcW w:w="1000" w:type="pct"/>
            <w:vAlign w:val="center"/>
          </w:tcPr>
          <w:p w14:paraId="516B6D52">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±0.035</w:t>
            </w:r>
          </w:p>
        </w:tc>
        <w:tc>
          <w:tcPr>
            <w:tcW w:w="1000" w:type="pct"/>
            <w:vAlign w:val="center"/>
          </w:tcPr>
          <w:p w14:paraId="7D59E85F">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±0.029</w:t>
            </w:r>
          </w:p>
        </w:tc>
        <w:tc>
          <w:tcPr>
            <w:tcW w:w="1000" w:type="pct"/>
            <w:vAlign w:val="center"/>
          </w:tcPr>
          <w:p w14:paraId="5176A400">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±0.003</w:t>
            </w:r>
          </w:p>
        </w:tc>
      </w:tr>
    </w:tbl>
    <w:p w14:paraId="6C1CC1FD">
      <w:pPr>
        <w:pageBreakBefore w:val="0"/>
        <w:wordWrap/>
        <w:bidi w:val="0"/>
        <w:spacing w:line="360" w:lineRule="auto"/>
        <w:jc w:val="center"/>
        <w:outlineLvl w:val="9"/>
        <w:rPr>
          <w:rFonts w:ascii="宋体" w:hAnsi="宋体" w:cs="宋体"/>
          <w:bCs/>
          <w:sz w:val="10"/>
          <w:szCs w:val="10"/>
        </w:rPr>
      </w:pPr>
    </w:p>
    <w:p w14:paraId="1E510E98">
      <w:pPr>
        <w:pageBreakBefore w:val="0"/>
        <w:wordWrap/>
        <w:bidi w:val="0"/>
        <w:spacing w:line="360" w:lineRule="auto"/>
        <w:ind w:firstLine="422" w:firstLineChars="200"/>
        <w:jc w:val="left"/>
        <w:outlineLvl w:val="9"/>
        <w:rPr>
          <w:rFonts w:ascii="宋体" w:hAnsi="宋体" w:cs="宋体"/>
          <w:b/>
          <w:szCs w:val="21"/>
        </w:rPr>
      </w:pPr>
      <w:r>
        <w:rPr>
          <w:rFonts w:hint="eastAsia" w:ascii="宋体" w:hAnsi="宋体" w:cs="宋体"/>
          <w:b/>
          <w:szCs w:val="21"/>
        </w:rPr>
        <w:t>表4-3</w:t>
      </w:r>
      <w:r>
        <w:rPr>
          <w:rFonts w:ascii="宋体" w:hAnsi="宋体" w:cs="宋体"/>
          <w:b/>
          <w:szCs w:val="21"/>
        </w:rPr>
        <w:t xml:space="preserve">         </w:t>
      </w:r>
      <w:r>
        <w:rPr>
          <w:rFonts w:hint="eastAsia" w:ascii="宋体" w:hAnsi="宋体" w:cs="宋体"/>
          <w:b/>
          <w:szCs w:val="21"/>
        </w:rPr>
        <w:t>地形改正总精度及各项精度分配表(单位：1</w:t>
      </w:r>
      <w:r>
        <w:rPr>
          <w:rFonts w:ascii="宋体" w:hAnsi="宋体" w:cs="宋体"/>
          <w:b/>
          <w:szCs w:val="21"/>
        </w:rPr>
        <w:t>0</w:t>
      </w:r>
      <w:r>
        <w:rPr>
          <w:rFonts w:ascii="宋体" w:hAnsi="宋体" w:cs="宋体"/>
          <w:b/>
          <w:szCs w:val="21"/>
          <w:vertAlign w:val="superscript"/>
        </w:rPr>
        <w:t>-5</w:t>
      </w:r>
      <w:r>
        <w:rPr>
          <w:rFonts w:ascii="宋体" w:hAnsi="宋体" w:cs="宋体"/>
          <w:b/>
          <w:szCs w:val="21"/>
        </w:rPr>
        <w:t>m/s</w:t>
      </w:r>
      <w:r>
        <w:rPr>
          <w:rFonts w:ascii="宋体" w:hAnsi="宋体" w:cs="宋体"/>
          <w:b/>
          <w:szCs w:val="21"/>
          <w:vertAlign w:val="superscript"/>
        </w:rPr>
        <w:t>2</w:t>
      </w:r>
      <w:r>
        <w:rPr>
          <w:rFonts w:hint="eastAsia" w:ascii="宋体" w:hAnsi="宋体" w:cs="宋体"/>
          <w:b/>
          <w:szCs w:val="21"/>
        </w:rPr>
        <w:t>)</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2"/>
        <w:gridCol w:w="2322"/>
      </w:tblGrid>
      <w:tr w14:paraId="0A7D1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pct"/>
            <w:vAlign w:val="center"/>
          </w:tcPr>
          <w:p w14:paraId="01058A16">
            <w:pPr>
              <w:pageBreakBefore w:val="0"/>
              <w:wordWrap/>
              <w:bidi w:val="0"/>
              <w:adjustRightInd w:val="0"/>
              <w:snapToGrid w:val="0"/>
              <w:jc w:val="center"/>
              <w:outlineLvl w:val="9"/>
              <w:rPr>
                <w:rFonts w:ascii="宋体" w:hAnsi="宋体" w:cs="宋体"/>
                <w:kern w:val="0"/>
                <w:sz w:val="18"/>
                <w:szCs w:val="18"/>
              </w:rPr>
            </w:pPr>
            <w:r>
              <w:rPr>
                <w:rFonts w:hint="eastAsia" w:ascii="宋体" w:hAnsi="宋体" w:cs="宋体"/>
                <w:kern w:val="0"/>
                <w:sz w:val="18"/>
                <w:szCs w:val="18"/>
              </w:rPr>
              <w:t>地形改正</w:t>
            </w:r>
          </w:p>
          <w:p w14:paraId="27B75CB3">
            <w:pPr>
              <w:pageBreakBefore w:val="0"/>
              <w:wordWrap/>
              <w:bidi w:val="0"/>
              <w:adjustRightInd w:val="0"/>
              <w:snapToGrid w:val="0"/>
              <w:jc w:val="center"/>
              <w:outlineLvl w:val="9"/>
              <w:rPr>
                <w:rFonts w:ascii="宋体" w:hAnsi="宋体" w:cs="宋体"/>
                <w:sz w:val="18"/>
                <w:szCs w:val="18"/>
              </w:rPr>
            </w:pPr>
            <w:r>
              <w:rPr>
                <w:rFonts w:hint="eastAsia" w:ascii="宋体" w:hAnsi="宋体" w:cs="宋体"/>
                <w:kern w:val="0"/>
                <w:sz w:val="18"/>
                <w:szCs w:val="18"/>
              </w:rPr>
              <w:t>总均方误差</w:t>
            </w:r>
          </w:p>
        </w:tc>
        <w:tc>
          <w:tcPr>
            <w:tcW w:w="1250" w:type="pct"/>
            <w:vAlign w:val="center"/>
          </w:tcPr>
          <w:p w14:paraId="17DA835B">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近区(0m～20m)</w:t>
            </w:r>
          </w:p>
          <w:p w14:paraId="58613D30">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地形改正均方误差</w:t>
            </w:r>
          </w:p>
        </w:tc>
        <w:tc>
          <w:tcPr>
            <w:tcW w:w="1250" w:type="pct"/>
            <w:vAlign w:val="center"/>
          </w:tcPr>
          <w:p w14:paraId="47A75283">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中区(20m～500m)</w:t>
            </w:r>
          </w:p>
          <w:p w14:paraId="140B1ED9">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地形改正均方误差</w:t>
            </w:r>
          </w:p>
        </w:tc>
        <w:tc>
          <w:tcPr>
            <w:tcW w:w="1250" w:type="pct"/>
            <w:vAlign w:val="center"/>
          </w:tcPr>
          <w:p w14:paraId="229DF7A6">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远区(500m～2000m)</w:t>
            </w:r>
          </w:p>
          <w:p w14:paraId="0B7FF11C">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地形改正均方误差</w:t>
            </w:r>
          </w:p>
        </w:tc>
      </w:tr>
      <w:tr w14:paraId="57A87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pct"/>
            <w:vAlign w:val="center"/>
          </w:tcPr>
          <w:p w14:paraId="4E78914F">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±0.020</w:t>
            </w:r>
          </w:p>
        </w:tc>
        <w:tc>
          <w:tcPr>
            <w:tcW w:w="1250" w:type="pct"/>
            <w:vAlign w:val="center"/>
          </w:tcPr>
          <w:p w14:paraId="697FA9DA">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±0.012</w:t>
            </w:r>
          </w:p>
        </w:tc>
        <w:tc>
          <w:tcPr>
            <w:tcW w:w="1250" w:type="pct"/>
            <w:vAlign w:val="center"/>
          </w:tcPr>
          <w:p w14:paraId="275CBB6D">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±0.012</w:t>
            </w:r>
          </w:p>
        </w:tc>
        <w:tc>
          <w:tcPr>
            <w:tcW w:w="1250" w:type="pct"/>
            <w:vAlign w:val="center"/>
          </w:tcPr>
          <w:p w14:paraId="5178DE2E">
            <w:pPr>
              <w:pageBreakBefore w:val="0"/>
              <w:wordWrap/>
              <w:bidi w:val="0"/>
              <w:adjustRightInd w:val="0"/>
              <w:snapToGrid w:val="0"/>
              <w:jc w:val="center"/>
              <w:outlineLvl w:val="9"/>
              <w:rPr>
                <w:rFonts w:ascii="宋体" w:hAnsi="宋体" w:cs="宋体"/>
                <w:sz w:val="18"/>
                <w:szCs w:val="18"/>
              </w:rPr>
            </w:pPr>
            <w:r>
              <w:rPr>
                <w:rFonts w:hint="eastAsia" w:ascii="宋体" w:hAnsi="宋体" w:cs="宋体"/>
                <w:sz w:val="18"/>
                <w:szCs w:val="18"/>
              </w:rPr>
              <w:t>±0.010</w:t>
            </w:r>
          </w:p>
        </w:tc>
      </w:tr>
    </w:tbl>
    <w:p w14:paraId="660D07EB">
      <w:pPr>
        <w:pageBreakBefore w:val="0"/>
        <w:wordWrap/>
        <w:bidi w:val="0"/>
        <w:adjustRightInd w:val="0"/>
        <w:snapToGrid w:val="0"/>
        <w:spacing w:line="360" w:lineRule="auto"/>
        <w:ind w:firstLine="200" w:firstLineChars="200"/>
        <w:outlineLvl w:val="9"/>
        <w:rPr>
          <w:rFonts w:ascii="宋体" w:hAnsi="宋体"/>
          <w:sz w:val="10"/>
          <w:szCs w:val="10"/>
        </w:rPr>
      </w:pPr>
    </w:p>
    <w:p w14:paraId="5916063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③应结合研究区的构造复杂程度及地质认识，选择合理，有效的数据处理方法，数据处理方法应具有针对性，参数选择可通过试验确定。</w:t>
      </w:r>
    </w:p>
    <w:p w14:paraId="20D6116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④定量计算应以剖面正演拟合及二、三维反演为主，也可采用特征点法、切线法等剖面曲线定量计算方法。</w:t>
      </w:r>
    </w:p>
    <w:p w14:paraId="3F042B57">
      <w:pPr>
        <w:pStyle w:val="230"/>
        <w:pageBreakBefore w:val="0"/>
        <w:wordWrap/>
        <w:bidi w:val="0"/>
        <w:spacing w:line="360" w:lineRule="auto"/>
        <w:ind w:firstLine="480"/>
        <w:outlineLvl w:val="9"/>
        <w:rPr>
          <w:rFonts w:ascii="仿宋" w:hAnsi="仿宋" w:eastAsia="仿宋" w:cs="仿宋"/>
          <w:szCs w:val="24"/>
        </w:rPr>
      </w:pPr>
      <w:r>
        <w:rPr>
          <w:rFonts w:hint="eastAsia" w:ascii="仿宋" w:hAnsi="仿宋" w:eastAsia="仿宋" w:cs="仿宋"/>
          <w:szCs w:val="24"/>
        </w:rPr>
        <w:t>⑹推断解释</w:t>
      </w:r>
    </w:p>
    <w:p w14:paraId="6FD555A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①对收集的各类成果资料进行研究，明确工作区需要解决的地质问题。</w:t>
      </w:r>
    </w:p>
    <w:p w14:paraId="4FE3644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②异常划分应形成明显的圈闭异常，异常幅值应大于实测总精度并包含3个上的有效测点。</w:t>
      </w:r>
    </w:p>
    <w:p w14:paraId="41634A2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③对工作区圈定的重力异常逐一进行解释推断，按地质成因进行分类，并阐明推断依据。</w:t>
      </w:r>
    </w:p>
    <w:p w14:paraId="5D2C195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④定量解释应分析地质体的规模、厚度、埋深及空间展布，以及地质体与围岩之间的密度差异，建立符合研究区地质构造特征的地质-地球物理模型。在有条件的地段，应以先验信息作为约束条件时；在无约束条件时，可利用传统的剖面曲线定量计算方法获取约束参数。</w:t>
      </w:r>
    </w:p>
    <w:p w14:paraId="3AEBDEC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⑤定量解释剖面应穿过工作区的勘查对象，对有进一步勘查意义的异常均应进行定量反演。</w:t>
      </w:r>
    </w:p>
    <w:p w14:paraId="1A030D0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⑥定量解释应建立在定性解释的基础上，二者互为补充、反复进行，不断深化对重力场的地质认识。在有约束条件的情况下，应对定量计算成果进行精度评价，对误差较大的区段分析原因。</w:t>
      </w:r>
    </w:p>
    <w:p w14:paraId="36CBBD2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⑦应结合工作区的地质、地层分布及构造发育特征，由己知到未知，提出合理、客观的地质认识应将工作区的重力场与区域地球物理场、区域构造进行综合研究，为重力场的推断解释提供依据。</w:t>
      </w:r>
    </w:p>
    <w:p w14:paraId="088271E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⑧运用地质理论对取得的地质认识和结论(包括新提出的、否定前人的、修改补充前人的认识等)做出合理、客观的地质解释。</w:t>
      </w:r>
    </w:p>
    <w:p w14:paraId="5BFC336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⑨应对工作区的地层结构、控矿因素、矿产赋存特征等地质规律进行总结，并对推断的各类地质体或构造分类编号。</w:t>
      </w:r>
    </w:p>
    <w:p w14:paraId="793F268A">
      <w:pPr>
        <w:pageBreakBefore w:val="0"/>
        <w:widowControl/>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3．1∶1万激电剖面测量</w:t>
      </w:r>
    </w:p>
    <w:p w14:paraId="1EAFC7B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激电剖面测量工作主要针对异常带、矿化(蚀变)带，其目的为圈定矿体范围和确定深部盲矿体顶端埋深、延伸和产状变化等特征。剖面布设以控制化探异常为原则，垂直地质体布置，剖面长度以控制地质体的宽度为原则，剖面间距根据异常特征确定。</w:t>
      </w:r>
      <w:bookmarkStart w:id="476" w:name="_Hlk212634997"/>
      <w:r>
        <w:rPr>
          <w:rFonts w:hint="eastAsia" w:ascii="仿宋" w:hAnsi="仿宋" w:eastAsia="仿宋" w:cs="仿宋"/>
          <w:sz w:val="24"/>
          <w:szCs w:val="24"/>
        </w:rPr>
        <w:t>共设计工作量20千米。</w:t>
      </w:r>
    </w:p>
    <w:bookmarkEnd w:id="476"/>
    <w:p w14:paraId="377DE77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(1)仪器</w:t>
      </w:r>
    </w:p>
    <w:p w14:paraId="65C6C18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接收仪开始工作前开展仪器性能室内标定检查、仪器精度剖面实测检验，检测合格的仪器方可投入使用。</w:t>
      </w:r>
    </w:p>
    <w:p w14:paraId="4E5809F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(2)激电剖面布设</w:t>
      </w:r>
    </w:p>
    <w:p w14:paraId="7D2CE5C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测线布设采用GPS卫星定位系统定位。激电剖面布主要以激电剖面和电测深为主。长轴方向尽可能地与已有勘探线或地质剖面重合，提高异常解释水平和成果的有效性。线距要求160-320米，点距40米。</w:t>
      </w:r>
    </w:p>
    <w:p w14:paraId="35D8AE5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(3)工作参数</w:t>
      </w:r>
    </w:p>
    <w:p w14:paraId="2BA6EE2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激电剖面工作采用中梯测量装置，AB=1200米，测量范围为AB极的2/3区间。发射机供电(测量)周期为16s，接收机测量叠加次数2次，延时100ms，采样宽度40ms。</w:t>
      </w:r>
    </w:p>
    <w:p w14:paraId="0142940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其它技术要求严格按《时间域激发极化法技术规定》执行。</w:t>
      </w:r>
    </w:p>
    <w:p w14:paraId="4E3EF2B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(4)精度要求与质量检查方法</w:t>
      </w:r>
    </w:p>
    <w:p w14:paraId="5A34AC8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激电中梯方法各项工作实际技术指标如下，见表4-4。</w:t>
      </w:r>
    </w:p>
    <w:p w14:paraId="7B5EBB68">
      <w:pPr>
        <w:pageBreakBefore w:val="0"/>
        <w:wordWrap/>
        <w:bidi w:val="0"/>
        <w:spacing w:line="360" w:lineRule="auto"/>
        <w:ind w:firstLine="422" w:firstLineChars="200"/>
        <w:jc w:val="left"/>
        <w:outlineLvl w:val="9"/>
        <w:rPr>
          <w:rFonts w:ascii="宋体" w:hAnsi="宋体"/>
          <w:b/>
          <w:bCs/>
          <w:color w:val="000000"/>
          <w:szCs w:val="21"/>
        </w:rPr>
      </w:pPr>
      <w:r>
        <w:rPr>
          <w:rFonts w:hint="eastAsia" w:ascii="宋体" w:hAnsi="宋体"/>
          <w:b/>
          <w:bCs/>
          <w:color w:val="000000"/>
          <w:szCs w:val="21"/>
        </w:rPr>
        <w:t xml:space="preserve">表4-4  </w:t>
      </w:r>
      <w:r>
        <w:rPr>
          <w:rFonts w:ascii="宋体" w:hAnsi="宋体"/>
          <w:b/>
          <w:bCs/>
          <w:color w:val="000000"/>
          <w:szCs w:val="21"/>
        </w:rPr>
        <w:t xml:space="preserve">                   </w:t>
      </w:r>
      <w:r>
        <w:rPr>
          <w:rFonts w:hint="eastAsia" w:ascii="宋体" w:hAnsi="宋体"/>
          <w:b/>
          <w:bCs/>
          <w:color w:val="000000"/>
          <w:szCs w:val="21"/>
        </w:rPr>
        <w:t>激电及电阻率测量精度指标</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348"/>
        <w:gridCol w:w="1005"/>
        <w:gridCol w:w="2073"/>
        <w:gridCol w:w="1768"/>
        <w:gridCol w:w="2364"/>
      </w:tblGrid>
      <w:tr w14:paraId="6BDB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7" w:type="pct"/>
            <w:gridSpan w:val="2"/>
            <w:vMerge w:val="restart"/>
            <w:tcBorders>
              <w:top w:val="single" w:color="auto" w:sz="12" w:space="0"/>
              <w:left w:val="nil"/>
              <w:tl2br w:val="single" w:color="auto" w:sz="4" w:space="0"/>
            </w:tcBorders>
            <w:vAlign w:val="center"/>
          </w:tcPr>
          <w:p w14:paraId="0354E6FF">
            <w:pPr>
              <w:pageBreakBefore w:val="0"/>
              <w:wordWrap/>
              <w:bidi w:val="0"/>
              <w:outlineLvl w:val="9"/>
              <w:rPr>
                <w:rFonts w:ascii="宋体" w:hAnsi="宋体"/>
                <w:color w:val="000000"/>
                <w:sz w:val="18"/>
                <w:szCs w:val="18"/>
                <w:shd w:val="clear" w:color="auto" w:fill="FFFFFF"/>
              </w:rPr>
            </w:pPr>
            <w:r>
              <w:rPr>
                <w:rFonts w:hint="eastAsia" w:ascii="宋体" w:hAnsi="宋体"/>
                <w:color w:val="000000"/>
                <w:sz w:val="18"/>
                <w:szCs w:val="18"/>
                <w:shd w:val="clear" w:color="auto" w:fill="FFFFFF"/>
              </w:rPr>
              <w:t>指标</w:t>
            </w:r>
          </w:p>
          <w:p w14:paraId="0D091069">
            <w:pPr>
              <w:pageBreakBefore w:val="0"/>
              <w:wordWrap/>
              <w:bidi w:val="0"/>
              <w:outlineLvl w:val="9"/>
              <w:rPr>
                <w:rFonts w:ascii="宋体" w:hAnsi="宋体"/>
                <w:color w:val="000000"/>
                <w:sz w:val="18"/>
                <w:szCs w:val="18"/>
                <w:shd w:val="clear" w:color="auto" w:fill="FFFFFF"/>
              </w:rPr>
            </w:pPr>
            <w:r>
              <w:rPr>
                <w:rFonts w:hint="eastAsia" w:ascii="宋体" w:hAnsi="宋体"/>
                <w:color w:val="000000"/>
                <w:sz w:val="18"/>
                <w:szCs w:val="18"/>
                <w:shd w:val="clear" w:color="auto" w:fill="FFFFFF"/>
              </w:rPr>
              <w:t>方法</w:t>
            </w:r>
          </w:p>
        </w:tc>
        <w:tc>
          <w:tcPr>
            <w:tcW w:w="541" w:type="pct"/>
            <w:vMerge w:val="restart"/>
            <w:tcBorders>
              <w:top w:val="single" w:color="auto" w:sz="12" w:space="0"/>
            </w:tcBorders>
            <w:vAlign w:val="center"/>
          </w:tcPr>
          <w:p w14:paraId="3F13533D">
            <w:pPr>
              <w:pageBreakBefore w:val="0"/>
              <w:wordWrap/>
              <w:bidi w:val="0"/>
              <w:outlineLvl w:val="9"/>
              <w:rPr>
                <w:rFonts w:ascii="宋体" w:hAnsi="宋体"/>
                <w:color w:val="000000"/>
                <w:kern w:val="0"/>
                <w:sz w:val="18"/>
                <w:szCs w:val="18"/>
                <w:shd w:val="clear" w:color="auto" w:fill="FFFFFF"/>
              </w:rPr>
            </w:pPr>
            <w:r>
              <w:rPr>
                <w:rFonts w:hint="eastAsia" w:ascii="宋体" w:hAnsi="宋体"/>
                <w:color w:val="000000"/>
                <w:kern w:val="0"/>
                <w:sz w:val="18"/>
                <w:szCs w:val="18"/>
                <w:shd w:val="clear" w:color="auto" w:fill="FFFFFF"/>
              </w:rPr>
              <w:t>质检率</w:t>
            </w:r>
          </w:p>
        </w:tc>
        <w:tc>
          <w:tcPr>
            <w:tcW w:w="2068" w:type="pct"/>
            <w:gridSpan w:val="2"/>
            <w:tcBorders>
              <w:top w:val="single" w:color="auto" w:sz="12" w:space="0"/>
            </w:tcBorders>
            <w:vAlign w:val="center"/>
          </w:tcPr>
          <w:p w14:paraId="0B4759D7">
            <w:pPr>
              <w:pageBreakBefore w:val="0"/>
              <w:wordWrap/>
              <w:bidi w:val="0"/>
              <w:jc w:val="center"/>
              <w:outlineLvl w:val="9"/>
              <w:rPr>
                <w:rFonts w:ascii="宋体" w:hAnsi="宋体"/>
                <w:color w:val="000000"/>
                <w:sz w:val="18"/>
                <w:szCs w:val="18"/>
                <w:shd w:val="clear" w:color="auto" w:fill="FFFFFF"/>
                <w:vertAlign w:val="subscript"/>
              </w:rPr>
            </w:pPr>
            <w:r>
              <w:rPr>
                <w:rFonts w:hint="eastAsia" w:ascii="宋体" w:hAnsi="宋体"/>
                <w:color w:val="000000"/>
                <w:sz w:val="18"/>
                <w:szCs w:val="18"/>
                <w:shd w:val="clear" w:color="auto" w:fill="FFFFFF"/>
              </w:rPr>
              <w:t>ηa</w:t>
            </w:r>
          </w:p>
        </w:tc>
        <w:tc>
          <w:tcPr>
            <w:tcW w:w="1274" w:type="pct"/>
            <w:tcBorders>
              <w:top w:val="single" w:color="auto" w:sz="12" w:space="0"/>
              <w:right w:val="nil"/>
            </w:tcBorders>
            <w:vAlign w:val="center"/>
          </w:tcPr>
          <w:p w14:paraId="3C2560F9">
            <w:pPr>
              <w:pageBreakBefore w:val="0"/>
              <w:wordWrap/>
              <w:bidi w:val="0"/>
              <w:jc w:val="center"/>
              <w:outlineLvl w:val="9"/>
              <w:rPr>
                <w:rFonts w:ascii="宋体" w:hAnsi="宋体"/>
                <w:color w:val="000000"/>
                <w:sz w:val="18"/>
                <w:szCs w:val="18"/>
                <w:shd w:val="clear" w:color="auto" w:fill="FFFFFF"/>
              </w:rPr>
            </w:pPr>
            <w:r>
              <w:rPr>
                <w:rFonts w:hint="eastAsia" w:ascii="宋体" w:hAnsi="宋体"/>
                <w:color w:val="000000"/>
                <w:sz w:val="18"/>
                <w:szCs w:val="18"/>
                <w:shd w:val="clear" w:color="auto" w:fill="FFFFFF"/>
              </w:rPr>
              <w:t>ρa</w:t>
            </w:r>
          </w:p>
        </w:tc>
      </w:tr>
      <w:tr w14:paraId="4A3B6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7" w:type="pct"/>
            <w:gridSpan w:val="2"/>
            <w:vMerge w:val="continue"/>
            <w:tcBorders>
              <w:left w:val="nil"/>
              <w:tl2br w:val="single" w:color="auto" w:sz="4" w:space="0"/>
            </w:tcBorders>
            <w:vAlign w:val="center"/>
          </w:tcPr>
          <w:p w14:paraId="7CCF15FA">
            <w:pPr>
              <w:pageBreakBefore w:val="0"/>
              <w:wordWrap/>
              <w:bidi w:val="0"/>
              <w:outlineLvl w:val="9"/>
              <w:rPr>
                <w:rFonts w:ascii="宋体" w:hAnsi="宋体"/>
                <w:color w:val="000000"/>
                <w:sz w:val="18"/>
                <w:szCs w:val="18"/>
                <w:shd w:val="clear" w:color="auto" w:fill="FFFFFF"/>
              </w:rPr>
            </w:pPr>
          </w:p>
        </w:tc>
        <w:tc>
          <w:tcPr>
            <w:tcW w:w="541" w:type="pct"/>
            <w:vMerge w:val="continue"/>
            <w:vAlign w:val="center"/>
          </w:tcPr>
          <w:p w14:paraId="03C065EC">
            <w:pPr>
              <w:pageBreakBefore w:val="0"/>
              <w:wordWrap/>
              <w:bidi w:val="0"/>
              <w:outlineLvl w:val="9"/>
              <w:rPr>
                <w:rFonts w:ascii="宋体" w:hAnsi="宋体"/>
                <w:color w:val="000000"/>
                <w:sz w:val="18"/>
                <w:szCs w:val="18"/>
                <w:shd w:val="clear" w:color="auto" w:fill="FFFFFF"/>
              </w:rPr>
            </w:pPr>
          </w:p>
        </w:tc>
        <w:tc>
          <w:tcPr>
            <w:tcW w:w="1116" w:type="pct"/>
            <w:vAlign w:val="center"/>
          </w:tcPr>
          <w:p w14:paraId="7A1AEE27">
            <w:pPr>
              <w:pageBreakBefore w:val="0"/>
              <w:wordWrap/>
              <w:bidi w:val="0"/>
              <w:jc w:val="center"/>
              <w:outlineLvl w:val="9"/>
              <w:rPr>
                <w:rFonts w:ascii="宋体" w:hAnsi="宋体"/>
                <w:color w:val="000000"/>
                <w:sz w:val="18"/>
                <w:szCs w:val="18"/>
                <w:shd w:val="clear" w:color="auto" w:fill="FFFFFF"/>
              </w:rPr>
            </w:pPr>
            <w:r>
              <w:rPr>
                <w:rFonts w:hint="eastAsia" w:ascii="宋体" w:hAnsi="宋体"/>
                <w:color w:val="000000"/>
                <w:sz w:val="18"/>
                <w:szCs w:val="18"/>
                <w:shd w:val="clear" w:color="auto" w:fill="FFFFFF"/>
              </w:rPr>
              <w:t>总均方相对误差M</w:t>
            </w:r>
            <w:r>
              <w:rPr>
                <w:rFonts w:hint="eastAsia" w:ascii="宋体" w:hAnsi="宋体"/>
                <w:color w:val="000000"/>
                <w:sz w:val="18"/>
                <w:szCs w:val="18"/>
                <w:shd w:val="clear" w:color="auto" w:fill="FFFFFF"/>
                <w:vertAlign w:val="subscript"/>
              </w:rPr>
              <w:t>1</w:t>
            </w:r>
            <w:r>
              <w:rPr>
                <w:rFonts w:hint="eastAsia" w:ascii="宋体" w:hAnsi="宋体"/>
                <w:color w:val="000000"/>
                <w:sz w:val="18"/>
                <w:szCs w:val="18"/>
                <w:shd w:val="clear" w:color="auto" w:fill="FFFFFF"/>
              </w:rPr>
              <w:t>(ηa</w:t>
            </w:r>
            <w:r>
              <w:rPr>
                <w:rFonts w:ascii="宋体" w:hAnsi="宋体"/>
                <w:color w:val="000000"/>
                <w:sz w:val="18"/>
                <w:szCs w:val="18"/>
                <w:shd w:val="clear" w:color="auto" w:fill="FFFFFF"/>
              </w:rPr>
              <w:t>&gt;3</w:t>
            </w:r>
            <w:r>
              <w:rPr>
                <w:rFonts w:hint="eastAsia" w:ascii="宋体" w:hAnsi="宋体"/>
                <w:color w:val="000000"/>
                <w:sz w:val="18"/>
                <w:szCs w:val="18"/>
                <w:shd w:val="clear" w:color="auto" w:fill="FFFFFF"/>
              </w:rPr>
              <w:t>%时)</w:t>
            </w:r>
          </w:p>
        </w:tc>
        <w:tc>
          <w:tcPr>
            <w:tcW w:w="952" w:type="pct"/>
            <w:vAlign w:val="center"/>
          </w:tcPr>
          <w:p w14:paraId="3B2F47E0">
            <w:pPr>
              <w:pageBreakBefore w:val="0"/>
              <w:wordWrap/>
              <w:bidi w:val="0"/>
              <w:jc w:val="center"/>
              <w:outlineLvl w:val="9"/>
              <w:rPr>
                <w:rFonts w:ascii="宋体" w:hAnsi="宋体"/>
                <w:color w:val="000000"/>
                <w:sz w:val="18"/>
                <w:szCs w:val="18"/>
                <w:shd w:val="clear" w:color="auto" w:fill="FFFFFF"/>
              </w:rPr>
            </w:pPr>
            <w:r>
              <w:rPr>
                <w:rFonts w:hint="eastAsia" w:ascii="宋体" w:hAnsi="宋体"/>
                <w:color w:val="000000"/>
                <w:sz w:val="18"/>
                <w:szCs w:val="18"/>
                <w:shd w:val="clear" w:color="auto" w:fill="FFFFFF"/>
              </w:rPr>
              <w:t>总均方误差</w:t>
            </w:r>
          </w:p>
          <w:p w14:paraId="437E4EA4">
            <w:pPr>
              <w:pageBreakBefore w:val="0"/>
              <w:wordWrap/>
              <w:bidi w:val="0"/>
              <w:jc w:val="center"/>
              <w:outlineLvl w:val="9"/>
              <w:rPr>
                <w:rFonts w:ascii="宋体" w:hAnsi="宋体"/>
                <w:color w:val="000000"/>
                <w:sz w:val="18"/>
                <w:szCs w:val="18"/>
                <w:shd w:val="clear" w:color="auto" w:fill="FFFFFF"/>
              </w:rPr>
            </w:pPr>
            <w:r>
              <w:rPr>
                <w:rFonts w:hint="eastAsia" w:ascii="宋体" w:hAnsi="宋体"/>
                <w:color w:val="000000"/>
                <w:sz w:val="18"/>
                <w:szCs w:val="18"/>
                <w:shd w:val="clear" w:color="auto" w:fill="FFFFFF"/>
              </w:rPr>
              <w:t>(ηa≤3%时)</w:t>
            </w:r>
          </w:p>
        </w:tc>
        <w:tc>
          <w:tcPr>
            <w:tcW w:w="1274" w:type="pct"/>
            <w:tcBorders>
              <w:right w:val="nil"/>
            </w:tcBorders>
            <w:vAlign w:val="center"/>
          </w:tcPr>
          <w:p w14:paraId="1C5DD911">
            <w:pPr>
              <w:pageBreakBefore w:val="0"/>
              <w:wordWrap/>
              <w:bidi w:val="0"/>
              <w:jc w:val="center"/>
              <w:outlineLvl w:val="9"/>
              <w:rPr>
                <w:rFonts w:ascii="宋体" w:hAnsi="宋体"/>
                <w:color w:val="000000"/>
                <w:sz w:val="18"/>
                <w:szCs w:val="18"/>
                <w:shd w:val="clear" w:color="auto" w:fill="FFFFFF"/>
              </w:rPr>
            </w:pPr>
            <w:r>
              <w:rPr>
                <w:rFonts w:hint="eastAsia" w:ascii="宋体" w:hAnsi="宋体"/>
                <w:color w:val="000000"/>
                <w:sz w:val="18"/>
                <w:szCs w:val="18"/>
                <w:shd w:val="clear" w:color="auto" w:fill="FFFFFF"/>
              </w:rPr>
              <w:t>总均方相对误差%</w:t>
            </w:r>
          </w:p>
          <w:p w14:paraId="30A2FB26">
            <w:pPr>
              <w:pageBreakBefore w:val="0"/>
              <w:wordWrap/>
              <w:bidi w:val="0"/>
              <w:jc w:val="center"/>
              <w:outlineLvl w:val="9"/>
              <w:rPr>
                <w:rFonts w:ascii="宋体" w:hAnsi="宋体"/>
                <w:color w:val="000000"/>
                <w:sz w:val="18"/>
                <w:szCs w:val="18"/>
                <w:shd w:val="clear" w:color="auto" w:fill="FFFFFF"/>
              </w:rPr>
            </w:pPr>
            <w:r>
              <w:rPr>
                <w:rFonts w:hint="eastAsia" w:ascii="宋体" w:hAnsi="宋体"/>
                <w:color w:val="000000"/>
                <w:sz w:val="18"/>
                <w:szCs w:val="18"/>
                <w:shd w:val="clear" w:color="auto" w:fill="FFFFFF"/>
              </w:rPr>
              <w:t>(无位差)</w:t>
            </w:r>
          </w:p>
        </w:tc>
      </w:tr>
      <w:tr w14:paraId="050D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Merge w:val="restart"/>
            <w:tcBorders>
              <w:left w:val="nil"/>
            </w:tcBorders>
            <w:vAlign w:val="center"/>
          </w:tcPr>
          <w:p w14:paraId="5A2DFB17">
            <w:pPr>
              <w:pageBreakBefore w:val="0"/>
              <w:wordWrap/>
              <w:bidi w:val="0"/>
              <w:outlineLvl w:val="9"/>
              <w:rPr>
                <w:rFonts w:ascii="宋体" w:hAnsi="宋体"/>
                <w:bCs/>
                <w:color w:val="000000"/>
                <w:kern w:val="0"/>
                <w:sz w:val="18"/>
                <w:szCs w:val="18"/>
                <w:shd w:val="clear" w:color="auto" w:fill="FFFFFF"/>
              </w:rPr>
            </w:pPr>
            <w:r>
              <w:rPr>
                <w:rFonts w:hint="eastAsia" w:ascii="宋体" w:hAnsi="宋体"/>
                <w:bCs/>
                <w:color w:val="000000"/>
                <w:kern w:val="0"/>
                <w:sz w:val="18"/>
                <w:szCs w:val="18"/>
                <w:shd w:val="clear" w:color="auto" w:fill="FFFFFF"/>
              </w:rPr>
              <w:t>激电中梯</w:t>
            </w:r>
          </w:p>
        </w:tc>
        <w:tc>
          <w:tcPr>
            <w:tcW w:w="726" w:type="pct"/>
            <w:vAlign w:val="center"/>
          </w:tcPr>
          <w:p w14:paraId="1E744CD0">
            <w:pPr>
              <w:pageBreakBefore w:val="0"/>
              <w:wordWrap/>
              <w:bidi w:val="0"/>
              <w:outlineLvl w:val="9"/>
              <w:rPr>
                <w:rFonts w:ascii="宋体" w:hAnsi="宋体"/>
                <w:color w:val="000000"/>
                <w:sz w:val="18"/>
                <w:szCs w:val="18"/>
                <w:shd w:val="clear" w:color="auto" w:fill="FFFFFF"/>
              </w:rPr>
            </w:pPr>
            <w:r>
              <w:rPr>
                <w:rFonts w:hint="eastAsia" w:ascii="宋体" w:hAnsi="宋体"/>
                <w:color w:val="000000"/>
                <w:sz w:val="18"/>
                <w:szCs w:val="18"/>
                <w:shd w:val="clear" w:color="auto" w:fill="FFFFFF"/>
              </w:rPr>
              <w:t>普查</w:t>
            </w:r>
          </w:p>
        </w:tc>
        <w:tc>
          <w:tcPr>
            <w:tcW w:w="541" w:type="pct"/>
            <w:vAlign w:val="center"/>
          </w:tcPr>
          <w:p w14:paraId="52FE702A">
            <w:pPr>
              <w:pageBreakBefore w:val="0"/>
              <w:wordWrap/>
              <w:bidi w:val="0"/>
              <w:outlineLvl w:val="9"/>
              <w:rPr>
                <w:rFonts w:ascii="宋体" w:hAnsi="宋体"/>
                <w:color w:val="000000"/>
                <w:sz w:val="18"/>
                <w:szCs w:val="18"/>
                <w:shd w:val="clear" w:color="auto" w:fill="FFFFFF"/>
              </w:rPr>
            </w:pPr>
            <w:r>
              <w:rPr>
                <w:rFonts w:hint="eastAsia" w:ascii="宋体" w:hAnsi="宋体"/>
                <w:color w:val="000000"/>
                <w:sz w:val="18"/>
                <w:szCs w:val="18"/>
                <w:shd w:val="clear" w:color="auto" w:fill="FFFFFF"/>
              </w:rPr>
              <w:t>3—5%</w:t>
            </w:r>
          </w:p>
        </w:tc>
        <w:tc>
          <w:tcPr>
            <w:tcW w:w="1116" w:type="pct"/>
            <w:vAlign w:val="center"/>
          </w:tcPr>
          <w:p w14:paraId="77AFDD6C">
            <w:pPr>
              <w:pageBreakBefore w:val="0"/>
              <w:wordWrap/>
              <w:bidi w:val="0"/>
              <w:jc w:val="center"/>
              <w:outlineLvl w:val="9"/>
              <w:rPr>
                <w:rFonts w:ascii="宋体" w:hAnsi="宋体"/>
                <w:color w:val="000000"/>
                <w:sz w:val="18"/>
                <w:szCs w:val="18"/>
                <w:shd w:val="clear" w:color="auto" w:fill="FFFFFF"/>
              </w:rPr>
            </w:pPr>
            <w:r>
              <w:rPr>
                <w:rFonts w:ascii="宋体" w:hAnsi="宋体"/>
                <w:color w:val="000000"/>
                <w:sz w:val="18"/>
                <w:szCs w:val="18"/>
                <w:shd w:val="clear" w:color="auto" w:fill="FFFFFF"/>
              </w:rPr>
              <w:t>7</w:t>
            </w:r>
          </w:p>
        </w:tc>
        <w:tc>
          <w:tcPr>
            <w:tcW w:w="952" w:type="pct"/>
            <w:vAlign w:val="center"/>
          </w:tcPr>
          <w:p w14:paraId="4B593DAB">
            <w:pPr>
              <w:pageBreakBefore w:val="0"/>
              <w:wordWrap/>
              <w:bidi w:val="0"/>
              <w:jc w:val="center"/>
              <w:outlineLvl w:val="9"/>
              <w:rPr>
                <w:rFonts w:ascii="宋体" w:hAnsi="宋体"/>
                <w:color w:val="000000"/>
                <w:sz w:val="18"/>
                <w:szCs w:val="18"/>
                <w:shd w:val="clear" w:color="auto" w:fill="FFFFFF"/>
              </w:rPr>
            </w:pPr>
            <w:r>
              <w:rPr>
                <w:rFonts w:ascii="宋体" w:hAnsi="宋体"/>
                <w:color w:val="000000"/>
                <w:sz w:val="18"/>
                <w:szCs w:val="18"/>
                <w:shd w:val="clear" w:color="auto" w:fill="FFFFFF"/>
              </w:rPr>
              <w:t>0.21</w:t>
            </w:r>
          </w:p>
        </w:tc>
        <w:tc>
          <w:tcPr>
            <w:tcW w:w="1274" w:type="pct"/>
            <w:tcBorders>
              <w:right w:val="nil"/>
            </w:tcBorders>
            <w:vAlign w:val="center"/>
          </w:tcPr>
          <w:p w14:paraId="7D30E216">
            <w:pPr>
              <w:pageBreakBefore w:val="0"/>
              <w:wordWrap/>
              <w:bidi w:val="0"/>
              <w:jc w:val="center"/>
              <w:outlineLvl w:val="9"/>
              <w:rPr>
                <w:rFonts w:ascii="宋体" w:hAnsi="宋体"/>
                <w:color w:val="000000"/>
                <w:sz w:val="18"/>
                <w:szCs w:val="18"/>
                <w:shd w:val="clear" w:color="auto" w:fill="FFFFFF"/>
              </w:rPr>
            </w:pPr>
            <w:r>
              <w:rPr>
                <w:rFonts w:ascii="宋体" w:hAnsi="宋体"/>
                <w:color w:val="000000"/>
                <w:sz w:val="18"/>
                <w:szCs w:val="18"/>
                <w:shd w:val="clear" w:color="auto" w:fill="FFFFFF"/>
              </w:rPr>
              <w:t>7</w:t>
            </w:r>
          </w:p>
        </w:tc>
      </w:tr>
      <w:tr w14:paraId="4B81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Merge w:val="continue"/>
            <w:tcBorders>
              <w:left w:val="nil"/>
            </w:tcBorders>
            <w:vAlign w:val="center"/>
          </w:tcPr>
          <w:p w14:paraId="12266F72">
            <w:pPr>
              <w:pageBreakBefore w:val="0"/>
              <w:wordWrap/>
              <w:bidi w:val="0"/>
              <w:outlineLvl w:val="9"/>
              <w:rPr>
                <w:rFonts w:ascii="宋体" w:hAnsi="宋体"/>
                <w:color w:val="000000"/>
                <w:sz w:val="18"/>
                <w:szCs w:val="18"/>
                <w:shd w:val="clear" w:color="auto" w:fill="FFFFFF"/>
              </w:rPr>
            </w:pPr>
          </w:p>
        </w:tc>
        <w:tc>
          <w:tcPr>
            <w:tcW w:w="726" w:type="pct"/>
            <w:vAlign w:val="center"/>
          </w:tcPr>
          <w:p w14:paraId="22F7C76B">
            <w:pPr>
              <w:pageBreakBefore w:val="0"/>
              <w:wordWrap/>
              <w:bidi w:val="0"/>
              <w:outlineLvl w:val="9"/>
              <w:rPr>
                <w:rFonts w:ascii="宋体" w:hAnsi="宋体"/>
                <w:color w:val="000000"/>
                <w:sz w:val="18"/>
                <w:szCs w:val="18"/>
                <w:shd w:val="clear" w:color="auto" w:fill="FFFFFF"/>
              </w:rPr>
            </w:pPr>
            <w:r>
              <w:rPr>
                <w:rFonts w:hint="eastAsia" w:ascii="宋体" w:hAnsi="宋体"/>
                <w:color w:val="000000"/>
                <w:sz w:val="18"/>
                <w:szCs w:val="18"/>
                <w:shd w:val="clear" w:color="auto" w:fill="FFFFFF"/>
              </w:rPr>
              <w:t>异常检查</w:t>
            </w:r>
          </w:p>
        </w:tc>
        <w:tc>
          <w:tcPr>
            <w:tcW w:w="541" w:type="pct"/>
            <w:vAlign w:val="center"/>
          </w:tcPr>
          <w:p w14:paraId="3F76FE6C">
            <w:pPr>
              <w:pageBreakBefore w:val="0"/>
              <w:wordWrap/>
              <w:bidi w:val="0"/>
              <w:outlineLvl w:val="9"/>
              <w:rPr>
                <w:rFonts w:ascii="宋体" w:hAnsi="宋体"/>
                <w:color w:val="000000"/>
                <w:sz w:val="18"/>
                <w:szCs w:val="18"/>
                <w:shd w:val="clear" w:color="auto" w:fill="FFFFFF"/>
              </w:rPr>
            </w:pPr>
            <w:r>
              <w:rPr>
                <w:rFonts w:hint="eastAsia" w:ascii="宋体" w:hAnsi="宋体"/>
                <w:color w:val="000000"/>
                <w:sz w:val="18"/>
                <w:szCs w:val="18"/>
                <w:shd w:val="clear" w:color="auto" w:fill="FFFFFF"/>
              </w:rPr>
              <w:t>≥</w:t>
            </w:r>
            <w:r>
              <w:rPr>
                <w:rFonts w:ascii="宋体" w:hAnsi="宋体"/>
                <w:color w:val="000000"/>
                <w:sz w:val="18"/>
                <w:szCs w:val="18"/>
                <w:shd w:val="clear" w:color="auto" w:fill="FFFFFF"/>
              </w:rPr>
              <w:t>10%</w:t>
            </w:r>
          </w:p>
        </w:tc>
        <w:tc>
          <w:tcPr>
            <w:tcW w:w="1116" w:type="pct"/>
            <w:vAlign w:val="center"/>
          </w:tcPr>
          <w:p w14:paraId="034632D4">
            <w:pPr>
              <w:pageBreakBefore w:val="0"/>
              <w:wordWrap/>
              <w:bidi w:val="0"/>
              <w:jc w:val="center"/>
              <w:outlineLvl w:val="9"/>
              <w:rPr>
                <w:rFonts w:ascii="宋体" w:hAnsi="宋体"/>
                <w:color w:val="000000"/>
                <w:sz w:val="18"/>
                <w:szCs w:val="18"/>
                <w:shd w:val="clear" w:color="auto" w:fill="FFFFFF"/>
              </w:rPr>
            </w:pPr>
            <w:r>
              <w:rPr>
                <w:rFonts w:hint="eastAsia" w:ascii="宋体" w:hAnsi="宋体"/>
                <w:color w:val="000000"/>
                <w:sz w:val="18"/>
                <w:szCs w:val="18"/>
                <w:shd w:val="clear" w:color="auto" w:fill="FFFFFF"/>
              </w:rPr>
              <w:t>7</w:t>
            </w:r>
          </w:p>
        </w:tc>
        <w:tc>
          <w:tcPr>
            <w:tcW w:w="952" w:type="pct"/>
            <w:vAlign w:val="center"/>
          </w:tcPr>
          <w:p w14:paraId="09BECAB5">
            <w:pPr>
              <w:pageBreakBefore w:val="0"/>
              <w:wordWrap/>
              <w:bidi w:val="0"/>
              <w:jc w:val="center"/>
              <w:outlineLvl w:val="9"/>
              <w:rPr>
                <w:rFonts w:ascii="宋体" w:hAnsi="宋体"/>
                <w:color w:val="000000"/>
                <w:sz w:val="18"/>
                <w:szCs w:val="18"/>
                <w:shd w:val="clear" w:color="auto" w:fill="FFFFFF"/>
              </w:rPr>
            </w:pPr>
            <w:r>
              <w:rPr>
                <w:rFonts w:ascii="宋体" w:hAnsi="宋体"/>
                <w:color w:val="000000"/>
                <w:sz w:val="18"/>
                <w:szCs w:val="18"/>
                <w:shd w:val="clear" w:color="auto" w:fill="FFFFFF"/>
              </w:rPr>
              <w:t>0.21</w:t>
            </w:r>
          </w:p>
        </w:tc>
        <w:tc>
          <w:tcPr>
            <w:tcW w:w="1274" w:type="pct"/>
            <w:tcBorders>
              <w:right w:val="nil"/>
            </w:tcBorders>
            <w:vAlign w:val="center"/>
          </w:tcPr>
          <w:p w14:paraId="350FFFF1">
            <w:pPr>
              <w:pageBreakBefore w:val="0"/>
              <w:wordWrap/>
              <w:bidi w:val="0"/>
              <w:jc w:val="center"/>
              <w:outlineLvl w:val="9"/>
              <w:rPr>
                <w:rFonts w:ascii="宋体" w:hAnsi="宋体"/>
                <w:color w:val="000000"/>
                <w:sz w:val="18"/>
                <w:szCs w:val="18"/>
                <w:shd w:val="clear" w:color="auto" w:fill="FFFFFF"/>
              </w:rPr>
            </w:pPr>
            <w:r>
              <w:rPr>
                <w:rFonts w:hint="eastAsia" w:ascii="宋体" w:hAnsi="宋体"/>
                <w:color w:val="000000"/>
                <w:sz w:val="18"/>
                <w:szCs w:val="18"/>
                <w:shd w:val="clear" w:color="auto" w:fill="FFFFFF"/>
              </w:rPr>
              <w:t>7</w:t>
            </w:r>
          </w:p>
        </w:tc>
      </w:tr>
      <w:tr w14:paraId="2CA2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7" w:type="pct"/>
            <w:gridSpan w:val="2"/>
            <w:tcBorders>
              <w:left w:val="nil"/>
              <w:bottom w:val="single" w:color="auto" w:sz="12" w:space="0"/>
            </w:tcBorders>
            <w:vAlign w:val="center"/>
          </w:tcPr>
          <w:p w14:paraId="72B37809">
            <w:pPr>
              <w:pageBreakBefore w:val="0"/>
              <w:wordWrap/>
              <w:bidi w:val="0"/>
              <w:outlineLvl w:val="9"/>
              <w:rPr>
                <w:rFonts w:ascii="宋体" w:hAnsi="宋体"/>
                <w:color w:val="000000"/>
                <w:sz w:val="18"/>
                <w:szCs w:val="18"/>
                <w:shd w:val="clear" w:color="auto" w:fill="FFFFFF"/>
              </w:rPr>
            </w:pPr>
            <w:r>
              <w:rPr>
                <w:rFonts w:hint="eastAsia" w:ascii="宋体" w:hAnsi="宋体"/>
                <w:color w:val="000000"/>
                <w:sz w:val="18"/>
                <w:szCs w:val="18"/>
                <w:shd w:val="clear" w:color="auto" w:fill="FFFFFF"/>
              </w:rPr>
              <w:t>激电测深</w:t>
            </w:r>
          </w:p>
        </w:tc>
        <w:tc>
          <w:tcPr>
            <w:tcW w:w="541" w:type="pct"/>
            <w:tcBorders>
              <w:bottom w:val="single" w:color="auto" w:sz="12" w:space="0"/>
            </w:tcBorders>
            <w:vAlign w:val="center"/>
          </w:tcPr>
          <w:p w14:paraId="7AF11972">
            <w:pPr>
              <w:pageBreakBefore w:val="0"/>
              <w:wordWrap/>
              <w:bidi w:val="0"/>
              <w:outlineLvl w:val="9"/>
              <w:rPr>
                <w:rFonts w:ascii="宋体" w:hAnsi="宋体"/>
                <w:color w:val="000000"/>
                <w:sz w:val="18"/>
                <w:szCs w:val="18"/>
                <w:shd w:val="clear" w:color="auto" w:fill="FFFFFF"/>
              </w:rPr>
            </w:pPr>
            <w:r>
              <w:rPr>
                <w:rFonts w:hint="eastAsia" w:ascii="宋体" w:hAnsi="宋体"/>
                <w:color w:val="000000"/>
                <w:sz w:val="18"/>
                <w:szCs w:val="18"/>
                <w:shd w:val="clear" w:color="auto" w:fill="FFFFFF"/>
              </w:rPr>
              <w:t>≥</w:t>
            </w:r>
            <w:r>
              <w:rPr>
                <w:rFonts w:ascii="宋体" w:hAnsi="宋体"/>
                <w:color w:val="000000"/>
                <w:sz w:val="18"/>
                <w:szCs w:val="18"/>
                <w:shd w:val="clear" w:color="auto" w:fill="FFFFFF"/>
              </w:rPr>
              <w:t>10%</w:t>
            </w:r>
          </w:p>
        </w:tc>
        <w:tc>
          <w:tcPr>
            <w:tcW w:w="1116" w:type="pct"/>
            <w:tcBorders>
              <w:bottom w:val="single" w:color="auto" w:sz="12" w:space="0"/>
            </w:tcBorders>
            <w:vAlign w:val="center"/>
          </w:tcPr>
          <w:p w14:paraId="2554668D">
            <w:pPr>
              <w:pageBreakBefore w:val="0"/>
              <w:wordWrap/>
              <w:bidi w:val="0"/>
              <w:jc w:val="center"/>
              <w:outlineLvl w:val="9"/>
              <w:rPr>
                <w:rFonts w:ascii="宋体" w:hAnsi="宋体"/>
                <w:color w:val="000000"/>
                <w:sz w:val="18"/>
                <w:szCs w:val="18"/>
                <w:shd w:val="clear" w:color="auto" w:fill="FFFFFF"/>
              </w:rPr>
            </w:pPr>
            <w:r>
              <w:rPr>
                <w:rFonts w:hint="eastAsia" w:ascii="宋体" w:hAnsi="宋体"/>
                <w:color w:val="000000"/>
                <w:sz w:val="18"/>
                <w:szCs w:val="18"/>
                <w:shd w:val="clear" w:color="auto" w:fill="FFFFFF"/>
              </w:rPr>
              <w:t>7</w:t>
            </w:r>
          </w:p>
        </w:tc>
        <w:tc>
          <w:tcPr>
            <w:tcW w:w="952" w:type="pct"/>
            <w:tcBorders>
              <w:bottom w:val="single" w:color="auto" w:sz="12" w:space="0"/>
            </w:tcBorders>
            <w:vAlign w:val="center"/>
          </w:tcPr>
          <w:p w14:paraId="4B226DBD">
            <w:pPr>
              <w:pageBreakBefore w:val="0"/>
              <w:wordWrap/>
              <w:bidi w:val="0"/>
              <w:jc w:val="center"/>
              <w:outlineLvl w:val="9"/>
              <w:rPr>
                <w:rFonts w:ascii="宋体" w:hAnsi="宋体"/>
                <w:color w:val="000000"/>
                <w:sz w:val="18"/>
                <w:szCs w:val="18"/>
                <w:shd w:val="clear" w:color="auto" w:fill="FFFFFF"/>
              </w:rPr>
            </w:pPr>
            <w:r>
              <w:rPr>
                <w:rFonts w:ascii="宋体" w:hAnsi="宋体"/>
                <w:color w:val="000000"/>
                <w:sz w:val="18"/>
                <w:szCs w:val="18"/>
                <w:shd w:val="clear" w:color="auto" w:fill="FFFFFF"/>
              </w:rPr>
              <w:t>0.21</w:t>
            </w:r>
          </w:p>
        </w:tc>
        <w:tc>
          <w:tcPr>
            <w:tcW w:w="1274" w:type="pct"/>
            <w:tcBorders>
              <w:bottom w:val="single" w:color="auto" w:sz="12" w:space="0"/>
              <w:right w:val="nil"/>
            </w:tcBorders>
            <w:vAlign w:val="center"/>
          </w:tcPr>
          <w:p w14:paraId="3042E4F5">
            <w:pPr>
              <w:pageBreakBefore w:val="0"/>
              <w:wordWrap/>
              <w:bidi w:val="0"/>
              <w:jc w:val="center"/>
              <w:outlineLvl w:val="9"/>
              <w:rPr>
                <w:rFonts w:ascii="宋体" w:hAnsi="宋体"/>
                <w:color w:val="000000"/>
                <w:sz w:val="18"/>
                <w:szCs w:val="18"/>
                <w:shd w:val="clear" w:color="auto" w:fill="FFFFFF"/>
              </w:rPr>
            </w:pPr>
            <w:r>
              <w:rPr>
                <w:rFonts w:hint="eastAsia" w:ascii="宋体" w:hAnsi="宋体"/>
                <w:color w:val="000000"/>
                <w:sz w:val="18"/>
                <w:szCs w:val="18"/>
                <w:shd w:val="clear" w:color="auto" w:fill="FFFFFF"/>
              </w:rPr>
              <w:t>7</w:t>
            </w:r>
          </w:p>
        </w:tc>
      </w:tr>
    </w:tbl>
    <w:p w14:paraId="40F9466C">
      <w:pPr>
        <w:pageBreakBefore w:val="0"/>
        <w:wordWrap/>
        <w:bidi w:val="0"/>
        <w:spacing w:line="100" w:lineRule="exact"/>
        <w:ind w:firstLine="561"/>
        <w:outlineLvl w:val="9"/>
        <w:rPr>
          <w:rFonts w:ascii="宋体" w:hAnsi="宋体"/>
          <w:color w:val="000000"/>
          <w:sz w:val="28"/>
          <w:szCs w:val="28"/>
        </w:rPr>
      </w:pPr>
    </w:p>
    <w:p w14:paraId="79CC01D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应尽量垂直于极化体的走向、地质构造线方向或垂直于其它物化探异常的长激电野外质检工作应与原始观测同步进行，质量检查采用一同三不同的质检方式，即同点位、不同仪器、不同时间、不同操作者，检查量为10%。</w:t>
      </w:r>
    </w:p>
    <w:p w14:paraId="029CC25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(5)电法资料整理</w:t>
      </w:r>
    </w:p>
    <w:p w14:paraId="6E956CB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主要包括仪器一致性资料的计算，视电阻率计算，精度统计及接口处理等内容，其视电阻率计算中的K值应经100%的对算，确保无误。</w:t>
      </w:r>
    </w:p>
    <w:p w14:paraId="0B2D936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视电阻率计算采用以下公式：</w:t>
      </w:r>
    </w:p>
    <w:p w14:paraId="5B97503C">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 xml:space="preserve">K=2π/(1/AM－1/AN－1/BM＋1/BN) </w:t>
      </w:r>
    </w:p>
    <w:p w14:paraId="4A4EB03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Ps＝K×Vp/I</w:t>
      </w:r>
    </w:p>
    <w:p w14:paraId="3D18578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电法资料的处理主要用于确定视极化率的背景场和对极化体的正演。背景场的分析可选用趋势面分析(一般用二次)或数理统计的方法进行，以提供划分局部异常的基础性资料。选择正演法主要用于有意义异常的解释推断之中。</w:t>
      </w:r>
    </w:p>
    <w:p w14:paraId="44C2CBB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4．激电测深</w:t>
      </w:r>
    </w:p>
    <w:p w14:paraId="1D3743B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择优选择矿化蚀变较好、有利于开展进一步找矿工作的化探异常和矿点，布设激电测深点，共设计工作量80点。</w:t>
      </w:r>
    </w:p>
    <w:p w14:paraId="5E6691E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激电测深采用等比装置AB∶MN=10∶1，最大AB为2000米，一般供电方向垂直于剖面方向，即平行异常走向供电。工作中为了保证电流稳定和足够大，供电电极采用0.3～0.6平方米铝箔作为供电电极，观测前A、B极进行挖坑浇上盐水，加洗衣粉保湿。改小A、B极接地电阻＜300Ω·m测量电极工作前进行挖坑浇水，保证MN良好接地。在每个点逐渐增大(AB/2)电极距进行测量，并绘制激发极化实测测深曲线。当电极距增大到一定程度时达到饱和值或极大值，在曲线上确定A-B转折点，矿体顶板埋深按h= AB /2(转折点)计算；底板按h=(1/6-1/5)AB/2(饱和值)计算，结合矿区的地层、构造条件，综合估算矿体的埋藏深度。</w:t>
      </w:r>
    </w:p>
    <w:p w14:paraId="025772F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改电极A-B平行矿体走向布置，同时绘制等值线断面图。利用此图进一步确定各主要矿体的倾向和深度。</w:t>
      </w:r>
    </w:p>
    <w:p w14:paraId="694631E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野外工作过程中，评定工作质量的主要标准就是进行系统质量检查工作。质检工作遵循“一同三不同(同点位、不同日期、不同仪器、不同操作员)的原则，剖面性工作要求在全区时间上、平面上基本分布均匀，主要分布于异常地段，同时也兼顾正常场，质检工作量要占总工作量的10%以上，精度按B级精度要求。激电测深质检工作量不低于10%，且要检查该测深点的全部极距点，精度按A级精度要求。</w:t>
      </w:r>
    </w:p>
    <w:p w14:paraId="68CBCCF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其他未尽事宜参照《时间域激发极化法技术规定》(DZ/T</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0070－</w:t>
      </w:r>
      <w:r>
        <w:rPr>
          <w:rFonts w:hint="eastAsia" w:ascii="仿宋" w:hAnsi="仿宋" w:eastAsia="仿宋" w:cs="仿宋"/>
          <w:sz w:val="24"/>
          <w:szCs w:val="24"/>
          <w:lang w:val="en-US" w:eastAsia="zh-CN"/>
        </w:rPr>
        <w:t>2016</w:t>
      </w:r>
      <w:r>
        <w:rPr>
          <w:rFonts w:hint="eastAsia" w:ascii="仿宋" w:hAnsi="仿宋" w:eastAsia="仿宋" w:cs="仿宋"/>
          <w:sz w:val="24"/>
          <w:szCs w:val="24"/>
        </w:rPr>
        <w:t>)之相关技术要求执行。</w:t>
      </w:r>
    </w:p>
    <w:p w14:paraId="1A9B5B4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5．物性测量</w:t>
      </w:r>
    </w:p>
    <w:p w14:paraId="78F643C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物性标本的采集：要求全区大致分布均匀，且主要岩性标本数不少于30块，规格10×</w:t>
      </w:r>
      <w:r>
        <w:rPr>
          <w:rFonts w:hint="eastAsia" w:ascii="仿宋" w:hAnsi="仿宋" w:eastAsia="仿宋" w:cs="仿宋"/>
          <w:sz w:val="24"/>
          <w:szCs w:val="24"/>
          <w:lang w:val="en-US" w:eastAsia="zh-CN"/>
        </w:rPr>
        <w:t>10</w:t>
      </w:r>
      <w:r>
        <w:rPr>
          <w:rFonts w:hint="eastAsia" w:ascii="仿宋" w:hAnsi="仿宋" w:eastAsia="仿宋" w:cs="仿宋"/>
          <w:sz w:val="24"/>
          <w:szCs w:val="24"/>
        </w:rPr>
        <w:t>×</w:t>
      </w:r>
      <w:r>
        <w:rPr>
          <w:rFonts w:hint="eastAsia" w:ascii="仿宋" w:hAnsi="仿宋" w:eastAsia="仿宋" w:cs="仿宋"/>
          <w:sz w:val="24"/>
          <w:szCs w:val="24"/>
          <w:lang w:val="en-US" w:eastAsia="zh-CN"/>
        </w:rPr>
        <w:t>10</w:t>
      </w:r>
      <w:r>
        <w:rPr>
          <w:rFonts w:hint="eastAsia" w:ascii="仿宋" w:hAnsi="仿宋" w:eastAsia="仿宋" w:cs="仿宋"/>
          <w:sz w:val="24"/>
          <w:szCs w:val="24"/>
        </w:rPr>
        <w:t>厘米。</w:t>
      </w:r>
    </w:p>
    <w:p w14:paraId="2CCE76E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电性参数的测定：野外可根据具体情况对有代表性的岩性进行适量的小四极露头参数(ηα、ρα)的测定，标本测定参数主要以极化率(η)为主，对规则的标本进行适量的电阻率(ρ)参数测定。</w:t>
      </w:r>
    </w:p>
    <w:p w14:paraId="62FEBF4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质量评定：检查某一种岩性的全部标本，且达到标本总数的10%。</w:t>
      </w:r>
    </w:p>
    <w:p w14:paraId="2AA4D0D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p>
    <w:p w14:paraId="7C849053">
      <w:pPr>
        <w:pageBreakBefore w:val="0"/>
        <w:wordWrap/>
        <w:bidi w:val="0"/>
        <w:spacing w:line="480" w:lineRule="auto"/>
        <w:ind w:firstLine="560"/>
        <w:outlineLvl w:val="9"/>
        <w:rPr>
          <w:rFonts w:ascii="仿宋" w:hAnsi="仿宋" w:eastAsia="仿宋" w:cs="仿宋"/>
          <w:sz w:val="24"/>
          <w:szCs w:val="24"/>
        </w:rPr>
      </w:pPr>
    </w:p>
    <w:p w14:paraId="5A6F63B1">
      <w:pPr>
        <w:pageBreakBefore w:val="0"/>
        <w:wordWrap/>
        <w:bidi w:val="0"/>
        <w:spacing w:line="480" w:lineRule="auto"/>
        <w:ind w:firstLine="560"/>
        <w:outlineLvl w:val="9"/>
        <w:rPr>
          <w:rFonts w:ascii="仿宋" w:hAnsi="仿宋" w:eastAsia="仿宋" w:cs="仿宋"/>
          <w:sz w:val="24"/>
          <w:szCs w:val="24"/>
        </w:rPr>
      </w:pPr>
    </w:p>
    <w:p w14:paraId="150FBEBC">
      <w:pPr>
        <w:rPr>
          <w:rFonts w:hint="eastAsia" w:ascii="仿宋" w:hAnsi="仿宋" w:eastAsia="仿宋" w:cs="仿宋"/>
          <w:b/>
          <w:bCs/>
          <w:sz w:val="24"/>
          <w:szCs w:val="24"/>
        </w:rPr>
      </w:pPr>
      <w:r>
        <w:rPr>
          <w:rFonts w:hint="eastAsia" w:ascii="仿宋" w:hAnsi="仿宋" w:eastAsia="仿宋" w:cs="仿宋"/>
          <w:b/>
          <w:bCs/>
          <w:sz w:val="24"/>
          <w:szCs w:val="24"/>
        </w:rPr>
        <w:br w:type="page"/>
      </w:r>
    </w:p>
    <w:p w14:paraId="63B49240">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1"/>
        <w:rPr>
          <w:rFonts w:ascii="仿宋" w:hAnsi="仿宋" w:eastAsia="仿宋" w:cs="仿宋"/>
          <w:b/>
          <w:bCs/>
          <w:sz w:val="24"/>
          <w:szCs w:val="24"/>
        </w:rPr>
      </w:pPr>
      <w:r>
        <w:rPr>
          <w:rFonts w:hint="eastAsia" w:ascii="仿宋" w:hAnsi="仿宋" w:eastAsia="仿宋" w:cs="仿宋"/>
          <w:b/>
          <w:bCs/>
          <w:sz w:val="24"/>
          <w:szCs w:val="24"/>
          <w:lang w:val="en-US" w:eastAsia="zh-CN"/>
        </w:rPr>
        <w:t>⑨、</w:t>
      </w:r>
      <w:r>
        <w:rPr>
          <w:rFonts w:hint="eastAsia" w:ascii="仿宋" w:hAnsi="仿宋" w:eastAsia="仿宋" w:cs="仿宋"/>
          <w:b/>
          <w:bCs/>
          <w:sz w:val="24"/>
          <w:szCs w:val="24"/>
        </w:rPr>
        <w:t>新疆青河县乔夏巴斯陶一带铬铁矿普查</w:t>
      </w:r>
    </w:p>
    <w:p w14:paraId="02305D13">
      <w:pPr>
        <w:keepNext w:val="0"/>
        <w:keepLines w:val="0"/>
        <w:pageBreakBefore w:val="0"/>
        <w:kinsoku/>
        <w:wordWrap/>
        <w:overflowPunct/>
        <w:topLinePunct w:val="0"/>
        <w:autoSpaceDE/>
        <w:autoSpaceDN/>
        <w:bidi w:val="0"/>
        <w:spacing w:line="360" w:lineRule="auto"/>
        <w:ind w:firstLine="482" w:firstLineChars="200"/>
        <w:textAlignment w:val="auto"/>
        <w:outlineLvl w:val="9"/>
        <w:rPr>
          <w:rFonts w:ascii="仿宋" w:hAnsi="仿宋" w:eastAsia="仿宋" w:cs="仿宋"/>
          <w:b/>
          <w:bCs/>
          <w:sz w:val="24"/>
          <w:szCs w:val="24"/>
        </w:rPr>
      </w:pPr>
      <w:r>
        <w:rPr>
          <w:rFonts w:hint="eastAsia" w:ascii="仿宋" w:hAnsi="仿宋" w:eastAsia="仿宋" w:cs="仿宋"/>
          <w:b/>
          <w:bCs/>
          <w:sz w:val="24"/>
          <w:szCs w:val="24"/>
        </w:rPr>
        <w:t>一、服务内容：</w:t>
      </w:r>
    </w:p>
    <w:p w14:paraId="7CE242C8">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工作区位于青河县城正南直距94千米处，行政区划隶属青河县管辖。从青河县沿228省道途经萨尔托海乡约116千米，沿便道行驶20千米可到达工作区，运距里程约136千米，越野汽车通行大约3小时。工作区以中-低山丘陵地形为主，内有山间便道可通行汽车，总体交通较为一般。距离工作区最近的汽车站为萨尔托海乡汽车站，最近的火车站为富蕴火车站，最近的飞机场为富蕴可可托海机场。工作区到青河县有柏油公路交通十分便利。工作区内部交通条件相对较好，整体地形切割不大，便于各项工作的开展，工程施工可修建简易施工便道</w:t>
      </w:r>
    </w:p>
    <w:p w14:paraId="384C773C">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工作区位于阿尔泰山东南麓与准噶尔盆地东北缘过渡地带，乌伦古河上游以南的中-低山丘陵区，总体呈北高南低、东高西低的倾斜态势。区内海拔一般在1650～2000米之间，相对高差约350米。属低山丘陵-戈壁丘陵地带。</w:t>
      </w:r>
    </w:p>
    <w:p w14:paraId="14AA6EE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工作区为干燥性大陆性气候，夏季炎热多西北风，冬季寒冷，秋季晴朗凉爽，春季不明显；区内地表水系不发育，仅在北部有乌伦古河流经，西部的个别沟谷可见小溪，其径流量较小，仅能满足牲畜的用水需求。乌伦古河距工作区7～8千米，中上游水流较湍急，二台以下水面宽广且平缓。</w:t>
      </w:r>
    </w:p>
    <w:p w14:paraId="78E102A8">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outlineLvl w:val="9"/>
        <w:rPr>
          <w:rFonts w:ascii="仿宋" w:hAnsi="仿宋" w:eastAsia="仿宋" w:cs="仿宋"/>
          <w:sz w:val="24"/>
          <w:szCs w:val="24"/>
        </w:rPr>
      </w:pPr>
      <w:r>
        <w:rPr>
          <w:rFonts w:hint="eastAsia" w:ascii="仿宋" w:hAnsi="仿宋" w:eastAsia="仿宋" w:cs="仿宋"/>
          <w:b/>
          <w:bCs/>
          <w:sz w:val="24"/>
          <w:szCs w:val="24"/>
        </w:rPr>
        <w:t>二、工作量：</w:t>
      </w:r>
      <w:r>
        <w:rPr>
          <w:rFonts w:hint="eastAsia" w:ascii="仿宋" w:hAnsi="仿宋" w:eastAsia="仿宋" w:cs="仿宋"/>
          <w:sz w:val="24"/>
          <w:szCs w:val="24"/>
        </w:rPr>
        <w:t>1∶1万高精度磁法测量5平方千米；1∶1000重磁地综合剖面测量5千米。</w:t>
      </w:r>
    </w:p>
    <w:p w14:paraId="4C0A8B22">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outlineLvl w:val="9"/>
        <w:rPr>
          <w:rFonts w:ascii="仿宋" w:hAnsi="仿宋" w:eastAsia="仿宋" w:cs="仿宋"/>
          <w:b/>
          <w:bCs/>
          <w:sz w:val="24"/>
          <w:szCs w:val="24"/>
        </w:rPr>
      </w:pPr>
      <w:r>
        <w:rPr>
          <w:rFonts w:hint="eastAsia" w:ascii="仿宋" w:hAnsi="仿宋" w:eastAsia="仿宋" w:cs="仿宋"/>
          <w:b/>
          <w:bCs/>
          <w:sz w:val="24"/>
          <w:szCs w:val="24"/>
        </w:rPr>
        <w:t>三、技术要求：</w:t>
      </w:r>
    </w:p>
    <w:p w14:paraId="790619B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(一)1∶1万高精度磁法测量</w:t>
      </w:r>
    </w:p>
    <w:p w14:paraId="6A5EC1ED">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本次1∶1万地面高精度磁测工作以中华人民共和国地质矿产行业标准（DZ/T0071-2025）《地面高精度磁测技术规程》为主要依据。测点由RTK放样，测点埋设木桩并油漆笔写明点线号。</w:t>
      </w:r>
    </w:p>
    <w:p w14:paraId="70165665">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1、仪器设备</w:t>
      </w:r>
    </w:p>
    <w:p w14:paraId="6C9E9956">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磁法仪器尽量使用同类型设备，分辨率优于0.1nT,以保障测量数据质量。</w:t>
      </w:r>
    </w:p>
    <w:p w14:paraId="1ACA85DF">
      <w:pPr>
        <w:pStyle w:val="20"/>
        <w:keepNext w:val="0"/>
        <w:keepLines w:val="0"/>
        <w:pageBreakBefore w:val="0"/>
        <w:tabs>
          <w:tab w:val="left" w:pos="3120"/>
          <w:tab w:val="left" w:pos="5220"/>
          <w:tab w:val="left" w:pos="7400"/>
        </w:tabs>
        <w:kinsoku/>
        <w:wordWrap/>
        <w:overflowPunct/>
        <w:topLinePunct w:val="0"/>
        <w:autoSpaceDE/>
        <w:autoSpaceDN/>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2、仪器性能试验</w:t>
      </w:r>
    </w:p>
    <w:p w14:paraId="4A5F432B">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在正式施工前，应对所使用的仪器性能进行测定，包括噪声试验、各仪器观测误差试验、仪器系统误差试验、一致性试验。</w:t>
      </w:r>
    </w:p>
    <w:p w14:paraId="6BC356B6">
      <w:pPr>
        <w:pStyle w:val="20"/>
        <w:keepNext w:val="0"/>
        <w:keepLines w:val="0"/>
        <w:pageBreakBefore w:val="0"/>
        <w:tabs>
          <w:tab w:val="left" w:pos="3120"/>
          <w:tab w:val="left" w:pos="5220"/>
          <w:tab w:val="left" w:pos="7400"/>
        </w:tabs>
        <w:kinsoku/>
        <w:wordWrap/>
        <w:overflowPunct/>
        <w:topLinePunct w:val="0"/>
        <w:autoSpaceDE/>
        <w:autoSpaceDN/>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（1）噪声水平试验</w:t>
      </w:r>
    </w:p>
    <w:p w14:paraId="350E5585">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ascii="仿宋" w:hAnsi="仿宋" w:eastAsia="仿宋" w:cs="仿宋"/>
          <w:sz w:val="24"/>
          <w:szCs w:val="24"/>
        </w:rPr>
      </w:pPr>
      <w:r>
        <w:rPr>
          <w:rFonts w:hint="eastAsia" w:ascii="仿宋" w:hAnsi="仿宋" w:eastAsia="仿宋" w:cs="仿宋"/>
          <w:sz w:val="24"/>
          <w:szCs w:val="24"/>
        </w:rPr>
        <w:t>噪声试验选择在磁场平稳地段，而又不受人文干扰场影响的地方进行，探头间距离保持在20米以上，使用仪器同时作秒级同步日变观测，每5-10秒读取一次读数。取100个以上观测值按下式计算每台仪器的噪声均方根的值S。</w:t>
      </w:r>
    </w:p>
    <w:p w14:paraId="711AA316">
      <w:pPr>
        <w:pageBreakBefore w:val="0"/>
        <w:wordWrap/>
        <w:bidi w:val="0"/>
        <w:spacing w:line="360" w:lineRule="auto"/>
        <w:ind w:firstLine="480" w:firstLineChars="200"/>
        <w:jc w:val="center"/>
        <w:outlineLvl w:val="9"/>
        <w:rPr>
          <w:rFonts w:ascii="仿宋" w:hAnsi="仿宋" w:eastAsia="仿宋" w:cs="仿宋"/>
          <w:sz w:val="24"/>
          <w:szCs w:val="24"/>
        </w:rPr>
      </w:pPr>
      <w:r>
        <w:rPr>
          <w:rFonts w:hint="eastAsia" w:ascii="仿宋" w:hAnsi="仿宋" w:eastAsia="仿宋" w:cs="仿宋"/>
          <w:sz w:val="24"/>
          <w:szCs w:val="24"/>
        </w:rPr>
        <w:object>
          <v:shape id="_x0000_i1228" o:spt="75" type="#_x0000_t75" style="height:66.75pt;width:150pt;" o:ole="t" filled="f" o:preferrelative="t" stroked="f" coordsize="21600,21600">
            <v:path/>
            <v:fill on="f" focussize="0,0"/>
            <v:stroke on="f" joinstyle="miter"/>
            <v:imagedata r:id="rId262" o:title=""/>
            <o:lock v:ext="edit" aspectratio="t"/>
            <w10:wrap type="none"/>
            <w10:anchorlock/>
          </v:shape>
          <o:OLEObject Type="Embed" ProgID="Equation.3" ShapeID="_x0000_i1228" DrawAspect="Content" ObjectID="_1468075928" r:id="rId444">
            <o:LockedField>false</o:LockedField>
          </o:OLEObject>
        </w:object>
      </w:r>
    </w:p>
    <w:p w14:paraId="2E430FA5">
      <w:pPr>
        <w:pageBreakBefore w:val="0"/>
        <w:wordWrap/>
        <w:bidi w:val="0"/>
        <w:spacing w:line="360" w:lineRule="auto"/>
        <w:ind w:firstLine="480" w:firstLineChars="200"/>
        <w:jc w:val="center"/>
        <w:outlineLvl w:val="9"/>
        <w:rPr>
          <w:rFonts w:ascii="仿宋" w:hAnsi="仿宋" w:eastAsia="仿宋" w:cs="仿宋"/>
          <w:sz w:val="24"/>
          <w:szCs w:val="24"/>
        </w:rPr>
      </w:pPr>
      <w:r>
        <w:rPr>
          <w:rFonts w:hint="eastAsia" w:ascii="仿宋" w:hAnsi="仿宋" w:eastAsia="仿宋" w:cs="仿宋"/>
          <w:sz w:val="24"/>
          <w:szCs w:val="24"/>
        </w:rPr>
        <w:object>
          <v:shape id="_x0000_i1229" o:spt="75" type="#_x0000_t75" style="height:40.5pt;width:159.75pt;" o:ole="t" filled="f" o:preferrelative="t" stroked="f" coordsize="21600,21600">
            <v:path/>
            <v:fill on="f" focussize="0,0"/>
            <v:stroke on="f" joinstyle="miter"/>
            <v:imagedata r:id="rId446" o:title=""/>
            <o:lock v:ext="edit" aspectratio="t"/>
            <w10:wrap type="none"/>
            <w10:anchorlock/>
          </v:shape>
          <o:OLEObject Type="Embed" ProgID="Equation.3" ShapeID="_x0000_i1229" DrawAspect="Content" ObjectID="_1468075929" r:id="rId445">
            <o:LockedField>false</o:LockedField>
          </o:OLEObject>
        </w:object>
      </w:r>
    </w:p>
    <w:p w14:paraId="733A97A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w:t>
      </w:r>
    </w:p>
    <w:p w14:paraId="1C3FF28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30" o:spt="75" type="#_x0000_t75" style="height:22.5pt;width:27.75pt;" o:ole="t" filled="f" o:preferrelative="t" stroked="f" coordsize="21600,21600">
            <v:path/>
            <v:fill on="f" focussize="0,0"/>
            <v:stroke on="f" joinstyle="miter"/>
            <v:imagedata r:id="rId448" o:title=""/>
            <o:lock v:ext="edit" aspectratio="t"/>
            <w10:wrap type="none"/>
            <w10:anchorlock/>
          </v:shape>
          <o:OLEObject Type="Embed" ProgID="Equation.3" ShapeID="_x0000_i1230" DrawAspect="Content" ObjectID="_1468075930" r:id="rId447">
            <o:LockedField>false</o:LockedField>
          </o:OLEObject>
        </w:object>
      </w:r>
      <w:r>
        <w:rPr>
          <w:rFonts w:hint="eastAsia" w:ascii="仿宋" w:hAnsi="仿宋" w:eastAsia="仿宋" w:cs="仿宋"/>
          <w:sz w:val="24"/>
          <w:szCs w:val="24"/>
        </w:rPr>
        <w:t>—第j台仪器的噪声均方根值;</w:t>
      </w:r>
    </w:p>
    <w:p w14:paraId="74277FB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31" o:spt="75" type="#_x0000_t75" style="height:21pt;width:45.75pt;" o:ole="t" filled="f" o:preferrelative="t" stroked="f" coordsize="21600,21600">
            <v:path/>
            <v:fill on="f" focussize="0,0"/>
            <v:stroke on="f" joinstyle="miter"/>
            <v:imagedata r:id="rId450" o:title=""/>
            <o:lock v:ext="edit" aspectratio="t"/>
            <w10:wrap type="none"/>
            <w10:anchorlock/>
          </v:shape>
          <o:OLEObject Type="Embed" ProgID="Equation.3" ShapeID="_x0000_i1231" DrawAspect="Content" ObjectID="_1468075931" r:id="rId449">
            <o:LockedField>false</o:LockedField>
          </o:OLEObject>
        </w:object>
      </w:r>
      <w:r>
        <w:rPr>
          <w:rFonts w:hint="eastAsia" w:ascii="仿宋" w:hAnsi="仿宋" w:eastAsia="仿宋" w:cs="仿宋"/>
          <w:sz w:val="24"/>
          <w:szCs w:val="24"/>
        </w:rPr>
        <w:t>—第j台仪器第i时的观测值</w:t>
      </w:r>
      <w:r>
        <w:rPr>
          <w:rFonts w:hint="eastAsia" w:ascii="仿宋" w:hAnsi="仿宋" w:eastAsia="仿宋" w:cs="仿宋"/>
          <w:sz w:val="24"/>
          <w:szCs w:val="24"/>
        </w:rPr>
        <w:object>
          <v:shape id="_x0000_i1232" o:spt="75" type="#_x0000_t75" style="height:21pt;width:33pt;" o:ole="t" filled="f" o:preferrelative="t" stroked="f" coordsize="21600,21600">
            <v:path/>
            <v:fill on="f" focussize="0,0"/>
            <v:stroke on="f" joinstyle="miter"/>
            <v:imagedata r:id="rId452" o:title=""/>
            <o:lock v:ext="edit" aspectratio="t"/>
            <w10:wrap type="none"/>
            <w10:anchorlock/>
          </v:shape>
          <o:OLEObject Type="Embed" ProgID="Equation.3" ShapeID="_x0000_i1232" DrawAspect="Content" ObjectID="_1468075932" r:id="rId451">
            <o:LockedField>false</o:LockedField>
          </o:OLEObject>
        </w:object>
      </w:r>
      <w:r>
        <w:rPr>
          <w:rFonts w:hint="eastAsia" w:ascii="仿宋" w:hAnsi="仿宋" w:eastAsia="仿宋" w:cs="仿宋"/>
          <w:sz w:val="24"/>
          <w:szCs w:val="24"/>
        </w:rPr>
        <w:t>与起始值观测值</w:t>
      </w:r>
      <w:r>
        <w:rPr>
          <w:rFonts w:hint="eastAsia" w:ascii="仿宋" w:hAnsi="仿宋" w:eastAsia="仿宋" w:cs="仿宋"/>
          <w:sz w:val="24"/>
          <w:szCs w:val="24"/>
        </w:rPr>
        <w:object>
          <v:shape id="_x0000_i1233" o:spt="75" type="#_x0000_t75" style="height:24pt;width:39pt;" o:ole="t" filled="f" o:preferrelative="t" stroked="f" coordsize="21600,21600">
            <v:path/>
            <v:fill on="f" focussize="0,0"/>
            <v:stroke on="f" joinstyle="miter"/>
            <v:imagedata r:id="rId454" o:title=""/>
            <o:lock v:ext="edit" aspectratio="t"/>
            <w10:wrap type="none"/>
            <w10:anchorlock/>
          </v:shape>
          <o:OLEObject Type="Embed" ProgID="Equation.3" ShapeID="_x0000_i1233" DrawAspect="Content" ObjectID="_1468075933" r:id="rId453">
            <o:LockedField>false</o:LockedField>
          </o:OLEObject>
        </w:object>
      </w:r>
      <w:r>
        <w:rPr>
          <w:rFonts w:hint="eastAsia" w:ascii="仿宋" w:hAnsi="仿宋" w:eastAsia="仿宋" w:cs="仿宋"/>
          <w:sz w:val="24"/>
          <w:szCs w:val="24"/>
        </w:rPr>
        <w:t>的差值；</w:t>
      </w:r>
    </w:p>
    <w:p w14:paraId="76FD250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34" o:spt="75" type="#_x0000_t75" style="height:20.25pt;width:30.75pt;" o:ole="t" filled="f" o:preferrelative="t" stroked="f" coordsize="21600,21600">
            <v:path/>
            <v:fill on="f" focussize="0,0"/>
            <v:stroke on="f" joinstyle="miter"/>
            <v:imagedata r:id="rId456" o:title=""/>
            <o:lock v:ext="edit" aspectratio="t"/>
            <w10:wrap type="none"/>
            <w10:anchorlock/>
          </v:shape>
          <o:OLEObject Type="Embed" ProgID="Equation.3" ShapeID="_x0000_i1234" DrawAspect="Content" ObjectID="_1468075934" r:id="rId455">
            <o:LockedField>false</o:LockedField>
          </o:OLEObject>
        </w:object>
      </w:r>
      <w:r>
        <w:rPr>
          <w:rFonts w:hint="eastAsia" w:ascii="仿宋" w:hAnsi="仿宋" w:eastAsia="仿宋" w:cs="仿宋"/>
          <w:sz w:val="24"/>
          <w:szCs w:val="24"/>
        </w:rPr>
        <w:t>—所有仪器第i时</w:t>
      </w:r>
      <w:r>
        <w:rPr>
          <w:rFonts w:hint="eastAsia" w:ascii="仿宋" w:hAnsi="仿宋" w:eastAsia="仿宋" w:cs="仿宋"/>
          <w:sz w:val="24"/>
          <w:szCs w:val="24"/>
        </w:rPr>
        <w:object>
          <v:shape id="_x0000_i1235" o:spt="75" type="#_x0000_t75" style="height:21pt;width:45.75pt;" o:ole="t" filled="f" o:preferrelative="t" stroked="f" coordsize="21600,21600">
            <v:path/>
            <v:fill on="f" focussize="0,0"/>
            <v:stroke on="f" joinstyle="miter"/>
            <v:imagedata r:id="rId450" o:title=""/>
            <o:lock v:ext="edit" aspectratio="t"/>
            <w10:wrap type="none"/>
            <w10:anchorlock/>
          </v:shape>
          <o:OLEObject Type="Embed" ProgID="Equation.3" ShapeID="_x0000_i1235" DrawAspect="Content" ObjectID="_1468075935" r:id="rId457">
            <o:LockedField>false</o:LockedField>
          </o:OLEObject>
        </w:object>
      </w:r>
      <w:r>
        <w:rPr>
          <w:rFonts w:hint="eastAsia" w:ascii="仿宋" w:hAnsi="仿宋" w:eastAsia="仿宋" w:cs="仿宋"/>
          <w:sz w:val="24"/>
          <w:szCs w:val="24"/>
        </w:rPr>
        <w:t>的算数平均值；</w:t>
      </w:r>
    </w:p>
    <w:p w14:paraId="7EEBF38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n—总观测数，i=1,2,3……n；</w:t>
      </w:r>
    </w:p>
    <w:p w14:paraId="0F9EB0E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m—磁力仪个数，j=1,2,3……m。</w:t>
      </w:r>
    </w:p>
    <w:p w14:paraId="1844207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磁力仪噪声水平测定结果不大于1.0nT。</w:t>
      </w:r>
    </w:p>
    <w:p w14:paraId="09CFB6E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（2）观测误差试验</w:t>
      </w:r>
    </w:p>
    <w:p w14:paraId="087515B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各仪器的观测误差试验选择在无人文干扰且磁场平稳的地方进行往返观测，观测点不少于50个，点距不小于20米，投入使用的磁力仪在这些测点上按校正点-测点-校正点的方式进行观测。</w:t>
      </w:r>
    </w:p>
    <w:p w14:paraId="0BC8E30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仪器观测均方误差的计算公式为：</w:t>
      </w:r>
    </w:p>
    <w:p w14:paraId="3E2D7B15">
      <w:pPr>
        <w:pageBreakBefore w:val="0"/>
        <w:wordWrap/>
        <w:bidi w:val="0"/>
        <w:spacing w:line="360" w:lineRule="auto"/>
        <w:ind w:firstLine="480" w:firstLineChars="200"/>
        <w:jc w:val="center"/>
        <w:outlineLvl w:val="9"/>
        <w:rPr>
          <w:rFonts w:ascii="仿宋" w:hAnsi="仿宋" w:eastAsia="仿宋" w:cs="仿宋"/>
          <w:sz w:val="24"/>
          <w:szCs w:val="24"/>
        </w:rPr>
      </w:pPr>
      <w:r>
        <w:rPr>
          <w:rFonts w:hint="eastAsia" w:ascii="仿宋" w:hAnsi="仿宋" w:eastAsia="仿宋" w:cs="仿宋"/>
          <w:sz w:val="24"/>
          <w:szCs w:val="24"/>
        </w:rPr>
        <w:object>
          <v:shape id="_x0000_i1236" o:spt="75" type="#_x0000_t75" style="height:57.75pt;width:72pt;" o:ole="t" filled="f" o:preferrelative="t" stroked="f" coordsize="21600,21600">
            <v:path/>
            <v:fill on="f" focussize="0,0"/>
            <v:stroke on="f" joinstyle="miter"/>
            <v:imagedata r:id="rId459" o:title=""/>
            <o:lock v:ext="edit" aspectratio="t"/>
            <w10:wrap type="none"/>
            <w10:anchorlock/>
          </v:shape>
          <o:OLEObject Type="Embed" ProgID="Equation.3" ShapeID="_x0000_i1236" DrawAspect="Content" ObjectID="_1468075936" r:id="rId458">
            <o:LockedField>false</o:LockedField>
          </o:OLEObject>
        </w:object>
      </w:r>
    </w:p>
    <w:p w14:paraId="477FAE0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w:t>
      </w:r>
    </w:p>
    <w:p w14:paraId="5BC0EE7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drawing>
          <wp:inline distT="0" distB="0" distL="114300" distR="114300">
            <wp:extent cx="166370" cy="179705"/>
            <wp:effectExtent l="0" t="0" r="0" b="0"/>
            <wp:docPr id="10817534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64" name="图片 17"/>
                    <pic:cNvPicPr>
                      <a:picLocks noChangeAspect="1"/>
                    </pic:cNvPicPr>
                  </pic:nvPicPr>
                  <pic:blipFill>
                    <a:blip r:embed="rId278">
                      <a:lum/>
                    </a:blip>
                    <a:stretch>
                      <a:fillRect/>
                    </a:stretch>
                  </pic:blipFill>
                  <pic:spPr>
                    <a:xfrm>
                      <a:off x="0" y="0"/>
                      <a:ext cx="166370" cy="179705"/>
                    </a:xfrm>
                    <a:prstGeom prst="rect">
                      <a:avLst/>
                    </a:prstGeom>
                    <a:noFill/>
                    <a:ln>
                      <a:noFill/>
                    </a:ln>
                  </pic:spPr>
                </pic:pic>
              </a:graphicData>
            </a:graphic>
          </wp:inline>
        </w:drawing>
      </w:r>
      <w:r>
        <w:rPr>
          <w:rFonts w:hint="eastAsia" w:ascii="仿宋" w:hAnsi="仿宋" w:eastAsia="仿宋" w:cs="仿宋"/>
          <w:sz w:val="24"/>
          <w:szCs w:val="24"/>
        </w:rPr>
        <w:t>－仪器观测误差；</w:t>
      </w:r>
    </w:p>
    <w:p w14:paraId="50956D6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37" o:spt="75" type="#_x0000_t75" style="height:17.25pt;width:12.75pt;" o:ole="t" filled="f" o:preferrelative="t" stroked="f" coordsize="21600,21600">
            <v:path/>
            <v:fill on="f" focussize="0,0"/>
            <v:stroke on="f" joinstyle="miter"/>
            <v:imagedata r:id="rId461" o:title=""/>
            <o:lock v:ext="edit" aspectratio="t"/>
            <w10:wrap type="none"/>
            <w10:anchorlock/>
          </v:shape>
          <o:OLEObject Type="Embed" ProgID="Equation.3" ShapeID="_x0000_i1237" DrawAspect="Content" ObjectID="_1468075937" r:id="rId460">
            <o:LockedField>false</o:LockedField>
          </o:OLEObject>
        </w:object>
      </w:r>
      <w:r>
        <w:rPr>
          <w:rFonts w:hint="eastAsia" w:ascii="仿宋" w:hAnsi="仿宋" w:eastAsia="仿宋" w:cs="仿宋"/>
          <w:sz w:val="24"/>
          <w:szCs w:val="24"/>
        </w:rPr>
        <w:t>－仪器第i点往、返观测值经日变改正后的差值；</w:t>
      </w:r>
    </w:p>
    <w:p w14:paraId="7456056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n－观测点数，i＝1，2，3，……n。</w:t>
      </w:r>
    </w:p>
    <w:p w14:paraId="4202C88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要求所有仪器的观测误差不大于1.5nT。</w:t>
      </w:r>
    </w:p>
    <w:p w14:paraId="0D1A168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（3）系统误差试验</w:t>
      </w:r>
    </w:p>
    <w:p w14:paraId="180E0A3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同一工区使用两台及以上仪器时，应进行仪器系统误差测定。各仪器的系统误差试验选择在无人文干扰且磁场平稳的地方进行，观测点不少于50个，点距不小于20米，按相同顺序进行单次观测，投入使用的磁力仪在这些测点上按校正点-测点-校正点的方式进行观测。</w:t>
      </w:r>
    </w:p>
    <w:p w14:paraId="5578571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仪器系统误差计算公式为：</w:t>
      </w:r>
    </w:p>
    <w:p w14:paraId="00B44929">
      <w:pPr>
        <w:pageBreakBefore w:val="0"/>
        <w:wordWrap/>
        <w:bidi w:val="0"/>
        <w:spacing w:line="360" w:lineRule="auto"/>
        <w:jc w:val="center"/>
        <w:outlineLvl w:val="9"/>
        <w:rPr>
          <w:rFonts w:ascii="仿宋" w:hAnsi="仿宋" w:eastAsia="仿宋" w:cs="仿宋"/>
          <w:sz w:val="24"/>
          <w:szCs w:val="24"/>
        </w:rPr>
      </w:pPr>
      <w:r>
        <w:rPr>
          <w:rFonts w:hint="eastAsia" w:ascii="仿宋" w:hAnsi="仿宋" w:eastAsia="仿宋" w:cs="仿宋"/>
          <w:sz w:val="24"/>
          <w:szCs w:val="24"/>
        </w:rPr>
        <w:object>
          <v:shape id="_x0000_i1238" o:spt="75" type="#_x0000_t75" style="height:49.5pt;width:87pt;" o:ole="t" filled="f" o:preferrelative="t" stroked="f" coordsize="21600,21600">
            <v:path/>
            <v:fill on="f" focussize="0,0"/>
            <v:stroke on="f" joinstyle="miter"/>
            <v:imagedata r:id="rId463" o:title=""/>
            <o:lock v:ext="edit" aspectratio="t"/>
            <w10:wrap type="none"/>
            <w10:anchorlock/>
          </v:shape>
          <o:OLEObject Type="Embed" ProgID="Equation.3" ShapeID="_x0000_i1238" DrawAspect="Content" ObjectID="_1468075938" r:id="rId462">
            <o:LockedField>false</o:LockedField>
          </o:OLEObject>
        </w:object>
      </w:r>
    </w:p>
    <w:p w14:paraId="7D1F0D6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w:t>
      </w:r>
    </w:p>
    <w:p w14:paraId="5F9CFC9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39" o:spt="75" type="#_x0000_t75" style="height:24.75pt;width:20.25pt;" o:ole="t" filled="f" o:preferrelative="t" stroked="f" coordsize="21600,21600">
            <v:path/>
            <v:fill on="f" focussize="0,0"/>
            <v:stroke on="f" joinstyle="miter"/>
            <v:imagedata r:id="rId465" o:title=""/>
            <o:lock v:ext="edit" aspectratio="t"/>
            <w10:wrap type="none"/>
            <w10:anchorlock/>
          </v:shape>
          <o:OLEObject Type="Embed" ProgID="Equation.3" ShapeID="_x0000_i1239" DrawAspect="Content" ObjectID="_1468075939" r:id="rId464">
            <o:LockedField>false</o:LockedField>
          </o:OLEObject>
        </w:object>
      </w:r>
      <w:r>
        <w:rPr>
          <w:rFonts w:hint="eastAsia" w:ascii="仿宋" w:hAnsi="仿宋" w:eastAsia="仿宋" w:cs="仿宋"/>
          <w:sz w:val="24"/>
          <w:szCs w:val="24"/>
        </w:rPr>
        <w:t>－仪器系统误差；</w:t>
      </w:r>
    </w:p>
    <w:p w14:paraId="4E474E9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40" o:spt="75" type="#_x0000_t75" style="height:24.75pt;width:17.25pt;" o:ole="t" filled="f" o:preferrelative="t" stroked="f" coordsize="21600,21600">
            <v:path/>
            <v:fill on="f" focussize="0,0"/>
            <v:stroke on="f" joinstyle="miter"/>
            <v:imagedata r:id="rId467" o:title=""/>
            <o:lock v:ext="edit" aspectratio="t"/>
            <w10:wrap type="none"/>
            <w10:anchorlock/>
          </v:shape>
          <o:OLEObject Type="Embed" ProgID="Equation.3" ShapeID="_x0000_i1240" DrawAspect="Content" ObjectID="_1468075940" r:id="rId466">
            <o:LockedField>false</o:LockedField>
          </o:OLEObject>
        </w:object>
      </w:r>
      <w:r>
        <w:rPr>
          <w:rFonts w:hint="eastAsia" w:ascii="仿宋" w:hAnsi="仿宋" w:eastAsia="仿宋" w:cs="仿宋"/>
          <w:sz w:val="24"/>
          <w:szCs w:val="24"/>
        </w:rPr>
        <w:t>－单台仪器在第i点经日变改正后的磁力值与第i点经日变改正后所有磁力值平均值之差；</w:t>
      </w:r>
    </w:p>
    <w:p w14:paraId="6E1333F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n－观测点数，i＝1，2，3，……n。</w:t>
      </w:r>
    </w:p>
    <w:p w14:paraId="696F17E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要求所有仪器的系统误差不大于0.7nT。</w:t>
      </w:r>
    </w:p>
    <w:p w14:paraId="23409CA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（4）一致性试验</w:t>
      </w:r>
    </w:p>
    <w:p w14:paraId="3A9EB91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各仪器的一致性试验在野外工作区实地测量，观测点不少于50个，点距不小于20米，，磁场稳定且少数点应处于较强的异常场上（大于设计观测均方误差的10倍）。投入使用的磁力仪在这些测点上按校正点-测点-校正点的方式进行往返观测，用经日变改正后的观测值计算总观测均方误差，计算公式为：</w:t>
      </w:r>
    </w:p>
    <w:p w14:paraId="6C84CFC4">
      <w:pPr>
        <w:pageBreakBefore w:val="0"/>
        <w:wordWrap/>
        <w:bidi w:val="0"/>
        <w:spacing w:line="360" w:lineRule="auto"/>
        <w:ind w:firstLine="2400" w:firstLineChars="1000"/>
        <w:outlineLvl w:val="9"/>
        <w:rPr>
          <w:rFonts w:ascii="仿宋" w:hAnsi="仿宋" w:eastAsia="仿宋" w:cs="仿宋"/>
          <w:sz w:val="24"/>
          <w:szCs w:val="24"/>
        </w:rPr>
      </w:pPr>
      <w:r>
        <w:rPr>
          <w:rFonts w:hint="eastAsia" w:ascii="仿宋" w:hAnsi="仿宋" w:eastAsia="仿宋" w:cs="仿宋"/>
          <w:sz w:val="24"/>
          <w:szCs w:val="24"/>
        </w:rPr>
        <w:object>
          <v:shape id="_x0000_i1241" o:spt="75" type="#_x0000_t75" style="height:68.25pt;width:125.25pt;" o:ole="t" filled="f" o:preferrelative="t" stroked="f" coordsize="21600,21600">
            <v:path/>
            <v:fill on="f" focussize="0,0"/>
            <v:stroke on="f" joinstyle="miter"/>
            <v:imagedata r:id="rId469" o:title=""/>
            <o:lock v:ext="edit" aspectratio="t"/>
            <w10:wrap type="none"/>
            <w10:anchorlock/>
          </v:shape>
          <o:OLEObject Type="Embed" ProgID="Equation.3" ShapeID="_x0000_i1241" DrawAspect="Content" ObjectID="_1468075941" r:id="rId468">
            <o:LockedField>false</o:LockedField>
          </o:OLEObject>
        </w:object>
      </w:r>
      <w:r>
        <w:rPr>
          <w:rFonts w:hint="eastAsia" w:ascii="仿宋" w:hAnsi="仿宋" w:eastAsia="仿宋" w:cs="仿宋"/>
          <w:sz w:val="24"/>
          <w:szCs w:val="24"/>
        </w:rPr>
        <w:t xml:space="preserve">               </w:t>
      </w:r>
    </w:p>
    <w:p w14:paraId="7E99079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w:t>
      </w:r>
    </w:p>
    <w:p w14:paraId="63DFC33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42" o:spt="75" type="#_x0000_t75" style="height:32.25pt;width:22.5pt;" o:ole="t" filled="f" o:preferrelative="t" stroked="f" coordsize="21600,21600">
            <v:path/>
            <v:fill on="f" focussize="0,0"/>
            <v:stroke on="f" joinstyle="miter"/>
            <v:imagedata r:id="rId471" o:title=""/>
            <o:lock v:ext="edit" aspectratio="t"/>
            <w10:wrap type="none"/>
            <w10:anchorlock/>
          </v:shape>
          <o:OLEObject Type="Embed" ProgID="Equation.3" ShapeID="_x0000_i1242" DrawAspect="Content" ObjectID="_1468075942" r:id="rId470">
            <o:LockedField>false</o:LockedField>
          </o:OLEObject>
        </w:object>
      </w:r>
      <w:r>
        <w:rPr>
          <w:rFonts w:hint="eastAsia" w:ascii="仿宋" w:hAnsi="仿宋" w:eastAsia="仿宋" w:cs="仿宋"/>
          <w:sz w:val="24"/>
          <w:szCs w:val="24"/>
        </w:rPr>
        <w:t>---仪器一致性误差；</w:t>
      </w:r>
    </w:p>
    <w:p w14:paraId="7D6D863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43" o:spt="75" type="#_x0000_t75" style="height:30.75pt;width:23.25pt;" o:ole="t" filled="f" o:preferrelative="t" stroked="f" coordsize="21600,21600">
            <v:path/>
            <v:fill on="f" focussize="0,0"/>
            <v:stroke on="f" joinstyle="miter"/>
            <v:imagedata r:id="rId473" o:title=""/>
            <o:lock v:ext="edit" aspectratio="t"/>
            <w10:wrap type="none"/>
            <w10:anchorlock/>
          </v:shape>
          <o:OLEObject Type="Embed" ProgID="Equation.3" ShapeID="_x0000_i1243" DrawAspect="Content" ObjectID="_1468075943" r:id="rId472">
            <o:LockedField>false</o:LockedField>
          </o:OLEObject>
        </w:object>
      </w:r>
      <w:r>
        <w:rPr>
          <w:rFonts w:hint="eastAsia" w:ascii="仿宋" w:hAnsi="仿宋" w:eastAsia="仿宋" w:cs="仿宋"/>
          <w:sz w:val="24"/>
          <w:szCs w:val="24"/>
        </w:rPr>
        <w:t>---第j台仪器在第i点往或返的经日变校正的观测值与所有仪器在该点的经日变校正后的观测值的平均值之差；</w:t>
      </w:r>
    </w:p>
    <w:p w14:paraId="62D2C00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m－参加一致性观测的仪器台数；</w:t>
      </w:r>
    </w:p>
    <w:p w14:paraId="3B7FAAF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n－观测点数，i＝1，2，3，……n。</w:t>
      </w:r>
    </w:p>
    <w:p w14:paraId="32D586D3">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要求所使用磁力仪的一致性试验总观测均方误差不大于2.0n。</w:t>
      </w:r>
    </w:p>
    <w:p w14:paraId="43FBC144">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3、日变站的建立和日变基本场的确定</w:t>
      </w:r>
    </w:p>
    <w:p w14:paraId="5B48B4B2">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（1）日变站的建立</w:t>
      </w:r>
    </w:p>
    <w:p w14:paraId="4BC7B555">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本次磁法测量范围较小，仅需设立一个日变基站。日变基站设立在正常场内，附近无磁性干扰物体，远离车道，使用方便且有利于长期保存。日变基站磁场的水平梯度和垂直梯度变化较小，在半径2米及高差0.5米范围内其变化不超过1.0nT/m。</w:t>
      </w:r>
    </w:p>
    <w:p w14:paraId="4004466F">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为了了解一天或一段工作时间内仪器性能是否正常，日变站控制范围内设立一个磁测校正点，每个闭合观测单元的观测始于校正点，终于校正点。在校验点上前后两次读数经日变在改正后的差值小于两倍设计观测均方误差。</w:t>
      </w:r>
    </w:p>
    <w:p w14:paraId="42AB00EB">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（2）日变站基本场值的确定</w:t>
      </w:r>
    </w:p>
    <w:p w14:paraId="4370530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使用质子磁力仪选取夜间地磁场平稳时段做日变观测，读数间隔不大于20s，选取2h内地磁场平均值变化不超过2nT的时间段，求取地磁场的平均值，即日变站的基本场值。</w:t>
      </w:r>
    </w:p>
    <w:p w14:paraId="61F36E0B">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（3）日变站单独观测误差计算</w:t>
      </w:r>
    </w:p>
    <w:p w14:paraId="7DBC0365">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依据规范要求进行日变站单独观测误差计算，计算公式为：</w:t>
      </w:r>
    </w:p>
    <w:p w14:paraId="0B410F02">
      <w:pPr>
        <w:pStyle w:val="20"/>
        <w:pageBreakBefore w:val="0"/>
        <w:tabs>
          <w:tab w:val="left" w:pos="3120"/>
          <w:tab w:val="left" w:pos="5220"/>
          <w:tab w:val="left" w:pos="7400"/>
        </w:tabs>
        <w:wordWrap/>
        <w:bidi w:val="0"/>
        <w:spacing w:line="360" w:lineRule="auto"/>
        <w:ind w:firstLine="480"/>
        <w:jc w:val="center"/>
        <w:outlineLvl w:val="9"/>
        <w:rPr>
          <w:rFonts w:ascii="仿宋" w:hAnsi="仿宋" w:eastAsia="仿宋" w:cs="仿宋"/>
          <w:sz w:val="24"/>
          <w:szCs w:val="24"/>
        </w:rPr>
      </w:pPr>
      <w:r>
        <w:rPr>
          <w:rFonts w:hint="eastAsia" w:ascii="仿宋" w:hAnsi="仿宋" w:eastAsia="仿宋" w:cs="仿宋"/>
          <w:sz w:val="24"/>
          <w:szCs w:val="24"/>
        </w:rPr>
        <w:object>
          <v:shape id="_x0000_i1244" o:spt="75" type="#_x0000_t75" style="height:81pt;width:164.25pt;" o:ole="t" filled="f" o:preferrelative="t" stroked="f" coordsize="21600,21600">
            <v:path/>
            <v:fill on="f" focussize="0,0"/>
            <v:stroke on="f" joinstyle="miter"/>
            <v:imagedata r:id="rId475" o:title=""/>
            <o:lock v:ext="edit" aspectratio="t"/>
            <w10:wrap type="none"/>
            <w10:anchorlock/>
          </v:shape>
          <o:OLEObject Type="Embed" ProgID="Equation.3" ShapeID="_x0000_i1244" DrawAspect="Content" ObjectID="_1468075944" r:id="rId474">
            <o:LockedField>false</o:LockedField>
          </o:OLEObject>
        </w:object>
      </w:r>
    </w:p>
    <w:p w14:paraId="11E0582F">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w:t>
      </w:r>
    </w:p>
    <w:p w14:paraId="71F93F1F">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45" o:spt="75" type="#_x0000_t75" style="height:27pt;width:18pt;" o:ole="t" filled="f" o:preferrelative="t" stroked="f" coordsize="21600,21600">
            <v:path/>
            <v:fill on="f" focussize="0,0"/>
            <v:stroke on="f" joinstyle="miter"/>
            <v:imagedata r:id="rId477" o:title=""/>
            <o:lock v:ext="edit" aspectratio="t"/>
            <w10:wrap type="none"/>
            <w10:anchorlock/>
          </v:shape>
          <o:OLEObject Type="Embed" ProgID="Equation.3" ShapeID="_x0000_i1245" DrawAspect="Content" ObjectID="_1468075945" r:id="rId476">
            <o:LockedField>false</o:LockedField>
          </o:OLEObject>
        </w:object>
      </w:r>
      <w:r>
        <w:rPr>
          <w:rFonts w:hint="eastAsia" w:ascii="仿宋" w:hAnsi="仿宋" w:eastAsia="仿宋" w:cs="仿宋"/>
          <w:sz w:val="24"/>
          <w:szCs w:val="24"/>
        </w:rPr>
        <w:t>－日变站基本场值测定误差；</w:t>
      </w:r>
    </w:p>
    <w:p w14:paraId="1875FE98">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46" o:spt="75" type="#_x0000_t75" style="height:15pt;width:15pt;" o:ole="t" filled="f" o:preferrelative="t" stroked="f" coordsize="21600,21600">
            <v:path/>
            <v:fill on="f" focussize="0,0"/>
            <v:stroke on="f" joinstyle="miter"/>
            <v:imagedata r:id="rId479" o:title=""/>
            <o:lock v:ext="edit" aspectratio="t"/>
            <w10:wrap type="none"/>
            <w10:anchorlock/>
          </v:shape>
          <o:OLEObject Type="Embed" ProgID="Equation.3" ShapeID="_x0000_i1246" DrawAspect="Content" ObjectID="_1468075946" r:id="rId478">
            <o:LockedField>false</o:LockedField>
          </o:OLEObject>
        </w:object>
      </w:r>
      <w:r>
        <w:rPr>
          <w:rFonts w:hint="eastAsia" w:ascii="仿宋" w:hAnsi="仿宋" w:eastAsia="仿宋" w:cs="仿宋"/>
          <w:sz w:val="24"/>
          <w:szCs w:val="24"/>
        </w:rPr>
        <w:t>－该处基本磁场值；</w:t>
      </w:r>
    </w:p>
    <w:p w14:paraId="3BAC1C5B">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47" o:spt="75" type="#_x0000_t75" style="height:15pt;width:14.25pt;" o:ole="t" filled="f" o:preferrelative="t" stroked="f" coordsize="21600,21600">
            <v:path/>
            <v:fill on="f" focussize="0,0"/>
            <v:stroke on="f" joinstyle="miter"/>
            <v:imagedata r:id="rId481" o:title=""/>
            <o:lock v:ext="edit" aspectratio="t"/>
            <w10:wrap type="none"/>
            <w10:anchorlock/>
          </v:shape>
          <o:OLEObject Type="Embed" ProgID="Equation.3" ShapeID="_x0000_i1247" DrawAspect="Content" ObjectID="_1468075947" r:id="rId480">
            <o:LockedField>false</o:LockedField>
          </o:OLEObject>
        </w:object>
      </w:r>
      <w:r>
        <w:rPr>
          <w:rFonts w:hint="eastAsia" w:ascii="仿宋" w:hAnsi="仿宋" w:eastAsia="仿宋" w:cs="仿宋"/>
          <w:sz w:val="24"/>
          <w:szCs w:val="24"/>
        </w:rPr>
        <w:t>－第i时刻日变站的观测值；</w:t>
      </w:r>
    </w:p>
    <w:p w14:paraId="3CC279F1">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n－参与统计的地磁场</w:t>
      </w:r>
      <w:r>
        <w:rPr>
          <w:rFonts w:hint="eastAsia" w:ascii="仿宋" w:hAnsi="仿宋" w:eastAsia="仿宋" w:cs="仿宋"/>
          <w:sz w:val="24"/>
          <w:szCs w:val="24"/>
        </w:rPr>
        <w:object>
          <v:shape id="_x0000_i1248" o:spt="75" type="#_x0000_t75" style="height:15pt;width:15pt;" o:ole="t" filled="f" o:preferrelative="t" stroked="f" coordsize="21600,21600">
            <v:path/>
            <v:fill on="f" focussize="0,0"/>
            <v:stroke on="f" joinstyle="miter"/>
            <v:imagedata r:id="rId481" o:title=""/>
            <o:lock v:ext="edit" aspectratio="t"/>
            <w10:wrap type="none"/>
            <w10:anchorlock/>
          </v:shape>
          <o:OLEObject Type="Embed" ProgID="Equation.3" ShapeID="_x0000_i1248" DrawAspect="Content" ObjectID="_1468075948" r:id="rId482">
            <o:LockedField>false</o:LockedField>
          </o:OLEObject>
        </w:object>
      </w:r>
      <w:r>
        <w:rPr>
          <w:rFonts w:hint="eastAsia" w:ascii="仿宋" w:hAnsi="仿宋" w:eastAsia="仿宋" w:cs="仿宋"/>
          <w:sz w:val="24"/>
          <w:szCs w:val="24"/>
        </w:rPr>
        <w:t>值总数。</w:t>
      </w:r>
    </w:p>
    <w:p w14:paraId="32E99AB5">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要求日变站基本场值测定误差不大于1.8nT。</w:t>
      </w:r>
    </w:p>
    <w:p w14:paraId="0E3E9488">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4、日变观测</w:t>
      </w:r>
    </w:p>
    <w:p w14:paraId="42B5787D">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（1）工作前,对进行日变观测仪器,应与所有参与测点观测的仪器进行秒级时间同步调对。</w:t>
      </w:r>
    </w:p>
    <w:p w14:paraId="5DED22A7">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（2）应在投人施工的同类型仪器中,挑选性能最好的磁力仪进行日变观测。采样间隔5s～20s。</w:t>
      </w:r>
    </w:p>
    <w:p w14:paraId="010DCE45">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（3）日变站架设时,应保证每天位置准确,同时每天探杆应保持竖直且探头高度一致。</w:t>
      </w:r>
    </w:p>
    <w:p w14:paraId="3ABB665C">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（4）在一个工作日内,日变观测应始于早校正点观测之前,终于晚校正点观测之后。</w:t>
      </w:r>
    </w:p>
    <w:p w14:paraId="43D8EA3D">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（5）在每一个测区开工前,应做少量的昼夜连续观测,以了解仪器性能和短周期日变特征。</w:t>
      </w:r>
    </w:p>
    <w:p w14:paraId="669E1640">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5、测点观测</w:t>
      </w:r>
    </w:p>
    <w:p w14:paraId="73FD9A94">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（1）每天工作前,所有观测仪器均应进行秒级时间同步调对。</w:t>
      </w:r>
    </w:p>
    <w:p w14:paraId="6F9B909F">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每个闭合观测单元的观测,应始于校正点,终于校正点。长剖面工作,如果一天内不能结束工作并且无法回到校正点进行观测时,应在当日观测的剖面末端设2个～3个连接点,次日观测从重复各连接点的观测开始,并于剖面观测结束后回到校正点观测。当在校正点上的前后两次读数,经日变改正后的差值超过两倍设计观测均方误差时,则全闭合观测单元工作量报废,并查明仪器不正常的原因。</w:t>
      </w:r>
    </w:p>
    <w:p w14:paraId="405F83D6">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（3）测点观测时应遵守下列要求,并随时注意观测结果的变化,及时采取妥善的处理措施:</w:t>
      </w:r>
    </w:p>
    <w:p w14:paraId="1797B963">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a)在工作时,应在校正点及测点观测两次读数,两次读数差不应大于观测精度,否则应查明原因;</w:t>
      </w:r>
    </w:p>
    <w:p w14:paraId="556D2BDC">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b)观测时,观测人员应“去磁”即不能带小刀、发卡、皮带扣、鞋扣等磁性物品,应携带的磁性物件和其他有磁性的设备应离开测点一定距离,这个距离可以通过试验确定,以不影响观测结果为原则;</w:t>
      </w:r>
    </w:p>
    <w:p w14:paraId="0A125631">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c)观测时应保证点位准确,同时每次观测时探杆应保持竖直且探头高度一致;</w:t>
      </w:r>
    </w:p>
    <w:p w14:paraId="5CB50E17">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d)观测时如遇事故(如仪器受震),仪器性能可能发生突然变化时,应回到事故发生前测过的几个测点上(点位应正确)做重复观测,必要时应回到校正点上做重复观测,以检查仪器性能,当确认仪器性能正常后,方可继续观测。</w:t>
      </w:r>
    </w:p>
    <w:p w14:paraId="453B724D">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（4）当观测结果出现如下变化时,应采取相应措施:</w:t>
      </w:r>
    </w:p>
    <w:p w14:paraId="21042A61">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a)当相邻两测点读数相差较大时,或当有值得注意的地质现象时,应加密观测点和重复测量;</w:t>
      </w:r>
    </w:p>
    <w:p w14:paraId="06AF3657">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b)当相邻测线的异常特征明显不一致时,应加密测线;</w:t>
      </w:r>
    </w:p>
    <w:p w14:paraId="61AF137E">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c)当测区边缘发现可能有意义的异常或值得注意的地质现象时,应追踪观测;</w:t>
      </w:r>
    </w:p>
    <w:p w14:paraId="6CE4BD99">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d)随时注意异常与周围地质现象之间的关系,记于备注栏内,必要时需测定岩石磁性或采集标本;</w:t>
      </w:r>
    </w:p>
    <w:p w14:paraId="0C295316">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e)遇有磁性干扰物时,应合理移动点位,并应记录干扰物的类别,测定干扰物的距离。遇到磁暴或磁扰较大时应停止工作。</w:t>
      </w:r>
    </w:p>
    <w:p w14:paraId="40CFA3C0">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6、资料整理</w:t>
      </w:r>
    </w:p>
    <w:p w14:paraId="7FC06E17">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（1）日常资料整理主要是对实际记录数据进行初步整理，以方便后续资料整理的顺利进行。其内容包括：剔除畸变点数据、重复观测和检查观测点处理、资料整合等。</w:t>
      </w:r>
    </w:p>
    <w:p w14:paraId="54BA2BC5">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（2）对资料进行预处理和预分析，要使对资料的解释建立在资料完整、可靠和便于解释的基础上，主要包括以下几个方面：</w:t>
      </w:r>
    </w:p>
    <w:p w14:paraId="2C03FCB6">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a)仪器性能校验：对所有用于生产的仪器性能、观测精度和各仪器间的一致性进行校验，并计算磁力仪噪声水平、探头一致性、磁力仪观测精度。</w:t>
      </w:r>
    </w:p>
    <w:p w14:paraId="5DE5EF47">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b)正常场计算：采用最新高斯球谐分析方法计算国际地磁参考场，根据工区每个测点的坐标，计算高度改正与纬度改正。</w:t>
      </w:r>
    </w:p>
    <w:p w14:paraId="096350CE">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c)日变改正：日变改正某时间的场值，由日变观测时间间隔内插求取并与测点观测时间达到秒级同步。首先对日变观测值进行5点或7点圆滑后再进行日变改正，以提高日变改正精度。</w:t>
      </w:r>
    </w:p>
    <w:p w14:paraId="3636EB30">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d)高度改正：从总基点的高程算起，按照高程改正系数进行高程改正。高于总基点高程，改正值取正；低于总基点高程，改正值取负。</w:t>
      </w:r>
    </w:p>
    <w:p w14:paraId="0066C069">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e)△T计算：△T计算公式如下：</w:t>
      </w:r>
      <w:r>
        <w:rPr>
          <w:rFonts w:ascii="仿宋" w:hAnsi="仿宋" w:eastAsia="仿宋" w:cs="仿宋"/>
          <w:sz w:val="24"/>
          <w:szCs w:val="24"/>
        </w:rPr>
        <w:drawing>
          <wp:inline distT="0" distB="0" distL="0" distR="0">
            <wp:extent cx="1908175" cy="230505"/>
            <wp:effectExtent l="0" t="0" r="6350" b="8255"/>
            <wp:docPr id="1081753465" name="图片 108175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65" name="图片 1081753465"/>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a:xfrm>
                      <a:off x="0" y="0"/>
                      <a:ext cx="1908175" cy="230505"/>
                    </a:xfrm>
                    <a:prstGeom prst="rect">
                      <a:avLst/>
                    </a:prstGeom>
                    <a:noFill/>
                    <a:ln>
                      <a:noFill/>
                    </a:ln>
                  </pic:spPr>
                </pic:pic>
              </a:graphicData>
            </a:graphic>
          </wp:inline>
        </w:drawing>
      </w:r>
    </w:p>
    <w:p w14:paraId="7A4DF509">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式中：TC-测点磁场观测值；T0-总基点磁场值；TR-日变改正值；TZ-正常场梯度改正值；TG-高度改正值。</w:t>
      </w:r>
    </w:p>
    <w:p w14:paraId="295B16DC">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f)△T磁异常总精度公式：</w:t>
      </w:r>
    </w:p>
    <w:p w14:paraId="7A447E28">
      <w:pPr>
        <w:pStyle w:val="20"/>
        <w:pageBreakBefore w:val="0"/>
        <w:tabs>
          <w:tab w:val="left" w:pos="3120"/>
          <w:tab w:val="left" w:pos="5220"/>
          <w:tab w:val="left" w:pos="7400"/>
        </w:tabs>
        <w:wordWrap/>
        <w:bidi w:val="0"/>
        <w:spacing w:line="360" w:lineRule="auto"/>
        <w:ind w:firstLine="480"/>
        <w:jc w:val="center"/>
        <w:outlineLvl w:val="9"/>
        <w:rPr>
          <w:rFonts w:ascii="仿宋" w:hAnsi="仿宋" w:eastAsia="仿宋" w:cs="仿宋"/>
          <w:sz w:val="24"/>
          <w:szCs w:val="24"/>
        </w:rPr>
      </w:pPr>
      <w:r>
        <w:rPr>
          <w:rFonts w:hint="eastAsia" w:ascii="仿宋" w:hAnsi="仿宋" w:eastAsia="仿宋" w:cs="仿宋"/>
          <w:sz w:val="24"/>
          <w:szCs w:val="24"/>
        </w:rPr>
        <w:object>
          <v:shape id="_x0000_i1249" o:spt="75" type="#_x0000_t75" style="height:40.5pt;width:180.75pt;" o:ole="t" filled="f" o:preferrelative="t" stroked="f" coordsize="21600,21600">
            <v:path/>
            <v:fill on="f" focussize="0,0"/>
            <v:stroke on="f" joinstyle="miter"/>
            <v:imagedata r:id="rId484" o:title=""/>
            <o:lock v:ext="edit" aspectratio="t"/>
            <w10:wrap type="none"/>
            <w10:anchorlock/>
          </v:shape>
          <o:OLEObject Type="Embed" ProgID="Equation.3" ShapeID="_x0000_i1249" DrawAspect="Content" ObjectID="_1468075949" r:id="rId483">
            <o:LockedField>false</o:LockedField>
          </o:OLEObject>
        </w:object>
      </w:r>
    </w:p>
    <w:p w14:paraId="07FBE26E">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式中：</w:t>
      </w:r>
      <w:r>
        <w:rPr>
          <w:rFonts w:hint="eastAsia" w:ascii="仿宋" w:hAnsi="仿宋" w:eastAsia="仿宋" w:cs="仿宋"/>
          <w:sz w:val="24"/>
          <w:szCs w:val="24"/>
        </w:rPr>
        <w:object>
          <v:shape id="_x0000_i1250" o:spt="75" type="#_x0000_t75" style="height:18pt;width:21pt;" o:ole="t" filled="f" o:preferrelative="t" stroked="f" coordsize="21600,21600">
            <v:path/>
            <v:fill on="f" focussize="0,0"/>
            <v:stroke on="f" joinstyle="miter"/>
            <v:imagedata r:id="rId486" o:title=""/>
            <o:lock v:ext="edit" aspectratio="t"/>
            <w10:wrap type="none"/>
            <w10:anchorlock/>
          </v:shape>
          <o:OLEObject Type="Embed" ProgID="Equation.3" ShapeID="_x0000_i1250" DrawAspect="Content" ObjectID="_1468075950" r:id="rId485">
            <o:LockedField>false</o:LockedField>
          </o:OLEObject>
        </w:object>
      </w:r>
      <w:r>
        <w:rPr>
          <w:rFonts w:hint="eastAsia" w:ascii="仿宋" w:hAnsi="仿宋" w:eastAsia="仿宋" w:cs="仿宋"/>
          <w:sz w:val="24"/>
          <w:szCs w:val="24"/>
        </w:rPr>
        <w:t>—△T磁异常总精度；</w:t>
      </w:r>
      <w:r>
        <w:rPr>
          <w:rFonts w:hint="eastAsia" w:ascii="仿宋" w:hAnsi="仿宋" w:eastAsia="仿宋" w:cs="仿宋"/>
          <w:sz w:val="24"/>
          <w:szCs w:val="24"/>
        </w:rPr>
        <w:object>
          <v:shape id="_x0000_i1251" o:spt="75" type="#_x0000_t75" style="height:21.75pt;width:21pt;" o:ole="t" filled="f" o:preferrelative="t" stroked="f" coordsize="21600,21600">
            <v:path/>
            <v:fill on="f" focussize="0,0"/>
            <v:stroke on="f" joinstyle="miter"/>
            <v:imagedata r:id="rId488" o:title=""/>
            <o:lock v:ext="edit" aspectratio="t"/>
            <w10:wrap type="none"/>
            <w10:anchorlock/>
          </v:shape>
          <o:OLEObject Type="Embed" ProgID="Equation.3" ShapeID="_x0000_i1251" DrawAspect="Content" ObjectID="_1468075951" r:id="rId487">
            <o:LockedField>false</o:LockedField>
          </o:OLEObject>
        </w:object>
      </w:r>
      <w:r>
        <w:rPr>
          <w:rFonts w:hint="eastAsia" w:ascii="仿宋" w:hAnsi="仿宋" w:eastAsia="仿宋" w:cs="仿宋"/>
          <w:sz w:val="24"/>
          <w:szCs w:val="24"/>
        </w:rPr>
        <w:t>—磁测点检查观测均方误差；</w:t>
      </w:r>
    </w:p>
    <w:p w14:paraId="222087E3">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object>
          <v:shape id="_x0000_i1252" o:spt="75" type="#_x0000_t75" style="height:21pt;width:15pt;" o:ole="t" filled="f" o:preferrelative="t" stroked="f" coordsize="21600,21600">
            <v:path/>
            <v:fill on="f" focussize="0,0"/>
            <v:stroke on="f" joinstyle="miter"/>
            <v:imagedata r:id="rId490" o:title=""/>
            <o:lock v:ext="edit" aspectratio="t"/>
            <w10:wrap type="none"/>
            <w10:anchorlock/>
          </v:shape>
          <o:OLEObject Type="Embed" ProgID="Equation.3" ShapeID="_x0000_i1252" DrawAspect="Content" ObjectID="_1468075952" r:id="rId489">
            <o:LockedField>false</o:LockedField>
          </o:OLEObject>
        </w:object>
      </w:r>
      <w:r>
        <w:rPr>
          <w:rFonts w:hint="eastAsia" w:ascii="仿宋" w:hAnsi="仿宋" w:eastAsia="仿宋" w:cs="仿宋"/>
          <w:sz w:val="24"/>
          <w:szCs w:val="24"/>
        </w:rPr>
        <w:t>—正常场改正均方误差；</w:t>
      </w:r>
      <w:r>
        <w:rPr>
          <w:rFonts w:hint="eastAsia" w:ascii="仿宋" w:hAnsi="仿宋" w:eastAsia="仿宋" w:cs="仿宋"/>
          <w:sz w:val="24"/>
          <w:szCs w:val="24"/>
        </w:rPr>
        <w:object>
          <v:shape id="_x0000_i1253" o:spt="75" type="#_x0000_t75" style="height:20.25pt;width:15pt;" o:ole="t" filled="f" o:preferrelative="t" stroked="f" coordsize="21600,21600">
            <v:path/>
            <v:fill on="f" focussize="0,0"/>
            <v:stroke on="f" joinstyle="miter"/>
            <v:imagedata r:id="rId492" o:title=""/>
            <o:lock v:ext="edit" aspectratio="t"/>
            <w10:wrap type="none"/>
            <w10:anchorlock/>
          </v:shape>
          <o:OLEObject Type="Embed" ProgID="Equation.3" ShapeID="_x0000_i1253" DrawAspect="Content" ObjectID="_1468075953" r:id="rId491">
            <o:LockedField>false</o:LockedField>
          </o:OLEObject>
        </w:object>
      </w:r>
      <w:r>
        <w:rPr>
          <w:rFonts w:hint="eastAsia" w:ascii="仿宋" w:hAnsi="仿宋" w:eastAsia="仿宋" w:cs="仿宋"/>
          <w:sz w:val="24"/>
          <w:szCs w:val="24"/>
        </w:rPr>
        <w:t>—日变站基值测定精度。</w:t>
      </w:r>
    </w:p>
    <w:p w14:paraId="572C4CA8">
      <w:pPr>
        <w:pStyle w:val="20"/>
        <w:pageBreakBefore w:val="0"/>
        <w:tabs>
          <w:tab w:val="left" w:pos="3120"/>
          <w:tab w:val="left" w:pos="5220"/>
          <w:tab w:val="left" w:pos="7400"/>
        </w:tabs>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g)各项改正值取至0.01nT,△T磁力异常值取至0.1nT。</w:t>
      </w:r>
    </w:p>
    <w:p w14:paraId="19A5414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7、数据处理</w:t>
      </w:r>
    </w:p>
    <w:p w14:paraId="6ECD4E0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数据处理的主要项目有：化极、上延、垂向导数、方向导数、小波变换多尺度分解等,可根据具体问题进行调整。</w:t>
      </w:r>
    </w:p>
    <w:p w14:paraId="77A8B46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8、精度指标</w:t>
      </w:r>
    </w:p>
    <w:p w14:paraId="596AD4F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质量检查采用“一同三不同”（同点、不同仪器、不同日期、不同操作员）重复观测法。质检点要求分布基本均匀，并具代表性，以容易产生质量问题的薄弱环节、质量可疑地段、异常区为重点。</w:t>
      </w:r>
    </w:p>
    <w:p w14:paraId="78BC402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本次1:1万磁测面积工作其总均方误差均±5.0nT，各项误差分配见表5-1。质检率不低于3%，绝对点数不少于30点。</w:t>
      </w:r>
    </w:p>
    <w:p w14:paraId="19FFBF9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计算均方误差时，可将误差过大的个别点舍弃，但舍弃点数不得超过相应检查点数的1％。</w:t>
      </w:r>
    </w:p>
    <w:p w14:paraId="7BF60FE6">
      <w:pPr>
        <w:pageBreakBefore w:val="0"/>
        <w:wordWrap/>
        <w:bidi w:val="0"/>
        <w:spacing w:line="360" w:lineRule="auto"/>
        <w:jc w:val="center"/>
        <w:outlineLvl w:val="9"/>
        <w:rPr>
          <w:rFonts w:ascii="仿宋" w:hAnsi="仿宋" w:eastAsia="仿宋" w:cs="仿宋"/>
          <w:sz w:val="24"/>
          <w:szCs w:val="24"/>
        </w:rPr>
      </w:pPr>
      <w:r>
        <w:rPr>
          <w:rFonts w:hint="eastAsia" w:ascii="仿宋" w:hAnsi="仿宋" w:eastAsia="仿宋" w:cs="仿宋"/>
          <w:sz w:val="24"/>
          <w:szCs w:val="24"/>
        </w:rPr>
        <w:t>5-1  1∶1万地面高精度磁测面积工作精度分配表</w:t>
      </w:r>
    </w:p>
    <w:tbl>
      <w:tblPr>
        <w:tblStyle w:val="42"/>
        <w:tblW w:w="900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
        <w:gridCol w:w="530"/>
        <w:gridCol w:w="790"/>
        <w:gridCol w:w="821"/>
        <w:gridCol w:w="747"/>
        <w:gridCol w:w="801"/>
        <w:gridCol w:w="754"/>
        <w:gridCol w:w="760"/>
        <w:gridCol w:w="529"/>
        <w:gridCol w:w="697"/>
        <w:gridCol w:w="790"/>
        <w:gridCol w:w="1133"/>
      </w:tblGrid>
      <w:tr w14:paraId="2DCB9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1" w:type="dxa"/>
            <w:vMerge w:val="restart"/>
            <w:tcBorders>
              <w:top w:val="single" w:color="auto" w:sz="4" w:space="0"/>
              <w:bottom w:val="single" w:color="auto" w:sz="4" w:space="0"/>
              <w:tl2br w:val="nil"/>
              <w:tr2bl w:val="nil"/>
            </w:tcBorders>
            <w:vAlign w:val="center"/>
          </w:tcPr>
          <w:p w14:paraId="78CA5263">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磁测总误差nT</w:t>
            </w:r>
          </w:p>
        </w:tc>
        <w:tc>
          <w:tcPr>
            <w:tcW w:w="5203" w:type="dxa"/>
            <w:gridSpan w:val="7"/>
            <w:tcBorders>
              <w:top w:val="single" w:color="auto" w:sz="4" w:space="0"/>
              <w:bottom w:val="single" w:color="auto" w:sz="4" w:space="0"/>
              <w:tl2br w:val="nil"/>
              <w:tr2bl w:val="nil"/>
            </w:tcBorders>
            <w:vAlign w:val="center"/>
          </w:tcPr>
          <w:p w14:paraId="7056497A">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检查观测误差nT</w:t>
            </w:r>
          </w:p>
        </w:tc>
        <w:tc>
          <w:tcPr>
            <w:tcW w:w="2016" w:type="dxa"/>
            <w:gridSpan w:val="3"/>
            <w:tcBorders>
              <w:top w:val="single" w:color="auto" w:sz="4" w:space="0"/>
              <w:bottom w:val="single" w:color="auto" w:sz="4" w:space="0"/>
              <w:tl2br w:val="nil"/>
              <w:tr2bl w:val="nil"/>
            </w:tcBorders>
            <w:vAlign w:val="center"/>
          </w:tcPr>
          <w:p w14:paraId="03324C42">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正常场改正误差nT</w:t>
            </w:r>
          </w:p>
        </w:tc>
        <w:tc>
          <w:tcPr>
            <w:tcW w:w="1133" w:type="dxa"/>
            <w:vMerge w:val="restart"/>
            <w:tcBorders>
              <w:top w:val="single" w:color="auto" w:sz="4" w:space="0"/>
              <w:bottom w:val="single" w:color="auto" w:sz="4" w:space="0"/>
              <w:tl2br w:val="nil"/>
              <w:tr2bl w:val="nil"/>
            </w:tcBorders>
            <w:vAlign w:val="center"/>
          </w:tcPr>
          <w:p w14:paraId="420F40BD">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日变站基值测定误差nT</w:t>
            </w:r>
          </w:p>
        </w:tc>
      </w:tr>
      <w:tr w14:paraId="36C82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1" w:type="dxa"/>
            <w:vMerge w:val="continue"/>
            <w:tcBorders>
              <w:top w:val="single" w:color="auto" w:sz="4" w:space="0"/>
              <w:bottom w:val="single" w:color="auto" w:sz="4" w:space="0"/>
              <w:tl2br w:val="nil"/>
              <w:tr2bl w:val="nil"/>
            </w:tcBorders>
            <w:vAlign w:val="center"/>
          </w:tcPr>
          <w:p w14:paraId="48155F7E">
            <w:pPr>
              <w:pageBreakBefore w:val="0"/>
              <w:widowControl/>
              <w:wordWrap/>
              <w:bidi w:val="0"/>
              <w:ind w:left="-84" w:leftChars="-40" w:right="-84" w:rightChars="-40"/>
              <w:jc w:val="center"/>
              <w:outlineLvl w:val="9"/>
              <w:rPr>
                <w:rFonts w:ascii="仿宋_GB2312" w:hAnsi="仿宋_GB2312" w:eastAsia="仿宋_GB2312" w:cs="仿宋_GB2312"/>
                <w:color w:val="000000"/>
                <w:szCs w:val="21"/>
              </w:rPr>
            </w:pPr>
          </w:p>
        </w:tc>
        <w:tc>
          <w:tcPr>
            <w:tcW w:w="530" w:type="dxa"/>
            <w:tcBorders>
              <w:top w:val="single" w:color="auto" w:sz="4" w:space="0"/>
              <w:bottom w:val="single" w:color="auto" w:sz="4" w:space="0"/>
              <w:tl2br w:val="nil"/>
              <w:tr2bl w:val="nil"/>
            </w:tcBorders>
            <w:vAlign w:val="center"/>
          </w:tcPr>
          <w:p w14:paraId="45649630">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总计</w:t>
            </w:r>
          </w:p>
        </w:tc>
        <w:tc>
          <w:tcPr>
            <w:tcW w:w="790" w:type="dxa"/>
            <w:tcBorders>
              <w:top w:val="single" w:color="auto" w:sz="4" w:space="0"/>
              <w:bottom w:val="single" w:color="auto" w:sz="4" w:space="0"/>
              <w:tl2br w:val="nil"/>
              <w:tr2bl w:val="nil"/>
            </w:tcBorders>
            <w:vAlign w:val="center"/>
          </w:tcPr>
          <w:p w14:paraId="42AEA2E0">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操作及点位误差</w:t>
            </w:r>
          </w:p>
        </w:tc>
        <w:tc>
          <w:tcPr>
            <w:tcW w:w="821" w:type="dxa"/>
            <w:tcBorders>
              <w:top w:val="single" w:color="auto" w:sz="4" w:space="0"/>
              <w:bottom w:val="single" w:color="auto" w:sz="4" w:space="0"/>
              <w:tl2br w:val="nil"/>
              <w:tr2bl w:val="nil"/>
            </w:tcBorders>
            <w:vAlign w:val="center"/>
          </w:tcPr>
          <w:p w14:paraId="3D124C50">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仪器噪声误差</w:t>
            </w:r>
          </w:p>
        </w:tc>
        <w:tc>
          <w:tcPr>
            <w:tcW w:w="747" w:type="dxa"/>
            <w:tcBorders>
              <w:top w:val="single" w:color="auto" w:sz="4" w:space="0"/>
              <w:bottom w:val="single" w:color="auto" w:sz="4" w:space="0"/>
              <w:tl2br w:val="nil"/>
              <w:tr2bl w:val="nil"/>
            </w:tcBorders>
            <w:vAlign w:val="center"/>
          </w:tcPr>
          <w:p w14:paraId="0A67F8FE">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仪器观测误差</w:t>
            </w:r>
          </w:p>
        </w:tc>
        <w:tc>
          <w:tcPr>
            <w:tcW w:w="801" w:type="dxa"/>
            <w:tcBorders>
              <w:top w:val="single" w:color="auto" w:sz="4" w:space="0"/>
              <w:bottom w:val="single" w:color="auto" w:sz="4" w:space="0"/>
              <w:tl2br w:val="nil"/>
              <w:tr2bl w:val="nil"/>
            </w:tcBorders>
            <w:vAlign w:val="center"/>
          </w:tcPr>
          <w:p w14:paraId="6F59DCC9">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仪器系统误差</w:t>
            </w:r>
          </w:p>
        </w:tc>
        <w:tc>
          <w:tcPr>
            <w:tcW w:w="754" w:type="dxa"/>
            <w:tcBorders>
              <w:top w:val="single" w:color="auto" w:sz="4" w:space="0"/>
              <w:bottom w:val="single" w:color="auto" w:sz="4" w:space="0"/>
              <w:tl2br w:val="nil"/>
              <w:tr2bl w:val="nil"/>
            </w:tcBorders>
            <w:vAlign w:val="center"/>
          </w:tcPr>
          <w:p w14:paraId="42F7832B">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仪器一致性误差</w:t>
            </w:r>
          </w:p>
        </w:tc>
        <w:tc>
          <w:tcPr>
            <w:tcW w:w="760" w:type="dxa"/>
            <w:tcBorders>
              <w:top w:val="single" w:color="auto" w:sz="4" w:space="0"/>
              <w:bottom w:val="single" w:color="auto" w:sz="4" w:space="0"/>
              <w:tl2br w:val="nil"/>
              <w:tr2bl w:val="nil"/>
            </w:tcBorders>
            <w:vAlign w:val="center"/>
          </w:tcPr>
          <w:p w14:paraId="555C2ACD">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日变改正误差</w:t>
            </w:r>
          </w:p>
        </w:tc>
        <w:tc>
          <w:tcPr>
            <w:tcW w:w="529" w:type="dxa"/>
            <w:tcBorders>
              <w:top w:val="single" w:color="auto" w:sz="4" w:space="0"/>
              <w:bottom w:val="single" w:color="auto" w:sz="4" w:space="0"/>
              <w:tl2br w:val="nil"/>
              <w:tr2bl w:val="nil"/>
            </w:tcBorders>
            <w:vAlign w:val="center"/>
          </w:tcPr>
          <w:p w14:paraId="72A871A2">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总计</w:t>
            </w:r>
          </w:p>
        </w:tc>
        <w:tc>
          <w:tcPr>
            <w:tcW w:w="697" w:type="dxa"/>
            <w:tcBorders>
              <w:top w:val="single" w:color="auto" w:sz="4" w:space="0"/>
              <w:bottom w:val="single" w:color="auto" w:sz="4" w:space="0"/>
              <w:tl2br w:val="nil"/>
              <w:tr2bl w:val="nil"/>
            </w:tcBorders>
            <w:vAlign w:val="center"/>
          </w:tcPr>
          <w:p w14:paraId="0FB4D1A3">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纬度改正误差</w:t>
            </w:r>
          </w:p>
        </w:tc>
        <w:tc>
          <w:tcPr>
            <w:tcW w:w="790" w:type="dxa"/>
            <w:tcBorders>
              <w:top w:val="single" w:color="auto" w:sz="4" w:space="0"/>
              <w:bottom w:val="single" w:color="auto" w:sz="4" w:space="0"/>
              <w:tl2br w:val="nil"/>
              <w:tr2bl w:val="nil"/>
            </w:tcBorders>
            <w:vAlign w:val="center"/>
          </w:tcPr>
          <w:p w14:paraId="71190380">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高程改正误差</w:t>
            </w:r>
          </w:p>
        </w:tc>
        <w:tc>
          <w:tcPr>
            <w:tcW w:w="1133" w:type="dxa"/>
            <w:vMerge w:val="continue"/>
            <w:tcBorders>
              <w:top w:val="single" w:color="auto" w:sz="4" w:space="0"/>
              <w:bottom w:val="single" w:color="auto" w:sz="4" w:space="0"/>
              <w:tl2br w:val="nil"/>
              <w:tr2bl w:val="nil"/>
            </w:tcBorders>
            <w:vAlign w:val="center"/>
          </w:tcPr>
          <w:p w14:paraId="3112D9CF">
            <w:pPr>
              <w:pageBreakBefore w:val="0"/>
              <w:widowControl/>
              <w:wordWrap/>
              <w:bidi w:val="0"/>
              <w:ind w:left="-84" w:leftChars="-40" w:right="-84" w:rightChars="-40"/>
              <w:jc w:val="center"/>
              <w:outlineLvl w:val="9"/>
              <w:rPr>
                <w:rFonts w:ascii="仿宋_GB2312" w:hAnsi="仿宋_GB2312" w:eastAsia="仿宋_GB2312" w:cs="仿宋_GB2312"/>
                <w:color w:val="000000"/>
                <w:szCs w:val="21"/>
              </w:rPr>
            </w:pPr>
          </w:p>
        </w:tc>
      </w:tr>
      <w:tr w14:paraId="5CF33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1" w:type="dxa"/>
            <w:tcBorders>
              <w:top w:val="single" w:color="auto" w:sz="4" w:space="0"/>
              <w:bottom w:val="single" w:color="auto" w:sz="4" w:space="0"/>
              <w:tl2br w:val="nil"/>
              <w:tr2bl w:val="nil"/>
            </w:tcBorders>
            <w:vAlign w:val="center"/>
          </w:tcPr>
          <w:p w14:paraId="0D1746F0">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±5</w:t>
            </w:r>
          </w:p>
        </w:tc>
        <w:tc>
          <w:tcPr>
            <w:tcW w:w="530" w:type="dxa"/>
            <w:tcBorders>
              <w:top w:val="single" w:color="auto" w:sz="4" w:space="0"/>
              <w:bottom w:val="single" w:color="auto" w:sz="4" w:space="0"/>
              <w:tl2br w:val="nil"/>
              <w:tr2bl w:val="nil"/>
            </w:tcBorders>
            <w:vAlign w:val="center"/>
          </w:tcPr>
          <w:p w14:paraId="05B556C7">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4.40 </w:t>
            </w:r>
          </w:p>
        </w:tc>
        <w:tc>
          <w:tcPr>
            <w:tcW w:w="790" w:type="dxa"/>
            <w:tcBorders>
              <w:top w:val="single" w:color="auto" w:sz="4" w:space="0"/>
              <w:bottom w:val="single" w:color="auto" w:sz="4" w:space="0"/>
              <w:tl2br w:val="nil"/>
              <w:tr2bl w:val="nil"/>
            </w:tcBorders>
            <w:vAlign w:val="center"/>
          </w:tcPr>
          <w:p w14:paraId="787D17AE">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2.76 </w:t>
            </w:r>
          </w:p>
        </w:tc>
        <w:tc>
          <w:tcPr>
            <w:tcW w:w="821" w:type="dxa"/>
            <w:tcBorders>
              <w:top w:val="single" w:color="auto" w:sz="4" w:space="0"/>
              <w:bottom w:val="single" w:color="auto" w:sz="4" w:space="0"/>
              <w:tl2br w:val="nil"/>
              <w:tr2bl w:val="nil"/>
            </w:tcBorders>
            <w:vAlign w:val="center"/>
          </w:tcPr>
          <w:p w14:paraId="1AC5B9D5">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1.00 </w:t>
            </w:r>
          </w:p>
        </w:tc>
        <w:tc>
          <w:tcPr>
            <w:tcW w:w="747" w:type="dxa"/>
            <w:tcBorders>
              <w:top w:val="single" w:color="auto" w:sz="4" w:space="0"/>
              <w:bottom w:val="single" w:color="auto" w:sz="4" w:space="0"/>
              <w:tl2br w:val="nil"/>
              <w:tr2bl w:val="nil"/>
            </w:tcBorders>
            <w:vAlign w:val="center"/>
          </w:tcPr>
          <w:p w14:paraId="112D7845">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1.50 </w:t>
            </w:r>
          </w:p>
        </w:tc>
        <w:tc>
          <w:tcPr>
            <w:tcW w:w="801" w:type="dxa"/>
            <w:tcBorders>
              <w:top w:val="single" w:color="auto" w:sz="4" w:space="0"/>
              <w:bottom w:val="single" w:color="auto" w:sz="4" w:space="0"/>
              <w:tl2br w:val="nil"/>
              <w:tr2bl w:val="nil"/>
            </w:tcBorders>
            <w:vAlign w:val="center"/>
          </w:tcPr>
          <w:p w14:paraId="2068CA7D">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0.70 </w:t>
            </w:r>
          </w:p>
        </w:tc>
        <w:tc>
          <w:tcPr>
            <w:tcW w:w="754" w:type="dxa"/>
            <w:tcBorders>
              <w:top w:val="single" w:color="auto" w:sz="4" w:space="0"/>
              <w:bottom w:val="single" w:color="auto" w:sz="4" w:space="0"/>
              <w:tl2br w:val="nil"/>
              <w:tr2bl w:val="nil"/>
            </w:tcBorders>
            <w:vAlign w:val="center"/>
          </w:tcPr>
          <w:p w14:paraId="464ECECE">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2.00 </w:t>
            </w:r>
          </w:p>
        </w:tc>
        <w:tc>
          <w:tcPr>
            <w:tcW w:w="760" w:type="dxa"/>
            <w:tcBorders>
              <w:top w:val="single" w:color="auto" w:sz="4" w:space="0"/>
              <w:bottom w:val="single" w:color="auto" w:sz="4" w:space="0"/>
              <w:tl2br w:val="nil"/>
              <w:tr2bl w:val="nil"/>
            </w:tcBorders>
            <w:vAlign w:val="center"/>
          </w:tcPr>
          <w:p w14:paraId="01B7BAA1">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2.00 </w:t>
            </w:r>
          </w:p>
        </w:tc>
        <w:tc>
          <w:tcPr>
            <w:tcW w:w="529" w:type="dxa"/>
            <w:tcBorders>
              <w:top w:val="single" w:color="auto" w:sz="4" w:space="0"/>
              <w:bottom w:val="single" w:color="auto" w:sz="4" w:space="0"/>
              <w:tl2br w:val="nil"/>
              <w:tr2bl w:val="nil"/>
            </w:tcBorders>
            <w:vAlign w:val="center"/>
          </w:tcPr>
          <w:p w14:paraId="3FDCBFC7">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1.50 </w:t>
            </w:r>
          </w:p>
        </w:tc>
        <w:tc>
          <w:tcPr>
            <w:tcW w:w="697" w:type="dxa"/>
            <w:tcBorders>
              <w:top w:val="single" w:color="auto" w:sz="4" w:space="0"/>
              <w:bottom w:val="single" w:color="auto" w:sz="4" w:space="0"/>
              <w:tl2br w:val="nil"/>
              <w:tr2bl w:val="nil"/>
            </w:tcBorders>
            <w:vAlign w:val="center"/>
          </w:tcPr>
          <w:p w14:paraId="73A01B7E">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1.10 </w:t>
            </w:r>
          </w:p>
        </w:tc>
        <w:tc>
          <w:tcPr>
            <w:tcW w:w="790" w:type="dxa"/>
            <w:tcBorders>
              <w:top w:val="single" w:color="auto" w:sz="4" w:space="0"/>
              <w:bottom w:val="single" w:color="auto" w:sz="4" w:space="0"/>
              <w:tl2br w:val="nil"/>
              <w:tr2bl w:val="nil"/>
            </w:tcBorders>
            <w:vAlign w:val="center"/>
          </w:tcPr>
          <w:p w14:paraId="7D5AB616">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1.00 </w:t>
            </w:r>
          </w:p>
        </w:tc>
        <w:tc>
          <w:tcPr>
            <w:tcW w:w="1133" w:type="dxa"/>
            <w:tcBorders>
              <w:top w:val="single" w:color="auto" w:sz="4" w:space="0"/>
              <w:bottom w:val="single" w:color="auto" w:sz="4" w:space="0"/>
              <w:tl2br w:val="nil"/>
              <w:tr2bl w:val="nil"/>
            </w:tcBorders>
            <w:vAlign w:val="center"/>
          </w:tcPr>
          <w:p w14:paraId="51CE0341">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1.80 </w:t>
            </w:r>
          </w:p>
        </w:tc>
      </w:tr>
    </w:tbl>
    <w:p w14:paraId="475D3A32">
      <w:pPr>
        <w:pageBreakBefore w:val="0"/>
        <w:wordWrap/>
        <w:bidi w:val="0"/>
        <w:spacing w:line="240" w:lineRule="exact"/>
        <w:ind w:firstLine="200" w:firstLineChars="200"/>
        <w:outlineLvl w:val="9"/>
        <w:rPr>
          <w:rFonts w:ascii="仿宋_GB2312" w:hAnsi="仿宋" w:eastAsia="仿宋_GB2312" w:cs="仿宋"/>
          <w:sz w:val="10"/>
          <w:szCs w:val="10"/>
        </w:rPr>
      </w:pPr>
    </w:p>
    <w:p w14:paraId="1FE2429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9、资料解释</w:t>
      </w:r>
    </w:p>
    <w:p w14:paraId="5CA9780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（1）磁异常的划分</w:t>
      </w:r>
    </w:p>
    <w:p w14:paraId="536AE01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异常下限超过设计精度2.5倍即13nT，视为可信弱磁异常的下限；两条以上测线有显示，沿测线方向有三个点高于背景场；形成明显的局部磁力高圈闭。</w:t>
      </w:r>
    </w:p>
    <w:p w14:paraId="64C045C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（2）磁异常登记</w:t>
      </w:r>
    </w:p>
    <w:p w14:paraId="3D069BA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按照由北向南，从西向东的原则对局部高磁异常进行编号，然后在异常登记表中填写异常长度、宽度、走向中心位置、异常幅值、有无伴生负磁异常及其坐标等资料。</w:t>
      </w:r>
    </w:p>
    <w:p w14:paraId="6F0208B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（3）地质构造划分</w:t>
      </w:r>
    </w:p>
    <w:p w14:paraId="28CACDD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主要包括构造（断裂构造、火山构造）、地层（磁性火山岩地层、磁性变质岩地层）、岩浆岩等均为可引起磁异常的地质构造的划分,它们有时可以作为找矿的间接标志。</w:t>
      </w:r>
    </w:p>
    <w:p w14:paraId="4C96386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（4）磁场的推断解释</w:t>
      </w:r>
    </w:p>
    <w:p w14:paraId="59BBFBB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对磁场的分解，能够分辩深浅源磁异常体；对磁场的处理,可对构造带、侵入岩进行划分；研究磁异常，筛选磁异常。</w:t>
      </w:r>
    </w:p>
    <w:p w14:paraId="673D57F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（5）磁异常的推断解释</w:t>
      </w:r>
    </w:p>
    <w:p w14:paraId="4B59559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对磁异常的解释推断，主要用于寻找能引起磁异常的矿床。由于磁异常可以解释推断的矿床有很多种，所以各种矿床在解释推断方法、途径及准则上均有不同，因此要求根据不同的矿床选择不同的准则进行，磁异常的解释推断包括：根据定性和定量解释、平面和剖面的解释结果，按照地质学的基本原理编制各类推断成果图件；对推断成果图件上磁测工作解释出的地质体、地质现象进行地质解释和推断，阐明它们相互间的关系及与已知地质情况的关系等，建立地质地球物理概念模型；当原有地质观点无法合理解释物探推断时，要在深入研究综合资料后，按照物探推断结果做出新的地质解释。</w:t>
      </w:r>
    </w:p>
    <w:p w14:paraId="2F21D96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10、图件制作</w:t>
      </w:r>
    </w:p>
    <w:p w14:paraId="2A31E15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磁测图件的编制全部在计算机中完成，最终应得到MAPGIS平台下的数据格式图件。</w:t>
      </w:r>
    </w:p>
    <w:p w14:paraId="6DB762E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(二)1∶1千重力剖面测量</w:t>
      </w:r>
    </w:p>
    <w:p w14:paraId="27FE2F5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本次地面重力测量工作以中华人民共和国地质矿产行业标准DZ/T0171—2017《大比例尺重力勘查规范》为主要依据。本次重力测地工作测量采用RTK进行定位获取三维坐标，要求点位平面中误差≤±0.03米，高程中误差≤±0.02米。测点处埋设木桩并标明点线号</w:t>
      </w:r>
    </w:p>
    <w:p w14:paraId="3DB6BEF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 仪器设备</w:t>
      </w:r>
    </w:p>
    <w:p w14:paraId="1DF4B62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（1）仪器调节</w:t>
      </w:r>
    </w:p>
    <w:p w14:paraId="6B6D6D3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①在开工前和生产期间，应定期对投入生产的重力仪进行相应的检查与调节。</w:t>
      </w:r>
    </w:p>
    <w:p w14:paraId="08AB3DAC">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②定期检查和调整重力仪弹性系统的漂移校正，对漂移常量(DRIFT)进行必要的调整，保证在24小时之内仪器零点漂移值不超过设计精度均方误差的3倍值。</w:t>
      </w:r>
    </w:p>
    <w:p w14:paraId="7F5B3C3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③CG-5型重力仪的温度补偿、漂移改正、倾斜传感器零点和灵敏度的检查与调节每月进行一次。</w:t>
      </w:r>
    </w:p>
    <w:p w14:paraId="4304E4E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④重力仪经长途搬运后，应及时对重力仪进行检查与调节。</w:t>
      </w:r>
    </w:p>
    <w:p w14:paraId="3FF6C29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（2）格值标定</w:t>
      </w:r>
    </w:p>
    <w:p w14:paraId="15A5BA9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重力仪应在国家重力基本点标定场进行格值测定。</w:t>
      </w:r>
    </w:p>
    <w:p w14:paraId="1602ABD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（3）性能试验</w:t>
      </w:r>
    </w:p>
    <w:p w14:paraId="0AD03A3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所有重力仪在开工前应进行静态试验、动态试验和多台重力仪间的一致性试验，各项性能试验应在工作区（或工作区周边地段）完成。工作期间重力仪受剧烈碰撞，或工作期间发现其性能异常，经过中、大修后应重新进行各项性能试验，各项精度满足要求后方可投入生产。在外业数据采集工作结束后，应对重力仪进行动态试验和多台重力仪间一致性试验。</w:t>
      </w:r>
    </w:p>
    <w:p w14:paraId="2345C46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①静态试验</w:t>
      </w:r>
    </w:p>
    <w:p w14:paraId="2826A80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选择环境温度变化较小、地基稳固、无振动干扰的试验场地。连续观测时间不少于24小时，重力仪每5分钟～10分钟记录一次读数。</w:t>
      </w:r>
    </w:p>
    <w:p w14:paraId="1169664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②动态试验</w:t>
      </w:r>
    </w:p>
    <w:p w14:paraId="32DFAFA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分为两点动态试验和多点动态试验。重力仪性能试验应采用多点动态试验方法，并在工作区完成；开工前挑选重力仪可采用两点动态试验。</w:t>
      </w:r>
    </w:p>
    <w:p w14:paraId="42494F4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两点动态试验：选择地基稳固、干扰较小的试验点，两点间重力段差不小于3×10-5m/s2；采用连续观测方式（观测方式：1→2→1→2→1→2……），相邻两点间单程观测时间间隔不大于20分钟，试验时间不少于12小时。</w:t>
      </w:r>
    </w:p>
    <w:p w14:paraId="3589F7A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多点动态试验：试验点距和路面状况应与工作区的实际地形情况类似，在工作区和周边地区选择18个以上试验点，选择地基稳固、干扰小、相邻两点间重力段差在0.5×10-5m/s2～5×10-5m/s2之间；以汽车或步行运输重力仪，采用双程往返观测方式（观测方式：1→2→3→n-1→n；n→n-l→3→2→1）进行；相邻两点间单程观测时间间隔不大于20分钟,试验时间不少于12小时。</w:t>
      </w:r>
    </w:p>
    <w:p w14:paraId="68D1E99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③多台仪器一致性试验</w:t>
      </w:r>
    </w:p>
    <w:p w14:paraId="7BD0C7B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试验点数不少于15个（不包含基点），点距和场地选择应与工作区的地形情况类似。选择某一点作为起始点，以汽车或步行运送重力仪，按照“起始点→试验点→……试验点→起始点”;观测方式进行观测，相邻两点间重力段差在0.5×10-5m/s2～5×10-5m/s2之间。</w:t>
      </w:r>
    </w:p>
    <w:p w14:paraId="75BD7F2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④性能试验资料整理</w:t>
      </w:r>
    </w:p>
    <w:p w14:paraId="658CC3E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静态试验观测结果经固体潮改正后，计算出各观测时刻的观测重力值，绘制出每台重力仪的静态观测曲线，并用线性回归计算出混合零点位移漂移。</w:t>
      </w:r>
    </w:p>
    <w:p w14:paraId="1C2A191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多台重力仪的一致性均方误差不超过设计的测点重力观测均方误差。若超差可剔除偏离大的重力仪观测数据并重新统计精度或进行试验，满足要求的重力仪可投入生产，但剔除数据的重力仪禁止使用。</w:t>
      </w:r>
      <w:r>
        <w:rPr>
          <w:rFonts w:ascii="Calibri" w:hAnsi="Calibri" w:eastAsia="仿宋" w:cs="Calibri"/>
          <w:sz w:val="24"/>
          <w:szCs w:val="24"/>
        </w:rPr>
        <w:t> </w:t>
      </w:r>
    </w:p>
    <w:p w14:paraId="4C7B220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在多点动态试验均方误差满足项目技术要求的前提下，可利用多点动态试验观测数据统计多台重力仪间的一致性均方误差。</w:t>
      </w:r>
    </w:p>
    <w:p w14:paraId="351A3140">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根据一致性试验观测结果，统计单台重力仪及多台重力仪间的一致性精度。</w:t>
      </w:r>
    </w:p>
    <w:p w14:paraId="34EAC37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根据动态试验观测结果，求取段差或增量值、统计动态观测均方误差、绘制每台重力仪的动态试验曲线，对比分析各台重力仪动态试验曲线相互之间的偏离规律（特别是与平均值曲线之间的偏离），识别出偏离大的重力仪，分析原因并判定是否满足要求。</w:t>
      </w:r>
    </w:p>
    <w:p w14:paraId="45F7DFC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⑤重力仪闭合时间确定</w:t>
      </w:r>
    </w:p>
    <w:p w14:paraId="1F5478A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根据静态观测曲线及线性回归直线，按照“最大混合零点位移漂移不大于3倍的测点重力观测均方误差”的要求，大致确定每台重力仪的最大闭合时间。</w:t>
      </w:r>
    </w:p>
    <w:p w14:paraId="0FCFBE0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也可根据动态观测曲线与静态试验回归直线，按照“最大偏差小于设计的测点重力观测均方误差”的要求，确定每台重力仪的闭合时间。</w:t>
      </w:r>
    </w:p>
    <w:p w14:paraId="08FB5B3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⑥绘制仪器性能曲线图</w:t>
      </w:r>
    </w:p>
    <w:p w14:paraId="6B104B4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静态观测曲线图：以时间为横坐标、重力值（以起始时刻重力值为相对零点）为纵坐标，绘制每台重力仪的静态观测曲线。</w:t>
      </w:r>
    </w:p>
    <w:p w14:paraId="16AD32A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动态观测曲线图：以每个独立增量与独立增量平均值的差值为纵坐标，测点编号为横坐标，绘制各台重力仪的动态观测曲线。</w:t>
      </w:r>
    </w:p>
    <w:p w14:paraId="7C4095B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一致性曲线图：将各台仪器的一致性观测曲线及多台仪器一致性观测重力值的平均值曲线绘制在同一坐标系中，观测多台仪器的一致性状况。每点观测值经固体潮及混合零点位移漂移改正之后，求取各台仪器在该点与起始点的重力段差值；以点号为横坐标，重力段差为纵坐标，将单台仪器在各观测点上的重力值用点画线连接起来，得到该组重力仪的一致性试验曲线图。</w:t>
      </w:r>
    </w:p>
    <w:p w14:paraId="13F177A8">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⑦仪器性能结果判定</w:t>
      </w:r>
    </w:p>
    <w:p w14:paraId="3348DCD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静态试验结果判定：静态零观测曲线应近于线性。在判定的闭合时间内，静态零观测曲线与直线的最大偏差应小于设计的测点重力观测均方误差，否则判定该重力仪不合格。</w:t>
      </w:r>
    </w:p>
    <w:p w14:paraId="3DEFEDF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动态试验结果判定：重力仪动态试验均方误差不大于设计的测点重力观测均方误差。</w:t>
      </w:r>
    </w:p>
    <w:p w14:paraId="3E04F73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一致性结果判定：当某台重力仪一致性均方误差大于设计的基点联测均方误差或测点重力观测均方误差时，不应使用该重力仪。各台重力仪间一致性均方误差不应超过设计的测点重力观测均方误差，否则可剔除偏离大的重力仪，重新进行试验或统计精度。观察多台重力仪的一致性试验曲线图，曲线越接近，该组重力仪一致性越好；对比分析各台重力仪性能试验曲线与平均值曲线之间的偏离、各台重力仪性能试验曲线相互之间的偏离规律，从性能试验曲线上识别出偏离较大的重力仪；依据单台重力仪的观测均方误差及图示结果，对投入生产的重力仪进行优选。</w:t>
      </w:r>
    </w:p>
    <w:p w14:paraId="4BB34B02">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3.野外观测</w:t>
      </w:r>
    </w:p>
    <w:p w14:paraId="6C8E2F4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（1）基点选择</w:t>
      </w:r>
    </w:p>
    <w:p w14:paraId="09998C7E">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重力基点应选择在地基稳固、周围无振动源、近期不被占用、附近地形和其它引力质量近期内不会有较大变化且交通便利的地段设立总基点，总基点应有明显标识。重力基点应尽量在正常场区，具体可依据小比例尺的布格重力异常平面图或通过实测重力剖面确定。</w:t>
      </w:r>
    </w:p>
    <w:p w14:paraId="4DC2260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（2）测点观测</w:t>
      </w:r>
    </w:p>
    <w:p w14:paraId="16AD2A3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①每日早基观测前，要对重力仪的温度补偿、漂移改正、倾斜传感器零点和灵敏度进行检查保证仪器处于正常工作状态。检查和测定结果均应记入记录本。</w:t>
      </w:r>
    </w:p>
    <w:p w14:paraId="79985E3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②重力仪检查正常后，按照基点-辅基点-基点的次序进行观测，在基点上读三次数，辅基点读两次数。基点与辅基点之间的重力差值不宜太小，距离适宜，两次基点读数时间间隔不小于6分钟。</w:t>
      </w:r>
    </w:p>
    <w:p w14:paraId="43BEA2B4">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③重力仪读数时间间隔设置不小于30秒，同一次基点读数中任意两个读数之差不大于0.005×10-5m/s2，前后两次基点的平均读格之差不大于0.010×10-5m/s2。闭合到基点上观测时，在基点上读三次数，读数按重力仪类型满足上述基点观测技术要求。</w:t>
      </w:r>
    </w:p>
    <w:p w14:paraId="3546CF5A">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④测点重力值观测采用单程闭合观测法，每个闭合单元内不应对重力仪测程进行调节，闭合时间不应超出性能试验确定的最大闭合时间。每个闭合单元的混合零点位移漂移应小于3倍的测点重力观测均方误差。</w:t>
      </w:r>
    </w:p>
    <w:p w14:paraId="0ECA96B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⑤测点重力值观测后，记录者及时按要求做好记录。</w:t>
      </w:r>
    </w:p>
    <w:p w14:paraId="609A17D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⑥测点观测时，调平重力仪，水泡调平精准到1/5刻度，观测中允许变化1/2刻度。重力仪脚架盘平面与高程测量点的高度应保持同一水平面，其高差不超过2厘米，每个测点读两次数，两个读数之差不大于0.005×10-5m/s2，取平均值作为该点的重力观测值。</w:t>
      </w:r>
    </w:p>
    <w:p w14:paraId="7B4B024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⑦如重力仪读数线大幅度摆动时，应停止观测，待读数线稳定后再进行测量。</w:t>
      </w:r>
    </w:p>
    <w:p w14:paraId="2525D07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⑧当重力仪工作期间受到碰撞，应返回受撞前3-5个测点进行重复观测，检查重力仪掉格情况，如果掉格不符合要求，则停止作业返回驻地，对重力仪进行检查，并对该闭合单元的工作量做返工处理。</w:t>
      </w:r>
    </w:p>
    <w:p w14:paraId="35431CD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⑨观测值跳变部位应重复观测，确保测量数据准确无误。</w:t>
      </w:r>
    </w:p>
    <w:p w14:paraId="684EA24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⑩对异常段应进行加密观测。</w:t>
      </w:r>
    </w:p>
    <w:p w14:paraId="18AF549F">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（3）地形改正</w:t>
      </w:r>
    </w:p>
    <w:p w14:paraId="3616DF6C">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①近区（0米～20米）做八方位地形改正。实测时，采用重力测量近区地形改正系统(GTCS-1）进行观测，以正北为起始方位，按顺时针方向依次观测八个方位的地形坡度角（或相对高差），按照仰角为正、俯角为负的要求记录在地形改正原始记录本上。根据地形特点选用相应的公式，软件计算地形改正值。</w:t>
      </w:r>
    </w:p>
    <w:p w14:paraId="7A393CDB">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②中区（20米～500米）和远区（500米～2000米）。中、远区地形改正高程节点网格距通过实验确定，要求中区地形改正高程DEM数据的节点格距为5米～10米，远区地形改正高程DEM数据的节点格距为20米～50米；本区没有1∶5000比例尺的地形图或航片，应尽可能收集高程30米×30米节点的DEM数据。</w:t>
      </w:r>
    </w:p>
    <w:p w14:paraId="64190E4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 质量评述</w:t>
      </w:r>
    </w:p>
    <w:p w14:paraId="2849EC0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（1）质量检查</w:t>
      </w:r>
    </w:p>
    <w:p w14:paraId="155D1A8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观测质量检查主要有测点重力值观测、实测地形改正观测质量检查。各方法的质量检查均采用同精度检查方式。观测质量检查点应采用离散点随机抽查，检查点应在平面上大致分布均匀，并在不同地形类别区及异常区均有分布；检查工作应随外业工作同步进行，并贯穿野外工作全过程，不应集中在某一时间段或外业工作结束前突击检查。</w:t>
      </w:r>
    </w:p>
    <w:p w14:paraId="128A4F7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多台仪器工作时，测定重力值观测质量检查应按照“同点位、不同仪器、不同操作员、不同闭合单元”的要求进行。检查工作量不少于总工作量的3％；单台仪器工作时，按照“同点位、同仪器、不同操作员、不同闭合单元”的要求进行，检查工作量不少于总工作量的10％；检查的测点观测均方误差满足设计精度外，检查点原始观测值与检查观测值的差值还应不大于3倍的设计测点重力观测均方误差，当不满足时，应布置不少于该闭合单元总工作量10％的专门性检查，仍不满足时该闭合单元的重力观测工作量进行返工。</w:t>
      </w:r>
    </w:p>
    <w:p w14:paraId="2FB6F46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实测法地形改正质量检查采用重复测定法，按照“同点位、不同操作员”的要求完成；检查观测值与原始观测值的差值不大于3倍的设计地形改正误差。采用高程DEM数据的高程作为测点高程，重新计算地形改正值，进行中、远区地形改正质量检查；地形改正质量检查工作量不少于总地形改正点数的3％，检查点数不少于30个；对高程DEM数据应以实测高程为标准进行精度评价，要求中区地形改正观测DEM数据中误差小于±2.0米，远区地形改正观测DEM数据中误差小于±4.0米</w:t>
      </w:r>
    </w:p>
    <w:p w14:paraId="07D4893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（2）精度指标</w:t>
      </w:r>
    </w:p>
    <w:p w14:paraId="10EB80D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①平均读格差计算结果小数保留3位有效数字；</w:t>
      </w:r>
    </w:p>
    <w:p w14:paraId="19B7F439">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②格值计算及格值校正系数计算结果小数保留8位有效数字；</w:t>
      </w:r>
    </w:p>
    <w:p w14:paraId="4BC86125">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③其它各类计算结果均要求精确到0.001×10-5m/s2；</w:t>
      </w:r>
    </w:p>
    <w:p w14:paraId="07DEFB8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④布格异常总精度及各项精度分配、地形改正总精度及各区精度分配和控制测量及测点三维坐标定位测量精度分配参照表5-2、表5-3执行。在保证总精度不变的前提下，表中各项精度可根据工作比例尺、仪器类型、地形改正方法及地形类型等因素合理调整。</w:t>
      </w:r>
    </w:p>
    <w:p w14:paraId="29C2ECB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表5-2   布格异常总精度及各项精度分配表（单位：10-5m/s2）</w:t>
      </w:r>
    </w:p>
    <w:tbl>
      <w:tblPr>
        <w:tblStyle w:val="42"/>
        <w:tblW w:w="90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800"/>
        <w:gridCol w:w="1801"/>
        <w:gridCol w:w="1801"/>
        <w:gridCol w:w="1801"/>
      </w:tblGrid>
      <w:tr w14:paraId="17EC7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800" w:type="dxa"/>
            <w:tcBorders>
              <w:top w:val="single" w:color="auto" w:sz="4" w:space="0"/>
              <w:bottom w:val="single" w:color="auto" w:sz="4" w:space="0"/>
            </w:tcBorders>
            <w:vAlign w:val="center"/>
          </w:tcPr>
          <w:p w14:paraId="37EA4D6A">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布格重力异常</w:t>
            </w:r>
          </w:p>
          <w:p w14:paraId="7C66C658">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总精度</w:t>
            </w:r>
          </w:p>
        </w:tc>
        <w:tc>
          <w:tcPr>
            <w:tcW w:w="1800" w:type="dxa"/>
            <w:tcBorders>
              <w:top w:val="single" w:color="auto" w:sz="4" w:space="0"/>
              <w:bottom w:val="single" w:color="auto" w:sz="4" w:space="0"/>
            </w:tcBorders>
            <w:vAlign w:val="center"/>
          </w:tcPr>
          <w:p w14:paraId="0DA8F665">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测点重力观测</w:t>
            </w:r>
          </w:p>
          <w:p w14:paraId="0B6DBBC2">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均方误差</w:t>
            </w:r>
          </w:p>
        </w:tc>
        <w:tc>
          <w:tcPr>
            <w:tcW w:w="1801" w:type="dxa"/>
            <w:tcBorders>
              <w:top w:val="single" w:color="auto" w:sz="4" w:space="0"/>
              <w:bottom w:val="single" w:color="auto" w:sz="4" w:space="0"/>
            </w:tcBorders>
            <w:vAlign w:val="center"/>
          </w:tcPr>
          <w:p w14:paraId="4F86E8D8">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布格改正</w:t>
            </w:r>
          </w:p>
          <w:p w14:paraId="138EEC51">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均方误差</w:t>
            </w:r>
          </w:p>
        </w:tc>
        <w:tc>
          <w:tcPr>
            <w:tcW w:w="1801" w:type="dxa"/>
            <w:tcBorders>
              <w:top w:val="single" w:color="auto" w:sz="4" w:space="0"/>
              <w:bottom w:val="single" w:color="auto" w:sz="4" w:space="0"/>
            </w:tcBorders>
            <w:vAlign w:val="center"/>
          </w:tcPr>
          <w:p w14:paraId="6C36BAFB">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地形改正</w:t>
            </w:r>
          </w:p>
          <w:p w14:paraId="2AFC35E1">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均方误差</w:t>
            </w:r>
          </w:p>
        </w:tc>
        <w:tc>
          <w:tcPr>
            <w:tcW w:w="1801" w:type="dxa"/>
            <w:tcBorders>
              <w:top w:val="single" w:color="auto" w:sz="4" w:space="0"/>
              <w:bottom w:val="single" w:color="auto" w:sz="4" w:space="0"/>
            </w:tcBorders>
            <w:vAlign w:val="center"/>
          </w:tcPr>
          <w:p w14:paraId="4E033E9B">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正常场改正</w:t>
            </w:r>
          </w:p>
          <w:p w14:paraId="52BF5B23">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均方误差</w:t>
            </w:r>
          </w:p>
        </w:tc>
      </w:tr>
      <w:tr w14:paraId="1F2B0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00" w:type="dxa"/>
            <w:tcBorders>
              <w:top w:val="single" w:color="auto" w:sz="4" w:space="0"/>
              <w:bottom w:val="single" w:color="auto" w:sz="4" w:space="0"/>
            </w:tcBorders>
            <w:vAlign w:val="center"/>
          </w:tcPr>
          <w:p w14:paraId="16530D6B">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±0.050</w:t>
            </w:r>
          </w:p>
        </w:tc>
        <w:tc>
          <w:tcPr>
            <w:tcW w:w="1800" w:type="dxa"/>
            <w:tcBorders>
              <w:top w:val="single" w:color="auto" w:sz="4" w:space="0"/>
              <w:bottom w:val="single" w:color="auto" w:sz="4" w:space="0"/>
            </w:tcBorders>
            <w:vAlign w:val="center"/>
          </w:tcPr>
          <w:p w14:paraId="33BE02CC">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±0.025</w:t>
            </w:r>
          </w:p>
        </w:tc>
        <w:tc>
          <w:tcPr>
            <w:tcW w:w="1801" w:type="dxa"/>
            <w:tcBorders>
              <w:top w:val="single" w:color="auto" w:sz="4" w:space="0"/>
              <w:bottom w:val="single" w:color="auto" w:sz="4" w:space="0"/>
            </w:tcBorders>
            <w:vAlign w:val="center"/>
          </w:tcPr>
          <w:p w14:paraId="2059C055">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±0.035</w:t>
            </w:r>
          </w:p>
        </w:tc>
        <w:tc>
          <w:tcPr>
            <w:tcW w:w="1801" w:type="dxa"/>
            <w:tcBorders>
              <w:top w:val="single" w:color="auto" w:sz="4" w:space="0"/>
              <w:bottom w:val="single" w:color="auto" w:sz="4" w:space="0"/>
            </w:tcBorders>
            <w:vAlign w:val="center"/>
          </w:tcPr>
          <w:p w14:paraId="30BC2C40">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±0.029</w:t>
            </w:r>
          </w:p>
        </w:tc>
        <w:tc>
          <w:tcPr>
            <w:tcW w:w="1801" w:type="dxa"/>
            <w:tcBorders>
              <w:top w:val="single" w:color="auto" w:sz="4" w:space="0"/>
              <w:bottom w:val="single" w:color="auto" w:sz="4" w:space="0"/>
            </w:tcBorders>
            <w:vAlign w:val="center"/>
          </w:tcPr>
          <w:p w14:paraId="3DCD25D3">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±0.003</w:t>
            </w:r>
          </w:p>
        </w:tc>
      </w:tr>
    </w:tbl>
    <w:p w14:paraId="61C11553">
      <w:pPr>
        <w:pageBreakBefore w:val="0"/>
        <w:wordWrap/>
        <w:bidi w:val="0"/>
        <w:spacing w:line="240" w:lineRule="exact"/>
        <w:jc w:val="center"/>
        <w:outlineLvl w:val="9"/>
        <w:rPr>
          <w:rFonts w:ascii="仿宋_GB2312" w:hAnsi="宋体" w:eastAsia="仿宋_GB2312" w:cs="宋体"/>
          <w:sz w:val="10"/>
          <w:szCs w:val="10"/>
        </w:rPr>
      </w:pPr>
    </w:p>
    <w:p w14:paraId="56B0731C">
      <w:pPr>
        <w:pageBreakBefore w:val="0"/>
        <w:wordWrap/>
        <w:bidi w:val="0"/>
        <w:spacing w:line="360" w:lineRule="auto"/>
        <w:jc w:val="center"/>
        <w:outlineLvl w:val="9"/>
        <w:rPr>
          <w:rFonts w:ascii="仿宋_GB2312" w:hAnsi="宋体" w:eastAsia="仿宋_GB2312" w:cs="宋体"/>
          <w:sz w:val="24"/>
          <w:szCs w:val="24"/>
        </w:rPr>
      </w:pPr>
      <w:r>
        <w:rPr>
          <w:rFonts w:hint="eastAsia" w:ascii="仿宋_GB2312" w:hAnsi="宋体" w:eastAsia="仿宋_GB2312" w:cs="宋体"/>
          <w:sz w:val="24"/>
          <w:szCs w:val="24"/>
        </w:rPr>
        <w:t>表5-3  地形改正总精度及各项精度分配表（单位：10</w:t>
      </w:r>
      <w:r>
        <w:rPr>
          <w:rFonts w:hint="eastAsia" w:ascii="仿宋_GB2312" w:hAnsi="宋体" w:eastAsia="仿宋_GB2312" w:cs="宋体"/>
          <w:sz w:val="24"/>
          <w:szCs w:val="24"/>
          <w:vertAlign w:val="superscript"/>
        </w:rPr>
        <w:t>-5</w:t>
      </w:r>
      <w:r>
        <w:rPr>
          <w:rFonts w:hint="eastAsia" w:ascii="仿宋_GB2312" w:hAnsi="宋体" w:eastAsia="仿宋_GB2312" w:cs="宋体"/>
          <w:sz w:val="24"/>
          <w:szCs w:val="24"/>
        </w:rPr>
        <w:t>m/s</w:t>
      </w:r>
      <w:r>
        <w:rPr>
          <w:rFonts w:hint="eastAsia" w:ascii="仿宋_GB2312" w:hAnsi="宋体" w:eastAsia="仿宋_GB2312" w:cs="宋体"/>
          <w:sz w:val="24"/>
          <w:szCs w:val="24"/>
          <w:vertAlign w:val="superscript"/>
        </w:rPr>
        <w:t>2</w:t>
      </w:r>
      <w:r>
        <w:rPr>
          <w:rFonts w:hint="eastAsia" w:ascii="仿宋_GB2312" w:hAnsi="宋体" w:eastAsia="仿宋_GB2312" w:cs="宋体"/>
          <w:sz w:val="24"/>
          <w:szCs w:val="24"/>
        </w:rPr>
        <w:t>）</w:t>
      </w:r>
    </w:p>
    <w:tbl>
      <w:tblPr>
        <w:tblStyle w:val="42"/>
        <w:tblW w:w="90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50"/>
        <w:gridCol w:w="2251"/>
        <w:gridCol w:w="2251"/>
        <w:gridCol w:w="2251"/>
      </w:tblGrid>
      <w:tr w14:paraId="36796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0" w:type="dxa"/>
            <w:tcBorders>
              <w:top w:val="single" w:color="auto" w:sz="4" w:space="0"/>
              <w:bottom w:val="single" w:color="auto" w:sz="4" w:space="0"/>
            </w:tcBorders>
            <w:vAlign w:val="center"/>
          </w:tcPr>
          <w:p w14:paraId="7C99EFFA">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地形改正</w:t>
            </w:r>
          </w:p>
          <w:p w14:paraId="0FC85F45">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总均方误差</w:t>
            </w:r>
          </w:p>
        </w:tc>
        <w:tc>
          <w:tcPr>
            <w:tcW w:w="2251" w:type="dxa"/>
            <w:tcBorders>
              <w:top w:val="single" w:color="auto" w:sz="4" w:space="0"/>
              <w:bottom w:val="single" w:color="auto" w:sz="4" w:space="0"/>
            </w:tcBorders>
            <w:vAlign w:val="center"/>
          </w:tcPr>
          <w:p w14:paraId="7FEFEE5D">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近区（0m～20m）</w:t>
            </w:r>
          </w:p>
          <w:p w14:paraId="406D87F9">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地形改正均方误差</w:t>
            </w:r>
          </w:p>
        </w:tc>
        <w:tc>
          <w:tcPr>
            <w:tcW w:w="2251" w:type="dxa"/>
            <w:tcBorders>
              <w:top w:val="single" w:color="auto" w:sz="4" w:space="0"/>
              <w:bottom w:val="single" w:color="auto" w:sz="4" w:space="0"/>
            </w:tcBorders>
            <w:vAlign w:val="center"/>
          </w:tcPr>
          <w:p w14:paraId="20D389D1">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中区（20m～500m）</w:t>
            </w:r>
          </w:p>
          <w:p w14:paraId="7002139E">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地形改正均方误差</w:t>
            </w:r>
          </w:p>
        </w:tc>
        <w:tc>
          <w:tcPr>
            <w:tcW w:w="2251" w:type="dxa"/>
            <w:tcBorders>
              <w:top w:val="single" w:color="auto" w:sz="4" w:space="0"/>
              <w:bottom w:val="single" w:color="auto" w:sz="4" w:space="0"/>
            </w:tcBorders>
            <w:vAlign w:val="center"/>
          </w:tcPr>
          <w:p w14:paraId="56235E50">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远区（500m～2000m）</w:t>
            </w:r>
          </w:p>
          <w:p w14:paraId="038BB53E">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地形改正均方误差</w:t>
            </w:r>
          </w:p>
        </w:tc>
      </w:tr>
      <w:tr w14:paraId="107769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0" w:type="dxa"/>
            <w:tcBorders>
              <w:top w:val="single" w:color="auto" w:sz="4" w:space="0"/>
              <w:bottom w:val="single" w:color="auto" w:sz="4" w:space="0"/>
            </w:tcBorders>
            <w:vAlign w:val="center"/>
          </w:tcPr>
          <w:p w14:paraId="7682B5FC">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±0.020</w:t>
            </w:r>
          </w:p>
        </w:tc>
        <w:tc>
          <w:tcPr>
            <w:tcW w:w="2251" w:type="dxa"/>
            <w:tcBorders>
              <w:top w:val="single" w:color="auto" w:sz="4" w:space="0"/>
              <w:bottom w:val="single" w:color="auto" w:sz="4" w:space="0"/>
            </w:tcBorders>
            <w:vAlign w:val="center"/>
          </w:tcPr>
          <w:p w14:paraId="4A052D32">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±0.012</w:t>
            </w:r>
          </w:p>
        </w:tc>
        <w:tc>
          <w:tcPr>
            <w:tcW w:w="2251" w:type="dxa"/>
            <w:tcBorders>
              <w:top w:val="single" w:color="auto" w:sz="4" w:space="0"/>
              <w:bottom w:val="single" w:color="auto" w:sz="4" w:space="0"/>
            </w:tcBorders>
            <w:vAlign w:val="center"/>
          </w:tcPr>
          <w:p w14:paraId="1F89355A">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±0.012</w:t>
            </w:r>
          </w:p>
        </w:tc>
        <w:tc>
          <w:tcPr>
            <w:tcW w:w="2251" w:type="dxa"/>
            <w:tcBorders>
              <w:top w:val="single" w:color="auto" w:sz="4" w:space="0"/>
              <w:bottom w:val="single" w:color="auto" w:sz="4" w:space="0"/>
            </w:tcBorders>
            <w:vAlign w:val="center"/>
          </w:tcPr>
          <w:p w14:paraId="35FCF2DB">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±0.010</w:t>
            </w:r>
          </w:p>
        </w:tc>
      </w:tr>
    </w:tbl>
    <w:p w14:paraId="1574AFC3">
      <w:pPr>
        <w:pageBreakBefore w:val="0"/>
        <w:wordWrap/>
        <w:bidi w:val="0"/>
        <w:adjustRightInd w:val="0"/>
        <w:snapToGrid w:val="0"/>
        <w:spacing w:line="240" w:lineRule="exact"/>
        <w:ind w:firstLine="200" w:firstLineChars="200"/>
        <w:outlineLvl w:val="9"/>
        <w:rPr>
          <w:rFonts w:ascii="仿宋_GB2312" w:hAnsi="仿宋_GB2312" w:eastAsia="仿宋_GB2312" w:cs="仿宋_GB2312"/>
          <w:sz w:val="10"/>
          <w:szCs w:val="10"/>
        </w:rPr>
      </w:pPr>
    </w:p>
    <w:p w14:paraId="1762E89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5.数据处理</w:t>
      </w:r>
    </w:p>
    <w:p w14:paraId="7A20403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（1）平均读格差计算结果小数保留3位有效数字；</w:t>
      </w:r>
    </w:p>
    <w:p w14:paraId="48EE212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（2）格值计算及格值校正系数计算结果小数保留8位有效数字；</w:t>
      </w:r>
    </w:p>
    <w:p w14:paraId="3055014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（3）其它各类计算结果均要求精确到0.001×10-5m/s2；</w:t>
      </w:r>
    </w:p>
    <w:p w14:paraId="17BDCCF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布格异常总精度及各项精度分配、地形改正总精度及各区精度分配和控制测量及测点三维坐标定位测量精度分配参照表5-2、表5-3执行。在保证总精度不变的前提下，表中各项精度可根据工作比例尺、仪器类型、地形改正方法及地形类型等因素合理调整。</w:t>
      </w:r>
    </w:p>
    <w:p w14:paraId="46F93BC6">
      <w:pPr>
        <w:pageBreakBefore w:val="0"/>
        <w:wordWrap/>
        <w:bidi w:val="0"/>
        <w:spacing w:line="360" w:lineRule="auto"/>
        <w:ind w:firstLine="480" w:firstLineChars="200"/>
        <w:jc w:val="left"/>
        <w:outlineLvl w:val="9"/>
        <w:rPr>
          <w:rFonts w:ascii="仿宋" w:hAnsi="仿宋" w:eastAsia="仿宋" w:cs="仿宋"/>
          <w:sz w:val="24"/>
          <w:szCs w:val="24"/>
        </w:rPr>
      </w:pPr>
      <w:r>
        <w:rPr>
          <w:rFonts w:hint="eastAsia" w:ascii="仿宋" w:hAnsi="仿宋" w:eastAsia="仿宋" w:cs="仿宋"/>
          <w:sz w:val="24"/>
          <w:szCs w:val="24"/>
        </w:rPr>
        <w:t>表5-2  布格异常总精度及各项精度分配表（单位：10-5m/s2）</w:t>
      </w:r>
    </w:p>
    <w:tbl>
      <w:tblPr>
        <w:tblStyle w:val="42"/>
        <w:tblW w:w="90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800"/>
        <w:gridCol w:w="1801"/>
        <w:gridCol w:w="1801"/>
        <w:gridCol w:w="1801"/>
      </w:tblGrid>
      <w:tr w14:paraId="0A0BD6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800" w:type="dxa"/>
            <w:tcBorders>
              <w:top w:val="single" w:color="auto" w:sz="4" w:space="0"/>
              <w:bottom w:val="single" w:color="auto" w:sz="4" w:space="0"/>
            </w:tcBorders>
            <w:vAlign w:val="center"/>
          </w:tcPr>
          <w:p w14:paraId="48DBF18B">
            <w:pPr>
              <w:pageBreakBefore w:val="0"/>
              <w:wordWrap/>
              <w:bidi w:val="0"/>
              <w:adjustRightInd w:val="0"/>
              <w:snapToGrid w:val="0"/>
              <w:jc w:val="center"/>
              <w:outlineLvl w:val="9"/>
              <w:rPr>
                <w:rFonts w:ascii="仿宋_GB2312" w:hAnsi="仿宋_GB2312" w:eastAsia="仿宋_GB2312" w:cs="仿宋_GB2312"/>
                <w:szCs w:val="21"/>
              </w:rPr>
            </w:pPr>
            <w:r>
              <w:rPr>
                <w:rFonts w:hint="eastAsia" w:ascii="仿宋_GB2312" w:hAnsi="仿宋_GB2312" w:eastAsia="仿宋_GB2312" w:cs="仿宋_GB2312"/>
                <w:szCs w:val="21"/>
              </w:rPr>
              <w:t>布格重力异常</w:t>
            </w:r>
          </w:p>
          <w:p w14:paraId="221F9EBA">
            <w:pPr>
              <w:pageBreakBefore w:val="0"/>
              <w:wordWrap/>
              <w:bidi w:val="0"/>
              <w:adjustRightInd w:val="0"/>
              <w:snapToGrid w:val="0"/>
              <w:jc w:val="center"/>
              <w:outlineLvl w:val="9"/>
              <w:rPr>
                <w:rFonts w:ascii="仿宋_GB2312" w:hAnsi="仿宋_GB2312" w:eastAsia="仿宋_GB2312" w:cs="仿宋_GB2312"/>
                <w:szCs w:val="21"/>
              </w:rPr>
            </w:pPr>
            <w:r>
              <w:rPr>
                <w:rFonts w:hint="eastAsia" w:ascii="仿宋_GB2312" w:hAnsi="仿宋_GB2312" w:eastAsia="仿宋_GB2312" w:cs="仿宋_GB2312"/>
                <w:szCs w:val="21"/>
              </w:rPr>
              <w:t>总精度</w:t>
            </w:r>
          </w:p>
        </w:tc>
        <w:tc>
          <w:tcPr>
            <w:tcW w:w="1800" w:type="dxa"/>
            <w:tcBorders>
              <w:top w:val="single" w:color="auto" w:sz="4" w:space="0"/>
              <w:bottom w:val="single" w:color="auto" w:sz="4" w:space="0"/>
            </w:tcBorders>
            <w:vAlign w:val="center"/>
          </w:tcPr>
          <w:p w14:paraId="1D8977EE">
            <w:pPr>
              <w:pageBreakBefore w:val="0"/>
              <w:wordWrap/>
              <w:bidi w:val="0"/>
              <w:adjustRightInd w:val="0"/>
              <w:snapToGrid w:val="0"/>
              <w:jc w:val="center"/>
              <w:outlineLvl w:val="9"/>
              <w:rPr>
                <w:rFonts w:ascii="仿宋_GB2312" w:hAnsi="仿宋_GB2312" w:eastAsia="仿宋_GB2312" w:cs="仿宋_GB2312"/>
                <w:szCs w:val="21"/>
              </w:rPr>
            </w:pPr>
            <w:r>
              <w:rPr>
                <w:rFonts w:hint="eastAsia" w:ascii="仿宋_GB2312" w:hAnsi="仿宋_GB2312" w:eastAsia="仿宋_GB2312" w:cs="仿宋_GB2312"/>
                <w:szCs w:val="21"/>
              </w:rPr>
              <w:t>测点重力观测</w:t>
            </w:r>
          </w:p>
          <w:p w14:paraId="14791D31">
            <w:pPr>
              <w:pageBreakBefore w:val="0"/>
              <w:wordWrap/>
              <w:bidi w:val="0"/>
              <w:adjustRightInd w:val="0"/>
              <w:snapToGrid w:val="0"/>
              <w:jc w:val="center"/>
              <w:outlineLvl w:val="9"/>
              <w:rPr>
                <w:rFonts w:ascii="仿宋_GB2312" w:hAnsi="仿宋_GB2312" w:eastAsia="仿宋_GB2312" w:cs="仿宋_GB2312"/>
                <w:szCs w:val="21"/>
              </w:rPr>
            </w:pPr>
            <w:r>
              <w:rPr>
                <w:rFonts w:hint="eastAsia" w:ascii="仿宋_GB2312" w:hAnsi="仿宋_GB2312" w:eastAsia="仿宋_GB2312" w:cs="仿宋_GB2312"/>
                <w:szCs w:val="21"/>
              </w:rPr>
              <w:t>均方误差</w:t>
            </w:r>
          </w:p>
        </w:tc>
        <w:tc>
          <w:tcPr>
            <w:tcW w:w="1801" w:type="dxa"/>
            <w:tcBorders>
              <w:top w:val="single" w:color="auto" w:sz="4" w:space="0"/>
              <w:bottom w:val="single" w:color="auto" w:sz="4" w:space="0"/>
            </w:tcBorders>
            <w:vAlign w:val="center"/>
          </w:tcPr>
          <w:p w14:paraId="791087FA">
            <w:pPr>
              <w:pageBreakBefore w:val="0"/>
              <w:wordWrap/>
              <w:bidi w:val="0"/>
              <w:adjustRightInd w:val="0"/>
              <w:snapToGrid w:val="0"/>
              <w:jc w:val="center"/>
              <w:outlineLvl w:val="9"/>
              <w:rPr>
                <w:rFonts w:ascii="仿宋_GB2312" w:hAnsi="仿宋_GB2312" w:eastAsia="仿宋_GB2312" w:cs="仿宋_GB2312"/>
                <w:szCs w:val="21"/>
              </w:rPr>
            </w:pPr>
            <w:r>
              <w:rPr>
                <w:rFonts w:hint="eastAsia" w:ascii="仿宋_GB2312" w:hAnsi="仿宋_GB2312" w:eastAsia="仿宋_GB2312" w:cs="仿宋_GB2312"/>
                <w:szCs w:val="21"/>
              </w:rPr>
              <w:t>布格改正</w:t>
            </w:r>
          </w:p>
          <w:p w14:paraId="34289B94">
            <w:pPr>
              <w:pageBreakBefore w:val="0"/>
              <w:wordWrap/>
              <w:bidi w:val="0"/>
              <w:adjustRightInd w:val="0"/>
              <w:snapToGrid w:val="0"/>
              <w:jc w:val="center"/>
              <w:outlineLvl w:val="9"/>
              <w:rPr>
                <w:rFonts w:ascii="仿宋_GB2312" w:hAnsi="仿宋_GB2312" w:eastAsia="仿宋_GB2312" w:cs="仿宋_GB2312"/>
                <w:szCs w:val="21"/>
              </w:rPr>
            </w:pPr>
            <w:r>
              <w:rPr>
                <w:rFonts w:hint="eastAsia" w:ascii="仿宋_GB2312" w:hAnsi="仿宋_GB2312" w:eastAsia="仿宋_GB2312" w:cs="仿宋_GB2312"/>
                <w:szCs w:val="21"/>
              </w:rPr>
              <w:t>均方误差</w:t>
            </w:r>
          </w:p>
        </w:tc>
        <w:tc>
          <w:tcPr>
            <w:tcW w:w="1801" w:type="dxa"/>
            <w:tcBorders>
              <w:top w:val="single" w:color="auto" w:sz="4" w:space="0"/>
              <w:bottom w:val="single" w:color="auto" w:sz="4" w:space="0"/>
            </w:tcBorders>
            <w:vAlign w:val="center"/>
          </w:tcPr>
          <w:p w14:paraId="7039B413">
            <w:pPr>
              <w:pageBreakBefore w:val="0"/>
              <w:wordWrap/>
              <w:bidi w:val="0"/>
              <w:adjustRightInd w:val="0"/>
              <w:snapToGrid w:val="0"/>
              <w:jc w:val="center"/>
              <w:outlineLvl w:val="9"/>
              <w:rPr>
                <w:rFonts w:ascii="仿宋_GB2312" w:hAnsi="仿宋_GB2312" w:eastAsia="仿宋_GB2312" w:cs="仿宋_GB2312"/>
                <w:szCs w:val="21"/>
              </w:rPr>
            </w:pPr>
            <w:r>
              <w:rPr>
                <w:rFonts w:hint="eastAsia" w:ascii="仿宋_GB2312" w:hAnsi="仿宋_GB2312" w:eastAsia="仿宋_GB2312" w:cs="仿宋_GB2312"/>
                <w:szCs w:val="21"/>
              </w:rPr>
              <w:t>地形改正</w:t>
            </w:r>
          </w:p>
          <w:p w14:paraId="6BF61C26">
            <w:pPr>
              <w:pageBreakBefore w:val="0"/>
              <w:wordWrap/>
              <w:bidi w:val="0"/>
              <w:adjustRightInd w:val="0"/>
              <w:snapToGrid w:val="0"/>
              <w:jc w:val="center"/>
              <w:outlineLvl w:val="9"/>
              <w:rPr>
                <w:rFonts w:ascii="仿宋_GB2312" w:hAnsi="仿宋_GB2312" w:eastAsia="仿宋_GB2312" w:cs="仿宋_GB2312"/>
                <w:szCs w:val="21"/>
              </w:rPr>
            </w:pPr>
            <w:r>
              <w:rPr>
                <w:rFonts w:hint="eastAsia" w:ascii="仿宋_GB2312" w:hAnsi="仿宋_GB2312" w:eastAsia="仿宋_GB2312" w:cs="仿宋_GB2312"/>
                <w:szCs w:val="21"/>
              </w:rPr>
              <w:t>均方误差</w:t>
            </w:r>
          </w:p>
        </w:tc>
        <w:tc>
          <w:tcPr>
            <w:tcW w:w="1801" w:type="dxa"/>
            <w:tcBorders>
              <w:top w:val="single" w:color="auto" w:sz="4" w:space="0"/>
              <w:bottom w:val="single" w:color="auto" w:sz="4" w:space="0"/>
            </w:tcBorders>
            <w:vAlign w:val="center"/>
          </w:tcPr>
          <w:p w14:paraId="1699CF51">
            <w:pPr>
              <w:pageBreakBefore w:val="0"/>
              <w:wordWrap/>
              <w:bidi w:val="0"/>
              <w:adjustRightInd w:val="0"/>
              <w:snapToGrid w:val="0"/>
              <w:jc w:val="center"/>
              <w:outlineLvl w:val="9"/>
              <w:rPr>
                <w:rFonts w:ascii="仿宋_GB2312" w:hAnsi="仿宋_GB2312" w:eastAsia="仿宋_GB2312" w:cs="仿宋_GB2312"/>
                <w:szCs w:val="21"/>
              </w:rPr>
            </w:pPr>
            <w:r>
              <w:rPr>
                <w:rFonts w:hint="eastAsia" w:ascii="仿宋_GB2312" w:hAnsi="仿宋_GB2312" w:eastAsia="仿宋_GB2312" w:cs="仿宋_GB2312"/>
                <w:szCs w:val="21"/>
              </w:rPr>
              <w:t>正常场改正</w:t>
            </w:r>
          </w:p>
          <w:p w14:paraId="716E2607">
            <w:pPr>
              <w:pageBreakBefore w:val="0"/>
              <w:wordWrap/>
              <w:bidi w:val="0"/>
              <w:adjustRightInd w:val="0"/>
              <w:snapToGrid w:val="0"/>
              <w:jc w:val="center"/>
              <w:outlineLvl w:val="9"/>
              <w:rPr>
                <w:rFonts w:ascii="仿宋_GB2312" w:hAnsi="仿宋_GB2312" w:eastAsia="仿宋_GB2312" w:cs="仿宋_GB2312"/>
                <w:szCs w:val="21"/>
              </w:rPr>
            </w:pPr>
            <w:r>
              <w:rPr>
                <w:rFonts w:hint="eastAsia" w:ascii="仿宋_GB2312" w:hAnsi="仿宋_GB2312" w:eastAsia="仿宋_GB2312" w:cs="仿宋_GB2312"/>
                <w:szCs w:val="21"/>
              </w:rPr>
              <w:t>均方误差</w:t>
            </w:r>
          </w:p>
        </w:tc>
      </w:tr>
      <w:tr w14:paraId="3F1C2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00" w:type="dxa"/>
            <w:tcBorders>
              <w:top w:val="single" w:color="auto" w:sz="4" w:space="0"/>
              <w:bottom w:val="single" w:color="auto" w:sz="4" w:space="0"/>
            </w:tcBorders>
            <w:vAlign w:val="center"/>
          </w:tcPr>
          <w:p w14:paraId="620885A9">
            <w:pPr>
              <w:pageBreakBefore w:val="0"/>
              <w:wordWrap/>
              <w:bidi w:val="0"/>
              <w:adjustRightInd w:val="0"/>
              <w:snapToGrid w:val="0"/>
              <w:jc w:val="center"/>
              <w:outlineLvl w:val="9"/>
              <w:rPr>
                <w:rFonts w:ascii="仿宋_GB2312" w:hAnsi="仿宋_GB2312" w:eastAsia="仿宋_GB2312" w:cs="仿宋_GB2312"/>
                <w:szCs w:val="21"/>
              </w:rPr>
            </w:pPr>
            <w:r>
              <w:rPr>
                <w:rFonts w:hint="eastAsia" w:ascii="仿宋_GB2312" w:hAnsi="仿宋_GB2312" w:eastAsia="仿宋_GB2312" w:cs="仿宋_GB2312"/>
                <w:szCs w:val="21"/>
              </w:rPr>
              <w:t>±0.050</w:t>
            </w:r>
          </w:p>
        </w:tc>
        <w:tc>
          <w:tcPr>
            <w:tcW w:w="1800" w:type="dxa"/>
            <w:tcBorders>
              <w:top w:val="single" w:color="auto" w:sz="4" w:space="0"/>
              <w:bottom w:val="single" w:color="auto" w:sz="4" w:space="0"/>
            </w:tcBorders>
            <w:vAlign w:val="center"/>
          </w:tcPr>
          <w:p w14:paraId="04425C3F">
            <w:pPr>
              <w:pageBreakBefore w:val="0"/>
              <w:wordWrap/>
              <w:bidi w:val="0"/>
              <w:adjustRightInd w:val="0"/>
              <w:snapToGrid w:val="0"/>
              <w:jc w:val="center"/>
              <w:outlineLvl w:val="9"/>
              <w:rPr>
                <w:rFonts w:ascii="仿宋_GB2312" w:hAnsi="仿宋_GB2312" w:eastAsia="仿宋_GB2312" w:cs="仿宋_GB2312"/>
                <w:szCs w:val="21"/>
              </w:rPr>
            </w:pPr>
            <w:r>
              <w:rPr>
                <w:rFonts w:hint="eastAsia" w:ascii="仿宋_GB2312" w:hAnsi="仿宋_GB2312" w:eastAsia="仿宋_GB2312" w:cs="仿宋_GB2312"/>
                <w:szCs w:val="21"/>
              </w:rPr>
              <w:t>±0.025</w:t>
            </w:r>
          </w:p>
        </w:tc>
        <w:tc>
          <w:tcPr>
            <w:tcW w:w="1801" w:type="dxa"/>
            <w:tcBorders>
              <w:top w:val="single" w:color="auto" w:sz="4" w:space="0"/>
              <w:bottom w:val="single" w:color="auto" w:sz="4" w:space="0"/>
            </w:tcBorders>
            <w:vAlign w:val="center"/>
          </w:tcPr>
          <w:p w14:paraId="2D432738">
            <w:pPr>
              <w:pageBreakBefore w:val="0"/>
              <w:wordWrap/>
              <w:bidi w:val="0"/>
              <w:adjustRightInd w:val="0"/>
              <w:snapToGrid w:val="0"/>
              <w:jc w:val="center"/>
              <w:outlineLvl w:val="9"/>
              <w:rPr>
                <w:rFonts w:ascii="仿宋_GB2312" w:hAnsi="仿宋_GB2312" w:eastAsia="仿宋_GB2312" w:cs="仿宋_GB2312"/>
                <w:szCs w:val="21"/>
              </w:rPr>
            </w:pPr>
            <w:r>
              <w:rPr>
                <w:rFonts w:hint="eastAsia" w:ascii="仿宋_GB2312" w:hAnsi="仿宋_GB2312" w:eastAsia="仿宋_GB2312" w:cs="仿宋_GB2312"/>
                <w:szCs w:val="21"/>
              </w:rPr>
              <w:t>±0.035</w:t>
            </w:r>
          </w:p>
        </w:tc>
        <w:tc>
          <w:tcPr>
            <w:tcW w:w="1801" w:type="dxa"/>
            <w:tcBorders>
              <w:top w:val="single" w:color="auto" w:sz="4" w:space="0"/>
              <w:bottom w:val="single" w:color="auto" w:sz="4" w:space="0"/>
            </w:tcBorders>
            <w:vAlign w:val="center"/>
          </w:tcPr>
          <w:p w14:paraId="07E7F52B">
            <w:pPr>
              <w:pageBreakBefore w:val="0"/>
              <w:wordWrap/>
              <w:bidi w:val="0"/>
              <w:adjustRightInd w:val="0"/>
              <w:snapToGrid w:val="0"/>
              <w:jc w:val="center"/>
              <w:outlineLvl w:val="9"/>
              <w:rPr>
                <w:rFonts w:ascii="仿宋_GB2312" w:hAnsi="仿宋_GB2312" w:eastAsia="仿宋_GB2312" w:cs="仿宋_GB2312"/>
                <w:szCs w:val="21"/>
              </w:rPr>
            </w:pPr>
            <w:r>
              <w:rPr>
                <w:rFonts w:hint="eastAsia" w:ascii="仿宋_GB2312" w:hAnsi="仿宋_GB2312" w:eastAsia="仿宋_GB2312" w:cs="仿宋_GB2312"/>
                <w:szCs w:val="21"/>
              </w:rPr>
              <w:t>±0.029</w:t>
            </w:r>
          </w:p>
        </w:tc>
        <w:tc>
          <w:tcPr>
            <w:tcW w:w="1801" w:type="dxa"/>
            <w:tcBorders>
              <w:top w:val="single" w:color="auto" w:sz="4" w:space="0"/>
              <w:bottom w:val="single" w:color="auto" w:sz="4" w:space="0"/>
            </w:tcBorders>
            <w:vAlign w:val="center"/>
          </w:tcPr>
          <w:p w14:paraId="392B28F2">
            <w:pPr>
              <w:pageBreakBefore w:val="0"/>
              <w:wordWrap/>
              <w:bidi w:val="0"/>
              <w:adjustRightInd w:val="0"/>
              <w:snapToGrid w:val="0"/>
              <w:jc w:val="center"/>
              <w:outlineLvl w:val="9"/>
              <w:rPr>
                <w:rFonts w:ascii="仿宋_GB2312" w:hAnsi="仿宋_GB2312" w:eastAsia="仿宋_GB2312" w:cs="仿宋_GB2312"/>
                <w:szCs w:val="21"/>
              </w:rPr>
            </w:pPr>
            <w:r>
              <w:rPr>
                <w:rFonts w:hint="eastAsia" w:ascii="仿宋_GB2312" w:hAnsi="仿宋_GB2312" w:eastAsia="仿宋_GB2312" w:cs="仿宋_GB2312"/>
                <w:szCs w:val="21"/>
              </w:rPr>
              <w:t>±0.003</w:t>
            </w:r>
          </w:p>
        </w:tc>
      </w:tr>
    </w:tbl>
    <w:p w14:paraId="739B2C5E">
      <w:pPr>
        <w:pageBreakBefore w:val="0"/>
        <w:wordWrap/>
        <w:bidi w:val="0"/>
        <w:spacing w:line="240" w:lineRule="exact"/>
        <w:ind w:firstLine="201" w:firstLineChars="200"/>
        <w:jc w:val="left"/>
        <w:outlineLvl w:val="9"/>
        <w:rPr>
          <w:rFonts w:ascii="仿宋_GB2312" w:hAnsi="宋体" w:eastAsia="仿宋_GB2312" w:cs="宋体"/>
          <w:b/>
          <w:bCs/>
          <w:sz w:val="10"/>
          <w:szCs w:val="10"/>
        </w:rPr>
      </w:pPr>
    </w:p>
    <w:p w14:paraId="710C11AE">
      <w:pPr>
        <w:pageBreakBefore w:val="0"/>
        <w:wordWrap/>
        <w:bidi w:val="0"/>
        <w:spacing w:line="360" w:lineRule="auto"/>
        <w:ind w:firstLine="480" w:firstLineChars="200"/>
        <w:jc w:val="left"/>
        <w:outlineLvl w:val="9"/>
        <w:rPr>
          <w:rFonts w:ascii="仿宋" w:hAnsi="仿宋" w:eastAsia="仿宋" w:cs="仿宋"/>
          <w:sz w:val="24"/>
          <w:szCs w:val="24"/>
        </w:rPr>
      </w:pPr>
      <w:r>
        <w:rPr>
          <w:rFonts w:hint="eastAsia" w:ascii="仿宋" w:hAnsi="仿宋" w:eastAsia="仿宋" w:cs="仿宋"/>
          <w:sz w:val="24"/>
          <w:szCs w:val="24"/>
        </w:rPr>
        <w:t>表5-3  地形改正总精度及各项精度分配表（单位：10-5m/s2）</w:t>
      </w:r>
    </w:p>
    <w:tbl>
      <w:tblPr>
        <w:tblStyle w:val="42"/>
        <w:tblW w:w="900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50"/>
        <w:gridCol w:w="2251"/>
        <w:gridCol w:w="2251"/>
        <w:gridCol w:w="2251"/>
      </w:tblGrid>
      <w:tr w14:paraId="488EC4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0" w:type="dxa"/>
            <w:vAlign w:val="center"/>
          </w:tcPr>
          <w:p w14:paraId="23D4FECE">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地形改正</w:t>
            </w:r>
          </w:p>
          <w:p w14:paraId="1D507D88">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总均方误差</w:t>
            </w:r>
          </w:p>
        </w:tc>
        <w:tc>
          <w:tcPr>
            <w:tcW w:w="2251" w:type="dxa"/>
            <w:vAlign w:val="center"/>
          </w:tcPr>
          <w:p w14:paraId="428C4511">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近区（0m～20m）</w:t>
            </w:r>
          </w:p>
          <w:p w14:paraId="3B888EC7">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地形改正均方误差</w:t>
            </w:r>
          </w:p>
        </w:tc>
        <w:tc>
          <w:tcPr>
            <w:tcW w:w="2251" w:type="dxa"/>
            <w:vAlign w:val="center"/>
          </w:tcPr>
          <w:p w14:paraId="35625B99">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中区（20m～500m）</w:t>
            </w:r>
          </w:p>
          <w:p w14:paraId="3D103D33">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地形改正均方误差</w:t>
            </w:r>
          </w:p>
        </w:tc>
        <w:tc>
          <w:tcPr>
            <w:tcW w:w="2251" w:type="dxa"/>
            <w:vAlign w:val="center"/>
          </w:tcPr>
          <w:p w14:paraId="61AAA4C9">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远区（500m～2000m）</w:t>
            </w:r>
          </w:p>
          <w:p w14:paraId="5CAB5058">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地形改正均方误差</w:t>
            </w:r>
          </w:p>
        </w:tc>
      </w:tr>
      <w:tr w14:paraId="128663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0" w:type="dxa"/>
            <w:vAlign w:val="center"/>
          </w:tcPr>
          <w:p w14:paraId="3A415F01">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±0.020</w:t>
            </w:r>
          </w:p>
        </w:tc>
        <w:tc>
          <w:tcPr>
            <w:tcW w:w="2251" w:type="dxa"/>
            <w:vAlign w:val="center"/>
          </w:tcPr>
          <w:p w14:paraId="270BA288">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±0.012</w:t>
            </w:r>
          </w:p>
        </w:tc>
        <w:tc>
          <w:tcPr>
            <w:tcW w:w="2251" w:type="dxa"/>
            <w:vAlign w:val="center"/>
          </w:tcPr>
          <w:p w14:paraId="7F9BF796">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±0.012</w:t>
            </w:r>
          </w:p>
        </w:tc>
        <w:tc>
          <w:tcPr>
            <w:tcW w:w="2251" w:type="dxa"/>
            <w:vAlign w:val="center"/>
          </w:tcPr>
          <w:p w14:paraId="7E2AAF08">
            <w:pPr>
              <w:pageBreakBefore w:val="0"/>
              <w:wordWrap/>
              <w:bidi w:val="0"/>
              <w:adjustRightInd w:val="0"/>
              <w:snapToGrid w:val="0"/>
              <w:jc w:val="center"/>
              <w:outlineLvl w:val="9"/>
              <w:rPr>
                <w:rFonts w:ascii="仿宋_GB2312" w:hAnsi="宋体" w:eastAsia="仿宋_GB2312" w:cs="宋体"/>
                <w:szCs w:val="21"/>
              </w:rPr>
            </w:pPr>
            <w:r>
              <w:rPr>
                <w:rFonts w:hint="eastAsia" w:ascii="仿宋_GB2312" w:hAnsi="宋体" w:eastAsia="仿宋_GB2312" w:cs="宋体"/>
                <w:szCs w:val="21"/>
              </w:rPr>
              <w:t>±0.010</w:t>
            </w:r>
          </w:p>
        </w:tc>
      </w:tr>
    </w:tbl>
    <w:p w14:paraId="77294EB9">
      <w:pPr>
        <w:pageBreakBefore w:val="0"/>
        <w:wordWrap/>
        <w:bidi w:val="0"/>
        <w:adjustRightInd w:val="0"/>
        <w:snapToGrid w:val="0"/>
        <w:spacing w:line="240" w:lineRule="exact"/>
        <w:ind w:firstLine="200" w:firstLineChars="200"/>
        <w:outlineLvl w:val="9"/>
        <w:rPr>
          <w:rFonts w:ascii="仿宋_GB2312" w:hAnsi="仿宋_GB2312" w:eastAsia="仿宋_GB2312" w:cs="仿宋_GB2312"/>
          <w:sz w:val="10"/>
          <w:szCs w:val="10"/>
        </w:rPr>
      </w:pPr>
    </w:p>
    <w:p w14:paraId="62019B7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5.数据处理</w:t>
      </w:r>
    </w:p>
    <w:p w14:paraId="568002F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（1）数据处理前尽可能使用周边地区的重力实测数据进行扩边处理。</w:t>
      </w:r>
    </w:p>
    <w:p w14:paraId="7E78843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（2）网格化的格距应与测网的最小点距、线距相同；网格化方法及参数按照保真度高的要求通过试验确定。</w:t>
      </w:r>
    </w:p>
    <w:p w14:paraId="3D84870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（3）应结合研究区的构造复杂程度及地质认识，选择合理，有效的数据处理方法，数据处理方法应具有针对性，参数选择可通过试验确定。</w:t>
      </w:r>
    </w:p>
    <w:p w14:paraId="327ACD25">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（4）定量计算应以剖面正演拟合及二、三维反演为主，也可采用特征点法、切线法等剖面曲线定量计算方法。</w:t>
      </w:r>
    </w:p>
    <w:p w14:paraId="6B76364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6.推断解释</w:t>
      </w:r>
    </w:p>
    <w:p w14:paraId="27B420F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（1）对收集的各类成果资料进行研究，明确工作区需要解决的地质问题。</w:t>
      </w:r>
    </w:p>
    <w:p w14:paraId="07989F0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（2）异常划分应形成明显的圈闭异常，异常幅值应大于实测总精度并包含3个上的有效测点。</w:t>
      </w:r>
    </w:p>
    <w:p w14:paraId="2A73D34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（3）对工作区圈定的重力异常逐一进行解释推断，按地质成因进行分类，并阐明推断依据。</w:t>
      </w:r>
    </w:p>
    <w:p w14:paraId="13D4D49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定量解释应分析地质体的规模、厚度、埋深及空间展布，以及地质体与围岩之间的密度差异，建立符合研究区地质构造特征的地质-地球物理模型。在有条件的地段，应以先验信息作为约束条件时；在无约束条件时，可利用传统的剖面曲线定量计算方法获取约束参数。</w:t>
      </w:r>
    </w:p>
    <w:p w14:paraId="5310C93F">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（5）定量解释剖面应穿过工作区的勘查对象，对有进一步勘查意义的异常均应进行定量反演。</w:t>
      </w:r>
    </w:p>
    <w:p w14:paraId="561C39BD">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（6）定量解释应建立在定性解释的基础上，二者互为补充、反复进行，不断深化对重力场的地质认识。在有约束条件的情况下，应对定量计算成果进行精度评价，对误差较大的区段分析原因。</w:t>
      </w:r>
    </w:p>
    <w:p w14:paraId="4E1BBD96">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（7）应结合工作区的地质、地层分布及构造发育特征，由己知到未知，提出合理、客观的地质认识应将工作区的重力场与区域地球物理场、区域构造进行综合研究，为重力场的推断解释提供依据。</w:t>
      </w:r>
    </w:p>
    <w:p w14:paraId="46E5EDFC">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（8）运用地质理论对取得的地质认识和结论（包括新提出的、否定前人的、修改补充前人的认识等）做出合理、客观的地质解释。</w:t>
      </w:r>
    </w:p>
    <w:p w14:paraId="5C3875E0">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（9）应对工作区的地层结构、控矿因素、矿产赋存特征等地质规律进行总结，并对推断的各类地质体或构造分类编号。数据处理前尽可能使用周边地区的重力实测数据进行扩边处理。</w:t>
      </w:r>
    </w:p>
    <w:p w14:paraId="60CA7808">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（10）网格化的格距应与测网的最小点距、线距相同；网格化方法及参数按照保真度高的要求通过试验确定。</w:t>
      </w:r>
    </w:p>
    <w:p w14:paraId="098E030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（11）应结合研究区的构造复杂程度及地质认识，选择合理，有效的数据处理方法，数据处理方法应具有针对性，参数选择可通过试验确定。</w:t>
      </w:r>
    </w:p>
    <w:p w14:paraId="24EE350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（12）定量计算应以剖面正演拟合及二、三维反演为主，也可采用特征点法、切线法等剖面曲线定量计算方法。</w:t>
      </w:r>
    </w:p>
    <w:p w14:paraId="19A6AB0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7.推断解释</w:t>
      </w:r>
    </w:p>
    <w:p w14:paraId="2E9E9837">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（1）对收集的各类成果资料进行研究，明确工作区需要解决的地质问题。</w:t>
      </w:r>
    </w:p>
    <w:p w14:paraId="6DEA6D4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（2）异常划分应形成明显的圈闭异常，异常幅值应大于实测总精度并包含3个上的有效测点。</w:t>
      </w:r>
    </w:p>
    <w:p w14:paraId="00725F32">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（3）对工作区圈定的重力异常逐一进行解释推断，按地质成因进行分类，并阐明推断依据。</w:t>
      </w:r>
    </w:p>
    <w:p w14:paraId="5FE2F74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4）定量解释应分析地质体的规模、厚度、埋深及空间展布，以及地质体与围岩之间的密度差异，建立符合研究区地质构造特征的地质-地球物理模型。在有条件的地段，应以先验信息作为约束条件时；在无约束条件时，可利用传统的剖面曲线定量计算方法获取约束参数。</w:t>
      </w:r>
    </w:p>
    <w:p w14:paraId="55D66DD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（5）定量解释剖面应穿过工作区的勘查对象，对有进一步勘查意义的异常均应进行定量反演。</w:t>
      </w:r>
    </w:p>
    <w:p w14:paraId="34C04EA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（6）定量解释应建立在定性解释的基础上，二者互为补充、反复进行，不断深化对重力场的地质认识。在有约束条件的情况下，应对定量计算成果进行精度评价，对误差较大的区段分析原因。</w:t>
      </w:r>
    </w:p>
    <w:p w14:paraId="3430904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(7)应结合工作区的地质、地层分布及构造发育特征，由己知到未知，提出合理、客观的地质认识应将工作区的重力场与区域地球物理场、区域构造进行综合研究，为重力场的推断解释提供依据。</w:t>
      </w:r>
    </w:p>
    <w:p w14:paraId="4802D34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（8）运用地质理论对取得的地质认识和结论（包括新提出的、否定前人的、修改补充前人的认识等）做出合理、客观的地质解释。</w:t>
      </w:r>
    </w:p>
    <w:p w14:paraId="7D5CF033">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9、应对工作区的地层结构、控矿因素、矿产赋存特征等地质规律进行总结，并对推断的各类地质体或构造分类编号。</w:t>
      </w:r>
    </w:p>
    <w:p w14:paraId="519A27EA">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(三)1∶1千磁法剖面测量</w:t>
      </w:r>
    </w:p>
    <w:p w14:paraId="20400CBB">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本次涉及高精度磁法剖面工作量5千米，点距5米。剖面测地工作由RTK放样，测点埋设木桩并油漆笔写明点线号。</w:t>
      </w:r>
    </w:p>
    <w:p w14:paraId="4B4E40B4">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高精度磁法测量仪器采用3台捷克生产的PMG-1型质子磁力仪。测量参数为T值，测程20000～100000nT，分辨率优于0.1nT，梯度范围5000nT/m，工作温度范围-10～+60℃。KT-6磁化率计1台。</w:t>
      </w:r>
    </w:p>
    <w:p w14:paraId="0B34FF01">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观测磁参量选择为总场磁，按照《地面高精度磁测技术规程》(DZ/T 0071-2025)进行施工。磁测总误差≤±</w:t>
      </w:r>
      <w:r>
        <w:rPr>
          <w:rFonts w:hint="eastAsia" w:ascii="仿宋" w:hAnsi="仿宋" w:eastAsia="仿宋" w:cs="仿宋"/>
          <w:sz w:val="24"/>
          <w:szCs w:val="24"/>
          <w:lang w:val="en-US" w:eastAsia="zh-CN"/>
        </w:rPr>
        <w:t>5</w:t>
      </w:r>
      <w:r>
        <w:rPr>
          <w:rFonts w:hint="eastAsia" w:ascii="仿宋" w:hAnsi="仿宋" w:eastAsia="仿宋" w:cs="仿宋"/>
          <w:sz w:val="24"/>
          <w:szCs w:val="24"/>
        </w:rPr>
        <w:t>nT。磁测总精度是测点观测误差(含操作及点位误差、仪器噪声均方误差、仪器一致性误差以及日变改正误差)、总基点、正常场与高度等各项改正误差的总和。在保证总精度的前提下，可提高某些项的误差和降低另一项精度。误差分配参考表5-4。</w:t>
      </w:r>
    </w:p>
    <w:p w14:paraId="45AB1799">
      <w:pPr>
        <w:pageBreakBefore w:val="0"/>
        <w:wordWrap/>
        <w:bidi w:val="0"/>
        <w:adjustRightInd w:val="0"/>
        <w:snapToGri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表5-4  高精度磁测误差分配表(单位nT)</w:t>
      </w:r>
    </w:p>
    <w:tbl>
      <w:tblPr>
        <w:tblStyle w:val="42"/>
        <w:tblW w:w="900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
        <w:gridCol w:w="530"/>
        <w:gridCol w:w="790"/>
        <w:gridCol w:w="821"/>
        <w:gridCol w:w="747"/>
        <w:gridCol w:w="801"/>
        <w:gridCol w:w="754"/>
        <w:gridCol w:w="760"/>
        <w:gridCol w:w="529"/>
        <w:gridCol w:w="697"/>
        <w:gridCol w:w="790"/>
        <w:gridCol w:w="1133"/>
      </w:tblGrid>
      <w:tr w14:paraId="254E9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1" w:type="dxa"/>
            <w:vMerge w:val="restart"/>
            <w:tcBorders>
              <w:top w:val="single" w:color="auto" w:sz="4" w:space="0"/>
              <w:bottom w:val="single" w:color="auto" w:sz="4" w:space="0"/>
              <w:tl2br w:val="nil"/>
              <w:tr2bl w:val="nil"/>
            </w:tcBorders>
            <w:vAlign w:val="center"/>
          </w:tcPr>
          <w:p w14:paraId="0A648C1C">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磁测总误差nT</w:t>
            </w:r>
          </w:p>
        </w:tc>
        <w:tc>
          <w:tcPr>
            <w:tcW w:w="5203" w:type="dxa"/>
            <w:gridSpan w:val="7"/>
            <w:tcBorders>
              <w:top w:val="single" w:color="auto" w:sz="4" w:space="0"/>
              <w:bottom w:val="single" w:color="auto" w:sz="4" w:space="0"/>
              <w:tl2br w:val="nil"/>
              <w:tr2bl w:val="nil"/>
            </w:tcBorders>
            <w:vAlign w:val="center"/>
          </w:tcPr>
          <w:p w14:paraId="037E5119">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检查观测误差nT</w:t>
            </w:r>
          </w:p>
        </w:tc>
        <w:tc>
          <w:tcPr>
            <w:tcW w:w="2016" w:type="dxa"/>
            <w:gridSpan w:val="3"/>
            <w:tcBorders>
              <w:top w:val="single" w:color="auto" w:sz="4" w:space="0"/>
              <w:bottom w:val="single" w:color="auto" w:sz="4" w:space="0"/>
              <w:tl2br w:val="nil"/>
              <w:tr2bl w:val="nil"/>
            </w:tcBorders>
            <w:vAlign w:val="center"/>
          </w:tcPr>
          <w:p w14:paraId="3E53404E">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正常场改正误差nT</w:t>
            </w:r>
          </w:p>
        </w:tc>
        <w:tc>
          <w:tcPr>
            <w:tcW w:w="1133" w:type="dxa"/>
            <w:vMerge w:val="restart"/>
            <w:tcBorders>
              <w:top w:val="single" w:color="auto" w:sz="4" w:space="0"/>
              <w:bottom w:val="single" w:color="auto" w:sz="4" w:space="0"/>
              <w:tl2br w:val="nil"/>
              <w:tr2bl w:val="nil"/>
            </w:tcBorders>
            <w:vAlign w:val="center"/>
          </w:tcPr>
          <w:p w14:paraId="2889DBEF">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日变站基值测定误差nT</w:t>
            </w:r>
          </w:p>
        </w:tc>
      </w:tr>
      <w:tr w14:paraId="78314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1" w:type="dxa"/>
            <w:vMerge w:val="continue"/>
            <w:tcBorders>
              <w:top w:val="single" w:color="auto" w:sz="4" w:space="0"/>
              <w:bottom w:val="single" w:color="auto" w:sz="4" w:space="0"/>
              <w:tl2br w:val="nil"/>
              <w:tr2bl w:val="nil"/>
            </w:tcBorders>
            <w:vAlign w:val="center"/>
          </w:tcPr>
          <w:p w14:paraId="5A721A65">
            <w:pPr>
              <w:pageBreakBefore w:val="0"/>
              <w:widowControl/>
              <w:wordWrap/>
              <w:bidi w:val="0"/>
              <w:ind w:left="-84" w:leftChars="-40" w:right="-84" w:rightChars="-40"/>
              <w:jc w:val="center"/>
              <w:outlineLvl w:val="9"/>
              <w:rPr>
                <w:rFonts w:ascii="仿宋_GB2312" w:hAnsi="仿宋_GB2312" w:eastAsia="仿宋_GB2312" w:cs="仿宋_GB2312"/>
                <w:color w:val="000000"/>
                <w:szCs w:val="21"/>
              </w:rPr>
            </w:pPr>
          </w:p>
        </w:tc>
        <w:tc>
          <w:tcPr>
            <w:tcW w:w="530" w:type="dxa"/>
            <w:tcBorders>
              <w:top w:val="single" w:color="auto" w:sz="4" w:space="0"/>
              <w:bottom w:val="single" w:color="auto" w:sz="4" w:space="0"/>
              <w:tl2br w:val="nil"/>
              <w:tr2bl w:val="nil"/>
            </w:tcBorders>
            <w:vAlign w:val="center"/>
          </w:tcPr>
          <w:p w14:paraId="364789CF">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总计</w:t>
            </w:r>
          </w:p>
        </w:tc>
        <w:tc>
          <w:tcPr>
            <w:tcW w:w="790" w:type="dxa"/>
            <w:tcBorders>
              <w:top w:val="single" w:color="auto" w:sz="4" w:space="0"/>
              <w:bottom w:val="single" w:color="auto" w:sz="4" w:space="0"/>
              <w:tl2br w:val="nil"/>
              <w:tr2bl w:val="nil"/>
            </w:tcBorders>
            <w:vAlign w:val="center"/>
          </w:tcPr>
          <w:p w14:paraId="58F96AC9">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操作及点位误差</w:t>
            </w:r>
          </w:p>
        </w:tc>
        <w:tc>
          <w:tcPr>
            <w:tcW w:w="821" w:type="dxa"/>
            <w:tcBorders>
              <w:top w:val="single" w:color="auto" w:sz="4" w:space="0"/>
              <w:bottom w:val="single" w:color="auto" w:sz="4" w:space="0"/>
              <w:tl2br w:val="nil"/>
              <w:tr2bl w:val="nil"/>
            </w:tcBorders>
            <w:vAlign w:val="center"/>
          </w:tcPr>
          <w:p w14:paraId="230A41BF">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仪器噪声误差</w:t>
            </w:r>
          </w:p>
        </w:tc>
        <w:tc>
          <w:tcPr>
            <w:tcW w:w="747" w:type="dxa"/>
            <w:tcBorders>
              <w:top w:val="single" w:color="auto" w:sz="4" w:space="0"/>
              <w:bottom w:val="single" w:color="auto" w:sz="4" w:space="0"/>
              <w:tl2br w:val="nil"/>
              <w:tr2bl w:val="nil"/>
            </w:tcBorders>
            <w:vAlign w:val="center"/>
          </w:tcPr>
          <w:p w14:paraId="24CE99B2">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仪器观测误差</w:t>
            </w:r>
          </w:p>
        </w:tc>
        <w:tc>
          <w:tcPr>
            <w:tcW w:w="801" w:type="dxa"/>
            <w:tcBorders>
              <w:top w:val="single" w:color="auto" w:sz="4" w:space="0"/>
              <w:bottom w:val="single" w:color="auto" w:sz="4" w:space="0"/>
              <w:tl2br w:val="nil"/>
              <w:tr2bl w:val="nil"/>
            </w:tcBorders>
            <w:vAlign w:val="center"/>
          </w:tcPr>
          <w:p w14:paraId="2DD15330">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仪器系统误差</w:t>
            </w:r>
          </w:p>
        </w:tc>
        <w:tc>
          <w:tcPr>
            <w:tcW w:w="754" w:type="dxa"/>
            <w:tcBorders>
              <w:top w:val="single" w:color="auto" w:sz="4" w:space="0"/>
              <w:bottom w:val="single" w:color="auto" w:sz="4" w:space="0"/>
              <w:tl2br w:val="nil"/>
              <w:tr2bl w:val="nil"/>
            </w:tcBorders>
            <w:vAlign w:val="center"/>
          </w:tcPr>
          <w:p w14:paraId="6539C97B">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仪器一致性误差</w:t>
            </w:r>
          </w:p>
        </w:tc>
        <w:tc>
          <w:tcPr>
            <w:tcW w:w="760" w:type="dxa"/>
            <w:tcBorders>
              <w:top w:val="single" w:color="auto" w:sz="4" w:space="0"/>
              <w:bottom w:val="single" w:color="auto" w:sz="4" w:space="0"/>
              <w:tl2br w:val="nil"/>
              <w:tr2bl w:val="nil"/>
            </w:tcBorders>
            <w:vAlign w:val="center"/>
          </w:tcPr>
          <w:p w14:paraId="42BF453F">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日变改正误差</w:t>
            </w:r>
          </w:p>
        </w:tc>
        <w:tc>
          <w:tcPr>
            <w:tcW w:w="529" w:type="dxa"/>
            <w:tcBorders>
              <w:top w:val="single" w:color="auto" w:sz="4" w:space="0"/>
              <w:bottom w:val="single" w:color="auto" w:sz="4" w:space="0"/>
              <w:tl2br w:val="nil"/>
              <w:tr2bl w:val="nil"/>
            </w:tcBorders>
            <w:vAlign w:val="center"/>
          </w:tcPr>
          <w:p w14:paraId="18119CB3">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总计</w:t>
            </w:r>
          </w:p>
        </w:tc>
        <w:tc>
          <w:tcPr>
            <w:tcW w:w="697" w:type="dxa"/>
            <w:tcBorders>
              <w:top w:val="single" w:color="auto" w:sz="4" w:space="0"/>
              <w:bottom w:val="single" w:color="auto" w:sz="4" w:space="0"/>
              <w:tl2br w:val="nil"/>
              <w:tr2bl w:val="nil"/>
            </w:tcBorders>
            <w:vAlign w:val="center"/>
          </w:tcPr>
          <w:p w14:paraId="00D2815B">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纬度改正误差</w:t>
            </w:r>
          </w:p>
        </w:tc>
        <w:tc>
          <w:tcPr>
            <w:tcW w:w="790" w:type="dxa"/>
            <w:tcBorders>
              <w:top w:val="single" w:color="auto" w:sz="4" w:space="0"/>
              <w:bottom w:val="single" w:color="auto" w:sz="4" w:space="0"/>
              <w:tl2br w:val="nil"/>
              <w:tr2bl w:val="nil"/>
            </w:tcBorders>
            <w:vAlign w:val="center"/>
          </w:tcPr>
          <w:p w14:paraId="33D2A4CB">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高程改正误差</w:t>
            </w:r>
          </w:p>
        </w:tc>
        <w:tc>
          <w:tcPr>
            <w:tcW w:w="1133" w:type="dxa"/>
            <w:vMerge w:val="continue"/>
            <w:tcBorders>
              <w:top w:val="single" w:color="auto" w:sz="4" w:space="0"/>
              <w:bottom w:val="single" w:color="auto" w:sz="4" w:space="0"/>
              <w:tl2br w:val="nil"/>
              <w:tr2bl w:val="nil"/>
            </w:tcBorders>
            <w:vAlign w:val="center"/>
          </w:tcPr>
          <w:p w14:paraId="6F73110D">
            <w:pPr>
              <w:pageBreakBefore w:val="0"/>
              <w:widowControl/>
              <w:wordWrap/>
              <w:bidi w:val="0"/>
              <w:ind w:left="-84" w:leftChars="-40" w:right="-84" w:rightChars="-40"/>
              <w:jc w:val="center"/>
              <w:outlineLvl w:val="9"/>
              <w:rPr>
                <w:rFonts w:ascii="仿宋_GB2312" w:hAnsi="仿宋_GB2312" w:eastAsia="仿宋_GB2312" w:cs="仿宋_GB2312"/>
                <w:color w:val="000000"/>
                <w:szCs w:val="21"/>
              </w:rPr>
            </w:pPr>
          </w:p>
        </w:tc>
      </w:tr>
      <w:tr w14:paraId="173E4E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1" w:type="dxa"/>
            <w:tcBorders>
              <w:top w:val="single" w:color="auto" w:sz="4" w:space="0"/>
              <w:bottom w:val="single" w:color="auto" w:sz="4" w:space="0"/>
              <w:tl2br w:val="nil"/>
              <w:tr2bl w:val="nil"/>
            </w:tcBorders>
            <w:vAlign w:val="center"/>
          </w:tcPr>
          <w:p w14:paraId="029B563E">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±5</w:t>
            </w:r>
          </w:p>
        </w:tc>
        <w:tc>
          <w:tcPr>
            <w:tcW w:w="530" w:type="dxa"/>
            <w:tcBorders>
              <w:top w:val="single" w:color="auto" w:sz="4" w:space="0"/>
              <w:bottom w:val="single" w:color="auto" w:sz="4" w:space="0"/>
              <w:tl2br w:val="nil"/>
              <w:tr2bl w:val="nil"/>
            </w:tcBorders>
            <w:vAlign w:val="center"/>
          </w:tcPr>
          <w:p w14:paraId="1AAA5D9C">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4.40 </w:t>
            </w:r>
          </w:p>
        </w:tc>
        <w:tc>
          <w:tcPr>
            <w:tcW w:w="790" w:type="dxa"/>
            <w:tcBorders>
              <w:top w:val="single" w:color="auto" w:sz="4" w:space="0"/>
              <w:bottom w:val="single" w:color="auto" w:sz="4" w:space="0"/>
              <w:tl2br w:val="nil"/>
              <w:tr2bl w:val="nil"/>
            </w:tcBorders>
            <w:vAlign w:val="center"/>
          </w:tcPr>
          <w:p w14:paraId="7DF4369F">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2.76 </w:t>
            </w:r>
          </w:p>
        </w:tc>
        <w:tc>
          <w:tcPr>
            <w:tcW w:w="821" w:type="dxa"/>
            <w:tcBorders>
              <w:top w:val="single" w:color="auto" w:sz="4" w:space="0"/>
              <w:bottom w:val="single" w:color="auto" w:sz="4" w:space="0"/>
              <w:tl2br w:val="nil"/>
              <w:tr2bl w:val="nil"/>
            </w:tcBorders>
            <w:vAlign w:val="center"/>
          </w:tcPr>
          <w:p w14:paraId="3447B45C">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1.00 </w:t>
            </w:r>
          </w:p>
        </w:tc>
        <w:tc>
          <w:tcPr>
            <w:tcW w:w="747" w:type="dxa"/>
            <w:tcBorders>
              <w:top w:val="single" w:color="auto" w:sz="4" w:space="0"/>
              <w:bottom w:val="single" w:color="auto" w:sz="4" w:space="0"/>
              <w:tl2br w:val="nil"/>
              <w:tr2bl w:val="nil"/>
            </w:tcBorders>
            <w:vAlign w:val="center"/>
          </w:tcPr>
          <w:p w14:paraId="6E85FFC1">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1.50 </w:t>
            </w:r>
          </w:p>
        </w:tc>
        <w:tc>
          <w:tcPr>
            <w:tcW w:w="801" w:type="dxa"/>
            <w:tcBorders>
              <w:top w:val="single" w:color="auto" w:sz="4" w:space="0"/>
              <w:bottom w:val="single" w:color="auto" w:sz="4" w:space="0"/>
              <w:tl2br w:val="nil"/>
              <w:tr2bl w:val="nil"/>
            </w:tcBorders>
            <w:vAlign w:val="center"/>
          </w:tcPr>
          <w:p w14:paraId="60C414F8">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0.70 </w:t>
            </w:r>
          </w:p>
        </w:tc>
        <w:tc>
          <w:tcPr>
            <w:tcW w:w="754" w:type="dxa"/>
            <w:tcBorders>
              <w:top w:val="single" w:color="auto" w:sz="4" w:space="0"/>
              <w:bottom w:val="single" w:color="auto" w:sz="4" w:space="0"/>
              <w:tl2br w:val="nil"/>
              <w:tr2bl w:val="nil"/>
            </w:tcBorders>
            <w:vAlign w:val="center"/>
          </w:tcPr>
          <w:p w14:paraId="2023176D">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2.00 </w:t>
            </w:r>
          </w:p>
        </w:tc>
        <w:tc>
          <w:tcPr>
            <w:tcW w:w="760" w:type="dxa"/>
            <w:tcBorders>
              <w:top w:val="single" w:color="auto" w:sz="4" w:space="0"/>
              <w:bottom w:val="single" w:color="auto" w:sz="4" w:space="0"/>
              <w:tl2br w:val="nil"/>
              <w:tr2bl w:val="nil"/>
            </w:tcBorders>
            <w:vAlign w:val="center"/>
          </w:tcPr>
          <w:p w14:paraId="56C8F941">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2.00 </w:t>
            </w:r>
          </w:p>
        </w:tc>
        <w:tc>
          <w:tcPr>
            <w:tcW w:w="529" w:type="dxa"/>
            <w:tcBorders>
              <w:top w:val="single" w:color="auto" w:sz="4" w:space="0"/>
              <w:bottom w:val="single" w:color="auto" w:sz="4" w:space="0"/>
              <w:tl2br w:val="nil"/>
              <w:tr2bl w:val="nil"/>
            </w:tcBorders>
            <w:vAlign w:val="center"/>
          </w:tcPr>
          <w:p w14:paraId="75FCA82C">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1.50 </w:t>
            </w:r>
          </w:p>
        </w:tc>
        <w:tc>
          <w:tcPr>
            <w:tcW w:w="697" w:type="dxa"/>
            <w:tcBorders>
              <w:top w:val="single" w:color="auto" w:sz="4" w:space="0"/>
              <w:bottom w:val="single" w:color="auto" w:sz="4" w:space="0"/>
              <w:tl2br w:val="nil"/>
              <w:tr2bl w:val="nil"/>
            </w:tcBorders>
            <w:vAlign w:val="center"/>
          </w:tcPr>
          <w:p w14:paraId="5B36B0CC">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1.10 </w:t>
            </w:r>
          </w:p>
        </w:tc>
        <w:tc>
          <w:tcPr>
            <w:tcW w:w="790" w:type="dxa"/>
            <w:tcBorders>
              <w:top w:val="single" w:color="auto" w:sz="4" w:space="0"/>
              <w:bottom w:val="single" w:color="auto" w:sz="4" w:space="0"/>
              <w:tl2br w:val="nil"/>
              <w:tr2bl w:val="nil"/>
            </w:tcBorders>
            <w:vAlign w:val="center"/>
          </w:tcPr>
          <w:p w14:paraId="21817A70">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1.00 </w:t>
            </w:r>
          </w:p>
        </w:tc>
        <w:tc>
          <w:tcPr>
            <w:tcW w:w="1133" w:type="dxa"/>
            <w:tcBorders>
              <w:top w:val="single" w:color="auto" w:sz="4" w:space="0"/>
              <w:bottom w:val="single" w:color="auto" w:sz="4" w:space="0"/>
              <w:tl2br w:val="nil"/>
              <w:tr2bl w:val="nil"/>
            </w:tcBorders>
            <w:vAlign w:val="center"/>
          </w:tcPr>
          <w:p w14:paraId="188E4F16">
            <w:pPr>
              <w:pageBreakBefore w:val="0"/>
              <w:widowControl/>
              <w:wordWrap/>
              <w:bidi w:val="0"/>
              <w:ind w:left="-84" w:leftChars="-40" w:right="-84" w:rightChars="-40"/>
              <w:jc w:val="center"/>
              <w:textAlignment w:val="center"/>
              <w:outlineLvl w:val="9"/>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1.80 </w:t>
            </w:r>
          </w:p>
        </w:tc>
      </w:tr>
    </w:tbl>
    <w:p w14:paraId="011AE54D">
      <w:pPr>
        <w:pageBreakBefore w:val="0"/>
        <w:wordWrap/>
        <w:bidi w:val="0"/>
        <w:adjustRightInd w:val="0"/>
        <w:snapToGrid w:val="0"/>
        <w:spacing w:line="240" w:lineRule="exact"/>
        <w:outlineLvl w:val="9"/>
        <w:rPr>
          <w:rFonts w:ascii="仿宋_GB2312" w:hAnsi="Times New Roman" w:eastAsia="仿宋_GB2312"/>
          <w:bCs/>
          <w:sz w:val="10"/>
          <w:szCs w:val="10"/>
        </w:rPr>
      </w:pPr>
    </w:p>
    <w:p w14:paraId="3A815127">
      <w:pPr>
        <w:pStyle w:val="15"/>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9"/>
        <w:rPr>
          <w:rFonts w:ascii="仿宋" w:hAnsi="仿宋" w:eastAsia="仿宋" w:cs="仿宋"/>
          <w:kern w:val="2"/>
          <w:szCs w:val="24"/>
        </w:rPr>
      </w:pPr>
      <w:r>
        <w:rPr>
          <w:rFonts w:hint="eastAsia" w:ascii="仿宋" w:hAnsi="仿宋" w:eastAsia="仿宋" w:cs="仿宋"/>
          <w:kern w:val="2"/>
          <w:szCs w:val="24"/>
        </w:rPr>
        <w:t>仪器准备、工作方式、工作精度、资料处理与1:1万面积磁测工作相同，质检率不低于10%，绝对点数不少于30点。</w:t>
      </w:r>
    </w:p>
    <w:p w14:paraId="3EF42328">
      <w:pPr>
        <w:rPr>
          <w:rFonts w:hint="eastAsia" w:ascii="仿宋" w:hAnsi="仿宋" w:eastAsia="仿宋" w:cs="仿宋"/>
          <w:b/>
          <w:bCs/>
          <w:sz w:val="24"/>
          <w:szCs w:val="24"/>
        </w:rPr>
      </w:pPr>
      <w:r>
        <w:rPr>
          <w:rFonts w:hint="eastAsia" w:ascii="仿宋" w:hAnsi="仿宋" w:eastAsia="仿宋" w:cs="仿宋"/>
          <w:b/>
          <w:bCs/>
          <w:sz w:val="24"/>
          <w:szCs w:val="24"/>
        </w:rPr>
        <w:br w:type="page"/>
      </w:r>
    </w:p>
    <w:p w14:paraId="5F6EF229">
      <w:pPr>
        <w:keepNext/>
        <w:keepLines w:val="0"/>
        <w:pageBreakBefore w:val="0"/>
        <w:widowControl/>
        <w:kinsoku/>
        <w:wordWrap/>
        <w:overflowPunct/>
        <w:topLinePunct w:val="0"/>
        <w:autoSpaceDE/>
        <w:autoSpaceDN/>
        <w:bidi w:val="0"/>
        <w:adjustRightInd/>
        <w:snapToGrid/>
        <w:spacing w:line="480" w:lineRule="auto"/>
        <w:jc w:val="center"/>
        <w:textAlignment w:val="auto"/>
        <w:outlineLvl w:val="1"/>
        <w:rPr>
          <w:rFonts w:ascii="仿宋" w:hAnsi="仿宋" w:eastAsia="仿宋" w:cs="仿宋"/>
          <w:b/>
          <w:bCs/>
          <w:sz w:val="40"/>
          <w:szCs w:val="40"/>
        </w:rPr>
      </w:pPr>
      <w:r>
        <w:rPr>
          <w:rFonts w:hint="eastAsia" w:ascii="仿宋" w:hAnsi="仿宋" w:eastAsia="仿宋" w:cs="仿宋"/>
          <w:b/>
          <w:bCs/>
          <w:sz w:val="24"/>
          <w:szCs w:val="24"/>
          <w:lang w:val="en-US" w:eastAsia="zh-CN"/>
        </w:rPr>
        <w:t>⑩、</w:t>
      </w:r>
      <w:r>
        <w:rPr>
          <w:rFonts w:hint="eastAsia" w:ascii="仿宋" w:hAnsi="仿宋" w:eastAsia="仿宋" w:cs="仿宋"/>
          <w:b/>
          <w:bCs/>
          <w:sz w:val="24"/>
          <w:szCs w:val="24"/>
        </w:rPr>
        <w:t>新疆青河县喀拉干德一带金铜矿普查</w:t>
      </w:r>
    </w:p>
    <w:p w14:paraId="063DCDFB">
      <w:pPr>
        <w:keepNext w:val="0"/>
        <w:keepLines w:val="0"/>
        <w:pageBreakBefore w:val="0"/>
        <w:widowControl w:val="0"/>
        <w:kinsoku/>
        <w:wordWrap/>
        <w:overflowPunct/>
        <w:topLinePunct w:val="0"/>
        <w:autoSpaceDE/>
        <w:autoSpaceDN/>
        <w:bidi w:val="0"/>
        <w:adjustRightInd w:val="0"/>
        <w:spacing w:line="360" w:lineRule="auto"/>
        <w:ind w:firstLine="482" w:firstLineChars="200"/>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一、服务内容：</w:t>
      </w:r>
    </w:p>
    <w:p w14:paraId="4441B9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工作区位于青河县城东南约100千米，</w:t>
      </w:r>
      <w:bookmarkStart w:id="477" w:name="_Hlk213271677"/>
      <w:r>
        <w:rPr>
          <w:rFonts w:hint="eastAsia" w:ascii="仿宋" w:hAnsi="仿宋" w:eastAsia="仿宋" w:cs="仿宋"/>
          <w:sz w:val="24"/>
          <w:szCs w:val="24"/>
        </w:rPr>
        <w:t>东北方向</w:t>
      </w:r>
      <w:bookmarkEnd w:id="477"/>
      <w:r>
        <w:rPr>
          <w:rFonts w:hint="eastAsia" w:ascii="仿宋" w:hAnsi="仿宋" w:eastAsia="仿宋" w:cs="仿宋"/>
          <w:sz w:val="24"/>
          <w:szCs w:val="24"/>
        </w:rPr>
        <w:t>距塔克什肯镇14千米。行政区划属阿勒地区青河县管辖。青河县—塔克什肯镇的省道S320线从工作区北部通过，在工作区南300千米处为青河县—奇台县的省道228线，有简易道路与省道相连，工作区内可通行汽车，交通较为便利。工作区总体处于低山丘陵区，地形呈西高东低，海拔高程1000～1638米，最低为工作区东南部，海拔为1032米，最高为工作区西南部，海拔为1638米，切割程度不高，切割深度一般为100～400米。工作区属大陆性干燥性气候，夏季炎热干燥，平均温度为15～18℃，最高34℃，冬季寒冷多雪，最低温度-47.8℃，春、秋季晴朗凉爽；水系不发育，无长年流水及季节性河流。在沟谷里巴安夏干一带存在3处上升泉，相邻较近直线距离300米左右，可以提供生活用水，但不能食用含碱性较高。</w:t>
      </w:r>
    </w:p>
    <w:p w14:paraId="61326F9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仿宋" w:hAnsi="仿宋" w:eastAsia="仿宋" w:cs="仿宋"/>
          <w:sz w:val="24"/>
          <w:szCs w:val="24"/>
        </w:rPr>
      </w:pPr>
      <w:r>
        <w:rPr>
          <w:rFonts w:hint="eastAsia" w:ascii="仿宋" w:hAnsi="仿宋" w:eastAsia="仿宋" w:cs="仿宋"/>
          <w:b/>
          <w:bCs/>
          <w:sz w:val="24"/>
          <w:szCs w:val="24"/>
        </w:rPr>
        <w:t>二、</w:t>
      </w:r>
      <w:r>
        <w:rPr>
          <w:rFonts w:hint="eastAsia" w:ascii="仿宋" w:hAnsi="仿宋" w:eastAsia="仿宋" w:cs="仿宋"/>
          <w:sz w:val="24"/>
          <w:szCs w:val="24"/>
        </w:rPr>
        <w:t>工作量：1∶1万激电剖面30千米；激电测深60点。</w:t>
      </w:r>
    </w:p>
    <w:p w14:paraId="184ACB4E">
      <w:pPr>
        <w:pStyle w:val="15"/>
        <w:keepNext w:val="0"/>
        <w:keepLines w:val="0"/>
        <w:pageBreakBefore w:val="0"/>
        <w:widowControl w:val="0"/>
        <w:kinsoku/>
        <w:wordWrap/>
        <w:overflowPunct/>
        <w:topLinePunct w:val="0"/>
        <w:autoSpaceDE/>
        <w:autoSpaceDN/>
        <w:bidi w:val="0"/>
        <w:spacing w:after="0" w:line="360" w:lineRule="auto"/>
        <w:ind w:firstLine="482" w:firstLineChars="200"/>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 xml:space="preserve">三、技术方法  </w:t>
      </w:r>
    </w:p>
    <w:p w14:paraId="781EA13B">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本次工作采用激发极化法，激电剖面主要针对于金、铜有关的异常、矿化(蚀变)带、其目的是圈定异常范围和确定异常体顶端埋深、延伸和产状变化等特征。</w:t>
      </w:r>
    </w:p>
    <w:p w14:paraId="55CE7286">
      <w:pPr>
        <w:keepNext w:val="0"/>
        <w:keepLines w:val="0"/>
        <w:pageBreakBefore w:val="0"/>
        <w:widowControl w:val="0"/>
        <w:kinsoku/>
        <w:wordWrap/>
        <w:overflowPunct/>
        <w:topLinePunct w:val="0"/>
        <w:autoSpaceDE/>
        <w:autoSpaceDN/>
        <w:bidi w:val="0"/>
        <w:spacing w:before="0" w:line="360" w:lineRule="auto"/>
        <w:ind w:firstLine="480" w:firstLineChars="200"/>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(一)剖面布设</w:t>
      </w:r>
    </w:p>
    <w:p w14:paraId="15ED8E7C">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剖面布设时使用手持GPS，点距40米，异常区及矿体部位加密至20米，测量平面点位误差不大于20米，以满足本次物探工作测点定位的精度要求。</w:t>
      </w:r>
    </w:p>
    <w:p w14:paraId="78A10738">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在野外作业中，采用手持GPS根据测点理论坐标定点，点位标志使用20×3厘米长的红布条，点线号用墨汁书写在红布条上。测点坐标使用理论值。</w:t>
      </w:r>
    </w:p>
    <w:p w14:paraId="64EDEB69">
      <w:pPr>
        <w:keepNext w:val="0"/>
        <w:keepLines w:val="0"/>
        <w:pageBreakBefore w:val="0"/>
        <w:widowControl w:val="0"/>
        <w:kinsoku/>
        <w:wordWrap/>
        <w:overflowPunct/>
        <w:topLinePunct w:val="0"/>
        <w:autoSpaceDE/>
        <w:autoSpaceDN/>
        <w:bidi w:val="0"/>
        <w:spacing w:before="0" w:line="360" w:lineRule="auto"/>
        <w:ind w:firstLine="480" w:firstLineChars="200"/>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(二)1∶1万激电中梯(短导线)剖面测量</w:t>
      </w:r>
    </w:p>
    <w:p w14:paraId="51F504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本次时间域激发极化法工作以中华人民共和国地质矿产行业标准DZ/T0070—2016《时间域激发极化法技术规定》为主要作业依据。</w:t>
      </w:r>
    </w:p>
    <w:p w14:paraId="53A10B86">
      <w:pPr>
        <w:keepNext w:val="0"/>
        <w:keepLines w:val="0"/>
        <w:pageBreakBefore w:val="0"/>
        <w:widowControl w:val="0"/>
        <w:kinsoku/>
        <w:wordWrap/>
        <w:overflowPunct/>
        <w:topLinePunct w:val="0"/>
        <w:autoSpaceDE/>
        <w:autoSpaceDN/>
        <w:bidi w:val="0"/>
        <w:spacing w:before="0" w:line="360" w:lineRule="auto"/>
        <w:ind w:firstLine="480" w:firstLineChars="200"/>
        <w:textAlignment w:val="auto"/>
        <w:outlineLvl w:val="9"/>
        <w:rPr>
          <w:rFonts w:hint="eastAsia" w:ascii="仿宋" w:hAnsi="仿宋" w:eastAsia="仿宋" w:cs="仿宋"/>
          <w:b/>
          <w:bCs w:val="0"/>
          <w:sz w:val="24"/>
          <w:szCs w:val="24"/>
        </w:rPr>
      </w:pPr>
      <w:r>
        <w:rPr>
          <w:rFonts w:hint="eastAsia" w:ascii="仿宋" w:hAnsi="仿宋" w:eastAsia="仿宋" w:cs="仿宋"/>
          <w:bCs w:val="0"/>
          <w:sz w:val="24"/>
          <w:szCs w:val="24"/>
        </w:rPr>
        <w:t>1．仪器设备</w:t>
      </w:r>
    </w:p>
    <w:p w14:paraId="23C4627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根据项目的任务目的要求，在充分考虑到方法的有效性、合理的技术参数以及仪器的轻便和稳定性，以及实用性，选用满足规范要求的重庆奔腾数控技术研究所研制的大功率智能激电系统。</w:t>
      </w:r>
    </w:p>
    <w:p w14:paraId="5ADA07A0">
      <w:pPr>
        <w:keepNext w:val="0"/>
        <w:keepLines w:val="0"/>
        <w:pageBreakBefore w:val="0"/>
        <w:widowControl w:val="0"/>
        <w:kinsoku/>
        <w:wordWrap/>
        <w:overflowPunct/>
        <w:topLinePunct w:val="0"/>
        <w:autoSpaceDE/>
        <w:autoSpaceDN/>
        <w:bidi w:val="0"/>
        <w:spacing w:before="0" w:line="360" w:lineRule="auto"/>
        <w:ind w:firstLine="480" w:firstLineChars="200"/>
        <w:textAlignment w:val="auto"/>
        <w:outlineLvl w:val="9"/>
        <w:rPr>
          <w:rFonts w:hint="eastAsia" w:ascii="仿宋" w:hAnsi="仿宋" w:eastAsia="仿宋" w:cs="仿宋"/>
          <w:b/>
          <w:bCs w:val="0"/>
          <w:sz w:val="24"/>
          <w:szCs w:val="24"/>
        </w:rPr>
      </w:pPr>
      <w:r>
        <w:rPr>
          <w:rFonts w:hint="eastAsia" w:ascii="仿宋" w:hAnsi="仿宋" w:eastAsia="仿宋" w:cs="仿宋"/>
          <w:bCs w:val="0"/>
          <w:sz w:val="24"/>
          <w:szCs w:val="24"/>
        </w:rPr>
        <w:t>2．仪器校验</w:t>
      </w:r>
    </w:p>
    <w:p w14:paraId="4E9A9F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(1)室内标定检查</w:t>
      </w:r>
    </w:p>
    <w:p w14:paraId="225B51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开工前和工作结束后撤离工地前皆应进行一次仪器性能标定检查。</w:t>
      </w:r>
    </w:p>
    <w:p w14:paraId="75A1E2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能用标准时间域激电模拟器进行标定检查的接收机，应用同一模拟器对各台仪器进行准确性和一致性标定检查。</w:t>
      </w:r>
    </w:p>
    <w:p w14:paraId="4C0A35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用标准时间域激电模拟器进行标定检查接收机时，应选用△U1为1mV-100mV，且在2％～20％之间选择三个极化率值的标准输出信号对接收机做标定检测，其电位和极化率测量精度均应满足规范要求。</w:t>
      </w:r>
    </w:p>
    <w:p w14:paraId="3AC2901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(2)精度剖面实测检验</w:t>
      </w:r>
    </w:p>
    <w:p w14:paraId="110A07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在野外工作前，仪器精度应进行精度剖面实测检验，检验内容、方法流程和合格标准如下：</w:t>
      </w:r>
    </w:p>
    <w:p w14:paraId="596154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①内容：每台仪器沿剖面往返观测计算各自观测精度，多台仪器应做一致性检验；</w:t>
      </w:r>
    </w:p>
    <w:p w14:paraId="29F679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②方法流程：选择一条极化率有明显变化的异常地段剖面，测点数大于20个，选择AB、MN和I尽可能使△U1在30mV以上。每台仪器在相同条件下往返观测计算均方相对误差。多台仪器取均方相对误差最小的一台仪器为“标准”，分别计算各台仪器与“标准”仪器的均方相对误</w:t>
      </w:r>
    </w:p>
    <w:p w14:paraId="195FBB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③误差合格标准与选用：若某仪器的均方相对误差大于设计精度的三分之二，应对该仪器调试，使其达到要求或不在本区使用。多台可用仪器的一致性误差可选合格均方误差值中最大者。</w:t>
      </w:r>
    </w:p>
    <w:p w14:paraId="20239404">
      <w:pPr>
        <w:keepNext w:val="0"/>
        <w:keepLines w:val="0"/>
        <w:pageBreakBefore w:val="0"/>
        <w:widowControl w:val="0"/>
        <w:kinsoku/>
        <w:wordWrap/>
        <w:overflowPunct/>
        <w:topLinePunct w:val="0"/>
        <w:autoSpaceDE/>
        <w:autoSpaceDN/>
        <w:bidi w:val="0"/>
        <w:spacing w:before="0" w:line="360" w:lineRule="auto"/>
        <w:ind w:firstLine="480" w:firstLineChars="200"/>
        <w:textAlignment w:val="auto"/>
        <w:outlineLvl w:val="9"/>
        <w:rPr>
          <w:rFonts w:hint="eastAsia" w:ascii="仿宋" w:hAnsi="仿宋" w:eastAsia="仿宋" w:cs="仿宋"/>
          <w:b/>
          <w:bCs w:val="0"/>
          <w:sz w:val="24"/>
          <w:szCs w:val="24"/>
        </w:rPr>
      </w:pPr>
      <w:r>
        <w:rPr>
          <w:rFonts w:hint="eastAsia" w:ascii="仿宋" w:hAnsi="仿宋" w:eastAsia="仿宋" w:cs="仿宋"/>
          <w:bCs w:val="0"/>
          <w:sz w:val="24"/>
          <w:szCs w:val="24"/>
        </w:rPr>
        <w:t>3．技术参数试验</w:t>
      </w:r>
    </w:p>
    <w:p w14:paraId="52612F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为确定最佳工作参数，选取工作区典型剖面进行工作参数试验。结合工作区地质条件试验内容侧重于电极距选择、供电脉宽选择、延时选择等试验。</w:t>
      </w:r>
    </w:p>
    <w:p w14:paraId="3E55FA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(1)电极距（AB距、MN距）选择</w:t>
      </w:r>
    </w:p>
    <w:p w14:paraId="1FA827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供电极距的大小对勘探深度影响较为明显，过小的供电极距电流激发地质体深度较浅，所测数据仅反映浅部近地表信息；而过大的供电极距势必造成外阻增大，电流分散，亦不能达到较好的工作效果，并且供电极距增大到一定程度，深部信息亦不能有效提取，因此选择一个最佳的供电极距是试验工作重要内容之一。选择的供电极距应能同时满足探测深度，水平分辨率和一次场△U1（或总场△U）幅度的要求。即要求一次场△U1（或总场△U）大于或等于5mV，有干扰时应明显大于干扰强度且不低于10mV;△U2一般要求大于0.3mV,在干扰较小的地区，应大于1mV,在明显干扰的地区，△U2宜大于干扰信号幅度的3倍。在满足上述条件的情况下，如果电源功率允许，宜选用较大AB距。</w:t>
      </w:r>
    </w:p>
    <w:p w14:paraId="6035CE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初步确定试验1000米、1200米和1500米两个不同的供电极距参数组合。接收极距MN应满足MN=（1/50～1/25）AB，并等于1倍或2倍测点距。</w:t>
      </w:r>
    </w:p>
    <w:p w14:paraId="17D432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(2)供电脉宽选择（T）</w:t>
      </w:r>
    </w:p>
    <w:p w14:paraId="0AC613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原则是在满足抗干扰和探深的前提下兼顾工作效率，标准为已知目标体上视极化率异常且相对背景值的衬度值较大（一般不小于2%）。</w:t>
      </w:r>
    </w:p>
    <w:p w14:paraId="29457D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选择8s供电脉宽开展试验，当实验结果符合上述标准和原则时，选定8s作为供电脉宽；否则加宽或缩短供电脉宽继续试验，直至选择出符合要求的供电脉宽。</w:t>
      </w:r>
    </w:p>
    <w:p w14:paraId="4709F6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(3)延时选择</w:t>
      </w:r>
    </w:p>
    <w:p w14:paraId="7C8A239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延时选择主要通过不同极距、不同电阻率、不同地质体上的放电曲线来确定，应满足避让电磁感应，兼顾提高二次场△U2的幅度，在电磁耦合较强的情况下，延时一般应不小于100ms。</w:t>
      </w:r>
    </w:p>
    <w:p w14:paraId="0C78D29B">
      <w:pPr>
        <w:keepNext w:val="0"/>
        <w:keepLines w:val="0"/>
        <w:pageBreakBefore w:val="0"/>
        <w:widowControl w:val="0"/>
        <w:kinsoku/>
        <w:wordWrap/>
        <w:overflowPunct/>
        <w:topLinePunct w:val="0"/>
        <w:autoSpaceDE/>
        <w:autoSpaceDN/>
        <w:bidi w:val="0"/>
        <w:spacing w:before="0" w:line="360" w:lineRule="auto"/>
        <w:ind w:firstLine="480" w:firstLineChars="200"/>
        <w:textAlignment w:val="auto"/>
        <w:outlineLvl w:val="9"/>
        <w:rPr>
          <w:rFonts w:hint="eastAsia" w:ascii="仿宋" w:hAnsi="仿宋" w:eastAsia="仿宋" w:cs="仿宋"/>
          <w:b/>
          <w:bCs w:val="0"/>
          <w:sz w:val="24"/>
          <w:szCs w:val="24"/>
        </w:rPr>
      </w:pPr>
      <w:r>
        <w:rPr>
          <w:rFonts w:hint="eastAsia" w:ascii="仿宋" w:hAnsi="仿宋" w:eastAsia="仿宋" w:cs="仿宋"/>
          <w:bCs w:val="0"/>
          <w:sz w:val="24"/>
          <w:szCs w:val="24"/>
        </w:rPr>
        <w:t>4．野外观测</w:t>
      </w:r>
    </w:p>
    <w:p w14:paraId="3797F5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每天出工前，方法组长应将当天的任务分工和注意事项向全组人员交待清楚，并对仪器、设备、工具、安全用品等进行检查；操作员应检查仪器电池电压，应大于9V以上，检查本台班设备、物资是否齐全。发射员应检查发电机、汽油、机油并进行试车，供电前应检查供电导线绝缘电阻大于2MΩ/km，测量导线绝缘电阻大于5MΩ/km，检查AB极位置并做记录。</w:t>
      </w:r>
    </w:p>
    <w:p w14:paraId="05E0A1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供电电极采用铝簿。测量电极采用不极化电极，要求内阻小于1kΩ，测量电极、供电电极坑均应预先浇水以改善接地条件，保证接地电阻小于7kΩ，越小越好。</w:t>
      </w:r>
    </w:p>
    <w:p w14:paraId="65B1AE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工作中记录电流变化应不大于2％，如果电流变化较大或断电，应通知台班并做记录。</w:t>
      </w:r>
    </w:p>
    <w:p w14:paraId="24223C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另外对异常点、畸变点操作员要及时通知相邻测量组进行质量检查工作，确保测量数据准确无误。</w:t>
      </w:r>
    </w:p>
    <w:p w14:paraId="346CD8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对异常段应进行加密观测，对有意义、不完整异常要进行控制观测。</w:t>
      </w:r>
    </w:p>
    <w:p w14:paraId="61B882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操作员应携带记录本并做好表头记录，多重复点、作废点、地质地形、地貌做必要的备注，并作为原始资料的一部分。</w:t>
      </w:r>
    </w:p>
    <w:p w14:paraId="29A2FAF3">
      <w:pPr>
        <w:keepNext w:val="0"/>
        <w:keepLines w:val="0"/>
        <w:pageBreakBefore w:val="0"/>
        <w:widowControl w:val="0"/>
        <w:kinsoku/>
        <w:wordWrap/>
        <w:overflowPunct/>
        <w:topLinePunct w:val="0"/>
        <w:autoSpaceDE/>
        <w:autoSpaceDN/>
        <w:bidi w:val="0"/>
        <w:spacing w:before="0" w:line="360" w:lineRule="auto"/>
        <w:ind w:firstLine="480" w:firstLineChars="200"/>
        <w:textAlignment w:val="auto"/>
        <w:outlineLvl w:val="9"/>
        <w:rPr>
          <w:rFonts w:hint="eastAsia" w:ascii="仿宋" w:hAnsi="仿宋" w:eastAsia="仿宋" w:cs="仿宋"/>
          <w:b/>
          <w:bCs w:val="0"/>
          <w:sz w:val="24"/>
          <w:szCs w:val="24"/>
        </w:rPr>
      </w:pPr>
      <w:r>
        <w:rPr>
          <w:rFonts w:hint="eastAsia" w:ascii="仿宋" w:hAnsi="仿宋" w:eastAsia="仿宋" w:cs="仿宋"/>
          <w:bCs w:val="0"/>
          <w:sz w:val="24"/>
          <w:szCs w:val="24"/>
        </w:rPr>
        <w:t>5．资料整理</w:t>
      </w:r>
    </w:p>
    <w:p w14:paraId="0215AE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操作员每天收工后及时将接收机记录的数据传入计算机后，与GPS记录的点线号进行实测坐标值的配对。然后对记录本的记录质量、加点、丢点完成物理点数等，如实填入登记表中，同时进行100％自检、互检验收，对不合格的工作量及时进行返工处理。内业人员将合格的原始数据备份在计算机中并进行各项（仪器一致性、视电阻率、精度计算等）计算。</w:t>
      </w:r>
    </w:p>
    <w:p w14:paraId="63BDEA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(1)根据AB和MN电极和测点坐标计算装置系数κ值。依据实测参数一次场电位差(△U)、供电电流(I)、κ值计算测点视电阻率值（ρs)。对剖面连接点、重复观测点，ρs、ηs值取算术平均法为测点值。</w:t>
      </w:r>
    </w:p>
    <w:p w14:paraId="63EB85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(2)不可靠异常点剔除：在充分熟悉工区地质特点，对可能引起激电异常的地质体种类进行辨识，在结合实测的均方误差和异常点数判断测点的可靠程度。一般单异常点为不可靠点，而有两个以上连续点有显示的为可靠异常。结合以上两点对畸变点、突跳点、干扰点进行剔除和圆滑。</w:t>
      </w:r>
    </w:p>
    <w:p w14:paraId="58F3E4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(3)ηs异常背景值：把背景地段的视极化率值求其算数平均值，即为背景值。</w:t>
      </w:r>
    </w:p>
    <w:p w14:paraId="59FD025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(4)ηs异常下限为</w:t>
      </w:r>
      <m:oMath>
        <m:sSub>
          <m:sSubPr>
            <m:ctrlPr>
              <w:rPr>
                <w:rFonts w:hint="eastAsia" w:ascii="Cambria Math" w:hAnsi="Cambria Math" w:eastAsia="仿宋" w:cs="仿宋"/>
                <w:sz w:val="24"/>
                <w:szCs w:val="24"/>
              </w:rPr>
            </m:ctrlPr>
          </m:sSubPr>
          <m:e>
            <m:r>
              <m:rPr>
                <m:sty m:val="p"/>
              </m:rPr>
              <w:rPr>
                <w:rFonts w:hint="eastAsia" w:ascii="Cambria Math" w:hAnsi="Cambria Math" w:eastAsia="仿宋" w:cs="仿宋"/>
                <w:sz w:val="24"/>
                <w:szCs w:val="24"/>
              </w:rPr>
              <m:t>η</m:t>
            </m:r>
            <m:ctrlPr>
              <w:rPr>
                <w:rFonts w:hint="eastAsia" w:ascii="Cambria Math" w:hAnsi="Cambria Math" w:eastAsia="仿宋" w:cs="仿宋"/>
                <w:sz w:val="24"/>
                <w:szCs w:val="24"/>
              </w:rPr>
            </m:ctrlPr>
          </m:e>
          <m:sub>
            <m:r>
              <m:rPr>
                <m:sty m:val="p"/>
              </m:rPr>
              <w:rPr>
                <w:rFonts w:hint="eastAsia" w:ascii="Cambria Math" w:hAnsi="Cambria Math" w:eastAsia="仿宋" w:cs="仿宋"/>
                <w:sz w:val="24"/>
                <w:szCs w:val="24"/>
              </w:rPr>
              <m:t>sx</m:t>
            </m:r>
            <m:ctrlPr>
              <w:rPr>
                <w:rFonts w:hint="eastAsia" w:ascii="Cambria Math" w:hAnsi="Cambria Math" w:eastAsia="仿宋" w:cs="仿宋"/>
                <w:sz w:val="24"/>
                <w:szCs w:val="24"/>
              </w:rPr>
            </m:ctrlPr>
          </m:sub>
        </m:sSub>
        <m:r>
          <m:rPr>
            <m:sty m:val="p"/>
          </m:rPr>
          <w:rPr>
            <w:rFonts w:hint="eastAsia" w:ascii="Cambria Math" w:hAnsi="Cambria Math" w:eastAsia="仿宋" w:cs="仿宋"/>
            <w:sz w:val="24"/>
            <w:szCs w:val="24"/>
          </w:rPr>
          <m:t>=</m:t>
        </m:r>
        <m:sSub>
          <m:sSubPr>
            <m:ctrlPr>
              <w:rPr>
                <w:rFonts w:hint="eastAsia" w:ascii="Cambria Math" w:hAnsi="Cambria Math" w:eastAsia="仿宋" w:cs="仿宋"/>
                <w:sz w:val="24"/>
                <w:szCs w:val="24"/>
              </w:rPr>
            </m:ctrlPr>
          </m:sSubPr>
          <m:e>
            <m:r>
              <m:rPr>
                <m:sty m:val="p"/>
              </m:rPr>
              <w:rPr>
                <w:rFonts w:hint="eastAsia" w:ascii="Cambria Math" w:hAnsi="Cambria Math" w:eastAsia="仿宋" w:cs="仿宋"/>
                <w:sz w:val="24"/>
                <w:szCs w:val="24"/>
              </w:rPr>
              <m:t>η</m:t>
            </m:r>
            <m:ctrlPr>
              <w:rPr>
                <w:rFonts w:hint="eastAsia" w:ascii="Cambria Math" w:hAnsi="Cambria Math" w:eastAsia="仿宋" w:cs="仿宋"/>
                <w:sz w:val="24"/>
                <w:szCs w:val="24"/>
              </w:rPr>
            </m:ctrlPr>
          </m:e>
          <m:sub>
            <m:r>
              <m:rPr>
                <m:sty m:val="p"/>
              </m:rPr>
              <w:rPr>
                <w:rFonts w:hint="eastAsia" w:ascii="Cambria Math" w:hAnsi="Cambria Math" w:eastAsia="仿宋" w:cs="仿宋"/>
                <w:sz w:val="24"/>
                <w:szCs w:val="24"/>
              </w:rPr>
              <m:t>sb</m:t>
            </m:r>
            <m:ctrlPr>
              <w:rPr>
                <w:rFonts w:hint="eastAsia" w:ascii="Cambria Math" w:hAnsi="Cambria Math" w:eastAsia="仿宋" w:cs="仿宋"/>
                <w:sz w:val="24"/>
                <w:szCs w:val="24"/>
              </w:rPr>
            </m:ctrlPr>
          </m:sub>
        </m:sSub>
        <m:r>
          <m:rPr>
            <m:sty m:val="p"/>
          </m:rPr>
          <w:rPr>
            <w:rFonts w:hint="eastAsia" w:ascii="Cambria Math" w:hAnsi="Cambria Math" w:eastAsia="仿宋" w:cs="仿宋"/>
            <w:sz w:val="24"/>
            <w:szCs w:val="24"/>
          </w:rPr>
          <m:t>+</m:t>
        </m:r>
        <m:d>
          <m:dPr>
            <m:ctrlPr>
              <w:rPr>
                <w:rFonts w:hint="eastAsia" w:ascii="Cambria Math" w:hAnsi="Cambria Math" w:eastAsia="仿宋" w:cs="仿宋"/>
                <w:sz w:val="24"/>
                <w:szCs w:val="24"/>
              </w:rPr>
            </m:ctrlPr>
          </m:dPr>
          <m:e>
            <m:r>
              <m:rPr>
                <m:sty m:val="p"/>
              </m:rPr>
              <w:rPr>
                <w:rFonts w:hint="eastAsia" w:ascii="Cambria Math" w:hAnsi="Cambria Math" w:eastAsia="仿宋" w:cs="仿宋"/>
                <w:sz w:val="24"/>
                <w:szCs w:val="24"/>
              </w:rPr>
              <m:t>1.5~2.5</m:t>
            </m:r>
            <m:ctrlPr>
              <w:rPr>
                <w:rFonts w:hint="eastAsia" w:ascii="Cambria Math" w:hAnsi="Cambria Math" w:eastAsia="仿宋" w:cs="仿宋"/>
                <w:sz w:val="24"/>
                <w:szCs w:val="24"/>
              </w:rPr>
            </m:ctrlPr>
          </m:e>
        </m:d>
        <m:r>
          <m:rPr>
            <m:sty m:val="p"/>
          </m:rPr>
          <w:rPr>
            <w:rFonts w:hint="eastAsia" w:ascii="Cambria Math" w:hAnsi="Cambria Math" w:eastAsia="仿宋" w:cs="仿宋"/>
            <w:sz w:val="24"/>
            <w:szCs w:val="24"/>
          </w:rPr>
          <m:t>×N</m:t>
        </m:r>
      </m:oMath>
      <w:r>
        <w:rPr>
          <w:rFonts w:hint="eastAsia" w:ascii="仿宋" w:hAnsi="仿宋" w:eastAsia="仿宋" w:cs="仿宋"/>
          <w:sz w:val="24"/>
          <w:szCs w:val="24"/>
        </w:rPr>
        <w:t>,式中系数（1.5~2.5）决定可异常的置信度。当呈现异常的点数较多（点数＞3个），可取较小值，若仅在个别点（点数＜3个）上呈现异常，则取较大值。N决定于背景值的稳定性和观测精度，若背景值稳定，观测精度为影响异常下限的主要因素，则N取ηs的绝对均方误差值，若背景值不稳定，成为影响异常下限的主要因素，则N取背景值段n个测点的标准离差，按下式算出：</w:t>
      </w:r>
      <m:oMath>
        <m:r>
          <m:rPr>
            <m:sty m:val="p"/>
          </m:rPr>
          <w:rPr>
            <w:rFonts w:hint="eastAsia" w:ascii="Cambria Math" w:hAnsi="Cambria Math" w:eastAsia="仿宋" w:cs="仿宋"/>
            <w:sz w:val="24"/>
            <w:szCs w:val="24"/>
          </w:rPr>
          <m:t>N=±</m:t>
        </m:r>
        <m:rad>
          <m:radPr>
            <m:degHide m:val="1"/>
            <m:ctrlPr>
              <w:rPr>
                <w:rFonts w:hint="eastAsia" w:ascii="Cambria Math" w:hAnsi="Cambria Math" w:eastAsia="仿宋" w:cs="仿宋"/>
                <w:sz w:val="24"/>
                <w:szCs w:val="24"/>
              </w:rPr>
            </m:ctrlPr>
          </m:radPr>
          <m:deg>
            <m:ctrlPr>
              <w:rPr>
                <w:rFonts w:hint="eastAsia" w:ascii="Cambria Math" w:hAnsi="Cambria Math" w:eastAsia="仿宋" w:cs="仿宋"/>
                <w:sz w:val="24"/>
                <w:szCs w:val="24"/>
              </w:rPr>
            </m:ctrlPr>
          </m:deg>
          <m:e>
            <m:f>
              <m:fPr>
                <m:ctrlPr>
                  <w:rPr>
                    <w:rFonts w:hint="eastAsia" w:ascii="Cambria Math" w:hAnsi="Cambria Math" w:eastAsia="仿宋" w:cs="仿宋"/>
                    <w:sz w:val="24"/>
                    <w:szCs w:val="24"/>
                  </w:rPr>
                </m:ctrlPr>
              </m:fPr>
              <m:num>
                <m:r>
                  <m:rPr>
                    <m:sty m:val="p"/>
                  </m:rPr>
                  <w:rPr>
                    <w:rFonts w:hint="eastAsia" w:ascii="Cambria Math" w:hAnsi="Cambria Math" w:eastAsia="仿宋" w:cs="仿宋"/>
                    <w:sz w:val="24"/>
                    <w:szCs w:val="24"/>
                  </w:rPr>
                  <m:t>1</m:t>
                </m:r>
                <m:ctrlPr>
                  <w:rPr>
                    <w:rFonts w:hint="eastAsia" w:ascii="Cambria Math" w:hAnsi="Cambria Math" w:eastAsia="仿宋" w:cs="仿宋"/>
                    <w:sz w:val="24"/>
                    <w:szCs w:val="24"/>
                  </w:rPr>
                </m:ctrlPr>
              </m:num>
              <m:den>
                <m:r>
                  <m:rPr>
                    <m:sty m:val="p"/>
                  </m:rPr>
                  <w:rPr>
                    <w:rFonts w:hint="eastAsia" w:ascii="Cambria Math" w:hAnsi="Cambria Math" w:eastAsia="仿宋" w:cs="仿宋"/>
                    <w:sz w:val="24"/>
                    <w:szCs w:val="24"/>
                  </w:rPr>
                  <m:t>n−1</m:t>
                </m:r>
                <m:ctrlPr>
                  <w:rPr>
                    <w:rFonts w:hint="eastAsia" w:ascii="Cambria Math" w:hAnsi="Cambria Math" w:eastAsia="仿宋" w:cs="仿宋"/>
                    <w:sz w:val="24"/>
                    <w:szCs w:val="24"/>
                  </w:rPr>
                </m:ctrlPr>
              </m:den>
            </m:f>
            <m:nary>
              <m:naryPr>
                <m:chr m:val="∑"/>
                <m:limLoc m:val="undOvr"/>
                <m:ctrlPr>
                  <w:rPr>
                    <w:rFonts w:hint="eastAsia" w:ascii="Cambria Math" w:hAnsi="Cambria Math" w:eastAsia="仿宋" w:cs="仿宋"/>
                    <w:sz w:val="24"/>
                    <w:szCs w:val="24"/>
                  </w:rPr>
                </m:ctrlPr>
              </m:naryPr>
              <m:sub>
                <m:r>
                  <m:rPr>
                    <m:sty m:val="p"/>
                  </m:rPr>
                  <w:rPr>
                    <w:rFonts w:hint="eastAsia" w:ascii="Cambria Math" w:hAnsi="Cambria Math" w:eastAsia="仿宋" w:cs="仿宋"/>
                    <w:sz w:val="24"/>
                    <w:szCs w:val="24"/>
                  </w:rPr>
                  <m:t>i=1</m:t>
                </m:r>
                <m:ctrlPr>
                  <w:rPr>
                    <w:rFonts w:hint="eastAsia" w:ascii="Cambria Math" w:hAnsi="Cambria Math" w:eastAsia="仿宋" w:cs="仿宋"/>
                    <w:sz w:val="24"/>
                    <w:szCs w:val="24"/>
                  </w:rPr>
                </m:ctrlPr>
              </m:sub>
              <m:sup>
                <m:r>
                  <m:rPr>
                    <m:sty m:val="p"/>
                  </m:rPr>
                  <w:rPr>
                    <w:rFonts w:hint="eastAsia" w:ascii="Cambria Math" w:hAnsi="Cambria Math" w:eastAsia="仿宋" w:cs="仿宋"/>
                    <w:sz w:val="24"/>
                    <w:szCs w:val="24"/>
                  </w:rPr>
                  <m:t>n</m:t>
                </m:r>
                <m:ctrlPr>
                  <w:rPr>
                    <w:rFonts w:hint="eastAsia" w:ascii="Cambria Math" w:hAnsi="Cambria Math" w:eastAsia="仿宋" w:cs="仿宋"/>
                    <w:sz w:val="24"/>
                    <w:szCs w:val="24"/>
                  </w:rPr>
                </m:ctrlPr>
              </m:sup>
              <m:e>
                <m:sSup>
                  <m:sSupPr>
                    <m:ctrlPr>
                      <w:rPr>
                        <w:rFonts w:hint="eastAsia" w:ascii="Cambria Math" w:hAnsi="Cambria Math" w:eastAsia="仿宋" w:cs="仿宋"/>
                        <w:sz w:val="24"/>
                        <w:szCs w:val="24"/>
                      </w:rPr>
                    </m:ctrlPr>
                  </m:sSupPr>
                  <m:e>
                    <m:d>
                      <m:dPr>
                        <m:ctrlPr>
                          <w:rPr>
                            <w:rFonts w:hint="eastAsia" w:ascii="Cambria Math" w:hAnsi="Cambria Math" w:eastAsia="仿宋" w:cs="仿宋"/>
                            <w:sz w:val="24"/>
                            <w:szCs w:val="24"/>
                          </w:rPr>
                        </m:ctrlPr>
                      </m:dPr>
                      <m:e>
                        <m:sSub>
                          <m:sSubPr>
                            <m:ctrlPr>
                              <w:rPr>
                                <w:rFonts w:hint="eastAsia" w:ascii="Cambria Math" w:hAnsi="Cambria Math" w:eastAsia="仿宋" w:cs="仿宋"/>
                                <w:sz w:val="24"/>
                                <w:szCs w:val="24"/>
                              </w:rPr>
                            </m:ctrlPr>
                          </m:sSubPr>
                          <m:e>
                            <m:r>
                              <m:rPr>
                                <m:sty m:val="p"/>
                              </m:rPr>
                              <w:rPr>
                                <w:rFonts w:hint="eastAsia" w:ascii="Cambria Math" w:hAnsi="Cambria Math" w:eastAsia="仿宋" w:cs="仿宋"/>
                                <w:sz w:val="24"/>
                                <w:szCs w:val="24"/>
                              </w:rPr>
                              <m:t>η</m:t>
                            </m:r>
                            <m:ctrlPr>
                              <w:rPr>
                                <w:rFonts w:hint="eastAsia" w:ascii="Cambria Math" w:hAnsi="Cambria Math" w:eastAsia="仿宋" w:cs="仿宋"/>
                                <w:sz w:val="24"/>
                                <w:szCs w:val="24"/>
                              </w:rPr>
                            </m:ctrlPr>
                          </m:e>
                          <m:sub>
                            <m:r>
                              <m:rPr>
                                <m:sty m:val="p"/>
                              </m:rPr>
                              <w:rPr>
                                <w:rFonts w:hint="eastAsia" w:ascii="Cambria Math" w:hAnsi="Cambria Math" w:eastAsia="仿宋" w:cs="仿宋"/>
                                <w:sz w:val="24"/>
                                <w:szCs w:val="24"/>
                              </w:rPr>
                              <m:t>si</m:t>
                            </m:r>
                            <m:ctrlPr>
                              <w:rPr>
                                <w:rFonts w:hint="eastAsia" w:ascii="Cambria Math" w:hAnsi="Cambria Math" w:eastAsia="仿宋" w:cs="仿宋"/>
                                <w:sz w:val="24"/>
                                <w:szCs w:val="24"/>
                              </w:rPr>
                            </m:ctrlPr>
                          </m:sub>
                        </m:sSub>
                        <m:r>
                          <m:rPr>
                            <m:sty m:val="p"/>
                          </m:rPr>
                          <w:rPr>
                            <w:rFonts w:hint="eastAsia" w:ascii="Cambria Math" w:hAnsi="Cambria Math" w:eastAsia="仿宋" w:cs="仿宋"/>
                            <w:sz w:val="24"/>
                            <w:szCs w:val="24"/>
                          </w:rPr>
                          <m:t>−</m:t>
                        </m:r>
                        <m:acc>
                          <m:accPr>
                            <m:chr m:val="̅"/>
                            <m:ctrlPr>
                              <w:rPr>
                                <w:rFonts w:hint="eastAsia" w:ascii="Cambria Math" w:hAnsi="Cambria Math" w:eastAsia="仿宋" w:cs="仿宋"/>
                                <w:sz w:val="24"/>
                                <w:szCs w:val="24"/>
                              </w:rPr>
                            </m:ctrlPr>
                          </m:accPr>
                          <m:e>
                            <m:sSub>
                              <m:sSubPr>
                                <m:ctrlPr>
                                  <w:rPr>
                                    <w:rFonts w:hint="eastAsia" w:ascii="Cambria Math" w:hAnsi="Cambria Math" w:eastAsia="仿宋" w:cs="仿宋"/>
                                    <w:sz w:val="24"/>
                                    <w:szCs w:val="24"/>
                                  </w:rPr>
                                </m:ctrlPr>
                              </m:sSubPr>
                              <m:e>
                                <m:r>
                                  <m:rPr>
                                    <m:sty m:val="p"/>
                                  </m:rPr>
                                  <w:rPr>
                                    <w:rFonts w:hint="eastAsia" w:ascii="Cambria Math" w:hAnsi="Cambria Math" w:eastAsia="仿宋" w:cs="仿宋"/>
                                    <w:sz w:val="24"/>
                                    <w:szCs w:val="24"/>
                                  </w:rPr>
                                  <m:t>η</m:t>
                                </m:r>
                                <m:ctrlPr>
                                  <w:rPr>
                                    <w:rFonts w:hint="eastAsia" w:ascii="Cambria Math" w:hAnsi="Cambria Math" w:eastAsia="仿宋" w:cs="仿宋"/>
                                    <w:sz w:val="24"/>
                                    <w:szCs w:val="24"/>
                                  </w:rPr>
                                </m:ctrlPr>
                              </m:e>
                              <m:sub>
                                <m:r>
                                  <m:rPr>
                                    <m:sty m:val="p"/>
                                  </m:rPr>
                                  <w:rPr>
                                    <w:rFonts w:hint="eastAsia" w:ascii="Cambria Math" w:hAnsi="Cambria Math" w:eastAsia="仿宋" w:cs="仿宋"/>
                                    <w:sz w:val="24"/>
                                    <w:szCs w:val="24"/>
                                  </w:rPr>
                                  <m:t>s</m:t>
                                </m:r>
                                <m:ctrlPr>
                                  <w:rPr>
                                    <w:rFonts w:hint="eastAsia" w:ascii="Cambria Math" w:hAnsi="Cambria Math" w:eastAsia="仿宋" w:cs="仿宋"/>
                                    <w:sz w:val="24"/>
                                    <w:szCs w:val="24"/>
                                  </w:rPr>
                                </m:ctrlPr>
                              </m:sub>
                            </m:sSub>
                            <m:ctrlPr>
                              <w:rPr>
                                <w:rFonts w:hint="eastAsia" w:ascii="Cambria Math" w:hAnsi="Cambria Math" w:eastAsia="仿宋" w:cs="仿宋"/>
                                <w:sz w:val="24"/>
                                <w:szCs w:val="24"/>
                              </w:rPr>
                            </m:ctrlPr>
                          </m:e>
                        </m:acc>
                        <m:ctrlPr>
                          <w:rPr>
                            <w:rFonts w:hint="eastAsia" w:ascii="Cambria Math" w:hAnsi="Cambria Math" w:eastAsia="仿宋" w:cs="仿宋"/>
                            <w:sz w:val="24"/>
                            <w:szCs w:val="24"/>
                          </w:rPr>
                        </m:ctrlPr>
                      </m:e>
                    </m:d>
                    <m:ctrlPr>
                      <w:rPr>
                        <w:rFonts w:hint="eastAsia" w:ascii="Cambria Math" w:hAnsi="Cambria Math" w:eastAsia="仿宋" w:cs="仿宋"/>
                        <w:sz w:val="24"/>
                        <w:szCs w:val="24"/>
                      </w:rPr>
                    </m:ctrlPr>
                  </m:e>
                  <m:sup>
                    <m:r>
                      <m:rPr>
                        <m:sty m:val="p"/>
                      </m:rPr>
                      <w:rPr>
                        <w:rFonts w:hint="eastAsia" w:ascii="Cambria Math" w:hAnsi="Cambria Math" w:eastAsia="仿宋" w:cs="仿宋"/>
                        <w:sz w:val="24"/>
                        <w:szCs w:val="24"/>
                      </w:rPr>
                      <m:t>2</m:t>
                    </m:r>
                    <m:ctrlPr>
                      <w:rPr>
                        <w:rFonts w:hint="eastAsia" w:ascii="Cambria Math" w:hAnsi="Cambria Math" w:eastAsia="仿宋" w:cs="仿宋"/>
                        <w:sz w:val="24"/>
                        <w:szCs w:val="24"/>
                      </w:rPr>
                    </m:ctrlPr>
                  </m:sup>
                </m:sSup>
                <m:ctrlPr>
                  <w:rPr>
                    <w:rFonts w:hint="eastAsia" w:ascii="Cambria Math" w:hAnsi="Cambria Math" w:eastAsia="仿宋" w:cs="仿宋"/>
                    <w:sz w:val="24"/>
                    <w:szCs w:val="24"/>
                  </w:rPr>
                </m:ctrlPr>
              </m:e>
            </m:nary>
            <m:ctrlPr>
              <w:rPr>
                <w:rFonts w:hint="eastAsia" w:ascii="Cambria Math" w:hAnsi="Cambria Math" w:eastAsia="仿宋" w:cs="仿宋"/>
                <w:sz w:val="24"/>
                <w:szCs w:val="24"/>
              </w:rPr>
            </m:ctrlPr>
          </m:e>
        </m:rad>
      </m:oMath>
      <w:r>
        <w:rPr>
          <w:rFonts w:hint="eastAsia" w:ascii="仿宋" w:hAnsi="仿宋" w:eastAsia="仿宋" w:cs="仿宋"/>
          <w:sz w:val="24"/>
          <w:szCs w:val="24"/>
        </w:rPr>
        <w:t>，</w:t>
      </w:r>
      <m:oMath>
        <m:acc>
          <m:accPr>
            <m:chr m:val="̅"/>
            <m:ctrlPr>
              <w:rPr>
                <w:rFonts w:hint="eastAsia" w:ascii="Cambria Math" w:hAnsi="Cambria Math" w:eastAsia="仿宋" w:cs="仿宋"/>
                <w:sz w:val="24"/>
                <w:szCs w:val="24"/>
              </w:rPr>
            </m:ctrlPr>
          </m:accPr>
          <m:e>
            <m:sSub>
              <m:sSubPr>
                <m:ctrlPr>
                  <w:rPr>
                    <w:rFonts w:hint="eastAsia" w:ascii="Cambria Math" w:hAnsi="Cambria Math" w:eastAsia="仿宋" w:cs="仿宋"/>
                    <w:sz w:val="24"/>
                    <w:szCs w:val="24"/>
                  </w:rPr>
                </m:ctrlPr>
              </m:sSubPr>
              <m:e>
                <m:r>
                  <m:rPr>
                    <m:sty m:val="p"/>
                  </m:rPr>
                  <w:rPr>
                    <w:rFonts w:hint="eastAsia" w:ascii="Cambria Math" w:hAnsi="Cambria Math" w:eastAsia="仿宋" w:cs="仿宋"/>
                    <w:sz w:val="24"/>
                    <w:szCs w:val="24"/>
                  </w:rPr>
                  <m:t>η</m:t>
                </m:r>
                <m:ctrlPr>
                  <w:rPr>
                    <w:rFonts w:hint="eastAsia" w:ascii="Cambria Math" w:hAnsi="Cambria Math" w:eastAsia="仿宋" w:cs="仿宋"/>
                    <w:sz w:val="24"/>
                    <w:szCs w:val="24"/>
                  </w:rPr>
                </m:ctrlPr>
              </m:e>
              <m:sub>
                <m:r>
                  <m:rPr>
                    <m:sty m:val="p"/>
                  </m:rPr>
                  <w:rPr>
                    <w:rFonts w:hint="eastAsia" w:ascii="Cambria Math" w:hAnsi="Cambria Math" w:eastAsia="仿宋" w:cs="仿宋"/>
                    <w:sz w:val="24"/>
                    <w:szCs w:val="24"/>
                  </w:rPr>
                  <m:t>s</m:t>
                </m:r>
                <m:ctrlPr>
                  <w:rPr>
                    <w:rFonts w:hint="eastAsia" w:ascii="Cambria Math" w:hAnsi="Cambria Math" w:eastAsia="仿宋" w:cs="仿宋"/>
                    <w:sz w:val="24"/>
                    <w:szCs w:val="24"/>
                  </w:rPr>
                </m:ctrlPr>
              </m:sub>
            </m:sSub>
            <m:ctrlPr>
              <w:rPr>
                <w:rFonts w:hint="eastAsia" w:ascii="Cambria Math" w:hAnsi="Cambria Math" w:eastAsia="仿宋" w:cs="仿宋"/>
                <w:sz w:val="24"/>
                <w:szCs w:val="24"/>
              </w:rPr>
            </m:ctrlPr>
          </m:e>
        </m:acc>
      </m:oMath>
      <w:r>
        <w:rPr>
          <w:rFonts w:hint="eastAsia" w:ascii="仿宋" w:hAnsi="仿宋" w:eastAsia="仿宋" w:cs="仿宋"/>
          <w:sz w:val="24"/>
          <w:szCs w:val="24"/>
        </w:rPr>
        <w:t>为背景段的ηs平均值。</w:t>
      </w:r>
    </w:p>
    <w:p w14:paraId="52BE5C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(5)可靠异常确定：极化率值超过下限，剖面上呈现2个以上连续点的为可靠的异常。闭合异常必须单剖面呈现3个点、三条线上有显示，才可圈定。</w:t>
      </w:r>
    </w:p>
    <w:p w14:paraId="793BE94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(6)计算完成后，对数据及计算结果进行100％的校对，确定无误后，制成统一格式的成果表，编绘图件。</w:t>
      </w:r>
    </w:p>
    <w:p w14:paraId="39FB10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(7)图件应使用成果数据绘制草图，在草图捡查无误后方成正式图件。主要图件有：实际材料图、剖面图、剖面平面图、等值线图、推断成果图等。</w:t>
      </w:r>
    </w:p>
    <w:p w14:paraId="785AE825">
      <w:pPr>
        <w:keepNext w:val="0"/>
        <w:keepLines w:val="0"/>
        <w:pageBreakBefore w:val="0"/>
        <w:widowControl w:val="0"/>
        <w:kinsoku/>
        <w:wordWrap/>
        <w:overflowPunct/>
        <w:topLinePunct w:val="0"/>
        <w:autoSpaceDE/>
        <w:autoSpaceDN/>
        <w:bidi w:val="0"/>
        <w:spacing w:before="0" w:line="360" w:lineRule="auto"/>
        <w:ind w:firstLine="480" w:firstLineChars="200"/>
        <w:textAlignment w:val="auto"/>
        <w:outlineLvl w:val="9"/>
        <w:rPr>
          <w:rFonts w:hint="eastAsia" w:ascii="仿宋" w:hAnsi="仿宋" w:eastAsia="仿宋" w:cs="仿宋"/>
          <w:b/>
          <w:bCs w:val="0"/>
          <w:sz w:val="24"/>
          <w:szCs w:val="24"/>
        </w:rPr>
      </w:pPr>
      <w:r>
        <w:rPr>
          <w:rFonts w:hint="eastAsia" w:ascii="仿宋" w:hAnsi="仿宋" w:eastAsia="仿宋" w:cs="仿宋"/>
          <w:bCs w:val="0"/>
          <w:sz w:val="24"/>
          <w:szCs w:val="24"/>
        </w:rPr>
        <w:t>6．质量检查</w:t>
      </w:r>
    </w:p>
    <w:p w14:paraId="1545D7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系统质量检查应根据生产情况安排整个野外工作过程中，尽量做到在时间，地段上均有代表性（大致均匀）。应加强对对解释推断、异常验证有重要意义和疑似人文干扰等质量存疑地段的检查。</w:t>
      </w:r>
    </w:p>
    <w:p w14:paraId="58FAE30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使用一台仪器工作时采用“二同二不同”（同点位、同仪器、不同操作者、不同日期）方式；使用多台仪器工作时，采用“一同三不同”（同点位、不同仪器、不同操作者、不同日期）方式。</w:t>
      </w:r>
    </w:p>
    <w:p w14:paraId="374357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技术负责人应亲自参与系统质量检查观测，且工作量不小于总捡查工作量的20％。</w:t>
      </w:r>
    </w:p>
    <w:p w14:paraId="351A5D32">
      <w:pPr>
        <w:keepNext w:val="0"/>
        <w:keepLines w:val="0"/>
        <w:pageBreakBefore w:val="0"/>
        <w:widowControl w:val="0"/>
        <w:kinsoku/>
        <w:wordWrap/>
        <w:overflowPunct/>
        <w:topLinePunct w:val="0"/>
        <w:autoSpaceDE/>
        <w:autoSpaceDN/>
        <w:bidi w:val="0"/>
        <w:spacing w:before="0" w:line="360" w:lineRule="auto"/>
        <w:ind w:firstLine="480" w:firstLineChars="200"/>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(三)激电测深测量</w:t>
      </w:r>
    </w:p>
    <w:p w14:paraId="6354F120">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激电测深采用对称四极装置，延时、宽度等参数与激电剖面测量相同，采用等比装置，MN=AB/10，AB/2变化区间5～1000米，MN/2变化区间0.5～100米，布设17-20次电极。数据整理方式与激电剖面测量相同。</w:t>
      </w:r>
    </w:p>
    <w:p w14:paraId="64456F1B">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激电数据采集工作应严格按照《时间域激发极化法技术规程(DZ／T 0070-2016)》执行，具体要求如下：</w:t>
      </w:r>
    </w:p>
    <w:p w14:paraId="5D9F4C38">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应供大电流(一般不小于1A)激发。</w:t>
      </w:r>
    </w:p>
    <w:p w14:paraId="1F0B309D">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使用“找ΔU1升(降)沿同步”的仪器系统，一般要求一次场ΔU1(或总场ΔU)大于或等于5 mV(有干扰时应明显大子干扰强度，且不低于10 m V)；使用"其他方式同步"的仪器系统，一般要求一次场ΔU1(或总场ΔU)大于或等于3mV(有干扰时应明显大于干扰强度，且不低于6mV)。</w:t>
      </w:r>
    </w:p>
    <w:p w14:paraId="4D21F58E">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ΔU2一般要求大于0.3mV；在干扰较小的地区，应大于1mV；在明显干扰的地区，ΔU2宜大于干扰信号幅度的3倍。</w:t>
      </w:r>
    </w:p>
    <w:p w14:paraId="4E234608">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选择二次场多块采样输出模式，固定仪器内设叠加次数为1次，进行多次观测;当出现两次观测值满足衰减规律(即ηs1&gt;ηs2&gt;ηs3&gt;0)且首块极化率值相近时，即为合格数据；两次首块极化率值相近指的是当ηs1&gt;3%时，两次观测值的相对误差δ≤20%；可ηs1&lt;3%时，两次差值的绝对值Δ≤1%。</w:t>
      </w:r>
    </w:p>
    <w:p w14:paraId="4F9636D8">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相邻点视极化率值突变、仪器读数不稳或显示出超差等错误指示信息时，应分别检查仪器及其外部回路是否存在问题，观测周围是否存在人文干扰因素，并采取重复观测等措施以查明原因；必要时，应逐点回测至与3个正常点的观测值相符或相近。</w:t>
      </w:r>
    </w:p>
    <w:p w14:paraId="1BF34229">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视极化率重复观测的取数要求:</w:t>
      </w:r>
    </w:p>
    <w:p w14:paraId="34B715F8">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参与平均的一组ηs中，最大值与最小值之差与其平均值之比不得超过</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hint="eastAsia" w:ascii="仿宋" w:hAnsi="仿宋" w:eastAsia="仿宋" w:cs="仿宋"/>
          <w:sz w:val="24"/>
          <w:szCs w:val="24"/>
        </w:rPr>
        <w:drawing>
          <wp:inline distT="0" distB="0" distL="0" distR="0">
            <wp:extent cx="302260" cy="198755"/>
            <wp:effectExtent l="0" t="0" r="2540" b="1270"/>
            <wp:docPr id="1081753466" name="图片 108175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66" name="图片 1081753466"/>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02260" cy="198755"/>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hint="eastAsia" w:ascii="仿宋" w:hAnsi="仿宋" w:eastAsia="仿宋" w:cs="仿宋"/>
          <w:sz w:val="24"/>
          <w:szCs w:val="24"/>
        </w:rPr>
        <w:fldChar w:fldCharType="end"/>
      </w:r>
      <w:r>
        <w:rPr>
          <w:rFonts w:hint="eastAsia" w:ascii="仿宋" w:hAnsi="仿宋" w:eastAsia="仿宋" w:cs="仿宋"/>
          <w:sz w:val="24"/>
          <w:szCs w:val="24"/>
        </w:rPr>
        <w:drawing>
          <wp:inline distT="0" distB="0" distL="0" distR="0">
            <wp:extent cx="302260" cy="198755"/>
            <wp:effectExtent l="0" t="0" r="2540" b="1270"/>
            <wp:docPr id="1081753467" name="图片 108175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67" name="图片 1081753467"/>
                    <pic:cNvPicPr>
                      <a:picLocks noChangeAspect="1" noChangeArrowheads="1"/>
                    </pic:cNvPicPr>
                  </pic:nvPicPr>
                  <pic:blipFill>
                    <a:blip r:embed="rId14">
                      <a:clrChange>
                        <a:clrFrom>
                          <a:srgbClr val="FFFFFF"/>
                        </a:clrFrom>
                        <a:clrTo>
                          <a:srgbClr val="FFFFFF">
                            <a:alpha val="0"/>
                          </a:srgbClr>
                        </a:clrTo>
                      </a:clrChange>
                      <a:lum bright="30000"/>
                      <a:extLst>
                        <a:ext uri="{28A0092B-C50C-407E-A947-70E740481C1C}">
                          <a14:useLocalDpi xmlns:a14="http://schemas.microsoft.com/office/drawing/2010/main" val="0"/>
                        </a:ext>
                      </a:extLst>
                    </a:blip>
                    <a:srcRect/>
                    <a:stretch>
                      <a:fillRect/>
                    </a:stretch>
                  </pic:blipFill>
                  <pic:spPr>
                    <a:xfrm>
                      <a:off x="0" y="0"/>
                      <a:ext cx="302260" cy="198755"/>
                    </a:xfrm>
                    <a:prstGeom prst="rect">
                      <a:avLst/>
                    </a:prstGeom>
                    <a:noFill/>
                    <a:ln>
                      <a:noFill/>
                    </a:ln>
                  </pic:spPr>
                </pic:pic>
              </a:graphicData>
            </a:graphic>
          </wp:inline>
        </w:drawing>
      </w:r>
      <w:r>
        <w:rPr>
          <w:rFonts w:hint="eastAsia" w:ascii="仿宋" w:hAnsi="仿宋" w:eastAsia="仿宋" w:cs="仿宋"/>
          <w:sz w:val="24"/>
          <w:szCs w:val="24"/>
        </w:rPr>
        <w:t>m，在需要用均方误差衡量观测质量的地段，最大值与最小值之差不得大于</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QUOTE </w:instrText>
      </w:r>
      <w:r>
        <w:rPr>
          <w:rFonts w:hint="eastAsia" w:ascii="仿宋" w:hAnsi="仿宋" w:eastAsia="仿宋" w:cs="仿宋"/>
          <w:sz w:val="24"/>
          <w:szCs w:val="24"/>
        </w:rPr>
        <w:drawing>
          <wp:inline distT="0" distB="0" distL="0" distR="0">
            <wp:extent cx="302260" cy="198755"/>
            <wp:effectExtent l="0" t="0" r="2540" b="1270"/>
            <wp:docPr id="1081753468" name="图片 108175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68" name="图片 1081753468"/>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02260" cy="198755"/>
                    </a:xfrm>
                    <a:prstGeom prst="rect">
                      <a:avLst/>
                    </a:prstGeom>
                    <a:noFill/>
                    <a:ln>
                      <a:noFill/>
                    </a:ln>
                  </pic:spPr>
                </pic:pic>
              </a:graphicData>
            </a:graphic>
          </wp:inline>
        </w:drawing>
      </w:r>
      <w:r>
        <w:rPr>
          <w:rFonts w:hint="eastAsia" w:ascii="仿宋" w:hAnsi="仿宋" w:eastAsia="仿宋" w:cs="仿宋"/>
          <w:sz w:val="24"/>
          <w:szCs w:val="24"/>
        </w:rPr>
        <w:instrText xml:space="preserve"> </w:instrText>
      </w:r>
      <w:r>
        <w:rPr>
          <w:rFonts w:hint="eastAsia" w:ascii="仿宋" w:hAnsi="仿宋" w:eastAsia="仿宋" w:cs="仿宋"/>
          <w:sz w:val="24"/>
          <w:szCs w:val="24"/>
        </w:rPr>
        <w:fldChar w:fldCharType="end"/>
      </w:r>
      <w:r>
        <w:rPr>
          <w:rFonts w:hint="eastAsia" w:ascii="仿宋" w:hAnsi="仿宋" w:eastAsia="仿宋" w:cs="仿宋"/>
          <w:sz w:val="24"/>
          <w:szCs w:val="24"/>
        </w:rPr>
        <w:drawing>
          <wp:inline distT="0" distB="0" distL="0" distR="0">
            <wp:extent cx="302260" cy="198755"/>
            <wp:effectExtent l="0" t="0" r="2540" b="1270"/>
            <wp:docPr id="1081753469" name="图片 108175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3469" name="图片 1081753469"/>
                    <pic:cNvPicPr>
                      <a:picLocks noChangeAspect="1" noChangeArrowheads="1"/>
                    </pic:cNvPicPr>
                  </pic:nvPicPr>
                  <pic:blipFill>
                    <a:blip r:embed="rId14">
                      <a:clrChange>
                        <a:clrFrom>
                          <a:srgbClr val="FFFFFF"/>
                        </a:clrFrom>
                        <a:clrTo>
                          <a:srgbClr val="FFFFFF">
                            <a:alpha val="0"/>
                          </a:srgbClr>
                        </a:clrTo>
                      </a:clrChange>
                      <a:lum bright="30000"/>
                      <a:extLst>
                        <a:ext uri="{28A0092B-C50C-407E-A947-70E740481C1C}">
                          <a14:useLocalDpi xmlns:a14="http://schemas.microsoft.com/office/drawing/2010/main" val="0"/>
                        </a:ext>
                      </a:extLst>
                    </a:blip>
                    <a:srcRect/>
                    <a:stretch>
                      <a:fillRect/>
                    </a:stretch>
                  </pic:blipFill>
                  <pic:spPr>
                    <a:xfrm>
                      <a:off x="0" y="0"/>
                      <a:ext cx="302260" cy="198755"/>
                    </a:xfrm>
                    <a:prstGeom prst="rect">
                      <a:avLst/>
                    </a:prstGeom>
                    <a:noFill/>
                    <a:ln>
                      <a:noFill/>
                    </a:ln>
                  </pic:spPr>
                </pic:pic>
              </a:graphicData>
            </a:graphic>
          </wp:inline>
        </w:drawing>
      </w:r>
      <w:r>
        <w:rPr>
          <w:rFonts w:hint="eastAsia" w:ascii="仿宋" w:hAnsi="仿宋" w:eastAsia="仿宋" w:cs="仿宋"/>
          <w:sz w:val="24"/>
          <w:szCs w:val="24"/>
        </w:rPr>
        <w:t>ε(m、ε分别为设计观测均方相对误差与均方误差，n为参与平均的观测次数)。</w:t>
      </w:r>
    </w:p>
    <w:p w14:paraId="2BB24B81">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误差过大的观测数据可不参与计算平均值，但舍去的次数应少于总观测次数的三分之一(因某些故障或突然性干扰影响缸中断的观测，不做舍数计算)；若超限的观测数据过多，说明不具备观测所要求的基本条件(干扰太大，或仪器、电源、线路有问题)，应停止观测，进行检查和处理。</w:t>
      </w:r>
    </w:p>
    <w:p w14:paraId="2F7F0E2A">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重复观测数据应作为原始观测数据对待，并应对一组重复观测的有效数据计算算术平均值，以此平均值作为该观测点最终的基本观测数据。</w:t>
      </w:r>
    </w:p>
    <w:p w14:paraId="09F2C432">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使用一台仪器工作时采用“二同二不同”（同点位、同仪器、不同操作者、不同日期）方式；使用多台仪器工作时，采用“一同三不同”（同点位、不同仪器、不同操作者、不同日期）方式。检查点分布均匀，检查点应不小于总点数的3%。视极化率异常观测精度采用总均方误差衡量，并绘制出质量检查曲线与误差分布曲线图。激电工作精度指标如下(见表4-1)：</w:t>
      </w:r>
    </w:p>
    <w:p w14:paraId="611B68D6">
      <w:pPr>
        <w:pageBreakBefore w:val="0"/>
        <w:tabs>
          <w:tab w:val="left" w:pos="4253"/>
        </w:tabs>
        <w:wordWrap/>
        <w:bidi w:val="0"/>
        <w:spacing w:line="360" w:lineRule="auto"/>
        <w:ind w:firstLine="482" w:firstLineChars="200"/>
        <w:outlineLvl w:val="9"/>
        <w:rPr>
          <w:rFonts w:ascii="宋体" w:hAnsi="宋体" w:eastAsia="宋体" w:cs="宋体"/>
          <w:b/>
          <w:bCs/>
          <w:sz w:val="24"/>
          <w:lang w:bidi="ar"/>
        </w:rPr>
      </w:pPr>
      <w:r>
        <w:rPr>
          <w:rFonts w:hint="eastAsia" w:ascii="宋体" w:hAnsi="宋体" w:eastAsia="宋体" w:cs="宋体"/>
          <w:b/>
          <w:bCs/>
          <w:sz w:val="24"/>
          <w:lang w:bidi="ar"/>
        </w:rPr>
        <w:t>表4-1                       激电测量精度指标</w:t>
      </w:r>
    </w:p>
    <w:tbl>
      <w:tblPr>
        <w:tblStyle w:val="4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1097"/>
        <w:gridCol w:w="2226"/>
        <w:gridCol w:w="1910"/>
        <w:gridCol w:w="2440"/>
      </w:tblGrid>
      <w:tr w14:paraId="5C3B6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867" w:type="pct"/>
            <w:vMerge w:val="restart"/>
            <w:tcBorders>
              <w:top w:val="single" w:color="auto" w:sz="8" w:space="0"/>
            </w:tcBorders>
            <w:vAlign w:val="center"/>
          </w:tcPr>
          <w:p w14:paraId="46B41F06">
            <w:pPr>
              <w:pageBreakBefore w:val="0"/>
              <w:wordWrap/>
              <w:bidi w:val="0"/>
              <w:adjustRightInd w:val="0"/>
              <w:snapToGrid w:val="0"/>
              <w:jc w:val="center"/>
              <w:outlineLvl w:val="9"/>
              <w:rPr>
                <w:rFonts w:ascii="宋体" w:hAnsi="宋体" w:eastAsia="宋体"/>
                <w:szCs w:val="21"/>
              </w:rPr>
            </w:pPr>
            <w:r>
              <mc:AlternateContent>
                <mc:Choice Requires="wps">
                  <w:drawing>
                    <wp:anchor distT="0" distB="0" distL="114300" distR="114300" simplePos="0" relativeHeight="251675648" behindDoc="0" locked="0" layoutInCell="1" allowOverlap="1">
                      <wp:simplePos x="0" y="0"/>
                      <wp:positionH relativeFrom="column">
                        <wp:posOffset>-65405</wp:posOffset>
                      </wp:positionH>
                      <wp:positionV relativeFrom="paragraph">
                        <wp:posOffset>2540</wp:posOffset>
                      </wp:positionV>
                      <wp:extent cx="956310" cy="518795"/>
                      <wp:effectExtent l="2540" t="4445" r="3175" b="10160"/>
                      <wp:wrapNone/>
                      <wp:docPr id="144" name="任意多边形 144"/>
                      <wp:cNvGraphicFramePr/>
                      <a:graphic xmlns:a="http://schemas.openxmlformats.org/drawingml/2006/main">
                        <a:graphicData uri="http://schemas.microsoft.com/office/word/2010/wordprocessingShape">
                          <wps:wsp>
                            <wps:cNvSpPr/>
                            <wps:spPr bwMode="auto">
                              <a:xfrm>
                                <a:off x="0" y="0"/>
                                <a:ext cx="956310" cy="518795"/>
                              </a:xfrm>
                              <a:custGeom>
                                <a:avLst/>
                                <a:gdLst>
                                  <a:gd name="T0" fmla="*/ 0 w 1507"/>
                                  <a:gd name="T1" fmla="*/ 0 h 750"/>
                                  <a:gd name="T2" fmla="*/ 1507 w 1507"/>
                                  <a:gd name="T3" fmla="*/ 750 h 750"/>
                                </a:gdLst>
                                <a:ahLst/>
                                <a:cxnLst>
                                  <a:cxn ang="0">
                                    <a:pos x="T0" y="T1"/>
                                  </a:cxn>
                                  <a:cxn ang="0">
                                    <a:pos x="T2" y="T3"/>
                                  </a:cxn>
                                </a:cxnLst>
                                <a:rect l="0" t="0" r="r" b="b"/>
                                <a:pathLst>
                                  <a:path w="1507" h="750">
                                    <a:moveTo>
                                      <a:pt x="0" y="0"/>
                                    </a:moveTo>
                                    <a:lnTo>
                                      <a:pt x="1507" y="750"/>
                                    </a:lnTo>
                                  </a:path>
                                </a:pathLst>
                              </a:custGeom>
                              <a:solidFill>
                                <a:srgbClr val="FFFFFF"/>
                              </a:solidFill>
                              <a:ln w="317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15pt;margin-top:0.2pt;height:40.85pt;width:75.3pt;z-index:251675648;mso-width-relative:page;mso-height-relative:page;" fillcolor="#FFFFFF" filled="t" stroked="t" coordsize="1507,750" o:gfxdata="UEsDBAoAAAAAAIdO4kAAAAAAAAAAAAAAAAAEAAAAZHJzL1BLAwQUAAAACACHTuJAw1o/4tYAAAAH&#10;AQAADwAAAGRycy9kb3ducmV2LnhtbE2OwWrDMBBE74X8g9hCb4nkJBTjWA7UIYccWqjbQnOTra1t&#10;aq2MJTtJv77yqT0OM7x56f5qOjbh4FpLEqKVAIZUWd1SLeH97biMgTmvSKvOEkq4oYN9trhLVaLt&#10;hV5xKnzNAoRcoiQ03vcJ565q0Ci3sj1S6L7sYJQPcai5HtQlwE3H10I8cqNaCg+N6jFvsPouRhNO&#10;4ueyGPPbdKhz/lQcX06fHz9nKR/uI7ED5vHq/8Yw6wd1yIJTaUfSjnUSlpHYhKmELbC53s6xlBCv&#10;I+BZyv/7Z79QSwMEFAAAAAgAh07iQJML1dDIAgAABwYAAA4AAABkcnMvZTJvRG9jLnhtbK1UzW7U&#10;MBC+I/EOlo9INMluw7arZivUqgiJn0pdHsDrOIklxza2s9ly5s6dI+IlUAVPQxGPwdjJptmFSj2Q&#10;QzTOfPlm5pvxnJxuaoHWzFiuZIaTgxgjJqnKuSwz/G558fQII+uIzIlQkmX4mll8unj86KTVczZR&#10;lRI5MwhIpJ23OsOVc3oeRZZWrCb2QGkmwVkoUxMHR1NGuSEtsNcimsTxs6hVJtdGUWYtfD3vnLhn&#10;NA8hVEXBKTtXtKmZdB2rYYI4KMlWXFu8CNkWBaPubVFY5pDIMFTqwhuCgL3y72hxQualIbritE+B&#10;PCSFvZpqwiUEHajOiSOoMfwvqppTo6wq3AFVddQVEhSBKpJ4T5urimgWagGprR5Et/+Plr5ZXxrE&#10;c5iEw0OMJKmh5T9vbn59/HT79fPvH99uv39B3gVCtdrOAX+lL01/smCiVfta5fAXaZwKGmwKU3st&#10;oDq0CVJfD1KzjUMUPh6nz6YJNIGCK02OZsepjxCR+fZn2lj3gqlARNavrOs6lYMVdM77XJdAUtQC&#10;mvYkQjFqUZLGs76tAybZwVRolm47P0AmI4inuIdpOoIBCxq4IPVymxyptvnSjewTBgsRf8XioJFW&#10;1mvjswcFlklfPaB8dfeAIUcPno7BEPcuiIF53590EyZ91UmiifO5+RjeRC303euFqgx7UbyjVmu2&#10;VAHi9voHwe68Qo5RHQ2k12sL0A4Ahg8VmjuE91mPGmyV4PkFF8JHtaZcnQmD1gTu7EV4+oJ3YEL6&#10;7KfJLIUpqjVMsJVlKGAHtsMWh+dfbEY1Mu8mUEALIj/rfrq7qV+p/Bom3ahuf8D2BKNS5gNGLewO&#10;CP2+IYZhJF5KuJzHcGGgsS4cDtPZBA5m7FmNPURSoMqwwzAg3jxz3YJqtOFlBZGSUJZUz+GGFdzf&#10;hJBfl1V/gP0QJO53mV9A43NA3e3v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DWj/i1gAAAAcB&#10;AAAPAAAAAAAAAAEAIAAAACIAAABkcnMvZG93bnJldi54bWxQSwECFAAUAAAACACHTuJAkwvV0MgC&#10;AAAHBgAADgAAAAAAAAABACAAAAAlAQAAZHJzL2Uyb0RvYy54bWxQSwUGAAAAAAYABgBZAQAAXwYA&#10;AAAA&#10;" path="m0,0l1507,750e">
                      <v:path o:connectlocs="0,0;956310,518795" o:connectangles="0,0"/>
                      <v:fill on="t" focussize="0,0"/>
                      <v:stroke weight="0.25pt" color="#000000" joinstyle="round"/>
                      <v:imagedata o:title=""/>
                      <o:lock v:ext="edit" aspectratio="f"/>
                    </v:shape>
                  </w:pict>
                </mc:Fallback>
              </mc:AlternateContent>
            </w:r>
            <w:r>
              <w:rPr>
                <w:rFonts w:hint="eastAsia" w:ascii="宋体" w:hAnsi="宋体" w:eastAsia="宋体"/>
                <w:szCs w:val="21"/>
              </w:rPr>
              <w:t xml:space="preserve"> </w:t>
            </w:r>
            <w:r>
              <w:rPr>
                <w:rFonts w:ascii="宋体" w:hAnsi="宋体" w:eastAsia="宋体"/>
                <w:szCs w:val="21"/>
              </w:rPr>
              <w:t xml:space="preserve">  </w:t>
            </w:r>
            <w:r>
              <w:rPr>
                <w:rFonts w:hint="eastAsia" w:ascii="宋体" w:hAnsi="宋体" w:eastAsia="宋体"/>
                <w:szCs w:val="21"/>
              </w:rPr>
              <w:t xml:space="preserve"> </w:t>
            </w:r>
            <w:r>
              <w:rPr>
                <w:rFonts w:ascii="宋体" w:hAnsi="宋体" w:eastAsia="宋体"/>
                <w:szCs w:val="21"/>
              </w:rPr>
              <w:t xml:space="preserve">  </w:t>
            </w:r>
            <w:r>
              <w:rPr>
                <w:rFonts w:hint="eastAsia" w:ascii="宋体" w:hAnsi="宋体" w:eastAsia="宋体"/>
                <w:szCs w:val="21"/>
              </w:rPr>
              <w:t>指标</w:t>
            </w:r>
          </w:p>
          <w:p w14:paraId="3CF83F5A">
            <w:pPr>
              <w:pageBreakBefore w:val="0"/>
              <w:wordWrap/>
              <w:bidi w:val="0"/>
              <w:adjustRightInd w:val="0"/>
              <w:snapToGrid w:val="0"/>
              <w:jc w:val="center"/>
              <w:outlineLvl w:val="9"/>
              <w:rPr>
                <w:rFonts w:ascii="宋体" w:hAnsi="宋体" w:eastAsia="宋体"/>
                <w:szCs w:val="21"/>
              </w:rPr>
            </w:pPr>
          </w:p>
          <w:p w14:paraId="0798EB51">
            <w:pPr>
              <w:pageBreakBefore w:val="0"/>
              <w:wordWrap/>
              <w:bidi w:val="0"/>
              <w:adjustRightInd w:val="0"/>
              <w:snapToGrid w:val="0"/>
              <w:outlineLvl w:val="9"/>
              <w:rPr>
                <w:rFonts w:ascii="宋体" w:hAnsi="宋体" w:eastAsia="宋体"/>
                <w:szCs w:val="21"/>
              </w:rPr>
            </w:pPr>
            <w:r>
              <w:rPr>
                <w:rFonts w:hint="eastAsia" w:ascii="宋体" w:hAnsi="宋体" w:eastAsia="宋体"/>
                <w:szCs w:val="21"/>
              </w:rPr>
              <w:t>方法</w:t>
            </w:r>
          </w:p>
        </w:tc>
        <w:tc>
          <w:tcPr>
            <w:tcW w:w="591" w:type="pct"/>
            <w:vMerge w:val="restart"/>
            <w:tcBorders>
              <w:top w:val="single" w:color="auto" w:sz="8" w:space="0"/>
            </w:tcBorders>
            <w:vAlign w:val="center"/>
          </w:tcPr>
          <w:p w14:paraId="68E552B5">
            <w:pPr>
              <w:pageBreakBefore w:val="0"/>
              <w:wordWrap/>
              <w:bidi w:val="0"/>
              <w:adjustRightInd w:val="0"/>
              <w:snapToGrid w:val="0"/>
              <w:jc w:val="center"/>
              <w:textAlignment w:val="baseline"/>
              <w:outlineLvl w:val="9"/>
              <w:rPr>
                <w:rFonts w:ascii="宋体" w:hAnsi="宋体" w:eastAsia="宋体"/>
                <w:spacing w:val="4"/>
                <w:kern w:val="0"/>
                <w:szCs w:val="21"/>
              </w:rPr>
            </w:pPr>
            <w:r>
              <w:rPr>
                <w:rFonts w:hint="eastAsia" w:ascii="宋体" w:hAnsi="宋体" w:eastAsia="宋体"/>
                <w:spacing w:val="4"/>
                <w:kern w:val="0"/>
                <w:szCs w:val="21"/>
              </w:rPr>
              <w:t>检查率</w:t>
            </w:r>
          </w:p>
        </w:tc>
        <w:tc>
          <w:tcPr>
            <w:tcW w:w="1199" w:type="pct"/>
            <w:tcBorders>
              <w:top w:val="single" w:color="auto" w:sz="8" w:space="0"/>
            </w:tcBorders>
            <w:vAlign w:val="center"/>
          </w:tcPr>
          <w:p w14:paraId="42E1BF44">
            <w:pPr>
              <w:pageBreakBefore w:val="0"/>
              <w:wordWrap/>
              <w:bidi w:val="0"/>
              <w:adjustRightInd w:val="0"/>
              <w:snapToGrid w:val="0"/>
              <w:jc w:val="center"/>
              <w:outlineLvl w:val="9"/>
              <w:rPr>
                <w:rFonts w:ascii="宋体" w:hAnsi="宋体" w:eastAsia="宋体"/>
                <w:szCs w:val="21"/>
              </w:rPr>
            </w:pPr>
            <w:r>
              <w:rPr>
                <w:rFonts w:hint="eastAsia" w:ascii="宋体" w:hAnsi="宋体" w:eastAsia="宋体"/>
                <w:szCs w:val="21"/>
              </w:rPr>
              <w:t>总均方相对误差M</w:t>
            </w:r>
            <w:r>
              <w:rPr>
                <w:rFonts w:hint="eastAsia" w:ascii="宋体" w:hAnsi="宋体" w:eastAsia="宋体"/>
                <w:szCs w:val="21"/>
                <w:vertAlign w:val="subscript"/>
              </w:rPr>
              <w:t>1</w:t>
            </w:r>
          </w:p>
        </w:tc>
        <w:tc>
          <w:tcPr>
            <w:tcW w:w="1029" w:type="pct"/>
            <w:tcBorders>
              <w:top w:val="single" w:color="auto" w:sz="8" w:space="0"/>
            </w:tcBorders>
            <w:vAlign w:val="center"/>
          </w:tcPr>
          <w:p w14:paraId="4808D888">
            <w:pPr>
              <w:pageBreakBefore w:val="0"/>
              <w:wordWrap/>
              <w:bidi w:val="0"/>
              <w:adjustRightInd w:val="0"/>
              <w:snapToGrid w:val="0"/>
              <w:jc w:val="center"/>
              <w:outlineLvl w:val="9"/>
              <w:rPr>
                <w:rFonts w:ascii="宋体" w:hAnsi="宋体" w:eastAsia="宋体"/>
                <w:szCs w:val="21"/>
              </w:rPr>
            </w:pPr>
            <w:r>
              <w:rPr>
                <w:rFonts w:hint="eastAsia" w:ascii="宋体" w:hAnsi="宋体" w:eastAsia="宋体"/>
                <w:szCs w:val="21"/>
              </w:rPr>
              <w:t>总均方误差ε</w:t>
            </w:r>
          </w:p>
        </w:tc>
        <w:tc>
          <w:tcPr>
            <w:tcW w:w="1314" w:type="pct"/>
            <w:tcBorders>
              <w:top w:val="single" w:color="auto" w:sz="8" w:space="0"/>
            </w:tcBorders>
            <w:vAlign w:val="center"/>
          </w:tcPr>
          <w:p w14:paraId="014D6B9B">
            <w:pPr>
              <w:pageBreakBefore w:val="0"/>
              <w:wordWrap/>
              <w:bidi w:val="0"/>
              <w:adjustRightInd w:val="0"/>
              <w:snapToGrid w:val="0"/>
              <w:jc w:val="center"/>
              <w:outlineLvl w:val="9"/>
              <w:rPr>
                <w:rFonts w:ascii="宋体" w:hAnsi="宋体" w:eastAsia="宋体"/>
                <w:szCs w:val="21"/>
              </w:rPr>
            </w:pPr>
            <w:r>
              <w:rPr>
                <w:rFonts w:hint="eastAsia" w:ascii="宋体" w:hAnsi="宋体" w:eastAsia="宋体"/>
                <w:szCs w:val="21"/>
              </w:rPr>
              <w:t>ρ</w:t>
            </w:r>
            <w:r>
              <w:rPr>
                <w:rFonts w:hint="eastAsia" w:ascii="宋体" w:hAnsi="宋体" w:eastAsia="宋体"/>
                <w:szCs w:val="21"/>
                <w:vertAlign w:val="subscript"/>
              </w:rPr>
              <w:t>a</w:t>
            </w:r>
          </w:p>
        </w:tc>
      </w:tr>
      <w:tr w14:paraId="76E023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vMerge w:val="continue"/>
            <w:vAlign w:val="center"/>
          </w:tcPr>
          <w:p w14:paraId="4DB62EEA">
            <w:pPr>
              <w:pageBreakBefore w:val="0"/>
              <w:wordWrap/>
              <w:bidi w:val="0"/>
              <w:adjustRightInd w:val="0"/>
              <w:snapToGrid w:val="0"/>
              <w:jc w:val="center"/>
              <w:outlineLvl w:val="9"/>
              <w:rPr>
                <w:rFonts w:ascii="宋体" w:hAnsi="宋体" w:eastAsia="宋体"/>
                <w:szCs w:val="21"/>
              </w:rPr>
            </w:pPr>
          </w:p>
        </w:tc>
        <w:tc>
          <w:tcPr>
            <w:tcW w:w="591" w:type="pct"/>
            <w:vMerge w:val="continue"/>
            <w:vAlign w:val="center"/>
          </w:tcPr>
          <w:p w14:paraId="167EEB66">
            <w:pPr>
              <w:pageBreakBefore w:val="0"/>
              <w:wordWrap/>
              <w:bidi w:val="0"/>
              <w:adjustRightInd w:val="0"/>
              <w:snapToGrid w:val="0"/>
              <w:jc w:val="center"/>
              <w:outlineLvl w:val="9"/>
              <w:rPr>
                <w:rFonts w:ascii="宋体" w:hAnsi="宋体" w:eastAsia="宋体"/>
                <w:szCs w:val="21"/>
              </w:rPr>
            </w:pPr>
          </w:p>
        </w:tc>
        <w:tc>
          <w:tcPr>
            <w:tcW w:w="1199" w:type="pct"/>
            <w:vAlign w:val="center"/>
          </w:tcPr>
          <w:p w14:paraId="70179143">
            <w:pPr>
              <w:pageBreakBefore w:val="0"/>
              <w:wordWrap/>
              <w:bidi w:val="0"/>
              <w:adjustRightInd w:val="0"/>
              <w:snapToGrid w:val="0"/>
              <w:jc w:val="center"/>
              <w:textAlignment w:val="baseline"/>
              <w:outlineLvl w:val="9"/>
              <w:rPr>
                <w:rFonts w:ascii="宋体" w:hAnsi="宋体" w:eastAsia="宋体"/>
                <w:spacing w:val="4"/>
                <w:kern w:val="0"/>
                <w:szCs w:val="21"/>
              </w:rPr>
            </w:pPr>
            <w:r>
              <w:rPr>
                <w:rFonts w:hint="eastAsia" w:ascii="宋体" w:hAnsi="宋体" w:eastAsia="宋体"/>
                <w:spacing w:val="4"/>
                <w:kern w:val="0"/>
                <w:szCs w:val="21"/>
              </w:rPr>
              <w:t>(ηa&gt;3%时)</w:t>
            </w:r>
          </w:p>
        </w:tc>
        <w:tc>
          <w:tcPr>
            <w:tcW w:w="1029" w:type="pct"/>
            <w:vAlign w:val="center"/>
          </w:tcPr>
          <w:p w14:paraId="39976BB6">
            <w:pPr>
              <w:pageBreakBefore w:val="0"/>
              <w:wordWrap/>
              <w:bidi w:val="0"/>
              <w:adjustRightInd w:val="0"/>
              <w:snapToGrid w:val="0"/>
              <w:jc w:val="center"/>
              <w:textAlignment w:val="baseline"/>
              <w:outlineLvl w:val="9"/>
              <w:rPr>
                <w:rFonts w:ascii="宋体" w:hAnsi="宋体" w:eastAsia="宋体"/>
                <w:spacing w:val="4"/>
                <w:kern w:val="0"/>
                <w:szCs w:val="21"/>
              </w:rPr>
            </w:pPr>
            <w:r>
              <w:rPr>
                <w:rFonts w:hint="eastAsia" w:ascii="宋体" w:hAnsi="宋体" w:eastAsia="宋体"/>
                <w:spacing w:val="4"/>
                <w:kern w:val="0"/>
                <w:szCs w:val="21"/>
              </w:rPr>
              <w:t>(ηa&lt;3%时)</w:t>
            </w:r>
          </w:p>
        </w:tc>
        <w:tc>
          <w:tcPr>
            <w:tcW w:w="1314" w:type="pct"/>
            <w:vAlign w:val="center"/>
          </w:tcPr>
          <w:p w14:paraId="024E9CF8">
            <w:pPr>
              <w:pageBreakBefore w:val="0"/>
              <w:wordWrap/>
              <w:bidi w:val="0"/>
              <w:adjustRightInd w:val="0"/>
              <w:snapToGrid w:val="0"/>
              <w:jc w:val="center"/>
              <w:textAlignment w:val="baseline"/>
              <w:outlineLvl w:val="9"/>
              <w:rPr>
                <w:rFonts w:ascii="宋体" w:hAnsi="宋体" w:eastAsia="宋体"/>
                <w:spacing w:val="4"/>
                <w:kern w:val="0"/>
                <w:szCs w:val="21"/>
              </w:rPr>
            </w:pPr>
            <w:r>
              <w:rPr>
                <w:rFonts w:hint="eastAsia" w:ascii="宋体" w:hAnsi="宋体" w:eastAsia="宋体"/>
                <w:spacing w:val="4"/>
                <w:kern w:val="0"/>
                <w:szCs w:val="21"/>
              </w:rPr>
              <w:t>总均方相对误差</w:t>
            </w:r>
          </w:p>
        </w:tc>
      </w:tr>
      <w:tr w14:paraId="76AA6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tcBorders>
              <w:bottom w:val="single" w:color="auto" w:sz="8" w:space="0"/>
            </w:tcBorders>
            <w:vAlign w:val="center"/>
          </w:tcPr>
          <w:p w14:paraId="1181529E">
            <w:pPr>
              <w:pageBreakBefore w:val="0"/>
              <w:wordWrap/>
              <w:bidi w:val="0"/>
              <w:adjustRightInd w:val="0"/>
              <w:snapToGrid w:val="0"/>
              <w:jc w:val="center"/>
              <w:textAlignment w:val="baseline"/>
              <w:outlineLvl w:val="9"/>
              <w:rPr>
                <w:rFonts w:ascii="宋体" w:hAnsi="宋体" w:eastAsia="宋体"/>
                <w:spacing w:val="4"/>
                <w:kern w:val="0"/>
                <w:szCs w:val="21"/>
              </w:rPr>
            </w:pPr>
            <w:r>
              <w:rPr>
                <w:rFonts w:hint="eastAsia" w:ascii="宋体" w:hAnsi="宋体" w:eastAsia="宋体"/>
                <w:spacing w:val="4"/>
                <w:kern w:val="0"/>
                <w:szCs w:val="21"/>
              </w:rPr>
              <w:t>激电</w:t>
            </w:r>
          </w:p>
        </w:tc>
        <w:tc>
          <w:tcPr>
            <w:tcW w:w="591" w:type="pct"/>
            <w:tcBorders>
              <w:bottom w:val="single" w:color="auto" w:sz="8" w:space="0"/>
            </w:tcBorders>
            <w:vAlign w:val="center"/>
          </w:tcPr>
          <w:p w14:paraId="650F8F8C">
            <w:pPr>
              <w:pageBreakBefore w:val="0"/>
              <w:wordWrap/>
              <w:bidi w:val="0"/>
              <w:adjustRightInd w:val="0"/>
              <w:snapToGrid w:val="0"/>
              <w:jc w:val="center"/>
              <w:textAlignment w:val="baseline"/>
              <w:outlineLvl w:val="9"/>
              <w:rPr>
                <w:rFonts w:ascii="宋体" w:hAnsi="宋体" w:eastAsia="宋体"/>
                <w:spacing w:val="4"/>
                <w:kern w:val="0"/>
                <w:szCs w:val="21"/>
              </w:rPr>
            </w:pPr>
            <w:r>
              <w:rPr>
                <w:rFonts w:hint="eastAsia" w:ascii="宋体" w:hAnsi="宋体" w:eastAsia="宋体"/>
                <w:spacing w:val="4"/>
                <w:kern w:val="0"/>
                <w:szCs w:val="21"/>
              </w:rPr>
              <w:t>3-5%</w:t>
            </w:r>
          </w:p>
        </w:tc>
        <w:tc>
          <w:tcPr>
            <w:tcW w:w="1199" w:type="pct"/>
            <w:tcBorders>
              <w:bottom w:val="single" w:color="auto" w:sz="8" w:space="0"/>
            </w:tcBorders>
            <w:vAlign w:val="center"/>
          </w:tcPr>
          <w:p w14:paraId="5B5B4645">
            <w:pPr>
              <w:pageBreakBefore w:val="0"/>
              <w:wordWrap/>
              <w:bidi w:val="0"/>
              <w:adjustRightInd w:val="0"/>
              <w:snapToGrid w:val="0"/>
              <w:jc w:val="center"/>
              <w:textAlignment w:val="baseline"/>
              <w:outlineLvl w:val="9"/>
              <w:rPr>
                <w:rFonts w:ascii="宋体" w:hAnsi="宋体" w:eastAsia="宋体"/>
                <w:spacing w:val="4"/>
                <w:kern w:val="0"/>
                <w:szCs w:val="21"/>
              </w:rPr>
            </w:pPr>
            <w:r>
              <w:rPr>
                <w:rFonts w:hint="eastAsia" w:ascii="宋体" w:hAnsi="宋体" w:eastAsia="宋体"/>
                <w:spacing w:val="4"/>
                <w:kern w:val="0"/>
                <w:szCs w:val="21"/>
              </w:rPr>
              <w:t>7.0%</w:t>
            </w:r>
          </w:p>
        </w:tc>
        <w:tc>
          <w:tcPr>
            <w:tcW w:w="1029" w:type="pct"/>
            <w:tcBorders>
              <w:bottom w:val="single" w:color="auto" w:sz="8" w:space="0"/>
            </w:tcBorders>
            <w:vAlign w:val="center"/>
          </w:tcPr>
          <w:p w14:paraId="03682FF8">
            <w:pPr>
              <w:pageBreakBefore w:val="0"/>
              <w:wordWrap/>
              <w:bidi w:val="0"/>
              <w:adjustRightInd w:val="0"/>
              <w:snapToGrid w:val="0"/>
              <w:jc w:val="center"/>
              <w:textAlignment w:val="baseline"/>
              <w:outlineLvl w:val="9"/>
              <w:rPr>
                <w:rFonts w:ascii="宋体" w:hAnsi="宋体" w:eastAsia="宋体"/>
                <w:spacing w:val="4"/>
                <w:kern w:val="0"/>
                <w:szCs w:val="21"/>
              </w:rPr>
            </w:pPr>
            <w:r>
              <w:rPr>
                <w:rFonts w:hint="eastAsia" w:ascii="宋体" w:hAnsi="宋体" w:eastAsia="宋体"/>
                <w:spacing w:val="4"/>
                <w:kern w:val="0"/>
                <w:szCs w:val="21"/>
              </w:rPr>
              <w:t>0.21</w:t>
            </w:r>
          </w:p>
        </w:tc>
        <w:tc>
          <w:tcPr>
            <w:tcW w:w="1314" w:type="pct"/>
            <w:tcBorders>
              <w:bottom w:val="single" w:color="auto" w:sz="8" w:space="0"/>
            </w:tcBorders>
            <w:vAlign w:val="center"/>
          </w:tcPr>
          <w:p w14:paraId="4E918CF9">
            <w:pPr>
              <w:pageBreakBefore w:val="0"/>
              <w:wordWrap/>
              <w:bidi w:val="0"/>
              <w:adjustRightInd w:val="0"/>
              <w:snapToGrid w:val="0"/>
              <w:jc w:val="center"/>
              <w:textAlignment w:val="baseline"/>
              <w:outlineLvl w:val="9"/>
              <w:rPr>
                <w:rFonts w:ascii="宋体" w:hAnsi="宋体" w:eastAsia="宋体"/>
                <w:spacing w:val="4"/>
                <w:kern w:val="0"/>
                <w:szCs w:val="21"/>
              </w:rPr>
            </w:pPr>
            <w:r>
              <w:rPr>
                <w:rFonts w:hint="eastAsia" w:ascii="宋体" w:hAnsi="宋体" w:eastAsia="宋体"/>
                <w:spacing w:val="4"/>
                <w:kern w:val="0"/>
                <w:szCs w:val="21"/>
              </w:rPr>
              <w:t>7%</w:t>
            </w:r>
          </w:p>
        </w:tc>
      </w:tr>
    </w:tbl>
    <w:p w14:paraId="44009E2D">
      <w:pPr>
        <w:pageBreakBefore w:val="0"/>
        <w:wordWrap/>
        <w:bidi w:val="0"/>
        <w:adjustRightInd w:val="0"/>
        <w:snapToGrid w:val="0"/>
        <w:spacing w:line="360" w:lineRule="auto"/>
        <w:ind w:firstLine="220" w:firstLineChars="200"/>
        <w:outlineLvl w:val="9"/>
        <w:rPr>
          <w:rFonts w:ascii="仿宋_GB2312" w:hAnsi="宋体" w:eastAsia="仿宋_GB2312"/>
          <w:sz w:val="11"/>
          <w:szCs w:val="28"/>
        </w:rPr>
      </w:pPr>
    </w:p>
    <w:p w14:paraId="476AB710">
      <w:pPr>
        <w:pageBreakBefore w:val="0"/>
        <w:wordWrap/>
        <w:bidi w:val="0"/>
        <w:adjustRightInd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所有测量仪器对测量数据都是自动化采集，为保证野外数据采集质量，当天采集的原始数据在收工后即时传入计算机并进行100％的核对检查，保证点线数据准确、完整齐全，合格后作为原始文件保存；同时将采集的数据计算、归类成表册，再通过专用软件绘制基本的图件。</w:t>
      </w:r>
    </w:p>
    <w:p w14:paraId="484C9C97">
      <w:pPr>
        <w:pageBreakBefore w:val="0"/>
        <w:wordWrap/>
        <w:bidi w:val="0"/>
        <w:spacing w:before="0" w:after="0" w:line="360" w:lineRule="auto"/>
        <w:ind w:firstLine="480" w:firstLineChars="200"/>
        <w:outlineLvl w:val="9"/>
        <w:rPr>
          <w:rFonts w:ascii="仿宋" w:hAnsi="仿宋" w:eastAsia="仿宋" w:cs="仿宋"/>
          <w:b w:val="0"/>
          <w:bCs w:val="0"/>
          <w:sz w:val="24"/>
          <w:szCs w:val="24"/>
        </w:rPr>
      </w:pPr>
      <w:r>
        <w:rPr>
          <w:rFonts w:hint="eastAsia" w:ascii="仿宋" w:hAnsi="仿宋" w:eastAsia="仿宋" w:cs="仿宋"/>
          <w:b w:val="0"/>
          <w:bCs w:val="0"/>
          <w:sz w:val="24"/>
          <w:szCs w:val="24"/>
        </w:rPr>
        <w:t>(四)物性工作</w:t>
      </w:r>
    </w:p>
    <w:p w14:paraId="2FED39D4">
      <w:pPr>
        <w:pageBreakBefore w:val="0"/>
        <w:wordWrap/>
        <w:bidi w:val="0"/>
        <w:spacing w:before="0" w:after="0" w:line="360" w:lineRule="auto"/>
        <w:ind w:firstLine="420" w:firstLineChars="200"/>
        <w:outlineLvl w:val="9"/>
        <w:rPr>
          <w:rFonts w:ascii="仿宋" w:hAnsi="仿宋" w:eastAsia="仿宋" w:cs="仿宋"/>
          <w:b/>
          <w:bCs w:val="0"/>
          <w:szCs w:val="24"/>
        </w:rPr>
      </w:pPr>
      <w:r>
        <w:rPr>
          <w:rFonts w:hint="eastAsia" w:ascii="仿宋" w:hAnsi="仿宋" w:eastAsia="仿宋" w:cs="仿宋"/>
          <w:bCs w:val="0"/>
          <w:szCs w:val="24"/>
        </w:rPr>
        <w:t>1．标本的采集</w:t>
      </w:r>
    </w:p>
    <w:p w14:paraId="2FD65A87">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物性工作是物探普查的基础工作，不同地质体或岩性间的物性差异是物探工作的前提。主要为剖面异常的划分、研究和解释提供有力的依据，按照剖面工作所投入的方法，将有针对性地采集各类岩性的物性标本。</w:t>
      </w:r>
    </w:p>
    <w:p w14:paraId="65F62901">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采集工作由物探和地质技术人员配合进行标本采集，力求按物探测线均匀进行，标本应具有代表性。采集的标本力求新鲜，避免采集风化层和转石标本。</w:t>
      </w:r>
    </w:p>
    <w:p w14:paraId="6BC40A83">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标本的采集要求现场准确定名、编号，并记录采样位置，对有关地质现象进行必要的备注。区内若有钻孔，尽可能对钻孔岩芯标本进行采集。同名岩（矿）石标本块数不少于30块。</w:t>
      </w:r>
    </w:p>
    <w:p w14:paraId="5DA76D90">
      <w:pPr>
        <w:pageBreakBefore w:val="0"/>
        <w:wordWrap/>
        <w:bidi w:val="0"/>
        <w:spacing w:before="0" w:after="0" w:line="360" w:lineRule="auto"/>
        <w:ind w:firstLine="420" w:firstLineChars="200"/>
        <w:outlineLvl w:val="9"/>
        <w:rPr>
          <w:rFonts w:ascii="仿宋" w:hAnsi="仿宋" w:eastAsia="仿宋" w:cs="仿宋"/>
          <w:b/>
          <w:bCs w:val="0"/>
          <w:szCs w:val="24"/>
        </w:rPr>
      </w:pPr>
      <w:r>
        <w:rPr>
          <w:rFonts w:hint="eastAsia" w:ascii="仿宋" w:hAnsi="仿宋" w:eastAsia="仿宋" w:cs="仿宋"/>
          <w:bCs w:val="0"/>
          <w:szCs w:val="24"/>
        </w:rPr>
        <w:t>2．电性标本测定</w:t>
      </w:r>
    </w:p>
    <w:p w14:paraId="577DE22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要求测定极化率和电阻率两个参数。电性标本的测定采用双盆边架法。在基岩出露区，采用实测小极露头法或小四极测深法进行一定数量级基岩露头电性测定工作，该部分资料可作为参考资料利用。</w:t>
      </w:r>
    </w:p>
    <w:p w14:paraId="3B9274C5">
      <w:pPr>
        <w:pageBreakBefore w:val="0"/>
        <w:wordWrap/>
        <w:bidi w:val="0"/>
        <w:spacing w:before="0" w:after="0" w:line="360" w:lineRule="auto"/>
        <w:ind w:firstLine="420" w:firstLineChars="200"/>
        <w:outlineLvl w:val="9"/>
        <w:rPr>
          <w:rFonts w:ascii="仿宋" w:hAnsi="仿宋" w:eastAsia="仿宋" w:cs="仿宋"/>
          <w:b/>
          <w:bCs w:val="0"/>
          <w:szCs w:val="24"/>
        </w:rPr>
      </w:pPr>
      <w:r>
        <w:rPr>
          <w:rFonts w:hint="eastAsia" w:ascii="仿宋" w:hAnsi="仿宋" w:eastAsia="仿宋" w:cs="仿宋"/>
          <w:bCs w:val="0"/>
          <w:szCs w:val="24"/>
        </w:rPr>
        <w:t>3．物性参数的统计</w:t>
      </w:r>
    </w:p>
    <w:p w14:paraId="028E17B6">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当同类岩（矿）石的标本数量大于30块时，须绘制正态曲线并要求统计常见值及变化范围。</w:t>
      </w:r>
    </w:p>
    <w:p w14:paraId="7903C44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当同类岩（矿）石的标本数量不足30块时，只计算其算术平均值。</w:t>
      </w:r>
    </w:p>
    <w:p w14:paraId="1DAF9FD4">
      <w:pPr>
        <w:pageBreakBefore w:val="0"/>
        <w:wordWrap/>
        <w:bidi w:val="0"/>
        <w:spacing w:before="0" w:after="0" w:line="360" w:lineRule="auto"/>
        <w:ind w:firstLine="420" w:firstLineChars="200"/>
        <w:outlineLvl w:val="9"/>
        <w:rPr>
          <w:rFonts w:ascii="仿宋" w:hAnsi="仿宋" w:eastAsia="仿宋" w:cs="仿宋"/>
          <w:b/>
          <w:bCs w:val="0"/>
          <w:szCs w:val="24"/>
        </w:rPr>
      </w:pPr>
      <w:r>
        <w:rPr>
          <w:rFonts w:hint="eastAsia" w:ascii="仿宋" w:hAnsi="仿宋" w:eastAsia="仿宋" w:cs="仿宋"/>
          <w:bCs w:val="0"/>
          <w:szCs w:val="24"/>
        </w:rPr>
        <w:t>4．室内资料整理</w:t>
      </w:r>
    </w:p>
    <w:p w14:paraId="1B2AB62D">
      <w:pPr>
        <w:pageBreakBefore w:val="0"/>
        <w:wordWrap/>
        <w:bidi w:val="0"/>
        <w:spacing w:line="360" w:lineRule="auto"/>
        <w:ind w:firstLine="480" w:firstLineChars="200"/>
        <w:outlineLvl w:val="9"/>
        <w:rPr>
          <w:rFonts w:ascii="仿宋" w:hAnsi="仿宋" w:eastAsia="仿宋" w:cs="仿宋"/>
          <w:sz w:val="24"/>
          <w:szCs w:val="24"/>
        </w:rPr>
      </w:pPr>
      <w:r>
        <w:rPr>
          <w:rFonts w:hint="eastAsia" w:ascii="仿宋" w:hAnsi="仿宋" w:eastAsia="仿宋" w:cs="仿宋"/>
          <w:sz w:val="24"/>
          <w:szCs w:val="24"/>
        </w:rPr>
        <w:t>整理计算并校正观测结果，根据自动或半自动记录资料绘制各种相应原始图件。对成果资料进行数理统计处理，对其结果进行全面综合研究与总结。完成各种原始资料的综合整理和质量评价。</w:t>
      </w:r>
    </w:p>
    <w:p w14:paraId="6F581732">
      <w:pPr>
        <w:pageBreakBefore w:val="0"/>
        <w:wordWrap/>
        <w:bidi w:val="0"/>
        <w:spacing w:before="0" w:after="0" w:line="360" w:lineRule="auto"/>
        <w:ind w:firstLine="420" w:firstLineChars="200"/>
        <w:outlineLvl w:val="9"/>
        <w:rPr>
          <w:rFonts w:ascii="仿宋" w:hAnsi="仿宋" w:eastAsia="仿宋" w:cs="仿宋"/>
          <w:b/>
          <w:bCs w:val="0"/>
          <w:szCs w:val="24"/>
        </w:rPr>
      </w:pPr>
      <w:r>
        <w:rPr>
          <w:rFonts w:hint="eastAsia" w:ascii="仿宋" w:hAnsi="仿宋" w:eastAsia="仿宋" w:cs="仿宋"/>
          <w:bCs w:val="0"/>
          <w:szCs w:val="24"/>
        </w:rPr>
        <w:t>5．质量评价</w:t>
      </w:r>
    </w:p>
    <w:p w14:paraId="4A60EC7D">
      <w:pPr>
        <w:pageBreakBefore w:val="0"/>
        <w:wordWrap/>
        <w:bidi w:val="0"/>
        <w:spacing w:line="36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rPr>
        <w:t>电性标本质检率不小于10%，误差不大于20%。</w:t>
      </w:r>
    </w:p>
    <w:p w14:paraId="71CDD0D8">
      <w:pPr>
        <w:rPr>
          <w:rFonts w:hint="eastAsia" w:ascii="仿宋" w:hAnsi="仿宋" w:eastAsia="仿宋" w:cs="仿宋"/>
          <w:b/>
          <w:bCs/>
          <w:sz w:val="24"/>
          <w:szCs w:val="24"/>
        </w:rPr>
      </w:pPr>
      <w:r>
        <w:rPr>
          <w:rFonts w:hint="eastAsia" w:ascii="仿宋" w:hAnsi="仿宋" w:eastAsia="仿宋" w:cs="仿宋"/>
          <w:b/>
          <w:bCs/>
          <w:sz w:val="24"/>
          <w:szCs w:val="24"/>
        </w:rPr>
        <w:br w:type="page"/>
      </w:r>
    </w:p>
    <w:p w14:paraId="663D8793">
      <w:pPr>
        <w:keepNext/>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eastAsia" w:ascii="仿宋" w:hAnsi="仿宋" w:eastAsia="仿宋" w:cs="仿宋"/>
          <w:b/>
          <w:bCs/>
          <w:sz w:val="40"/>
          <w:szCs w:val="40"/>
          <w:lang w:val="en-US" w:eastAsia="zh-CN"/>
        </w:rPr>
      </w:pPr>
      <w:r>
        <w:rPr>
          <w:rFonts w:hint="eastAsia" w:ascii="仿宋" w:hAnsi="仿宋" w:eastAsia="仿宋" w:cs="仿宋"/>
          <w:b/>
          <w:bCs/>
          <w:sz w:val="24"/>
          <w:szCs w:val="24"/>
          <w:lang w:val="en-US" w:eastAsia="zh-CN"/>
        </w:rPr>
        <w:t>⑪、</w:t>
      </w:r>
      <w:r>
        <w:rPr>
          <w:rFonts w:hint="eastAsia" w:ascii="仿宋" w:hAnsi="仿宋" w:eastAsia="仿宋" w:cs="仿宋"/>
          <w:b/>
          <w:bCs/>
          <w:sz w:val="24"/>
          <w:szCs w:val="24"/>
        </w:rPr>
        <w:t>新疆哈巴河县塔勒德金矿普查</w:t>
      </w:r>
    </w:p>
    <w:p w14:paraId="2E692A41">
      <w:pPr>
        <w:keepNext w:val="0"/>
        <w:keepLines w:val="0"/>
        <w:pageBreakBefore w:val="0"/>
        <w:widowControl w:val="0"/>
        <w:kinsoku/>
        <w:wordWrap/>
        <w:overflowPunct/>
        <w:autoSpaceDE/>
        <w:autoSpaceDN/>
        <w:bidi w:val="0"/>
        <w:adjustRightInd w:val="0"/>
        <w:spacing w:line="360" w:lineRule="auto"/>
        <w:ind w:firstLine="482" w:firstLineChars="200"/>
        <w:textAlignment w:val="auto"/>
        <w:outlineLvl w:val="9"/>
        <w:rPr>
          <w:rFonts w:ascii="仿宋" w:hAnsi="仿宋" w:eastAsia="仿宋" w:cs="仿宋"/>
          <w:b/>
          <w:bCs/>
          <w:sz w:val="24"/>
          <w:szCs w:val="24"/>
        </w:rPr>
      </w:pPr>
      <w:r>
        <w:rPr>
          <w:rFonts w:hint="eastAsia" w:ascii="仿宋" w:hAnsi="仿宋" w:eastAsia="仿宋" w:cs="仿宋"/>
          <w:b/>
          <w:bCs/>
          <w:sz w:val="24"/>
          <w:szCs w:val="24"/>
        </w:rPr>
        <w:t>一、服务内容：</w:t>
      </w:r>
    </w:p>
    <w:p w14:paraId="0E5F6184">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普查区位于阿尔泰山脉南缘哈巴河县城以北约18千米。行政区划隶属哈巴河县管辖。区外交通便利，自哈巴河县出发，沿S229省道向北15km至塔勒德岔路口至G219国道进入工作区，工作区内部主干道路为南北向S229省道及东西向G219国道。区内通信条件较好，通讯网络已基本覆盖全区。工作所需生产和生活物质从县城拉运。普查区位于阿尔泰山脉西段南麓与额尔齐斯河谷平原过渡地带。海拔高度600-800米，属低山丘陵地貌区。地形切割弱，北东-南西向水系相对较发育，哈巴河穿过普查区西南部，河上建有水库。</w:t>
      </w:r>
    </w:p>
    <w:p w14:paraId="63402792">
      <w:pPr>
        <w:keepNext w:val="0"/>
        <w:keepLines w:val="0"/>
        <w:pageBreakBefore w:val="0"/>
        <w:widowControl w:val="0"/>
        <w:kinsoku/>
        <w:wordWrap/>
        <w:overflowPunct/>
        <w:autoSpaceDE/>
        <w:autoSpaceDN/>
        <w:bidi w:val="0"/>
        <w:adjustRightInd w:val="0"/>
        <w:snapToGrid w:val="0"/>
        <w:spacing w:line="360" w:lineRule="auto"/>
        <w:ind w:firstLine="482" w:firstLineChars="200"/>
        <w:textAlignment w:val="auto"/>
        <w:outlineLvl w:val="9"/>
        <w:rPr>
          <w:rFonts w:ascii="仿宋" w:hAnsi="仿宋" w:eastAsia="仿宋" w:cs="仿宋"/>
          <w:sz w:val="24"/>
          <w:szCs w:val="24"/>
        </w:rPr>
      </w:pPr>
      <w:r>
        <w:rPr>
          <w:rFonts w:hint="eastAsia" w:ascii="仿宋" w:hAnsi="仿宋" w:eastAsia="仿宋" w:cs="仿宋"/>
          <w:b/>
          <w:bCs/>
          <w:sz w:val="24"/>
          <w:szCs w:val="24"/>
        </w:rPr>
        <w:t>二、</w:t>
      </w:r>
      <w:r>
        <w:rPr>
          <w:rFonts w:hint="eastAsia" w:ascii="仿宋" w:hAnsi="仿宋" w:eastAsia="仿宋" w:cs="仿宋"/>
          <w:sz w:val="24"/>
          <w:szCs w:val="24"/>
        </w:rPr>
        <w:t>工作量：</w:t>
      </w:r>
      <w:r>
        <w:rPr>
          <w:rFonts w:hint="eastAsia" w:ascii="仿宋" w:hAnsi="仿宋" w:eastAsia="仿宋" w:cs="仿宋"/>
          <w:sz w:val="24"/>
          <w:szCs w:val="24"/>
          <w:lang w:val="en-US" w:eastAsia="zh-CN"/>
        </w:rPr>
        <w:t>三维激电测量0.8平方</w:t>
      </w:r>
      <w:r>
        <w:rPr>
          <w:rFonts w:hint="eastAsia" w:ascii="仿宋" w:hAnsi="仿宋" w:eastAsia="仿宋" w:cs="仿宋"/>
          <w:sz w:val="24"/>
          <w:szCs w:val="24"/>
        </w:rPr>
        <w:t>千米；</w:t>
      </w:r>
      <w:r>
        <w:rPr>
          <w:rFonts w:hint="eastAsia" w:ascii="仿宋" w:hAnsi="仿宋" w:eastAsia="仿宋" w:cs="仿宋"/>
          <w:sz w:val="24"/>
          <w:szCs w:val="24"/>
          <w:lang w:val="en-US" w:eastAsia="zh-CN"/>
        </w:rPr>
        <w:t>大地电磁测深测量3</w:t>
      </w:r>
      <w:r>
        <w:rPr>
          <w:rFonts w:hint="eastAsia" w:ascii="仿宋" w:hAnsi="仿宋" w:eastAsia="仿宋" w:cs="仿宋"/>
          <w:sz w:val="24"/>
          <w:szCs w:val="24"/>
        </w:rPr>
        <w:t>0点。</w:t>
      </w:r>
    </w:p>
    <w:p w14:paraId="078DB2DC">
      <w:pPr>
        <w:pStyle w:val="15"/>
        <w:keepNext w:val="0"/>
        <w:keepLines w:val="0"/>
        <w:pageBreakBefore w:val="0"/>
        <w:widowControl w:val="0"/>
        <w:kinsoku/>
        <w:wordWrap/>
        <w:overflowPunct/>
        <w:autoSpaceDE/>
        <w:autoSpaceDN/>
        <w:bidi w:val="0"/>
        <w:spacing w:after="0" w:line="360" w:lineRule="auto"/>
        <w:ind w:firstLine="482" w:firstLineChars="200"/>
        <w:textAlignment w:val="auto"/>
        <w:outlineLvl w:val="9"/>
        <w:rPr>
          <w:rFonts w:ascii="仿宋" w:hAnsi="仿宋" w:eastAsia="仿宋" w:cs="仿宋"/>
          <w:b/>
          <w:bCs/>
          <w:szCs w:val="24"/>
        </w:rPr>
      </w:pPr>
      <w:r>
        <w:rPr>
          <w:rFonts w:hint="eastAsia" w:ascii="仿宋" w:hAnsi="仿宋" w:eastAsia="仿宋" w:cs="仿宋"/>
          <w:b/>
          <w:bCs/>
          <w:szCs w:val="24"/>
        </w:rPr>
        <w:t xml:space="preserve">三、技术方法  </w:t>
      </w:r>
    </w:p>
    <w:p w14:paraId="74C53E7A">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1．大地电磁测深</w:t>
      </w:r>
    </w:p>
    <w:p w14:paraId="20A2544A">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（1）方法技术</w:t>
      </w:r>
    </w:p>
    <w:p w14:paraId="6B0CB67B">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根据前人的工作及研究成果，根据本次任务书的目标要求，择优选择矿化蚀变较好、有利于开展进一步找矿工作的化探异常和矿点，布设</w:t>
      </w:r>
      <w:r>
        <w:rPr>
          <w:rFonts w:hint="eastAsia" w:ascii="仿宋_GB2312" w:hAnsi="仿宋_GB2312" w:eastAsia="仿宋_GB2312" w:cs="仿宋_GB2312"/>
          <w:sz w:val="24"/>
          <w:szCs w:val="24"/>
        </w:rPr>
        <w:t>物探测点</w:t>
      </w:r>
      <w:r>
        <w:rPr>
          <w:rFonts w:hint="eastAsia" w:ascii="仿宋_GB2312" w:hAnsi="仿宋_GB2312" w:eastAsia="仿宋_GB2312" w:cs="仿宋_GB2312"/>
          <w:color w:val="000000"/>
          <w:sz w:val="24"/>
          <w:szCs w:val="24"/>
        </w:rPr>
        <w:t>，设计工作量30个测深点。</w:t>
      </w:r>
    </w:p>
    <w:p w14:paraId="3749C72C">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（2）仪器设备</w:t>
      </w:r>
    </w:p>
    <w:p w14:paraId="4D616264">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采用Aether大地电磁采集系统。</w:t>
      </w:r>
    </w:p>
    <w:p w14:paraId="609049AF">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（3）仪器的标定及一致性</w:t>
      </w:r>
    </w:p>
    <w:p w14:paraId="40B58FC7">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开工前需对主机、辅助道采集器及两个磁探头进行标定，确定仪器正常稳定工作。并进行主机及两个辅助道采集器的一致性试验，以确保数据采集准确、可靠。</w:t>
      </w:r>
    </w:p>
    <w:p w14:paraId="7F37BF29">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（4）布极方式</w:t>
      </w:r>
    </w:p>
    <w:p w14:paraId="08AC56A1">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野外施工，同时测量Ex、Ey、Hx、Hy四个分量。布极时用森林罗盘仪测量角度，布极方位误差不超过1°。一般测点布置按设计点位布设，但遇到干扰或地形复杂时，在不超出测点距10%范围内，尽量将测点调整到地势平坦、开阔且土质较均匀的地方。电极采用标准“+”字形布设，或“L”形或“T”形方式布设（见图4-1）。平行于测线及垂直于测线的水平磁棒的方向用罗盘仪定向，方位误差均小于1°，同时保持水平倾斜小于1.5°。</w:t>
      </w:r>
    </w:p>
    <w:p w14:paraId="57CEB97C">
      <w:pPr>
        <w:pageBreakBefore w:val="0"/>
        <w:wordWrap/>
        <w:topLinePunct/>
        <w:bidi w:val="0"/>
        <w:jc w:val="center"/>
        <w:outlineLvl w:val="9"/>
        <w:rPr>
          <w:sz w:val="24"/>
          <w:szCs w:val="24"/>
        </w:rPr>
      </w:pPr>
      <w:r>
        <w:rPr>
          <w:sz w:val="24"/>
          <w:szCs w:val="24"/>
        </w:rPr>
        <w:drawing>
          <wp:inline distT="0" distB="0" distL="114300" distR="114300">
            <wp:extent cx="4693920" cy="4233545"/>
            <wp:effectExtent l="0" t="0" r="1905" b="5080"/>
            <wp:docPr id="145" name="图片 2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30" descr="图片1"/>
                    <pic:cNvPicPr>
                      <a:picLocks noChangeAspect="1"/>
                    </pic:cNvPicPr>
                  </pic:nvPicPr>
                  <pic:blipFill>
                    <a:blip r:embed="rId493"/>
                    <a:srcRect t="2969" r="10876"/>
                    <a:stretch>
                      <a:fillRect/>
                    </a:stretch>
                  </pic:blipFill>
                  <pic:spPr>
                    <a:xfrm>
                      <a:off x="0" y="0"/>
                      <a:ext cx="4693920" cy="4233545"/>
                    </a:xfrm>
                    <a:prstGeom prst="rect">
                      <a:avLst/>
                    </a:prstGeom>
                    <a:noFill/>
                    <a:ln>
                      <a:noFill/>
                    </a:ln>
                  </pic:spPr>
                </pic:pic>
              </a:graphicData>
            </a:graphic>
          </wp:inline>
        </w:drawing>
      </w:r>
    </w:p>
    <w:p w14:paraId="18BA3230">
      <w:pPr>
        <w:pageBreakBefore w:val="0"/>
        <w:wordWrap/>
        <w:bidi w:val="0"/>
        <w:adjustRightInd w:val="0"/>
        <w:snapToGrid w:val="0"/>
        <w:spacing w:line="360" w:lineRule="auto"/>
        <w:jc w:val="center"/>
        <w:outlineLvl w:val="9"/>
        <w:rPr>
          <w:rFonts w:ascii="宋体" w:hAnsi="宋体" w:cs="宋体"/>
          <w:b/>
          <w:bCs/>
          <w:sz w:val="24"/>
          <w:szCs w:val="24"/>
        </w:rPr>
      </w:pPr>
      <w:r>
        <w:rPr>
          <w:rFonts w:hint="eastAsia" w:ascii="宋体" w:hAnsi="宋体" w:cs="宋体"/>
          <w:b/>
          <w:bCs/>
          <w:sz w:val="24"/>
          <w:szCs w:val="24"/>
        </w:rPr>
        <w:t xml:space="preserve">图4-1 </w:t>
      </w:r>
      <w:r>
        <w:rPr>
          <w:rFonts w:ascii="宋体" w:hAnsi="宋体" w:cs="宋体"/>
          <w:b/>
          <w:bCs/>
          <w:sz w:val="24"/>
          <w:szCs w:val="24"/>
        </w:rPr>
        <w:t xml:space="preserve"> </w:t>
      </w:r>
      <w:r>
        <w:rPr>
          <w:rFonts w:hint="eastAsia" w:ascii="宋体" w:hAnsi="宋体" w:cs="宋体"/>
          <w:b/>
          <w:bCs/>
          <w:sz w:val="24"/>
          <w:szCs w:val="24"/>
        </w:rPr>
        <w:t>大地电磁测深布极图</w:t>
      </w:r>
    </w:p>
    <w:p w14:paraId="1904116D">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bookmarkStart w:id="478" w:name="_Toc226434710"/>
      <w:bookmarkEnd w:id="478"/>
      <w:bookmarkStart w:id="479" w:name="_Toc226442913"/>
      <w:bookmarkEnd w:id="479"/>
      <w:bookmarkStart w:id="480" w:name="_Toc226428543"/>
      <w:bookmarkEnd w:id="480"/>
      <w:bookmarkStart w:id="481" w:name="_Toc226442819"/>
      <w:bookmarkEnd w:id="481"/>
      <w:bookmarkStart w:id="482" w:name="_Toc226513480"/>
      <w:r>
        <w:rPr>
          <w:rFonts w:hint="eastAsia" w:ascii="仿宋_GB2312" w:hAnsi="仿宋_GB2312" w:eastAsia="仿宋_GB2312" w:cs="仿宋_GB2312"/>
          <w:color w:val="000000"/>
          <w:sz w:val="24"/>
          <w:szCs w:val="24"/>
        </w:rPr>
        <w:t>（</w:t>
      </w:r>
      <w:bookmarkEnd w:id="482"/>
      <w:r>
        <w:rPr>
          <w:rFonts w:hint="eastAsia" w:ascii="仿宋_GB2312" w:hAnsi="仿宋_GB2312" w:eastAsia="仿宋_GB2312" w:cs="仿宋_GB2312"/>
          <w:color w:val="000000"/>
          <w:sz w:val="24"/>
          <w:szCs w:val="24"/>
        </w:rPr>
        <w:t>5）测点布置</w:t>
      </w:r>
    </w:p>
    <w:p w14:paraId="4EAB582C">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测点选择在开阔、平坦、土质均匀的地方。如测点位置干扰极大，可根据实际情况移动，移动原则为尽量靠近原点位且干扰小的地点移动，并且在班报中进行详细的记录。</w:t>
      </w:r>
    </w:p>
    <w:p w14:paraId="0B244830">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（6）电极布设</w:t>
      </w:r>
    </w:p>
    <w:p w14:paraId="279AC0AD">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电极距一般为50m～200m，电极采用的Pb—Pbcl</w:t>
      </w:r>
      <w:r>
        <w:rPr>
          <w:rFonts w:hint="eastAsia" w:ascii="仿宋_GB2312" w:hAnsi="仿宋_GB2312" w:eastAsia="仿宋_GB2312" w:cs="仿宋_GB2312"/>
          <w:sz w:val="24"/>
          <w:szCs w:val="24"/>
          <w:vertAlign w:val="subscript"/>
        </w:rPr>
        <w:t>2</w:t>
      </w:r>
      <w:r>
        <w:rPr>
          <w:rFonts w:hint="eastAsia" w:ascii="仿宋_GB2312" w:hAnsi="仿宋_GB2312" w:eastAsia="仿宋_GB2312" w:cs="仿宋_GB2312"/>
          <w:sz w:val="24"/>
          <w:szCs w:val="24"/>
        </w:rPr>
        <w:t>不极化电极，具有低噪音，低漂移等特点。测量时电极埋于坑中，且用盐水将土坑浇透，保证电极与地接触良好。接地电阻≤2000</w:t>
      </w:r>
      <w:r>
        <w:rPr>
          <w:rFonts w:hint="eastAsia" w:ascii="仿宋_GB2312" w:hAnsi="仿宋_GB2312" w:eastAsia="仿宋_GB2312" w:cs="仿宋_GB2312"/>
          <w:sz w:val="24"/>
          <w:szCs w:val="24"/>
        </w:rPr>
        <w:drawing>
          <wp:inline distT="0" distB="0" distL="114300" distR="114300">
            <wp:extent cx="179070" cy="179070"/>
            <wp:effectExtent l="0" t="0" r="0" b="0"/>
            <wp:docPr id="146" name="图片 231" descr="C:\Users\lyx\AppData\Local\Temp\ksohtml\wps8A7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31" descr="C:\Users\lyx\AppData\Local\Temp\ksohtml\wps8A74.tmp.png"/>
                    <pic:cNvPicPr>
                      <a:picLocks noChangeAspect="1"/>
                    </pic:cNvPicPr>
                  </pic:nvPicPr>
                  <pic:blipFill>
                    <a:blip r:embed="rId494"/>
                    <a:stretch>
                      <a:fillRect/>
                    </a:stretch>
                  </pic:blipFill>
                  <pic:spPr>
                    <a:xfrm>
                      <a:off x="0" y="0"/>
                      <a:ext cx="179070" cy="179070"/>
                    </a:xfrm>
                    <a:prstGeom prst="rect">
                      <a:avLst/>
                    </a:prstGeom>
                    <a:noFill/>
                    <a:ln>
                      <a:noFill/>
                    </a:ln>
                  </pic:spPr>
                </pic:pic>
              </a:graphicData>
            </a:graphic>
          </wp:inline>
        </w:drawing>
      </w:r>
      <w:r>
        <w:rPr>
          <w:rFonts w:hint="eastAsia" w:ascii="仿宋_GB2312" w:hAnsi="仿宋_GB2312" w:eastAsia="仿宋_GB2312" w:cs="仿宋_GB2312"/>
          <w:sz w:val="24"/>
          <w:szCs w:val="24"/>
        </w:rPr>
        <w:t>。每对电极间相对高差与电极距相比应小于10%。</w:t>
      </w:r>
    </w:p>
    <w:p w14:paraId="3115162A">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sz w:val="24"/>
          <w:szCs w:val="24"/>
        </w:rPr>
      </w:pPr>
      <w:bookmarkStart w:id="483" w:name="_Toc226428545"/>
      <w:bookmarkEnd w:id="483"/>
      <w:bookmarkStart w:id="484" w:name="_Toc226442915"/>
      <w:bookmarkEnd w:id="484"/>
      <w:bookmarkStart w:id="485" w:name="_Toc226513482"/>
      <w:bookmarkEnd w:id="485"/>
      <w:bookmarkStart w:id="486" w:name="_Toc226442821"/>
      <w:bookmarkEnd w:id="486"/>
      <w:bookmarkStart w:id="487" w:name="_Toc226434712"/>
      <w:r>
        <w:rPr>
          <w:rFonts w:hint="eastAsia" w:ascii="仿宋_GB2312" w:hAnsi="仿宋_GB2312" w:eastAsia="仿宋_GB2312" w:cs="仿宋_GB2312"/>
          <w:sz w:val="24"/>
          <w:szCs w:val="24"/>
        </w:rPr>
        <w:t>（</w:t>
      </w:r>
      <w:bookmarkEnd w:id="487"/>
      <w:r>
        <w:rPr>
          <w:rFonts w:hint="eastAsia" w:ascii="仿宋_GB2312" w:hAnsi="仿宋_GB2312" w:eastAsia="仿宋_GB2312" w:cs="仿宋_GB2312"/>
          <w:sz w:val="24"/>
          <w:szCs w:val="24"/>
        </w:rPr>
        <w:t>7）磁棒铺设</w:t>
      </w:r>
    </w:p>
    <w:p w14:paraId="082FAF36">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水平磁棒埋入地下不小于30cm，用水平尺调平，土掩防抖动。</w:t>
      </w:r>
    </w:p>
    <w:p w14:paraId="5DA4DB0F">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sz w:val="24"/>
          <w:szCs w:val="24"/>
        </w:rPr>
      </w:pPr>
      <w:bookmarkStart w:id="488" w:name="_Toc226442916"/>
      <w:bookmarkEnd w:id="488"/>
      <w:bookmarkStart w:id="489" w:name="_Toc226442822"/>
      <w:bookmarkEnd w:id="489"/>
      <w:bookmarkStart w:id="490" w:name="_Toc226513483"/>
      <w:bookmarkEnd w:id="490"/>
      <w:bookmarkStart w:id="491" w:name="_Toc226434713"/>
      <w:bookmarkEnd w:id="491"/>
      <w:bookmarkStart w:id="492" w:name="_Toc226428546"/>
      <w:r>
        <w:rPr>
          <w:rFonts w:hint="eastAsia" w:ascii="仿宋_GB2312" w:hAnsi="仿宋_GB2312" w:eastAsia="仿宋_GB2312" w:cs="仿宋_GB2312"/>
          <w:sz w:val="24"/>
          <w:szCs w:val="24"/>
        </w:rPr>
        <w:t>（</w:t>
      </w:r>
      <w:bookmarkEnd w:id="492"/>
      <w:r>
        <w:rPr>
          <w:rFonts w:hint="eastAsia" w:ascii="仿宋_GB2312" w:hAnsi="仿宋_GB2312" w:eastAsia="仿宋_GB2312" w:cs="仿宋_GB2312"/>
          <w:sz w:val="24"/>
          <w:szCs w:val="24"/>
        </w:rPr>
        <w:t>8）信号线铺设</w:t>
      </w:r>
    </w:p>
    <w:p w14:paraId="4AE0E092">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电极、磁棒的信号线沿地面压实、防止晃动。</w:t>
      </w:r>
    </w:p>
    <w:p w14:paraId="2A627CB8">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sz w:val="24"/>
          <w:szCs w:val="24"/>
        </w:rPr>
      </w:pPr>
      <w:bookmarkStart w:id="493" w:name="_Toc226442917"/>
      <w:bookmarkEnd w:id="493"/>
      <w:bookmarkStart w:id="494" w:name="_Toc226428547"/>
      <w:bookmarkEnd w:id="494"/>
      <w:bookmarkStart w:id="495" w:name="_Toc226442823"/>
      <w:bookmarkEnd w:id="495"/>
      <w:bookmarkStart w:id="496" w:name="_Toc226513484"/>
      <w:bookmarkEnd w:id="496"/>
      <w:bookmarkStart w:id="497" w:name="_Toc226434714"/>
      <w:r>
        <w:rPr>
          <w:rFonts w:hint="eastAsia" w:ascii="仿宋_GB2312" w:hAnsi="仿宋_GB2312" w:eastAsia="仿宋_GB2312" w:cs="仿宋_GB2312"/>
          <w:sz w:val="24"/>
          <w:szCs w:val="24"/>
        </w:rPr>
        <w:t>（</w:t>
      </w:r>
      <w:bookmarkEnd w:id="497"/>
      <w:r>
        <w:rPr>
          <w:rFonts w:hint="eastAsia" w:ascii="仿宋_GB2312" w:hAnsi="仿宋_GB2312" w:eastAsia="仿宋_GB2312" w:cs="仿宋_GB2312"/>
          <w:sz w:val="24"/>
          <w:szCs w:val="24"/>
        </w:rPr>
        <w:t>9）观测时间</w:t>
      </w:r>
    </w:p>
    <w:p w14:paraId="08578888">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根据观测深度不同，采集时间不同，一般每个测点的观测时间不应小于3小时，干扰区及信号较弱时应增加有效迭加次数，延长观测时间。</w:t>
      </w:r>
    </w:p>
    <w:p w14:paraId="740180EA">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sz w:val="24"/>
          <w:szCs w:val="24"/>
        </w:rPr>
      </w:pPr>
      <w:bookmarkStart w:id="498" w:name="_Toc235954325"/>
      <w:bookmarkEnd w:id="498"/>
      <w:bookmarkStart w:id="499" w:name="_Toc225068149"/>
      <w:r>
        <w:rPr>
          <w:rFonts w:hint="eastAsia" w:ascii="仿宋_GB2312" w:hAnsi="仿宋_GB2312" w:eastAsia="仿宋_GB2312" w:cs="仿宋_GB2312"/>
          <w:sz w:val="24"/>
          <w:szCs w:val="24"/>
        </w:rPr>
        <w:t>（</w:t>
      </w:r>
      <w:bookmarkEnd w:id="499"/>
      <w:r>
        <w:rPr>
          <w:rFonts w:hint="eastAsia" w:ascii="仿宋_GB2312" w:hAnsi="仿宋_GB2312" w:eastAsia="仿宋_GB2312" w:cs="仿宋_GB2312"/>
          <w:sz w:val="24"/>
          <w:szCs w:val="24"/>
        </w:rPr>
        <w:t>10）质量检查</w:t>
      </w:r>
    </w:p>
    <w:p w14:paraId="67BA8D3C">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质量检查依据《中华人民共和国地质矿产行业标准》中《大地电磁测深法技术规程》（DZ∕T 0173-2022）和《天然场音频大地电磁法技术规程》(DZ/T 0305-2017)执行。系统检查观测点数不得少于全区观测点总数的3%。检查点的检查观测和生产观测全频段视电阻率、阻抗相位曲线应保持一致，对应频点的数值接近，经编辑、插值后两次观测同一极化模式的视电阻率、阻抗相位的均方相对误差不大于7%。</w:t>
      </w:r>
    </w:p>
    <w:p w14:paraId="05F1DE94">
      <w:pPr>
        <w:pageBreakBefore w:val="0"/>
        <w:wordWrap/>
        <w:topLinePunct/>
        <w:bidi w:val="0"/>
        <w:adjustRightInd w:val="0"/>
        <w:snapToGrid w:val="0"/>
        <w:spacing w:line="360" w:lineRule="auto"/>
        <w:ind w:firstLine="480" w:firstLineChars="200"/>
        <w:outlineLvl w:val="9"/>
        <w:rPr>
          <w:rFonts w:hint="eastAsia" w:ascii="宋体" w:hAnsi="宋体"/>
          <w:sz w:val="24"/>
          <w:szCs w:val="24"/>
        </w:rPr>
      </w:pPr>
      <w:r>
        <w:rPr>
          <w:rFonts w:hint="eastAsia" w:ascii="仿宋_GB2312" w:hAnsi="仿宋_GB2312" w:eastAsia="仿宋_GB2312" w:cs="仿宋_GB2312"/>
          <w:sz w:val="24"/>
          <w:szCs w:val="24"/>
        </w:rPr>
        <w:t>单频点相对误差的计算公式为：</w:t>
      </w:r>
    </w:p>
    <w:p w14:paraId="68910A8C">
      <w:pPr>
        <w:pageBreakBefore w:val="0"/>
        <w:wordWrap/>
        <w:topLinePunct/>
        <w:bidi w:val="0"/>
        <w:spacing w:line="360" w:lineRule="auto"/>
        <w:jc w:val="center"/>
        <w:outlineLvl w:val="9"/>
        <w:rPr>
          <w:rFonts w:hint="eastAsia" w:ascii="宋体" w:hAnsi="宋体"/>
          <w:sz w:val="24"/>
          <w:szCs w:val="24"/>
        </w:rPr>
      </w:pPr>
      <w:r>
        <w:rPr>
          <w:sz w:val="24"/>
          <w:szCs w:val="24"/>
        </w:rPr>
        <w:drawing>
          <wp:inline distT="0" distB="0" distL="114300" distR="114300">
            <wp:extent cx="1829435" cy="878205"/>
            <wp:effectExtent l="0" t="0" r="8890" b="0"/>
            <wp:docPr id="147" name="图片 232" descr="C:\Users\lyx\AppData\Local\Temp\ksohtml\wps8A7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32" descr="C:\Users\lyx\AppData\Local\Temp\ksohtml\wps8A75.tmp.png"/>
                    <pic:cNvPicPr>
                      <a:picLocks noChangeAspect="1"/>
                    </pic:cNvPicPr>
                  </pic:nvPicPr>
                  <pic:blipFill>
                    <a:blip r:embed="rId495"/>
                    <a:stretch>
                      <a:fillRect/>
                    </a:stretch>
                  </pic:blipFill>
                  <pic:spPr>
                    <a:xfrm>
                      <a:off x="0" y="0"/>
                      <a:ext cx="1829435" cy="878205"/>
                    </a:xfrm>
                    <a:prstGeom prst="rect">
                      <a:avLst/>
                    </a:prstGeom>
                    <a:noFill/>
                    <a:ln>
                      <a:noFill/>
                    </a:ln>
                  </pic:spPr>
                </pic:pic>
              </a:graphicData>
            </a:graphic>
          </wp:inline>
        </w:drawing>
      </w:r>
    </w:p>
    <w:p w14:paraId="0D42D052">
      <w:pPr>
        <w:pageBreakBefore w:val="0"/>
        <w:wordWrap/>
        <w:topLinePunct/>
        <w:bidi w:val="0"/>
        <w:spacing w:line="360" w:lineRule="auto"/>
        <w:ind w:firstLine="480" w:firstLineChars="200"/>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式中的</w:t>
      </w:r>
      <w:r>
        <w:rPr>
          <w:rFonts w:hint="eastAsia" w:ascii="仿宋_GB2312" w:hAnsi="仿宋_GB2312" w:eastAsia="仿宋_GB2312" w:cs="仿宋_GB2312"/>
          <w:sz w:val="24"/>
          <w:szCs w:val="24"/>
        </w:rPr>
        <w:drawing>
          <wp:inline distT="0" distB="0" distL="114300" distR="114300">
            <wp:extent cx="259715" cy="313690"/>
            <wp:effectExtent l="0" t="0" r="0" b="0"/>
            <wp:docPr id="148" name="图片 233" descr="C:\Users\lyx\AppData\Local\Temp\ksohtml\wps8A7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33" descr="C:\Users\lyx\AppData\Local\Temp\ksohtml\wps8A76.tmp.png"/>
                    <pic:cNvPicPr>
                      <a:picLocks noChangeAspect="1"/>
                    </pic:cNvPicPr>
                  </pic:nvPicPr>
                  <pic:blipFill>
                    <a:blip r:embed="rId496"/>
                    <a:stretch>
                      <a:fillRect/>
                    </a:stretch>
                  </pic:blipFill>
                  <pic:spPr>
                    <a:xfrm>
                      <a:off x="0" y="0"/>
                      <a:ext cx="259715" cy="313690"/>
                    </a:xfrm>
                    <a:prstGeom prst="rect">
                      <a:avLst/>
                    </a:prstGeom>
                    <a:noFill/>
                    <a:ln>
                      <a:noFill/>
                    </a:ln>
                  </pic:spPr>
                </pic:pic>
              </a:graphicData>
            </a:graphic>
          </wp:inline>
        </w:drawing>
      </w:r>
      <w:r>
        <w:rPr>
          <w:rFonts w:hint="eastAsia" w:ascii="仿宋_GB2312" w:hAnsi="仿宋_GB2312" w:eastAsia="仿宋_GB2312" w:cs="仿宋_GB2312"/>
          <w:sz w:val="24"/>
          <w:szCs w:val="24"/>
        </w:rPr>
        <w:t>与</w:t>
      </w:r>
      <w:r>
        <w:rPr>
          <w:rFonts w:hint="eastAsia" w:ascii="仿宋_GB2312" w:hAnsi="仿宋_GB2312" w:eastAsia="仿宋_GB2312" w:cs="仿宋_GB2312"/>
          <w:sz w:val="24"/>
          <w:szCs w:val="24"/>
        </w:rPr>
        <w:drawing>
          <wp:inline distT="0" distB="0" distL="114300" distR="114300">
            <wp:extent cx="241935" cy="313690"/>
            <wp:effectExtent l="0" t="0" r="0" b="0"/>
            <wp:docPr id="149" name="图片 234" descr="C:\Users\lyx\AppData\Local\Temp\ksohtml\wps8A7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34" descr="C:\Users\lyx\AppData\Local\Temp\ksohtml\wps8A77.tmp.png"/>
                    <pic:cNvPicPr>
                      <a:picLocks noChangeAspect="1"/>
                    </pic:cNvPicPr>
                  </pic:nvPicPr>
                  <pic:blipFill>
                    <a:blip r:embed="rId497"/>
                    <a:stretch>
                      <a:fillRect/>
                    </a:stretch>
                  </pic:blipFill>
                  <pic:spPr>
                    <a:xfrm>
                      <a:off x="0" y="0"/>
                      <a:ext cx="241935" cy="313690"/>
                    </a:xfrm>
                    <a:prstGeom prst="rect">
                      <a:avLst/>
                    </a:prstGeom>
                    <a:noFill/>
                    <a:ln>
                      <a:noFill/>
                    </a:ln>
                  </pic:spPr>
                </pic:pic>
              </a:graphicData>
            </a:graphic>
          </wp:inline>
        </w:drawing>
      </w:r>
      <w:r>
        <w:rPr>
          <w:rFonts w:hint="eastAsia" w:ascii="仿宋_GB2312" w:hAnsi="仿宋_GB2312" w:eastAsia="仿宋_GB2312" w:cs="仿宋_GB2312"/>
          <w:sz w:val="24"/>
          <w:szCs w:val="24"/>
        </w:rPr>
        <w:t>分别为第i个频点上，以同一种方式观测和计算的，基本和系统检查的视电阻率数据</w:t>
      </w:r>
    </w:p>
    <w:p w14:paraId="730E863C">
      <w:pPr>
        <w:pageBreakBefore w:val="0"/>
        <w:wordWrap/>
        <w:topLinePunct/>
        <w:bidi w:val="0"/>
        <w:spacing w:line="360" w:lineRule="auto"/>
        <w:ind w:firstLine="480" w:firstLineChars="200"/>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单个物理点系统检查的均方相对误差计算公式如下</w:t>
      </w:r>
    </w:p>
    <w:p w14:paraId="509B43AD">
      <w:pPr>
        <w:pageBreakBefore w:val="0"/>
        <w:wordWrap/>
        <w:topLinePunct/>
        <w:bidi w:val="0"/>
        <w:spacing w:line="360" w:lineRule="auto"/>
        <w:jc w:val="center"/>
        <w:outlineLvl w:val="9"/>
        <w:rPr>
          <w:rFonts w:hint="eastAsia" w:ascii="宋体" w:hAnsi="宋体"/>
          <w:sz w:val="24"/>
          <w:szCs w:val="24"/>
        </w:rPr>
      </w:pPr>
      <w:r>
        <w:rPr>
          <w:sz w:val="24"/>
          <w:szCs w:val="24"/>
        </w:rPr>
        <w:drawing>
          <wp:inline distT="0" distB="0" distL="114300" distR="114300">
            <wp:extent cx="1102360" cy="770890"/>
            <wp:effectExtent l="0" t="0" r="0" b="0"/>
            <wp:docPr id="150" name="图片 235" descr="C:\Users\lyx\AppData\Local\Temp\ksohtml\wps8A7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35" descr="C:\Users\lyx\AppData\Local\Temp\ksohtml\wps8A78.tmp.png"/>
                    <pic:cNvPicPr>
                      <a:picLocks noChangeAspect="1"/>
                    </pic:cNvPicPr>
                  </pic:nvPicPr>
                  <pic:blipFill>
                    <a:blip r:embed="rId498"/>
                    <a:stretch>
                      <a:fillRect/>
                    </a:stretch>
                  </pic:blipFill>
                  <pic:spPr>
                    <a:xfrm>
                      <a:off x="0" y="0"/>
                      <a:ext cx="1102360" cy="770890"/>
                    </a:xfrm>
                    <a:prstGeom prst="rect">
                      <a:avLst/>
                    </a:prstGeom>
                    <a:noFill/>
                    <a:ln>
                      <a:noFill/>
                    </a:ln>
                  </pic:spPr>
                </pic:pic>
              </a:graphicData>
            </a:graphic>
          </wp:inline>
        </w:drawing>
      </w:r>
    </w:p>
    <w:p w14:paraId="0F59AD7A">
      <w:pPr>
        <w:pageBreakBefore w:val="0"/>
        <w:wordWrap/>
        <w:topLinePunct/>
        <w:bidi w:val="0"/>
        <w:spacing w:line="360" w:lineRule="auto"/>
        <w:ind w:firstLine="480" w:firstLineChars="200"/>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式中Ai为第i个频点上同一种方式观测和计算的视电阻率ρω的相对误差；n为参加统计的频点数。</w:t>
      </w:r>
    </w:p>
    <w:p w14:paraId="1003EE1B">
      <w:pPr>
        <w:pageBreakBefore w:val="0"/>
        <w:wordWrap/>
        <w:topLinePunct/>
        <w:bidi w:val="0"/>
        <w:spacing w:line="360" w:lineRule="auto"/>
        <w:ind w:firstLine="480" w:firstLineChars="200"/>
        <w:outlineLvl w:val="9"/>
        <w:rPr>
          <w:rFonts w:hint="eastAsia" w:ascii="仿宋_GB2312" w:hAnsi="仿宋_GB2312" w:eastAsia="仿宋_GB2312" w:cs="仿宋_GB2312"/>
          <w:sz w:val="24"/>
          <w:szCs w:val="24"/>
        </w:rPr>
      </w:pPr>
      <w:bookmarkStart w:id="500" w:name="_Toc237761400"/>
      <w:bookmarkEnd w:id="500"/>
      <w:bookmarkStart w:id="501" w:name="_Toc237761495"/>
      <w:r>
        <w:rPr>
          <w:rFonts w:hint="eastAsia" w:ascii="仿宋_GB2312" w:hAnsi="仿宋_GB2312" w:eastAsia="仿宋_GB2312" w:cs="仿宋_GB2312"/>
          <w:sz w:val="24"/>
          <w:szCs w:val="24"/>
        </w:rPr>
        <w:t>（</w:t>
      </w:r>
      <w:bookmarkEnd w:id="501"/>
      <w:r>
        <w:rPr>
          <w:rFonts w:hint="eastAsia" w:ascii="仿宋_GB2312" w:hAnsi="仿宋_GB2312" w:eastAsia="仿宋_GB2312" w:cs="仿宋_GB2312"/>
          <w:sz w:val="24"/>
          <w:szCs w:val="24"/>
        </w:rPr>
        <w:t>11）数据处理</w:t>
      </w:r>
    </w:p>
    <w:p w14:paraId="7461E5DE">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每天野外施工结束，应立即将仪器自动采集并存储在可移动闪存卡（CF卡）中的数据回放到计算机，进行室内后期处理。室内数据处理使用AMT专用处理软件进行。数据预处理过程是关键，它直接影响到反演结果。处理的总原则必须做到客观、合理、准确。反演处理要遵循从已知到未知的原则。其他要求按照《大地电磁测深法技术规程》（DZ∕T 0173-2022）和《天然场音频大地电磁法技术规程》(DZ/T 0305-2017)相关要求执行。</w:t>
      </w:r>
    </w:p>
    <w:p w14:paraId="123083CC">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2．三维激电测量</w:t>
      </w:r>
    </w:p>
    <w:p w14:paraId="4D072F53">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（1）测地工作仪器设备</w:t>
      </w:r>
    </w:p>
    <w:p w14:paraId="5D26B1DE">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中海达 V60GNSS RTK 系统一套、GARMIN 201X手持 GPS若干台。其中中海达V60GNSS RTK 系统主要用于控制测量、基点放样、基线布设与测线端点布设。GARMIN 201X手持GPS主要用于测量过程中的测点布置与 MN电极布置。</w:t>
      </w:r>
    </w:p>
    <w:p w14:paraId="3A348703">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（2）三维激电仪器设备</w:t>
      </w:r>
    </w:p>
    <w:p w14:paraId="1D440EBE">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a、发射机</w:t>
      </w:r>
    </w:p>
    <w:p w14:paraId="19D68C31">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本次工作选用国科仪器ELOG-4三维激电系统，主要技术参数如下：</w:t>
      </w:r>
    </w:p>
    <w:p w14:paraId="756E5244">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发射电压：50V-1000V；</w:t>
      </w:r>
    </w:p>
    <w:p w14:paraId="215970BF">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发射电流：0-60A；</w:t>
      </w:r>
    </w:p>
    <w:p w14:paraId="262A5F5A">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输出方式：恒压、恒流、恒功率模式；</w:t>
      </w:r>
    </w:p>
    <w:p w14:paraId="12E13A47">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输入电压：三相270V～480V；</w:t>
      </w:r>
    </w:p>
    <w:p w14:paraId="3346D397">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同步精度：±30ns，无GNSS信号10小时漂移小于1ms；</w:t>
      </w:r>
    </w:p>
    <w:p w14:paraId="708709D7">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保护功能：过压、过流、过热、缺相等；</w:t>
      </w:r>
    </w:p>
    <w:p w14:paraId="6AA514AB">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电流记录范围：±200A；</w:t>
      </w:r>
    </w:p>
    <w:p w14:paraId="30B6A09C">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电流记录带宽：DC 到82kHz；</w:t>
      </w:r>
    </w:p>
    <w:p w14:paraId="1E283BB2">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b、ELOG-4智能激电接收机</w:t>
      </w:r>
    </w:p>
    <w:p w14:paraId="3CED522C">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通道数：4通道；</w:t>
      </w:r>
    </w:p>
    <w:p w14:paraId="75280EFE">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AD转换器：32位高精高速ADC；</w:t>
      </w:r>
    </w:p>
    <w:p w14:paraId="68D304FA">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动态范围：系统160dB，瞬间130dB@1kHz，0dB；</w:t>
      </w:r>
    </w:p>
    <w:p w14:paraId="1A3CBDBF">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电压测量范围：±2500mV；</w:t>
      </w:r>
    </w:p>
    <w:p w14:paraId="2A430AB4">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测量电压分辨率：5nV；</w:t>
      </w:r>
    </w:p>
    <w:p w14:paraId="6748B677">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测量电压精度：电压＞1mV时精度≤0.1%，电压≤1mV时精度±1uV；</w:t>
      </w:r>
    </w:p>
    <w:p w14:paraId="44D21593">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视极化率测量精度：相对误差≤±0.2%；</w:t>
      </w:r>
    </w:p>
    <w:p w14:paraId="37641CD0">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噪声水平：&lt;5nV/√Hz@1kHz，36 dB；</w:t>
      </w:r>
    </w:p>
    <w:p w14:paraId="7F8C17CB">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输入阻抗：&gt;10兆欧；</w:t>
      </w:r>
    </w:p>
    <w:p w14:paraId="1D22E040">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同步精度：±30ns，无GNSS信号10小时漂移小于1ms；</w:t>
      </w:r>
    </w:p>
    <w:p w14:paraId="36C9DCC5">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处理器：ARM A8+FPGA双核处理器。</w:t>
      </w:r>
    </w:p>
    <w:p w14:paraId="255445A3">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c、仪器标定校验</w:t>
      </w:r>
    </w:p>
    <w:p w14:paraId="7BF18F48">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开工前严格按“仪器操作说明书” 对仪器进行检查，具体做到：</w:t>
      </w:r>
    </w:p>
    <w:p w14:paraId="5DF459C0">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①发射机供电电压指示精度为±1%，供电电流指示精度为±1%，实际工作中需使用高精度传感器或分流器记录发射电流时间序列文件，室内整理时校对实际读数与时间序列计算的差值。</w:t>
      </w:r>
    </w:p>
    <w:p w14:paraId="21B8DFAE">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②接收机标称输入阻抗≥5GΩ，在生产期间，需定期进行检查，接收机输入阻抗必须大于100MΩ，确保整个生产过程仪器性能良好。</w:t>
      </w:r>
    </w:p>
    <w:p w14:paraId="2D1F6724">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③定期对仪器进行标定检查，采用8位以上标准电源分别进行100mV、10mV、1mV档位进行测试，精度应满足要求。</w:t>
      </w:r>
    </w:p>
    <w:p w14:paraId="2C7D07CB">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d、接收机一致性</w:t>
      </w:r>
    </w:p>
    <w:p w14:paraId="49A40338">
      <w:pPr>
        <w:pageBreakBefore w:val="0"/>
        <w:wordWrap/>
        <w:topLinePunct/>
        <w:bidi w:val="0"/>
        <w:adjustRightInd w:val="0"/>
        <w:snapToGrid w:val="0"/>
        <w:spacing w:line="360" w:lineRule="auto"/>
        <w:ind w:firstLine="480" w:firstLineChars="200"/>
        <w:outlineLvl w:val="9"/>
        <w:rPr>
          <w:rFonts w:hint="eastAsia" w:ascii="宋体" w:hAnsi="宋体"/>
          <w:color w:val="000000"/>
          <w:sz w:val="24"/>
          <w:szCs w:val="24"/>
        </w:rPr>
      </w:pPr>
      <w:r>
        <w:rPr>
          <w:rFonts w:hint="eastAsia" w:ascii="仿宋_GB2312" w:hAnsi="仿宋_GB2312" w:eastAsia="仿宋_GB2312" w:cs="仿宋_GB2312"/>
          <w:color w:val="000000"/>
          <w:sz w:val="24"/>
          <w:szCs w:val="24"/>
        </w:rPr>
        <w:t>仪器开工前及工作结束后使用自制的高精度信号模拟器进行多组标准值对投入使用的所有仪器进行一致性检测，分别计算各台仪器与标准电源的均方相对误差。这个误差如大于设计总精度的三分之二，应对该仪器调试，使其达到上述要求或不在本区使用。计算均方相对误差公式如下：</w:t>
      </w:r>
    </w:p>
    <w:p w14:paraId="2377F1E7">
      <w:pPr>
        <w:pageBreakBefore w:val="0"/>
        <w:wordWrap/>
        <w:topLinePunct/>
        <w:bidi w:val="0"/>
        <w:adjustRightInd w:val="0"/>
        <w:snapToGrid w:val="0"/>
        <w:spacing w:line="360" w:lineRule="auto"/>
        <w:jc w:val="center"/>
        <w:outlineLvl w:val="9"/>
        <w:rPr>
          <w:rFonts w:hint="eastAsia" w:ascii="宋体" w:hAnsi="宋体"/>
          <w:color w:val="000000"/>
          <w:sz w:val="24"/>
          <w:szCs w:val="24"/>
        </w:rPr>
      </w:pPr>
      <w:r>
        <w:rPr>
          <w:sz w:val="24"/>
          <w:szCs w:val="24"/>
        </w:rPr>
        <w:drawing>
          <wp:inline distT="0" distB="0" distL="114300" distR="114300">
            <wp:extent cx="2061845" cy="574040"/>
            <wp:effectExtent l="0" t="0" r="0" b="0"/>
            <wp:docPr id="151" name="图片 236" descr="C:\Users\lyx\AppData\Local\Temp\ksohtml\wps8A7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36" descr="C:\Users\lyx\AppData\Local\Temp\ksohtml\wps8A79.tmp.png"/>
                    <pic:cNvPicPr>
                      <a:picLocks noChangeAspect="1"/>
                    </pic:cNvPicPr>
                  </pic:nvPicPr>
                  <pic:blipFill>
                    <a:blip r:embed="rId499"/>
                    <a:stretch>
                      <a:fillRect/>
                    </a:stretch>
                  </pic:blipFill>
                  <pic:spPr>
                    <a:xfrm>
                      <a:off x="0" y="0"/>
                      <a:ext cx="2061845" cy="574040"/>
                    </a:xfrm>
                    <a:prstGeom prst="rect">
                      <a:avLst/>
                    </a:prstGeom>
                    <a:noFill/>
                    <a:ln>
                      <a:noFill/>
                    </a:ln>
                  </pic:spPr>
                </pic:pic>
              </a:graphicData>
            </a:graphic>
          </wp:inline>
        </w:drawing>
      </w:r>
    </w:p>
    <w:p w14:paraId="0C9098FD">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式中：</w:t>
      </w:r>
      <w:r>
        <w:rPr>
          <w:rFonts w:hint="eastAsia" w:ascii="仿宋_GB2312" w:hAnsi="仿宋_GB2312" w:eastAsia="仿宋_GB2312" w:cs="仿宋_GB2312"/>
          <w:sz w:val="24"/>
          <w:szCs w:val="24"/>
        </w:rPr>
        <w:drawing>
          <wp:inline distT="0" distB="0" distL="114300" distR="114300">
            <wp:extent cx="224155" cy="224155"/>
            <wp:effectExtent l="0" t="0" r="0" b="0"/>
            <wp:docPr id="152" name="图片 237" descr="C:\Users\lyx\AppData\Local\Temp\ksohtml\wps8A7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37" descr="C:\Users\lyx\AppData\Local\Temp\ksohtml\wps8A7A.tmp.png"/>
                    <pic:cNvPicPr>
                      <a:picLocks noChangeAspect="1"/>
                    </pic:cNvPicPr>
                  </pic:nvPicPr>
                  <pic:blipFill>
                    <a:blip r:embed="rId500"/>
                    <a:stretch>
                      <a:fillRect/>
                    </a:stretch>
                  </pic:blipFill>
                  <pic:spPr>
                    <a:xfrm>
                      <a:off x="0" y="0"/>
                      <a:ext cx="224155" cy="224155"/>
                    </a:xfrm>
                    <a:prstGeom prst="rect">
                      <a:avLst/>
                    </a:prstGeom>
                    <a:noFill/>
                    <a:ln>
                      <a:noFill/>
                    </a:ln>
                  </pic:spPr>
                </pic:pic>
              </a:graphicData>
            </a:graphic>
          </wp:inline>
        </w:drawing>
      </w:r>
      <w:r>
        <w:rPr>
          <w:rFonts w:hint="eastAsia" w:ascii="仿宋_GB2312" w:hAnsi="仿宋_GB2312" w:eastAsia="仿宋_GB2312" w:cs="仿宋_GB2312"/>
          <w:color w:val="000000"/>
          <w:sz w:val="24"/>
          <w:szCs w:val="24"/>
        </w:rPr>
        <w:t>：第i点被测仪器观测数据；</w:t>
      </w:r>
    </w:p>
    <w:p w14:paraId="63A2B260">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drawing>
          <wp:inline distT="0" distB="0" distL="114300" distR="114300">
            <wp:extent cx="224155" cy="224155"/>
            <wp:effectExtent l="0" t="0" r="0" b="0"/>
            <wp:docPr id="153" name="图片 238" descr="C:\Users\lyx\AppData\Local\Temp\ksohtml\wps8A7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38" descr="C:\Users\lyx\AppData\Local\Temp\ksohtml\wps8A7B.tmp.png"/>
                    <pic:cNvPicPr>
                      <a:picLocks noChangeAspect="1"/>
                    </pic:cNvPicPr>
                  </pic:nvPicPr>
                  <pic:blipFill>
                    <a:blip r:embed="rId501"/>
                    <a:stretch>
                      <a:fillRect/>
                    </a:stretch>
                  </pic:blipFill>
                  <pic:spPr>
                    <a:xfrm>
                      <a:off x="0" y="0"/>
                      <a:ext cx="224155" cy="224155"/>
                    </a:xfrm>
                    <a:prstGeom prst="rect">
                      <a:avLst/>
                    </a:prstGeom>
                    <a:noFill/>
                    <a:ln>
                      <a:noFill/>
                    </a:ln>
                  </pic:spPr>
                </pic:pic>
              </a:graphicData>
            </a:graphic>
          </wp:inline>
        </w:drawing>
      </w:r>
      <w:r>
        <w:rPr>
          <w:rFonts w:hint="eastAsia" w:ascii="仿宋_GB2312" w:hAnsi="仿宋_GB2312" w:eastAsia="仿宋_GB2312" w:cs="仿宋_GB2312"/>
          <w:color w:val="000000"/>
          <w:sz w:val="24"/>
          <w:szCs w:val="24"/>
        </w:rPr>
        <w:t>：第i点“标准”仪器观测数据；</w:t>
      </w:r>
    </w:p>
    <w:p w14:paraId="488C6027">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drawing>
          <wp:inline distT="0" distB="0" distL="114300" distR="114300">
            <wp:extent cx="134620" cy="134620"/>
            <wp:effectExtent l="0" t="0" r="0" b="0"/>
            <wp:docPr id="154" name="图片 239" descr="C:\Users\lyx\AppData\Local\Temp\ksohtml\wps8A7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39" descr="C:\Users\lyx\AppData\Local\Temp\ksohtml\wps8A7C.tmp.png"/>
                    <pic:cNvPicPr>
                      <a:picLocks noChangeAspect="1"/>
                    </pic:cNvPicPr>
                  </pic:nvPicPr>
                  <pic:blipFill>
                    <a:blip r:embed="rId502"/>
                    <a:stretch>
                      <a:fillRect/>
                    </a:stretch>
                  </pic:blipFill>
                  <pic:spPr>
                    <a:xfrm>
                      <a:off x="0" y="0"/>
                      <a:ext cx="134620" cy="134620"/>
                    </a:xfrm>
                    <a:prstGeom prst="rect">
                      <a:avLst/>
                    </a:prstGeom>
                    <a:noFill/>
                    <a:ln>
                      <a:noFill/>
                    </a:ln>
                  </pic:spPr>
                </pic:pic>
              </a:graphicData>
            </a:graphic>
          </wp:inline>
        </w:drawing>
      </w:r>
      <w:r>
        <w:rPr>
          <w:rFonts w:hint="eastAsia" w:ascii="仿宋_GB2312" w:hAnsi="仿宋_GB2312" w:eastAsia="仿宋_GB2312" w:cs="仿宋_GB2312"/>
          <w:color w:val="000000"/>
          <w:sz w:val="24"/>
          <w:szCs w:val="24"/>
        </w:rPr>
        <w:t>：参加统计计算的测点数。</w:t>
      </w:r>
    </w:p>
    <w:p w14:paraId="3BD6E7FC">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（3）工作方法及技术要求</w:t>
      </w:r>
    </w:p>
    <w:p w14:paraId="35848A73">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①测地工作</w:t>
      </w:r>
    </w:p>
    <w:p w14:paraId="2504685C">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平面系统采用2000国家大地坐标系，高斯正投影，中央子午线为87°，统一3°分带，高程系统采用1985年国家高程基准。</w:t>
      </w:r>
    </w:p>
    <w:p w14:paraId="3DC66FA5">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激电测深剖面测线布设采用高精度GPS技术布设激电测深点位及各供电和测量电极点位。凡剖面端点、特殊测点（如某些测深点）、主要异常包括建议施工的工程位置，均应埋设固定标志。</w:t>
      </w:r>
    </w:p>
    <w:p w14:paraId="3CA0D73D">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质检采用等精度、同（或不同）仪器、不同人和不同时间施测，质检工作量不少于总工作量的5%，质量检查点应大致均匀分布；精度一般以平面点位中误差和高程中误差衡量，平面中误差小于±2m，高程中误差小于±5m。</w:t>
      </w:r>
    </w:p>
    <w:p w14:paraId="004270F6">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②电性参数测定</w:t>
      </w:r>
    </w:p>
    <w:p w14:paraId="1216B10B">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电性参数的测定采用室内标本测定法。使用的仪器为WDCB-1岩石标本电性测试仪。</w:t>
      </w:r>
    </w:p>
    <w:p w14:paraId="3579FA52">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标本测定法</w:t>
      </w:r>
    </w:p>
    <w:p w14:paraId="37FF2A6E">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室内标本的电性参数测定采用面团法测定。面团法属于简易的标本架法，用潮湿可塑的泥团(或面团)代替标本架进行测定。面团中适当加些硫酸铜溶液，以改善其导电性与防止发酵标本的采集应较均匀地分布于测区内，与异常有关的岩矿标本采集数量要超过30块，以便进行数理统计。测量前，保证岩石浸泡9小时以上，晾干后观测。晾干后统一拍照。测量标本尺寸，进行电性参数测量，记入电性记录本，后进行资料整理与检查测量。</w:t>
      </w:r>
    </w:p>
    <w:p w14:paraId="73546464">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③激电测深工作</w:t>
      </w:r>
    </w:p>
    <w:p w14:paraId="063CC804">
      <w:pPr>
        <w:pageBreakBefore w:val="0"/>
        <w:wordWrap/>
        <w:topLinePunct/>
        <w:bidi w:val="0"/>
        <w:adjustRightInd w:val="0"/>
        <w:snapToGrid w:val="0"/>
        <w:spacing w:line="360" w:lineRule="auto"/>
        <w:ind w:firstLine="480" w:firstLineChars="200"/>
        <w:outlineLvl w:val="9"/>
        <w:rPr>
          <w:rFonts w:ascii="宋体" w:hAnsi="宋体"/>
          <w:color w:val="000000"/>
          <w:sz w:val="24"/>
          <w:szCs w:val="24"/>
        </w:rPr>
      </w:pPr>
      <w:r>
        <w:rPr>
          <w:rFonts w:hint="eastAsia" w:ascii="仿宋_GB2312" w:hAnsi="仿宋_GB2312" w:eastAsia="仿宋_GB2312" w:cs="仿宋_GB2312"/>
          <w:color w:val="000000"/>
          <w:sz w:val="24"/>
          <w:szCs w:val="24"/>
        </w:rPr>
        <w:t>三维激电测深工作采用偏置单极-偶极装置，供电点位于部署测线之间(图4-2）。单点观测30个以上供电周期时间序列数据，经过相关软件预处理后保存M1～M20各延时窗口的充电率（mV/V）、一次电位（Vp）和电流（I）等参数。将发射极B固定在无穷远处，通过发射极A的移动使发射电极极距和方向发生变化，发射电极可以与测量电极垂直、平行或者成一定角度，以弥补信号强度的不足，从而获取不同方向和不同深度的地电信息。</w:t>
      </w:r>
    </w:p>
    <w:p w14:paraId="0765412E">
      <w:pPr>
        <w:pageBreakBefore w:val="0"/>
        <w:wordWrap/>
        <w:topLinePunct/>
        <w:bidi w:val="0"/>
        <w:jc w:val="center"/>
        <w:outlineLvl w:val="9"/>
        <w:rPr>
          <w:sz w:val="24"/>
          <w:szCs w:val="24"/>
        </w:rPr>
      </w:pPr>
      <w:r>
        <w:rPr>
          <w:sz w:val="24"/>
          <w:szCs w:val="24"/>
        </w:rPr>
        <w:drawing>
          <wp:inline distT="0" distB="0" distL="114300" distR="114300">
            <wp:extent cx="3997960" cy="3946525"/>
            <wp:effectExtent l="0" t="0" r="2540" b="6350"/>
            <wp:docPr id="155"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40"/>
                    <pic:cNvPicPr>
                      <a:picLocks noChangeAspect="1"/>
                    </pic:cNvPicPr>
                  </pic:nvPicPr>
                  <pic:blipFill>
                    <a:blip r:embed="rId503"/>
                    <a:srcRect t="1508"/>
                    <a:stretch>
                      <a:fillRect/>
                    </a:stretch>
                  </pic:blipFill>
                  <pic:spPr>
                    <a:xfrm>
                      <a:off x="0" y="0"/>
                      <a:ext cx="3997960" cy="3946525"/>
                    </a:xfrm>
                    <a:prstGeom prst="rect">
                      <a:avLst/>
                    </a:prstGeom>
                    <a:noFill/>
                    <a:ln>
                      <a:noFill/>
                    </a:ln>
                  </pic:spPr>
                </pic:pic>
              </a:graphicData>
            </a:graphic>
          </wp:inline>
        </w:drawing>
      </w:r>
    </w:p>
    <w:p w14:paraId="25DCF7B3">
      <w:pPr>
        <w:pageBreakBefore w:val="0"/>
        <w:wordWrap/>
        <w:bidi w:val="0"/>
        <w:adjustRightInd w:val="0"/>
        <w:snapToGrid w:val="0"/>
        <w:spacing w:line="360" w:lineRule="auto"/>
        <w:jc w:val="center"/>
        <w:outlineLvl w:val="9"/>
        <w:rPr>
          <w:rFonts w:ascii="宋体" w:hAnsi="宋体" w:cs="宋体"/>
          <w:b/>
          <w:bCs/>
          <w:sz w:val="24"/>
          <w:szCs w:val="24"/>
        </w:rPr>
      </w:pPr>
      <w:r>
        <w:rPr>
          <w:rFonts w:hint="eastAsia" w:ascii="宋体" w:hAnsi="宋体" w:cs="宋体"/>
          <w:b/>
          <w:bCs/>
          <w:sz w:val="24"/>
          <w:szCs w:val="24"/>
        </w:rPr>
        <w:t>图4-2  地面三维激电装置部署示意图</w:t>
      </w:r>
    </w:p>
    <w:p w14:paraId="712A53DE">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施工参数为：</w:t>
      </w:r>
    </w:p>
    <w:p w14:paraId="6DA6C275">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无穷远极：&gt;5000m；</w:t>
      </w:r>
    </w:p>
    <w:p w14:paraId="6680EF13">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工作周期：8～32秒；</w:t>
      </w:r>
    </w:p>
    <w:p w14:paraId="1570C50B">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观测极距(MN)：50m；</w:t>
      </w:r>
    </w:p>
    <w:p w14:paraId="0CCEA437">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线距：200m；</w:t>
      </w:r>
    </w:p>
    <w:p w14:paraId="5C36742F">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观测点距：50 m；</w:t>
      </w:r>
    </w:p>
    <w:p w14:paraId="620302EA">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隔离系数：1～45（根据地电条件，最大隔离系数可增加）。</w:t>
      </w:r>
    </w:p>
    <w:p w14:paraId="59E66EA0">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④野外工作方法与技术要求</w:t>
      </w:r>
    </w:p>
    <w:p w14:paraId="799C68BF">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A、工作参数与要求</w:t>
      </w:r>
    </w:p>
    <w:p w14:paraId="7B10541A">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施工前需要开展施工参数试验，对比拟采用的参数，最后确定采集参数。在以往激电工作的异常位置选择一条剖面，试验剖面的选择应兼顾异常段和正常场，选择供电周期8s、16s、32s及不同无穷远极距进行试验。</w:t>
      </w:r>
    </w:p>
    <w:p w14:paraId="7E492178">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接收机采集全波形时间序列信号，延时脉宽等参数可进行后处理。实际工作，根据测区耦合情况选择有明显下降段开始的数据，窗口选择为20ms的整倍数。</w:t>
      </w:r>
    </w:p>
    <w:p w14:paraId="47382252">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野外观测参数为充电率（mV/V）、Vp和电流I，为了保证数据准确、可靠，提高信噪比，在条件允许的前提下应尽量加大供电电流，保证接收机Vp读数不小于3mV。野外供电电源为大功率发电机，供电导线为4-6mm2的胶铜线。</w:t>
      </w:r>
    </w:p>
    <w:p w14:paraId="33EE573C">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B、导线和供电电极</w:t>
      </w:r>
    </w:p>
    <w:p w14:paraId="24D7F620">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选用内阻小、绝缘性能好、轻便、强度高的导线，供电导线电阻一般不超过3Ω／km，耐压必须高于发送机的工作电压。导线的绝缘电阻应每公里大于2MΩ／500v。对于长度为D（km）的导线，其绝缘电阻应按R≥2/D（MΩ）要求。</w:t>
      </w:r>
    </w:p>
    <w:p w14:paraId="0BAA2AC6">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供电电极一般采用深埋铝箔，其规格和数量可根据测区接地条件及供电电流强度选定。测量电极用不极化电极，要求性能稳定，内阻应小于2kΩ。</w:t>
      </w:r>
    </w:p>
    <w:p w14:paraId="3D3030FB">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测站或供电站应尽量靠近测线的观测段。通常，供电站设置在发电机附近，测站不宜距发电机过远。在地形恶劣、电源设备搬运受到限制时，应兼顾发电机设置的需要。对测站、供电站、发电机均应采取必要的防潮、防雨和防晒的措施。</w:t>
      </w:r>
    </w:p>
    <w:p w14:paraId="7E7EE2D3">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C、MN电极</w:t>
      </w:r>
    </w:p>
    <w:p w14:paraId="5FC643A5">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本次工作使用固体不极化电极，要求不极化电极内阻小于2KΩ，每组电极间的电位差要求小于5mV，日常使用需严格按厂家要求进行维护，避免长时间放置在干燥环境。</w:t>
      </w:r>
    </w:p>
    <w:p w14:paraId="0BAB9B07">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施工前将不极化电极放置在饱和盐水中，通过组合及成对电极观测的方式对投入使用的不极化电极进行测量，要求投入使用的不极化电极稳定。开工后定期对投入使用的不极化电极进行测量，对内阻、极差、稳定性等不符合要求的电极及时更换。</w:t>
      </w:r>
    </w:p>
    <w:p w14:paraId="442D20E4">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D、导线敷设</w:t>
      </w:r>
    </w:p>
    <w:p w14:paraId="5A87D01F">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自测站或供电站引出的导线均应分别固定，不得未经固定，直接插在仪器的插孔内，更不允许拴在仪器上。线架上未放完的导线应放开。供电导线一般应离开正在观测的线段一定距离D敷设。具体应视测量导线的长短、极距和延时的大小确定。通常取D为供电导线长度的2％以上。</w:t>
      </w:r>
    </w:p>
    <w:p w14:paraId="51D2687D">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E、供电电极接地</w:t>
      </w:r>
    </w:p>
    <w:p w14:paraId="24B45B6F">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供电电极通常深埋铝箔多坑并联组成。接地时，铝箔埋深在0.8m左右，看供电情况一般挖2个及以上。当需要较大的供电电流时，应主要依靠减小供电回路电阻的办法解决，K值的改变在±2％以内时，可不改算K值。</w:t>
      </w:r>
    </w:p>
    <w:p w14:paraId="0B44A10E">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F、测量电极接地</w:t>
      </w:r>
    </w:p>
    <w:p w14:paraId="5F44099B">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埋设测量电极的接地电阻应小于15kΩ。电极坑内不得留有砾石和杂物；地表干燥时，应提前向坑内浇水；测点岩石裸露时，应填以湿土。 测量电极应避免埋设在流水、污水里或废石、沙堆上；应尽量减小两电极的温差；电极的引出裸线不得与线架、杂草等接触；在测量过程中，电极附近不得有人为扰动，严禁在接收机附近用对讲机通话。</w:t>
      </w:r>
    </w:p>
    <w:p w14:paraId="46498AD0">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当实际接地点无法埋设电极而需移动接地点位时，一般在测地误差允许范围内可以自由移动，当需要移动较大距离时，可将两个测量电极垂直于测线作同方向、同距离移动，移动后的接地点应在记录本中注明，因此造成K值的改变在±4％内时，可不改算K值。</w:t>
      </w:r>
    </w:p>
    <w:p w14:paraId="5792B426">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G、漏电检查</w:t>
      </w:r>
    </w:p>
    <w:p w14:paraId="738A67FF">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在雨季和水系发育、潮湿地区工作时，漏电检查应经常进行。结束一个区段的观测工作，将线收回驻地时，应进行系统的绝缘检查和维修。在一天的工作中，至少应在开始和结束观测时、转移测线前后、装置改变排列以及装置改变极距时，进行供电和测量导线的漏电检查。在观测中，发现有漏电存在时，应立即排除，并根据漏电点的位置等因素分析漏电对已有观测结果的影响。应在漏电排除后逐点返回重新观测，直至有连续三个点的结果符合要求时为止。</w:t>
      </w:r>
    </w:p>
    <w:p w14:paraId="4510403A">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采用阵列式观测时应及时检查一次场电位的分布特征，在出现一次场电位未按正常场规律衰减时应认定观测过程中存在漏电，应及时开展检查测量，在检查点不符合要求时数据作废。</w:t>
      </w:r>
    </w:p>
    <w:p w14:paraId="5888AF02">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H、技术保安</w:t>
      </w:r>
    </w:p>
    <w:p w14:paraId="543D03A3">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认真作好技术保安工作是确保完成地质任务的重要条件之一。野外工作期间，必须经常进行安全生产教育。在使用仪器设备时，必须遵守有关规程和规范的规定。汽油必须妥善保管。所有野外工作人员，必须有安全用电和触电后急救的常识，电源和发送机必须有绝缘设备，供电系统的工作人员应使用绝缘胶鞋，绝缘手套等防护用品。供电电极附近应设有明显的警告标志，必要时应有专人看守。开工前，必须在确信供电回路、电极接地均属正常并布极人员已离开裸露导线和供电电极时方可供电；在未确证停止供电时不得触摸电极。在发电机停车后方可通知收线和移动电极。在供电回路上有人处理故障时不得供电，即使故障已经排除，也要与处理故障者取得联系后方可供电。雷雨时不得进行野外工作。</w:t>
      </w:r>
    </w:p>
    <w:p w14:paraId="3A71F31B">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I.质量检查及评价</w:t>
      </w:r>
    </w:p>
    <w:p w14:paraId="6C42DF4B">
      <w:pPr>
        <w:pageBreakBefore w:val="0"/>
        <w:wordWrap/>
        <w:topLinePunct/>
        <w:bidi w:val="0"/>
        <w:adjustRightInd w:val="0"/>
        <w:snapToGrid w:val="0"/>
        <w:spacing w:line="360" w:lineRule="auto"/>
        <w:ind w:firstLine="480" w:firstLineChars="200"/>
        <w:outlineLvl w:val="9"/>
        <w:rPr>
          <w:rFonts w:hint="eastAsia" w:ascii="宋体" w:hAnsi="宋体"/>
          <w:color w:val="000000"/>
          <w:sz w:val="24"/>
          <w:szCs w:val="24"/>
        </w:rPr>
      </w:pPr>
      <w:r>
        <w:rPr>
          <w:rFonts w:hint="eastAsia" w:ascii="仿宋_GB2312" w:hAnsi="仿宋_GB2312" w:eastAsia="仿宋_GB2312" w:cs="仿宋_GB2312"/>
          <w:color w:val="000000"/>
          <w:sz w:val="24"/>
          <w:szCs w:val="24"/>
        </w:rPr>
        <w:t>系统质量检查应根据生产情况安排在整个野外工作过程中，在时间、地段上都具有一定的代表性。激电测深的质检点按供电点计算，每个供电点的所有接收机观测点均参与精度计算，系统质量检查的工作量应大于总工作量的5%，总点数不能少于3点。本次工作精度评价标准见(表4-4)。</w:t>
      </w:r>
    </w:p>
    <w:p w14:paraId="2F284BE9">
      <w:pPr>
        <w:pageBreakBefore w:val="0"/>
        <w:wordWrap/>
        <w:bidi w:val="0"/>
        <w:adjustRightInd w:val="0"/>
        <w:snapToGrid w:val="0"/>
        <w:spacing w:line="312" w:lineRule="auto"/>
        <w:ind w:firstLine="482" w:firstLineChars="200"/>
        <w:jc w:val="left"/>
        <w:outlineLvl w:val="9"/>
        <w:rPr>
          <w:rFonts w:hint="eastAsia" w:ascii="宋体" w:hAnsi="宋体" w:cs="宋体"/>
          <w:b/>
          <w:sz w:val="24"/>
          <w:szCs w:val="24"/>
        </w:rPr>
      </w:pPr>
      <w:r>
        <w:rPr>
          <w:rFonts w:hint="eastAsia" w:ascii="宋体" w:hAnsi="宋体" w:cs="宋体"/>
          <w:b/>
          <w:sz w:val="24"/>
          <w:szCs w:val="24"/>
        </w:rPr>
        <w:t>表4-4                             工作精度表</w:t>
      </w:r>
    </w:p>
    <w:tbl>
      <w:tblPr>
        <w:tblStyle w:val="42"/>
        <w:tblW w:w="4879" w:type="pct"/>
        <w:tblInd w:w="25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3081"/>
        <w:gridCol w:w="2423"/>
        <w:gridCol w:w="1265"/>
        <w:gridCol w:w="1265"/>
      </w:tblGrid>
      <w:tr w14:paraId="3F89F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67" w:type="pct"/>
            <w:vMerge w:val="restart"/>
            <w:noWrap w:val="0"/>
            <w:vAlign w:val="center"/>
          </w:tcPr>
          <w:p w14:paraId="55F681F3">
            <w:pPr>
              <w:pageBreakBefore w:val="0"/>
              <w:wordWrap/>
              <w:topLinePunct/>
              <w:autoSpaceDE w:val="0"/>
              <w:autoSpaceDN w:val="0"/>
              <w:bidi w:val="0"/>
              <w:jc w:val="center"/>
              <w:outlineLvl w:val="9"/>
              <w:rPr>
                <w:rFonts w:hint="eastAsia" w:ascii="宋体" w:hAnsi="宋体"/>
                <w:sz w:val="24"/>
                <w:szCs w:val="24"/>
              </w:rPr>
            </w:pPr>
            <w:r>
              <w:rPr>
                <w:rFonts w:hint="eastAsia" w:ascii="宋体" w:hAnsi="宋体"/>
                <w:sz w:val="24"/>
                <w:szCs w:val="24"/>
              </w:rPr>
              <w:t>级别</w:t>
            </w:r>
          </w:p>
        </w:tc>
        <w:tc>
          <w:tcPr>
            <w:tcW w:w="3037" w:type="pct"/>
            <w:gridSpan w:val="2"/>
            <w:noWrap w:val="0"/>
            <w:vAlign w:val="center"/>
          </w:tcPr>
          <w:p w14:paraId="1B3A7C78">
            <w:pPr>
              <w:pageBreakBefore w:val="0"/>
              <w:wordWrap/>
              <w:topLinePunct/>
              <w:autoSpaceDE w:val="0"/>
              <w:autoSpaceDN w:val="0"/>
              <w:bidi w:val="0"/>
              <w:jc w:val="center"/>
              <w:outlineLvl w:val="9"/>
              <w:rPr>
                <w:rFonts w:hint="eastAsia" w:ascii="宋体" w:hAnsi="宋体"/>
                <w:sz w:val="24"/>
                <w:szCs w:val="24"/>
              </w:rPr>
            </w:pPr>
            <w:r>
              <w:rPr>
                <w:rFonts w:hint="eastAsia" w:ascii="宋体" w:hAnsi="宋体"/>
                <w:sz w:val="24"/>
                <w:szCs w:val="24"/>
              </w:rPr>
              <w:t>视极化率</w:t>
            </w:r>
            <w:r>
              <w:rPr>
                <w:rFonts w:hint="eastAsia" w:ascii="宋体" w:hAnsi="宋体"/>
                <w:kern w:val="0"/>
                <w:sz w:val="24"/>
                <w:szCs w:val="24"/>
              </w:rPr>
              <w:t>η</w:t>
            </w:r>
            <w:r>
              <w:rPr>
                <w:rFonts w:hint="eastAsia" w:ascii="宋体" w:hAnsi="宋体"/>
                <w:kern w:val="0"/>
                <w:sz w:val="24"/>
                <w:szCs w:val="24"/>
                <w:vertAlign w:val="subscript"/>
              </w:rPr>
              <w:t>s</w:t>
            </w:r>
          </w:p>
        </w:tc>
        <w:tc>
          <w:tcPr>
            <w:tcW w:w="0" w:type="auto"/>
            <w:gridSpan w:val="2"/>
            <w:noWrap w:val="0"/>
            <w:vAlign w:val="center"/>
          </w:tcPr>
          <w:p w14:paraId="0A71100B">
            <w:pPr>
              <w:pageBreakBefore w:val="0"/>
              <w:wordWrap/>
              <w:topLinePunct/>
              <w:autoSpaceDE w:val="0"/>
              <w:autoSpaceDN w:val="0"/>
              <w:bidi w:val="0"/>
              <w:jc w:val="center"/>
              <w:outlineLvl w:val="9"/>
              <w:rPr>
                <w:rFonts w:hint="eastAsia" w:ascii="宋体" w:hAnsi="宋体"/>
                <w:sz w:val="24"/>
                <w:szCs w:val="24"/>
              </w:rPr>
            </w:pPr>
            <w:r>
              <w:rPr>
                <w:rFonts w:hint="eastAsia" w:ascii="宋体" w:hAnsi="宋体"/>
                <w:sz w:val="24"/>
                <w:szCs w:val="24"/>
              </w:rPr>
              <w:t>视电阻率</w:t>
            </w:r>
            <w:r>
              <w:rPr>
                <w:rFonts w:hint="eastAsia" w:ascii="宋体" w:hAnsi="宋体"/>
                <w:kern w:val="0"/>
                <w:sz w:val="24"/>
                <w:szCs w:val="24"/>
              </w:rPr>
              <w:t>ρ</w:t>
            </w:r>
            <w:r>
              <w:rPr>
                <w:rFonts w:hint="eastAsia" w:ascii="宋体" w:hAnsi="宋体"/>
                <w:kern w:val="0"/>
                <w:sz w:val="24"/>
                <w:szCs w:val="24"/>
                <w:vertAlign w:val="subscript"/>
              </w:rPr>
              <w:t>s</w:t>
            </w:r>
          </w:p>
        </w:tc>
      </w:tr>
      <w:tr w14:paraId="16132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67" w:type="pct"/>
            <w:vMerge w:val="continue"/>
            <w:noWrap w:val="0"/>
            <w:vAlign w:val="center"/>
          </w:tcPr>
          <w:p w14:paraId="144EB6C6">
            <w:pPr>
              <w:pageBreakBefore w:val="0"/>
              <w:widowControl/>
              <w:wordWrap/>
              <w:topLinePunct/>
              <w:bidi w:val="0"/>
              <w:jc w:val="left"/>
              <w:outlineLvl w:val="9"/>
              <w:rPr>
                <w:rFonts w:ascii="宋体" w:hAnsi="宋体"/>
                <w:sz w:val="24"/>
                <w:szCs w:val="24"/>
              </w:rPr>
            </w:pPr>
          </w:p>
        </w:tc>
        <w:tc>
          <w:tcPr>
            <w:tcW w:w="1700" w:type="pct"/>
            <w:vMerge w:val="restart"/>
            <w:noWrap w:val="0"/>
            <w:vAlign w:val="center"/>
          </w:tcPr>
          <w:p w14:paraId="7D3A2C9B">
            <w:pPr>
              <w:pageBreakBefore w:val="0"/>
              <w:wordWrap/>
              <w:topLinePunct/>
              <w:autoSpaceDE w:val="0"/>
              <w:autoSpaceDN w:val="0"/>
              <w:bidi w:val="0"/>
              <w:jc w:val="center"/>
              <w:outlineLvl w:val="9"/>
              <w:rPr>
                <w:rFonts w:hint="eastAsia" w:ascii="宋体" w:hAnsi="宋体"/>
                <w:sz w:val="24"/>
                <w:szCs w:val="24"/>
              </w:rPr>
            </w:pPr>
            <w:r>
              <w:rPr>
                <w:rFonts w:hint="eastAsia" w:ascii="宋体" w:hAnsi="宋体"/>
                <w:sz w:val="24"/>
                <w:szCs w:val="24"/>
              </w:rPr>
              <w:t>总均方相对误差m</w:t>
            </w:r>
            <w:r>
              <w:rPr>
                <w:rFonts w:hint="eastAsia" w:ascii="宋体" w:hAnsi="宋体"/>
                <w:kern w:val="0"/>
                <w:sz w:val="24"/>
                <w:szCs w:val="24"/>
              </w:rPr>
              <w:t>η</w:t>
            </w:r>
            <w:r>
              <w:rPr>
                <w:rFonts w:hint="eastAsia" w:ascii="宋体" w:hAnsi="宋体"/>
                <w:kern w:val="0"/>
                <w:sz w:val="24"/>
                <w:szCs w:val="24"/>
                <w:vertAlign w:val="subscript"/>
              </w:rPr>
              <w:t>s</w:t>
            </w:r>
            <w:r>
              <w:rPr>
                <w:rFonts w:hint="eastAsia" w:ascii="宋体" w:hAnsi="宋体"/>
                <w:kern w:val="0"/>
                <w:sz w:val="24"/>
                <w:szCs w:val="24"/>
              </w:rPr>
              <w:t>＞3%时</w:t>
            </w:r>
          </w:p>
        </w:tc>
        <w:tc>
          <w:tcPr>
            <w:tcW w:w="1337" w:type="pct"/>
            <w:vMerge w:val="restart"/>
            <w:noWrap w:val="0"/>
            <w:vAlign w:val="center"/>
          </w:tcPr>
          <w:p w14:paraId="1DFF14FE">
            <w:pPr>
              <w:pageBreakBefore w:val="0"/>
              <w:wordWrap/>
              <w:topLinePunct/>
              <w:autoSpaceDE w:val="0"/>
              <w:autoSpaceDN w:val="0"/>
              <w:bidi w:val="0"/>
              <w:jc w:val="center"/>
              <w:outlineLvl w:val="9"/>
              <w:rPr>
                <w:rFonts w:hint="eastAsia" w:ascii="宋体" w:hAnsi="宋体"/>
                <w:sz w:val="24"/>
                <w:szCs w:val="24"/>
              </w:rPr>
            </w:pPr>
            <w:r>
              <w:rPr>
                <w:rFonts w:hint="eastAsia" w:ascii="宋体" w:hAnsi="宋体"/>
                <w:sz w:val="24"/>
                <w:szCs w:val="24"/>
              </w:rPr>
              <w:t>总均方误差ε</w:t>
            </w:r>
            <w:r>
              <w:rPr>
                <w:rFonts w:hint="eastAsia" w:ascii="宋体" w:hAnsi="宋体"/>
                <w:kern w:val="0"/>
                <w:sz w:val="24"/>
                <w:szCs w:val="24"/>
              </w:rPr>
              <w:t>η</w:t>
            </w:r>
            <w:r>
              <w:rPr>
                <w:rFonts w:hint="eastAsia" w:ascii="宋体" w:hAnsi="宋体"/>
                <w:kern w:val="0"/>
                <w:sz w:val="24"/>
                <w:szCs w:val="24"/>
                <w:vertAlign w:val="subscript"/>
              </w:rPr>
              <w:t>s</w:t>
            </w:r>
            <w:r>
              <w:rPr>
                <w:rFonts w:hint="eastAsia" w:ascii="宋体" w:hAnsi="宋体"/>
                <w:kern w:val="0"/>
                <w:sz w:val="24"/>
                <w:szCs w:val="24"/>
              </w:rPr>
              <w:t>≤3%时</w:t>
            </w:r>
          </w:p>
        </w:tc>
        <w:tc>
          <w:tcPr>
            <w:tcW w:w="0" w:type="auto"/>
            <w:gridSpan w:val="2"/>
            <w:noWrap w:val="0"/>
            <w:vAlign w:val="center"/>
          </w:tcPr>
          <w:p w14:paraId="50D6016A">
            <w:pPr>
              <w:pageBreakBefore w:val="0"/>
              <w:wordWrap/>
              <w:topLinePunct/>
              <w:autoSpaceDE w:val="0"/>
              <w:autoSpaceDN w:val="0"/>
              <w:bidi w:val="0"/>
              <w:jc w:val="center"/>
              <w:outlineLvl w:val="9"/>
              <w:rPr>
                <w:rFonts w:hint="eastAsia" w:ascii="宋体" w:hAnsi="宋体"/>
                <w:sz w:val="24"/>
                <w:szCs w:val="24"/>
              </w:rPr>
            </w:pPr>
            <w:r>
              <w:rPr>
                <w:rFonts w:hint="eastAsia" w:ascii="宋体" w:hAnsi="宋体"/>
                <w:sz w:val="24"/>
                <w:szCs w:val="24"/>
              </w:rPr>
              <w:t>总均方相对误差m</w:t>
            </w:r>
          </w:p>
        </w:tc>
      </w:tr>
      <w:tr w14:paraId="1A1B14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67" w:type="pct"/>
            <w:vMerge w:val="continue"/>
            <w:noWrap w:val="0"/>
            <w:vAlign w:val="center"/>
          </w:tcPr>
          <w:p w14:paraId="3B832E38">
            <w:pPr>
              <w:pageBreakBefore w:val="0"/>
              <w:widowControl/>
              <w:wordWrap/>
              <w:topLinePunct/>
              <w:bidi w:val="0"/>
              <w:jc w:val="left"/>
              <w:outlineLvl w:val="9"/>
              <w:rPr>
                <w:rFonts w:ascii="宋体" w:hAnsi="宋体"/>
                <w:sz w:val="24"/>
                <w:szCs w:val="24"/>
              </w:rPr>
            </w:pPr>
          </w:p>
        </w:tc>
        <w:tc>
          <w:tcPr>
            <w:tcW w:w="1700" w:type="pct"/>
            <w:vMerge w:val="continue"/>
            <w:noWrap w:val="0"/>
            <w:vAlign w:val="center"/>
          </w:tcPr>
          <w:p w14:paraId="0A9CD3B3">
            <w:pPr>
              <w:pageBreakBefore w:val="0"/>
              <w:widowControl/>
              <w:wordWrap/>
              <w:topLinePunct/>
              <w:bidi w:val="0"/>
              <w:jc w:val="left"/>
              <w:outlineLvl w:val="9"/>
              <w:rPr>
                <w:rFonts w:ascii="宋体" w:hAnsi="宋体"/>
                <w:sz w:val="24"/>
                <w:szCs w:val="24"/>
              </w:rPr>
            </w:pPr>
          </w:p>
        </w:tc>
        <w:tc>
          <w:tcPr>
            <w:tcW w:w="1337" w:type="pct"/>
            <w:vMerge w:val="continue"/>
            <w:noWrap w:val="0"/>
            <w:vAlign w:val="center"/>
          </w:tcPr>
          <w:p w14:paraId="2FB33F2B">
            <w:pPr>
              <w:pageBreakBefore w:val="0"/>
              <w:widowControl/>
              <w:wordWrap/>
              <w:topLinePunct/>
              <w:bidi w:val="0"/>
              <w:jc w:val="left"/>
              <w:outlineLvl w:val="9"/>
              <w:rPr>
                <w:rFonts w:ascii="宋体" w:hAnsi="宋体"/>
                <w:sz w:val="24"/>
                <w:szCs w:val="24"/>
              </w:rPr>
            </w:pPr>
          </w:p>
        </w:tc>
        <w:tc>
          <w:tcPr>
            <w:tcW w:w="0" w:type="auto"/>
            <w:noWrap w:val="0"/>
            <w:vAlign w:val="center"/>
          </w:tcPr>
          <w:p w14:paraId="147AB9CE">
            <w:pPr>
              <w:pageBreakBefore w:val="0"/>
              <w:wordWrap/>
              <w:topLinePunct/>
              <w:autoSpaceDE w:val="0"/>
              <w:autoSpaceDN w:val="0"/>
              <w:bidi w:val="0"/>
              <w:jc w:val="center"/>
              <w:outlineLvl w:val="9"/>
              <w:rPr>
                <w:rFonts w:hint="eastAsia" w:ascii="宋体" w:hAnsi="宋体"/>
                <w:sz w:val="24"/>
                <w:szCs w:val="24"/>
              </w:rPr>
            </w:pPr>
            <w:r>
              <w:rPr>
                <w:rFonts w:hint="eastAsia" w:ascii="宋体" w:hAnsi="宋体"/>
                <w:sz w:val="24"/>
                <w:szCs w:val="24"/>
              </w:rPr>
              <w:t>有位差</w:t>
            </w:r>
          </w:p>
        </w:tc>
        <w:tc>
          <w:tcPr>
            <w:tcW w:w="0" w:type="auto"/>
            <w:noWrap w:val="0"/>
            <w:vAlign w:val="center"/>
          </w:tcPr>
          <w:p w14:paraId="12C19C63">
            <w:pPr>
              <w:pageBreakBefore w:val="0"/>
              <w:wordWrap/>
              <w:topLinePunct/>
              <w:autoSpaceDE w:val="0"/>
              <w:autoSpaceDN w:val="0"/>
              <w:bidi w:val="0"/>
              <w:jc w:val="center"/>
              <w:outlineLvl w:val="9"/>
              <w:rPr>
                <w:rFonts w:hint="eastAsia" w:ascii="宋体" w:hAnsi="宋体"/>
                <w:sz w:val="24"/>
                <w:szCs w:val="24"/>
              </w:rPr>
            </w:pPr>
            <w:r>
              <w:rPr>
                <w:rFonts w:hint="eastAsia" w:ascii="宋体" w:hAnsi="宋体"/>
                <w:sz w:val="24"/>
                <w:szCs w:val="24"/>
              </w:rPr>
              <w:t>无位差</w:t>
            </w:r>
          </w:p>
        </w:tc>
      </w:tr>
      <w:tr w14:paraId="4D77F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67" w:type="pct"/>
            <w:noWrap w:val="0"/>
            <w:vAlign w:val="center"/>
          </w:tcPr>
          <w:p w14:paraId="0FBC196A">
            <w:pPr>
              <w:pageBreakBefore w:val="0"/>
              <w:wordWrap/>
              <w:topLinePunct/>
              <w:autoSpaceDE w:val="0"/>
              <w:autoSpaceDN w:val="0"/>
              <w:bidi w:val="0"/>
              <w:jc w:val="center"/>
              <w:outlineLvl w:val="9"/>
              <w:rPr>
                <w:rFonts w:hint="eastAsia" w:ascii="宋体" w:hAnsi="宋体"/>
                <w:sz w:val="24"/>
                <w:szCs w:val="24"/>
              </w:rPr>
            </w:pPr>
            <w:r>
              <w:rPr>
                <w:rFonts w:hint="eastAsia" w:ascii="宋体" w:hAnsi="宋体"/>
                <w:sz w:val="24"/>
                <w:szCs w:val="24"/>
              </w:rPr>
              <w:t>A</w:t>
            </w:r>
          </w:p>
        </w:tc>
        <w:tc>
          <w:tcPr>
            <w:tcW w:w="1700" w:type="pct"/>
            <w:noWrap w:val="0"/>
            <w:vAlign w:val="center"/>
          </w:tcPr>
          <w:p w14:paraId="7F78C08F">
            <w:pPr>
              <w:pageBreakBefore w:val="0"/>
              <w:wordWrap/>
              <w:topLinePunct/>
              <w:autoSpaceDE w:val="0"/>
              <w:autoSpaceDN w:val="0"/>
              <w:bidi w:val="0"/>
              <w:jc w:val="center"/>
              <w:outlineLvl w:val="9"/>
              <w:rPr>
                <w:rFonts w:hint="eastAsia" w:ascii="宋体" w:hAnsi="宋体"/>
                <w:sz w:val="24"/>
                <w:szCs w:val="24"/>
              </w:rPr>
            </w:pPr>
            <w:r>
              <w:rPr>
                <w:rFonts w:hint="eastAsia" w:ascii="宋体" w:hAnsi="宋体"/>
                <w:sz w:val="24"/>
                <w:szCs w:val="24"/>
              </w:rPr>
              <w:t>4%</w:t>
            </w:r>
          </w:p>
        </w:tc>
        <w:tc>
          <w:tcPr>
            <w:tcW w:w="1337" w:type="pct"/>
            <w:noWrap w:val="0"/>
            <w:vAlign w:val="center"/>
          </w:tcPr>
          <w:p w14:paraId="12615B69">
            <w:pPr>
              <w:pageBreakBefore w:val="0"/>
              <w:wordWrap/>
              <w:topLinePunct/>
              <w:autoSpaceDE w:val="0"/>
              <w:autoSpaceDN w:val="0"/>
              <w:bidi w:val="0"/>
              <w:jc w:val="center"/>
              <w:outlineLvl w:val="9"/>
              <w:rPr>
                <w:rFonts w:hint="eastAsia" w:ascii="宋体" w:hAnsi="宋体"/>
                <w:sz w:val="24"/>
                <w:szCs w:val="24"/>
              </w:rPr>
            </w:pPr>
            <w:r>
              <w:rPr>
                <w:rFonts w:hint="eastAsia" w:ascii="宋体" w:hAnsi="宋体"/>
                <w:sz w:val="24"/>
                <w:szCs w:val="24"/>
              </w:rPr>
              <w:t>0.12%</w:t>
            </w:r>
          </w:p>
        </w:tc>
        <w:tc>
          <w:tcPr>
            <w:tcW w:w="0" w:type="auto"/>
            <w:noWrap w:val="0"/>
            <w:vAlign w:val="center"/>
          </w:tcPr>
          <w:p w14:paraId="068D7619">
            <w:pPr>
              <w:pageBreakBefore w:val="0"/>
              <w:wordWrap/>
              <w:topLinePunct/>
              <w:autoSpaceDE w:val="0"/>
              <w:autoSpaceDN w:val="0"/>
              <w:bidi w:val="0"/>
              <w:jc w:val="center"/>
              <w:outlineLvl w:val="9"/>
              <w:rPr>
                <w:rFonts w:hint="eastAsia" w:ascii="宋体" w:hAnsi="宋体"/>
                <w:sz w:val="24"/>
                <w:szCs w:val="24"/>
              </w:rPr>
            </w:pPr>
            <w:r>
              <w:rPr>
                <w:rFonts w:hint="eastAsia" w:ascii="宋体" w:hAnsi="宋体"/>
                <w:sz w:val="24"/>
                <w:szCs w:val="24"/>
              </w:rPr>
              <w:t>7%</w:t>
            </w:r>
          </w:p>
        </w:tc>
        <w:tc>
          <w:tcPr>
            <w:tcW w:w="0" w:type="auto"/>
            <w:noWrap w:val="0"/>
            <w:vAlign w:val="center"/>
          </w:tcPr>
          <w:p w14:paraId="15FABC88">
            <w:pPr>
              <w:pageBreakBefore w:val="0"/>
              <w:wordWrap/>
              <w:topLinePunct/>
              <w:autoSpaceDE w:val="0"/>
              <w:autoSpaceDN w:val="0"/>
              <w:bidi w:val="0"/>
              <w:jc w:val="center"/>
              <w:outlineLvl w:val="9"/>
              <w:rPr>
                <w:rFonts w:hint="eastAsia" w:ascii="宋体" w:hAnsi="宋体"/>
                <w:sz w:val="24"/>
                <w:szCs w:val="24"/>
              </w:rPr>
            </w:pPr>
            <w:r>
              <w:rPr>
                <w:rFonts w:hint="eastAsia" w:ascii="宋体" w:hAnsi="宋体"/>
                <w:sz w:val="24"/>
                <w:szCs w:val="24"/>
              </w:rPr>
              <w:t>4%</w:t>
            </w:r>
          </w:p>
        </w:tc>
      </w:tr>
      <w:tr w14:paraId="666F1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67" w:type="pct"/>
            <w:noWrap w:val="0"/>
            <w:vAlign w:val="center"/>
          </w:tcPr>
          <w:p w14:paraId="1DF308BC">
            <w:pPr>
              <w:pageBreakBefore w:val="0"/>
              <w:wordWrap/>
              <w:topLinePunct/>
              <w:autoSpaceDE w:val="0"/>
              <w:autoSpaceDN w:val="0"/>
              <w:bidi w:val="0"/>
              <w:jc w:val="center"/>
              <w:outlineLvl w:val="9"/>
              <w:rPr>
                <w:rFonts w:hint="eastAsia" w:ascii="宋体" w:hAnsi="宋体"/>
                <w:sz w:val="24"/>
                <w:szCs w:val="24"/>
              </w:rPr>
            </w:pPr>
            <w:r>
              <w:rPr>
                <w:rFonts w:hint="eastAsia" w:ascii="宋体" w:hAnsi="宋体"/>
                <w:sz w:val="24"/>
                <w:szCs w:val="24"/>
              </w:rPr>
              <w:t>B</w:t>
            </w:r>
          </w:p>
        </w:tc>
        <w:tc>
          <w:tcPr>
            <w:tcW w:w="1700" w:type="pct"/>
            <w:noWrap w:val="0"/>
            <w:vAlign w:val="center"/>
          </w:tcPr>
          <w:p w14:paraId="418CCF2A">
            <w:pPr>
              <w:pageBreakBefore w:val="0"/>
              <w:wordWrap/>
              <w:topLinePunct/>
              <w:autoSpaceDE w:val="0"/>
              <w:autoSpaceDN w:val="0"/>
              <w:bidi w:val="0"/>
              <w:jc w:val="center"/>
              <w:outlineLvl w:val="9"/>
              <w:rPr>
                <w:rFonts w:hint="eastAsia" w:ascii="宋体" w:hAnsi="宋体"/>
                <w:sz w:val="24"/>
                <w:szCs w:val="24"/>
              </w:rPr>
            </w:pPr>
            <w:r>
              <w:rPr>
                <w:rFonts w:hint="eastAsia" w:ascii="宋体" w:hAnsi="宋体"/>
                <w:sz w:val="24"/>
                <w:szCs w:val="24"/>
              </w:rPr>
              <w:t>7%</w:t>
            </w:r>
          </w:p>
        </w:tc>
        <w:tc>
          <w:tcPr>
            <w:tcW w:w="1337" w:type="pct"/>
            <w:noWrap w:val="0"/>
            <w:vAlign w:val="center"/>
          </w:tcPr>
          <w:p w14:paraId="5157AED9">
            <w:pPr>
              <w:pageBreakBefore w:val="0"/>
              <w:wordWrap/>
              <w:topLinePunct/>
              <w:autoSpaceDE w:val="0"/>
              <w:autoSpaceDN w:val="0"/>
              <w:bidi w:val="0"/>
              <w:jc w:val="center"/>
              <w:outlineLvl w:val="9"/>
              <w:rPr>
                <w:rFonts w:hint="eastAsia" w:ascii="宋体" w:hAnsi="宋体"/>
                <w:sz w:val="24"/>
                <w:szCs w:val="24"/>
              </w:rPr>
            </w:pPr>
            <w:r>
              <w:rPr>
                <w:rFonts w:hint="eastAsia" w:ascii="宋体" w:hAnsi="宋体"/>
                <w:sz w:val="24"/>
                <w:szCs w:val="24"/>
              </w:rPr>
              <w:t>0.21%</w:t>
            </w:r>
          </w:p>
        </w:tc>
        <w:tc>
          <w:tcPr>
            <w:tcW w:w="0" w:type="auto"/>
            <w:noWrap w:val="0"/>
            <w:vAlign w:val="center"/>
          </w:tcPr>
          <w:p w14:paraId="3AFFE91E">
            <w:pPr>
              <w:pageBreakBefore w:val="0"/>
              <w:wordWrap/>
              <w:topLinePunct/>
              <w:autoSpaceDE w:val="0"/>
              <w:autoSpaceDN w:val="0"/>
              <w:bidi w:val="0"/>
              <w:jc w:val="center"/>
              <w:outlineLvl w:val="9"/>
              <w:rPr>
                <w:rFonts w:hint="eastAsia" w:ascii="宋体" w:hAnsi="宋体"/>
                <w:sz w:val="24"/>
                <w:szCs w:val="24"/>
              </w:rPr>
            </w:pPr>
            <w:r>
              <w:rPr>
                <w:rFonts w:hint="eastAsia" w:ascii="宋体" w:hAnsi="宋体"/>
                <w:sz w:val="24"/>
                <w:szCs w:val="24"/>
              </w:rPr>
              <w:t>12%</w:t>
            </w:r>
          </w:p>
        </w:tc>
        <w:tc>
          <w:tcPr>
            <w:tcW w:w="0" w:type="auto"/>
            <w:noWrap w:val="0"/>
            <w:vAlign w:val="center"/>
          </w:tcPr>
          <w:p w14:paraId="316303F5">
            <w:pPr>
              <w:pageBreakBefore w:val="0"/>
              <w:wordWrap/>
              <w:topLinePunct/>
              <w:autoSpaceDE w:val="0"/>
              <w:autoSpaceDN w:val="0"/>
              <w:bidi w:val="0"/>
              <w:jc w:val="center"/>
              <w:outlineLvl w:val="9"/>
              <w:rPr>
                <w:rFonts w:hint="eastAsia" w:ascii="宋体" w:hAnsi="宋体"/>
                <w:sz w:val="24"/>
                <w:szCs w:val="24"/>
              </w:rPr>
            </w:pPr>
            <w:r>
              <w:rPr>
                <w:rFonts w:hint="eastAsia" w:ascii="宋体" w:hAnsi="宋体"/>
                <w:sz w:val="24"/>
                <w:szCs w:val="24"/>
              </w:rPr>
              <w:t>7%</w:t>
            </w:r>
          </w:p>
        </w:tc>
      </w:tr>
    </w:tbl>
    <w:p w14:paraId="001D483E">
      <w:pPr>
        <w:pageBreakBefore w:val="0"/>
        <w:wordWrap/>
        <w:topLinePunct/>
        <w:bidi w:val="0"/>
        <w:adjustRightInd w:val="0"/>
        <w:snapToGrid w:val="0"/>
        <w:spacing w:line="360" w:lineRule="auto"/>
        <w:ind w:firstLine="480" w:firstLineChars="200"/>
        <w:outlineLvl w:val="9"/>
        <w:rPr>
          <w:rFonts w:ascii="宋体" w:hAnsi="宋体"/>
          <w:color w:val="000000"/>
          <w:sz w:val="24"/>
          <w:szCs w:val="24"/>
        </w:rPr>
      </w:pPr>
    </w:p>
    <w:p w14:paraId="15E6ED5C">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本测区设计精度选择A级标准，即视极化率总均方误差≤0.12%，视电阻率总均方相对误差mρs≤4%。</w:t>
      </w:r>
    </w:p>
    <w:p w14:paraId="305090C7">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J、室内整理与验收</w:t>
      </w:r>
    </w:p>
    <w:p w14:paraId="04F94A85">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a、时间序列读取</w:t>
      </w:r>
    </w:p>
    <w:p w14:paraId="53B7600E">
      <w:pPr>
        <w:pageBreakBefore w:val="0"/>
        <w:wordWrap/>
        <w:topLinePunct/>
        <w:bidi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ELOG-4三维激电系统发射机和接收机均自动记录原始时间序列及GPS数据（图4-3），每天收工后内业组需及时将数据传入计算机中，根</w:t>
      </w:r>
    </w:p>
    <w:p w14:paraId="58C13C3E">
      <w:pPr>
        <w:pageBreakBefore w:val="0"/>
        <w:wordWrap/>
        <w:topLinePunct/>
        <w:bidi w:val="0"/>
        <w:spacing w:line="360" w:lineRule="auto"/>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据野外工作记录，采用批处理的方式将点号、电流等信息写入原始文件。</w:t>
      </w:r>
    </w:p>
    <w:p w14:paraId="5ABA1650">
      <w:pPr>
        <w:pageBreakBefore w:val="0"/>
        <w:wordWrap/>
        <w:topLinePunct/>
        <w:bidi w:val="0"/>
        <w:spacing w:line="360" w:lineRule="auto"/>
        <w:jc w:val="center"/>
        <w:outlineLvl w:val="9"/>
        <w:rPr>
          <w:rFonts w:hint="eastAsia" w:ascii="仿宋_GB2312" w:hAnsi="仿宋_GB2312" w:eastAsia="仿宋_GB2312" w:cs="仿宋_GB2312"/>
          <w:color w:val="000000"/>
          <w:sz w:val="24"/>
          <w:szCs w:val="24"/>
        </w:rPr>
      </w:pPr>
      <w:r>
        <w:rPr>
          <w:sz w:val="24"/>
          <w:szCs w:val="24"/>
        </w:rPr>
        <w:drawing>
          <wp:inline distT="0" distB="0" distL="114300" distR="114300">
            <wp:extent cx="5598160" cy="1266825"/>
            <wp:effectExtent l="0" t="0" r="2540" b="0"/>
            <wp:docPr id="156"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41"/>
                    <pic:cNvPicPr>
                      <a:picLocks noChangeAspect="1"/>
                    </pic:cNvPicPr>
                  </pic:nvPicPr>
                  <pic:blipFill>
                    <a:blip r:embed="rId504"/>
                    <a:stretch>
                      <a:fillRect/>
                    </a:stretch>
                  </pic:blipFill>
                  <pic:spPr>
                    <a:xfrm>
                      <a:off x="0" y="0"/>
                      <a:ext cx="5598160" cy="1266825"/>
                    </a:xfrm>
                    <a:prstGeom prst="rect">
                      <a:avLst/>
                    </a:prstGeom>
                    <a:noFill/>
                    <a:ln>
                      <a:noFill/>
                    </a:ln>
                  </pic:spPr>
                </pic:pic>
              </a:graphicData>
            </a:graphic>
          </wp:inline>
        </w:drawing>
      </w:r>
    </w:p>
    <w:p w14:paraId="4F3D7B89">
      <w:pPr>
        <w:pageBreakBefore w:val="0"/>
        <w:wordWrap/>
        <w:bidi w:val="0"/>
        <w:adjustRightInd w:val="0"/>
        <w:snapToGrid w:val="0"/>
        <w:spacing w:line="360" w:lineRule="auto"/>
        <w:jc w:val="center"/>
        <w:outlineLvl w:val="9"/>
        <w:rPr>
          <w:rFonts w:ascii="宋体" w:hAnsi="宋体" w:cs="宋体"/>
          <w:b/>
          <w:bCs/>
          <w:sz w:val="24"/>
          <w:szCs w:val="24"/>
        </w:rPr>
      </w:pPr>
      <w:r>
        <w:rPr>
          <w:rFonts w:hint="eastAsia" w:ascii="宋体" w:hAnsi="宋体" w:cs="宋体"/>
          <w:b/>
          <w:bCs/>
          <w:sz w:val="24"/>
          <w:szCs w:val="24"/>
        </w:rPr>
        <w:t>图4-3  矿山激电采集时间序列信号</w:t>
      </w:r>
    </w:p>
    <w:p w14:paraId="75B041F6">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b、噪声监测与识别</w:t>
      </w:r>
    </w:p>
    <w:p w14:paraId="75F444C7">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传统采集方式是通过多处观测结果的误差来判断观测数据质量，此统计方法针对随机噪声有很好的压制效果。但在干扰矿山，噪声具备平静期的规律，利用此段数据可获得较好的数据质量，时间序列识别噪声可取得较好数据。</w:t>
      </w:r>
    </w:p>
    <w:p w14:paraId="0CF154FC">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施工前首先在测区典型干扰地段部署多台24小时噪声观测仪器，了解工区噪声干扰情况。施工时部署固定站，发射机操作员通过无线电、4G等方式实时监测噪声情况，使观测时间段包含平静段数据。</w:t>
      </w:r>
    </w:p>
    <w:p w14:paraId="1DC57E74">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c、斩波去耦</w:t>
      </w:r>
    </w:p>
    <w:p w14:paraId="177CDB98">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时间域激电采集时，当接收偶极平行靠近发射测线时会参数较强的电磁耦合，在冲放电过程中会出现正负尖峰，部分处理软件会将此数据代入计算，导致一次场计算出错，针对耦合数据采用斩波去耦方式对时间序列数据进行处理（图4-4）。</w:t>
      </w:r>
    </w:p>
    <w:p w14:paraId="045A928F">
      <w:pPr>
        <w:pageBreakBefore w:val="0"/>
        <w:wordWrap/>
        <w:topLinePunct/>
        <w:bidi w:val="0"/>
        <w:spacing w:line="360" w:lineRule="auto"/>
        <w:jc w:val="center"/>
        <w:outlineLvl w:val="9"/>
        <w:rPr>
          <w:rFonts w:ascii="宋体" w:hAnsi="宋体"/>
          <w:color w:val="000000"/>
          <w:sz w:val="24"/>
          <w:szCs w:val="24"/>
        </w:rPr>
      </w:pPr>
      <w:r>
        <w:rPr>
          <w:rFonts w:ascii="宋体" w:hAnsi="宋体"/>
          <w:color w:val="000000"/>
          <w:sz w:val="24"/>
          <w:szCs w:val="24"/>
        </w:rPr>
        <w:drawing>
          <wp:inline distT="0" distB="0" distL="114300" distR="114300">
            <wp:extent cx="5662930" cy="2019300"/>
            <wp:effectExtent l="0" t="0" r="0" b="0"/>
            <wp:docPr id="157"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42"/>
                    <pic:cNvPicPr>
                      <a:picLocks noChangeAspect="1"/>
                    </pic:cNvPicPr>
                  </pic:nvPicPr>
                  <pic:blipFill>
                    <a:blip r:embed="rId505"/>
                    <a:srcRect r="-1340" b="53069"/>
                    <a:stretch>
                      <a:fillRect/>
                    </a:stretch>
                  </pic:blipFill>
                  <pic:spPr>
                    <a:xfrm>
                      <a:off x="0" y="0"/>
                      <a:ext cx="5662930" cy="2019300"/>
                    </a:xfrm>
                    <a:prstGeom prst="rect">
                      <a:avLst/>
                    </a:prstGeom>
                    <a:noFill/>
                    <a:ln>
                      <a:noFill/>
                    </a:ln>
                  </pic:spPr>
                </pic:pic>
              </a:graphicData>
            </a:graphic>
          </wp:inline>
        </w:drawing>
      </w:r>
    </w:p>
    <w:p w14:paraId="49C4DB44">
      <w:pPr>
        <w:pageBreakBefore w:val="0"/>
        <w:wordWrap/>
        <w:bidi w:val="0"/>
        <w:adjustRightInd w:val="0"/>
        <w:snapToGrid w:val="0"/>
        <w:spacing w:line="360" w:lineRule="auto"/>
        <w:jc w:val="center"/>
        <w:outlineLvl w:val="9"/>
        <w:rPr>
          <w:rFonts w:ascii="宋体" w:hAnsi="宋体" w:cs="宋体"/>
          <w:b/>
          <w:bCs/>
          <w:sz w:val="24"/>
          <w:szCs w:val="24"/>
        </w:rPr>
      </w:pPr>
      <w:r>
        <w:rPr>
          <w:rFonts w:hint="eastAsia" w:ascii="宋体" w:hAnsi="宋体" w:cs="宋体"/>
          <w:b/>
          <w:bCs/>
          <w:sz w:val="24"/>
          <w:szCs w:val="24"/>
        </w:rPr>
        <w:t>图4-4  时间序列斩波去耦示意图</w:t>
      </w:r>
    </w:p>
    <w:p w14:paraId="0811539F">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d、极化率、电阻率计算</w:t>
      </w:r>
    </w:p>
    <w:p w14:paraId="5B5BE5BB">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测点极化率计算采用采用专用程序计算，提供程序提取供电周期及断电后上升延的方式进行自同步，采用正反供电的方式计算一次电位及自然电位。通过预设延时、窗口等计算不同时间的极化率参数。电阻率计算在EXCEL中进行，装置系数K值计算采用各供电、接收极实际坐标计算。</w:t>
      </w:r>
    </w:p>
    <w:p w14:paraId="7117AA55">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e、原始数据质量控制</w:t>
      </w:r>
    </w:p>
    <w:p w14:paraId="030B42A9">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原始时间序列数据通过与发射电流计算相关系数、各测点延时曲线衰减情况、趋势项统计、多次叠加误差等方式进行质量分级控制，同时保留电阻率、极化率参数的统计误差，用于反演参数设定。</w:t>
      </w:r>
    </w:p>
    <w:p w14:paraId="7D3E5772">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f、平面数据质量控制</w:t>
      </w:r>
    </w:p>
    <w:p w14:paraId="272B4DDC">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三维激电工作时，各供电点在阵列式接收平面上均会形成平面异常图。采集数据经过原始时间序列处理后，对每个发射点在程序中快速成图，对平面突变点或不同发射点异常测点进行识别筛选，进一步控制数据质量。</w:t>
      </w:r>
    </w:p>
    <w:p w14:paraId="6A341587">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g、反演处理</w:t>
      </w:r>
    </w:p>
    <w:p w14:paraId="332D29A8">
      <w:pPr>
        <w:pageBreakBefore w:val="0"/>
        <w:wordWrap/>
        <w:topLinePunct/>
        <w:bidi w:val="0"/>
        <w:adjustRightInd w:val="0"/>
        <w:snapToGrid w:val="0"/>
        <w:spacing w:line="360" w:lineRule="auto"/>
        <w:ind w:firstLine="480" w:firstLineChars="200"/>
        <w:outlineLvl w:val="9"/>
        <w:rPr>
          <w:rFonts w:hint="eastAsia" w:ascii="仿宋_GB2312" w:hAnsi="仿宋_GB2312" w:eastAsia="仿宋_GB2312" w:cs="仿宋_GB2312"/>
          <w:sz w:val="28"/>
          <w:szCs w:val="28"/>
        </w:rPr>
      </w:pPr>
      <w:r>
        <w:rPr>
          <w:rFonts w:hint="eastAsia" w:ascii="仿宋_GB2312" w:hAnsi="仿宋_GB2312" w:eastAsia="仿宋_GB2312" w:cs="仿宋_GB2312"/>
          <w:color w:val="000000"/>
          <w:sz w:val="24"/>
          <w:szCs w:val="24"/>
        </w:rPr>
        <w:t>三维激电测深数据经干扰点删除及定性分析后，结合测区地质特征选择合理的滤波系数比例，反演可使用RES3Dinv、UBCDCIP3D等软件。</w:t>
      </w:r>
    </w:p>
    <w:p w14:paraId="1DA34655">
      <w:pPr>
        <w:rPr>
          <w:rFonts w:hint="eastAsia" w:ascii="仿宋" w:hAnsi="仿宋" w:eastAsia="仿宋" w:cs="仿宋"/>
          <w:b/>
          <w:bCs/>
          <w:sz w:val="24"/>
          <w:szCs w:val="24"/>
        </w:rPr>
      </w:pPr>
      <w:r>
        <w:rPr>
          <w:rFonts w:hint="eastAsia" w:ascii="仿宋" w:hAnsi="仿宋" w:eastAsia="仿宋" w:cs="仿宋"/>
          <w:b/>
          <w:bCs/>
          <w:sz w:val="24"/>
          <w:szCs w:val="24"/>
        </w:rPr>
        <w:br w:type="page"/>
      </w:r>
    </w:p>
    <w:p w14:paraId="64C32F0B">
      <w:pPr>
        <w:keepNext/>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eastAsia" w:ascii="仿宋" w:hAnsi="仿宋" w:eastAsia="仿宋" w:cs="仿宋"/>
          <w:b/>
          <w:bCs/>
          <w:sz w:val="40"/>
          <w:szCs w:val="40"/>
          <w:lang w:eastAsia="zh-CN"/>
        </w:rPr>
      </w:pPr>
      <w:r>
        <w:rPr>
          <w:rFonts w:hint="eastAsia" w:ascii="仿宋" w:hAnsi="仿宋" w:eastAsia="仿宋" w:cs="仿宋"/>
          <w:b/>
          <w:bCs/>
          <w:snapToGrid w:val="0"/>
          <w:kern w:val="0"/>
          <w:sz w:val="24"/>
          <w:szCs w:val="24"/>
        </w:rPr>
        <w:t>⑫</w:t>
      </w:r>
      <w:r>
        <w:rPr>
          <w:rFonts w:hint="eastAsia" w:ascii="仿宋" w:hAnsi="仿宋" w:eastAsia="仿宋" w:cs="仿宋"/>
          <w:b/>
          <w:bCs/>
          <w:snapToGrid w:val="0"/>
          <w:kern w:val="0"/>
          <w:sz w:val="24"/>
          <w:szCs w:val="24"/>
          <w:lang w:eastAsia="zh-CN"/>
        </w:rPr>
        <w:t>、</w:t>
      </w:r>
      <w:r>
        <w:rPr>
          <w:rFonts w:hint="eastAsia" w:ascii="仿宋" w:hAnsi="仿宋" w:eastAsia="仿宋" w:cs="仿宋"/>
          <w:b/>
          <w:bCs/>
          <w:snapToGrid w:val="0"/>
          <w:kern w:val="0"/>
          <w:sz w:val="24"/>
          <w:szCs w:val="24"/>
        </w:rPr>
        <w:t>新疆准东伊吾县琼河坝一带铜金矿勘查</w:t>
      </w:r>
    </w:p>
    <w:p w14:paraId="2B373FF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bCs/>
          <w:snapToGrid w:val="0"/>
          <w:kern w:val="0"/>
          <w:sz w:val="24"/>
          <w:szCs w:val="24"/>
        </w:rPr>
      </w:pPr>
      <w:r>
        <w:rPr>
          <w:rFonts w:hint="eastAsia" w:ascii="仿宋" w:hAnsi="仿宋" w:eastAsia="仿宋" w:cs="仿宋"/>
          <w:b/>
          <w:bCs/>
          <w:snapToGrid w:val="0"/>
          <w:kern w:val="0"/>
          <w:sz w:val="24"/>
          <w:szCs w:val="24"/>
        </w:rPr>
        <w:t>一、服务内容：</w:t>
      </w:r>
    </w:p>
    <w:p w14:paraId="4DFE43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rPr>
        <w:t>勘查区位于新疆伊吾县淖毛湖镇北东一带，最近距淖毛湖镇10km，北邻蒙古国，行政区划属新疆伊吾县管辖</w:t>
      </w:r>
      <w:r>
        <w:rPr>
          <w:rFonts w:hint="eastAsia" w:ascii="仿宋" w:hAnsi="仿宋" w:eastAsia="仿宋" w:cs="仿宋"/>
          <w:sz w:val="24"/>
          <w:szCs w:val="24"/>
          <w:lang w:eastAsia="zh-CN"/>
        </w:rPr>
        <w:t>。勘查区地形起伏不大，最高海拔1135米，最低海拔418米，相对高差数十米，属低山丘陵荒滩戈壁区。微地貌形态以坡度缓、比高小的孤立残山和垄岗状地形最为发育，其次为干沟和洼地。</w:t>
      </w:r>
    </w:p>
    <w:p w14:paraId="2FE52C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勘查区属典型大陆性气候，降水稀少，四季干燥，冬季寒冷，夏季酷热，春秋多风，日夜温差大。七月最热，最高可达45℃以上；一月最冷，最低为-30℃；季节性温差可达75℃，昼夜温差10～20℃。年平均降水量10～25mm，总降水时间不超过20天，且多集中在7～8月，以非区域性暴雨形式降落，次数少，雨量大，时间短，常沿沟谷形成暂时性地表迳流，汇入山间洼地，稍纵即逝，蒸发迅速。冬季有积雪零星覆盖，翌年3月便可融尽。蒸发量极大，年蒸发量为降水量的百倍以上。春秋多风，一般风向为西北或东北向，风速2～2.5m/s，最大可达25m/s，可造成风灾。区内动植物资源十分贫乏，常见野生动物有鹅喉羚、跳鼠、蜥蜴等。沿河谷洼地分布有稀疏红柳、骆驼刺、沙拐枣、芦苇、芨芨草等。勘查区内无常驻居民，最近的居民点为淖毛湖镇，居民主要有汉族、维族和蒙古族，以从事农牧业生产为主，主要种植小麦、棉花和哈密瓜。勘查区及周边开采矿山主要有宝山铁矿、北山金矿，矿山一直在开采中。</w:t>
      </w:r>
    </w:p>
    <w:p w14:paraId="4F00756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rPr>
        <w:t>二、工作量：三维激电测量</w:t>
      </w:r>
      <w:r>
        <w:rPr>
          <w:rFonts w:hint="eastAsia" w:ascii="仿宋" w:hAnsi="仿宋" w:eastAsia="仿宋" w:cs="仿宋"/>
          <w:b/>
          <w:bCs/>
          <w:sz w:val="24"/>
          <w:szCs w:val="24"/>
          <w:lang w:val="en-US" w:eastAsia="zh-CN"/>
        </w:rPr>
        <w:t>4平方千米。</w:t>
      </w:r>
    </w:p>
    <w:p w14:paraId="3E88E42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三、技术要求</w:t>
      </w:r>
    </w:p>
    <w:p w14:paraId="5C31F50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 w:hAnsi="仿宋" w:eastAsia="仿宋" w:cs="仿宋"/>
          <w:kern w:val="21"/>
          <w:sz w:val="24"/>
          <w:szCs w:val="24"/>
        </w:rPr>
      </w:pPr>
      <w:r>
        <w:rPr>
          <w:rFonts w:hint="eastAsia" w:ascii="仿宋" w:hAnsi="仿宋" w:eastAsia="仿宋" w:cs="仿宋"/>
          <w:kern w:val="21"/>
          <w:sz w:val="24"/>
          <w:szCs w:val="24"/>
        </w:rPr>
        <w:t>1、仪器设备</w:t>
      </w:r>
    </w:p>
    <w:p w14:paraId="388779F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 w:hAnsi="仿宋" w:eastAsia="仿宋" w:cs="仿宋"/>
          <w:b/>
          <w:bCs/>
          <w:sz w:val="24"/>
          <w:szCs w:val="24"/>
        </w:rPr>
      </w:pPr>
      <w:r>
        <w:rPr>
          <w:rFonts w:hint="eastAsia" w:ascii="仿宋" w:hAnsi="仿宋" w:eastAsia="仿宋" w:cs="仿宋"/>
          <w:snapToGrid w:val="0"/>
          <w:kern w:val="21"/>
          <w:sz w:val="24"/>
          <w:szCs w:val="24"/>
        </w:rPr>
        <w:t>根据勘查任务、地电条件、勘探深度和工作精度合理地选定仪器设备的型号和数量。</w:t>
      </w:r>
    </w:p>
    <w:p w14:paraId="76B51D5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 w:hAnsi="仿宋" w:eastAsia="仿宋" w:cs="仿宋"/>
          <w:snapToGrid w:val="0"/>
          <w:sz w:val="24"/>
          <w:szCs w:val="24"/>
        </w:rPr>
      </w:pPr>
      <w:r>
        <w:rPr>
          <w:rFonts w:hint="eastAsia" w:ascii="仿宋" w:hAnsi="仿宋" w:eastAsia="仿宋" w:cs="仿宋"/>
          <w:snapToGrid w:val="0"/>
          <w:sz w:val="24"/>
          <w:szCs w:val="24"/>
        </w:rPr>
        <w:t>项目开工前及工作结束后撤离工地皆应进行一次仪器性能标定检查。具体要求如下：</w:t>
      </w:r>
    </w:p>
    <w:p w14:paraId="0559825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 w:hAnsi="仿宋" w:eastAsia="仿宋" w:cs="仿宋"/>
          <w:snapToGrid w:val="0"/>
          <w:sz w:val="24"/>
          <w:szCs w:val="24"/>
        </w:rPr>
      </w:pPr>
      <w:r>
        <w:rPr>
          <w:rFonts w:hint="eastAsia" w:ascii="仿宋" w:hAnsi="仿宋" w:eastAsia="仿宋" w:cs="仿宋"/>
          <w:snapToGrid w:val="0"/>
          <w:sz w:val="24"/>
          <w:szCs w:val="24"/>
        </w:rPr>
        <w:t>能用标准时间域模拟器进行标定检查的接收机，应用同一模拟器对各台仪器进行准确性和一致性标定检验。</w:t>
      </w:r>
    </w:p>
    <w:p w14:paraId="4CD26A4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 w:hAnsi="仿宋" w:eastAsia="仿宋" w:cs="仿宋"/>
          <w:snapToGrid w:val="0"/>
          <w:sz w:val="24"/>
          <w:szCs w:val="24"/>
        </w:rPr>
      </w:pPr>
      <w:r>
        <w:rPr>
          <w:rFonts w:hint="eastAsia" w:ascii="仿宋" w:hAnsi="仿宋" w:eastAsia="仿宋" w:cs="仿宋"/>
          <w:snapToGrid w:val="0"/>
          <w:sz w:val="24"/>
          <w:szCs w:val="24"/>
        </w:rPr>
        <w:t>用标准时间域激电模拟器标定检查接收机时，应选用模拟器ΔU1为1～100毫伏且在2～20%之间选择三个极化率值的标准输出信号对接收机做标定检测，其电位和极化率测量精度应满足表5-</w:t>
      </w:r>
      <w:r>
        <w:rPr>
          <w:rFonts w:hint="eastAsia" w:ascii="仿宋" w:hAnsi="仿宋" w:eastAsia="仿宋" w:cs="仿宋"/>
          <w:snapToGrid w:val="0"/>
          <w:sz w:val="24"/>
          <w:szCs w:val="24"/>
          <w:lang w:val="en-US" w:eastAsia="zh-CN"/>
        </w:rPr>
        <w:t>7</w:t>
      </w:r>
      <w:r>
        <w:rPr>
          <w:rFonts w:hint="eastAsia" w:ascii="仿宋" w:hAnsi="仿宋" w:eastAsia="仿宋" w:cs="仿宋"/>
          <w:snapToGrid w:val="0"/>
          <w:sz w:val="24"/>
          <w:szCs w:val="24"/>
        </w:rPr>
        <w:t>要求。</w:t>
      </w:r>
    </w:p>
    <w:p w14:paraId="163789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 w:hAnsi="仿宋" w:eastAsia="仿宋" w:cs="仿宋"/>
          <w:snapToGrid w:val="0"/>
          <w:kern w:val="21"/>
          <w:sz w:val="24"/>
          <w:szCs w:val="24"/>
        </w:rPr>
      </w:pPr>
      <w:r>
        <w:rPr>
          <w:rFonts w:hint="eastAsia" w:ascii="仿宋" w:hAnsi="仿宋" w:eastAsia="仿宋" w:cs="仿宋"/>
          <w:snapToGrid w:val="0"/>
          <w:kern w:val="21"/>
          <w:sz w:val="24"/>
          <w:szCs w:val="24"/>
        </w:rPr>
        <w:t>采用自身或其他专用检测仪器标定检查接收机的，其电位、极化率测档选择、精度要求可参照使用标准时间域激电模拟器的要求执行。</w:t>
      </w:r>
    </w:p>
    <w:p w14:paraId="65EEDA1F">
      <w:pPr>
        <w:pageBreakBefore w:val="0"/>
        <w:wordWrap/>
        <w:bidi w:val="0"/>
        <w:spacing w:line="360" w:lineRule="auto"/>
        <w:jc w:val="center"/>
        <w:outlineLvl w:val="9"/>
        <w:rPr>
          <w:rFonts w:hint="eastAsia" w:ascii="宋体" w:hAnsi="宋体" w:cs="宋体"/>
          <w:b/>
          <w:bCs/>
          <w:sz w:val="22"/>
          <w:szCs w:val="22"/>
        </w:rPr>
      </w:pPr>
      <w:r>
        <w:rPr>
          <w:rFonts w:hint="eastAsia" w:ascii="宋体" w:hAnsi="宋体" w:cs="宋体"/>
          <w:b/>
          <w:bCs/>
          <w:sz w:val="22"/>
          <w:szCs w:val="22"/>
        </w:rPr>
        <w:t>表5-</w:t>
      </w:r>
      <w:r>
        <w:rPr>
          <w:rFonts w:hint="eastAsia" w:ascii="宋体" w:hAnsi="宋体" w:cs="宋体"/>
          <w:b/>
          <w:bCs/>
          <w:sz w:val="22"/>
          <w:szCs w:val="22"/>
          <w:lang w:val="en-US" w:eastAsia="zh-CN"/>
        </w:rPr>
        <w:t>7</w:t>
      </w:r>
      <w:r>
        <w:rPr>
          <w:rFonts w:hint="eastAsia" w:ascii="宋体" w:hAnsi="宋体" w:cs="宋体"/>
          <w:b/>
          <w:bCs/>
          <w:sz w:val="22"/>
          <w:szCs w:val="22"/>
        </w:rPr>
        <w:t xml:space="preserve">  接收机性能指标要求</w:t>
      </w:r>
    </w:p>
    <w:tbl>
      <w:tblPr>
        <w:tblStyle w:val="42"/>
        <w:tblW w:w="0" w:type="auto"/>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80"/>
        <w:gridCol w:w="1887"/>
        <w:gridCol w:w="1014"/>
        <w:gridCol w:w="1015"/>
        <w:gridCol w:w="942"/>
        <w:gridCol w:w="944"/>
        <w:gridCol w:w="1475"/>
      </w:tblGrid>
      <w:tr w14:paraId="4AFFF0F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680" w:type="dxa"/>
            <w:tcBorders>
              <w:top w:val="single" w:color="auto" w:sz="4" w:space="0"/>
              <w:bottom w:val="single" w:color="auto" w:sz="4" w:space="0"/>
              <w:right w:val="single" w:color="auto" w:sz="4" w:space="0"/>
            </w:tcBorders>
            <w:noWrap w:val="0"/>
            <w:vAlign w:val="top"/>
          </w:tcPr>
          <w:p w14:paraId="32085FD4">
            <w:pPr>
              <w:pageBreakBefore w:val="0"/>
              <w:wordWrap/>
              <w:bidi w:val="0"/>
              <w:adjustRightInd w:val="0"/>
              <w:snapToGrid w:val="0"/>
              <w:spacing w:line="0" w:lineRule="atLeast"/>
              <w:jc w:val="center"/>
              <w:outlineLvl w:val="9"/>
              <w:rPr>
                <w:rFonts w:hint="eastAsia" w:ascii="宋体" w:hAnsi="宋体" w:cs="宋体"/>
                <w:sz w:val="20"/>
                <w:szCs w:val="20"/>
              </w:rPr>
            </w:pPr>
            <w:r>
              <w:rPr>
                <w:rFonts w:hint="eastAsia" w:ascii="宋体" w:hAnsi="宋体" w:cs="宋体"/>
                <w:sz w:val="20"/>
                <w:szCs w:val="20"/>
              </w:rPr>
              <w:t>电位测量分辨率</w:t>
            </w:r>
          </w:p>
        </w:tc>
        <w:tc>
          <w:tcPr>
            <w:tcW w:w="1887" w:type="dxa"/>
            <w:tcBorders>
              <w:top w:val="single" w:color="auto" w:sz="4" w:space="0"/>
              <w:left w:val="single" w:color="auto" w:sz="4" w:space="0"/>
              <w:bottom w:val="single" w:color="auto" w:sz="4" w:space="0"/>
              <w:right w:val="single" w:color="auto" w:sz="4" w:space="0"/>
            </w:tcBorders>
            <w:noWrap w:val="0"/>
            <w:vAlign w:val="top"/>
          </w:tcPr>
          <w:p w14:paraId="0C65CAF4">
            <w:pPr>
              <w:pageBreakBefore w:val="0"/>
              <w:wordWrap/>
              <w:bidi w:val="0"/>
              <w:adjustRightInd w:val="0"/>
              <w:snapToGrid w:val="0"/>
              <w:spacing w:line="0" w:lineRule="atLeast"/>
              <w:jc w:val="center"/>
              <w:outlineLvl w:val="9"/>
              <w:rPr>
                <w:rFonts w:hint="eastAsia" w:ascii="宋体" w:hAnsi="宋体" w:cs="宋体"/>
                <w:sz w:val="20"/>
                <w:szCs w:val="20"/>
              </w:rPr>
            </w:pPr>
            <w:r>
              <w:rPr>
                <w:rFonts w:hint="eastAsia" w:ascii="宋体" w:hAnsi="宋体" w:cs="宋体"/>
                <w:sz w:val="20"/>
                <w:szCs w:val="20"/>
              </w:rPr>
              <w:t>极化率测量分辨率</w:t>
            </w:r>
          </w:p>
        </w:tc>
        <w:tc>
          <w:tcPr>
            <w:tcW w:w="2029" w:type="dxa"/>
            <w:gridSpan w:val="2"/>
            <w:tcBorders>
              <w:top w:val="single" w:color="auto" w:sz="4" w:space="0"/>
              <w:left w:val="single" w:color="auto" w:sz="4" w:space="0"/>
              <w:bottom w:val="single" w:color="auto" w:sz="4" w:space="0"/>
              <w:right w:val="single" w:color="auto" w:sz="4" w:space="0"/>
            </w:tcBorders>
            <w:noWrap w:val="0"/>
            <w:vAlign w:val="center"/>
          </w:tcPr>
          <w:p w14:paraId="1CB486F4">
            <w:pPr>
              <w:pageBreakBefore w:val="0"/>
              <w:wordWrap/>
              <w:bidi w:val="0"/>
              <w:adjustRightInd w:val="0"/>
              <w:snapToGrid w:val="0"/>
              <w:spacing w:line="0" w:lineRule="atLeast"/>
              <w:jc w:val="center"/>
              <w:outlineLvl w:val="9"/>
              <w:rPr>
                <w:rFonts w:hint="eastAsia" w:ascii="宋体" w:hAnsi="宋体" w:cs="宋体"/>
                <w:sz w:val="20"/>
                <w:szCs w:val="20"/>
              </w:rPr>
            </w:pPr>
            <w:r>
              <w:rPr>
                <w:rFonts w:hint="eastAsia" w:ascii="宋体" w:hAnsi="宋体" w:cs="宋体"/>
                <w:sz w:val="20"/>
                <w:szCs w:val="20"/>
              </w:rPr>
              <w:t>电位测量精度/%</w:t>
            </w:r>
          </w:p>
        </w:tc>
        <w:tc>
          <w:tcPr>
            <w:tcW w:w="1886" w:type="dxa"/>
            <w:gridSpan w:val="2"/>
            <w:tcBorders>
              <w:top w:val="single" w:color="auto" w:sz="4" w:space="0"/>
              <w:left w:val="single" w:color="auto" w:sz="4" w:space="0"/>
              <w:bottom w:val="single" w:color="auto" w:sz="4" w:space="0"/>
              <w:right w:val="single" w:color="auto" w:sz="4" w:space="0"/>
            </w:tcBorders>
            <w:noWrap w:val="0"/>
            <w:vAlign w:val="center"/>
          </w:tcPr>
          <w:p w14:paraId="2C7EACD9">
            <w:pPr>
              <w:pageBreakBefore w:val="0"/>
              <w:wordWrap/>
              <w:bidi w:val="0"/>
              <w:adjustRightInd w:val="0"/>
              <w:snapToGrid w:val="0"/>
              <w:spacing w:line="0" w:lineRule="atLeast"/>
              <w:jc w:val="center"/>
              <w:outlineLvl w:val="9"/>
              <w:rPr>
                <w:rFonts w:hint="eastAsia" w:ascii="宋体" w:hAnsi="宋体" w:cs="宋体"/>
                <w:sz w:val="20"/>
                <w:szCs w:val="20"/>
              </w:rPr>
            </w:pPr>
            <w:r>
              <w:rPr>
                <w:rFonts w:hint="eastAsia" w:ascii="宋体" w:hAnsi="宋体" w:cs="宋体"/>
                <w:sz w:val="20"/>
                <w:szCs w:val="20"/>
              </w:rPr>
              <w:t>极化率测量精度/%</w:t>
            </w:r>
          </w:p>
        </w:tc>
        <w:tc>
          <w:tcPr>
            <w:tcW w:w="1475" w:type="dxa"/>
            <w:tcBorders>
              <w:top w:val="single" w:color="auto" w:sz="4" w:space="0"/>
              <w:left w:val="single" w:color="auto" w:sz="4" w:space="0"/>
              <w:bottom w:val="single" w:color="auto" w:sz="4" w:space="0"/>
            </w:tcBorders>
            <w:noWrap w:val="0"/>
            <w:vAlign w:val="top"/>
          </w:tcPr>
          <w:p w14:paraId="76F1B584">
            <w:pPr>
              <w:pageBreakBefore w:val="0"/>
              <w:wordWrap/>
              <w:bidi w:val="0"/>
              <w:adjustRightInd w:val="0"/>
              <w:snapToGrid w:val="0"/>
              <w:spacing w:line="0" w:lineRule="atLeast"/>
              <w:jc w:val="center"/>
              <w:outlineLvl w:val="9"/>
              <w:rPr>
                <w:rFonts w:hint="eastAsia" w:ascii="宋体" w:hAnsi="宋体" w:cs="宋体"/>
                <w:sz w:val="20"/>
                <w:szCs w:val="20"/>
              </w:rPr>
            </w:pPr>
            <w:r>
              <w:rPr>
                <w:rFonts w:hint="eastAsia" w:ascii="宋体" w:hAnsi="宋体" w:cs="宋体"/>
                <w:sz w:val="20"/>
                <w:szCs w:val="20"/>
              </w:rPr>
              <w:t>仪器输入阻抗</w:t>
            </w:r>
          </w:p>
        </w:tc>
      </w:tr>
      <w:tr w14:paraId="5AC38D0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680" w:type="dxa"/>
            <w:tcBorders>
              <w:top w:val="single" w:color="auto" w:sz="4" w:space="0"/>
              <w:bottom w:val="single" w:color="auto" w:sz="4" w:space="0"/>
              <w:right w:val="single" w:color="auto" w:sz="4" w:space="0"/>
            </w:tcBorders>
            <w:noWrap w:val="0"/>
            <w:vAlign w:val="top"/>
          </w:tcPr>
          <w:p w14:paraId="5513DC6C">
            <w:pPr>
              <w:pageBreakBefore w:val="0"/>
              <w:wordWrap/>
              <w:bidi w:val="0"/>
              <w:adjustRightInd w:val="0"/>
              <w:snapToGrid w:val="0"/>
              <w:spacing w:line="0" w:lineRule="atLeast"/>
              <w:jc w:val="center"/>
              <w:outlineLvl w:val="9"/>
              <w:rPr>
                <w:rFonts w:hint="eastAsia" w:ascii="宋体" w:hAnsi="宋体" w:cs="宋体"/>
                <w:sz w:val="20"/>
                <w:szCs w:val="20"/>
              </w:rPr>
            </w:pPr>
            <w:r>
              <w:rPr>
                <w:rFonts w:hint="eastAsia" w:ascii="宋体" w:hAnsi="宋体" w:cs="宋体"/>
                <w:sz w:val="20"/>
                <w:szCs w:val="20"/>
              </w:rPr>
              <w:t>μV</w:t>
            </w:r>
          </w:p>
        </w:tc>
        <w:tc>
          <w:tcPr>
            <w:tcW w:w="1887" w:type="dxa"/>
            <w:tcBorders>
              <w:top w:val="single" w:color="auto" w:sz="4" w:space="0"/>
              <w:left w:val="single" w:color="auto" w:sz="4" w:space="0"/>
              <w:bottom w:val="single" w:color="auto" w:sz="4" w:space="0"/>
              <w:right w:val="single" w:color="auto" w:sz="4" w:space="0"/>
            </w:tcBorders>
            <w:noWrap w:val="0"/>
            <w:vAlign w:val="top"/>
          </w:tcPr>
          <w:p w14:paraId="60D818EA">
            <w:pPr>
              <w:pageBreakBefore w:val="0"/>
              <w:wordWrap/>
              <w:bidi w:val="0"/>
              <w:adjustRightInd w:val="0"/>
              <w:snapToGrid w:val="0"/>
              <w:spacing w:line="0" w:lineRule="atLeast"/>
              <w:jc w:val="center"/>
              <w:outlineLvl w:val="9"/>
              <w:rPr>
                <w:rFonts w:hint="eastAsia" w:ascii="宋体" w:hAnsi="宋体" w:cs="宋体"/>
                <w:sz w:val="20"/>
                <w:szCs w:val="20"/>
              </w:rPr>
            </w:pPr>
            <w:r>
              <w:rPr>
                <w:rFonts w:hint="eastAsia" w:ascii="宋体" w:hAnsi="宋体" w:cs="宋体"/>
                <w:sz w:val="20"/>
                <w:szCs w:val="20"/>
              </w:rPr>
              <w:t>%</w:t>
            </w:r>
          </w:p>
        </w:tc>
        <w:tc>
          <w:tcPr>
            <w:tcW w:w="1014" w:type="dxa"/>
            <w:tcBorders>
              <w:top w:val="single" w:color="auto" w:sz="4" w:space="0"/>
              <w:left w:val="single" w:color="auto" w:sz="4" w:space="0"/>
              <w:bottom w:val="single" w:color="auto" w:sz="4" w:space="0"/>
              <w:right w:val="single" w:color="auto" w:sz="4" w:space="0"/>
            </w:tcBorders>
            <w:noWrap w:val="0"/>
            <w:vAlign w:val="top"/>
          </w:tcPr>
          <w:p w14:paraId="6747DD8E">
            <w:pPr>
              <w:pageBreakBefore w:val="0"/>
              <w:wordWrap/>
              <w:bidi w:val="0"/>
              <w:adjustRightInd w:val="0"/>
              <w:snapToGrid w:val="0"/>
              <w:spacing w:line="0" w:lineRule="atLeast"/>
              <w:jc w:val="center"/>
              <w:outlineLvl w:val="9"/>
              <w:rPr>
                <w:rFonts w:hint="eastAsia" w:ascii="宋体" w:hAnsi="宋体" w:cs="宋体"/>
                <w:sz w:val="20"/>
                <w:szCs w:val="20"/>
              </w:rPr>
            </w:pPr>
            <w:r>
              <w:rPr>
                <w:rFonts w:hint="eastAsia" w:ascii="宋体" w:hAnsi="宋体" w:cs="宋体"/>
                <w:sz w:val="20"/>
                <w:szCs w:val="20"/>
              </w:rPr>
              <w:t>≤3mV时</w:t>
            </w:r>
          </w:p>
        </w:tc>
        <w:tc>
          <w:tcPr>
            <w:tcW w:w="1015" w:type="dxa"/>
            <w:tcBorders>
              <w:top w:val="single" w:color="auto" w:sz="4" w:space="0"/>
              <w:left w:val="single" w:color="auto" w:sz="4" w:space="0"/>
              <w:bottom w:val="single" w:color="auto" w:sz="4" w:space="0"/>
              <w:right w:val="single" w:color="auto" w:sz="4" w:space="0"/>
            </w:tcBorders>
            <w:noWrap w:val="0"/>
            <w:vAlign w:val="top"/>
          </w:tcPr>
          <w:p w14:paraId="6D6ECB9B">
            <w:pPr>
              <w:pageBreakBefore w:val="0"/>
              <w:wordWrap/>
              <w:bidi w:val="0"/>
              <w:adjustRightInd w:val="0"/>
              <w:snapToGrid w:val="0"/>
              <w:spacing w:line="0" w:lineRule="atLeast"/>
              <w:jc w:val="center"/>
              <w:outlineLvl w:val="9"/>
              <w:rPr>
                <w:rFonts w:hint="eastAsia" w:ascii="宋体" w:hAnsi="宋体" w:cs="宋体"/>
                <w:sz w:val="20"/>
                <w:szCs w:val="20"/>
              </w:rPr>
            </w:pPr>
            <w:r>
              <w:rPr>
                <w:rFonts w:hint="eastAsia" w:ascii="宋体" w:hAnsi="宋体" w:cs="宋体"/>
                <w:sz w:val="20"/>
                <w:szCs w:val="20"/>
              </w:rPr>
              <w:t>＞3mV时</w:t>
            </w:r>
          </w:p>
        </w:tc>
        <w:tc>
          <w:tcPr>
            <w:tcW w:w="942" w:type="dxa"/>
            <w:tcBorders>
              <w:top w:val="single" w:color="auto" w:sz="4" w:space="0"/>
              <w:left w:val="single" w:color="auto" w:sz="4" w:space="0"/>
              <w:bottom w:val="single" w:color="auto" w:sz="4" w:space="0"/>
              <w:right w:val="single" w:color="auto" w:sz="4" w:space="0"/>
            </w:tcBorders>
            <w:noWrap w:val="0"/>
            <w:vAlign w:val="top"/>
          </w:tcPr>
          <w:p w14:paraId="2DF92E3D">
            <w:pPr>
              <w:pageBreakBefore w:val="0"/>
              <w:wordWrap/>
              <w:bidi w:val="0"/>
              <w:adjustRightInd w:val="0"/>
              <w:snapToGrid w:val="0"/>
              <w:spacing w:line="0" w:lineRule="atLeast"/>
              <w:jc w:val="center"/>
              <w:outlineLvl w:val="9"/>
              <w:rPr>
                <w:rFonts w:hint="eastAsia" w:ascii="宋体" w:hAnsi="宋体" w:cs="宋体"/>
                <w:sz w:val="20"/>
                <w:szCs w:val="20"/>
              </w:rPr>
            </w:pPr>
            <w:r>
              <w:rPr>
                <w:rFonts w:hint="eastAsia" w:ascii="宋体" w:hAnsi="宋体" w:cs="宋体"/>
                <w:sz w:val="20"/>
                <w:szCs w:val="20"/>
              </w:rPr>
              <w:t>≤3%时</w:t>
            </w:r>
          </w:p>
        </w:tc>
        <w:tc>
          <w:tcPr>
            <w:tcW w:w="944" w:type="dxa"/>
            <w:tcBorders>
              <w:top w:val="single" w:color="auto" w:sz="4" w:space="0"/>
              <w:left w:val="single" w:color="auto" w:sz="4" w:space="0"/>
              <w:bottom w:val="single" w:color="auto" w:sz="4" w:space="0"/>
              <w:right w:val="single" w:color="auto" w:sz="4" w:space="0"/>
            </w:tcBorders>
            <w:noWrap w:val="0"/>
            <w:vAlign w:val="top"/>
          </w:tcPr>
          <w:p w14:paraId="5AB37EC2">
            <w:pPr>
              <w:pageBreakBefore w:val="0"/>
              <w:wordWrap/>
              <w:bidi w:val="0"/>
              <w:adjustRightInd w:val="0"/>
              <w:snapToGrid w:val="0"/>
              <w:spacing w:line="0" w:lineRule="atLeast"/>
              <w:jc w:val="center"/>
              <w:outlineLvl w:val="9"/>
              <w:rPr>
                <w:rFonts w:hint="eastAsia" w:ascii="宋体" w:hAnsi="宋体" w:cs="宋体"/>
                <w:sz w:val="20"/>
                <w:szCs w:val="20"/>
              </w:rPr>
            </w:pPr>
            <w:r>
              <w:rPr>
                <w:rFonts w:hint="eastAsia" w:ascii="宋体" w:hAnsi="宋体" w:cs="宋体"/>
                <w:sz w:val="20"/>
                <w:szCs w:val="20"/>
              </w:rPr>
              <w:t>＞3%时</w:t>
            </w:r>
          </w:p>
        </w:tc>
        <w:tc>
          <w:tcPr>
            <w:tcW w:w="1475" w:type="dxa"/>
            <w:tcBorders>
              <w:top w:val="single" w:color="auto" w:sz="4" w:space="0"/>
              <w:left w:val="single" w:color="auto" w:sz="4" w:space="0"/>
              <w:bottom w:val="single" w:color="auto" w:sz="4" w:space="0"/>
            </w:tcBorders>
            <w:noWrap w:val="0"/>
            <w:vAlign w:val="top"/>
          </w:tcPr>
          <w:p w14:paraId="36AE9001">
            <w:pPr>
              <w:pageBreakBefore w:val="0"/>
              <w:wordWrap/>
              <w:bidi w:val="0"/>
              <w:adjustRightInd w:val="0"/>
              <w:snapToGrid w:val="0"/>
              <w:spacing w:line="0" w:lineRule="atLeast"/>
              <w:jc w:val="center"/>
              <w:outlineLvl w:val="9"/>
              <w:rPr>
                <w:rFonts w:hint="eastAsia" w:ascii="宋体" w:hAnsi="宋体" w:cs="宋体"/>
                <w:sz w:val="20"/>
                <w:szCs w:val="20"/>
              </w:rPr>
            </w:pPr>
            <w:r>
              <w:rPr>
                <w:rFonts w:hint="eastAsia" w:ascii="宋体" w:hAnsi="宋体" w:cs="宋体"/>
                <w:sz w:val="20"/>
                <w:szCs w:val="20"/>
              </w:rPr>
              <w:t>MΩ</w:t>
            </w:r>
          </w:p>
        </w:tc>
      </w:tr>
      <w:tr w14:paraId="01C70BC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680" w:type="dxa"/>
            <w:tcBorders>
              <w:top w:val="single" w:color="auto" w:sz="4" w:space="0"/>
              <w:bottom w:val="single" w:color="auto" w:sz="4" w:space="0"/>
              <w:right w:val="single" w:color="auto" w:sz="4" w:space="0"/>
            </w:tcBorders>
            <w:noWrap w:val="0"/>
            <w:vAlign w:val="top"/>
          </w:tcPr>
          <w:p w14:paraId="7A319B6A">
            <w:pPr>
              <w:pageBreakBefore w:val="0"/>
              <w:wordWrap/>
              <w:bidi w:val="0"/>
              <w:adjustRightInd w:val="0"/>
              <w:snapToGrid w:val="0"/>
              <w:spacing w:line="0" w:lineRule="atLeast"/>
              <w:jc w:val="center"/>
              <w:outlineLvl w:val="9"/>
              <w:rPr>
                <w:rFonts w:hint="eastAsia" w:ascii="宋体" w:hAnsi="宋体" w:cs="宋体"/>
                <w:sz w:val="20"/>
                <w:szCs w:val="20"/>
              </w:rPr>
            </w:pPr>
            <w:r>
              <w:rPr>
                <w:rFonts w:hint="eastAsia" w:ascii="宋体" w:hAnsi="宋体" w:cs="宋体"/>
                <w:sz w:val="20"/>
                <w:szCs w:val="20"/>
              </w:rPr>
              <w:t>1</w:t>
            </w:r>
          </w:p>
        </w:tc>
        <w:tc>
          <w:tcPr>
            <w:tcW w:w="1887" w:type="dxa"/>
            <w:tcBorders>
              <w:top w:val="single" w:color="auto" w:sz="4" w:space="0"/>
              <w:left w:val="single" w:color="auto" w:sz="4" w:space="0"/>
              <w:bottom w:val="single" w:color="auto" w:sz="4" w:space="0"/>
              <w:right w:val="single" w:color="auto" w:sz="4" w:space="0"/>
            </w:tcBorders>
            <w:noWrap w:val="0"/>
            <w:vAlign w:val="top"/>
          </w:tcPr>
          <w:p w14:paraId="67033534">
            <w:pPr>
              <w:pageBreakBefore w:val="0"/>
              <w:wordWrap/>
              <w:bidi w:val="0"/>
              <w:adjustRightInd w:val="0"/>
              <w:snapToGrid w:val="0"/>
              <w:spacing w:line="0" w:lineRule="atLeast"/>
              <w:jc w:val="center"/>
              <w:outlineLvl w:val="9"/>
              <w:rPr>
                <w:rFonts w:hint="eastAsia" w:ascii="宋体" w:hAnsi="宋体" w:cs="宋体"/>
                <w:sz w:val="20"/>
                <w:szCs w:val="20"/>
              </w:rPr>
            </w:pPr>
            <w:r>
              <w:rPr>
                <w:rFonts w:hint="eastAsia" w:ascii="宋体" w:hAnsi="宋体" w:cs="宋体"/>
                <w:sz w:val="20"/>
                <w:szCs w:val="20"/>
              </w:rPr>
              <w:t>0.01</w:t>
            </w:r>
          </w:p>
        </w:tc>
        <w:tc>
          <w:tcPr>
            <w:tcW w:w="1014" w:type="dxa"/>
            <w:tcBorders>
              <w:top w:val="single" w:color="auto" w:sz="4" w:space="0"/>
              <w:left w:val="single" w:color="auto" w:sz="4" w:space="0"/>
              <w:bottom w:val="single" w:color="auto" w:sz="4" w:space="0"/>
              <w:right w:val="single" w:color="auto" w:sz="4" w:space="0"/>
            </w:tcBorders>
            <w:noWrap w:val="0"/>
            <w:vAlign w:val="top"/>
          </w:tcPr>
          <w:p w14:paraId="4ED6A2B1">
            <w:pPr>
              <w:pageBreakBefore w:val="0"/>
              <w:wordWrap/>
              <w:bidi w:val="0"/>
              <w:adjustRightInd w:val="0"/>
              <w:snapToGrid w:val="0"/>
              <w:spacing w:line="0" w:lineRule="atLeast"/>
              <w:jc w:val="center"/>
              <w:outlineLvl w:val="9"/>
              <w:rPr>
                <w:rFonts w:hint="eastAsia" w:ascii="宋体" w:hAnsi="宋体" w:cs="宋体"/>
                <w:sz w:val="20"/>
                <w:szCs w:val="20"/>
              </w:rPr>
            </w:pPr>
            <w:r>
              <w:rPr>
                <w:rFonts w:hint="eastAsia" w:ascii="宋体" w:hAnsi="宋体" w:cs="宋体"/>
                <w:sz w:val="20"/>
                <w:szCs w:val="20"/>
              </w:rPr>
              <w:t>±1.0</w:t>
            </w:r>
          </w:p>
        </w:tc>
        <w:tc>
          <w:tcPr>
            <w:tcW w:w="1015" w:type="dxa"/>
            <w:tcBorders>
              <w:top w:val="single" w:color="auto" w:sz="4" w:space="0"/>
              <w:left w:val="single" w:color="auto" w:sz="4" w:space="0"/>
              <w:bottom w:val="single" w:color="auto" w:sz="4" w:space="0"/>
              <w:right w:val="single" w:color="auto" w:sz="4" w:space="0"/>
            </w:tcBorders>
            <w:noWrap w:val="0"/>
            <w:vAlign w:val="top"/>
          </w:tcPr>
          <w:p w14:paraId="61AD6311">
            <w:pPr>
              <w:pageBreakBefore w:val="0"/>
              <w:wordWrap/>
              <w:bidi w:val="0"/>
              <w:adjustRightInd w:val="0"/>
              <w:snapToGrid w:val="0"/>
              <w:spacing w:line="0" w:lineRule="atLeast"/>
              <w:jc w:val="center"/>
              <w:outlineLvl w:val="9"/>
              <w:rPr>
                <w:rFonts w:hint="eastAsia" w:ascii="宋体" w:hAnsi="宋体" w:cs="宋体"/>
                <w:sz w:val="20"/>
                <w:szCs w:val="20"/>
              </w:rPr>
            </w:pPr>
            <w:r>
              <w:rPr>
                <w:rFonts w:hint="eastAsia" w:ascii="宋体" w:hAnsi="宋体" w:cs="宋体"/>
                <w:sz w:val="20"/>
                <w:szCs w:val="20"/>
              </w:rPr>
              <w:t>±0.5</w:t>
            </w:r>
          </w:p>
        </w:tc>
        <w:tc>
          <w:tcPr>
            <w:tcW w:w="942" w:type="dxa"/>
            <w:tcBorders>
              <w:top w:val="single" w:color="auto" w:sz="4" w:space="0"/>
              <w:left w:val="single" w:color="auto" w:sz="4" w:space="0"/>
              <w:bottom w:val="single" w:color="auto" w:sz="4" w:space="0"/>
              <w:right w:val="single" w:color="auto" w:sz="4" w:space="0"/>
            </w:tcBorders>
            <w:noWrap w:val="0"/>
            <w:vAlign w:val="top"/>
          </w:tcPr>
          <w:p w14:paraId="51B880AE">
            <w:pPr>
              <w:pageBreakBefore w:val="0"/>
              <w:wordWrap/>
              <w:bidi w:val="0"/>
              <w:adjustRightInd w:val="0"/>
              <w:snapToGrid w:val="0"/>
              <w:spacing w:line="0" w:lineRule="atLeast"/>
              <w:jc w:val="center"/>
              <w:outlineLvl w:val="9"/>
              <w:rPr>
                <w:rFonts w:hint="eastAsia" w:ascii="宋体" w:hAnsi="宋体" w:cs="宋体"/>
                <w:sz w:val="20"/>
                <w:szCs w:val="20"/>
              </w:rPr>
            </w:pPr>
            <w:r>
              <w:rPr>
                <w:rFonts w:hint="eastAsia" w:ascii="宋体" w:hAnsi="宋体" w:cs="宋体"/>
                <w:sz w:val="20"/>
                <w:szCs w:val="20"/>
              </w:rPr>
              <w:t>±0.3</w:t>
            </w:r>
          </w:p>
        </w:tc>
        <w:tc>
          <w:tcPr>
            <w:tcW w:w="944" w:type="dxa"/>
            <w:tcBorders>
              <w:top w:val="single" w:color="auto" w:sz="4" w:space="0"/>
              <w:left w:val="single" w:color="auto" w:sz="4" w:space="0"/>
              <w:bottom w:val="single" w:color="auto" w:sz="4" w:space="0"/>
              <w:right w:val="single" w:color="auto" w:sz="4" w:space="0"/>
            </w:tcBorders>
            <w:noWrap w:val="0"/>
            <w:vAlign w:val="top"/>
          </w:tcPr>
          <w:p w14:paraId="3226D602">
            <w:pPr>
              <w:pageBreakBefore w:val="0"/>
              <w:wordWrap/>
              <w:bidi w:val="0"/>
              <w:adjustRightInd w:val="0"/>
              <w:snapToGrid w:val="0"/>
              <w:spacing w:line="0" w:lineRule="atLeast"/>
              <w:jc w:val="center"/>
              <w:outlineLvl w:val="9"/>
              <w:rPr>
                <w:rFonts w:hint="eastAsia" w:ascii="宋体" w:hAnsi="宋体" w:cs="宋体"/>
                <w:sz w:val="20"/>
                <w:szCs w:val="20"/>
              </w:rPr>
            </w:pPr>
            <w:r>
              <w:rPr>
                <w:rFonts w:hint="eastAsia" w:ascii="宋体" w:hAnsi="宋体" w:cs="宋体"/>
                <w:sz w:val="20"/>
                <w:szCs w:val="20"/>
              </w:rPr>
              <w:t>±2.0</w:t>
            </w:r>
          </w:p>
        </w:tc>
        <w:tc>
          <w:tcPr>
            <w:tcW w:w="1475" w:type="dxa"/>
            <w:tcBorders>
              <w:top w:val="single" w:color="auto" w:sz="4" w:space="0"/>
              <w:left w:val="single" w:color="auto" w:sz="4" w:space="0"/>
              <w:bottom w:val="single" w:color="auto" w:sz="4" w:space="0"/>
            </w:tcBorders>
            <w:noWrap w:val="0"/>
            <w:vAlign w:val="top"/>
          </w:tcPr>
          <w:p w14:paraId="1F7941FC">
            <w:pPr>
              <w:pageBreakBefore w:val="0"/>
              <w:wordWrap/>
              <w:bidi w:val="0"/>
              <w:adjustRightInd w:val="0"/>
              <w:snapToGrid w:val="0"/>
              <w:spacing w:line="0" w:lineRule="atLeast"/>
              <w:jc w:val="center"/>
              <w:outlineLvl w:val="9"/>
              <w:rPr>
                <w:rFonts w:hint="eastAsia" w:ascii="宋体" w:hAnsi="宋体" w:cs="宋体"/>
                <w:sz w:val="20"/>
                <w:szCs w:val="20"/>
              </w:rPr>
            </w:pPr>
            <w:r>
              <w:rPr>
                <w:rFonts w:hint="eastAsia" w:ascii="宋体" w:hAnsi="宋体" w:cs="宋体"/>
                <w:sz w:val="20"/>
                <w:szCs w:val="20"/>
              </w:rPr>
              <w:t>≥20</w:t>
            </w:r>
          </w:p>
        </w:tc>
      </w:tr>
    </w:tbl>
    <w:p w14:paraId="5B38400F">
      <w:pPr>
        <w:pageBreakBefore w:val="0"/>
        <w:wordWrap/>
        <w:bidi w:val="0"/>
        <w:adjustRightInd w:val="0"/>
        <w:snapToGrid w:val="0"/>
        <w:spacing w:line="360" w:lineRule="auto"/>
        <w:ind w:firstLine="200" w:firstLineChars="200"/>
        <w:outlineLvl w:val="9"/>
        <w:rPr>
          <w:rFonts w:hint="eastAsia" w:ascii="仿宋_GB2312" w:hAnsi="仿宋_GB2312" w:eastAsia="仿宋_GB2312" w:cs="仿宋_GB2312"/>
          <w:sz w:val="10"/>
          <w:szCs w:val="10"/>
        </w:rPr>
      </w:pPr>
    </w:p>
    <w:p w14:paraId="6426EB6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kern w:val="21"/>
          <w:sz w:val="24"/>
          <w:szCs w:val="24"/>
        </w:rPr>
      </w:pPr>
      <w:r>
        <w:rPr>
          <w:rFonts w:hint="eastAsia" w:ascii="仿宋_GB2312" w:hAnsi="仿宋_GB2312" w:eastAsia="仿宋_GB2312" w:cs="仿宋_GB2312"/>
          <w:snapToGrid w:val="0"/>
          <w:kern w:val="21"/>
          <w:sz w:val="24"/>
          <w:szCs w:val="24"/>
        </w:rPr>
        <w:t>在野外工作开工前，仪器精度应进行剖面实测检验，选择极化率变化较大</w:t>
      </w:r>
      <w:r>
        <w:rPr>
          <w:rFonts w:hint="eastAsia" w:ascii="仿宋_GB2312" w:hAnsi="仿宋_GB2312" w:eastAsia="仿宋_GB2312" w:cs="仿宋_GB2312"/>
          <w:snapToGrid w:val="0"/>
          <w:kern w:val="21"/>
          <w:sz w:val="24"/>
          <w:szCs w:val="24"/>
          <w:lang w:eastAsia="zh-CN"/>
        </w:rPr>
        <w:t>(</w:t>
      </w:r>
      <w:r>
        <w:rPr>
          <w:rFonts w:hint="eastAsia" w:ascii="仿宋_GB2312" w:hAnsi="仿宋_GB2312" w:eastAsia="仿宋_GB2312" w:cs="仿宋_GB2312"/>
          <w:snapToGrid w:val="0"/>
          <w:kern w:val="21"/>
          <w:sz w:val="24"/>
          <w:szCs w:val="24"/>
        </w:rPr>
        <w:t>尽可能使ΔU</w:t>
      </w:r>
      <w:r>
        <w:rPr>
          <w:rFonts w:hint="eastAsia" w:ascii="仿宋_GB2312" w:hAnsi="仿宋_GB2312" w:eastAsia="仿宋_GB2312" w:cs="仿宋_GB2312"/>
          <w:snapToGrid w:val="0"/>
          <w:kern w:val="21"/>
          <w:sz w:val="24"/>
          <w:szCs w:val="24"/>
          <w:vertAlign w:val="subscript"/>
        </w:rPr>
        <w:t>1</w:t>
      </w:r>
      <w:r>
        <w:rPr>
          <w:rFonts w:hint="eastAsia" w:ascii="仿宋_GB2312" w:hAnsi="仿宋_GB2312" w:eastAsia="仿宋_GB2312" w:cs="仿宋_GB2312"/>
          <w:snapToGrid w:val="0"/>
          <w:kern w:val="21"/>
          <w:sz w:val="24"/>
          <w:szCs w:val="24"/>
        </w:rPr>
        <w:t>在30mV以上</w:t>
      </w:r>
      <w:r>
        <w:rPr>
          <w:rFonts w:hint="eastAsia" w:ascii="仿宋_GB2312" w:hAnsi="仿宋_GB2312" w:eastAsia="仿宋_GB2312" w:cs="仿宋_GB2312"/>
          <w:snapToGrid w:val="0"/>
          <w:kern w:val="21"/>
          <w:sz w:val="24"/>
          <w:szCs w:val="24"/>
          <w:lang w:eastAsia="zh-CN"/>
        </w:rPr>
        <w:t>)</w:t>
      </w:r>
      <w:r>
        <w:rPr>
          <w:rFonts w:hint="eastAsia" w:ascii="仿宋_GB2312" w:hAnsi="仿宋_GB2312" w:eastAsia="仿宋_GB2312" w:cs="仿宋_GB2312"/>
          <w:snapToGrid w:val="0"/>
          <w:kern w:val="21"/>
          <w:sz w:val="24"/>
          <w:szCs w:val="24"/>
        </w:rPr>
        <w:t>的异常地段，测点数大于20个点，各台仪器在相同条件下往返观测，选择均方相对误差最小的一台仪器为“标准”，分别计算各台仪器的均方相对误差，要求其小于设计工作精度的2/3。</w:t>
      </w:r>
    </w:p>
    <w:p w14:paraId="0793A5E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kern w:val="21"/>
          <w:sz w:val="24"/>
          <w:szCs w:val="24"/>
        </w:rPr>
      </w:pPr>
      <w:r>
        <w:rPr>
          <w:rFonts w:hint="eastAsia" w:ascii="仿宋_GB2312" w:hAnsi="仿宋_GB2312" w:eastAsia="仿宋_GB2312" w:cs="仿宋_GB2312"/>
          <w:kern w:val="21"/>
          <w:sz w:val="24"/>
          <w:szCs w:val="24"/>
        </w:rPr>
        <w:t>2、测前准备</w:t>
      </w:r>
    </w:p>
    <w:p w14:paraId="271790F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kern w:val="21"/>
          <w:sz w:val="24"/>
          <w:szCs w:val="24"/>
        </w:rPr>
      </w:pPr>
      <w:r>
        <w:rPr>
          <w:rFonts w:hint="eastAsia" w:ascii="仿宋_GB2312" w:hAnsi="仿宋_GB2312" w:eastAsia="仿宋_GB2312" w:cs="仿宋_GB2312"/>
          <w:snapToGrid w:val="0"/>
          <w:kern w:val="21"/>
          <w:sz w:val="24"/>
          <w:szCs w:val="24"/>
          <w:lang w:eastAsia="zh-CN"/>
        </w:rPr>
        <w:t>(</w:t>
      </w:r>
      <w:r>
        <w:rPr>
          <w:rFonts w:hint="eastAsia" w:ascii="仿宋_GB2312" w:hAnsi="仿宋_GB2312" w:eastAsia="仿宋_GB2312" w:cs="仿宋_GB2312"/>
          <w:snapToGrid w:val="0"/>
          <w:kern w:val="21"/>
          <w:sz w:val="24"/>
          <w:szCs w:val="24"/>
        </w:rPr>
        <w:t>1</w:t>
      </w:r>
      <w:r>
        <w:rPr>
          <w:rFonts w:hint="eastAsia" w:ascii="仿宋_GB2312" w:hAnsi="仿宋_GB2312" w:eastAsia="仿宋_GB2312" w:cs="仿宋_GB2312"/>
          <w:snapToGrid w:val="0"/>
          <w:kern w:val="21"/>
          <w:sz w:val="24"/>
          <w:szCs w:val="24"/>
          <w:lang w:eastAsia="zh-CN"/>
        </w:rPr>
        <w:t>)</w:t>
      </w:r>
      <w:r>
        <w:rPr>
          <w:rFonts w:hint="eastAsia" w:ascii="仿宋_GB2312" w:hAnsi="仿宋_GB2312" w:eastAsia="仿宋_GB2312" w:cs="仿宋_GB2312"/>
          <w:snapToGrid w:val="0"/>
          <w:kern w:val="21"/>
          <w:sz w:val="24"/>
          <w:szCs w:val="24"/>
        </w:rPr>
        <w:t>布置导线</w:t>
      </w:r>
    </w:p>
    <w:p w14:paraId="2A64A5F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kern w:val="21"/>
          <w:sz w:val="24"/>
          <w:szCs w:val="24"/>
        </w:rPr>
      </w:pPr>
      <w:r>
        <w:rPr>
          <w:rFonts w:hint="eastAsia" w:ascii="仿宋_GB2312" w:hAnsi="仿宋_GB2312" w:eastAsia="仿宋_GB2312" w:cs="仿宋_GB2312"/>
          <w:snapToGrid w:val="0"/>
          <w:kern w:val="21"/>
          <w:sz w:val="24"/>
          <w:szCs w:val="24"/>
        </w:rPr>
        <w:t>测量导线不悬空架设，能减小电磁感应；由于导线铺设较长，供电线距离测量点50m以上，以减小电容的干扰和影响。</w:t>
      </w:r>
    </w:p>
    <w:p w14:paraId="7CD41A4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kern w:val="21"/>
          <w:sz w:val="24"/>
          <w:szCs w:val="24"/>
        </w:rPr>
      </w:pPr>
      <w:r>
        <w:rPr>
          <w:rFonts w:hint="eastAsia" w:ascii="仿宋_GB2312" w:hAnsi="仿宋_GB2312" w:eastAsia="仿宋_GB2312" w:cs="仿宋_GB2312"/>
          <w:snapToGrid w:val="0"/>
          <w:kern w:val="21"/>
          <w:sz w:val="24"/>
          <w:szCs w:val="24"/>
          <w:lang w:eastAsia="zh-CN"/>
        </w:rPr>
        <w:t>(</w:t>
      </w:r>
      <w:r>
        <w:rPr>
          <w:rFonts w:hint="eastAsia" w:ascii="仿宋_GB2312" w:hAnsi="仿宋_GB2312" w:eastAsia="仿宋_GB2312" w:cs="仿宋_GB2312"/>
          <w:snapToGrid w:val="0"/>
          <w:kern w:val="21"/>
          <w:sz w:val="24"/>
          <w:szCs w:val="24"/>
        </w:rPr>
        <w:t>2</w:t>
      </w:r>
      <w:r>
        <w:rPr>
          <w:rFonts w:hint="eastAsia" w:ascii="仿宋_GB2312" w:hAnsi="仿宋_GB2312" w:eastAsia="仿宋_GB2312" w:cs="仿宋_GB2312"/>
          <w:snapToGrid w:val="0"/>
          <w:kern w:val="21"/>
          <w:sz w:val="24"/>
          <w:szCs w:val="24"/>
          <w:lang w:eastAsia="zh-CN"/>
        </w:rPr>
        <w:t>)</w:t>
      </w:r>
      <w:r>
        <w:rPr>
          <w:rFonts w:hint="eastAsia" w:ascii="仿宋_GB2312" w:hAnsi="仿宋_GB2312" w:eastAsia="仿宋_GB2312" w:cs="仿宋_GB2312"/>
          <w:snapToGrid w:val="0"/>
          <w:kern w:val="21"/>
          <w:sz w:val="24"/>
          <w:szCs w:val="24"/>
        </w:rPr>
        <w:t>发射极</w:t>
      </w:r>
      <w:r>
        <w:rPr>
          <w:rFonts w:hint="eastAsia" w:ascii="仿宋_GB2312" w:hAnsi="仿宋_GB2312" w:eastAsia="仿宋_GB2312" w:cs="仿宋_GB2312"/>
          <w:i/>
          <w:iCs/>
          <w:snapToGrid w:val="0"/>
          <w:kern w:val="21"/>
          <w:sz w:val="24"/>
          <w:szCs w:val="24"/>
        </w:rPr>
        <w:t>AB</w:t>
      </w:r>
    </w:p>
    <w:p w14:paraId="5729019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kern w:val="21"/>
          <w:sz w:val="24"/>
          <w:szCs w:val="24"/>
        </w:rPr>
        <w:t>供电电极采用埋设铝箔办法，增加接地面积</w:t>
      </w:r>
      <w:r>
        <w:rPr>
          <w:rFonts w:hint="eastAsia" w:ascii="仿宋_GB2312" w:hAnsi="仿宋_GB2312" w:eastAsia="仿宋_GB2312" w:cs="仿宋_GB2312"/>
          <w:snapToGrid w:val="0"/>
          <w:sz w:val="24"/>
          <w:szCs w:val="24"/>
        </w:rPr>
        <w:t>以改善接地电阻。当实际接地点无法埋设电极而需移动接地点位时，测地误差允许在20m范围内移动，记录实际供电点坐标。提前一天浇盐水埋设，供电导线在主测线上应距测量导线50m以上，以减小电磁耦合干扰，充分改善接地电阻以减小电容耦合干扰。每个排列的A、B极供电导线均进行漏电检查，且接地导线R</w:t>
      </w:r>
      <w:r>
        <w:rPr>
          <w:rFonts w:hint="eastAsia" w:ascii="仿宋_GB2312" w:hAnsi="仿宋_GB2312" w:eastAsia="仿宋_GB2312" w:cs="仿宋_GB2312"/>
          <w:snapToGrid w:val="0"/>
          <w:sz w:val="24"/>
          <w:szCs w:val="24"/>
          <w:vertAlign w:val="subscript"/>
        </w:rPr>
        <w:t>AB</w:t>
      </w:r>
      <w:r>
        <w:rPr>
          <w:rFonts w:hint="eastAsia" w:ascii="仿宋_GB2312" w:hAnsi="仿宋_GB2312" w:eastAsia="仿宋_GB2312" w:cs="仿宋_GB2312"/>
          <w:snapToGrid w:val="0"/>
          <w:sz w:val="24"/>
          <w:szCs w:val="24"/>
        </w:rPr>
        <w:t>漏电检查大于30MΩ。</w:t>
      </w:r>
    </w:p>
    <w:p w14:paraId="6AF06BB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lang w:eastAsia="zh-CN"/>
        </w:rPr>
        <w:t>(</w:t>
      </w:r>
      <w:r>
        <w:rPr>
          <w:rFonts w:hint="eastAsia" w:ascii="仿宋_GB2312" w:hAnsi="仿宋_GB2312" w:eastAsia="仿宋_GB2312" w:cs="仿宋_GB2312"/>
          <w:snapToGrid w:val="0"/>
          <w:sz w:val="24"/>
          <w:szCs w:val="24"/>
        </w:rPr>
        <w:t>3</w:t>
      </w:r>
      <w:r>
        <w:rPr>
          <w:rFonts w:hint="eastAsia" w:ascii="仿宋_GB2312" w:hAnsi="仿宋_GB2312" w:eastAsia="仿宋_GB2312" w:cs="仿宋_GB2312"/>
          <w:snapToGrid w:val="0"/>
          <w:sz w:val="24"/>
          <w:szCs w:val="24"/>
          <w:lang w:eastAsia="zh-CN"/>
        </w:rPr>
        <w:t>)</w:t>
      </w:r>
      <w:r>
        <w:rPr>
          <w:rFonts w:hint="eastAsia" w:ascii="仿宋_GB2312" w:hAnsi="仿宋_GB2312" w:eastAsia="仿宋_GB2312" w:cs="仿宋_GB2312"/>
          <w:snapToGrid w:val="0"/>
          <w:sz w:val="24"/>
          <w:szCs w:val="24"/>
        </w:rPr>
        <w:t>接收电极</w:t>
      </w:r>
      <w:r>
        <w:rPr>
          <w:rFonts w:hint="eastAsia" w:ascii="仿宋_GB2312" w:hAnsi="仿宋_GB2312" w:eastAsia="仿宋_GB2312" w:cs="仿宋_GB2312"/>
          <w:i/>
          <w:iCs/>
          <w:snapToGrid w:val="0"/>
          <w:sz w:val="24"/>
          <w:szCs w:val="24"/>
        </w:rPr>
        <w:t>MN</w:t>
      </w:r>
    </w:p>
    <w:p w14:paraId="369311A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埋设测量电极的接地电阻应小于3kΩ。处理测量电极时，用地质锤挖好电极坑，并不得留有砾石和杂物，再向坑内浇水；测点岩石裸露时，通过填湿土或垫含硫酸铜的面团，以改善接地电阻。在测量过程中，电极附近不得有人为扰动，严禁在接收机附近用对讲机通话。测量电极使用固体不极化电极，要求极差稳定，开工与收工极差小于±2mv。对于</w:t>
      </w:r>
      <w:r>
        <w:rPr>
          <w:rFonts w:hint="eastAsia" w:ascii="仿宋_GB2312" w:hAnsi="仿宋_GB2312" w:eastAsia="仿宋_GB2312" w:cs="仿宋_GB2312"/>
          <w:i/>
          <w:iCs/>
          <w:snapToGrid w:val="0"/>
          <w:sz w:val="24"/>
          <w:szCs w:val="24"/>
        </w:rPr>
        <w:t>MN</w:t>
      </w:r>
      <w:r>
        <w:rPr>
          <w:rFonts w:hint="eastAsia" w:ascii="仿宋_GB2312" w:hAnsi="仿宋_GB2312" w:eastAsia="仿宋_GB2312" w:cs="仿宋_GB2312"/>
          <w:snapToGrid w:val="0"/>
          <w:sz w:val="24"/>
          <w:szCs w:val="24"/>
        </w:rPr>
        <w:t>测量导线每天进行一次漏电检查，R</w:t>
      </w:r>
      <w:r>
        <w:rPr>
          <w:rFonts w:hint="eastAsia" w:ascii="仿宋_GB2312" w:hAnsi="仿宋_GB2312" w:eastAsia="仿宋_GB2312" w:cs="仿宋_GB2312"/>
          <w:snapToGrid w:val="0"/>
          <w:sz w:val="24"/>
          <w:szCs w:val="24"/>
          <w:vertAlign w:val="subscript"/>
        </w:rPr>
        <w:t>MN</w:t>
      </w:r>
      <w:r>
        <w:rPr>
          <w:rFonts w:hint="eastAsia" w:ascii="仿宋_GB2312" w:hAnsi="仿宋_GB2312" w:eastAsia="仿宋_GB2312" w:cs="仿宋_GB2312"/>
          <w:snapToGrid w:val="0"/>
          <w:sz w:val="24"/>
          <w:szCs w:val="24"/>
        </w:rPr>
        <w:t>检大于2MΩ。</w:t>
      </w:r>
    </w:p>
    <w:p w14:paraId="78B50E3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lang w:eastAsia="zh-CN"/>
        </w:rPr>
        <w:t>(</w:t>
      </w:r>
      <w:r>
        <w:rPr>
          <w:rFonts w:hint="eastAsia" w:ascii="仿宋_GB2312" w:hAnsi="仿宋_GB2312" w:eastAsia="仿宋_GB2312" w:cs="仿宋_GB2312"/>
          <w:snapToGrid w:val="0"/>
          <w:sz w:val="24"/>
          <w:szCs w:val="24"/>
        </w:rPr>
        <w:t>4</w:t>
      </w:r>
      <w:r>
        <w:rPr>
          <w:rFonts w:hint="eastAsia" w:ascii="仿宋_GB2312" w:hAnsi="仿宋_GB2312" w:eastAsia="仿宋_GB2312" w:cs="仿宋_GB2312"/>
          <w:snapToGrid w:val="0"/>
          <w:sz w:val="24"/>
          <w:szCs w:val="24"/>
          <w:lang w:eastAsia="zh-CN"/>
        </w:rPr>
        <w:t>)</w:t>
      </w:r>
      <w:r>
        <w:rPr>
          <w:rFonts w:hint="eastAsia" w:ascii="仿宋_GB2312" w:hAnsi="仿宋_GB2312" w:eastAsia="仿宋_GB2312" w:cs="仿宋_GB2312"/>
          <w:snapToGrid w:val="0"/>
          <w:sz w:val="24"/>
          <w:szCs w:val="24"/>
        </w:rPr>
        <w:t>漏电检查</w:t>
      </w:r>
    </w:p>
    <w:p w14:paraId="0497063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结束一个区段的观测工作，将线收回驻地时，进行系统绝缘检查和维修。在观测中，发现有漏电存在时，立即排除并根据漏电点的位置等因素分析漏电对已有观测结果的影响。在漏电排除后逐点返回重新观测直至有连续三个点的结果符合要求时为止。</w:t>
      </w:r>
    </w:p>
    <w:p w14:paraId="63FA06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lang w:eastAsia="zh-CN"/>
        </w:rPr>
        <w:t>(</w:t>
      </w:r>
      <w:r>
        <w:rPr>
          <w:rFonts w:hint="eastAsia" w:ascii="仿宋_GB2312" w:hAnsi="仿宋_GB2312" w:eastAsia="仿宋_GB2312" w:cs="仿宋_GB2312"/>
          <w:snapToGrid w:val="0"/>
          <w:sz w:val="24"/>
          <w:szCs w:val="24"/>
        </w:rPr>
        <w:t>5</w:t>
      </w:r>
      <w:r>
        <w:rPr>
          <w:rFonts w:hint="eastAsia" w:ascii="仿宋_GB2312" w:hAnsi="仿宋_GB2312" w:eastAsia="仿宋_GB2312" w:cs="仿宋_GB2312"/>
          <w:snapToGrid w:val="0"/>
          <w:sz w:val="24"/>
          <w:szCs w:val="24"/>
          <w:lang w:eastAsia="zh-CN"/>
        </w:rPr>
        <w:t>)</w:t>
      </w:r>
      <w:r>
        <w:rPr>
          <w:rFonts w:hint="eastAsia" w:ascii="仿宋_GB2312" w:hAnsi="仿宋_GB2312" w:eastAsia="仿宋_GB2312" w:cs="仿宋_GB2312"/>
          <w:snapToGrid w:val="0"/>
          <w:sz w:val="24"/>
          <w:szCs w:val="24"/>
        </w:rPr>
        <w:t>供电前检查</w:t>
      </w:r>
    </w:p>
    <w:p w14:paraId="01598D1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必须先确信供电回路、电极接地均属正常并布极人员已离开裸露导线和供电电极；在未确认停止供电时不得触摸电极。在发电机停车后方可通知收线和移动电极。在供电回路上有人处理故障时不得供电，即使故障已经排除，也要与处理故障者取得联系后方可供电。</w:t>
      </w:r>
    </w:p>
    <w:p w14:paraId="02FAAA0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lang w:eastAsia="zh-CN"/>
        </w:rPr>
        <w:t>(</w:t>
      </w:r>
      <w:r>
        <w:rPr>
          <w:rFonts w:hint="eastAsia" w:ascii="仿宋_GB2312" w:hAnsi="仿宋_GB2312" w:eastAsia="仿宋_GB2312" w:cs="仿宋_GB2312"/>
          <w:snapToGrid w:val="0"/>
          <w:sz w:val="24"/>
          <w:szCs w:val="24"/>
        </w:rPr>
        <w:t>6</w:t>
      </w:r>
      <w:r>
        <w:rPr>
          <w:rFonts w:hint="eastAsia" w:ascii="仿宋_GB2312" w:hAnsi="仿宋_GB2312" w:eastAsia="仿宋_GB2312" w:cs="仿宋_GB2312"/>
          <w:snapToGrid w:val="0"/>
          <w:sz w:val="24"/>
          <w:szCs w:val="24"/>
          <w:lang w:eastAsia="zh-CN"/>
        </w:rPr>
        <w:t>)</w:t>
      </w:r>
      <w:r>
        <w:rPr>
          <w:rFonts w:hint="eastAsia" w:ascii="仿宋_GB2312" w:hAnsi="仿宋_GB2312" w:eastAsia="仿宋_GB2312" w:cs="仿宋_GB2312"/>
          <w:snapToGrid w:val="0"/>
          <w:sz w:val="24"/>
          <w:szCs w:val="24"/>
        </w:rPr>
        <w:t>仪器设备校验</w:t>
      </w:r>
    </w:p>
    <w:p w14:paraId="398F6BB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开工前严格按“仪器使用操作说明书”及有关规定进行校验。发射机供电电流测量精度高于±1%；接收机测量电位分辨率为10μv，极化率分辨率为±0.01%；接收机测量电位精度高于±1%，极化率精度高于±2%；接收机输入阻抗大于20ΜΩ；开工前及收工后各进行一次仪器一致性测定，参与生产的各台仪器的一致性均方相对误差小于设计总精度的2/3。工作期间每月采用标准激电模拟器进行标定。</w:t>
      </w:r>
    </w:p>
    <w:p w14:paraId="2ED0E21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lang w:eastAsia="zh-CN"/>
        </w:rPr>
        <w:t>(</w:t>
      </w:r>
      <w:r>
        <w:rPr>
          <w:rFonts w:hint="eastAsia" w:ascii="仿宋_GB2312" w:hAnsi="仿宋_GB2312" w:eastAsia="仿宋_GB2312" w:cs="仿宋_GB2312"/>
          <w:snapToGrid w:val="0"/>
          <w:sz w:val="24"/>
          <w:szCs w:val="24"/>
        </w:rPr>
        <w:t>7</w:t>
      </w:r>
      <w:r>
        <w:rPr>
          <w:rFonts w:hint="eastAsia" w:ascii="仿宋_GB2312" w:hAnsi="仿宋_GB2312" w:eastAsia="仿宋_GB2312" w:cs="仿宋_GB2312"/>
          <w:snapToGrid w:val="0"/>
          <w:sz w:val="24"/>
          <w:szCs w:val="24"/>
          <w:lang w:eastAsia="zh-CN"/>
        </w:rPr>
        <w:t>)</w:t>
      </w:r>
      <w:r>
        <w:rPr>
          <w:rFonts w:hint="eastAsia" w:ascii="仿宋_GB2312" w:hAnsi="仿宋_GB2312" w:eastAsia="仿宋_GB2312" w:cs="仿宋_GB2312"/>
          <w:snapToGrid w:val="0"/>
          <w:sz w:val="24"/>
          <w:szCs w:val="24"/>
        </w:rPr>
        <w:t>野外观测</w:t>
      </w:r>
    </w:p>
    <w:p w14:paraId="55B526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采用三极和对称四极工作方式，单次供电观测时长不小于3分钟，采用双向短脉冲供电方式。时间域激发极化法采用双向短脉冲供电。</w:t>
      </w:r>
    </w:p>
    <w:p w14:paraId="6E78334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在低阻区段，加大接地条件的改善力度，要求供电电极接地电阻小于150Ω。对于一次为提高异常点与畸变点识别力度，要求对上升段两点间极化率变化超过1%时，进行重复观测。观测中应注意须使测量导线与供电导线保持一定的间距。</w:t>
      </w:r>
    </w:p>
    <w:p w14:paraId="55FB32E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每一组发射要求填写发射状态记录表，记录要素为发射电流、电压、发送频率、接地电阻、接地电极坐标位置等，发射须每10分钟记录一次电流，其间注意观察电流的变化应满足设计要求，否则应加密记录。</w:t>
      </w:r>
    </w:p>
    <w:p w14:paraId="665B4E5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kern w:val="21"/>
          <w:sz w:val="24"/>
          <w:szCs w:val="24"/>
        </w:rPr>
      </w:pPr>
      <w:r>
        <w:rPr>
          <w:rFonts w:hint="eastAsia" w:ascii="仿宋_GB2312" w:hAnsi="仿宋_GB2312" w:eastAsia="仿宋_GB2312" w:cs="仿宋_GB2312"/>
          <w:kern w:val="21"/>
          <w:sz w:val="24"/>
          <w:szCs w:val="24"/>
        </w:rPr>
        <w:t>3、观测系统</w:t>
      </w:r>
    </w:p>
    <w:p w14:paraId="7495562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根据勘查任务和测区的地形地质条件，适当选择装置类型。一般采用对称四极测深和多道轴向单极-偶级拟断面窗口测深观测装置。</w:t>
      </w:r>
    </w:p>
    <w:p w14:paraId="30EEE3F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napToGrid w:val="0"/>
          <w:sz w:val="24"/>
          <w:szCs w:val="24"/>
        </w:rPr>
        <w:t>采用真三维观测，</w:t>
      </w:r>
      <w:r>
        <w:rPr>
          <w:rFonts w:hint="eastAsia" w:ascii="仿宋_GB2312" w:hAnsi="仿宋_GB2312" w:eastAsia="仿宋_GB2312" w:cs="仿宋_GB2312"/>
          <w:sz w:val="24"/>
          <w:szCs w:val="24"/>
        </w:rPr>
        <w:t>真三维观测系统通过网状布设的电极同时对两个正交的方向进行供电和测量，通过电缆滚动搬家而获得不同地区的地电数据。相比较而言，真三维电法观测方式的结果更为精确，可以获取不同方向的电阻率或极化率，但需要较多道数才能获得较大的探测深度，并且其施工困难度和投入成本也较高。</w:t>
      </w:r>
    </w:p>
    <w:p w14:paraId="07CE28D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为减少施工成本，实现最少的电流发射组合以达到对此类模型的较好分辨率，根据地质和物性资料建立地球物理模型，对合成数据进行不同发射方向、不同发射接收极距的灵敏度、反演试算分析。</w:t>
      </w:r>
    </w:p>
    <w:p w14:paraId="0BDA79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kern w:val="21"/>
          <w:sz w:val="24"/>
          <w:szCs w:val="24"/>
        </w:rPr>
      </w:pPr>
      <w:r>
        <w:rPr>
          <w:rFonts w:hint="eastAsia" w:ascii="仿宋_GB2312" w:hAnsi="仿宋_GB2312" w:eastAsia="仿宋_GB2312" w:cs="仿宋_GB2312"/>
          <w:kern w:val="21"/>
          <w:sz w:val="24"/>
          <w:szCs w:val="24"/>
        </w:rPr>
        <w:t>4、野外观测</w:t>
      </w:r>
    </w:p>
    <w:p w14:paraId="3EA610D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每天出工前，方法组长应将当天的任务分工和注意事项向全组人员交待清楚，并对仪器、设备、工具、安全用品等进行检查；操作员应检查仪器电池电压，应大于11V以上，检查本台班设备、物资是否齐全。</w:t>
      </w:r>
    </w:p>
    <w:p w14:paraId="665F371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发射员应检查发电机、汽油、机油并进行试车，供电前应测量，供电导线绝缘电阻，要求大于30MΩ，检查AB极位置并做记录。工作中记录电流变化不大于2%，如果电流变化较大或断电，应通知台班并做记录。</w:t>
      </w:r>
    </w:p>
    <w:p w14:paraId="78E4AE7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操作员应携带记录本并做好表头记录，对重复点、作废点、地质地形、地貌做必要的备注，并作为原始资料的一部分。</w:t>
      </w:r>
    </w:p>
    <w:p w14:paraId="72E8CFD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kern w:val="21"/>
          <w:sz w:val="24"/>
          <w:szCs w:val="24"/>
        </w:rPr>
      </w:pPr>
      <w:r>
        <w:rPr>
          <w:rFonts w:hint="eastAsia" w:ascii="仿宋_GB2312" w:hAnsi="仿宋_GB2312" w:eastAsia="仿宋_GB2312" w:cs="仿宋_GB2312"/>
          <w:kern w:val="21"/>
          <w:sz w:val="24"/>
          <w:szCs w:val="24"/>
        </w:rPr>
        <w:t>5、资料整理</w:t>
      </w:r>
    </w:p>
    <w:p w14:paraId="10CB626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每天野外观测数据收工后及时传输，经整理计算ρ</w:t>
      </w:r>
      <w:r>
        <w:rPr>
          <w:rFonts w:hint="eastAsia" w:ascii="仿宋_GB2312" w:hAnsi="仿宋_GB2312" w:eastAsia="仿宋_GB2312" w:cs="仿宋_GB2312"/>
          <w:snapToGrid w:val="0"/>
          <w:sz w:val="24"/>
          <w:szCs w:val="24"/>
          <w:vertAlign w:val="subscript"/>
        </w:rPr>
        <w:t>s</w:t>
      </w:r>
      <w:r>
        <w:rPr>
          <w:rFonts w:hint="eastAsia" w:ascii="仿宋_GB2312" w:hAnsi="仿宋_GB2312" w:eastAsia="仿宋_GB2312" w:cs="仿宋_GB2312"/>
          <w:snapToGrid w:val="0"/>
          <w:sz w:val="24"/>
          <w:szCs w:val="24"/>
        </w:rPr>
        <w:t>值，打印原始观测记录表，由操作员检查核对无误后签名，分阶段整理，作为原始资料保存，应以软盘或U盘的形式备份数据。计算人员作为数据的计算者签名，互检员应对数据复核，检查并填写自检、互检记录表。</w:t>
      </w:r>
    </w:p>
    <w:p w14:paraId="4CA96D0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lang w:eastAsia="zh-CN"/>
        </w:rPr>
        <w:t>(</w:t>
      </w:r>
      <w:r>
        <w:rPr>
          <w:rFonts w:hint="eastAsia" w:ascii="仿宋_GB2312" w:hAnsi="仿宋_GB2312" w:eastAsia="仿宋_GB2312" w:cs="仿宋_GB2312"/>
          <w:snapToGrid w:val="0"/>
          <w:sz w:val="24"/>
          <w:szCs w:val="24"/>
        </w:rPr>
        <w:t>1</w:t>
      </w:r>
      <w:r>
        <w:rPr>
          <w:rFonts w:hint="eastAsia" w:ascii="仿宋_GB2312" w:hAnsi="仿宋_GB2312" w:eastAsia="仿宋_GB2312" w:cs="仿宋_GB2312"/>
          <w:snapToGrid w:val="0"/>
          <w:sz w:val="24"/>
          <w:szCs w:val="24"/>
          <w:lang w:eastAsia="zh-CN"/>
        </w:rPr>
        <w:t>)</w:t>
      </w:r>
      <w:r>
        <w:rPr>
          <w:rFonts w:hint="eastAsia" w:ascii="仿宋_GB2312" w:hAnsi="仿宋_GB2312" w:eastAsia="仿宋_GB2312" w:cs="仿宋_GB2312"/>
          <w:snapToGrid w:val="0"/>
          <w:sz w:val="24"/>
          <w:szCs w:val="24"/>
        </w:rPr>
        <w:t>资料验收</w:t>
      </w:r>
    </w:p>
    <w:p w14:paraId="5278119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对原始记录必须当天进行检查验收，以及时发现问题和处理问题。检查的具体内容如下：</w:t>
      </w:r>
    </w:p>
    <w:p w14:paraId="0D2392B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①记录本各栏目及数据填写是否完整、清晰和有规律性，是否作了必要的标记。</w:t>
      </w:r>
    </w:p>
    <w:p w14:paraId="58330DF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②各项技术指标是否达到设计书或本规范的要求，野外出现的畸变点、异常点等是否进行了必要的检查观测，发现的异常是否完整。检查中发现的问题，应按下述原则处理：</w:t>
      </w:r>
    </w:p>
    <w:p w14:paraId="617186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A、凡因违反设计书规定致使数据无法利用或质量严重降低者应予返工，有个别点报废但不妨碍整体的可靠性者可除外。</w:t>
      </w:r>
    </w:p>
    <w:p w14:paraId="13533E2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B、在个别测线因对设计书规定执行不严，无法保证资料质量，但对比相邻测点或测线，认为资料仍可利用者，应作重点检查，并视情况予以补救。</w:t>
      </w:r>
    </w:p>
    <w:p w14:paraId="45F3518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本次资料每天均按上述程序整理，当天发现问题的都给予了及时处理；记录本均编录成了电子表格，数据完整、清晰；极少数畸变点都进行了观察检查。未发现无法保证质量的测点或测线。</w:t>
      </w:r>
    </w:p>
    <w:p w14:paraId="0D061DB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lang w:eastAsia="zh-CN"/>
        </w:rPr>
        <w:t>(</w:t>
      </w:r>
      <w:r>
        <w:rPr>
          <w:rFonts w:hint="eastAsia" w:ascii="仿宋_GB2312" w:hAnsi="仿宋_GB2312" w:eastAsia="仿宋_GB2312" w:cs="仿宋_GB2312"/>
          <w:snapToGrid w:val="0"/>
          <w:sz w:val="24"/>
          <w:szCs w:val="24"/>
        </w:rPr>
        <w:t>2</w:t>
      </w:r>
      <w:r>
        <w:rPr>
          <w:rFonts w:hint="eastAsia" w:ascii="仿宋_GB2312" w:hAnsi="仿宋_GB2312" w:eastAsia="仿宋_GB2312" w:cs="仿宋_GB2312"/>
          <w:snapToGrid w:val="0"/>
          <w:sz w:val="24"/>
          <w:szCs w:val="24"/>
          <w:lang w:eastAsia="zh-CN"/>
        </w:rPr>
        <w:t>)</w:t>
      </w:r>
      <w:r>
        <w:rPr>
          <w:rFonts w:hint="eastAsia" w:ascii="仿宋_GB2312" w:hAnsi="仿宋_GB2312" w:eastAsia="仿宋_GB2312" w:cs="仿宋_GB2312"/>
          <w:snapToGrid w:val="0"/>
          <w:sz w:val="24"/>
          <w:szCs w:val="24"/>
        </w:rPr>
        <w:t>数据整理和处理</w:t>
      </w:r>
    </w:p>
    <w:p w14:paraId="2169694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由于系统采用全波形记录方式，接收电压和发射电流的波形通过GPS时间戳标记，数据处理的时间精度非常高。数据处理流程：</w:t>
      </w:r>
    </w:p>
    <w:p w14:paraId="2927201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①数据整理，将测量到的电压和电流文件按照一定规则命名并整理。</w:t>
      </w:r>
    </w:p>
    <w:p w14:paraId="1974C64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②数据拾取叠加，首先对自然电位、脉冲滤波和频谱分析，然后挑选采样窗口，按照2秒间隔周期拾取信噪比较高的时段叠加。</w:t>
      </w:r>
    </w:p>
    <w:p w14:paraId="0BCE4F9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③数据汇总输入，首先将叠加后的输出文件进行汇总，由于接收机与发射机的时间序列是一一对应的，每次发射电极组合和接收电极都赋予了相应ID，因此我们只需要按照ID将其汇总即可；然后将汇总后的数据点及其ID对应的坐标信息文件结合，进行进一步处理。</w:t>
      </w:r>
    </w:p>
    <w:p w14:paraId="012009D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④剔除坏点，剔除出不合理和突变的电阻率值。</w:t>
      </w:r>
    </w:p>
    <w:p w14:paraId="5F99371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⑤剖分网格，设置好反演参数后进行数据反演，最后输出结果。</w:t>
      </w:r>
    </w:p>
    <w:p w14:paraId="254A9CB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kern w:val="21"/>
          <w:sz w:val="24"/>
          <w:szCs w:val="24"/>
        </w:rPr>
      </w:pPr>
      <w:r>
        <w:rPr>
          <w:rFonts w:hint="eastAsia" w:ascii="仿宋_GB2312" w:hAnsi="仿宋_GB2312" w:eastAsia="仿宋_GB2312" w:cs="仿宋_GB2312"/>
          <w:kern w:val="21"/>
          <w:sz w:val="24"/>
          <w:szCs w:val="24"/>
        </w:rPr>
        <w:t>6、质量检查</w:t>
      </w:r>
    </w:p>
    <w:p w14:paraId="23DA82E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napToGrid w:val="0"/>
          <w:sz w:val="24"/>
          <w:szCs w:val="24"/>
        </w:rPr>
        <w:t>采用“一同三不同”</w:t>
      </w:r>
      <w:r>
        <w:rPr>
          <w:rFonts w:hint="eastAsia" w:ascii="仿宋_GB2312" w:hAnsi="仿宋_GB2312" w:eastAsia="仿宋_GB2312" w:cs="仿宋_GB2312"/>
          <w:snapToGrid w:val="0"/>
          <w:sz w:val="24"/>
          <w:szCs w:val="24"/>
          <w:lang w:eastAsia="zh-CN"/>
        </w:rPr>
        <w:t>(</w:t>
      </w:r>
      <w:r>
        <w:rPr>
          <w:rFonts w:hint="eastAsia" w:ascii="仿宋_GB2312" w:hAnsi="仿宋_GB2312" w:eastAsia="仿宋_GB2312" w:cs="仿宋_GB2312"/>
          <w:snapToGrid w:val="0"/>
          <w:sz w:val="24"/>
          <w:szCs w:val="24"/>
        </w:rPr>
        <w:t>同点位、不同日期、不同仪器、不同人</w:t>
      </w:r>
      <w:r>
        <w:rPr>
          <w:rFonts w:hint="eastAsia" w:ascii="仿宋_GB2312" w:hAnsi="仿宋_GB2312" w:eastAsia="仿宋_GB2312" w:cs="仿宋_GB2312"/>
          <w:snapToGrid w:val="0"/>
          <w:sz w:val="24"/>
          <w:szCs w:val="24"/>
          <w:lang w:eastAsia="zh-CN"/>
        </w:rPr>
        <w:t>)</w:t>
      </w:r>
      <w:r>
        <w:rPr>
          <w:rFonts w:hint="eastAsia" w:ascii="仿宋_GB2312" w:hAnsi="仿宋_GB2312" w:eastAsia="仿宋_GB2312" w:cs="仿宋_GB2312"/>
          <w:snapToGrid w:val="0"/>
          <w:sz w:val="24"/>
          <w:szCs w:val="24"/>
        </w:rPr>
        <w:t>原则进行，质检率大于3%。工作精度以均方相对误差或均方误差来衡量，精度指标</w:t>
      </w:r>
      <w:r>
        <w:rPr>
          <w:rFonts w:hint="eastAsia" w:ascii="仿宋_GB2312" w:hAnsi="仿宋_GB2312" w:eastAsia="仿宋_GB2312" w:cs="仿宋_GB2312"/>
          <w:snapToGrid w:val="0"/>
          <w:sz w:val="24"/>
          <w:szCs w:val="24"/>
          <w:lang w:eastAsia="zh-CN"/>
        </w:rPr>
        <w:t>(</w:t>
      </w:r>
      <w:r>
        <w:rPr>
          <w:rFonts w:hint="eastAsia" w:ascii="仿宋_GB2312" w:hAnsi="仿宋_GB2312" w:eastAsia="仿宋_GB2312" w:cs="仿宋_GB2312"/>
          <w:snapToGrid w:val="0"/>
          <w:sz w:val="24"/>
          <w:szCs w:val="24"/>
        </w:rPr>
        <w:t>表5-</w:t>
      </w:r>
      <w:r>
        <w:rPr>
          <w:rFonts w:hint="eastAsia" w:ascii="仿宋_GB2312" w:hAnsi="仿宋_GB2312" w:eastAsia="仿宋_GB2312" w:cs="仿宋_GB2312"/>
          <w:snapToGrid w:val="0"/>
          <w:sz w:val="24"/>
          <w:szCs w:val="24"/>
          <w:lang w:val="en-US" w:eastAsia="zh-CN"/>
        </w:rPr>
        <w:t>8</w:t>
      </w:r>
      <w:r>
        <w:rPr>
          <w:rFonts w:hint="eastAsia" w:ascii="仿宋_GB2312" w:hAnsi="仿宋_GB2312" w:eastAsia="仿宋_GB2312" w:cs="仿宋_GB2312"/>
          <w:snapToGrid w:val="0"/>
          <w:sz w:val="24"/>
          <w:szCs w:val="24"/>
          <w:lang w:eastAsia="zh-CN"/>
        </w:rPr>
        <w:t>)</w:t>
      </w:r>
      <w:r>
        <w:rPr>
          <w:rFonts w:hint="eastAsia" w:ascii="仿宋_GB2312" w:hAnsi="仿宋_GB2312" w:eastAsia="仿宋_GB2312" w:cs="仿宋_GB2312"/>
          <w:snapToGrid w:val="0"/>
          <w:sz w:val="24"/>
          <w:szCs w:val="24"/>
        </w:rPr>
        <w:t>。</w:t>
      </w:r>
    </w:p>
    <w:p w14:paraId="724653A0">
      <w:pPr>
        <w:pageBreakBefore w:val="0"/>
        <w:wordWrap/>
        <w:bidi w:val="0"/>
        <w:spacing w:line="360" w:lineRule="auto"/>
        <w:jc w:val="center"/>
        <w:outlineLvl w:val="9"/>
        <w:rPr>
          <w:rFonts w:hint="eastAsia" w:ascii="宋体" w:hAnsi="宋体" w:cs="宋体"/>
          <w:b/>
          <w:bCs/>
          <w:sz w:val="24"/>
          <w:szCs w:val="24"/>
        </w:rPr>
      </w:pPr>
      <w:r>
        <w:rPr>
          <w:rFonts w:hint="eastAsia" w:ascii="宋体" w:hAnsi="宋体" w:cs="宋体"/>
          <w:b/>
          <w:bCs/>
          <w:sz w:val="24"/>
          <w:szCs w:val="24"/>
        </w:rPr>
        <w:t>表5-</w:t>
      </w:r>
      <w:r>
        <w:rPr>
          <w:rFonts w:hint="eastAsia" w:ascii="宋体" w:hAnsi="宋体" w:cs="宋体"/>
          <w:b/>
          <w:bCs/>
          <w:sz w:val="24"/>
          <w:szCs w:val="24"/>
          <w:lang w:val="en-US" w:eastAsia="zh-CN"/>
        </w:rPr>
        <w:t>8</w:t>
      </w:r>
      <w:r>
        <w:rPr>
          <w:rFonts w:hint="eastAsia" w:ascii="宋体" w:hAnsi="宋体" w:cs="宋体"/>
          <w:b/>
          <w:bCs/>
          <w:sz w:val="24"/>
          <w:szCs w:val="24"/>
        </w:rPr>
        <w:t xml:space="preserve">  激电测深精度指标</w:t>
      </w:r>
    </w:p>
    <w:tbl>
      <w:tblPr>
        <w:tblStyle w:val="42"/>
        <w:tblW w:w="0" w:type="auto"/>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03"/>
        <w:gridCol w:w="2808"/>
        <w:gridCol w:w="2337"/>
        <w:gridCol w:w="1404"/>
        <w:gridCol w:w="1405"/>
      </w:tblGrid>
      <w:tr w14:paraId="01ACC84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003" w:type="dxa"/>
            <w:vMerge w:val="restart"/>
            <w:tcBorders>
              <w:top w:val="single" w:color="auto" w:sz="4" w:space="0"/>
              <w:bottom w:val="single" w:color="auto" w:sz="4" w:space="0"/>
              <w:right w:val="single" w:color="auto" w:sz="4" w:space="0"/>
            </w:tcBorders>
            <w:noWrap w:val="0"/>
            <w:vAlign w:val="center"/>
          </w:tcPr>
          <w:p w14:paraId="1F926D6C">
            <w:pPr>
              <w:pageBreakBefore w:val="0"/>
              <w:wordWrap/>
              <w:bidi w:val="0"/>
              <w:adjustRightInd w:val="0"/>
              <w:snapToGrid w:val="0"/>
              <w:spacing w:line="0" w:lineRule="atLeast"/>
              <w:jc w:val="center"/>
              <w:outlineLvl w:val="9"/>
              <w:rPr>
                <w:rFonts w:hint="eastAsia" w:ascii="宋体" w:hAnsi="宋体" w:cs="宋体"/>
                <w:sz w:val="24"/>
                <w:szCs w:val="24"/>
              </w:rPr>
            </w:pPr>
            <w:r>
              <w:rPr>
                <w:rFonts w:hint="eastAsia" w:ascii="宋体" w:hAnsi="宋体" w:cs="宋体"/>
                <w:sz w:val="24"/>
                <w:szCs w:val="24"/>
              </w:rPr>
              <w:t>类别</w:t>
            </w:r>
          </w:p>
        </w:tc>
        <w:tc>
          <w:tcPr>
            <w:tcW w:w="5145" w:type="dxa"/>
            <w:gridSpan w:val="2"/>
            <w:tcBorders>
              <w:top w:val="single" w:color="auto" w:sz="4" w:space="0"/>
              <w:left w:val="single" w:color="auto" w:sz="4" w:space="0"/>
              <w:bottom w:val="single" w:color="auto" w:sz="4" w:space="0"/>
              <w:right w:val="single" w:color="auto" w:sz="4" w:space="0"/>
            </w:tcBorders>
            <w:noWrap w:val="0"/>
            <w:vAlign w:val="center"/>
          </w:tcPr>
          <w:p w14:paraId="680824CA">
            <w:pPr>
              <w:pageBreakBefore w:val="0"/>
              <w:wordWrap/>
              <w:bidi w:val="0"/>
              <w:adjustRightInd w:val="0"/>
              <w:snapToGrid w:val="0"/>
              <w:spacing w:line="0" w:lineRule="atLeast"/>
              <w:jc w:val="center"/>
              <w:outlineLvl w:val="9"/>
              <w:rPr>
                <w:rFonts w:hint="eastAsia" w:ascii="宋体" w:hAnsi="宋体" w:cs="宋体"/>
                <w:sz w:val="24"/>
                <w:szCs w:val="24"/>
              </w:rPr>
            </w:pPr>
            <w:r>
              <w:rPr>
                <w:rFonts w:hint="eastAsia" w:ascii="宋体" w:hAnsi="宋体" w:cs="宋体"/>
                <w:sz w:val="24"/>
                <w:szCs w:val="24"/>
              </w:rPr>
              <w:t>视极化率η</w:t>
            </w:r>
            <w:r>
              <w:rPr>
                <w:rFonts w:hint="eastAsia" w:ascii="宋体" w:hAnsi="宋体" w:cs="宋体"/>
                <w:sz w:val="24"/>
                <w:szCs w:val="24"/>
                <w:vertAlign w:val="subscript"/>
              </w:rPr>
              <w:t>s</w:t>
            </w:r>
          </w:p>
        </w:tc>
        <w:tc>
          <w:tcPr>
            <w:tcW w:w="2809" w:type="dxa"/>
            <w:gridSpan w:val="2"/>
            <w:tcBorders>
              <w:top w:val="single" w:color="auto" w:sz="4" w:space="0"/>
              <w:left w:val="single" w:color="auto" w:sz="4" w:space="0"/>
              <w:bottom w:val="single" w:color="auto" w:sz="4" w:space="0"/>
            </w:tcBorders>
            <w:noWrap w:val="0"/>
            <w:vAlign w:val="center"/>
          </w:tcPr>
          <w:p w14:paraId="6D6679F3">
            <w:pPr>
              <w:pageBreakBefore w:val="0"/>
              <w:wordWrap/>
              <w:bidi w:val="0"/>
              <w:adjustRightInd w:val="0"/>
              <w:snapToGrid w:val="0"/>
              <w:spacing w:line="0" w:lineRule="atLeast"/>
              <w:jc w:val="center"/>
              <w:outlineLvl w:val="9"/>
              <w:rPr>
                <w:rFonts w:hint="eastAsia" w:ascii="宋体" w:hAnsi="宋体" w:cs="宋体"/>
                <w:sz w:val="24"/>
                <w:szCs w:val="24"/>
              </w:rPr>
            </w:pPr>
            <w:r>
              <w:rPr>
                <w:rFonts w:hint="eastAsia" w:ascii="宋体" w:hAnsi="宋体" w:cs="宋体"/>
                <w:sz w:val="24"/>
                <w:szCs w:val="24"/>
              </w:rPr>
              <w:t>视电阻率ρ</w:t>
            </w:r>
            <w:r>
              <w:rPr>
                <w:rFonts w:hint="eastAsia" w:ascii="宋体" w:hAnsi="宋体" w:cs="宋体"/>
                <w:sz w:val="24"/>
                <w:szCs w:val="24"/>
                <w:vertAlign w:val="subscript"/>
              </w:rPr>
              <w:t>s</w:t>
            </w:r>
          </w:p>
        </w:tc>
      </w:tr>
      <w:tr w14:paraId="6A0CD26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003" w:type="dxa"/>
            <w:vMerge w:val="continue"/>
            <w:tcBorders>
              <w:top w:val="single" w:color="auto" w:sz="4" w:space="0"/>
              <w:bottom w:val="single" w:color="auto" w:sz="4" w:space="0"/>
              <w:right w:val="single" w:color="auto" w:sz="4" w:space="0"/>
            </w:tcBorders>
            <w:noWrap w:val="0"/>
            <w:vAlign w:val="center"/>
          </w:tcPr>
          <w:p w14:paraId="39A9A3CD">
            <w:pPr>
              <w:pageBreakBefore w:val="0"/>
              <w:wordWrap/>
              <w:bidi w:val="0"/>
              <w:adjustRightInd w:val="0"/>
              <w:snapToGrid w:val="0"/>
              <w:spacing w:line="0" w:lineRule="atLeast"/>
              <w:outlineLvl w:val="9"/>
              <w:rPr>
                <w:rFonts w:hint="eastAsia" w:ascii="宋体" w:hAnsi="宋体" w:cs="宋体"/>
                <w:sz w:val="24"/>
                <w:szCs w:val="24"/>
              </w:rPr>
            </w:pPr>
          </w:p>
        </w:tc>
        <w:tc>
          <w:tcPr>
            <w:tcW w:w="2808" w:type="dxa"/>
            <w:tcBorders>
              <w:top w:val="single" w:color="auto" w:sz="4" w:space="0"/>
              <w:left w:val="single" w:color="auto" w:sz="4" w:space="0"/>
              <w:bottom w:val="single" w:color="auto" w:sz="4" w:space="0"/>
              <w:right w:val="single" w:color="auto" w:sz="4" w:space="0"/>
            </w:tcBorders>
            <w:noWrap w:val="0"/>
            <w:vAlign w:val="center"/>
          </w:tcPr>
          <w:p w14:paraId="7A19917B">
            <w:pPr>
              <w:pStyle w:val="35"/>
              <w:pageBreakBefore w:val="0"/>
              <w:wordWrap/>
              <w:bidi w:val="0"/>
              <w:spacing w:after="0" w:line="0" w:lineRule="atLeast"/>
              <w:jc w:val="center"/>
              <w:outlineLvl w:val="9"/>
              <w:rPr>
                <w:rFonts w:hint="eastAsia" w:ascii="宋体" w:hAnsi="宋体" w:cs="宋体"/>
                <w:sz w:val="24"/>
                <w:szCs w:val="24"/>
              </w:rPr>
            </w:pPr>
            <w:r>
              <w:rPr>
                <w:rFonts w:hint="eastAsia" w:ascii="宋体" w:hAnsi="宋体" w:cs="宋体"/>
                <w:sz w:val="24"/>
                <w:szCs w:val="24"/>
              </w:rPr>
              <w:t>总均方相对误差m</w:t>
            </w:r>
          </w:p>
        </w:tc>
        <w:tc>
          <w:tcPr>
            <w:tcW w:w="2337" w:type="dxa"/>
            <w:tcBorders>
              <w:top w:val="single" w:color="auto" w:sz="4" w:space="0"/>
              <w:left w:val="single" w:color="auto" w:sz="4" w:space="0"/>
              <w:bottom w:val="single" w:color="auto" w:sz="4" w:space="0"/>
              <w:right w:val="single" w:color="auto" w:sz="4" w:space="0"/>
            </w:tcBorders>
            <w:noWrap w:val="0"/>
            <w:vAlign w:val="center"/>
          </w:tcPr>
          <w:p w14:paraId="4C073ACF">
            <w:pPr>
              <w:pStyle w:val="35"/>
              <w:pageBreakBefore w:val="0"/>
              <w:wordWrap/>
              <w:bidi w:val="0"/>
              <w:spacing w:after="0" w:line="0" w:lineRule="atLeast"/>
              <w:jc w:val="center"/>
              <w:outlineLvl w:val="9"/>
              <w:rPr>
                <w:rFonts w:hint="eastAsia" w:ascii="宋体" w:hAnsi="宋体" w:cs="宋体"/>
                <w:sz w:val="24"/>
                <w:szCs w:val="24"/>
              </w:rPr>
            </w:pPr>
            <w:r>
              <w:rPr>
                <w:rFonts w:hint="eastAsia" w:ascii="宋体" w:hAnsi="宋体" w:cs="宋体"/>
                <w:sz w:val="24"/>
                <w:szCs w:val="24"/>
              </w:rPr>
              <w:t>总均方误差ε</w:t>
            </w:r>
          </w:p>
        </w:tc>
        <w:tc>
          <w:tcPr>
            <w:tcW w:w="2809" w:type="dxa"/>
            <w:gridSpan w:val="2"/>
            <w:tcBorders>
              <w:top w:val="single" w:color="auto" w:sz="4" w:space="0"/>
              <w:left w:val="single" w:color="auto" w:sz="4" w:space="0"/>
              <w:bottom w:val="single" w:color="auto" w:sz="4" w:space="0"/>
            </w:tcBorders>
            <w:noWrap w:val="0"/>
            <w:vAlign w:val="center"/>
          </w:tcPr>
          <w:p w14:paraId="39BC715A">
            <w:pPr>
              <w:pageBreakBefore w:val="0"/>
              <w:wordWrap/>
              <w:bidi w:val="0"/>
              <w:adjustRightInd w:val="0"/>
              <w:snapToGrid w:val="0"/>
              <w:spacing w:line="0" w:lineRule="atLeast"/>
              <w:jc w:val="center"/>
              <w:outlineLvl w:val="9"/>
              <w:rPr>
                <w:rFonts w:hint="eastAsia" w:ascii="宋体" w:hAnsi="宋体" w:cs="宋体"/>
                <w:sz w:val="24"/>
                <w:szCs w:val="24"/>
              </w:rPr>
            </w:pPr>
            <w:r>
              <w:rPr>
                <w:rFonts w:hint="eastAsia" w:ascii="宋体" w:hAnsi="宋体" w:cs="宋体"/>
                <w:sz w:val="24"/>
                <w:szCs w:val="24"/>
              </w:rPr>
              <w:t>总均方相对误差m</w:t>
            </w:r>
          </w:p>
        </w:tc>
      </w:tr>
      <w:tr w14:paraId="4976FEB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003" w:type="dxa"/>
            <w:vMerge w:val="continue"/>
            <w:tcBorders>
              <w:top w:val="single" w:color="auto" w:sz="4" w:space="0"/>
              <w:bottom w:val="single" w:color="auto" w:sz="4" w:space="0"/>
              <w:right w:val="single" w:color="auto" w:sz="4" w:space="0"/>
            </w:tcBorders>
            <w:noWrap w:val="0"/>
            <w:vAlign w:val="center"/>
          </w:tcPr>
          <w:p w14:paraId="219A2045">
            <w:pPr>
              <w:pageBreakBefore w:val="0"/>
              <w:wordWrap/>
              <w:bidi w:val="0"/>
              <w:adjustRightInd w:val="0"/>
              <w:snapToGrid w:val="0"/>
              <w:spacing w:line="0" w:lineRule="atLeast"/>
              <w:outlineLvl w:val="9"/>
              <w:rPr>
                <w:rFonts w:hint="eastAsia" w:ascii="宋体" w:hAnsi="宋体" w:cs="宋体"/>
                <w:sz w:val="24"/>
                <w:szCs w:val="24"/>
              </w:rPr>
            </w:pPr>
          </w:p>
        </w:tc>
        <w:tc>
          <w:tcPr>
            <w:tcW w:w="2808" w:type="dxa"/>
            <w:tcBorders>
              <w:top w:val="single" w:color="auto" w:sz="4" w:space="0"/>
              <w:left w:val="single" w:color="auto" w:sz="4" w:space="0"/>
              <w:bottom w:val="single" w:color="auto" w:sz="4" w:space="0"/>
              <w:right w:val="single" w:color="auto" w:sz="4" w:space="0"/>
            </w:tcBorders>
            <w:noWrap w:val="0"/>
            <w:vAlign w:val="center"/>
          </w:tcPr>
          <w:p w14:paraId="1AB4BA1D">
            <w:pPr>
              <w:pageBreakBefore w:val="0"/>
              <w:wordWrap/>
              <w:bidi w:val="0"/>
              <w:adjustRightInd w:val="0"/>
              <w:snapToGrid w:val="0"/>
              <w:spacing w:line="0" w:lineRule="atLeast"/>
              <w:jc w:val="center"/>
              <w:outlineLvl w:val="9"/>
              <w:rPr>
                <w:rFonts w:hint="eastAsia"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η</w:t>
            </w:r>
            <w:r>
              <w:rPr>
                <w:rFonts w:hint="eastAsia" w:ascii="宋体" w:hAnsi="宋体" w:cs="宋体"/>
                <w:sz w:val="24"/>
                <w:szCs w:val="24"/>
                <w:vertAlign w:val="subscript"/>
              </w:rPr>
              <w:t>a</w:t>
            </w:r>
            <w:r>
              <w:rPr>
                <w:rFonts w:hint="eastAsia" w:ascii="宋体" w:hAnsi="宋体" w:cs="宋体"/>
                <w:sz w:val="24"/>
                <w:szCs w:val="24"/>
              </w:rPr>
              <w:t>&gt;3％时</w:t>
            </w:r>
            <w:r>
              <w:rPr>
                <w:rFonts w:hint="eastAsia" w:ascii="宋体" w:hAnsi="宋体" w:cs="宋体"/>
                <w:sz w:val="24"/>
                <w:szCs w:val="24"/>
                <w:lang w:eastAsia="zh-CN"/>
              </w:rPr>
              <w:t>)</w:t>
            </w:r>
          </w:p>
        </w:tc>
        <w:tc>
          <w:tcPr>
            <w:tcW w:w="2337" w:type="dxa"/>
            <w:tcBorders>
              <w:top w:val="single" w:color="auto" w:sz="4" w:space="0"/>
              <w:left w:val="single" w:color="auto" w:sz="4" w:space="0"/>
              <w:bottom w:val="single" w:color="auto" w:sz="4" w:space="0"/>
              <w:right w:val="single" w:color="auto" w:sz="4" w:space="0"/>
            </w:tcBorders>
            <w:noWrap w:val="0"/>
            <w:vAlign w:val="center"/>
          </w:tcPr>
          <w:p w14:paraId="53277705">
            <w:pPr>
              <w:pageBreakBefore w:val="0"/>
              <w:wordWrap/>
              <w:bidi w:val="0"/>
              <w:adjustRightInd w:val="0"/>
              <w:snapToGrid w:val="0"/>
              <w:spacing w:line="0" w:lineRule="atLeast"/>
              <w:jc w:val="center"/>
              <w:outlineLvl w:val="9"/>
              <w:rPr>
                <w:rFonts w:hint="eastAsia"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η</w:t>
            </w:r>
            <w:r>
              <w:rPr>
                <w:rFonts w:hint="eastAsia" w:ascii="宋体" w:hAnsi="宋体" w:cs="宋体"/>
                <w:sz w:val="24"/>
                <w:szCs w:val="24"/>
                <w:vertAlign w:val="subscript"/>
              </w:rPr>
              <w:t>a</w:t>
            </w:r>
            <w:r>
              <w:rPr>
                <w:rFonts w:hint="eastAsia" w:ascii="宋体" w:hAnsi="宋体" w:cs="宋体"/>
                <w:sz w:val="24"/>
                <w:szCs w:val="24"/>
              </w:rPr>
              <w:t>&lt;3％时</w:t>
            </w:r>
            <w:r>
              <w:rPr>
                <w:rFonts w:hint="eastAsia" w:ascii="宋体" w:hAnsi="宋体" w:cs="宋体"/>
                <w:sz w:val="24"/>
                <w:szCs w:val="24"/>
                <w:lang w:eastAsia="zh-CN"/>
              </w:rPr>
              <w:t>)</w:t>
            </w:r>
          </w:p>
        </w:tc>
        <w:tc>
          <w:tcPr>
            <w:tcW w:w="1404" w:type="dxa"/>
            <w:tcBorders>
              <w:top w:val="single" w:color="auto" w:sz="4" w:space="0"/>
              <w:left w:val="single" w:color="auto" w:sz="4" w:space="0"/>
              <w:bottom w:val="single" w:color="auto" w:sz="4" w:space="0"/>
              <w:right w:val="single" w:color="auto" w:sz="4" w:space="0"/>
            </w:tcBorders>
            <w:noWrap w:val="0"/>
            <w:vAlign w:val="center"/>
          </w:tcPr>
          <w:p w14:paraId="50815D03">
            <w:pPr>
              <w:pageBreakBefore w:val="0"/>
              <w:wordWrap/>
              <w:bidi w:val="0"/>
              <w:adjustRightInd w:val="0"/>
              <w:snapToGrid w:val="0"/>
              <w:spacing w:line="0" w:lineRule="atLeast"/>
              <w:jc w:val="center"/>
              <w:outlineLvl w:val="9"/>
              <w:rPr>
                <w:rFonts w:hint="eastAsia" w:ascii="宋体" w:hAnsi="宋体" w:cs="宋体"/>
                <w:sz w:val="24"/>
                <w:szCs w:val="24"/>
              </w:rPr>
            </w:pPr>
            <w:r>
              <w:rPr>
                <w:rFonts w:hint="eastAsia" w:ascii="宋体" w:hAnsi="宋体" w:cs="宋体"/>
                <w:sz w:val="24"/>
                <w:szCs w:val="24"/>
              </w:rPr>
              <w:t>有位差</w:t>
            </w:r>
          </w:p>
        </w:tc>
        <w:tc>
          <w:tcPr>
            <w:tcW w:w="1405" w:type="dxa"/>
            <w:tcBorders>
              <w:top w:val="single" w:color="auto" w:sz="4" w:space="0"/>
              <w:left w:val="single" w:color="auto" w:sz="4" w:space="0"/>
              <w:bottom w:val="single" w:color="auto" w:sz="4" w:space="0"/>
            </w:tcBorders>
            <w:noWrap w:val="0"/>
            <w:vAlign w:val="center"/>
          </w:tcPr>
          <w:p w14:paraId="108C6EBF">
            <w:pPr>
              <w:pageBreakBefore w:val="0"/>
              <w:wordWrap/>
              <w:bidi w:val="0"/>
              <w:adjustRightInd w:val="0"/>
              <w:snapToGrid w:val="0"/>
              <w:spacing w:line="0" w:lineRule="atLeast"/>
              <w:jc w:val="center"/>
              <w:outlineLvl w:val="9"/>
              <w:rPr>
                <w:rFonts w:hint="eastAsia" w:ascii="宋体" w:hAnsi="宋体" w:cs="宋体"/>
                <w:sz w:val="24"/>
                <w:szCs w:val="24"/>
              </w:rPr>
            </w:pPr>
            <w:r>
              <w:rPr>
                <w:rFonts w:hint="eastAsia" w:ascii="宋体" w:hAnsi="宋体" w:cs="宋体"/>
                <w:sz w:val="24"/>
                <w:szCs w:val="24"/>
              </w:rPr>
              <w:t>无位差</w:t>
            </w:r>
          </w:p>
        </w:tc>
      </w:tr>
      <w:tr w14:paraId="4ED0A38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003" w:type="dxa"/>
            <w:tcBorders>
              <w:top w:val="single" w:color="auto" w:sz="4" w:space="0"/>
              <w:bottom w:val="single" w:color="auto" w:sz="4" w:space="0"/>
              <w:right w:val="single" w:color="auto" w:sz="4" w:space="0"/>
            </w:tcBorders>
            <w:noWrap w:val="0"/>
            <w:vAlign w:val="center"/>
          </w:tcPr>
          <w:p w14:paraId="3791A6ED">
            <w:pPr>
              <w:pageBreakBefore w:val="0"/>
              <w:wordWrap/>
              <w:bidi w:val="0"/>
              <w:adjustRightInd w:val="0"/>
              <w:snapToGrid w:val="0"/>
              <w:spacing w:line="0" w:lineRule="atLeast"/>
              <w:jc w:val="center"/>
              <w:outlineLvl w:val="9"/>
              <w:rPr>
                <w:rFonts w:hint="eastAsia" w:ascii="宋体" w:hAnsi="宋体" w:cs="宋体"/>
                <w:sz w:val="24"/>
                <w:szCs w:val="24"/>
              </w:rPr>
            </w:pPr>
            <w:r>
              <w:rPr>
                <w:rFonts w:hint="eastAsia" w:ascii="宋体" w:hAnsi="宋体" w:cs="宋体"/>
                <w:sz w:val="24"/>
                <w:szCs w:val="24"/>
              </w:rPr>
              <w:t>A</w:t>
            </w:r>
          </w:p>
        </w:tc>
        <w:tc>
          <w:tcPr>
            <w:tcW w:w="2808" w:type="dxa"/>
            <w:tcBorders>
              <w:top w:val="single" w:color="auto" w:sz="4" w:space="0"/>
              <w:left w:val="single" w:color="auto" w:sz="4" w:space="0"/>
              <w:bottom w:val="single" w:color="auto" w:sz="4" w:space="0"/>
              <w:right w:val="single" w:color="auto" w:sz="4" w:space="0"/>
            </w:tcBorders>
            <w:noWrap w:val="0"/>
            <w:vAlign w:val="center"/>
          </w:tcPr>
          <w:p w14:paraId="2C82F181">
            <w:pPr>
              <w:pageBreakBefore w:val="0"/>
              <w:wordWrap/>
              <w:bidi w:val="0"/>
              <w:adjustRightInd w:val="0"/>
              <w:snapToGrid w:val="0"/>
              <w:spacing w:line="0" w:lineRule="atLeast"/>
              <w:jc w:val="center"/>
              <w:outlineLvl w:val="9"/>
              <w:rPr>
                <w:rFonts w:hint="eastAsia" w:ascii="宋体" w:hAnsi="宋体" w:cs="宋体"/>
                <w:sz w:val="24"/>
                <w:szCs w:val="24"/>
              </w:rPr>
            </w:pPr>
            <w:r>
              <w:rPr>
                <w:rFonts w:hint="eastAsia" w:ascii="宋体" w:hAnsi="宋体" w:cs="宋体"/>
                <w:sz w:val="24"/>
                <w:szCs w:val="24"/>
              </w:rPr>
              <w:t>4%</w:t>
            </w:r>
          </w:p>
        </w:tc>
        <w:tc>
          <w:tcPr>
            <w:tcW w:w="2337" w:type="dxa"/>
            <w:tcBorders>
              <w:top w:val="single" w:color="auto" w:sz="4" w:space="0"/>
              <w:left w:val="single" w:color="auto" w:sz="4" w:space="0"/>
              <w:bottom w:val="single" w:color="auto" w:sz="4" w:space="0"/>
              <w:right w:val="single" w:color="auto" w:sz="4" w:space="0"/>
            </w:tcBorders>
            <w:noWrap w:val="0"/>
            <w:vAlign w:val="center"/>
          </w:tcPr>
          <w:p w14:paraId="41A84A9D">
            <w:pPr>
              <w:pageBreakBefore w:val="0"/>
              <w:wordWrap/>
              <w:bidi w:val="0"/>
              <w:adjustRightInd w:val="0"/>
              <w:snapToGrid w:val="0"/>
              <w:spacing w:line="0" w:lineRule="atLeast"/>
              <w:jc w:val="center"/>
              <w:outlineLvl w:val="9"/>
              <w:rPr>
                <w:rFonts w:hint="eastAsia" w:ascii="宋体" w:hAnsi="宋体" w:cs="宋体"/>
                <w:sz w:val="24"/>
                <w:szCs w:val="24"/>
              </w:rPr>
            </w:pPr>
            <w:r>
              <w:rPr>
                <w:rFonts w:hint="eastAsia" w:ascii="宋体" w:hAnsi="宋体" w:cs="宋体"/>
                <w:sz w:val="24"/>
                <w:szCs w:val="24"/>
              </w:rPr>
              <w:t>0.12</w:t>
            </w:r>
          </w:p>
        </w:tc>
        <w:tc>
          <w:tcPr>
            <w:tcW w:w="1404" w:type="dxa"/>
            <w:tcBorders>
              <w:top w:val="single" w:color="auto" w:sz="4" w:space="0"/>
              <w:left w:val="single" w:color="auto" w:sz="4" w:space="0"/>
              <w:bottom w:val="single" w:color="auto" w:sz="4" w:space="0"/>
              <w:right w:val="single" w:color="auto" w:sz="4" w:space="0"/>
            </w:tcBorders>
            <w:noWrap w:val="0"/>
            <w:vAlign w:val="center"/>
          </w:tcPr>
          <w:p w14:paraId="441E0C4F">
            <w:pPr>
              <w:pageBreakBefore w:val="0"/>
              <w:wordWrap/>
              <w:bidi w:val="0"/>
              <w:adjustRightInd w:val="0"/>
              <w:snapToGrid w:val="0"/>
              <w:spacing w:line="0" w:lineRule="atLeast"/>
              <w:jc w:val="center"/>
              <w:outlineLvl w:val="9"/>
              <w:rPr>
                <w:rFonts w:hint="eastAsia" w:ascii="宋体" w:hAnsi="宋体" w:cs="宋体"/>
                <w:sz w:val="24"/>
                <w:szCs w:val="24"/>
              </w:rPr>
            </w:pPr>
            <w:r>
              <w:rPr>
                <w:rFonts w:hint="eastAsia" w:ascii="宋体" w:hAnsi="宋体" w:cs="宋体"/>
                <w:sz w:val="24"/>
                <w:szCs w:val="24"/>
              </w:rPr>
              <w:t>7%</w:t>
            </w:r>
          </w:p>
        </w:tc>
        <w:tc>
          <w:tcPr>
            <w:tcW w:w="1405" w:type="dxa"/>
            <w:tcBorders>
              <w:top w:val="single" w:color="auto" w:sz="4" w:space="0"/>
              <w:left w:val="single" w:color="auto" w:sz="4" w:space="0"/>
              <w:bottom w:val="single" w:color="auto" w:sz="4" w:space="0"/>
            </w:tcBorders>
            <w:noWrap w:val="0"/>
            <w:vAlign w:val="center"/>
          </w:tcPr>
          <w:p w14:paraId="1288BD5F">
            <w:pPr>
              <w:pageBreakBefore w:val="0"/>
              <w:wordWrap/>
              <w:bidi w:val="0"/>
              <w:adjustRightInd w:val="0"/>
              <w:snapToGrid w:val="0"/>
              <w:spacing w:line="0" w:lineRule="atLeast"/>
              <w:jc w:val="center"/>
              <w:outlineLvl w:val="9"/>
              <w:rPr>
                <w:rFonts w:hint="eastAsia" w:ascii="宋体" w:hAnsi="宋体" w:cs="宋体"/>
                <w:sz w:val="24"/>
                <w:szCs w:val="24"/>
              </w:rPr>
            </w:pPr>
            <w:r>
              <w:rPr>
                <w:rFonts w:hint="eastAsia" w:ascii="宋体" w:hAnsi="宋体" w:cs="宋体"/>
                <w:sz w:val="24"/>
                <w:szCs w:val="24"/>
              </w:rPr>
              <w:t>4%</w:t>
            </w:r>
          </w:p>
        </w:tc>
      </w:tr>
      <w:tr w14:paraId="040AA9E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003" w:type="dxa"/>
            <w:tcBorders>
              <w:top w:val="single" w:color="auto" w:sz="4" w:space="0"/>
              <w:bottom w:val="single" w:color="auto" w:sz="4" w:space="0"/>
              <w:right w:val="single" w:color="auto" w:sz="4" w:space="0"/>
            </w:tcBorders>
            <w:noWrap w:val="0"/>
            <w:vAlign w:val="center"/>
          </w:tcPr>
          <w:p w14:paraId="7BBAC733">
            <w:pPr>
              <w:pageBreakBefore w:val="0"/>
              <w:wordWrap/>
              <w:bidi w:val="0"/>
              <w:adjustRightInd w:val="0"/>
              <w:snapToGrid w:val="0"/>
              <w:spacing w:line="0" w:lineRule="atLeast"/>
              <w:jc w:val="center"/>
              <w:outlineLvl w:val="9"/>
              <w:rPr>
                <w:rFonts w:hint="eastAsia" w:ascii="宋体" w:hAnsi="宋体" w:cs="宋体"/>
                <w:sz w:val="24"/>
                <w:szCs w:val="24"/>
              </w:rPr>
            </w:pPr>
            <w:r>
              <w:rPr>
                <w:rFonts w:hint="eastAsia" w:ascii="宋体" w:hAnsi="宋体" w:cs="宋体"/>
                <w:sz w:val="24"/>
                <w:szCs w:val="24"/>
              </w:rPr>
              <w:t>B</w:t>
            </w:r>
          </w:p>
        </w:tc>
        <w:tc>
          <w:tcPr>
            <w:tcW w:w="2808" w:type="dxa"/>
            <w:tcBorders>
              <w:top w:val="single" w:color="auto" w:sz="4" w:space="0"/>
              <w:left w:val="single" w:color="auto" w:sz="4" w:space="0"/>
              <w:bottom w:val="single" w:color="auto" w:sz="4" w:space="0"/>
              <w:right w:val="single" w:color="auto" w:sz="4" w:space="0"/>
            </w:tcBorders>
            <w:noWrap w:val="0"/>
            <w:vAlign w:val="center"/>
          </w:tcPr>
          <w:p w14:paraId="173EBAC1">
            <w:pPr>
              <w:pageBreakBefore w:val="0"/>
              <w:wordWrap/>
              <w:bidi w:val="0"/>
              <w:adjustRightInd w:val="0"/>
              <w:snapToGrid w:val="0"/>
              <w:spacing w:line="0" w:lineRule="atLeast"/>
              <w:jc w:val="center"/>
              <w:outlineLvl w:val="9"/>
              <w:rPr>
                <w:rFonts w:hint="eastAsia" w:ascii="宋体" w:hAnsi="宋体" w:cs="宋体"/>
                <w:sz w:val="24"/>
                <w:szCs w:val="24"/>
              </w:rPr>
            </w:pPr>
            <w:r>
              <w:rPr>
                <w:rFonts w:hint="eastAsia" w:ascii="宋体" w:hAnsi="宋体" w:cs="宋体"/>
                <w:sz w:val="24"/>
                <w:szCs w:val="24"/>
              </w:rPr>
              <w:t>7%</w:t>
            </w:r>
          </w:p>
        </w:tc>
        <w:tc>
          <w:tcPr>
            <w:tcW w:w="2337" w:type="dxa"/>
            <w:tcBorders>
              <w:top w:val="single" w:color="auto" w:sz="4" w:space="0"/>
              <w:left w:val="single" w:color="auto" w:sz="4" w:space="0"/>
              <w:bottom w:val="single" w:color="auto" w:sz="4" w:space="0"/>
              <w:right w:val="single" w:color="auto" w:sz="4" w:space="0"/>
            </w:tcBorders>
            <w:noWrap w:val="0"/>
            <w:vAlign w:val="center"/>
          </w:tcPr>
          <w:p w14:paraId="6FEBCC6A">
            <w:pPr>
              <w:pageBreakBefore w:val="0"/>
              <w:wordWrap/>
              <w:bidi w:val="0"/>
              <w:adjustRightInd w:val="0"/>
              <w:snapToGrid w:val="0"/>
              <w:spacing w:line="0" w:lineRule="atLeast"/>
              <w:jc w:val="center"/>
              <w:outlineLvl w:val="9"/>
              <w:rPr>
                <w:rFonts w:hint="eastAsia" w:ascii="宋体" w:hAnsi="宋体" w:cs="宋体"/>
                <w:sz w:val="24"/>
                <w:szCs w:val="24"/>
              </w:rPr>
            </w:pPr>
            <w:r>
              <w:rPr>
                <w:rFonts w:hint="eastAsia" w:ascii="宋体" w:hAnsi="宋体" w:cs="宋体"/>
                <w:sz w:val="24"/>
                <w:szCs w:val="24"/>
              </w:rPr>
              <w:t>0.21</w:t>
            </w:r>
          </w:p>
        </w:tc>
        <w:tc>
          <w:tcPr>
            <w:tcW w:w="1404" w:type="dxa"/>
            <w:tcBorders>
              <w:top w:val="single" w:color="auto" w:sz="4" w:space="0"/>
              <w:left w:val="single" w:color="auto" w:sz="4" w:space="0"/>
              <w:bottom w:val="single" w:color="auto" w:sz="4" w:space="0"/>
              <w:right w:val="single" w:color="auto" w:sz="4" w:space="0"/>
            </w:tcBorders>
            <w:noWrap w:val="0"/>
            <w:vAlign w:val="center"/>
          </w:tcPr>
          <w:p w14:paraId="380D8F63">
            <w:pPr>
              <w:pageBreakBefore w:val="0"/>
              <w:wordWrap/>
              <w:bidi w:val="0"/>
              <w:adjustRightInd w:val="0"/>
              <w:snapToGrid w:val="0"/>
              <w:spacing w:line="0" w:lineRule="atLeast"/>
              <w:jc w:val="center"/>
              <w:outlineLvl w:val="9"/>
              <w:rPr>
                <w:rFonts w:hint="eastAsia" w:ascii="宋体" w:hAnsi="宋体" w:cs="宋体"/>
                <w:sz w:val="24"/>
                <w:szCs w:val="24"/>
              </w:rPr>
            </w:pPr>
            <w:r>
              <w:rPr>
                <w:rFonts w:hint="eastAsia" w:ascii="宋体" w:hAnsi="宋体" w:cs="宋体"/>
                <w:sz w:val="24"/>
                <w:szCs w:val="24"/>
              </w:rPr>
              <w:t>12%</w:t>
            </w:r>
          </w:p>
        </w:tc>
        <w:tc>
          <w:tcPr>
            <w:tcW w:w="1405" w:type="dxa"/>
            <w:tcBorders>
              <w:top w:val="single" w:color="auto" w:sz="4" w:space="0"/>
              <w:left w:val="single" w:color="auto" w:sz="4" w:space="0"/>
              <w:bottom w:val="single" w:color="auto" w:sz="4" w:space="0"/>
            </w:tcBorders>
            <w:noWrap w:val="0"/>
            <w:vAlign w:val="center"/>
          </w:tcPr>
          <w:p w14:paraId="268D9E22">
            <w:pPr>
              <w:pageBreakBefore w:val="0"/>
              <w:wordWrap/>
              <w:bidi w:val="0"/>
              <w:adjustRightInd w:val="0"/>
              <w:snapToGrid w:val="0"/>
              <w:spacing w:line="0" w:lineRule="atLeast"/>
              <w:jc w:val="center"/>
              <w:outlineLvl w:val="9"/>
              <w:rPr>
                <w:rFonts w:hint="eastAsia" w:ascii="宋体" w:hAnsi="宋体" w:cs="宋体"/>
                <w:sz w:val="24"/>
                <w:szCs w:val="24"/>
              </w:rPr>
            </w:pPr>
            <w:r>
              <w:rPr>
                <w:rFonts w:hint="eastAsia" w:ascii="宋体" w:hAnsi="宋体" w:cs="宋体"/>
                <w:sz w:val="24"/>
                <w:szCs w:val="24"/>
              </w:rPr>
              <w:t>7%</w:t>
            </w:r>
          </w:p>
        </w:tc>
      </w:tr>
    </w:tbl>
    <w:p w14:paraId="34C48EA6">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w:t>
      </w:r>
      <w:r>
        <w:rPr>
          <w:rFonts w:hint="eastAsia" w:ascii="仿宋_GB2312" w:hAnsi="仿宋_GB2312" w:eastAsia="仿宋_GB2312" w:cs="仿宋_GB2312"/>
          <w:sz w:val="24"/>
          <w:szCs w:val="24"/>
          <w:lang w:eastAsia="zh-CN"/>
        </w:rPr>
        <w:t>目的任务</w:t>
      </w:r>
      <w:r>
        <w:rPr>
          <w:rFonts w:hint="eastAsia" w:ascii="仿宋_GB2312" w:hAnsi="仿宋_GB2312" w:eastAsia="仿宋_GB2312" w:cs="仿宋_GB2312"/>
          <w:sz w:val="24"/>
          <w:szCs w:val="24"/>
        </w:rPr>
        <w:t>、地形条件以及干扰水平，确定本次时间域激发极化法测量工作精度需达到A级</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表5-</w:t>
      </w:r>
      <w:r>
        <w:rPr>
          <w:rFonts w:hint="eastAsia" w:ascii="仿宋_GB2312" w:hAnsi="仿宋_GB2312" w:eastAsia="仿宋_GB2312" w:cs="仿宋_GB2312"/>
          <w:sz w:val="24"/>
          <w:szCs w:val="24"/>
          <w:lang w:val="en-US" w:eastAsia="zh-CN"/>
        </w:rPr>
        <w:t>8</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。当不能对质量作出肯定的评价时，增加检查工作量，但增至总工作量的20%，质量仍不符合要求时，则相应范围内的原始观测资料应作废品处理。</w:t>
      </w:r>
    </w:p>
    <w:p w14:paraId="7F7D16C1">
      <w:pPr>
        <w:pageBreakBefore w:val="0"/>
        <w:widowControl w:val="0"/>
        <w:kinsoku/>
        <w:wordWrap/>
        <w:overflowPunct/>
        <w:topLinePunct w:val="0"/>
        <w:bidi w:val="0"/>
        <w:spacing w:line="360" w:lineRule="auto"/>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_GB2312" w:hAnsi="仿宋_GB2312" w:eastAsia="仿宋_GB2312" w:cs="仿宋_GB2312"/>
          <w:sz w:val="24"/>
          <w:szCs w:val="24"/>
        </w:rPr>
        <w:t>其它未尽事宜参照《时间域激发极化法技术规定》</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DZ/T0070-2016</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执行。</w:t>
      </w:r>
    </w:p>
    <w:p w14:paraId="2F354A67">
      <w:pPr>
        <w:spacing w:line="360" w:lineRule="auto"/>
        <w:ind w:firstLine="480" w:firstLineChars="200"/>
        <w:rPr>
          <w:rFonts w:hint="eastAsia" w:ascii="仿宋" w:hAnsi="仿宋" w:eastAsia="仿宋" w:cs="仿宋"/>
          <w:sz w:val="24"/>
          <w:szCs w:val="24"/>
        </w:rPr>
      </w:pPr>
    </w:p>
    <w:p w14:paraId="6DF4258A">
      <w:pPr>
        <w:spacing w:after="0" w:line="240" w:lineRule="auto"/>
        <w:jc w:val="both"/>
        <w:rPr>
          <w:rFonts w:hint="eastAsia" w:ascii="仿宋" w:hAnsi="仿宋" w:eastAsia="仿宋" w:cs="仿宋"/>
          <w:b/>
          <w:sz w:val="24"/>
          <w14:ligatures w14:val="none"/>
        </w:rPr>
      </w:pPr>
    </w:p>
    <w:p w14:paraId="7A22A9BD">
      <w:pPr>
        <w:rPr>
          <w:rFonts w:hint="eastAsia" w:ascii="仿宋" w:hAnsi="仿宋" w:eastAsia="仿宋" w:cs="仿宋"/>
          <w:b/>
          <w:sz w:val="24"/>
          <w:szCs w:val="24"/>
          <w:highlight w:val="none"/>
        </w:rPr>
      </w:pPr>
    </w:p>
    <w:p w14:paraId="69213F43">
      <w:pPr>
        <w:rPr>
          <w:rFonts w:hint="eastAsia" w:ascii="仿宋" w:hAnsi="仿宋" w:eastAsia="仿宋" w:cs="仿宋"/>
          <w:b/>
          <w:sz w:val="24"/>
          <w:szCs w:val="24"/>
          <w:highlight w:val="none"/>
        </w:rPr>
      </w:pPr>
    </w:p>
    <w:p w14:paraId="4B9F7387">
      <w:pPr>
        <w:rPr>
          <w:rFonts w:hint="eastAsia" w:ascii="仿宋" w:hAnsi="仿宋" w:eastAsia="仿宋" w:cs="仿宋"/>
          <w:b/>
          <w:sz w:val="24"/>
          <w:szCs w:val="24"/>
          <w:highlight w:val="none"/>
        </w:rPr>
      </w:pPr>
    </w:p>
    <w:p w14:paraId="30327488">
      <w:pPr>
        <w:rPr>
          <w:rFonts w:hint="eastAsia" w:ascii="仿宋" w:hAnsi="仿宋" w:eastAsia="仿宋" w:cs="仿宋"/>
          <w:b/>
          <w:sz w:val="24"/>
          <w:szCs w:val="24"/>
          <w:highlight w:val="none"/>
        </w:rPr>
      </w:pPr>
      <w:r>
        <w:rPr>
          <w:rFonts w:hint="eastAsia" w:ascii="仿宋" w:hAnsi="仿宋" w:eastAsia="仿宋" w:cs="仿宋"/>
          <w:b/>
          <w:sz w:val="24"/>
          <w:szCs w:val="24"/>
          <w:highlight w:val="none"/>
        </w:rPr>
        <w:br w:type="page"/>
      </w:r>
    </w:p>
    <w:p w14:paraId="4D9BB22F">
      <w:pPr>
        <w:spacing w:line="440" w:lineRule="exact"/>
        <w:jc w:val="center"/>
        <w:outlineLvl w:val="0"/>
        <w:rPr>
          <w:rFonts w:hint="eastAsia" w:ascii="仿宋" w:hAnsi="仿宋" w:eastAsia="仿宋" w:cs="仿宋"/>
          <w:b/>
          <w:sz w:val="24"/>
          <w:szCs w:val="24"/>
          <w:highlight w:val="none"/>
        </w:rPr>
      </w:pPr>
      <w:r>
        <w:rPr>
          <w:rFonts w:hint="eastAsia" w:ascii="仿宋" w:hAnsi="仿宋" w:eastAsia="仿宋" w:cs="仿宋"/>
          <w:b/>
          <w:sz w:val="24"/>
          <w:szCs w:val="24"/>
          <w:highlight w:val="none"/>
        </w:rPr>
        <w:t>第五章 投标文件格式</w:t>
      </w:r>
      <w:bookmarkEnd w:id="314"/>
      <w:bookmarkEnd w:id="315"/>
    </w:p>
    <w:p w14:paraId="533C9DBC">
      <w:pPr>
        <w:rPr>
          <w:rFonts w:hint="eastAsia" w:ascii="仿宋" w:hAnsi="仿宋" w:eastAsia="仿宋" w:cs="仿宋"/>
          <w:b/>
          <w:sz w:val="24"/>
          <w:szCs w:val="24"/>
          <w:highlight w:val="none"/>
        </w:rPr>
      </w:pPr>
    </w:p>
    <w:p w14:paraId="5EB6B1CB">
      <w:pPr>
        <w:rPr>
          <w:rFonts w:hint="eastAsia" w:ascii="仿宋" w:hAnsi="仿宋" w:eastAsia="仿宋" w:cs="仿宋"/>
          <w:b/>
          <w:sz w:val="24"/>
          <w:szCs w:val="24"/>
          <w:highlight w:val="none"/>
        </w:rPr>
      </w:pPr>
    </w:p>
    <w:p w14:paraId="73DD11A3">
      <w:pPr>
        <w:rPr>
          <w:rFonts w:hint="eastAsia" w:ascii="仿宋" w:hAnsi="仿宋" w:eastAsia="仿宋" w:cs="仿宋"/>
          <w:sz w:val="24"/>
          <w:szCs w:val="24"/>
          <w:highlight w:val="none"/>
          <w:u w:val="single"/>
        </w:rPr>
      </w:pPr>
      <w:r>
        <w:rPr>
          <w:rFonts w:hint="eastAsia" w:ascii="仿宋" w:hAnsi="仿宋" w:eastAsia="仿宋" w:cs="仿宋"/>
          <w:sz w:val="24"/>
          <w:szCs w:val="24"/>
          <w:highlight w:val="none"/>
          <w:u w:val="single"/>
        </w:rPr>
        <w:t>投标文件封面示例</w:t>
      </w:r>
    </w:p>
    <w:p w14:paraId="31985BD1">
      <w:pPr>
        <w:spacing w:line="480" w:lineRule="auto"/>
        <w:jc w:val="center"/>
        <w:rPr>
          <w:rFonts w:hint="eastAsia" w:ascii="仿宋" w:hAnsi="仿宋" w:eastAsia="仿宋" w:cs="仿宋"/>
          <w:b/>
          <w:sz w:val="24"/>
          <w:szCs w:val="24"/>
          <w:highlight w:val="none"/>
          <w:bdr w:val="single" w:color="auto" w:sz="4" w:space="0"/>
        </w:rPr>
      </w:pPr>
    </w:p>
    <w:p w14:paraId="0A717214">
      <w:pPr>
        <w:spacing w:line="480" w:lineRule="auto"/>
        <w:jc w:val="center"/>
        <w:rPr>
          <w:rFonts w:hint="eastAsia" w:ascii="仿宋" w:hAnsi="仿宋" w:eastAsia="仿宋" w:cs="仿宋"/>
          <w:b/>
          <w:sz w:val="24"/>
          <w:szCs w:val="24"/>
          <w:highlight w:val="none"/>
          <w:bdr w:val="single" w:color="auto" w:sz="4" w:space="0"/>
        </w:rPr>
      </w:pPr>
    </w:p>
    <w:p w14:paraId="5A6D865F">
      <w:pPr>
        <w:spacing w:line="480" w:lineRule="auto"/>
        <w:jc w:val="center"/>
        <w:rPr>
          <w:rFonts w:hint="eastAsia" w:ascii="仿宋" w:hAnsi="仿宋" w:eastAsia="仿宋" w:cs="仿宋"/>
          <w:b/>
          <w:bCs/>
          <w:sz w:val="24"/>
          <w:szCs w:val="24"/>
          <w:highlight w:val="none"/>
          <w:u w:val="single"/>
        </w:rPr>
      </w:pPr>
      <w:r>
        <w:rPr>
          <w:rFonts w:hint="eastAsia" w:ascii="仿宋" w:hAnsi="仿宋" w:eastAsia="仿宋" w:cs="仿宋"/>
          <w:b/>
          <w:bCs/>
          <w:sz w:val="24"/>
          <w:szCs w:val="24"/>
          <w:highlight w:val="none"/>
          <w:u w:val="single"/>
        </w:rPr>
        <w:t>（项目名称）</w:t>
      </w:r>
    </w:p>
    <w:p w14:paraId="3ECF9EAB">
      <w:pPr>
        <w:spacing w:line="480" w:lineRule="auto"/>
        <w:jc w:val="center"/>
        <w:rPr>
          <w:rFonts w:hint="eastAsia" w:ascii="仿宋" w:hAnsi="仿宋" w:eastAsia="仿宋" w:cs="仿宋"/>
          <w:b/>
          <w:bCs/>
          <w:sz w:val="24"/>
          <w:szCs w:val="24"/>
          <w:highlight w:val="none"/>
          <w:u w:val="single"/>
        </w:rPr>
      </w:pPr>
      <w:r>
        <w:rPr>
          <w:rFonts w:hint="eastAsia" w:ascii="仿宋" w:hAnsi="仿宋" w:eastAsia="仿宋" w:cs="仿宋"/>
          <w:b/>
          <w:bCs/>
          <w:sz w:val="24"/>
          <w:szCs w:val="24"/>
          <w:highlight w:val="none"/>
          <w:u w:val="single"/>
        </w:rPr>
        <w:t>（项目编号）</w:t>
      </w:r>
    </w:p>
    <w:p w14:paraId="5C076A1C">
      <w:pPr>
        <w:spacing w:line="300" w:lineRule="exact"/>
        <w:jc w:val="center"/>
        <w:rPr>
          <w:rFonts w:hint="eastAsia" w:ascii="仿宋" w:hAnsi="仿宋" w:eastAsia="仿宋" w:cs="仿宋"/>
          <w:b/>
          <w:bCs/>
          <w:sz w:val="24"/>
          <w:szCs w:val="24"/>
          <w:highlight w:val="none"/>
        </w:rPr>
      </w:pPr>
    </w:p>
    <w:p w14:paraId="4BF3801A">
      <w:pPr>
        <w:spacing w:line="300" w:lineRule="exact"/>
        <w:jc w:val="center"/>
        <w:rPr>
          <w:rFonts w:hint="eastAsia" w:ascii="仿宋" w:hAnsi="仿宋" w:eastAsia="仿宋" w:cs="仿宋"/>
          <w:b/>
          <w:bCs/>
          <w:sz w:val="24"/>
          <w:szCs w:val="24"/>
          <w:highlight w:val="none"/>
        </w:rPr>
      </w:pPr>
    </w:p>
    <w:p w14:paraId="60FB9DFD">
      <w:pPr>
        <w:spacing w:line="300" w:lineRule="exact"/>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投标文件</w:t>
      </w:r>
    </w:p>
    <w:p w14:paraId="35BA56F5">
      <w:pPr>
        <w:spacing w:line="720" w:lineRule="auto"/>
        <w:rPr>
          <w:rFonts w:hint="eastAsia" w:ascii="仿宋" w:hAnsi="仿宋" w:eastAsia="仿宋" w:cs="仿宋"/>
          <w:sz w:val="24"/>
          <w:szCs w:val="24"/>
          <w:highlight w:val="none"/>
        </w:rPr>
      </w:pPr>
    </w:p>
    <w:p w14:paraId="2B5542DF">
      <w:pPr>
        <w:spacing w:line="72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投标人：（盖章）</w:t>
      </w:r>
    </w:p>
    <w:p w14:paraId="5283858D">
      <w:pPr>
        <w:spacing w:line="72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法定代表人：（盖章）</w:t>
      </w:r>
    </w:p>
    <w:p w14:paraId="6B56C806">
      <w:pPr>
        <w:spacing w:line="72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单位地址：</w:t>
      </w:r>
    </w:p>
    <w:p w14:paraId="14D3D164">
      <w:pPr>
        <w:spacing w:line="72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邮政编码：</w:t>
      </w:r>
    </w:p>
    <w:p w14:paraId="3CDDF5D1">
      <w:pPr>
        <w:spacing w:line="72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联系人：</w:t>
      </w:r>
    </w:p>
    <w:p w14:paraId="264C3C03">
      <w:pPr>
        <w:spacing w:line="72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联系电话：</w:t>
      </w:r>
    </w:p>
    <w:p w14:paraId="0F4DEC96">
      <w:pPr>
        <w:spacing w:line="720" w:lineRule="auto"/>
        <w:rPr>
          <w:rFonts w:hint="eastAsia" w:ascii="仿宋" w:hAnsi="仿宋" w:eastAsia="仿宋" w:cs="仿宋"/>
          <w:sz w:val="24"/>
          <w:szCs w:val="24"/>
          <w:highlight w:val="none"/>
        </w:rPr>
      </w:pPr>
    </w:p>
    <w:p w14:paraId="07859F30">
      <w:pPr>
        <w:spacing w:line="720" w:lineRule="auto"/>
        <w:ind w:firstLine="2" w:firstLineChars="1"/>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年月日</w:t>
      </w:r>
    </w:p>
    <w:p w14:paraId="1D7C55D3">
      <w:pPr>
        <w:tabs>
          <w:tab w:val="center" w:pos="4832"/>
          <w:tab w:val="left" w:pos="7140"/>
        </w:tabs>
        <w:jc w:val="center"/>
        <w:outlineLvl w:val="1"/>
        <w:rPr>
          <w:rFonts w:hint="eastAsia" w:ascii="仿宋" w:hAnsi="仿宋" w:eastAsia="仿宋" w:cs="仿宋"/>
          <w:b/>
          <w:sz w:val="24"/>
          <w:szCs w:val="24"/>
          <w:highlight w:val="none"/>
        </w:rPr>
      </w:pPr>
      <w:r>
        <w:rPr>
          <w:rFonts w:hint="eastAsia" w:ascii="仿宋" w:hAnsi="仿宋" w:eastAsia="仿宋" w:cs="仿宋"/>
          <w:b/>
          <w:sz w:val="24"/>
          <w:szCs w:val="24"/>
          <w:highlight w:val="none"/>
        </w:rPr>
        <w:br w:type="page"/>
      </w:r>
      <w:bookmarkStart w:id="502" w:name="_Toc3990"/>
      <w:bookmarkStart w:id="503" w:name="_Toc531016894"/>
      <w:r>
        <w:rPr>
          <w:rFonts w:hint="eastAsia" w:ascii="仿宋" w:hAnsi="仿宋" w:eastAsia="仿宋" w:cs="仿宋"/>
          <w:b/>
          <w:sz w:val="24"/>
          <w:szCs w:val="24"/>
          <w:highlight w:val="none"/>
        </w:rPr>
        <w:t>目录</w:t>
      </w:r>
      <w:bookmarkEnd w:id="502"/>
      <w:bookmarkEnd w:id="503"/>
    </w:p>
    <w:p w14:paraId="0A69CF2E">
      <w:pPr>
        <w:spacing w:line="360" w:lineRule="auto"/>
        <w:rPr>
          <w:rFonts w:hint="eastAsia" w:ascii="仿宋" w:hAnsi="仿宋" w:eastAsia="仿宋" w:cs="仿宋"/>
          <w:bCs/>
          <w:sz w:val="24"/>
          <w:szCs w:val="24"/>
          <w:highlight w:val="none"/>
          <w:shd w:val="clear" w:color="auto" w:fill="FFFFFF" w:themeFill="background1"/>
        </w:rPr>
      </w:pPr>
    </w:p>
    <w:p w14:paraId="68853A58">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一、投标函</w:t>
      </w:r>
    </w:p>
    <w:p w14:paraId="29FC6A50">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二、开标一览表</w:t>
      </w:r>
    </w:p>
    <w:p w14:paraId="46874E0C">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三、投标价格明细表</w:t>
      </w:r>
    </w:p>
    <w:p w14:paraId="1F150F5A">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四、商务条款偏离表</w:t>
      </w:r>
    </w:p>
    <w:p w14:paraId="35080DFA">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五、技术条款偏离表</w:t>
      </w:r>
    </w:p>
    <w:p w14:paraId="0C165D56">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六、法定代表人身份证明书</w:t>
      </w:r>
    </w:p>
    <w:p w14:paraId="671AB7D0">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七、法定代表人授权委托书</w:t>
      </w:r>
    </w:p>
    <w:p w14:paraId="71448FEC">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八、投标人基本情况</w:t>
      </w:r>
    </w:p>
    <w:p w14:paraId="62DE8B02">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8.1、法人或者其他组织的营业执照等证明文件，自然人的身份证明</w:t>
      </w:r>
    </w:p>
    <w:p w14:paraId="2338C8EF">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8.2、财务状况报告，依法缴纳税收和社会保障资金的相关材料</w:t>
      </w:r>
    </w:p>
    <w:p w14:paraId="12A32F1D">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8.3、具备履行合同所必需的设备和专业技术能力的证明材料</w:t>
      </w:r>
    </w:p>
    <w:p w14:paraId="67B3E74B">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8.4、参加政府采购活动前3年内在经营活动中没有重大违法记录的书面声明</w:t>
      </w:r>
    </w:p>
    <w:p w14:paraId="36D81A5A">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8.5、具备法律、行政法规规定的其他条件的证明材料</w:t>
      </w:r>
    </w:p>
    <w:p w14:paraId="281D5070">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九、投标人近三年类似项目业绩表</w:t>
      </w:r>
    </w:p>
    <w:p w14:paraId="68F4FA4A">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十、项目负责人简历表</w:t>
      </w:r>
    </w:p>
    <w:p w14:paraId="40E11A5A">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十一、拟派本项目服务人员情况表</w:t>
      </w:r>
    </w:p>
    <w:p w14:paraId="7AE6E989">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十二、服务方案</w:t>
      </w:r>
    </w:p>
    <w:p w14:paraId="192F4A0F">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十三、其他需要提交的资料</w:t>
      </w:r>
    </w:p>
    <w:p w14:paraId="057C09A6">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注：为了便于查找，请按上述顺序编制投标文件内容，并在目录中标明每项内容的起始页码。</w:t>
      </w:r>
    </w:p>
    <w:p w14:paraId="41ADDBF9">
      <w:pPr>
        <w:tabs>
          <w:tab w:val="center" w:pos="4832"/>
          <w:tab w:val="left" w:pos="7140"/>
        </w:tabs>
        <w:spacing w:line="360" w:lineRule="auto"/>
        <w:jc w:val="center"/>
        <w:outlineLvl w:val="1"/>
        <w:rPr>
          <w:rFonts w:hint="eastAsia" w:ascii="仿宋" w:hAnsi="仿宋" w:eastAsia="仿宋" w:cs="仿宋"/>
          <w:b/>
          <w:sz w:val="24"/>
          <w:szCs w:val="24"/>
          <w:highlight w:val="none"/>
          <w:shd w:val="clear" w:color="auto" w:fill="FFFFFF" w:themeFill="background1"/>
        </w:rPr>
      </w:pPr>
      <w:r>
        <w:rPr>
          <w:rFonts w:hint="eastAsia" w:ascii="仿宋" w:hAnsi="仿宋" w:eastAsia="仿宋" w:cs="仿宋"/>
          <w:b/>
          <w:sz w:val="24"/>
          <w:szCs w:val="24"/>
          <w:highlight w:val="none"/>
        </w:rPr>
        <w:br w:type="page"/>
      </w:r>
      <w:bookmarkStart w:id="504" w:name="_Toc38446470"/>
      <w:bookmarkStart w:id="505" w:name="_Toc11555"/>
      <w:bookmarkStart w:id="506" w:name="_Toc533503181"/>
      <w:bookmarkStart w:id="507" w:name="_Toc18537"/>
      <w:bookmarkStart w:id="508" w:name="_Toc507586166"/>
      <w:r>
        <w:rPr>
          <w:rFonts w:hint="eastAsia" w:ascii="仿宋" w:hAnsi="仿宋" w:eastAsia="仿宋" w:cs="仿宋"/>
          <w:b/>
          <w:sz w:val="24"/>
          <w:szCs w:val="24"/>
          <w:highlight w:val="none"/>
          <w:shd w:val="clear" w:color="auto" w:fill="FFFFFF" w:themeFill="background1"/>
        </w:rPr>
        <w:t>一、投标函</w:t>
      </w:r>
      <w:bookmarkEnd w:id="504"/>
      <w:bookmarkEnd w:id="505"/>
      <w:bookmarkEnd w:id="506"/>
      <w:bookmarkEnd w:id="507"/>
      <w:bookmarkEnd w:id="508"/>
    </w:p>
    <w:p w14:paraId="18CD0FA5">
      <w:pPr>
        <w:widowControl/>
        <w:shd w:val="clear" w:color="auto" w:fill="FFFFFF"/>
        <w:snapToGrid w:val="0"/>
        <w:spacing w:line="336" w:lineRule="auto"/>
        <w:jc w:val="left"/>
        <w:rPr>
          <w:rFonts w:hint="eastAsia" w:ascii="仿宋" w:hAnsi="仿宋" w:eastAsia="仿宋" w:cs="仿宋"/>
          <w:kern w:val="0"/>
          <w:sz w:val="24"/>
          <w:szCs w:val="24"/>
          <w:highlight w:val="none"/>
          <w:shd w:val="clear" w:color="auto" w:fill="FFFFFF" w:themeFill="background1"/>
        </w:rPr>
      </w:pPr>
    </w:p>
    <w:p w14:paraId="29372AC9">
      <w:pPr>
        <w:widowControl/>
        <w:shd w:val="clear" w:color="auto" w:fill="FFFFFF"/>
        <w:snapToGrid w:val="0"/>
        <w:spacing w:line="336" w:lineRule="auto"/>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致：</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（采购人名称）</w:t>
      </w:r>
    </w:p>
    <w:p w14:paraId="25EAC3DA">
      <w:pPr>
        <w:widowControl/>
        <w:shd w:val="clear" w:color="auto" w:fill="FFFFFF"/>
        <w:snapToGrid w:val="0"/>
        <w:spacing w:line="336" w:lineRule="auto"/>
        <w:ind w:firstLine="420"/>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根据已收到的</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项目的</w:t>
      </w:r>
      <w:r>
        <w:rPr>
          <w:rFonts w:hint="eastAsia" w:ascii="仿宋" w:hAnsi="仿宋" w:eastAsia="仿宋" w:cs="仿宋"/>
          <w:sz w:val="24"/>
          <w:szCs w:val="24"/>
          <w:highlight w:val="none"/>
          <w:shd w:val="clear" w:color="auto" w:fill="FFFFFF" w:themeFill="background1"/>
        </w:rPr>
        <w:t>招标文件</w:t>
      </w:r>
      <w:r>
        <w:rPr>
          <w:rFonts w:hint="eastAsia" w:ascii="仿宋" w:hAnsi="仿宋" w:eastAsia="仿宋" w:cs="仿宋"/>
          <w:kern w:val="0"/>
          <w:sz w:val="24"/>
          <w:szCs w:val="24"/>
          <w:highlight w:val="none"/>
          <w:shd w:val="clear" w:color="auto" w:fill="FFFFFF" w:themeFill="background1"/>
        </w:rPr>
        <w:t>，遵照《中华人民共和国政府采购法》等有关法律法规的规定，经考察现场和充分研究贵方的</w:t>
      </w:r>
      <w:r>
        <w:rPr>
          <w:rFonts w:hint="eastAsia" w:ascii="仿宋" w:hAnsi="仿宋" w:eastAsia="仿宋" w:cs="仿宋"/>
          <w:sz w:val="24"/>
          <w:szCs w:val="24"/>
          <w:highlight w:val="none"/>
          <w:shd w:val="clear" w:color="auto" w:fill="FFFFFF" w:themeFill="background1"/>
        </w:rPr>
        <w:t>招标文件</w:t>
      </w:r>
      <w:r>
        <w:rPr>
          <w:rFonts w:hint="eastAsia" w:ascii="仿宋" w:hAnsi="仿宋" w:eastAsia="仿宋" w:cs="仿宋"/>
          <w:kern w:val="0"/>
          <w:sz w:val="24"/>
          <w:szCs w:val="24"/>
          <w:highlight w:val="none"/>
          <w:shd w:val="clear" w:color="auto" w:fill="FFFFFF" w:themeFill="background1"/>
        </w:rPr>
        <w:t>的全部内容后，我方郑重承诺如下：</w:t>
      </w:r>
    </w:p>
    <w:p w14:paraId="59CD34C3">
      <w:pPr>
        <w:widowControl/>
        <w:shd w:val="clear" w:color="auto" w:fill="FFFFFF"/>
        <w:snapToGrid w:val="0"/>
        <w:spacing w:line="336" w:lineRule="auto"/>
        <w:ind w:firstLine="420"/>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lang w:val="en-US" w:eastAsia="zh-CN"/>
        </w:rPr>
        <w:t>1</w:t>
      </w:r>
      <w:r>
        <w:rPr>
          <w:rFonts w:hint="eastAsia" w:ascii="仿宋" w:hAnsi="仿宋" w:eastAsia="仿宋" w:cs="仿宋"/>
          <w:kern w:val="0"/>
          <w:sz w:val="24"/>
          <w:szCs w:val="24"/>
          <w:highlight w:val="none"/>
          <w:shd w:val="clear" w:color="auto" w:fill="FFFFFF" w:themeFill="background1"/>
        </w:rPr>
        <w:t>.如果我方中标，我方将在</w:t>
      </w:r>
      <w:r>
        <w:rPr>
          <w:rFonts w:hint="eastAsia" w:ascii="仿宋" w:hAnsi="仿宋" w:eastAsia="仿宋" w:cs="仿宋"/>
          <w:sz w:val="24"/>
          <w:szCs w:val="24"/>
          <w:highlight w:val="none"/>
          <w:shd w:val="clear" w:color="auto" w:fill="FFFFFF" w:themeFill="background1"/>
        </w:rPr>
        <w:t>招标文件</w:t>
      </w:r>
      <w:r>
        <w:rPr>
          <w:rFonts w:hint="eastAsia" w:ascii="仿宋" w:hAnsi="仿宋" w:eastAsia="仿宋" w:cs="仿宋"/>
          <w:kern w:val="0"/>
          <w:sz w:val="24"/>
          <w:szCs w:val="24"/>
          <w:highlight w:val="none"/>
          <w:shd w:val="clear" w:color="auto" w:fill="FFFFFF" w:themeFill="background1"/>
        </w:rPr>
        <w:t>规定的时间内签订合同。如果我方违约，除没收投标保证金外，贵方有权终止我方中标并选择其它成交投标人。</w:t>
      </w:r>
    </w:p>
    <w:p w14:paraId="15CE26A3">
      <w:pPr>
        <w:widowControl/>
        <w:shd w:val="clear" w:color="auto" w:fill="FFFFFF"/>
        <w:snapToGrid w:val="0"/>
        <w:spacing w:line="336" w:lineRule="auto"/>
        <w:ind w:firstLine="420"/>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lang w:val="en-US" w:eastAsia="zh-CN"/>
        </w:rPr>
        <w:t>2</w:t>
      </w:r>
      <w:r>
        <w:rPr>
          <w:rFonts w:hint="eastAsia" w:ascii="仿宋" w:hAnsi="仿宋" w:eastAsia="仿宋" w:cs="仿宋"/>
          <w:kern w:val="0"/>
          <w:sz w:val="24"/>
          <w:szCs w:val="24"/>
          <w:highlight w:val="none"/>
          <w:shd w:val="clear" w:color="auto" w:fill="FFFFFF" w:themeFill="background1"/>
        </w:rPr>
        <w:t>.本</w:t>
      </w:r>
      <w:r>
        <w:rPr>
          <w:rFonts w:hint="eastAsia" w:ascii="仿宋" w:hAnsi="仿宋" w:eastAsia="仿宋" w:cs="仿宋"/>
          <w:sz w:val="24"/>
          <w:szCs w:val="24"/>
          <w:highlight w:val="none"/>
          <w:shd w:val="clear" w:color="auto" w:fill="FFFFFF" w:themeFill="background1"/>
        </w:rPr>
        <w:t>投标文件</w:t>
      </w:r>
      <w:r>
        <w:rPr>
          <w:rFonts w:hint="eastAsia" w:ascii="仿宋" w:hAnsi="仿宋" w:eastAsia="仿宋" w:cs="仿宋"/>
          <w:kern w:val="0"/>
          <w:sz w:val="24"/>
          <w:szCs w:val="24"/>
          <w:highlight w:val="none"/>
          <w:shd w:val="clear" w:color="auto" w:fill="FFFFFF" w:themeFill="background1"/>
        </w:rPr>
        <w:t>在</w:t>
      </w:r>
      <w:r>
        <w:rPr>
          <w:rFonts w:hint="eastAsia" w:ascii="仿宋" w:hAnsi="仿宋" w:eastAsia="仿宋" w:cs="仿宋"/>
          <w:sz w:val="24"/>
          <w:szCs w:val="24"/>
          <w:highlight w:val="none"/>
          <w:shd w:val="clear" w:color="auto" w:fill="FFFFFF" w:themeFill="background1"/>
        </w:rPr>
        <w:t>招标文件</w:t>
      </w:r>
      <w:r>
        <w:rPr>
          <w:rFonts w:hint="eastAsia" w:ascii="仿宋" w:hAnsi="仿宋" w:eastAsia="仿宋" w:cs="仿宋"/>
          <w:kern w:val="0"/>
          <w:sz w:val="24"/>
          <w:szCs w:val="24"/>
          <w:highlight w:val="none"/>
          <w:shd w:val="clear" w:color="auto" w:fill="FFFFFF" w:themeFill="background1"/>
        </w:rPr>
        <w:t>规定的投标有效期内对我方具有约束力，如果我方在投标有效期内撤销投标，其投标保证金将被贵方没收。</w:t>
      </w:r>
    </w:p>
    <w:p w14:paraId="0578BB20">
      <w:pPr>
        <w:widowControl/>
        <w:shd w:val="clear" w:color="auto" w:fill="FFFFFF"/>
        <w:snapToGrid w:val="0"/>
        <w:spacing w:line="336" w:lineRule="auto"/>
        <w:ind w:firstLine="420"/>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lang w:val="en-US" w:eastAsia="zh-CN"/>
        </w:rPr>
        <w:t>3</w:t>
      </w:r>
      <w:r>
        <w:rPr>
          <w:rFonts w:hint="eastAsia" w:ascii="仿宋" w:hAnsi="仿宋" w:eastAsia="仿宋" w:cs="仿宋"/>
          <w:kern w:val="0"/>
          <w:sz w:val="24"/>
          <w:szCs w:val="24"/>
          <w:highlight w:val="none"/>
          <w:shd w:val="clear" w:color="auto" w:fill="FFFFFF" w:themeFill="background1"/>
        </w:rPr>
        <w:t>.我方已详细阅读</w:t>
      </w:r>
      <w:r>
        <w:rPr>
          <w:rFonts w:hint="eastAsia" w:ascii="仿宋" w:hAnsi="仿宋" w:eastAsia="仿宋" w:cs="仿宋"/>
          <w:sz w:val="24"/>
          <w:szCs w:val="24"/>
          <w:highlight w:val="none"/>
          <w:shd w:val="clear" w:color="auto" w:fill="FFFFFF" w:themeFill="background1"/>
        </w:rPr>
        <w:t>招标文件</w:t>
      </w:r>
      <w:r>
        <w:rPr>
          <w:rFonts w:hint="eastAsia" w:ascii="仿宋" w:hAnsi="仿宋" w:eastAsia="仿宋" w:cs="仿宋"/>
          <w:kern w:val="0"/>
          <w:sz w:val="24"/>
          <w:szCs w:val="24"/>
          <w:highlight w:val="none"/>
          <w:shd w:val="clear" w:color="auto" w:fill="FFFFFF" w:themeFill="background1"/>
        </w:rPr>
        <w:t>全部内容且完全理解，同意放弃对这方面有不明及误解的权力。若有违反，同意被废除投标资格并接受处罚。</w:t>
      </w:r>
    </w:p>
    <w:p w14:paraId="2B7E69B0">
      <w:pPr>
        <w:widowControl/>
        <w:shd w:val="clear" w:color="auto" w:fill="FFFFFF"/>
        <w:snapToGrid w:val="0"/>
        <w:spacing w:line="336" w:lineRule="auto"/>
        <w:ind w:firstLine="420"/>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lang w:val="en-US" w:eastAsia="zh-CN"/>
        </w:rPr>
        <w:t>4</w:t>
      </w:r>
      <w:r>
        <w:rPr>
          <w:rFonts w:hint="eastAsia" w:ascii="仿宋" w:hAnsi="仿宋" w:eastAsia="仿宋" w:cs="仿宋"/>
          <w:kern w:val="0"/>
          <w:sz w:val="24"/>
          <w:szCs w:val="24"/>
          <w:highlight w:val="none"/>
          <w:shd w:val="clear" w:color="auto" w:fill="FFFFFF" w:themeFill="background1"/>
        </w:rPr>
        <w:t>.我方保证</w:t>
      </w:r>
      <w:r>
        <w:rPr>
          <w:rFonts w:hint="eastAsia" w:ascii="仿宋" w:hAnsi="仿宋" w:eastAsia="仿宋" w:cs="仿宋"/>
          <w:sz w:val="24"/>
          <w:szCs w:val="24"/>
          <w:highlight w:val="none"/>
          <w:shd w:val="clear" w:color="auto" w:fill="FFFFFF" w:themeFill="background1"/>
        </w:rPr>
        <w:t>投标文件</w:t>
      </w:r>
      <w:r>
        <w:rPr>
          <w:rFonts w:hint="eastAsia" w:ascii="仿宋" w:hAnsi="仿宋" w:eastAsia="仿宋" w:cs="仿宋"/>
          <w:kern w:val="0"/>
          <w:sz w:val="24"/>
          <w:szCs w:val="24"/>
          <w:highlight w:val="none"/>
          <w:shd w:val="clear" w:color="auto" w:fill="FFFFFF" w:themeFill="background1"/>
        </w:rPr>
        <w:t>内容无任何虚假、未侵犯他人知识产权。如有虚假，同意废除中标资格并被没收投标担保，承担因侵犯他人知识产权而由此引起的全部法律责任和经济责任。</w:t>
      </w:r>
    </w:p>
    <w:p w14:paraId="46D18ADF">
      <w:pPr>
        <w:widowControl/>
        <w:shd w:val="clear" w:color="auto" w:fill="FFFFFF"/>
        <w:snapToGrid w:val="0"/>
        <w:spacing w:line="336" w:lineRule="auto"/>
        <w:ind w:firstLine="420"/>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lang w:val="en-US" w:eastAsia="zh-CN"/>
        </w:rPr>
        <w:t>5</w:t>
      </w:r>
      <w:r>
        <w:rPr>
          <w:rFonts w:hint="eastAsia" w:ascii="仿宋" w:hAnsi="仿宋" w:eastAsia="仿宋" w:cs="仿宋"/>
          <w:kern w:val="0"/>
          <w:sz w:val="24"/>
          <w:szCs w:val="24"/>
          <w:highlight w:val="none"/>
          <w:shd w:val="clear" w:color="auto" w:fill="FFFFFF" w:themeFill="background1"/>
        </w:rPr>
        <w:t>.我方愿意提供贵方可能要求的与投标有关的一切数据或资料，完全理解贵方不一定接受最低投标报价的投标或收到的任何投标。</w:t>
      </w:r>
    </w:p>
    <w:p w14:paraId="77A125C2">
      <w:pPr>
        <w:widowControl/>
        <w:shd w:val="clear" w:color="auto" w:fill="FFFFFF"/>
        <w:snapToGrid w:val="0"/>
        <w:spacing w:line="336" w:lineRule="auto"/>
        <w:ind w:firstLine="420"/>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lang w:val="en-US" w:eastAsia="zh-CN"/>
        </w:rPr>
        <w:t>6</w:t>
      </w:r>
      <w:r>
        <w:rPr>
          <w:rFonts w:hint="eastAsia" w:ascii="仿宋" w:hAnsi="仿宋" w:eastAsia="仿宋" w:cs="仿宋"/>
          <w:kern w:val="0"/>
          <w:sz w:val="24"/>
          <w:szCs w:val="24"/>
          <w:highlight w:val="none"/>
          <w:shd w:val="clear" w:color="auto" w:fill="FFFFFF" w:themeFill="background1"/>
        </w:rPr>
        <w:t>.我方派法定代表人或其授权委托人作为我方代表，负责按时参加开标会并签署与投标有关的相关文件等。</w:t>
      </w:r>
    </w:p>
    <w:p w14:paraId="7D4028B6">
      <w:pPr>
        <w:widowControl/>
        <w:shd w:val="clear" w:color="auto" w:fill="FFFFFF"/>
        <w:snapToGrid w:val="0"/>
        <w:spacing w:line="336" w:lineRule="auto"/>
        <w:ind w:firstLine="420"/>
        <w:jc w:val="left"/>
        <w:rPr>
          <w:rFonts w:hint="eastAsia" w:ascii="仿宋" w:hAnsi="仿宋" w:eastAsia="仿宋" w:cs="仿宋"/>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lang w:val="en-US" w:eastAsia="zh-CN"/>
        </w:rPr>
        <w:t>7</w:t>
      </w:r>
      <w:r>
        <w:rPr>
          <w:rFonts w:hint="eastAsia" w:ascii="仿宋" w:hAnsi="仿宋" w:eastAsia="仿宋" w:cs="仿宋"/>
          <w:kern w:val="0"/>
          <w:sz w:val="24"/>
          <w:szCs w:val="24"/>
          <w:highlight w:val="none"/>
          <w:shd w:val="clear" w:color="auto" w:fill="FFFFFF" w:themeFill="background1"/>
        </w:rPr>
        <w:t>.我方</w:t>
      </w:r>
      <w:r>
        <w:rPr>
          <w:rFonts w:hint="eastAsia" w:ascii="仿宋" w:hAnsi="仿宋" w:eastAsia="仿宋" w:cs="仿宋"/>
          <w:sz w:val="24"/>
          <w:szCs w:val="24"/>
          <w:highlight w:val="none"/>
          <w:shd w:val="clear" w:color="auto" w:fill="FFFFFF" w:themeFill="background1"/>
        </w:rPr>
        <w:t>保证按招标文件及合同约定原则处理因采购人原因增加或调整的工作量及其他事宜。</w:t>
      </w:r>
    </w:p>
    <w:p w14:paraId="38E25BB7">
      <w:pPr>
        <w:widowControl/>
        <w:shd w:val="clear" w:color="auto" w:fill="FFFFFF"/>
        <w:snapToGrid w:val="0"/>
        <w:spacing w:line="336" w:lineRule="auto"/>
        <w:ind w:firstLine="420"/>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lang w:val="en-US" w:eastAsia="zh-CN"/>
        </w:rPr>
        <w:t>8</w:t>
      </w:r>
      <w:r>
        <w:rPr>
          <w:rFonts w:hint="eastAsia" w:ascii="仿宋" w:hAnsi="仿宋" w:eastAsia="仿宋" w:cs="仿宋"/>
          <w:kern w:val="0"/>
          <w:sz w:val="24"/>
          <w:szCs w:val="24"/>
          <w:highlight w:val="none"/>
          <w:shd w:val="clear" w:color="auto" w:fill="FFFFFF" w:themeFill="background1"/>
        </w:rPr>
        <w:t>.如我方中标，我方自愿向采购代理机构支付咨询费，并在合同签订后3个工作日内向采购代理机构提供采购合同原件一份用于采购资料备案工作。</w:t>
      </w:r>
    </w:p>
    <w:p w14:paraId="44B45704">
      <w:pPr>
        <w:widowControl/>
        <w:shd w:val="clear" w:color="auto" w:fill="FFFFFF"/>
        <w:snapToGrid w:val="0"/>
        <w:spacing w:line="336" w:lineRule="auto"/>
        <w:jc w:val="left"/>
        <w:rPr>
          <w:rFonts w:hint="eastAsia" w:ascii="仿宋" w:hAnsi="仿宋" w:eastAsia="仿宋" w:cs="仿宋"/>
          <w:kern w:val="0"/>
          <w:sz w:val="24"/>
          <w:szCs w:val="24"/>
          <w:highlight w:val="none"/>
          <w:shd w:val="clear" w:color="auto" w:fill="FFFFFF" w:themeFill="background1"/>
        </w:rPr>
      </w:pPr>
    </w:p>
    <w:p w14:paraId="44FA9BDB">
      <w:pPr>
        <w:widowControl/>
        <w:shd w:val="clear" w:color="auto" w:fill="FFFFFF"/>
        <w:snapToGrid w:val="0"/>
        <w:spacing w:line="336" w:lineRule="auto"/>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投标人：</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（盖章）</w:t>
      </w:r>
    </w:p>
    <w:p w14:paraId="3C46D2D4">
      <w:pPr>
        <w:widowControl/>
        <w:shd w:val="clear" w:color="auto" w:fill="FFFFFF"/>
        <w:snapToGrid w:val="0"/>
        <w:spacing w:line="336" w:lineRule="auto"/>
        <w:jc w:val="left"/>
        <w:rPr>
          <w:rFonts w:hint="eastAsia" w:ascii="仿宋" w:hAnsi="仿宋" w:eastAsia="仿宋" w:cs="仿宋"/>
          <w:kern w:val="0"/>
          <w:sz w:val="24"/>
          <w:szCs w:val="24"/>
          <w:highlight w:val="none"/>
          <w:shd w:val="clear" w:color="auto" w:fill="FFFFFF" w:themeFill="background1"/>
        </w:rPr>
      </w:pPr>
    </w:p>
    <w:p w14:paraId="48E6341C">
      <w:pPr>
        <w:widowControl/>
        <w:shd w:val="clear" w:color="auto" w:fill="FFFFFF"/>
        <w:snapToGrid w:val="0"/>
        <w:spacing w:line="336" w:lineRule="auto"/>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法定代表人：</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 xml:space="preserve">（盖章）                       </w:t>
      </w:r>
    </w:p>
    <w:p w14:paraId="6ED98DE4">
      <w:pPr>
        <w:widowControl/>
        <w:shd w:val="clear" w:color="auto" w:fill="FFFFFF"/>
        <w:snapToGrid w:val="0"/>
        <w:spacing w:line="336" w:lineRule="auto"/>
        <w:jc w:val="righ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 xml:space="preserve">    日期：年 月 日</w:t>
      </w:r>
    </w:p>
    <w:p w14:paraId="5F2FFDD7">
      <w:pPr>
        <w:rPr>
          <w:rFonts w:hint="eastAsia" w:ascii="仿宋" w:hAnsi="仿宋" w:eastAsia="仿宋" w:cs="仿宋"/>
          <w:b/>
          <w:sz w:val="24"/>
          <w:szCs w:val="24"/>
          <w:highlight w:val="none"/>
          <w:shd w:val="clear" w:color="auto" w:fill="FFFFFF" w:themeFill="background1"/>
        </w:rPr>
      </w:pPr>
      <w:bookmarkStart w:id="509" w:name="_Toc26164"/>
      <w:bookmarkStart w:id="510" w:name="_Toc38446474"/>
      <w:bookmarkStart w:id="511" w:name="_Toc507586169"/>
      <w:bookmarkStart w:id="512" w:name="_Toc533503184"/>
      <w:r>
        <w:rPr>
          <w:rFonts w:hint="eastAsia" w:ascii="仿宋" w:hAnsi="仿宋" w:eastAsia="仿宋" w:cs="仿宋"/>
          <w:b/>
          <w:sz w:val="24"/>
          <w:szCs w:val="24"/>
          <w:highlight w:val="none"/>
          <w:shd w:val="clear" w:color="auto" w:fill="FFFFFF" w:themeFill="background1"/>
        </w:rPr>
        <w:br w:type="page"/>
      </w:r>
    </w:p>
    <w:p w14:paraId="168E9701">
      <w:pPr>
        <w:tabs>
          <w:tab w:val="center" w:pos="4832"/>
          <w:tab w:val="left" w:pos="7140"/>
        </w:tabs>
        <w:spacing w:line="360" w:lineRule="auto"/>
        <w:jc w:val="center"/>
        <w:outlineLvl w:val="1"/>
        <w:rPr>
          <w:rFonts w:hint="eastAsia" w:ascii="仿宋" w:hAnsi="仿宋" w:eastAsia="仿宋" w:cs="仿宋"/>
          <w:b/>
          <w:sz w:val="24"/>
          <w:szCs w:val="24"/>
          <w:highlight w:val="none"/>
          <w:shd w:val="clear" w:color="auto" w:fill="FFFFFF" w:themeFill="background1"/>
        </w:rPr>
      </w:pPr>
      <w:bookmarkStart w:id="513" w:name="_Toc14116"/>
      <w:r>
        <w:rPr>
          <w:rFonts w:hint="eastAsia" w:ascii="仿宋" w:hAnsi="仿宋" w:eastAsia="仿宋" w:cs="仿宋"/>
          <w:b/>
          <w:sz w:val="24"/>
          <w:szCs w:val="24"/>
          <w:highlight w:val="none"/>
          <w:shd w:val="clear" w:color="auto" w:fill="FFFFFF" w:themeFill="background1"/>
        </w:rPr>
        <w:t>二、开标一览表</w:t>
      </w:r>
      <w:bookmarkEnd w:id="513"/>
    </w:p>
    <w:p w14:paraId="433FAC06">
      <w:pPr>
        <w:pStyle w:val="41"/>
        <w:ind w:firstLine="234"/>
        <w:jc w:val="right"/>
        <w:rPr>
          <w:rFonts w:hint="eastAsia" w:ascii="仿宋" w:hAnsi="仿宋" w:eastAsia="仿宋" w:cs="仿宋"/>
          <w:color w:val="000000"/>
          <w:spacing w:val="-3"/>
          <w:sz w:val="24"/>
          <w:szCs w:val="24"/>
          <w:highlight w:val="none"/>
        </w:rPr>
      </w:pPr>
    </w:p>
    <w:p w14:paraId="20650C28">
      <w:pPr>
        <w:pStyle w:val="41"/>
        <w:ind w:firstLine="234"/>
        <w:jc w:val="right"/>
        <w:rPr>
          <w:rFonts w:hint="eastAsia" w:ascii="仿宋" w:hAnsi="仿宋" w:eastAsia="仿宋" w:cs="仿宋"/>
          <w:color w:val="000000"/>
          <w:sz w:val="24"/>
          <w:szCs w:val="24"/>
          <w:highlight w:val="none"/>
        </w:rPr>
      </w:pPr>
      <w:r>
        <w:rPr>
          <w:rFonts w:hint="eastAsia" w:ascii="仿宋" w:hAnsi="仿宋" w:eastAsia="仿宋" w:cs="仿宋"/>
          <w:color w:val="000000"/>
          <w:spacing w:val="-3"/>
          <w:sz w:val="24"/>
          <w:szCs w:val="24"/>
          <w:highlight w:val="none"/>
        </w:rPr>
        <w:t>报价单位：</w:t>
      </w:r>
      <w:r>
        <w:rPr>
          <w:rFonts w:hint="eastAsia" w:ascii="仿宋" w:hAnsi="仿宋" w:eastAsia="仿宋" w:cs="仿宋"/>
          <w:color w:val="000000"/>
          <w:sz w:val="24"/>
          <w:szCs w:val="24"/>
          <w:highlight w:val="none"/>
        </w:rPr>
        <w:t>人</w:t>
      </w:r>
      <w:r>
        <w:rPr>
          <w:rFonts w:hint="eastAsia" w:ascii="仿宋" w:hAnsi="仿宋" w:eastAsia="仿宋" w:cs="仿宋"/>
          <w:color w:val="000000"/>
          <w:spacing w:val="-3"/>
          <w:sz w:val="24"/>
          <w:szCs w:val="24"/>
          <w:highlight w:val="none"/>
        </w:rPr>
        <w:t>民</w:t>
      </w:r>
      <w:r>
        <w:rPr>
          <w:rFonts w:hint="eastAsia" w:ascii="仿宋" w:hAnsi="仿宋" w:eastAsia="仿宋" w:cs="仿宋"/>
          <w:color w:val="000000"/>
          <w:sz w:val="24"/>
          <w:szCs w:val="24"/>
          <w:highlight w:val="none"/>
        </w:rPr>
        <w:t>币元</w:t>
      </w:r>
    </w:p>
    <w:p w14:paraId="000CA0B7">
      <w:pPr>
        <w:pStyle w:val="41"/>
        <w:ind w:firstLine="240"/>
        <w:jc w:val="right"/>
        <w:rPr>
          <w:rFonts w:hint="eastAsia" w:ascii="仿宋" w:hAnsi="仿宋" w:eastAsia="仿宋" w:cs="仿宋"/>
          <w:color w:val="000000"/>
          <w:sz w:val="24"/>
          <w:szCs w:val="24"/>
          <w:highlight w:val="none"/>
        </w:rPr>
      </w:pPr>
    </w:p>
    <w:tbl>
      <w:tblPr>
        <w:tblStyle w:val="42"/>
        <w:tblW w:w="9220" w:type="dxa"/>
        <w:tblInd w:w="93" w:type="dxa"/>
        <w:tblLayout w:type="autofit"/>
        <w:tblCellMar>
          <w:top w:w="0" w:type="dxa"/>
          <w:left w:w="108" w:type="dxa"/>
          <w:bottom w:w="0" w:type="dxa"/>
          <w:right w:w="108" w:type="dxa"/>
        </w:tblCellMar>
      </w:tblPr>
      <w:tblGrid>
        <w:gridCol w:w="2384"/>
        <w:gridCol w:w="6836"/>
      </w:tblGrid>
      <w:tr w14:paraId="774F39F0">
        <w:tblPrEx>
          <w:tblCellMar>
            <w:top w:w="0" w:type="dxa"/>
            <w:left w:w="108" w:type="dxa"/>
            <w:bottom w:w="0" w:type="dxa"/>
            <w:right w:w="108" w:type="dxa"/>
          </w:tblCellMar>
        </w:tblPrEx>
        <w:trPr>
          <w:trHeight w:val="506" w:hRule="atLeast"/>
        </w:trPr>
        <w:tc>
          <w:tcPr>
            <w:tcW w:w="2384" w:type="dxa"/>
            <w:tcBorders>
              <w:top w:val="single" w:color="auto" w:sz="4" w:space="0"/>
              <w:left w:val="single" w:color="auto" w:sz="4" w:space="0"/>
              <w:bottom w:val="single" w:color="auto" w:sz="4" w:space="0"/>
              <w:right w:val="single" w:color="auto" w:sz="4" w:space="0"/>
            </w:tcBorders>
            <w:vAlign w:val="center"/>
          </w:tcPr>
          <w:p w14:paraId="274AAC89">
            <w:pPr>
              <w:widowControl/>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项目名称</w:t>
            </w:r>
          </w:p>
        </w:tc>
        <w:tc>
          <w:tcPr>
            <w:tcW w:w="6836" w:type="dxa"/>
            <w:tcBorders>
              <w:top w:val="single" w:color="auto" w:sz="4" w:space="0"/>
              <w:left w:val="nil"/>
              <w:bottom w:val="single" w:color="auto" w:sz="4" w:space="0"/>
              <w:right w:val="single" w:color="auto" w:sz="4" w:space="0"/>
            </w:tcBorders>
            <w:vAlign w:val="center"/>
          </w:tcPr>
          <w:p w14:paraId="682085D7">
            <w:pPr>
              <w:widowControl/>
              <w:spacing w:line="360" w:lineRule="auto"/>
              <w:rPr>
                <w:rFonts w:hint="eastAsia" w:ascii="仿宋" w:hAnsi="仿宋" w:eastAsia="仿宋" w:cs="仿宋"/>
                <w:color w:val="000000"/>
                <w:sz w:val="24"/>
                <w:szCs w:val="24"/>
                <w:highlight w:val="none"/>
              </w:rPr>
            </w:pPr>
          </w:p>
        </w:tc>
      </w:tr>
      <w:tr w14:paraId="124CCC7A">
        <w:tblPrEx>
          <w:tblCellMar>
            <w:top w:w="0" w:type="dxa"/>
            <w:left w:w="108" w:type="dxa"/>
            <w:bottom w:w="0" w:type="dxa"/>
            <w:right w:w="108" w:type="dxa"/>
          </w:tblCellMar>
        </w:tblPrEx>
        <w:trPr>
          <w:trHeight w:val="443" w:hRule="atLeast"/>
        </w:trPr>
        <w:tc>
          <w:tcPr>
            <w:tcW w:w="2384" w:type="dxa"/>
            <w:tcBorders>
              <w:top w:val="single" w:color="auto" w:sz="4" w:space="0"/>
              <w:left w:val="single" w:color="auto" w:sz="4" w:space="0"/>
              <w:bottom w:val="single" w:color="auto" w:sz="4" w:space="0"/>
              <w:right w:val="single" w:color="auto" w:sz="4" w:space="0"/>
            </w:tcBorders>
            <w:vAlign w:val="center"/>
          </w:tcPr>
          <w:p w14:paraId="41CFA219">
            <w:pPr>
              <w:widowControl/>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项目编号</w:t>
            </w:r>
          </w:p>
        </w:tc>
        <w:tc>
          <w:tcPr>
            <w:tcW w:w="6836" w:type="dxa"/>
            <w:tcBorders>
              <w:top w:val="single" w:color="auto" w:sz="4" w:space="0"/>
              <w:left w:val="nil"/>
              <w:bottom w:val="single" w:color="auto" w:sz="4" w:space="0"/>
              <w:right w:val="single" w:color="auto" w:sz="4" w:space="0"/>
            </w:tcBorders>
            <w:vAlign w:val="center"/>
          </w:tcPr>
          <w:p w14:paraId="12766200">
            <w:pPr>
              <w:widowControl/>
              <w:spacing w:line="360" w:lineRule="auto"/>
              <w:rPr>
                <w:rFonts w:hint="eastAsia" w:ascii="仿宋" w:hAnsi="仿宋" w:eastAsia="仿宋" w:cs="仿宋"/>
                <w:color w:val="000000"/>
                <w:sz w:val="24"/>
                <w:szCs w:val="24"/>
                <w:highlight w:val="none"/>
              </w:rPr>
            </w:pPr>
          </w:p>
        </w:tc>
      </w:tr>
      <w:tr w14:paraId="383A4DFC">
        <w:tblPrEx>
          <w:tblCellMar>
            <w:top w:w="0" w:type="dxa"/>
            <w:left w:w="108" w:type="dxa"/>
            <w:bottom w:w="0" w:type="dxa"/>
            <w:right w:w="108" w:type="dxa"/>
          </w:tblCellMar>
        </w:tblPrEx>
        <w:trPr>
          <w:trHeight w:val="443" w:hRule="atLeast"/>
        </w:trPr>
        <w:tc>
          <w:tcPr>
            <w:tcW w:w="2384" w:type="dxa"/>
            <w:tcBorders>
              <w:top w:val="single" w:color="auto" w:sz="4" w:space="0"/>
              <w:left w:val="single" w:color="auto" w:sz="4" w:space="0"/>
              <w:bottom w:val="single" w:color="auto" w:sz="4" w:space="0"/>
              <w:right w:val="single" w:color="auto" w:sz="4" w:space="0"/>
            </w:tcBorders>
            <w:vAlign w:val="center"/>
          </w:tcPr>
          <w:p w14:paraId="793B5C55">
            <w:pPr>
              <w:widowControl/>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投标报价</w:t>
            </w:r>
          </w:p>
        </w:tc>
        <w:tc>
          <w:tcPr>
            <w:tcW w:w="6836" w:type="dxa"/>
            <w:tcBorders>
              <w:top w:val="single" w:color="auto" w:sz="4" w:space="0"/>
              <w:left w:val="nil"/>
              <w:bottom w:val="single" w:color="auto" w:sz="4" w:space="0"/>
              <w:right w:val="single" w:color="auto" w:sz="4" w:space="0"/>
            </w:tcBorders>
            <w:vAlign w:val="center"/>
          </w:tcPr>
          <w:p w14:paraId="0CDD2950">
            <w:pPr>
              <w:widowControl/>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大写：   </w:t>
            </w:r>
          </w:p>
          <w:p w14:paraId="59D35E03">
            <w:pPr>
              <w:widowControl/>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小写：</w:t>
            </w:r>
          </w:p>
        </w:tc>
      </w:tr>
      <w:tr w14:paraId="25404140">
        <w:tblPrEx>
          <w:tblCellMar>
            <w:top w:w="0" w:type="dxa"/>
            <w:left w:w="108" w:type="dxa"/>
            <w:bottom w:w="0" w:type="dxa"/>
            <w:right w:w="108" w:type="dxa"/>
          </w:tblCellMar>
        </w:tblPrEx>
        <w:trPr>
          <w:trHeight w:val="443" w:hRule="atLeast"/>
        </w:trPr>
        <w:tc>
          <w:tcPr>
            <w:tcW w:w="2384" w:type="dxa"/>
            <w:tcBorders>
              <w:top w:val="single" w:color="auto" w:sz="4" w:space="0"/>
              <w:left w:val="single" w:color="auto" w:sz="4" w:space="0"/>
              <w:bottom w:val="single" w:color="auto" w:sz="4" w:space="0"/>
              <w:right w:val="single" w:color="auto" w:sz="4" w:space="0"/>
            </w:tcBorders>
            <w:vAlign w:val="center"/>
          </w:tcPr>
          <w:p w14:paraId="50C6EFE0">
            <w:pPr>
              <w:widowControl/>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kern w:val="0"/>
                <w:sz w:val="24"/>
                <w:szCs w:val="24"/>
                <w:highlight w:val="none"/>
                <w:shd w:val="clear" w:color="auto" w:fill="FFFFFF" w:themeFill="background1"/>
              </w:rPr>
              <w:t>服务周期</w:t>
            </w:r>
          </w:p>
        </w:tc>
        <w:tc>
          <w:tcPr>
            <w:tcW w:w="6836" w:type="dxa"/>
            <w:tcBorders>
              <w:top w:val="single" w:color="auto" w:sz="4" w:space="0"/>
              <w:left w:val="nil"/>
              <w:bottom w:val="single" w:color="auto" w:sz="4" w:space="0"/>
              <w:right w:val="single" w:color="auto" w:sz="4" w:space="0"/>
            </w:tcBorders>
            <w:vAlign w:val="center"/>
          </w:tcPr>
          <w:p w14:paraId="291D16F2">
            <w:pPr>
              <w:widowControl/>
              <w:spacing w:line="360" w:lineRule="auto"/>
              <w:rPr>
                <w:rFonts w:hint="eastAsia" w:ascii="仿宋" w:hAnsi="仿宋" w:eastAsia="仿宋" w:cs="仿宋"/>
                <w:color w:val="000000"/>
                <w:sz w:val="24"/>
                <w:szCs w:val="24"/>
                <w:highlight w:val="none"/>
              </w:rPr>
            </w:pPr>
          </w:p>
        </w:tc>
      </w:tr>
      <w:tr w14:paraId="1EDE8848">
        <w:tblPrEx>
          <w:tblCellMar>
            <w:top w:w="0" w:type="dxa"/>
            <w:left w:w="108" w:type="dxa"/>
            <w:bottom w:w="0" w:type="dxa"/>
            <w:right w:w="108" w:type="dxa"/>
          </w:tblCellMar>
        </w:tblPrEx>
        <w:trPr>
          <w:trHeight w:val="443" w:hRule="atLeast"/>
        </w:trPr>
        <w:tc>
          <w:tcPr>
            <w:tcW w:w="2384" w:type="dxa"/>
            <w:tcBorders>
              <w:top w:val="single" w:color="auto" w:sz="4" w:space="0"/>
              <w:left w:val="single" w:color="auto" w:sz="4" w:space="0"/>
              <w:bottom w:val="single" w:color="auto" w:sz="4" w:space="0"/>
              <w:right w:val="single" w:color="auto" w:sz="4" w:space="0"/>
            </w:tcBorders>
            <w:vAlign w:val="center"/>
          </w:tcPr>
          <w:p w14:paraId="6E815BC1">
            <w:pPr>
              <w:widowControl/>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备  </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rPr>
              <w:t xml:space="preserve"> 注</w:t>
            </w:r>
          </w:p>
        </w:tc>
        <w:tc>
          <w:tcPr>
            <w:tcW w:w="6836" w:type="dxa"/>
            <w:tcBorders>
              <w:top w:val="single" w:color="auto" w:sz="4" w:space="0"/>
              <w:left w:val="nil"/>
              <w:bottom w:val="single" w:color="auto" w:sz="4" w:space="0"/>
              <w:right w:val="single" w:color="auto" w:sz="4" w:space="0"/>
            </w:tcBorders>
            <w:vAlign w:val="center"/>
          </w:tcPr>
          <w:p w14:paraId="145334BE">
            <w:pPr>
              <w:widowControl/>
              <w:spacing w:line="360" w:lineRule="auto"/>
              <w:rPr>
                <w:rFonts w:hint="eastAsia" w:ascii="仿宋" w:hAnsi="仿宋" w:eastAsia="仿宋" w:cs="仿宋"/>
                <w:color w:val="000000"/>
                <w:sz w:val="24"/>
                <w:szCs w:val="24"/>
                <w:highlight w:val="none"/>
              </w:rPr>
            </w:pPr>
          </w:p>
        </w:tc>
      </w:tr>
    </w:tbl>
    <w:p w14:paraId="34EB8D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sz w:val="24"/>
          <w:szCs w:val="24"/>
          <w:highlight w:val="none"/>
        </w:rPr>
      </w:pPr>
    </w:p>
    <w:p w14:paraId="2F43B3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注：1、投标人的服务只允许有一个报价，采购人不接受有任何选择的报价。投标价格应包括投标人履行本项目合同（如果成交）所必须的所有成本费用和成交投标人应承担的一切费用，包括但不仅限于必要资料、交通、保险、人工费、税费等一切费用。未列和没有填写的项目费用，采购人将视为已包括在投标价格中。</w:t>
      </w:r>
    </w:p>
    <w:p w14:paraId="0A85BC1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2、“开标一览表”为多页的，每页均需由法定代表人盖章并盖投标人印章。 </w:t>
      </w:r>
    </w:p>
    <w:p w14:paraId="3D76A7E6">
      <w:pPr>
        <w:spacing w:line="440" w:lineRule="exact"/>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 </w:t>
      </w:r>
    </w:p>
    <w:p w14:paraId="666B336C">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投标人：</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（盖章）</w:t>
      </w:r>
    </w:p>
    <w:p w14:paraId="16BCDEA7">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p>
    <w:p w14:paraId="4CAD13F8">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法定代表人：</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 xml:space="preserve">（盖章）                       </w:t>
      </w:r>
    </w:p>
    <w:p w14:paraId="39761259">
      <w:pPr>
        <w:widowControl/>
        <w:shd w:val="clear" w:color="auto" w:fill="FFFFFF"/>
        <w:snapToGrid w:val="0"/>
        <w:spacing w:line="360" w:lineRule="auto"/>
        <w:jc w:val="righ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 xml:space="preserve">    日期：年 月 日</w:t>
      </w:r>
    </w:p>
    <w:p w14:paraId="71B712A7">
      <w:pPr>
        <w:pStyle w:val="41"/>
        <w:ind w:firstLine="210"/>
        <w:rPr>
          <w:rFonts w:hint="eastAsia" w:ascii="仿宋" w:hAnsi="仿宋" w:eastAsia="仿宋" w:cs="仿宋"/>
          <w:highlight w:val="none"/>
          <w:shd w:val="clear" w:color="auto" w:fill="FFFFFF" w:themeFill="background1"/>
        </w:rPr>
      </w:pPr>
    </w:p>
    <w:p w14:paraId="168EE4C1">
      <w:pPr>
        <w:widowControl/>
        <w:jc w:val="left"/>
        <w:rPr>
          <w:rFonts w:hint="eastAsia" w:ascii="仿宋" w:hAnsi="仿宋" w:eastAsia="仿宋" w:cs="仿宋"/>
          <w:b/>
          <w:sz w:val="24"/>
          <w:szCs w:val="24"/>
          <w:highlight w:val="none"/>
          <w:shd w:val="clear" w:color="auto" w:fill="FFFFFF" w:themeFill="background1"/>
        </w:rPr>
      </w:pPr>
      <w:r>
        <w:rPr>
          <w:rFonts w:hint="eastAsia" w:ascii="仿宋" w:hAnsi="仿宋" w:eastAsia="仿宋" w:cs="仿宋"/>
          <w:b/>
          <w:sz w:val="24"/>
          <w:szCs w:val="24"/>
          <w:highlight w:val="none"/>
          <w:shd w:val="clear" w:color="auto" w:fill="FFFFFF" w:themeFill="background1"/>
        </w:rPr>
        <w:br w:type="page"/>
      </w:r>
    </w:p>
    <w:p w14:paraId="505592CE">
      <w:pPr>
        <w:numPr>
          <w:ilvl w:val="0"/>
          <w:numId w:val="0"/>
        </w:numPr>
        <w:tabs>
          <w:tab w:val="center" w:pos="4832"/>
          <w:tab w:val="left" w:pos="7140"/>
        </w:tabs>
        <w:spacing w:line="360" w:lineRule="auto"/>
        <w:jc w:val="center"/>
        <w:outlineLvl w:val="1"/>
        <w:rPr>
          <w:rFonts w:hint="eastAsia" w:ascii="仿宋" w:hAnsi="仿宋" w:eastAsia="仿宋" w:cs="仿宋"/>
          <w:b/>
          <w:sz w:val="24"/>
          <w:szCs w:val="24"/>
          <w:highlight w:val="none"/>
          <w:shd w:val="clear" w:color="auto" w:fill="FFFFFF" w:themeFill="background1"/>
        </w:rPr>
      </w:pPr>
      <w:bookmarkStart w:id="514" w:name="_Toc11784"/>
      <w:r>
        <w:rPr>
          <w:rFonts w:hint="eastAsia" w:ascii="仿宋" w:hAnsi="仿宋" w:eastAsia="仿宋" w:cs="仿宋"/>
          <w:b/>
          <w:kern w:val="2"/>
          <w:sz w:val="24"/>
          <w:szCs w:val="24"/>
          <w:highlight w:val="none"/>
          <w:shd w:val="clear" w:fill="FFFFFF" w:themeFill="background1"/>
          <w:lang w:val="en-US" w:eastAsia="zh-CN" w:bidi="ar-SA"/>
        </w:rPr>
        <w:t>三、</w:t>
      </w:r>
      <w:r>
        <w:rPr>
          <w:rFonts w:hint="eastAsia" w:ascii="仿宋" w:hAnsi="仿宋" w:eastAsia="仿宋" w:cs="仿宋"/>
          <w:b/>
          <w:sz w:val="24"/>
          <w:szCs w:val="24"/>
          <w:highlight w:val="none"/>
          <w:shd w:val="clear" w:color="auto" w:fill="FFFFFF" w:themeFill="background1"/>
        </w:rPr>
        <w:t>投标价格明细表</w:t>
      </w:r>
      <w:bookmarkEnd w:id="509"/>
      <w:bookmarkEnd w:id="514"/>
    </w:p>
    <w:p w14:paraId="0409B307">
      <w:pPr>
        <w:keepNext w:val="0"/>
        <w:keepLines w:val="0"/>
        <w:pageBreakBefore w:val="0"/>
        <w:numPr>
          <w:ilvl w:val="0"/>
          <w:numId w:val="0"/>
        </w:numPr>
        <w:tabs>
          <w:tab w:val="center" w:pos="4832"/>
          <w:tab w:val="left" w:pos="7140"/>
        </w:tabs>
        <w:kinsoku/>
        <w:wordWrap/>
        <w:overflowPunct/>
        <w:topLinePunct w:val="0"/>
        <w:autoSpaceDE/>
        <w:autoSpaceDN/>
        <w:bidi w:val="0"/>
        <w:adjustRightInd/>
        <w:snapToGrid/>
        <w:spacing w:line="360" w:lineRule="auto"/>
        <w:jc w:val="both"/>
        <w:outlineLvl w:val="9"/>
        <w:rPr>
          <w:rFonts w:hint="eastAsia" w:ascii="仿宋" w:hAnsi="仿宋" w:eastAsia="仿宋" w:cs="仿宋"/>
          <w:b/>
          <w:sz w:val="24"/>
          <w:szCs w:val="24"/>
          <w:highlight w:val="none"/>
          <w:shd w:val="clear" w:color="auto" w:fill="FFFFFF" w:themeFill="background1"/>
        </w:rPr>
      </w:pPr>
      <w:r>
        <w:rPr>
          <w:rFonts w:hint="eastAsia" w:ascii="仿宋" w:hAnsi="仿宋" w:eastAsia="仿宋" w:cs="仿宋"/>
          <w:bCs/>
          <w:sz w:val="22"/>
          <w:szCs w:val="22"/>
          <w:highlight w:val="none"/>
          <w:lang w:val="en-US" w:eastAsia="zh-CN"/>
        </w:rPr>
        <w:t>项目名称：</w:t>
      </w:r>
    </w:p>
    <w:tbl>
      <w:tblPr>
        <w:tblStyle w:val="42"/>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4"/>
        <w:gridCol w:w="4954"/>
        <w:gridCol w:w="1444"/>
        <w:gridCol w:w="1153"/>
        <w:gridCol w:w="796"/>
        <w:gridCol w:w="8"/>
      </w:tblGrid>
      <w:tr w14:paraId="15E0B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8" w:type="pct"/>
            <w:vAlign w:val="center"/>
          </w:tcPr>
          <w:p w14:paraId="436490AE">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r>
              <w:rPr>
                <w:rFonts w:hint="eastAsia" w:ascii="仿宋" w:hAnsi="仿宋" w:eastAsia="仿宋" w:cs="仿宋"/>
                <w:bCs/>
                <w:sz w:val="22"/>
                <w:szCs w:val="22"/>
                <w:highlight w:val="none"/>
              </w:rPr>
              <w:t>序号</w:t>
            </w:r>
          </w:p>
        </w:tc>
        <w:tc>
          <w:tcPr>
            <w:tcW w:w="2669" w:type="pct"/>
            <w:tcBorders>
              <w:right w:val="single" w:color="auto" w:sz="4" w:space="0"/>
            </w:tcBorders>
            <w:vAlign w:val="center"/>
          </w:tcPr>
          <w:p w14:paraId="66F65EEB">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lang w:eastAsia="zh-CN"/>
              </w:rPr>
            </w:pPr>
            <w:r>
              <w:rPr>
                <w:rFonts w:hint="eastAsia" w:ascii="仿宋" w:hAnsi="仿宋" w:eastAsia="仿宋" w:cs="仿宋"/>
                <w:bCs/>
                <w:sz w:val="22"/>
                <w:szCs w:val="22"/>
                <w:highlight w:val="none"/>
                <w:lang w:val="en-US" w:eastAsia="zh-CN"/>
              </w:rPr>
              <w:t>服务名称</w:t>
            </w:r>
          </w:p>
        </w:tc>
        <w:tc>
          <w:tcPr>
            <w:tcW w:w="776" w:type="pct"/>
            <w:tcBorders>
              <w:left w:val="single" w:color="auto" w:sz="4" w:space="0"/>
              <w:right w:val="single" w:color="auto" w:sz="4" w:space="0"/>
            </w:tcBorders>
            <w:vAlign w:val="center"/>
          </w:tcPr>
          <w:p w14:paraId="5E0B6380">
            <w:pPr>
              <w:keepNext w:val="0"/>
              <w:keepLines w:val="0"/>
              <w:pageBreakBefore w:val="0"/>
              <w:kinsoku/>
              <w:wordWrap/>
              <w:overflowPunct/>
              <w:topLinePunct w:val="0"/>
              <w:autoSpaceDE/>
              <w:autoSpaceDN/>
              <w:bidi w:val="0"/>
              <w:adjustRightInd/>
              <w:snapToGrid/>
              <w:spacing w:line="240" w:lineRule="auto"/>
              <w:jc w:val="center"/>
              <w:outlineLvl w:val="9"/>
              <w:rPr>
                <w:rFonts w:hint="default" w:ascii="仿宋" w:hAnsi="仿宋" w:eastAsia="仿宋" w:cs="仿宋"/>
                <w:kern w:val="0"/>
                <w:sz w:val="22"/>
                <w:szCs w:val="22"/>
                <w:highlight w:val="none"/>
                <w:lang w:val="en-US" w:eastAsia="zh-CN"/>
              </w:rPr>
            </w:pPr>
            <w:r>
              <w:rPr>
                <w:rFonts w:hint="eastAsia" w:ascii="仿宋" w:hAnsi="仿宋" w:eastAsia="仿宋" w:cs="仿宋"/>
                <w:bCs/>
                <w:sz w:val="22"/>
                <w:szCs w:val="22"/>
                <w:highlight w:val="none"/>
                <w:lang w:val="en-US" w:eastAsia="zh-CN"/>
              </w:rPr>
              <w:t>费用组成</w:t>
            </w:r>
          </w:p>
        </w:tc>
        <w:tc>
          <w:tcPr>
            <w:tcW w:w="621" w:type="pct"/>
            <w:tcBorders>
              <w:left w:val="single" w:color="auto" w:sz="4" w:space="0"/>
            </w:tcBorders>
            <w:vAlign w:val="center"/>
          </w:tcPr>
          <w:p w14:paraId="7E6C5B82">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kern w:val="0"/>
                <w:sz w:val="22"/>
                <w:szCs w:val="22"/>
                <w:highlight w:val="none"/>
              </w:rPr>
            </w:pPr>
            <w:r>
              <w:rPr>
                <w:rFonts w:hint="eastAsia" w:ascii="仿宋" w:hAnsi="仿宋" w:eastAsia="仿宋" w:cs="仿宋"/>
                <w:kern w:val="0"/>
                <w:sz w:val="22"/>
                <w:szCs w:val="22"/>
                <w:highlight w:val="none"/>
              </w:rPr>
              <w:t>报价</w:t>
            </w:r>
            <w:r>
              <w:rPr>
                <w:rFonts w:hint="eastAsia" w:ascii="仿宋" w:hAnsi="仿宋" w:eastAsia="仿宋" w:cs="仿宋"/>
                <w:bCs/>
                <w:sz w:val="22"/>
                <w:szCs w:val="22"/>
                <w:highlight w:val="none"/>
              </w:rPr>
              <w:t>（元）</w:t>
            </w:r>
          </w:p>
        </w:tc>
        <w:tc>
          <w:tcPr>
            <w:tcW w:w="433" w:type="pct"/>
            <w:gridSpan w:val="2"/>
            <w:vAlign w:val="center"/>
          </w:tcPr>
          <w:p w14:paraId="274C77B6">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r>
              <w:rPr>
                <w:rFonts w:hint="eastAsia" w:ascii="仿宋" w:hAnsi="仿宋" w:eastAsia="仿宋" w:cs="仿宋"/>
                <w:bCs/>
                <w:sz w:val="22"/>
                <w:szCs w:val="22"/>
                <w:highlight w:val="none"/>
              </w:rPr>
              <w:t>备注</w:t>
            </w:r>
          </w:p>
        </w:tc>
      </w:tr>
      <w:tr w14:paraId="2FC80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8" w:type="pct"/>
            <w:vAlign w:val="center"/>
          </w:tcPr>
          <w:p w14:paraId="3A6E2C5E">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1</w:t>
            </w:r>
          </w:p>
        </w:tc>
        <w:tc>
          <w:tcPr>
            <w:tcW w:w="2669" w:type="pct"/>
            <w:tcBorders>
              <w:right w:val="single" w:color="auto" w:sz="4" w:space="0"/>
            </w:tcBorders>
            <w:vAlign w:val="center"/>
          </w:tcPr>
          <w:p w14:paraId="7717875E">
            <w:pPr>
              <w:keepNext w:val="0"/>
              <w:keepLines w:val="0"/>
              <w:pageBreakBefore w:val="0"/>
              <w:kinsoku/>
              <w:wordWrap/>
              <w:overflowPunct/>
              <w:topLinePunct w:val="0"/>
              <w:autoSpaceDE/>
              <w:autoSpaceDN/>
              <w:bidi w:val="0"/>
              <w:adjustRightInd/>
              <w:snapToGrid/>
              <w:spacing w:line="240" w:lineRule="auto"/>
              <w:jc w:val="left"/>
              <w:outlineLvl w:val="9"/>
              <w:rPr>
                <w:rFonts w:hint="eastAsia"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新疆博乐市阿拉山口西钨锡矿普查</w:t>
            </w:r>
          </w:p>
        </w:tc>
        <w:tc>
          <w:tcPr>
            <w:tcW w:w="776" w:type="pct"/>
            <w:tcBorders>
              <w:left w:val="single" w:color="auto" w:sz="4" w:space="0"/>
              <w:right w:val="single" w:color="auto" w:sz="4" w:space="0"/>
            </w:tcBorders>
            <w:vAlign w:val="center"/>
          </w:tcPr>
          <w:p w14:paraId="5781824F">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kern w:val="0"/>
                <w:sz w:val="22"/>
                <w:szCs w:val="22"/>
                <w:highlight w:val="none"/>
              </w:rPr>
            </w:pPr>
          </w:p>
        </w:tc>
        <w:tc>
          <w:tcPr>
            <w:tcW w:w="621" w:type="pct"/>
            <w:tcBorders>
              <w:left w:val="single" w:color="auto" w:sz="4" w:space="0"/>
            </w:tcBorders>
            <w:vAlign w:val="center"/>
          </w:tcPr>
          <w:p w14:paraId="332B3ABE">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kern w:val="0"/>
                <w:sz w:val="22"/>
                <w:szCs w:val="22"/>
                <w:highlight w:val="none"/>
              </w:rPr>
            </w:pPr>
          </w:p>
        </w:tc>
        <w:tc>
          <w:tcPr>
            <w:tcW w:w="433" w:type="pct"/>
            <w:gridSpan w:val="2"/>
            <w:vAlign w:val="center"/>
          </w:tcPr>
          <w:p w14:paraId="37ADEA10">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p>
        </w:tc>
      </w:tr>
      <w:tr w14:paraId="2EF76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8" w:type="pct"/>
            <w:vAlign w:val="center"/>
          </w:tcPr>
          <w:p w14:paraId="2D1C49E9">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2</w:t>
            </w:r>
          </w:p>
        </w:tc>
        <w:tc>
          <w:tcPr>
            <w:tcW w:w="2669" w:type="pct"/>
            <w:tcBorders>
              <w:right w:val="single" w:color="auto" w:sz="4" w:space="0"/>
            </w:tcBorders>
            <w:vAlign w:val="center"/>
          </w:tcPr>
          <w:p w14:paraId="2F6B13E6">
            <w:pPr>
              <w:keepNext w:val="0"/>
              <w:keepLines w:val="0"/>
              <w:pageBreakBefore w:val="0"/>
              <w:kinsoku/>
              <w:wordWrap/>
              <w:overflowPunct/>
              <w:topLinePunct w:val="0"/>
              <w:autoSpaceDE/>
              <w:autoSpaceDN/>
              <w:bidi w:val="0"/>
              <w:adjustRightInd/>
              <w:snapToGrid/>
              <w:spacing w:line="240" w:lineRule="auto"/>
              <w:jc w:val="left"/>
              <w:outlineLvl w:val="9"/>
              <w:rPr>
                <w:rFonts w:hint="eastAsia"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新疆和静县乌龙沟一带铜锌矿普查</w:t>
            </w:r>
          </w:p>
        </w:tc>
        <w:tc>
          <w:tcPr>
            <w:tcW w:w="776" w:type="pct"/>
            <w:tcBorders>
              <w:left w:val="single" w:color="auto" w:sz="4" w:space="0"/>
              <w:right w:val="single" w:color="auto" w:sz="4" w:space="0"/>
            </w:tcBorders>
            <w:vAlign w:val="center"/>
          </w:tcPr>
          <w:p w14:paraId="776CA04F">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kern w:val="0"/>
                <w:sz w:val="22"/>
                <w:szCs w:val="22"/>
                <w:highlight w:val="none"/>
              </w:rPr>
            </w:pPr>
          </w:p>
        </w:tc>
        <w:tc>
          <w:tcPr>
            <w:tcW w:w="621" w:type="pct"/>
            <w:tcBorders>
              <w:left w:val="single" w:color="auto" w:sz="4" w:space="0"/>
            </w:tcBorders>
            <w:vAlign w:val="center"/>
          </w:tcPr>
          <w:p w14:paraId="62514F0A">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kern w:val="0"/>
                <w:sz w:val="22"/>
                <w:szCs w:val="22"/>
                <w:highlight w:val="none"/>
              </w:rPr>
            </w:pPr>
          </w:p>
        </w:tc>
        <w:tc>
          <w:tcPr>
            <w:tcW w:w="433" w:type="pct"/>
            <w:gridSpan w:val="2"/>
            <w:vAlign w:val="center"/>
          </w:tcPr>
          <w:p w14:paraId="01933E48">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p>
        </w:tc>
      </w:tr>
      <w:tr w14:paraId="10275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8" w:type="pct"/>
            <w:vAlign w:val="center"/>
          </w:tcPr>
          <w:p w14:paraId="160AB534">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3</w:t>
            </w:r>
          </w:p>
        </w:tc>
        <w:tc>
          <w:tcPr>
            <w:tcW w:w="2669" w:type="pct"/>
            <w:tcBorders>
              <w:right w:val="single" w:color="auto" w:sz="4" w:space="0"/>
            </w:tcBorders>
            <w:vAlign w:val="center"/>
          </w:tcPr>
          <w:p w14:paraId="0FEE1C38">
            <w:pPr>
              <w:keepNext w:val="0"/>
              <w:keepLines w:val="0"/>
              <w:pageBreakBefore w:val="0"/>
              <w:kinsoku/>
              <w:wordWrap/>
              <w:overflowPunct/>
              <w:topLinePunct w:val="0"/>
              <w:autoSpaceDE/>
              <w:autoSpaceDN/>
              <w:bidi w:val="0"/>
              <w:adjustRightInd/>
              <w:snapToGrid/>
              <w:spacing w:line="240" w:lineRule="auto"/>
              <w:jc w:val="left"/>
              <w:outlineLvl w:val="9"/>
              <w:rPr>
                <w:rFonts w:hint="eastAsia"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新疆和静县-托克逊县乌拉苏-阿拉沟一带金铜多金属矿普查</w:t>
            </w:r>
          </w:p>
        </w:tc>
        <w:tc>
          <w:tcPr>
            <w:tcW w:w="776" w:type="pct"/>
            <w:tcBorders>
              <w:left w:val="single" w:color="auto" w:sz="4" w:space="0"/>
              <w:right w:val="single" w:color="auto" w:sz="4" w:space="0"/>
            </w:tcBorders>
            <w:vAlign w:val="center"/>
          </w:tcPr>
          <w:p w14:paraId="6BFF7940">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kern w:val="0"/>
                <w:sz w:val="22"/>
                <w:szCs w:val="22"/>
                <w:highlight w:val="none"/>
              </w:rPr>
            </w:pPr>
          </w:p>
        </w:tc>
        <w:tc>
          <w:tcPr>
            <w:tcW w:w="621" w:type="pct"/>
            <w:tcBorders>
              <w:left w:val="single" w:color="auto" w:sz="4" w:space="0"/>
            </w:tcBorders>
            <w:vAlign w:val="center"/>
          </w:tcPr>
          <w:p w14:paraId="12707AE2">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kern w:val="0"/>
                <w:sz w:val="22"/>
                <w:szCs w:val="22"/>
                <w:highlight w:val="none"/>
              </w:rPr>
            </w:pPr>
          </w:p>
        </w:tc>
        <w:tc>
          <w:tcPr>
            <w:tcW w:w="433" w:type="pct"/>
            <w:gridSpan w:val="2"/>
            <w:vAlign w:val="center"/>
          </w:tcPr>
          <w:p w14:paraId="2E35C6A0">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p>
        </w:tc>
      </w:tr>
      <w:tr w14:paraId="7661C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8" w:type="pct"/>
            <w:vAlign w:val="center"/>
          </w:tcPr>
          <w:p w14:paraId="4C885C19">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4</w:t>
            </w:r>
          </w:p>
        </w:tc>
        <w:tc>
          <w:tcPr>
            <w:tcW w:w="2669" w:type="pct"/>
            <w:tcBorders>
              <w:right w:val="single" w:color="auto" w:sz="4" w:space="0"/>
            </w:tcBorders>
            <w:vAlign w:val="center"/>
          </w:tcPr>
          <w:p w14:paraId="65EE45BF">
            <w:pPr>
              <w:keepNext w:val="0"/>
              <w:keepLines w:val="0"/>
              <w:pageBreakBefore w:val="0"/>
              <w:kinsoku/>
              <w:wordWrap/>
              <w:overflowPunct/>
              <w:topLinePunct w:val="0"/>
              <w:autoSpaceDE/>
              <w:autoSpaceDN/>
              <w:bidi w:val="0"/>
              <w:adjustRightInd/>
              <w:snapToGrid/>
              <w:spacing w:line="240" w:lineRule="auto"/>
              <w:jc w:val="left"/>
              <w:outlineLvl w:val="9"/>
              <w:rPr>
                <w:rFonts w:hint="eastAsia"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新疆阿图什市喀拉别勒斯一带铜矿调查评价</w:t>
            </w:r>
          </w:p>
        </w:tc>
        <w:tc>
          <w:tcPr>
            <w:tcW w:w="776" w:type="pct"/>
            <w:tcBorders>
              <w:left w:val="single" w:color="auto" w:sz="4" w:space="0"/>
            </w:tcBorders>
            <w:vAlign w:val="center"/>
          </w:tcPr>
          <w:p w14:paraId="01E52BCF">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p>
        </w:tc>
        <w:tc>
          <w:tcPr>
            <w:tcW w:w="621" w:type="pct"/>
            <w:tcBorders>
              <w:left w:val="single" w:color="auto" w:sz="4" w:space="0"/>
            </w:tcBorders>
            <w:vAlign w:val="center"/>
          </w:tcPr>
          <w:p w14:paraId="03022CC6">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kern w:val="0"/>
                <w:sz w:val="22"/>
                <w:szCs w:val="22"/>
                <w:highlight w:val="none"/>
              </w:rPr>
            </w:pPr>
          </w:p>
        </w:tc>
        <w:tc>
          <w:tcPr>
            <w:tcW w:w="433" w:type="pct"/>
            <w:gridSpan w:val="2"/>
            <w:vAlign w:val="center"/>
          </w:tcPr>
          <w:p w14:paraId="1F703E6A">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p>
        </w:tc>
      </w:tr>
      <w:tr w14:paraId="59D2D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8" w:type="pct"/>
            <w:vAlign w:val="center"/>
          </w:tcPr>
          <w:p w14:paraId="46F16A32">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5</w:t>
            </w:r>
          </w:p>
        </w:tc>
        <w:tc>
          <w:tcPr>
            <w:tcW w:w="2669" w:type="pct"/>
            <w:tcBorders>
              <w:right w:val="single" w:color="auto" w:sz="4" w:space="0"/>
            </w:tcBorders>
            <w:vAlign w:val="center"/>
          </w:tcPr>
          <w:p w14:paraId="00F89DFF">
            <w:pPr>
              <w:keepNext w:val="0"/>
              <w:keepLines w:val="0"/>
              <w:pageBreakBefore w:val="0"/>
              <w:kinsoku/>
              <w:wordWrap/>
              <w:overflowPunct/>
              <w:topLinePunct w:val="0"/>
              <w:autoSpaceDE/>
              <w:autoSpaceDN/>
              <w:bidi w:val="0"/>
              <w:adjustRightInd/>
              <w:snapToGrid/>
              <w:spacing w:line="240" w:lineRule="auto"/>
              <w:jc w:val="left"/>
              <w:outlineLvl w:val="9"/>
              <w:rPr>
                <w:rFonts w:hint="eastAsia"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新疆鄯善县乔尕山-花梁子一带金多金属矿调查评价</w:t>
            </w:r>
          </w:p>
        </w:tc>
        <w:tc>
          <w:tcPr>
            <w:tcW w:w="776" w:type="pct"/>
            <w:tcBorders>
              <w:left w:val="single" w:color="auto" w:sz="4" w:space="0"/>
            </w:tcBorders>
            <w:vAlign w:val="center"/>
          </w:tcPr>
          <w:p w14:paraId="1E276B91">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p>
        </w:tc>
        <w:tc>
          <w:tcPr>
            <w:tcW w:w="621" w:type="pct"/>
            <w:tcBorders>
              <w:left w:val="single" w:color="auto" w:sz="4" w:space="0"/>
            </w:tcBorders>
            <w:vAlign w:val="center"/>
          </w:tcPr>
          <w:p w14:paraId="4E3E4CEA">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kern w:val="0"/>
                <w:sz w:val="22"/>
                <w:szCs w:val="22"/>
                <w:highlight w:val="none"/>
              </w:rPr>
            </w:pPr>
          </w:p>
        </w:tc>
        <w:tc>
          <w:tcPr>
            <w:tcW w:w="433" w:type="pct"/>
            <w:gridSpan w:val="2"/>
            <w:vAlign w:val="center"/>
          </w:tcPr>
          <w:p w14:paraId="56945BE9">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p>
        </w:tc>
      </w:tr>
      <w:tr w14:paraId="7169F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8" w:type="pct"/>
            <w:vAlign w:val="center"/>
          </w:tcPr>
          <w:p w14:paraId="27531D7B">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6</w:t>
            </w:r>
          </w:p>
        </w:tc>
        <w:tc>
          <w:tcPr>
            <w:tcW w:w="2669" w:type="pct"/>
            <w:tcBorders>
              <w:right w:val="single" w:color="auto" w:sz="4" w:space="0"/>
            </w:tcBorders>
            <w:vAlign w:val="center"/>
          </w:tcPr>
          <w:p w14:paraId="1994D76F">
            <w:pPr>
              <w:keepNext w:val="0"/>
              <w:keepLines w:val="0"/>
              <w:pageBreakBefore w:val="0"/>
              <w:kinsoku/>
              <w:wordWrap/>
              <w:overflowPunct/>
              <w:topLinePunct w:val="0"/>
              <w:autoSpaceDE/>
              <w:autoSpaceDN/>
              <w:bidi w:val="0"/>
              <w:adjustRightInd/>
              <w:snapToGrid/>
              <w:spacing w:line="240" w:lineRule="auto"/>
              <w:jc w:val="left"/>
              <w:outlineLvl w:val="9"/>
              <w:rPr>
                <w:rFonts w:hint="eastAsia"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新疆鄯善县康北铜镍矿普查</w:t>
            </w:r>
          </w:p>
        </w:tc>
        <w:tc>
          <w:tcPr>
            <w:tcW w:w="776" w:type="pct"/>
            <w:tcBorders>
              <w:left w:val="single" w:color="auto" w:sz="4" w:space="0"/>
            </w:tcBorders>
            <w:vAlign w:val="center"/>
          </w:tcPr>
          <w:p w14:paraId="27E56E4D">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p>
        </w:tc>
        <w:tc>
          <w:tcPr>
            <w:tcW w:w="621" w:type="pct"/>
            <w:tcBorders>
              <w:left w:val="single" w:color="auto" w:sz="4" w:space="0"/>
            </w:tcBorders>
            <w:vAlign w:val="center"/>
          </w:tcPr>
          <w:p w14:paraId="252ABC5D">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kern w:val="0"/>
                <w:sz w:val="22"/>
                <w:szCs w:val="22"/>
                <w:highlight w:val="none"/>
              </w:rPr>
            </w:pPr>
          </w:p>
        </w:tc>
        <w:tc>
          <w:tcPr>
            <w:tcW w:w="433" w:type="pct"/>
            <w:gridSpan w:val="2"/>
            <w:vAlign w:val="center"/>
          </w:tcPr>
          <w:p w14:paraId="7A1E9CE9">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p>
        </w:tc>
      </w:tr>
      <w:tr w14:paraId="356CE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8" w:type="pct"/>
            <w:vAlign w:val="center"/>
          </w:tcPr>
          <w:p w14:paraId="4547DCB8">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7</w:t>
            </w:r>
          </w:p>
        </w:tc>
        <w:tc>
          <w:tcPr>
            <w:tcW w:w="2669" w:type="pct"/>
            <w:tcBorders>
              <w:right w:val="single" w:color="auto" w:sz="4" w:space="0"/>
            </w:tcBorders>
            <w:vAlign w:val="center"/>
          </w:tcPr>
          <w:p w14:paraId="20565631">
            <w:pPr>
              <w:keepNext w:val="0"/>
              <w:keepLines w:val="0"/>
              <w:pageBreakBefore w:val="0"/>
              <w:kinsoku/>
              <w:wordWrap/>
              <w:overflowPunct/>
              <w:topLinePunct w:val="0"/>
              <w:autoSpaceDE/>
              <w:autoSpaceDN/>
              <w:bidi w:val="0"/>
              <w:adjustRightInd/>
              <w:snapToGrid/>
              <w:spacing w:line="240" w:lineRule="auto"/>
              <w:jc w:val="left"/>
              <w:outlineLvl w:val="9"/>
              <w:rPr>
                <w:rFonts w:hint="eastAsia"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新疆吐鲁番市高昌区黑云山铜多金属矿调查评价</w:t>
            </w:r>
          </w:p>
        </w:tc>
        <w:tc>
          <w:tcPr>
            <w:tcW w:w="776" w:type="pct"/>
            <w:tcBorders>
              <w:left w:val="single" w:color="auto" w:sz="4" w:space="0"/>
            </w:tcBorders>
            <w:vAlign w:val="center"/>
          </w:tcPr>
          <w:p w14:paraId="2C9FADB0">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p>
        </w:tc>
        <w:tc>
          <w:tcPr>
            <w:tcW w:w="621" w:type="pct"/>
            <w:tcBorders>
              <w:left w:val="single" w:color="auto" w:sz="4" w:space="0"/>
            </w:tcBorders>
            <w:vAlign w:val="center"/>
          </w:tcPr>
          <w:p w14:paraId="4EE42813">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kern w:val="0"/>
                <w:sz w:val="22"/>
                <w:szCs w:val="22"/>
                <w:highlight w:val="none"/>
              </w:rPr>
            </w:pPr>
          </w:p>
        </w:tc>
        <w:tc>
          <w:tcPr>
            <w:tcW w:w="433" w:type="pct"/>
            <w:gridSpan w:val="2"/>
            <w:vAlign w:val="center"/>
          </w:tcPr>
          <w:p w14:paraId="499C3900">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p>
        </w:tc>
      </w:tr>
      <w:tr w14:paraId="14862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8" w:type="pct"/>
            <w:vAlign w:val="center"/>
          </w:tcPr>
          <w:p w14:paraId="6F141148">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8</w:t>
            </w:r>
          </w:p>
        </w:tc>
        <w:tc>
          <w:tcPr>
            <w:tcW w:w="2669" w:type="pct"/>
            <w:tcBorders>
              <w:right w:val="single" w:color="auto" w:sz="4" w:space="0"/>
            </w:tcBorders>
            <w:vAlign w:val="center"/>
          </w:tcPr>
          <w:p w14:paraId="58EBFC7D">
            <w:pPr>
              <w:keepNext w:val="0"/>
              <w:keepLines w:val="0"/>
              <w:pageBreakBefore w:val="0"/>
              <w:kinsoku/>
              <w:wordWrap/>
              <w:overflowPunct/>
              <w:topLinePunct w:val="0"/>
              <w:autoSpaceDE/>
              <w:autoSpaceDN/>
              <w:bidi w:val="0"/>
              <w:adjustRightInd/>
              <w:snapToGrid/>
              <w:spacing w:line="240" w:lineRule="auto"/>
              <w:jc w:val="left"/>
              <w:outlineLvl w:val="9"/>
              <w:rPr>
                <w:rFonts w:hint="eastAsia"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新疆哈巴河县塔勒德铜矿外围铜多金属矿普查</w:t>
            </w:r>
          </w:p>
        </w:tc>
        <w:tc>
          <w:tcPr>
            <w:tcW w:w="776" w:type="pct"/>
            <w:tcBorders>
              <w:left w:val="single" w:color="auto" w:sz="4" w:space="0"/>
            </w:tcBorders>
            <w:vAlign w:val="center"/>
          </w:tcPr>
          <w:p w14:paraId="24ABCC40">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p>
        </w:tc>
        <w:tc>
          <w:tcPr>
            <w:tcW w:w="621" w:type="pct"/>
            <w:tcBorders>
              <w:left w:val="single" w:color="auto" w:sz="4" w:space="0"/>
            </w:tcBorders>
            <w:vAlign w:val="center"/>
          </w:tcPr>
          <w:p w14:paraId="660E6E5C">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kern w:val="0"/>
                <w:sz w:val="22"/>
                <w:szCs w:val="22"/>
                <w:highlight w:val="none"/>
              </w:rPr>
            </w:pPr>
          </w:p>
        </w:tc>
        <w:tc>
          <w:tcPr>
            <w:tcW w:w="433" w:type="pct"/>
            <w:gridSpan w:val="2"/>
            <w:vAlign w:val="center"/>
          </w:tcPr>
          <w:p w14:paraId="1945238F">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p>
        </w:tc>
      </w:tr>
      <w:tr w14:paraId="67D37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8" w:type="pct"/>
            <w:vAlign w:val="center"/>
          </w:tcPr>
          <w:p w14:paraId="2A004631">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9</w:t>
            </w:r>
          </w:p>
        </w:tc>
        <w:tc>
          <w:tcPr>
            <w:tcW w:w="2669" w:type="pct"/>
            <w:tcBorders>
              <w:right w:val="single" w:color="auto" w:sz="4" w:space="0"/>
            </w:tcBorders>
            <w:vAlign w:val="center"/>
          </w:tcPr>
          <w:p w14:paraId="060A912F">
            <w:pPr>
              <w:keepNext w:val="0"/>
              <w:keepLines w:val="0"/>
              <w:pageBreakBefore w:val="0"/>
              <w:kinsoku/>
              <w:wordWrap/>
              <w:overflowPunct/>
              <w:topLinePunct w:val="0"/>
              <w:autoSpaceDE/>
              <w:autoSpaceDN/>
              <w:bidi w:val="0"/>
              <w:adjustRightInd/>
              <w:snapToGrid/>
              <w:spacing w:line="240" w:lineRule="auto"/>
              <w:jc w:val="left"/>
              <w:outlineLvl w:val="9"/>
              <w:rPr>
                <w:rFonts w:hint="eastAsia"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新疆青河县乔夏巴斯陶一带铬铁矿普查</w:t>
            </w:r>
          </w:p>
        </w:tc>
        <w:tc>
          <w:tcPr>
            <w:tcW w:w="776" w:type="pct"/>
            <w:tcBorders>
              <w:left w:val="single" w:color="auto" w:sz="4" w:space="0"/>
            </w:tcBorders>
            <w:vAlign w:val="center"/>
          </w:tcPr>
          <w:p w14:paraId="6C7D24F2">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p>
        </w:tc>
        <w:tc>
          <w:tcPr>
            <w:tcW w:w="621" w:type="pct"/>
            <w:tcBorders>
              <w:left w:val="single" w:color="auto" w:sz="4" w:space="0"/>
            </w:tcBorders>
            <w:vAlign w:val="center"/>
          </w:tcPr>
          <w:p w14:paraId="1FE58C1B">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kern w:val="0"/>
                <w:sz w:val="22"/>
                <w:szCs w:val="22"/>
                <w:highlight w:val="none"/>
              </w:rPr>
            </w:pPr>
          </w:p>
        </w:tc>
        <w:tc>
          <w:tcPr>
            <w:tcW w:w="433" w:type="pct"/>
            <w:gridSpan w:val="2"/>
            <w:vAlign w:val="center"/>
          </w:tcPr>
          <w:p w14:paraId="6FB6F663">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p>
        </w:tc>
      </w:tr>
      <w:tr w14:paraId="5B190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8" w:type="pct"/>
            <w:vAlign w:val="center"/>
          </w:tcPr>
          <w:p w14:paraId="43FE9F14">
            <w:pPr>
              <w:keepNext w:val="0"/>
              <w:keepLines w:val="0"/>
              <w:pageBreakBefore w:val="0"/>
              <w:kinsoku/>
              <w:wordWrap/>
              <w:overflowPunct/>
              <w:topLinePunct w:val="0"/>
              <w:autoSpaceDE/>
              <w:autoSpaceDN/>
              <w:bidi w:val="0"/>
              <w:adjustRightInd/>
              <w:snapToGrid/>
              <w:spacing w:line="240" w:lineRule="auto"/>
              <w:jc w:val="center"/>
              <w:outlineLvl w:val="9"/>
              <w:rPr>
                <w:rFonts w:hint="default"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10</w:t>
            </w:r>
          </w:p>
        </w:tc>
        <w:tc>
          <w:tcPr>
            <w:tcW w:w="2669" w:type="pct"/>
            <w:tcBorders>
              <w:right w:val="single" w:color="auto" w:sz="4" w:space="0"/>
            </w:tcBorders>
            <w:vAlign w:val="center"/>
          </w:tcPr>
          <w:p w14:paraId="59BDE037">
            <w:pPr>
              <w:keepNext w:val="0"/>
              <w:keepLines w:val="0"/>
              <w:pageBreakBefore w:val="0"/>
              <w:kinsoku/>
              <w:wordWrap/>
              <w:overflowPunct/>
              <w:topLinePunct w:val="0"/>
              <w:autoSpaceDE/>
              <w:autoSpaceDN/>
              <w:bidi w:val="0"/>
              <w:adjustRightInd/>
              <w:snapToGrid/>
              <w:spacing w:line="240" w:lineRule="auto"/>
              <w:jc w:val="left"/>
              <w:outlineLvl w:val="9"/>
              <w:rPr>
                <w:rFonts w:hint="eastAsia"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新疆青河县喀拉干德一带金铜矿普查</w:t>
            </w:r>
          </w:p>
        </w:tc>
        <w:tc>
          <w:tcPr>
            <w:tcW w:w="776" w:type="pct"/>
            <w:tcBorders>
              <w:left w:val="single" w:color="auto" w:sz="4" w:space="0"/>
            </w:tcBorders>
            <w:vAlign w:val="center"/>
          </w:tcPr>
          <w:p w14:paraId="072226BA">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p>
        </w:tc>
        <w:tc>
          <w:tcPr>
            <w:tcW w:w="621" w:type="pct"/>
            <w:tcBorders>
              <w:left w:val="single" w:color="auto" w:sz="4" w:space="0"/>
            </w:tcBorders>
            <w:vAlign w:val="center"/>
          </w:tcPr>
          <w:p w14:paraId="1A299AE3">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kern w:val="0"/>
                <w:sz w:val="22"/>
                <w:szCs w:val="22"/>
                <w:highlight w:val="none"/>
              </w:rPr>
            </w:pPr>
          </w:p>
        </w:tc>
        <w:tc>
          <w:tcPr>
            <w:tcW w:w="433" w:type="pct"/>
            <w:gridSpan w:val="2"/>
            <w:vAlign w:val="center"/>
          </w:tcPr>
          <w:p w14:paraId="47E5CB5B">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p>
        </w:tc>
      </w:tr>
      <w:tr w14:paraId="695DD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8" w:type="pct"/>
            <w:tcBorders>
              <w:bottom w:val="single" w:color="auto" w:sz="4" w:space="0"/>
            </w:tcBorders>
            <w:vAlign w:val="center"/>
          </w:tcPr>
          <w:p w14:paraId="16D66C88">
            <w:pPr>
              <w:keepNext w:val="0"/>
              <w:keepLines w:val="0"/>
              <w:pageBreakBefore w:val="0"/>
              <w:kinsoku/>
              <w:wordWrap/>
              <w:overflowPunct/>
              <w:topLinePunct w:val="0"/>
              <w:autoSpaceDE/>
              <w:autoSpaceDN/>
              <w:bidi w:val="0"/>
              <w:adjustRightInd/>
              <w:snapToGrid/>
              <w:spacing w:line="240" w:lineRule="auto"/>
              <w:jc w:val="center"/>
              <w:outlineLvl w:val="9"/>
              <w:rPr>
                <w:rFonts w:hint="default"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11</w:t>
            </w:r>
          </w:p>
        </w:tc>
        <w:tc>
          <w:tcPr>
            <w:tcW w:w="2669" w:type="pct"/>
            <w:tcBorders>
              <w:bottom w:val="single" w:color="auto" w:sz="4" w:space="0"/>
              <w:right w:val="single" w:color="auto" w:sz="4" w:space="0"/>
            </w:tcBorders>
            <w:vAlign w:val="center"/>
          </w:tcPr>
          <w:p w14:paraId="6A2F2AD1">
            <w:pPr>
              <w:keepNext w:val="0"/>
              <w:keepLines w:val="0"/>
              <w:pageBreakBefore w:val="0"/>
              <w:kinsoku/>
              <w:wordWrap/>
              <w:overflowPunct/>
              <w:topLinePunct w:val="0"/>
              <w:autoSpaceDE/>
              <w:autoSpaceDN/>
              <w:bidi w:val="0"/>
              <w:adjustRightInd/>
              <w:snapToGrid/>
              <w:spacing w:line="240" w:lineRule="auto"/>
              <w:jc w:val="left"/>
              <w:outlineLvl w:val="9"/>
              <w:rPr>
                <w:rFonts w:hint="eastAsia"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新疆哈巴河县塔勒德金矿普查</w:t>
            </w:r>
          </w:p>
        </w:tc>
        <w:tc>
          <w:tcPr>
            <w:tcW w:w="776" w:type="pct"/>
            <w:tcBorders>
              <w:left w:val="single" w:color="auto" w:sz="4" w:space="0"/>
              <w:bottom w:val="single" w:color="auto" w:sz="4" w:space="0"/>
              <w:right w:val="single" w:color="auto" w:sz="4" w:space="0"/>
            </w:tcBorders>
            <w:vAlign w:val="center"/>
          </w:tcPr>
          <w:p w14:paraId="7466C337">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kern w:val="0"/>
                <w:sz w:val="22"/>
                <w:szCs w:val="22"/>
                <w:highlight w:val="none"/>
              </w:rPr>
            </w:pPr>
          </w:p>
        </w:tc>
        <w:tc>
          <w:tcPr>
            <w:tcW w:w="621" w:type="pct"/>
            <w:tcBorders>
              <w:left w:val="single" w:color="auto" w:sz="4" w:space="0"/>
            </w:tcBorders>
            <w:vAlign w:val="center"/>
          </w:tcPr>
          <w:p w14:paraId="06D73ECB">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kern w:val="0"/>
                <w:sz w:val="22"/>
                <w:szCs w:val="22"/>
                <w:highlight w:val="none"/>
              </w:rPr>
            </w:pPr>
          </w:p>
        </w:tc>
        <w:tc>
          <w:tcPr>
            <w:tcW w:w="433" w:type="pct"/>
            <w:gridSpan w:val="2"/>
            <w:vAlign w:val="center"/>
          </w:tcPr>
          <w:p w14:paraId="37715237">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p>
        </w:tc>
      </w:tr>
      <w:tr w14:paraId="0FB5D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8" w:type="pct"/>
            <w:tcBorders>
              <w:bottom w:val="single" w:color="auto" w:sz="4" w:space="0"/>
            </w:tcBorders>
            <w:vAlign w:val="center"/>
          </w:tcPr>
          <w:p w14:paraId="2CA01348">
            <w:pPr>
              <w:keepNext w:val="0"/>
              <w:keepLines w:val="0"/>
              <w:pageBreakBefore w:val="0"/>
              <w:kinsoku/>
              <w:wordWrap/>
              <w:overflowPunct/>
              <w:topLinePunct w:val="0"/>
              <w:autoSpaceDE/>
              <w:autoSpaceDN/>
              <w:bidi w:val="0"/>
              <w:adjustRightInd/>
              <w:snapToGrid/>
              <w:spacing w:line="240" w:lineRule="auto"/>
              <w:jc w:val="center"/>
              <w:outlineLvl w:val="9"/>
              <w:rPr>
                <w:rFonts w:hint="default"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12</w:t>
            </w:r>
          </w:p>
        </w:tc>
        <w:tc>
          <w:tcPr>
            <w:tcW w:w="2669" w:type="pct"/>
            <w:tcBorders>
              <w:bottom w:val="single" w:color="auto" w:sz="4" w:space="0"/>
              <w:right w:val="single" w:color="auto" w:sz="4" w:space="0"/>
            </w:tcBorders>
            <w:vAlign w:val="center"/>
          </w:tcPr>
          <w:p w14:paraId="04FFC429">
            <w:pPr>
              <w:keepNext w:val="0"/>
              <w:keepLines w:val="0"/>
              <w:pageBreakBefore w:val="0"/>
              <w:kinsoku/>
              <w:wordWrap/>
              <w:overflowPunct/>
              <w:topLinePunct w:val="0"/>
              <w:autoSpaceDE/>
              <w:autoSpaceDN/>
              <w:bidi w:val="0"/>
              <w:adjustRightInd/>
              <w:snapToGrid/>
              <w:spacing w:line="240" w:lineRule="auto"/>
              <w:jc w:val="left"/>
              <w:outlineLvl w:val="9"/>
              <w:rPr>
                <w:rFonts w:hint="eastAsia" w:ascii="仿宋" w:hAnsi="仿宋" w:eastAsia="仿宋" w:cs="仿宋"/>
                <w:bCs/>
                <w:sz w:val="22"/>
                <w:szCs w:val="22"/>
                <w:highlight w:val="none"/>
                <w:lang w:val="en-US" w:eastAsia="zh-CN"/>
              </w:rPr>
            </w:pPr>
            <w:r>
              <w:rPr>
                <w:rFonts w:hint="eastAsia" w:ascii="仿宋" w:hAnsi="仿宋" w:eastAsia="仿宋" w:cs="仿宋"/>
                <w:bCs/>
                <w:sz w:val="22"/>
                <w:szCs w:val="22"/>
                <w:highlight w:val="none"/>
                <w:lang w:val="en-US" w:eastAsia="zh-CN"/>
              </w:rPr>
              <w:t>新疆准东伊吾县琼河坝一带铜金矿勘查</w:t>
            </w:r>
          </w:p>
        </w:tc>
        <w:tc>
          <w:tcPr>
            <w:tcW w:w="776" w:type="pct"/>
            <w:tcBorders>
              <w:left w:val="single" w:color="auto" w:sz="4" w:space="0"/>
              <w:bottom w:val="single" w:color="auto" w:sz="4" w:space="0"/>
              <w:right w:val="single" w:color="auto" w:sz="4" w:space="0"/>
            </w:tcBorders>
            <w:vAlign w:val="center"/>
          </w:tcPr>
          <w:p w14:paraId="5C13ED8B">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kern w:val="0"/>
                <w:sz w:val="22"/>
                <w:szCs w:val="22"/>
                <w:highlight w:val="none"/>
              </w:rPr>
            </w:pPr>
          </w:p>
        </w:tc>
        <w:tc>
          <w:tcPr>
            <w:tcW w:w="621" w:type="pct"/>
            <w:tcBorders>
              <w:left w:val="single" w:color="auto" w:sz="4" w:space="0"/>
            </w:tcBorders>
            <w:vAlign w:val="center"/>
          </w:tcPr>
          <w:p w14:paraId="2B532466">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kern w:val="0"/>
                <w:sz w:val="22"/>
                <w:szCs w:val="22"/>
                <w:highlight w:val="none"/>
              </w:rPr>
            </w:pPr>
          </w:p>
        </w:tc>
        <w:tc>
          <w:tcPr>
            <w:tcW w:w="433" w:type="pct"/>
            <w:gridSpan w:val="2"/>
            <w:vAlign w:val="center"/>
          </w:tcPr>
          <w:p w14:paraId="3367FDD4">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p>
        </w:tc>
      </w:tr>
      <w:tr w14:paraId="5F2B1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4" w:type="pct"/>
          <w:trHeight w:val="0" w:hRule="atLeast"/>
          <w:jc w:val="center"/>
        </w:trPr>
        <w:tc>
          <w:tcPr>
            <w:tcW w:w="3945" w:type="pct"/>
            <w:gridSpan w:val="3"/>
            <w:tcBorders>
              <w:top w:val="single" w:color="auto" w:sz="4" w:space="0"/>
              <w:right w:val="single" w:color="auto" w:sz="4" w:space="0"/>
            </w:tcBorders>
            <w:vAlign w:val="center"/>
          </w:tcPr>
          <w:p w14:paraId="6B4B3667">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r>
              <w:rPr>
                <w:rFonts w:hint="eastAsia" w:ascii="仿宋" w:hAnsi="仿宋" w:eastAsia="仿宋" w:cs="仿宋"/>
                <w:kern w:val="0"/>
                <w:sz w:val="22"/>
                <w:szCs w:val="22"/>
                <w:highlight w:val="none"/>
              </w:rPr>
              <w:t>合计</w:t>
            </w:r>
            <w:r>
              <w:rPr>
                <w:rFonts w:hint="eastAsia" w:ascii="仿宋" w:hAnsi="仿宋" w:eastAsia="仿宋" w:cs="仿宋"/>
                <w:bCs/>
                <w:sz w:val="22"/>
                <w:szCs w:val="22"/>
                <w:highlight w:val="none"/>
              </w:rPr>
              <w:t>（元）</w:t>
            </w:r>
          </w:p>
        </w:tc>
        <w:tc>
          <w:tcPr>
            <w:tcW w:w="621" w:type="pct"/>
            <w:tcBorders>
              <w:left w:val="single" w:color="auto" w:sz="4" w:space="0"/>
            </w:tcBorders>
            <w:vAlign w:val="center"/>
          </w:tcPr>
          <w:p w14:paraId="6EC88C79">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p>
        </w:tc>
        <w:tc>
          <w:tcPr>
            <w:tcW w:w="429" w:type="pct"/>
            <w:vAlign w:val="center"/>
          </w:tcPr>
          <w:p w14:paraId="4B074A10">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 w:hAnsi="仿宋" w:eastAsia="仿宋" w:cs="仿宋"/>
                <w:bCs/>
                <w:sz w:val="22"/>
                <w:szCs w:val="22"/>
                <w:highlight w:val="none"/>
              </w:rPr>
            </w:pPr>
          </w:p>
        </w:tc>
      </w:tr>
    </w:tbl>
    <w:p w14:paraId="5632E20E">
      <w:pPr>
        <w:keepNext w:val="0"/>
        <w:keepLines w:val="0"/>
        <w:pageBreakBefore w:val="0"/>
        <w:numPr>
          <w:ilvl w:val="0"/>
          <w:numId w:val="0"/>
        </w:numPr>
        <w:tabs>
          <w:tab w:val="center" w:pos="4832"/>
          <w:tab w:val="left" w:pos="7140"/>
        </w:tabs>
        <w:kinsoku/>
        <w:wordWrap/>
        <w:overflowPunct/>
        <w:topLinePunct w:val="0"/>
        <w:autoSpaceDE/>
        <w:autoSpaceDN/>
        <w:bidi w:val="0"/>
        <w:adjustRightInd/>
        <w:snapToGrid/>
        <w:spacing w:line="360" w:lineRule="auto"/>
        <w:jc w:val="left"/>
        <w:outlineLvl w:val="9"/>
        <w:rPr>
          <w:rFonts w:hint="eastAsia" w:ascii="仿宋" w:hAnsi="仿宋" w:eastAsia="仿宋" w:cs="仿宋"/>
          <w:b/>
          <w:sz w:val="24"/>
          <w:szCs w:val="24"/>
          <w:highlight w:val="none"/>
          <w:shd w:val="clear" w:color="auto" w:fill="FFFFFF" w:themeFill="background1"/>
        </w:rPr>
      </w:pPr>
    </w:p>
    <w:p w14:paraId="6A390B07">
      <w:pPr>
        <w:keepNext w:val="0"/>
        <w:keepLines w:val="0"/>
        <w:pageBreakBefore w:val="0"/>
        <w:kinsoku/>
        <w:wordWrap/>
        <w:overflowPunct/>
        <w:topLinePunct w:val="0"/>
        <w:autoSpaceDE/>
        <w:autoSpaceDN/>
        <w:bidi w:val="0"/>
        <w:adjustRightInd/>
        <w:snapToGrid/>
        <w:spacing w:line="360" w:lineRule="auto"/>
        <w:outlineLvl w:val="9"/>
        <w:rPr>
          <w:rFonts w:hint="eastAsia" w:ascii="仿宋" w:hAnsi="仿宋" w:eastAsia="仿宋" w:cs="仿宋"/>
          <w:sz w:val="24"/>
          <w:szCs w:val="24"/>
          <w:highlight w:val="none"/>
          <w:shd w:val="clear" w:color="auto" w:fill="FFFFFF" w:themeFill="background1"/>
        </w:rPr>
      </w:pPr>
    </w:p>
    <w:p w14:paraId="220B9A67">
      <w:pPr>
        <w:keepNext w:val="0"/>
        <w:keepLines w:val="0"/>
        <w:pageBreakBefore w:val="0"/>
        <w:kinsoku/>
        <w:wordWrap/>
        <w:overflowPunct/>
        <w:topLinePunct w:val="0"/>
        <w:autoSpaceDE/>
        <w:autoSpaceDN/>
        <w:bidi w:val="0"/>
        <w:adjustRightInd/>
        <w:snapToGrid/>
        <w:spacing w:line="360" w:lineRule="auto"/>
        <w:outlineLvl w:val="9"/>
        <w:rPr>
          <w:rFonts w:hint="eastAsia" w:ascii="仿宋" w:hAnsi="仿宋" w:eastAsia="仿宋" w:cs="仿宋"/>
          <w:sz w:val="22"/>
          <w:szCs w:val="22"/>
          <w:highlight w:val="none"/>
          <w:shd w:val="clear" w:color="auto" w:fill="FFFFFF" w:themeFill="background1"/>
        </w:rPr>
      </w:pPr>
      <w:r>
        <w:rPr>
          <w:rFonts w:hint="eastAsia" w:ascii="仿宋" w:hAnsi="仿宋" w:eastAsia="仿宋" w:cs="仿宋"/>
          <w:sz w:val="22"/>
          <w:szCs w:val="22"/>
          <w:highlight w:val="none"/>
          <w:shd w:val="clear" w:color="auto" w:fill="FFFFFF" w:themeFill="background1"/>
        </w:rPr>
        <w:t>备注：</w:t>
      </w:r>
    </w:p>
    <w:p w14:paraId="0A5B2F8C">
      <w:pPr>
        <w:keepNext w:val="0"/>
        <w:keepLines w:val="0"/>
        <w:pageBreakBefore w:val="0"/>
        <w:kinsoku/>
        <w:wordWrap/>
        <w:overflowPunct/>
        <w:topLinePunct w:val="0"/>
        <w:autoSpaceDE/>
        <w:autoSpaceDN/>
        <w:bidi w:val="0"/>
        <w:adjustRightInd/>
        <w:snapToGrid/>
        <w:spacing w:line="360" w:lineRule="auto"/>
        <w:outlineLvl w:val="9"/>
        <w:rPr>
          <w:rFonts w:hint="eastAsia" w:ascii="仿宋" w:hAnsi="仿宋" w:eastAsia="仿宋" w:cs="仿宋"/>
          <w:sz w:val="22"/>
          <w:szCs w:val="22"/>
          <w:highlight w:val="none"/>
          <w:shd w:val="clear" w:color="auto" w:fill="FFFFFF" w:themeFill="background1"/>
        </w:rPr>
      </w:pPr>
      <w:r>
        <w:rPr>
          <w:rFonts w:hint="eastAsia" w:ascii="仿宋" w:hAnsi="仿宋" w:eastAsia="仿宋" w:cs="仿宋"/>
          <w:sz w:val="22"/>
          <w:szCs w:val="22"/>
          <w:highlight w:val="none"/>
          <w:shd w:val="clear" w:color="auto" w:fill="FFFFFF" w:themeFill="background1"/>
        </w:rPr>
        <w:t>1、投标人填报投标价格合计应与投标函载明价格一致，若不一致，应按照第二章评审办法修正原则进行修正。</w:t>
      </w:r>
    </w:p>
    <w:p w14:paraId="3B4D5718">
      <w:pPr>
        <w:keepNext w:val="0"/>
        <w:keepLines w:val="0"/>
        <w:pageBreakBefore w:val="0"/>
        <w:kinsoku/>
        <w:wordWrap/>
        <w:overflowPunct/>
        <w:topLinePunct w:val="0"/>
        <w:autoSpaceDE/>
        <w:autoSpaceDN/>
        <w:bidi w:val="0"/>
        <w:adjustRightInd/>
        <w:snapToGrid/>
        <w:spacing w:line="360" w:lineRule="auto"/>
        <w:outlineLvl w:val="9"/>
        <w:rPr>
          <w:rFonts w:hint="eastAsia" w:ascii="仿宋" w:hAnsi="仿宋" w:eastAsia="仿宋" w:cs="仿宋"/>
          <w:sz w:val="20"/>
          <w:szCs w:val="21"/>
          <w:highlight w:val="none"/>
          <w:shd w:val="clear" w:color="auto" w:fill="FFFFFF" w:themeFill="background1"/>
        </w:rPr>
      </w:pPr>
      <w:r>
        <w:rPr>
          <w:rFonts w:hint="eastAsia" w:ascii="仿宋" w:hAnsi="仿宋" w:eastAsia="仿宋" w:cs="仿宋"/>
          <w:sz w:val="22"/>
          <w:szCs w:val="22"/>
          <w:highlight w:val="none"/>
          <w:shd w:val="clear" w:color="auto" w:fill="FFFFFF" w:themeFill="background1"/>
        </w:rPr>
        <w:t>2、投标人的服务只允许有一个报价，采购人不接受有任何选择的报价。投标价格应包括投标人履行本项目合同（如果成交）所必须的所有成本费用和成交投标人应承担的一切费用，包括但不仅限于必要资料、交通、保险、人工费、税费等一切费用。未列和没有填写的项目费用，采购人将视为已包括在投标价格中。</w:t>
      </w:r>
    </w:p>
    <w:p w14:paraId="512494CD">
      <w:pPr>
        <w:keepNext w:val="0"/>
        <w:keepLines w:val="0"/>
        <w:pageBreakBefore w:val="0"/>
        <w:kinsoku/>
        <w:wordWrap/>
        <w:overflowPunct/>
        <w:topLinePunct w:val="0"/>
        <w:autoSpaceDE/>
        <w:autoSpaceDN/>
        <w:bidi w:val="0"/>
        <w:adjustRightInd/>
        <w:snapToGrid/>
        <w:spacing w:line="360" w:lineRule="auto"/>
        <w:jc w:val="left"/>
        <w:outlineLvl w:val="9"/>
        <w:rPr>
          <w:rFonts w:hint="eastAsia" w:ascii="仿宋" w:hAnsi="仿宋" w:eastAsia="仿宋" w:cs="仿宋"/>
          <w:sz w:val="22"/>
          <w:szCs w:val="22"/>
          <w:highlight w:val="none"/>
          <w:shd w:val="clear" w:color="auto" w:fill="FFFFFF" w:themeFill="background1"/>
        </w:rPr>
      </w:pPr>
    </w:p>
    <w:p w14:paraId="2426E921">
      <w:pPr>
        <w:spacing w:line="360" w:lineRule="auto"/>
        <w:jc w:val="left"/>
        <w:rPr>
          <w:rFonts w:hint="eastAsia" w:ascii="仿宋" w:hAnsi="仿宋" w:eastAsia="仿宋" w:cs="仿宋"/>
          <w:sz w:val="22"/>
          <w:szCs w:val="22"/>
          <w:highlight w:val="none"/>
          <w:shd w:val="clear" w:color="auto" w:fill="FFFFFF" w:themeFill="background1"/>
        </w:rPr>
      </w:pPr>
    </w:p>
    <w:p w14:paraId="048A84B0">
      <w:pPr>
        <w:widowControl/>
        <w:shd w:val="clear" w:color="auto" w:fill="FFFFFF"/>
        <w:snapToGrid w:val="0"/>
        <w:spacing w:line="360" w:lineRule="auto"/>
        <w:jc w:val="left"/>
        <w:rPr>
          <w:rFonts w:hint="eastAsia" w:ascii="仿宋" w:hAnsi="仿宋" w:eastAsia="仿宋" w:cs="仿宋"/>
          <w:kern w:val="0"/>
          <w:sz w:val="22"/>
          <w:szCs w:val="22"/>
          <w:highlight w:val="none"/>
          <w:shd w:val="clear" w:color="auto" w:fill="FFFFFF" w:themeFill="background1"/>
        </w:rPr>
      </w:pPr>
      <w:r>
        <w:rPr>
          <w:rFonts w:hint="eastAsia" w:ascii="仿宋" w:hAnsi="仿宋" w:eastAsia="仿宋" w:cs="仿宋"/>
          <w:kern w:val="0"/>
          <w:sz w:val="22"/>
          <w:szCs w:val="22"/>
          <w:highlight w:val="none"/>
          <w:shd w:val="clear" w:color="auto" w:fill="FFFFFF" w:themeFill="background1"/>
        </w:rPr>
        <w:t>投标人：</w:t>
      </w:r>
      <w:r>
        <w:rPr>
          <w:rFonts w:hint="eastAsia" w:ascii="仿宋" w:hAnsi="仿宋" w:eastAsia="仿宋" w:cs="仿宋"/>
          <w:kern w:val="0"/>
          <w:sz w:val="22"/>
          <w:szCs w:val="22"/>
          <w:highlight w:val="none"/>
          <w:u w:val="single"/>
          <w:shd w:val="clear" w:color="auto" w:fill="FFFFFF" w:themeFill="background1"/>
        </w:rPr>
        <w:t xml:space="preserve">               </w:t>
      </w:r>
      <w:r>
        <w:rPr>
          <w:rFonts w:hint="eastAsia" w:ascii="仿宋" w:hAnsi="仿宋" w:eastAsia="仿宋" w:cs="仿宋"/>
          <w:kern w:val="0"/>
          <w:sz w:val="22"/>
          <w:szCs w:val="22"/>
          <w:highlight w:val="none"/>
          <w:shd w:val="clear" w:color="auto" w:fill="FFFFFF" w:themeFill="background1"/>
        </w:rPr>
        <w:t>（盖章）</w:t>
      </w:r>
    </w:p>
    <w:p w14:paraId="4919E201">
      <w:pPr>
        <w:widowControl/>
        <w:shd w:val="clear" w:color="auto" w:fill="FFFFFF"/>
        <w:snapToGrid w:val="0"/>
        <w:spacing w:line="360" w:lineRule="auto"/>
        <w:jc w:val="left"/>
        <w:rPr>
          <w:rFonts w:hint="eastAsia" w:ascii="仿宋" w:hAnsi="仿宋" w:eastAsia="仿宋" w:cs="仿宋"/>
          <w:kern w:val="0"/>
          <w:sz w:val="22"/>
          <w:szCs w:val="22"/>
          <w:highlight w:val="none"/>
          <w:shd w:val="clear" w:color="auto" w:fill="FFFFFF" w:themeFill="background1"/>
        </w:rPr>
      </w:pPr>
    </w:p>
    <w:p w14:paraId="745488C5">
      <w:pPr>
        <w:widowControl/>
        <w:shd w:val="clear" w:color="auto" w:fill="FFFFFF"/>
        <w:snapToGrid w:val="0"/>
        <w:spacing w:line="360" w:lineRule="auto"/>
        <w:jc w:val="left"/>
        <w:rPr>
          <w:rFonts w:hint="eastAsia" w:ascii="仿宋" w:hAnsi="仿宋" w:eastAsia="仿宋" w:cs="仿宋"/>
          <w:kern w:val="0"/>
          <w:sz w:val="22"/>
          <w:szCs w:val="22"/>
          <w:highlight w:val="none"/>
          <w:shd w:val="clear" w:color="auto" w:fill="FFFFFF" w:themeFill="background1"/>
        </w:rPr>
      </w:pPr>
      <w:r>
        <w:rPr>
          <w:rFonts w:hint="eastAsia" w:ascii="仿宋" w:hAnsi="仿宋" w:eastAsia="仿宋" w:cs="仿宋"/>
          <w:kern w:val="0"/>
          <w:sz w:val="22"/>
          <w:szCs w:val="22"/>
          <w:highlight w:val="none"/>
          <w:shd w:val="clear" w:color="auto" w:fill="FFFFFF" w:themeFill="background1"/>
        </w:rPr>
        <w:t>法定代表人：</w:t>
      </w:r>
      <w:r>
        <w:rPr>
          <w:rFonts w:hint="eastAsia" w:ascii="仿宋" w:hAnsi="仿宋" w:eastAsia="仿宋" w:cs="仿宋"/>
          <w:kern w:val="0"/>
          <w:sz w:val="22"/>
          <w:szCs w:val="22"/>
          <w:highlight w:val="none"/>
          <w:u w:val="single"/>
          <w:shd w:val="clear" w:color="auto" w:fill="FFFFFF" w:themeFill="background1"/>
        </w:rPr>
        <w:t xml:space="preserve">           </w:t>
      </w:r>
      <w:r>
        <w:rPr>
          <w:rFonts w:hint="eastAsia" w:ascii="仿宋" w:hAnsi="仿宋" w:eastAsia="仿宋" w:cs="仿宋"/>
          <w:kern w:val="0"/>
          <w:sz w:val="22"/>
          <w:szCs w:val="22"/>
          <w:highlight w:val="none"/>
          <w:shd w:val="clear" w:color="auto" w:fill="FFFFFF" w:themeFill="background1"/>
        </w:rPr>
        <w:t>（盖章）</w:t>
      </w:r>
    </w:p>
    <w:p w14:paraId="55E93718">
      <w:pPr>
        <w:widowControl/>
        <w:shd w:val="clear" w:color="auto" w:fill="FFFFFF"/>
        <w:snapToGrid w:val="0"/>
        <w:spacing w:line="360" w:lineRule="auto"/>
        <w:ind w:firstLine="420"/>
        <w:jc w:val="center"/>
        <w:rPr>
          <w:rFonts w:hint="eastAsia" w:ascii="仿宋" w:hAnsi="仿宋" w:eastAsia="仿宋" w:cs="仿宋"/>
          <w:kern w:val="0"/>
          <w:sz w:val="22"/>
          <w:szCs w:val="22"/>
          <w:highlight w:val="none"/>
          <w:shd w:val="clear" w:color="auto" w:fill="FFFFFF" w:themeFill="background1"/>
        </w:rPr>
      </w:pPr>
      <w:r>
        <w:rPr>
          <w:rFonts w:hint="eastAsia" w:ascii="仿宋" w:hAnsi="仿宋" w:eastAsia="仿宋" w:cs="仿宋"/>
          <w:kern w:val="0"/>
          <w:sz w:val="22"/>
          <w:szCs w:val="22"/>
          <w:highlight w:val="none"/>
          <w:shd w:val="clear" w:color="auto" w:fill="FFFFFF" w:themeFill="background1"/>
        </w:rPr>
        <w:t xml:space="preserve">                                               日期： 年  月  日</w:t>
      </w:r>
    </w:p>
    <w:p w14:paraId="31B76A8D">
      <w:pPr>
        <w:widowControl/>
        <w:spacing w:line="360" w:lineRule="auto"/>
        <w:jc w:val="left"/>
        <w:rPr>
          <w:rFonts w:hint="eastAsia" w:ascii="仿宋" w:hAnsi="仿宋" w:eastAsia="仿宋" w:cs="仿宋"/>
          <w:b/>
          <w:sz w:val="22"/>
          <w:szCs w:val="22"/>
          <w:highlight w:val="none"/>
          <w:shd w:val="clear" w:color="auto" w:fill="FFFFFF" w:themeFill="background1"/>
        </w:rPr>
      </w:pPr>
      <w:r>
        <w:rPr>
          <w:rFonts w:hint="eastAsia" w:ascii="仿宋" w:hAnsi="仿宋" w:eastAsia="仿宋" w:cs="仿宋"/>
          <w:b/>
          <w:bCs/>
          <w:kern w:val="36"/>
          <w:sz w:val="22"/>
          <w:szCs w:val="22"/>
          <w:highlight w:val="none"/>
          <w:shd w:val="clear" w:color="auto" w:fill="FFFFFF" w:themeFill="background1"/>
        </w:rPr>
        <w:br w:type="page"/>
      </w:r>
    </w:p>
    <w:p w14:paraId="5A96D184">
      <w:pPr>
        <w:tabs>
          <w:tab w:val="center" w:pos="4832"/>
          <w:tab w:val="left" w:pos="7140"/>
        </w:tabs>
        <w:spacing w:line="360" w:lineRule="auto"/>
        <w:jc w:val="center"/>
        <w:outlineLvl w:val="1"/>
        <w:rPr>
          <w:rFonts w:hint="eastAsia" w:ascii="仿宋" w:hAnsi="仿宋" w:eastAsia="仿宋" w:cs="仿宋"/>
          <w:kern w:val="0"/>
          <w:sz w:val="24"/>
          <w:szCs w:val="24"/>
          <w:highlight w:val="none"/>
          <w:shd w:val="clear" w:color="auto" w:fill="FFFFFF" w:themeFill="background1"/>
        </w:rPr>
      </w:pPr>
      <w:bookmarkStart w:id="515" w:name="_Toc10230"/>
      <w:bookmarkStart w:id="516" w:name="_Toc5136"/>
      <w:r>
        <w:rPr>
          <w:rFonts w:hint="eastAsia" w:ascii="仿宋" w:hAnsi="仿宋" w:eastAsia="仿宋" w:cs="仿宋"/>
          <w:b/>
          <w:sz w:val="24"/>
          <w:szCs w:val="24"/>
          <w:highlight w:val="none"/>
          <w:shd w:val="clear" w:color="auto" w:fill="FFFFFF" w:themeFill="background1"/>
        </w:rPr>
        <w:t>四、商务条款偏离表</w:t>
      </w:r>
      <w:bookmarkEnd w:id="510"/>
      <w:bookmarkEnd w:id="511"/>
      <w:bookmarkEnd w:id="512"/>
      <w:bookmarkEnd w:id="515"/>
      <w:bookmarkEnd w:id="516"/>
    </w:p>
    <w:tbl>
      <w:tblPr>
        <w:tblStyle w:val="42"/>
        <w:tblW w:w="92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3"/>
        <w:gridCol w:w="1814"/>
        <w:gridCol w:w="2083"/>
        <w:gridCol w:w="2182"/>
        <w:gridCol w:w="1155"/>
        <w:gridCol w:w="1219"/>
      </w:tblGrid>
      <w:tr w14:paraId="16997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833" w:type="dxa"/>
            <w:vAlign w:val="center"/>
          </w:tcPr>
          <w:p w14:paraId="73AFDCBF">
            <w:pPr>
              <w:spacing w:line="360" w:lineRule="auto"/>
              <w:jc w:val="center"/>
              <w:rPr>
                <w:rFonts w:hint="eastAsia" w:ascii="仿宋" w:hAnsi="仿宋" w:eastAsia="仿宋" w:cs="仿宋"/>
                <w:bCs/>
                <w:szCs w:val="21"/>
                <w:highlight w:val="none"/>
                <w:shd w:val="clear" w:color="auto" w:fill="FFFFFF" w:themeFill="background1"/>
              </w:rPr>
            </w:pPr>
            <w:r>
              <w:rPr>
                <w:rFonts w:hint="eastAsia" w:ascii="仿宋" w:hAnsi="仿宋" w:eastAsia="仿宋" w:cs="仿宋"/>
                <w:bCs/>
                <w:szCs w:val="21"/>
                <w:highlight w:val="none"/>
                <w:shd w:val="clear" w:color="auto" w:fill="FFFFFF" w:themeFill="background1"/>
              </w:rPr>
              <w:t>序号</w:t>
            </w:r>
          </w:p>
        </w:tc>
        <w:tc>
          <w:tcPr>
            <w:tcW w:w="1814" w:type="dxa"/>
            <w:vAlign w:val="center"/>
          </w:tcPr>
          <w:p w14:paraId="38F65EE7">
            <w:pPr>
              <w:spacing w:line="360" w:lineRule="auto"/>
              <w:jc w:val="center"/>
              <w:rPr>
                <w:rFonts w:hint="eastAsia" w:ascii="仿宋" w:hAnsi="仿宋" w:eastAsia="仿宋" w:cs="仿宋"/>
                <w:bCs/>
                <w:szCs w:val="21"/>
                <w:highlight w:val="none"/>
                <w:shd w:val="clear" w:color="auto" w:fill="FFFFFF" w:themeFill="background1"/>
              </w:rPr>
            </w:pPr>
            <w:r>
              <w:rPr>
                <w:rFonts w:hint="eastAsia" w:ascii="仿宋" w:hAnsi="仿宋" w:eastAsia="仿宋" w:cs="仿宋"/>
                <w:bCs/>
                <w:szCs w:val="21"/>
                <w:highlight w:val="none"/>
                <w:shd w:val="clear" w:color="auto" w:fill="FFFFFF" w:themeFill="background1"/>
              </w:rPr>
              <w:t>招标文件条目号</w:t>
            </w:r>
          </w:p>
        </w:tc>
        <w:tc>
          <w:tcPr>
            <w:tcW w:w="2083" w:type="dxa"/>
            <w:vAlign w:val="center"/>
          </w:tcPr>
          <w:p w14:paraId="4A636E99">
            <w:pPr>
              <w:spacing w:line="360" w:lineRule="auto"/>
              <w:jc w:val="center"/>
              <w:rPr>
                <w:rFonts w:hint="eastAsia" w:ascii="仿宋" w:hAnsi="仿宋" w:eastAsia="仿宋" w:cs="仿宋"/>
                <w:bCs/>
                <w:szCs w:val="21"/>
                <w:highlight w:val="none"/>
                <w:shd w:val="clear" w:color="auto" w:fill="FFFFFF" w:themeFill="background1"/>
              </w:rPr>
            </w:pPr>
            <w:r>
              <w:rPr>
                <w:rFonts w:hint="eastAsia" w:ascii="仿宋" w:hAnsi="仿宋" w:eastAsia="仿宋" w:cs="仿宋"/>
                <w:bCs/>
                <w:szCs w:val="21"/>
                <w:highlight w:val="none"/>
                <w:shd w:val="clear" w:color="auto" w:fill="FFFFFF" w:themeFill="background1"/>
              </w:rPr>
              <w:t>招标文件商务条款</w:t>
            </w:r>
          </w:p>
        </w:tc>
        <w:tc>
          <w:tcPr>
            <w:tcW w:w="2182" w:type="dxa"/>
            <w:vAlign w:val="center"/>
          </w:tcPr>
          <w:p w14:paraId="5AC49377">
            <w:pPr>
              <w:spacing w:line="360" w:lineRule="auto"/>
              <w:jc w:val="center"/>
              <w:rPr>
                <w:rFonts w:hint="eastAsia" w:ascii="仿宋" w:hAnsi="仿宋" w:eastAsia="仿宋" w:cs="仿宋"/>
                <w:bCs/>
                <w:szCs w:val="21"/>
                <w:highlight w:val="none"/>
                <w:shd w:val="clear" w:color="auto" w:fill="FFFFFF" w:themeFill="background1"/>
              </w:rPr>
            </w:pPr>
            <w:r>
              <w:rPr>
                <w:rFonts w:hint="eastAsia" w:ascii="仿宋" w:hAnsi="仿宋" w:eastAsia="仿宋" w:cs="仿宋"/>
                <w:bCs/>
                <w:szCs w:val="21"/>
                <w:highlight w:val="none"/>
                <w:shd w:val="clear" w:color="auto" w:fill="FFFFFF" w:themeFill="background1"/>
              </w:rPr>
              <w:t>投标文件商务条款</w:t>
            </w:r>
          </w:p>
        </w:tc>
        <w:tc>
          <w:tcPr>
            <w:tcW w:w="1155" w:type="dxa"/>
            <w:vAlign w:val="center"/>
          </w:tcPr>
          <w:p w14:paraId="41534602">
            <w:pPr>
              <w:spacing w:line="360" w:lineRule="auto"/>
              <w:jc w:val="center"/>
              <w:rPr>
                <w:rFonts w:hint="eastAsia" w:ascii="仿宋" w:hAnsi="仿宋" w:eastAsia="仿宋" w:cs="仿宋"/>
                <w:bCs/>
                <w:szCs w:val="21"/>
                <w:highlight w:val="none"/>
                <w:shd w:val="clear" w:color="auto" w:fill="FFFFFF" w:themeFill="background1"/>
              </w:rPr>
            </w:pPr>
            <w:r>
              <w:rPr>
                <w:rFonts w:hint="eastAsia" w:ascii="仿宋" w:hAnsi="仿宋" w:eastAsia="仿宋" w:cs="仿宋"/>
                <w:bCs/>
                <w:szCs w:val="21"/>
                <w:highlight w:val="none"/>
                <w:shd w:val="clear" w:color="auto" w:fill="FFFFFF" w:themeFill="background1"/>
              </w:rPr>
              <w:t>偏离</w:t>
            </w:r>
          </w:p>
        </w:tc>
        <w:tc>
          <w:tcPr>
            <w:tcW w:w="1219" w:type="dxa"/>
            <w:vAlign w:val="center"/>
          </w:tcPr>
          <w:p w14:paraId="210C4EF9">
            <w:pPr>
              <w:spacing w:line="360" w:lineRule="auto"/>
              <w:jc w:val="center"/>
              <w:rPr>
                <w:rFonts w:hint="eastAsia" w:ascii="仿宋" w:hAnsi="仿宋" w:eastAsia="仿宋" w:cs="仿宋"/>
                <w:bCs/>
                <w:szCs w:val="21"/>
                <w:highlight w:val="none"/>
                <w:shd w:val="clear" w:color="auto" w:fill="FFFFFF" w:themeFill="background1"/>
              </w:rPr>
            </w:pPr>
            <w:r>
              <w:rPr>
                <w:rFonts w:hint="eastAsia" w:ascii="仿宋" w:hAnsi="仿宋" w:eastAsia="仿宋" w:cs="仿宋"/>
                <w:bCs/>
                <w:szCs w:val="21"/>
                <w:highlight w:val="none"/>
                <w:shd w:val="clear" w:color="auto" w:fill="FFFFFF" w:themeFill="background1"/>
              </w:rPr>
              <w:t>说明</w:t>
            </w:r>
          </w:p>
        </w:tc>
      </w:tr>
      <w:tr w14:paraId="66EB5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5532C975">
            <w:pPr>
              <w:spacing w:line="360" w:lineRule="auto"/>
              <w:jc w:val="center"/>
              <w:rPr>
                <w:rFonts w:hint="eastAsia" w:ascii="仿宋" w:hAnsi="仿宋" w:eastAsia="仿宋" w:cs="仿宋"/>
                <w:b/>
                <w:bCs/>
                <w:szCs w:val="21"/>
                <w:highlight w:val="none"/>
                <w:shd w:val="clear" w:color="auto" w:fill="FFFFFF" w:themeFill="background1"/>
              </w:rPr>
            </w:pPr>
          </w:p>
        </w:tc>
        <w:tc>
          <w:tcPr>
            <w:tcW w:w="1814" w:type="dxa"/>
            <w:vAlign w:val="center"/>
          </w:tcPr>
          <w:p w14:paraId="45E763C5">
            <w:pPr>
              <w:spacing w:line="360" w:lineRule="auto"/>
              <w:jc w:val="center"/>
              <w:rPr>
                <w:rFonts w:hint="eastAsia" w:ascii="仿宋" w:hAnsi="仿宋" w:eastAsia="仿宋" w:cs="仿宋"/>
                <w:b/>
                <w:bCs/>
                <w:szCs w:val="21"/>
                <w:highlight w:val="none"/>
                <w:shd w:val="clear" w:color="auto" w:fill="FFFFFF" w:themeFill="background1"/>
              </w:rPr>
            </w:pPr>
          </w:p>
        </w:tc>
        <w:tc>
          <w:tcPr>
            <w:tcW w:w="2083" w:type="dxa"/>
            <w:vAlign w:val="center"/>
          </w:tcPr>
          <w:p w14:paraId="70D6FADC">
            <w:pPr>
              <w:spacing w:line="360" w:lineRule="auto"/>
              <w:jc w:val="center"/>
              <w:rPr>
                <w:rFonts w:hint="eastAsia" w:ascii="仿宋" w:hAnsi="仿宋" w:eastAsia="仿宋" w:cs="仿宋"/>
                <w:b/>
                <w:bCs/>
                <w:szCs w:val="21"/>
                <w:highlight w:val="none"/>
                <w:shd w:val="clear" w:color="auto" w:fill="FFFFFF" w:themeFill="background1"/>
              </w:rPr>
            </w:pPr>
          </w:p>
        </w:tc>
        <w:tc>
          <w:tcPr>
            <w:tcW w:w="2182" w:type="dxa"/>
            <w:vAlign w:val="center"/>
          </w:tcPr>
          <w:p w14:paraId="3A77C0F3">
            <w:pPr>
              <w:spacing w:line="360" w:lineRule="auto"/>
              <w:jc w:val="center"/>
              <w:rPr>
                <w:rFonts w:hint="eastAsia" w:ascii="仿宋" w:hAnsi="仿宋" w:eastAsia="仿宋" w:cs="仿宋"/>
                <w:b/>
                <w:bCs/>
                <w:szCs w:val="21"/>
                <w:highlight w:val="none"/>
                <w:shd w:val="clear" w:color="auto" w:fill="FFFFFF" w:themeFill="background1"/>
              </w:rPr>
            </w:pPr>
          </w:p>
        </w:tc>
        <w:tc>
          <w:tcPr>
            <w:tcW w:w="1155" w:type="dxa"/>
            <w:vAlign w:val="center"/>
          </w:tcPr>
          <w:p w14:paraId="5D52CF0C">
            <w:pPr>
              <w:spacing w:line="360" w:lineRule="auto"/>
              <w:jc w:val="center"/>
              <w:rPr>
                <w:rFonts w:hint="eastAsia" w:ascii="仿宋" w:hAnsi="仿宋" w:eastAsia="仿宋" w:cs="仿宋"/>
                <w:b/>
                <w:bCs/>
                <w:szCs w:val="21"/>
                <w:highlight w:val="none"/>
                <w:shd w:val="clear" w:color="auto" w:fill="FFFFFF" w:themeFill="background1"/>
              </w:rPr>
            </w:pPr>
          </w:p>
        </w:tc>
        <w:tc>
          <w:tcPr>
            <w:tcW w:w="1219" w:type="dxa"/>
            <w:vAlign w:val="center"/>
          </w:tcPr>
          <w:p w14:paraId="61DD0107">
            <w:pPr>
              <w:spacing w:line="360" w:lineRule="auto"/>
              <w:jc w:val="center"/>
              <w:rPr>
                <w:rFonts w:hint="eastAsia" w:ascii="仿宋" w:hAnsi="仿宋" w:eastAsia="仿宋" w:cs="仿宋"/>
                <w:b/>
                <w:bCs/>
                <w:szCs w:val="21"/>
                <w:highlight w:val="none"/>
                <w:shd w:val="clear" w:color="auto" w:fill="FFFFFF" w:themeFill="background1"/>
              </w:rPr>
            </w:pPr>
          </w:p>
        </w:tc>
      </w:tr>
      <w:tr w14:paraId="21967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3F86F99F">
            <w:pPr>
              <w:spacing w:line="360" w:lineRule="auto"/>
              <w:jc w:val="center"/>
              <w:rPr>
                <w:rFonts w:hint="eastAsia" w:ascii="仿宋" w:hAnsi="仿宋" w:eastAsia="仿宋" w:cs="仿宋"/>
                <w:b/>
                <w:bCs/>
                <w:szCs w:val="21"/>
                <w:highlight w:val="none"/>
                <w:shd w:val="clear" w:color="auto" w:fill="FFFFFF" w:themeFill="background1"/>
              </w:rPr>
            </w:pPr>
          </w:p>
        </w:tc>
        <w:tc>
          <w:tcPr>
            <w:tcW w:w="1814" w:type="dxa"/>
            <w:vAlign w:val="center"/>
          </w:tcPr>
          <w:p w14:paraId="024720A7">
            <w:pPr>
              <w:spacing w:line="360" w:lineRule="auto"/>
              <w:jc w:val="center"/>
              <w:rPr>
                <w:rFonts w:hint="eastAsia" w:ascii="仿宋" w:hAnsi="仿宋" w:eastAsia="仿宋" w:cs="仿宋"/>
                <w:b/>
                <w:bCs/>
                <w:szCs w:val="21"/>
                <w:highlight w:val="none"/>
                <w:shd w:val="clear" w:color="auto" w:fill="FFFFFF" w:themeFill="background1"/>
              </w:rPr>
            </w:pPr>
          </w:p>
        </w:tc>
        <w:tc>
          <w:tcPr>
            <w:tcW w:w="2083" w:type="dxa"/>
            <w:vAlign w:val="center"/>
          </w:tcPr>
          <w:p w14:paraId="12F7B4DB">
            <w:pPr>
              <w:spacing w:line="360" w:lineRule="auto"/>
              <w:jc w:val="center"/>
              <w:rPr>
                <w:rFonts w:hint="eastAsia" w:ascii="仿宋" w:hAnsi="仿宋" w:eastAsia="仿宋" w:cs="仿宋"/>
                <w:b/>
                <w:bCs/>
                <w:szCs w:val="21"/>
                <w:highlight w:val="none"/>
                <w:shd w:val="clear" w:color="auto" w:fill="FFFFFF" w:themeFill="background1"/>
              </w:rPr>
            </w:pPr>
          </w:p>
        </w:tc>
        <w:tc>
          <w:tcPr>
            <w:tcW w:w="2182" w:type="dxa"/>
            <w:vAlign w:val="center"/>
          </w:tcPr>
          <w:p w14:paraId="4B8CE8E0">
            <w:pPr>
              <w:spacing w:line="360" w:lineRule="auto"/>
              <w:jc w:val="center"/>
              <w:rPr>
                <w:rFonts w:hint="eastAsia" w:ascii="仿宋" w:hAnsi="仿宋" w:eastAsia="仿宋" w:cs="仿宋"/>
                <w:b/>
                <w:bCs/>
                <w:szCs w:val="21"/>
                <w:highlight w:val="none"/>
                <w:shd w:val="clear" w:color="auto" w:fill="FFFFFF" w:themeFill="background1"/>
              </w:rPr>
            </w:pPr>
          </w:p>
        </w:tc>
        <w:tc>
          <w:tcPr>
            <w:tcW w:w="1155" w:type="dxa"/>
            <w:vAlign w:val="center"/>
          </w:tcPr>
          <w:p w14:paraId="4D02A6B7">
            <w:pPr>
              <w:spacing w:line="360" w:lineRule="auto"/>
              <w:jc w:val="center"/>
              <w:rPr>
                <w:rFonts w:hint="eastAsia" w:ascii="仿宋" w:hAnsi="仿宋" w:eastAsia="仿宋" w:cs="仿宋"/>
                <w:b/>
                <w:bCs/>
                <w:szCs w:val="21"/>
                <w:highlight w:val="none"/>
                <w:shd w:val="clear" w:color="auto" w:fill="FFFFFF" w:themeFill="background1"/>
              </w:rPr>
            </w:pPr>
          </w:p>
        </w:tc>
        <w:tc>
          <w:tcPr>
            <w:tcW w:w="1219" w:type="dxa"/>
            <w:vAlign w:val="center"/>
          </w:tcPr>
          <w:p w14:paraId="5F64A24A">
            <w:pPr>
              <w:spacing w:line="360" w:lineRule="auto"/>
              <w:jc w:val="center"/>
              <w:rPr>
                <w:rFonts w:hint="eastAsia" w:ascii="仿宋" w:hAnsi="仿宋" w:eastAsia="仿宋" w:cs="仿宋"/>
                <w:b/>
                <w:bCs/>
                <w:szCs w:val="21"/>
                <w:highlight w:val="none"/>
                <w:shd w:val="clear" w:color="auto" w:fill="FFFFFF" w:themeFill="background1"/>
              </w:rPr>
            </w:pPr>
          </w:p>
        </w:tc>
      </w:tr>
      <w:tr w14:paraId="36223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4E7E1BC1">
            <w:pPr>
              <w:spacing w:line="360" w:lineRule="auto"/>
              <w:jc w:val="center"/>
              <w:rPr>
                <w:rFonts w:hint="eastAsia" w:ascii="仿宋" w:hAnsi="仿宋" w:eastAsia="仿宋" w:cs="仿宋"/>
                <w:b/>
                <w:bCs/>
                <w:szCs w:val="21"/>
                <w:highlight w:val="none"/>
                <w:shd w:val="clear" w:color="auto" w:fill="FFFFFF" w:themeFill="background1"/>
              </w:rPr>
            </w:pPr>
          </w:p>
        </w:tc>
        <w:tc>
          <w:tcPr>
            <w:tcW w:w="1814" w:type="dxa"/>
            <w:vAlign w:val="center"/>
          </w:tcPr>
          <w:p w14:paraId="1CF19FCC">
            <w:pPr>
              <w:spacing w:line="360" w:lineRule="auto"/>
              <w:jc w:val="center"/>
              <w:rPr>
                <w:rFonts w:hint="eastAsia" w:ascii="仿宋" w:hAnsi="仿宋" w:eastAsia="仿宋" w:cs="仿宋"/>
                <w:b/>
                <w:bCs/>
                <w:szCs w:val="21"/>
                <w:highlight w:val="none"/>
                <w:shd w:val="clear" w:color="auto" w:fill="FFFFFF" w:themeFill="background1"/>
              </w:rPr>
            </w:pPr>
          </w:p>
        </w:tc>
        <w:tc>
          <w:tcPr>
            <w:tcW w:w="2083" w:type="dxa"/>
            <w:vAlign w:val="center"/>
          </w:tcPr>
          <w:p w14:paraId="40D913C4">
            <w:pPr>
              <w:spacing w:line="360" w:lineRule="auto"/>
              <w:jc w:val="center"/>
              <w:rPr>
                <w:rFonts w:hint="eastAsia" w:ascii="仿宋" w:hAnsi="仿宋" w:eastAsia="仿宋" w:cs="仿宋"/>
                <w:b/>
                <w:bCs/>
                <w:szCs w:val="21"/>
                <w:highlight w:val="none"/>
                <w:shd w:val="clear" w:color="auto" w:fill="FFFFFF" w:themeFill="background1"/>
              </w:rPr>
            </w:pPr>
          </w:p>
        </w:tc>
        <w:tc>
          <w:tcPr>
            <w:tcW w:w="2182" w:type="dxa"/>
            <w:vAlign w:val="center"/>
          </w:tcPr>
          <w:p w14:paraId="50B8B8D0">
            <w:pPr>
              <w:spacing w:line="360" w:lineRule="auto"/>
              <w:jc w:val="center"/>
              <w:rPr>
                <w:rFonts w:hint="eastAsia" w:ascii="仿宋" w:hAnsi="仿宋" w:eastAsia="仿宋" w:cs="仿宋"/>
                <w:b/>
                <w:bCs/>
                <w:szCs w:val="21"/>
                <w:highlight w:val="none"/>
                <w:shd w:val="clear" w:color="auto" w:fill="FFFFFF" w:themeFill="background1"/>
              </w:rPr>
            </w:pPr>
          </w:p>
        </w:tc>
        <w:tc>
          <w:tcPr>
            <w:tcW w:w="1155" w:type="dxa"/>
            <w:vAlign w:val="center"/>
          </w:tcPr>
          <w:p w14:paraId="51A63848">
            <w:pPr>
              <w:spacing w:line="360" w:lineRule="auto"/>
              <w:jc w:val="center"/>
              <w:rPr>
                <w:rFonts w:hint="eastAsia" w:ascii="仿宋" w:hAnsi="仿宋" w:eastAsia="仿宋" w:cs="仿宋"/>
                <w:b/>
                <w:bCs/>
                <w:szCs w:val="21"/>
                <w:highlight w:val="none"/>
                <w:shd w:val="clear" w:color="auto" w:fill="FFFFFF" w:themeFill="background1"/>
              </w:rPr>
            </w:pPr>
          </w:p>
        </w:tc>
        <w:tc>
          <w:tcPr>
            <w:tcW w:w="1219" w:type="dxa"/>
            <w:vAlign w:val="center"/>
          </w:tcPr>
          <w:p w14:paraId="1979093A">
            <w:pPr>
              <w:spacing w:line="360" w:lineRule="auto"/>
              <w:jc w:val="center"/>
              <w:rPr>
                <w:rFonts w:hint="eastAsia" w:ascii="仿宋" w:hAnsi="仿宋" w:eastAsia="仿宋" w:cs="仿宋"/>
                <w:b/>
                <w:bCs/>
                <w:szCs w:val="21"/>
                <w:highlight w:val="none"/>
                <w:shd w:val="clear" w:color="auto" w:fill="FFFFFF" w:themeFill="background1"/>
              </w:rPr>
            </w:pPr>
          </w:p>
        </w:tc>
      </w:tr>
      <w:tr w14:paraId="283E5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833" w:type="dxa"/>
            <w:vAlign w:val="center"/>
          </w:tcPr>
          <w:p w14:paraId="7028F70F">
            <w:pPr>
              <w:spacing w:line="360" w:lineRule="auto"/>
              <w:jc w:val="center"/>
              <w:rPr>
                <w:rFonts w:hint="eastAsia" w:ascii="仿宋" w:hAnsi="仿宋" w:eastAsia="仿宋" w:cs="仿宋"/>
                <w:b/>
                <w:bCs/>
                <w:szCs w:val="21"/>
                <w:highlight w:val="none"/>
                <w:shd w:val="clear" w:color="auto" w:fill="FFFFFF" w:themeFill="background1"/>
              </w:rPr>
            </w:pPr>
          </w:p>
        </w:tc>
        <w:tc>
          <w:tcPr>
            <w:tcW w:w="1814" w:type="dxa"/>
            <w:vAlign w:val="center"/>
          </w:tcPr>
          <w:p w14:paraId="2FC71924">
            <w:pPr>
              <w:spacing w:line="360" w:lineRule="auto"/>
              <w:jc w:val="center"/>
              <w:rPr>
                <w:rFonts w:hint="eastAsia" w:ascii="仿宋" w:hAnsi="仿宋" w:eastAsia="仿宋" w:cs="仿宋"/>
                <w:b/>
                <w:bCs/>
                <w:szCs w:val="21"/>
                <w:highlight w:val="none"/>
                <w:shd w:val="clear" w:color="auto" w:fill="FFFFFF" w:themeFill="background1"/>
              </w:rPr>
            </w:pPr>
          </w:p>
        </w:tc>
        <w:tc>
          <w:tcPr>
            <w:tcW w:w="2083" w:type="dxa"/>
            <w:vAlign w:val="center"/>
          </w:tcPr>
          <w:p w14:paraId="6FB17F3B">
            <w:pPr>
              <w:spacing w:line="360" w:lineRule="auto"/>
              <w:jc w:val="center"/>
              <w:rPr>
                <w:rFonts w:hint="eastAsia" w:ascii="仿宋" w:hAnsi="仿宋" w:eastAsia="仿宋" w:cs="仿宋"/>
                <w:b/>
                <w:bCs/>
                <w:szCs w:val="21"/>
                <w:highlight w:val="none"/>
                <w:shd w:val="clear" w:color="auto" w:fill="FFFFFF" w:themeFill="background1"/>
              </w:rPr>
            </w:pPr>
          </w:p>
        </w:tc>
        <w:tc>
          <w:tcPr>
            <w:tcW w:w="2182" w:type="dxa"/>
            <w:vAlign w:val="center"/>
          </w:tcPr>
          <w:p w14:paraId="18512335">
            <w:pPr>
              <w:spacing w:line="360" w:lineRule="auto"/>
              <w:jc w:val="center"/>
              <w:rPr>
                <w:rFonts w:hint="eastAsia" w:ascii="仿宋" w:hAnsi="仿宋" w:eastAsia="仿宋" w:cs="仿宋"/>
                <w:b/>
                <w:bCs/>
                <w:szCs w:val="21"/>
                <w:highlight w:val="none"/>
                <w:shd w:val="clear" w:color="auto" w:fill="FFFFFF" w:themeFill="background1"/>
              </w:rPr>
            </w:pPr>
          </w:p>
        </w:tc>
        <w:tc>
          <w:tcPr>
            <w:tcW w:w="1155" w:type="dxa"/>
            <w:vAlign w:val="center"/>
          </w:tcPr>
          <w:p w14:paraId="6FF00B82">
            <w:pPr>
              <w:spacing w:line="360" w:lineRule="auto"/>
              <w:jc w:val="center"/>
              <w:rPr>
                <w:rFonts w:hint="eastAsia" w:ascii="仿宋" w:hAnsi="仿宋" w:eastAsia="仿宋" w:cs="仿宋"/>
                <w:b/>
                <w:bCs/>
                <w:szCs w:val="21"/>
                <w:highlight w:val="none"/>
                <w:shd w:val="clear" w:color="auto" w:fill="FFFFFF" w:themeFill="background1"/>
              </w:rPr>
            </w:pPr>
          </w:p>
        </w:tc>
        <w:tc>
          <w:tcPr>
            <w:tcW w:w="1219" w:type="dxa"/>
            <w:vAlign w:val="center"/>
          </w:tcPr>
          <w:p w14:paraId="5BD19121">
            <w:pPr>
              <w:spacing w:line="360" w:lineRule="auto"/>
              <w:jc w:val="center"/>
              <w:rPr>
                <w:rFonts w:hint="eastAsia" w:ascii="仿宋" w:hAnsi="仿宋" w:eastAsia="仿宋" w:cs="仿宋"/>
                <w:b/>
                <w:bCs/>
                <w:szCs w:val="21"/>
                <w:highlight w:val="none"/>
                <w:shd w:val="clear" w:color="auto" w:fill="FFFFFF" w:themeFill="background1"/>
              </w:rPr>
            </w:pPr>
          </w:p>
        </w:tc>
      </w:tr>
      <w:tr w14:paraId="1826F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41040A13">
            <w:pPr>
              <w:spacing w:line="360" w:lineRule="auto"/>
              <w:jc w:val="center"/>
              <w:rPr>
                <w:rFonts w:hint="eastAsia" w:ascii="仿宋" w:hAnsi="仿宋" w:eastAsia="仿宋" w:cs="仿宋"/>
                <w:b/>
                <w:bCs/>
                <w:szCs w:val="21"/>
                <w:highlight w:val="none"/>
                <w:shd w:val="clear" w:color="auto" w:fill="FFFFFF" w:themeFill="background1"/>
              </w:rPr>
            </w:pPr>
          </w:p>
        </w:tc>
        <w:tc>
          <w:tcPr>
            <w:tcW w:w="1814" w:type="dxa"/>
            <w:vAlign w:val="center"/>
          </w:tcPr>
          <w:p w14:paraId="0E0552F7">
            <w:pPr>
              <w:spacing w:line="360" w:lineRule="auto"/>
              <w:jc w:val="center"/>
              <w:rPr>
                <w:rFonts w:hint="eastAsia" w:ascii="仿宋" w:hAnsi="仿宋" w:eastAsia="仿宋" w:cs="仿宋"/>
                <w:b/>
                <w:bCs/>
                <w:szCs w:val="21"/>
                <w:highlight w:val="none"/>
                <w:shd w:val="clear" w:color="auto" w:fill="FFFFFF" w:themeFill="background1"/>
              </w:rPr>
            </w:pPr>
          </w:p>
        </w:tc>
        <w:tc>
          <w:tcPr>
            <w:tcW w:w="2083" w:type="dxa"/>
            <w:vAlign w:val="center"/>
          </w:tcPr>
          <w:p w14:paraId="1B706A6F">
            <w:pPr>
              <w:spacing w:line="360" w:lineRule="auto"/>
              <w:jc w:val="center"/>
              <w:rPr>
                <w:rFonts w:hint="eastAsia" w:ascii="仿宋" w:hAnsi="仿宋" w:eastAsia="仿宋" w:cs="仿宋"/>
                <w:b/>
                <w:bCs/>
                <w:szCs w:val="21"/>
                <w:highlight w:val="none"/>
                <w:shd w:val="clear" w:color="auto" w:fill="FFFFFF" w:themeFill="background1"/>
              </w:rPr>
            </w:pPr>
          </w:p>
        </w:tc>
        <w:tc>
          <w:tcPr>
            <w:tcW w:w="2182" w:type="dxa"/>
            <w:vAlign w:val="center"/>
          </w:tcPr>
          <w:p w14:paraId="3DD1848F">
            <w:pPr>
              <w:spacing w:line="360" w:lineRule="auto"/>
              <w:jc w:val="center"/>
              <w:rPr>
                <w:rFonts w:hint="eastAsia" w:ascii="仿宋" w:hAnsi="仿宋" w:eastAsia="仿宋" w:cs="仿宋"/>
                <w:b/>
                <w:bCs/>
                <w:szCs w:val="21"/>
                <w:highlight w:val="none"/>
                <w:shd w:val="clear" w:color="auto" w:fill="FFFFFF" w:themeFill="background1"/>
              </w:rPr>
            </w:pPr>
          </w:p>
        </w:tc>
        <w:tc>
          <w:tcPr>
            <w:tcW w:w="1155" w:type="dxa"/>
            <w:vAlign w:val="center"/>
          </w:tcPr>
          <w:p w14:paraId="7CF74658">
            <w:pPr>
              <w:spacing w:line="360" w:lineRule="auto"/>
              <w:jc w:val="center"/>
              <w:rPr>
                <w:rFonts w:hint="eastAsia" w:ascii="仿宋" w:hAnsi="仿宋" w:eastAsia="仿宋" w:cs="仿宋"/>
                <w:b/>
                <w:bCs/>
                <w:szCs w:val="21"/>
                <w:highlight w:val="none"/>
                <w:shd w:val="clear" w:color="auto" w:fill="FFFFFF" w:themeFill="background1"/>
              </w:rPr>
            </w:pPr>
          </w:p>
        </w:tc>
        <w:tc>
          <w:tcPr>
            <w:tcW w:w="1219" w:type="dxa"/>
            <w:vAlign w:val="center"/>
          </w:tcPr>
          <w:p w14:paraId="372E905C">
            <w:pPr>
              <w:spacing w:line="360" w:lineRule="auto"/>
              <w:jc w:val="center"/>
              <w:rPr>
                <w:rFonts w:hint="eastAsia" w:ascii="仿宋" w:hAnsi="仿宋" w:eastAsia="仿宋" w:cs="仿宋"/>
                <w:b/>
                <w:bCs/>
                <w:szCs w:val="21"/>
                <w:highlight w:val="none"/>
                <w:shd w:val="clear" w:color="auto" w:fill="FFFFFF" w:themeFill="background1"/>
              </w:rPr>
            </w:pPr>
          </w:p>
        </w:tc>
      </w:tr>
    </w:tbl>
    <w:p w14:paraId="220AD476">
      <w:pPr>
        <w:spacing w:line="360" w:lineRule="auto"/>
        <w:ind w:firstLine="420" w:firstLineChars="200"/>
        <w:jc w:val="left"/>
        <w:rPr>
          <w:rFonts w:hint="eastAsia" w:ascii="仿宋" w:hAnsi="仿宋" w:eastAsia="仿宋" w:cs="仿宋"/>
          <w:sz w:val="24"/>
          <w:szCs w:val="24"/>
          <w:highlight w:val="none"/>
          <w:shd w:val="clear" w:color="auto" w:fill="FFFFFF" w:themeFill="background1"/>
        </w:rPr>
      </w:pPr>
      <w:r>
        <w:rPr>
          <w:rFonts w:hint="eastAsia" w:ascii="仿宋" w:hAnsi="仿宋" w:eastAsia="仿宋" w:cs="仿宋"/>
          <w:szCs w:val="24"/>
          <w:highlight w:val="none"/>
          <w:shd w:val="clear" w:color="auto" w:fill="FFFFFF" w:themeFill="background1"/>
        </w:rPr>
        <w:t>备注：投标人对招标文件商务条款有偏离的，应在此表中列明实际响应的内容并加以说明，以便查对。请在此偏离表“偏离”中填写无偏离或正偏离或负偏离。商务条款是指投标人须知前附表中的实质性内容。</w:t>
      </w:r>
    </w:p>
    <w:p w14:paraId="609B0BD8">
      <w:pPr>
        <w:spacing w:line="360" w:lineRule="auto"/>
        <w:ind w:firstLine="480" w:firstLineChars="200"/>
        <w:jc w:val="left"/>
        <w:rPr>
          <w:rFonts w:hint="eastAsia" w:ascii="仿宋" w:hAnsi="仿宋" w:eastAsia="仿宋" w:cs="仿宋"/>
          <w:sz w:val="24"/>
          <w:szCs w:val="24"/>
          <w:highlight w:val="none"/>
          <w:shd w:val="clear" w:color="auto" w:fill="FFFFFF" w:themeFill="background1"/>
        </w:rPr>
      </w:pPr>
    </w:p>
    <w:p w14:paraId="5D587229">
      <w:pPr>
        <w:spacing w:line="360" w:lineRule="auto"/>
        <w:ind w:firstLine="480" w:firstLineChars="200"/>
        <w:jc w:val="left"/>
        <w:rPr>
          <w:rFonts w:hint="eastAsia" w:ascii="仿宋" w:hAnsi="仿宋" w:eastAsia="仿宋" w:cs="仿宋"/>
          <w:sz w:val="24"/>
          <w:szCs w:val="24"/>
          <w:highlight w:val="none"/>
          <w:shd w:val="clear" w:color="auto" w:fill="FFFFFF" w:themeFill="background1"/>
        </w:rPr>
      </w:pPr>
    </w:p>
    <w:p w14:paraId="250D247A">
      <w:pPr>
        <w:spacing w:line="360" w:lineRule="auto"/>
        <w:jc w:val="left"/>
        <w:rPr>
          <w:rFonts w:hint="eastAsia" w:ascii="仿宋" w:hAnsi="仿宋" w:eastAsia="仿宋" w:cs="仿宋"/>
          <w:sz w:val="24"/>
          <w:szCs w:val="24"/>
          <w:highlight w:val="none"/>
          <w:shd w:val="clear" w:color="auto" w:fill="FFFFFF" w:themeFill="background1"/>
        </w:rPr>
      </w:pPr>
    </w:p>
    <w:p w14:paraId="2A41CD16">
      <w:pPr>
        <w:spacing w:line="360" w:lineRule="auto"/>
        <w:jc w:val="left"/>
        <w:rPr>
          <w:rFonts w:hint="eastAsia" w:ascii="仿宋" w:hAnsi="仿宋" w:eastAsia="仿宋" w:cs="仿宋"/>
          <w:sz w:val="24"/>
          <w:szCs w:val="24"/>
          <w:highlight w:val="none"/>
          <w:shd w:val="clear" w:color="auto" w:fill="FFFFFF" w:themeFill="background1"/>
        </w:rPr>
      </w:pPr>
    </w:p>
    <w:p w14:paraId="0DC80D98">
      <w:pPr>
        <w:spacing w:line="360" w:lineRule="auto"/>
        <w:jc w:val="left"/>
        <w:rPr>
          <w:rFonts w:hint="eastAsia" w:ascii="仿宋" w:hAnsi="仿宋" w:eastAsia="仿宋" w:cs="仿宋"/>
          <w:sz w:val="24"/>
          <w:szCs w:val="24"/>
          <w:highlight w:val="none"/>
          <w:shd w:val="clear" w:color="auto" w:fill="FFFFFF" w:themeFill="background1"/>
        </w:rPr>
      </w:pPr>
    </w:p>
    <w:p w14:paraId="442510A0">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投标人：</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（盖章）</w:t>
      </w:r>
    </w:p>
    <w:p w14:paraId="65ED7B58">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p>
    <w:p w14:paraId="360EFF1D">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法定代表人：</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（盖章）</w:t>
      </w:r>
    </w:p>
    <w:p w14:paraId="35ADDBAF">
      <w:pPr>
        <w:widowControl/>
        <w:shd w:val="clear" w:color="auto" w:fill="FFFFFF"/>
        <w:snapToGrid w:val="0"/>
        <w:spacing w:line="360" w:lineRule="auto"/>
        <w:ind w:firstLine="420"/>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 xml:space="preserve">                                               日期： 年  月  日</w:t>
      </w:r>
    </w:p>
    <w:p w14:paraId="431BC006">
      <w:pPr>
        <w:widowControl/>
        <w:spacing w:line="360" w:lineRule="auto"/>
        <w:jc w:val="left"/>
        <w:rPr>
          <w:rFonts w:hint="eastAsia" w:ascii="仿宋" w:hAnsi="仿宋" w:eastAsia="仿宋" w:cs="仿宋"/>
          <w:b/>
          <w:bCs/>
          <w:kern w:val="36"/>
          <w:sz w:val="24"/>
          <w:szCs w:val="24"/>
          <w:highlight w:val="none"/>
          <w:shd w:val="clear" w:color="auto" w:fill="FFFFFF" w:themeFill="background1"/>
        </w:rPr>
      </w:pPr>
      <w:r>
        <w:rPr>
          <w:rFonts w:hint="eastAsia" w:ascii="仿宋" w:hAnsi="仿宋" w:eastAsia="仿宋" w:cs="仿宋"/>
          <w:b/>
          <w:bCs/>
          <w:kern w:val="36"/>
          <w:sz w:val="24"/>
          <w:szCs w:val="24"/>
          <w:highlight w:val="none"/>
          <w:shd w:val="clear" w:color="auto" w:fill="FFFFFF" w:themeFill="background1"/>
        </w:rPr>
        <w:br w:type="page"/>
      </w:r>
    </w:p>
    <w:p w14:paraId="4B8E192E">
      <w:pPr>
        <w:tabs>
          <w:tab w:val="center" w:pos="4832"/>
          <w:tab w:val="left" w:pos="7140"/>
        </w:tabs>
        <w:spacing w:line="360" w:lineRule="auto"/>
        <w:jc w:val="center"/>
        <w:outlineLvl w:val="1"/>
        <w:rPr>
          <w:rFonts w:hint="eastAsia" w:ascii="仿宋" w:hAnsi="仿宋" w:eastAsia="仿宋" w:cs="仿宋"/>
          <w:kern w:val="0"/>
          <w:sz w:val="24"/>
          <w:szCs w:val="24"/>
          <w:highlight w:val="none"/>
          <w:shd w:val="clear" w:color="auto" w:fill="FFFFFF" w:themeFill="background1"/>
        </w:rPr>
      </w:pPr>
      <w:bookmarkStart w:id="517" w:name="_Toc1549"/>
      <w:bookmarkStart w:id="518" w:name="_Toc4958"/>
      <w:r>
        <w:rPr>
          <w:rFonts w:hint="eastAsia" w:ascii="仿宋" w:hAnsi="仿宋" w:eastAsia="仿宋" w:cs="仿宋"/>
          <w:b/>
          <w:sz w:val="24"/>
          <w:szCs w:val="24"/>
          <w:highlight w:val="none"/>
          <w:shd w:val="clear" w:color="auto" w:fill="FFFFFF" w:themeFill="background1"/>
        </w:rPr>
        <w:t>五、技术条款偏离表</w:t>
      </w:r>
      <w:bookmarkEnd w:id="517"/>
      <w:bookmarkEnd w:id="518"/>
    </w:p>
    <w:tbl>
      <w:tblPr>
        <w:tblStyle w:val="42"/>
        <w:tblW w:w="92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3"/>
        <w:gridCol w:w="1814"/>
        <w:gridCol w:w="2083"/>
        <w:gridCol w:w="2182"/>
        <w:gridCol w:w="1155"/>
        <w:gridCol w:w="1219"/>
      </w:tblGrid>
      <w:tr w14:paraId="1BFD0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435C3E44">
            <w:pPr>
              <w:spacing w:line="360" w:lineRule="auto"/>
              <w:jc w:val="center"/>
              <w:rPr>
                <w:rFonts w:hint="eastAsia" w:ascii="仿宋" w:hAnsi="仿宋" w:eastAsia="仿宋" w:cs="仿宋"/>
                <w:bCs/>
                <w:szCs w:val="21"/>
                <w:highlight w:val="none"/>
                <w:shd w:val="clear" w:color="auto" w:fill="FFFFFF" w:themeFill="background1"/>
              </w:rPr>
            </w:pPr>
            <w:r>
              <w:rPr>
                <w:rFonts w:hint="eastAsia" w:ascii="仿宋" w:hAnsi="仿宋" w:eastAsia="仿宋" w:cs="仿宋"/>
                <w:bCs/>
                <w:szCs w:val="21"/>
                <w:highlight w:val="none"/>
                <w:shd w:val="clear" w:color="auto" w:fill="FFFFFF" w:themeFill="background1"/>
              </w:rPr>
              <w:t>序号</w:t>
            </w:r>
          </w:p>
        </w:tc>
        <w:tc>
          <w:tcPr>
            <w:tcW w:w="1814" w:type="dxa"/>
            <w:vAlign w:val="center"/>
          </w:tcPr>
          <w:p w14:paraId="1076A5BC">
            <w:pPr>
              <w:spacing w:line="360" w:lineRule="auto"/>
              <w:jc w:val="center"/>
              <w:rPr>
                <w:rFonts w:hint="eastAsia" w:ascii="仿宋" w:hAnsi="仿宋" w:eastAsia="仿宋" w:cs="仿宋"/>
                <w:bCs/>
                <w:szCs w:val="21"/>
                <w:highlight w:val="none"/>
                <w:shd w:val="clear" w:color="auto" w:fill="FFFFFF" w:themeFill="background1"/>
              </w:rPr>
            </w:pPr>
            <w:r>
              <w:rPr>
                <w:rFonts w:hint="eastAsia" w:ascii="仿宋" w:hAnsi="仿宋" w:eastAsia="仿宋" w:cs="仿宋"/>
                <w:bCs/>
                <w:szCs w:val="21"/>
                <w:highlight w:val="none"/>
                <w:shd w:val="clear" w:color="auto" w:fill="FFFFFF" w:themeFill="background1"/>
              </w:rPr>
              <w:t>招标文件条目号</w:t>
            </w:r>
          </w:p>
        </w:tc>
        <w:tc>
          <w:tcPr>
            <w:tcW w:w="2083" w:type="dxa"/>
            <w:vAlign w:val="center"/>
          </w:tcPr>
          <w:p w14:paraId="75271D4B">
            <w:pPr>
              <w:spacing w:line="360" w:lineRule="auto"/>
              <w:jc w:val="center"/>
              <w:rPr>
                <w:rFonts w:hint="eastAsia" w:ascii="仿宋" w:hAnsi="仿宋" w:eastAsia="仿宋" w:cs="仿宋"/>
                <w:bCs/>
                <w:szCs w:val="21"/>
                <w:highlight w:val="none"/>
                <w:shd w:val="clear" w:color="auto" w:fill="FFFFFF" w:themeFill="background1"/>
              </w:rPr>
            </w:pPr>
            <w:r>
              <w:rPr>
                <w:rFonts w:hint="eastAsia" w:ascii="仿宋" w:hAnsi="仿宋" w:eastAsia="仿宋" w:cs="仿宋"/>
                <w:bCs/>
                <w:szCs w:val="21"/>
                <w:highlight w:val="none"/>
                <w:shd w:val="clear" w:color="auto" w:fill="FFFFFF" w:themeFill="background1"/>
              </w:rPr>
              <w:t>招标文件技术条款</w:t>
            </w:r>
          </w:p>
        </w:tc>
        <w:tc>
          <w:tcPr>
            <w:tcW w:w="2182" w:type="dxa"/>
            <w:vAlign w:val="center"/>
          </w:tcPr>
          <w:p w14:paraId="6996187C">
            <w:pPr>
              <w:spacing w:line="360" w:lineRule="auto"/>
              <w:jc w:val="center"/>
              <w:rPr>
                <w:rFonts w:hint="eastAsia" w:ascii="仿宋" w:hAnsi="仿宋" w:eastAsia="仿宋" w:cs="仿宋"/>
                <w:bCs/>
                <w:szCs w:val="21"/>
                <w:highlight w:val="none"/>
                <w:shd w:val="clear" w:color="auto" w:fill="FFFFFF" w:themeFill="background1"/>
              </w:rPr>
            </w:pPr>
            <w:r>
              <w:rPr>
                <w:rFonts w:hint="eastAsia" w:ascii="仿宋" w:hAnsi="仿宋" w:eastAsia="仿宋" w:cs="仿宋"/>
                <w:bCs/>
                <w:szCs w:val="21"/>
                <w:highlight w:val="none"/>
                <w:shd w:val="clear" w:color="auto" w:fill="FFFFFF" w:themeFill="background1"/>
              </w:rPr>
              <w:t>投标文件技术条款</w:t>
            </w:r>
          </w:p>
        </w:tc>
        <w:tc>
          <w:tcPr>
            <w:tcW w:w="1155" w:type="dxa"/>
            <w:vAlign w:val="center"/>
          </w:tcPr>
          <w:p w14:paraId="282D9436">
            <w:pPr>
              <w:spacing w:line="360" w:lineRule="auto"/>
              <w:jc w:val="center"/>
              <w:rPr>
                <w:rFonts w:hint="eastAsia" w:ascii="仿宋" w:hAnsi="仿宋" w:eastAsia="仿宋" w:cs="仿宋"/>
                <w:bCs/>
                <w:szCs w:val="21"/>
                <w:highlight w:val="none"/>
                <w:shd w:val="clear" w:color="auto" w:fill="FFFFFF" w:themeFill="background1"/>
              </w:rPr>
            </w:pPr>
            <w:r>
              <w:rPr>
                <w:rFonts w:hint="eastAsia" w:ascii="仿宋" w:hAnsi="仿宋" w:eastAsia="仿宋" w:cs="仿宋"/>
                <w:bCs/>
                <w:szCs w:val="21"/>
                <w:highlight w:val="none"/>
                <w:shd w:val="clear" w:color="auto" w:fill="FFFFFF" w:themeFill="background1"/>
              </w:rPr>
              <w:t>偏离</w:t>
            </w:r>
          </w:p>
        </w:tc>
        <w:tc>
          <w:tcPr>
            <w:tcW w:w="1219" w:type="dxa"/>
            <w:vAlign w:val="center"/>
          </w:tcPr>
          <w:p w14:paraId="449CF985">
            <w:pPr>
              <w:spacing w:line="360" w:lineRule="auto"/>
              <w:jc w:val="center"/>
              <w:rPr>
                <w:rFonts w:hint="eastAsia" w:ascii="仿宋" w:hAnsi="仿宋" w:eastAsia="仿宋" w:cs="仿宋"/>
                <w:bCs/>
                <w:szCs w:val="21"/>
                <w:highlight w:val="none"/>
                <w:shd w:val="clear" w:color="auto" w:fill="FFFFFF" w:themeFill="background1"/>
              </w:rPr>
            </w:pPr>
            <w:r>
              <w:rPr>
                <w:rFonts w:hint="eastAsia" w:ascii="仿宋" w:hAnsi="仿宋" w:eastAsia="仿宋" w:cs="仿宋"/>
                <w:bCs/>
                <w:szCs w:val="21"/>
                <w:highlight w:val="none"/>
                <w:shd w:val="clear" w:color="auto" w:fill="FFFFFF" w:themeFill="background1"/>
              </w:rPr>
              <w:t>说明</w:t>
            </w:r>
          </w:p>
        </w:tc>
      </w:tr>
      <w:tr w14:paraId="40A58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3201EAA7">
            <w:pPr>
              <w:spacing w:line="360" w:lineRule="auto"/>
              <w:jc w:val="center"/>
              <w:rPr>
                <w:rFonts w:hint="eastAsia" w:ascii="仿宋" w:hAnsi="仿宋" w:eastAsia="仿宋" w:cs="仿宋"/>
                <w:b/>
                <w:bCs/>
                <w:szCs w:val="21"/>
                <w:highlight w:val="none"/>
                <w:shd w:val="clear" w:color="auto" w:fill="FFFFFF" w:themeFill="background1"/>
              </w:rPr>
            </w:pPr>
          </w:p>
        </w:tc>
        <w:tc>
          <w:tcPr>
            <w:tcW w:w="1814" w:type="dxa"/>
            <w:vAlign w:val="center"/>
          </w:tcPr>
          <w:p w14:paraId="363F989C">
            <w:pPr>
              <w:spacing w:line="360" w:lineRule="auto"/>
              <w:jc w:val="center"/>
              <w:rPr>
                <w:rFonts w:hint="eastAsia" w:ascii="仿宋" w:hAnsi="仿宋" w:eastAsia="仿宋" w:cs="仿宋"/>
                <w:b/>
                <w:bCs/>
                <w:szCs w:val="21"/>
                <w:highlight w:val="none"/>
                <w:shd w:val="clear" w:color="auto" w:fill="FFFFFF" w:themeFill="background1"/>
              </w:rPr>
            </w:pPr>
          </w:p>
        </w:tc>
        <w:tc>
          <w:tcPr>
            <w:tcW w:w="2083" w:type="dxa"/>
            <w:vAlign w:val="center"/>
          </w:tcPr>
          <w:p w14:paraId="4E1B7CA8">
            <w:pPr>
              <w:spacing w:line="360" w:lineRule="auto"/>
              <w:jc w:val="center"/>
              <w:rPr>
                <w:rFonts w:hint="eastAsia" w:ascii="仿宋" w:hAnsi="仿宋" w:eastAsia="仿宋" w:cs="仿宋"/>
                <w:b/>
                <w:bCs/>
                <w:szCs w:val="21"/>
                <w:highlight w:val="none"/>
                <w:shd w:val="clear" w:color="auto" w:fill="FFFFFF" w:themeFill="background1"/>
              </w:rPr>
            </w:pPr>
          </w:p>
        </w:tc>
        <w:tc>
          <w:tcPr>
            <w:tcW w:w="2182" w:type="dxa"/>
            <w:vAlign w:val="center"/>
          </w:tcPr>
          <w:p w14:paraId="5018553E">
            <w:pPr>
              <w:spacing w:line="360" w:lineRule="auto"/>
              <w:jc w:val="center"/>
              <w:rPr>
                <w:rFonts w:hint="eastAsia" w:ascii="仿宋" w:hAnsi="仿宋" w:eastAsia="仿宋" w:cs="仿宋"/>
                <w:b/>
                <w:bCs/>
                <w:szCs w:val="21"/>
                <w:highlight w:val="none"/>
                <w:shd w:val="clear" w:color="auto" w:fill="FFFFFF" w:themeFill="background1"/>
              </w:rPr>
            </w:pPr>
          </w:p>
        </w:tc>
        <w:tc>
          <w:tcPr>
            <w:tcW w:w="1155" w:type="dxa"/>
            <w:vAlign w:val="center"/>
          </w:tcPr>
          <w:p w14:paraId="58386107">
            <w:pPr>
              <w:spacing w:line="360" w:lineRule="auto"/>
              <w:jc w:val="center"/>
              <w:rPr>
                <w:rFonts w:hint="eastAsia" w:ascii="仿宋" w:hAnsi="仿宋" w:eastAsia="仿宋" w:cs="仿宋"/>
                <w:b/>
                <w:bCs/>
                <w:szCs w:val="21"/>
                <w:highlight w:val="none"/>
                <w:shd w:val="clear" w:color="auto" w:fill="FFFFFF" w:themeFill="background1"/>
              </w:rPr>
            </w:pPr>
          </w:p>
        </w:tc>
        <w:tc>
          <w:tcPr>
            <w:tcW w:w="1219" w:type="dxa"/>
            <w:vAlign w:val="center"/>
          </w:tcPr>
          <w:p w14:paraId="391BB04E">
            <w:pPr>
              <w:spacing w:line="360" w:lineRule="auto"/>
              <w:jc w:val="center"/>
              <w:rPr>
                <w:rFonts w:hint="eastAsia" w:ascii="仿宋" w:hAnsi="仿宋" w:eastAsia="仿宋" w:cs="仿宋"/>
                <w:b/>
                <w:bCs/>
                <w:szCs w:val="21"/>
                <w:highlight w:val="none"/>
                <w:shd w:val="clear" w:color="auto" w:fill="FFFFFF" w:themeFill="background1"/>
              </w:rPr>
            </w:pPr>
          </w:p>
        </w:tc>
      </w:tr>
      <w:tr w14:paraId="2BF2B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293347C0">
            <w:pPr>
              <w:spacing w:line="360" w:lineRule="auto"/>
              <w:jc w:val="center"/>
              <w:rPr>
                <w:rFonts w:hint="eastAsia" w:ascii="仿宋" w:hAnsi="仿宋" w:eastAsia="仿宋" w:cs="仿宋"/>
                <w:b/>
                <w:bCs/>
                <w:szCs w:val="21"/>
                <w:highlight w:val="none"/>
                <w:shd w:val="clear" w:color="auto" w:fill="FFFFFF" w:themeFill="background1"/>
              </w:rPr>
            </w:pPr>
          </w:p>
        </w:tc>
        <w:tc>
          <w:tcPr>
            <w:tcW w:w="1814" w:type="dxa"/>
            <w:vAlign w:val="center"/>
          </w:tcPr>
          <w:p w14:paraId="792B4550">
            <w:pPr>
              <w:spacing w:line="360" w:lineRule="auto"/>
              <w:jc w:val="center"/>
              <w:rPr>
                <w:rFonts w:hint="eastAsia" w:ascii="仿宋" w:hAnsi="仿宋" w:eastAsia="仿宋" w:cs="仿宋"/>
                <w:b/>
                <w:bCs/>
                <w:szCs w:val="21"/>
                <w:highlight w:val="none"/>
                <w:shd w:val="clear" w:color="auto" w:fill="FFFFFF" w:themeFill="background1"/>
              </w:rPr>
            </w:pPr>
          </w:p>
        </w:tc>
        <w:tc>
          <w:tcPr>
            <w:tcW w:w="2083" w:type="dxa"/>
            <w:vAlign w:val="center"/>
          </w:tcPr>
          <w:p w14:paraId="58082103">
            <w:pPr>
              <w:spacing w:line="360" w:lineRule="auto"/>
              <w:jc w:val="center"/>
              <w:rPr>
                <w:rFonts w:hint="eastAsia" w:ascii="仿宋" w:hAnsi="仿宋" w:eastAsia="仿宋" w:cs="仿宋"/>
                <w:b/>
                <w:bCs/>
                <w:szCs w:val="21"/>
                <w:highlight w:val="none"/>
                <w:shd w:val="clear" w:color="auto" w:fill="FFFFFF" w:themeFill="background1"/>
              </w:rPr>
            </w:pPr>
          </w:p>
        </w:tc>
        <w:tc>
          <w:tcPr>
            <w:tcW w:w="2182" w:type="dxa"/>
            <w:vAlign w:val="center"/>
          </w:tcPr>
          <w:p w14:paraId="64E76338">
            <w:pPr>
              <w:spacing w:line="360" w:lineRule="auto"/>
              <w:jc w:val="center"/>
              <w:rPr>
                <w:rFonts w:hint="eastAsia" w:ascii="仿宋" w:hAnsi="仿宋" w:eastAsia="仿宋" w:cs="仿宋"/>
                <w:b/>
                <w:bCs/>
                <w:szCs w:val="21"/>
                <w:highlight w:val="none"/>
                <w:shd w:val="clear" w:color="auto" w:fill="FFFFFF" w:themeFill="background1"/>
              </w:rPr>
            </w:pPr>
          </w:p>
        </w:tc>
        <w:tc>
          <w:tcPr>
            <w:tcW w:w="1155" w:type="dxa"/>
            <w:vAlign w:val="center"/>
          </w:tcPr>
          <w:p w14:paraId="30B01A28">
            <w:pPr>
              <w:spacing w:line="360" w:lineRule="auto"/>
              <w:jc w:val="center"/>
              <w:rPr>
                <w:rFonts w:hint="eastAsia" w:ascii="仿宋" w:hAnsi="仿宋" w:eastAsia="仿宋" w:cs="仿宋"/>
                <w:b/>
                <w:bCs/>
                <w:szCs w:val="21"/>
                <w:highlight w:val="none"/>
                <w:shd w:val="clear" w:color="auto" w:fill="FFFFFF" w:themeFill="background1"/>
              </w:rPr>
            </w:pPr>
          </w:p>
        </w:tc>
        <w:tc>
          <w:tcPr>
            <w:tcW w:w="1219" w:type="dxa"/>
            <w:vAlign w:val="center"/>
          </w:tcPr>
          <w:p w14:paraId="2F5975C8">
            <w:pPr>
              <w:spacing w:line="360" w:lineRule="auto"/>
              <w:jc w:val="center"/>
              <w:rPr>
                <w:rFonts w:hint="eastAsia" w:ascii="仿宋" w:hAnsi="仿宋" w:eastAsia="仿宋" w:cs="仿宋"/>
                <w:b/>
                <w:bCs/>
                <w:szCs w:val="21"/>
                <w:highlight w:val="none"/>
                <w:shd w:val="clear" w:color="auto" w:fill="FFFFFF" w:themeFill="background1"/>
              </w:rPr>
            </w:pPr>
          </w:p>
        </w:tc>
      </w:tr>
      <w:tr w14:paraId="27C3C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5186D1BC">
            <w:pPr>
              <w:spacing w:line="360" w:lineRule="auto"/>
              <w:jc w:val="center"/>
              <w:rPr>
                <w:rFonts w:hint="eastAsia" w:ascii="仿宋" w:hAnsi="仿宋" w:eastAsia="仿宋" w:cs="仿宋"/>
                <w:b/>
                <w:bCs/>
                <w:szCs w:val="21"/>
                <w:highlight w:val="none"/>
                <w:shd w:val="clear" w:color="auto" w:fill="FFFFFF" w:themeFill="background1"/>
              </w:rPr>
            </w:pPr>
          </w:p>
        </w:tc>
        <w:tc>
          <w:tcPr>
            <w:tcW w:w="1814" w:type="dxa"/>
            <w:vAlign w:val="center"/>
          </w:tcPr>
          <w:p w14:paraId="1055E5CD">
            <w:pPr>
              <w:spacing w:line="360" w:lineRule="auto"/>
              <w:jc w:val="center"/>
              <w:rPr>
                <w:rFonts w:hint="eastAsia" w:ascii="仿宋" w:hAnsi="仿宋" w:eastAsia="仿宋" w:cs="仿宋"/>
                <w:b/>
                <w:bCs/>
                <w:szCs w:val="21"/>
                <w:highlight w:val="none"/>
                <w:shd w:val="clear" w:color="auto" w:fill="FFFFFF" w:themeFill="background1"/>
              </w:rPr>
            </w:pPr>
          </w:p>
        </w:tc>
        <w:tc>
          <w:tcPr>
            <w:tcW w:w="2083" w:type="dxa"/>
            <w:vAlign w:val="center"/>
          </w:tcPr>
          <w:p w14:paraId="76F03B5E">
            <w:pPr>
              <w:spacing w:line="360" w:lineRule="auto"/>
              <w:jc w:val="center"/>
              <w:rPr>
                <w:rFonts w:hint="eastAsia" w:ascii="仿宋" w:hAnsi="仿宋" w:eastAsia="仿宋" w:cs="仿宋"/>
                <w:b/>
                <w:bCs/>
                <w:szCs w:val="21"/>
                <w:highlight w:val="none"/>
                <w:shd w:val="clear" w:color="auto" w:fill="FFFFFF" w:themeFill="background1"/>
              </w:rPr>
            </w:pPr>
          </w:p>
        </w:tc>
        <w:tc>
          <w:tcPr>
            <w:tcW w:w="2182" w:type="dxa"/>
            <w:vAlign w:val="center"/>
          </w:tcPr>
          <w:p w14:paraId="66887258">
            <w:pPr>
              <w:spacing w:line="360" w:lineRule="auto"/>
              <w:jc w:val="center"/>
              <w:rPr>
                <w:rFonts w:hint="eastAsia" w:ascii="仿宋" w:hAnsi="仿宋" w:eastAsia="仿宋" w:cs="仿宋"/>
                <w:b/>
                <w:bCs/>
                <w:szCs w:val="21"/>
                <w:highlight w:val="none"/>
                <w:shd w:val="clear" w:color="auto" w:fill="FFFFFF" w:themeFill="background1"/>
              </w:rPr>
            </w:pPr>
          </w:p>
        </w:tc>
        <w:tc>
          <w:tcPr>
            <w:tcW w:w="1155" w:type="dxa"/>
            <w:vAlign w:val="center"/>
          </w:tcPr>
          <w:p w14:paraId="68089BF5">
            <w:pPr>
              <w:spacing w:line="360" w:lineRule="auto"/>
              <w:jc w:val="center"/>
              <w:rPr>
                <w:rFonts w:hint="eastAsia" w:ascii="仿宋" w:hAnsi="仿宋" w:eastAsia="仿宋" w:cs="仿宋"/>
                <w:b/>
                <w:bCs/>
                <w:szCs w:val="21"/>
                <w:highlight w:val="none"/>
                <w:shd w:val="clear" w:color="auto" w:fill="FFFFFF" w:themeFill="background1"/>
              </w:rPr>
            </w:pPr>
          </w:p>
        </w:tc>
        <w:tc>
          <w:tcPr>
            <w:tcW w:w="1219" w:type="dxa"/>
            <w:vAlign w:val="center"/>
          </w:tcPr>
          <w:p w14:paraId="01DE722C">
            <w:pPr>
              <w:spacing w:line="360" w:lineRule="auto"/>
              <w:jc w:val="center"/>
              <w:rPr>
                <w:rFonts w:hint="eastAsia" w:ascii="仿宋" w:hAnsi="仿宋" w:eastAsia="仿宋" w:cs="仿宋"/>
                <w:b/>
                <w:bCs/>
                <w:szCs w:val="21"/>
                <w:highlight w:val="none"/>
                <w:shd w:val="clear" w:color="auto" w:fill="FFFFFF" w:themeFill="background1"/>
              </w:rPr>
            </w:pPr>
          </w:p>
        </w:tc>
      </w:tr>
      <w:tr w14:paraId="2A1DA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22BD62E2">
            <w:pPr>
              <w:spacing w:line="360" w:lineRule="auto"/>
              <w:jc w:val="center"/>
              <w:rPr>
                <w:rFonts w:hint="eastAsia" w:ascii="仿宋" w:hAnsi="仿宋" w:eastAsia="仿宋" w:cs="仿宋"/>
                <w:b/>
                <w:bCs/>
                <w:szCs w:val="21"/>
                <w:highlight w:val="none"/>
                <w:shd w:val="clear" w:color="auto" w:fill="FFFFFF" w:themeFill="background1"/>
              </w:rPr>
            </w:pPr>
          </w:p>
        </w:tc>
        <w:tc>
          <w:tcPr>
            <w:tcW w:w="1814" w:type="dxa"/>
            <w:vAlign w:val="center"/>
          </w:tcPr>
          <w:p w14:paraId="7AAFFA09">
            <w:pPr>
              <w:spacing w:line="360" w:lineRule="auto"/>
              <w:jc w:val="center"/>
              <w:rPr>
                <w:rFonts w:hint="eastAsia" w:ascii="仿宋" w:hAnsi="仿宋" w:eastAsia="仿宋" w:cs="仿宋"/>
                <w:b/>
                <w:bCs/>
                <w:szCs w:val="21"/>
                <w:highlight w:val="none"/>
                <w:shd w:val="clear" w:color="auto" w:fill="FFFFFF" w:themeFill="background1"/>
              </w:rPr>
            </w:pPr>
          </w:p>
        </w:tc>
        <w:tc>
          <w:tcPr>
            <w:tcW w:w="2083" w:type="dxa"/>
            <w:vAlign w:val="center"/>
          </w:tcPr>
          <w:p w14:paraId="5EE0E8A3">
            <w:pPr>
              <w:spacing w:line="360" w:lineRule="auto"/>
              <w:jc w:val="center"/>
              <w:rPr>
                <w:rFonts w:hint="eastAsia" w:ascii="仿宋" w:hAnsi="仿宋" w:eastAsia="仿宋" w:cs="仿宋"/>
                <w:b/>
                <w:bCs/>
                <w:szCs w:val="21"/>
                <w:highlight w:val="none"/>
                <w:shd w:val="clear" w:color="auto" w:fill="FFFFFF" w:themeFill="background1"/>
              </w:rPr>
            </w:pPr>
          </w:p>
        </w:tc>
        <w:tc>
          <w:tcPr>
            <w:tcW w:w="2182" w:type="dxa"/>
            <w:vAlign w:val="center"/>
          </w:tcPr>
          <w:p w14:paraId="042A2580">
            <w:pPr>
              <w:spacing w:line="360" w:lineRule="auto"/>
              <w:jc w:val="center"/>
              <w:rPr>
                <w:rFonts w:hint="eastAsia" w:ascii="仿宋" w:hAnsi="仿宋" w:eastAsia="仿宋" w:cs="仿宋"/>
                <w:b/>
                <w:bCs/>
                <w:szCs w:val="21"/>
                <w:highlight w:val="none"/>
                <w:shd w:val="clear" w:color="auto" w:fill="FFFFFF" w:themeFill="background1"/>
              </w:rPr>
            </w:pPr>
          </w:p>
        </w:tc>
        <w:tc>
          <w:tcPr>
            <w:tcW w:w="1155" w:type="dxa"/>
            <w:vAlign w:val="center"/>
          </w:tcPr>
          <w:p w14:paraId="7F52DD31">
            <w:pPr>
              <w:spacing w:line="360" w:lineRule="auto"/>
              <w:jc w:val="center"/>
              <w:rPr>
                <w:rFonts w:hint="eastAsia" w:ascii="仿宋" w:hAnsi="仿宋" w:eastAsia="仿宋" w:cs="仿宋"/>
                <w:b/>
                <w:bCs/>
                <w:szCs w:val="21"/>
                <w:highlight w:val="none"/>
                <w:shd w:val="clear" w:color="auto" w:fill="FFFFFF" w:themeFill="background1"/>
              </w:rPr>
            </w:pPr>
          </w:p>
        </w:tc>
        <w:tc>
          <w:tcPr>
            <w:tcW w:w="1219" w:type="dxa"/>
            <w:vAlign w:val="center"/>
          </w:tcPr>
          <w:p w14:paraId="5DB037AF">
            <w:pPr>
              <w:spacing w:line="360" w:lineRule="auto"/>
              <w:jc w:val="center"/>
              <w:rPr>
                <w:rFonts w:hint="eastAsia" w:ascii="仿宋" w:hAnsi="仿宋" w:eastAsia="仿宋" w:cs="仿宋"/>
                <w:b/>
                <w:bCs/>
                <w:szCs w:val="21"/>
                <w:highlight w:val="none"/>
                <w:shd w:val="clear" w:color="auto" w:fill="FFFFFF" w:themeFill="background1"/>
              </w:rPr>
            </w:pPr>
          </w:p>
        </w:tc>
      </w:tr>
      <w:tr w14:paraId="35623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2DD3EFBB">
            <w:pPr>
              <w:spacing w:line="360" w:lineRule="auto"/>
              <w:jc w:val="center"/>
              <w:rPr>
                <w:rFonts w:hint="eastAsia" w:ascii="仿宋" w:hAnsi="仿宋" w:eastAsia="仿宋" w:cs="仿宋"/>
                <w:b/>
                <w:bCs/>
                <w:szCs w:val="21"/>
                <w:highlight w:val="none"/>
                <w:shd w:val="clear" w:color="auto" w:fill="FFFFFF" w:themeFill="background1"/>
              </w:rPr>
            </w:pPr>
          </w:p>
        </w:tc>
        <w:tc>
          <w:tcPr>
            <w:tcW w:w="1814" w:type="dxa"/>
            <w:vAlign w:val="center"/>
          </w:tcPr>
          <w:p w14:paraId="73C42065">
            <w:pPr>
              <w:spacing w:line="360" w:lineRule="auto"/>
              <w:jc w:val="center"/>
              <w:rPr>
                <w:rFonts w:hint="eastAsia" w:ascii="仿宋" w:hAnsi="仿宋" w:eastAsia="仿宋" w:cs="仿宋"/>
                <w:b/>
                <w:bCs/>
                <w:szCs w:val="21"/>
                <w:highlight w:val="none"/>
                <w:shd w:val="clear" w:color="auto" w:fill="FFFFFF" w:themeFill="background1"/>
              </w:rPr>
            </w:pPr>
          </w:p>
        </w:tc>
        <w:tc>
          <w:tcPr>
            <w:tcW w:w="2083" w:type="dxa"/>
            <w:vAlign w:val="center"/>
          </w:tcPr>
          <w:p w14:paraId="2B3D683D">
            <w:pPr>
              <w:spacing w:line="360" w:lineRule="auto"/>
              <w:jc w:val="center"/>
              <w:rPr>
                <w:rFonts w:hint="eastAsia" w:ascii="仿宋" w:hAnsi="仿宋" w:eastAsia="仿宋" w:cs="仿宋"/>
                <w:b/>
                <w:bCs/>
                <w:szCs w:val="21"/>
                <w:highlight w:val="none"/>
                <w:shd w:val="clear" w:color="auto" w:fill="FFFFFF" w:themeFill="background1"/>
              </w:rPr>
            </w:pPr>
          </w:p>
        </w:tc>
        <w:tc>
          <w:tcPr>
            <w:tcW w:w="2182" w:type="dxa"/>
            <w:vAlign w:val="center"/>
          </w:tcPr>
          <w:p w14:paraId="5629E59C">
            <w:pPr>
              <w:spacing w:line="360" w:lineRule="auto"/>
              <w:jc w:val="center"/>
              <w:rPr>
                <w:rFonts w:hint="eastAsia" w:ascii="仿宋" w:hAnsi="仿宋" w:eastAsia="仿宋" w:cs="仿宋"/>
                <w:b/>
                <w:bCs/>
                <w:szCs w:val="21"/>
                <w:highlight w:val="none"/>
                <w:shd w:val="clear" w:color="auto" w:fill="FFFFFF" w:themeFill="background1"/>
              </w:rPr>
            </w:pPr>
          </w:p>
        </w:tc>
        <w:tc>
          <w:tcPr>
            <w:tcW w:w="1155" w:type="dxa"/>
            <w:vAlign w:val="center"/>
          </w:tcPr>
          <w:p w14:paraId="3A2C2F7E">
            <w:pPr>
              <w:spacing w:line="360" w:lineRule="auto"/>
              <w:jc w:val="center"/>
              <w:rPr>
                <w:rFonts w:hint="eastAsia" w:ascii="仿宋" w:hAnsi="仿宋" w:eastAsia="仿宋" w:cs="仿宋"/>
                <w:b/>
                <w:bCs/>
                <w:szCs w:val="21"/>
                <w:highlight w:val="none"/>
                <w:shd w:val="clear" w:color="auto" w:fill="FFFFFF" w:themeFill="background1"/>
              </w:rPr>
            </w:pPr>
          </w:p>
        </w:tc>
        <w:tc>
          <w:tcPr>
            <w:tcW w:w="1219" w:type="dxa"/>
            <w:vAlign w:val="center"/>
          </w:tcPr>
          <w:p w14:paraId="4EA7D9C9">
            <w:pPr>
              <w:spacing w:line="360" w:lineRule="auto"/>
              <w:jc w:val="center"/>
              <w:rPr>
                <w:rFonts w:hint="eastAsia" w:ascii="仿宋" w:hAnsi="仿宋" w:eastAsia="仿宋" w:cs="仿宋"/>
                <w:b/>
                <w:bCs/>
                <w:szCs w:val="21"/>
                <w:highlight w:val="none"/>
                <w:shd w:val="clear" w:color="auto" w:fill="FFFFFF" w:themeFill="background1"/>
              </w:rPr>
            </w:pPr>
          </w:p>
        </w:tc>
      </w:tr>
    </w:tbl>
    <w:p w14:paraId="0E3AE8F3">
      <w:pPr>
        <w:spacing w:line="360" w:lineRule="auto"/>
        <w:ind w:firstLine="420" w:firstLineChars="200"/>
        <w:jc w:val="left"/>
        <w:rPr>
          <w:rFonts w:hint="eastAsia" w:ascii="仿宋" w:hAnsi="仿宋" w:eastAsia="仿宋" w:cs="仿宋"/>
          <w:sz w:val="24"/>
          <w:szCs w:val="24"/>
          <w:highlight w:val="none"/>
          <w:shd w:val="clear" w:color="auto" w:fill="FFFFFF" w:themeFill="background1"/>
        </w:rPr>
      </w:pPr>
      <w:r>
        <w:rPr>
          <w:rFonts w:hint="eastAsia" w:ascii="仿宋" w:hAnsi="仿宋" w:eastAsia="仿宋" w:cs="仿宋"/>
          <w:szCs w:val="24"/>
          <w:highlight w:val="none"/>
          <w:shd w:val="clear" w:color="auto" w:fill="FFFFFF" w:themeFill="background1"/>
        </w:rPr>
        <w:t>备注：投标人对招标文件</w:t>
      </w:r>
      <w:r>
        <w:rPr>
          <w:rFonts w:hint="eastAsia" w:ascii="仿宋" w:hAnsi="仿宋" w:eastAsia="仿宋" w:cs="仿宋"/>
          <w:bCs/>
          <w:szCs w:val="21"/>
          <w:highlight w:val="none"/>
          <w:shd w:val="clear" w:color="auto" w:fill="FFFFFF" w:themeFill="background1"/>
        </w:rPr>
        <w:t>技术</w:t>
      </w:r>
      <w:r>
        <w:rPr>
          <w:rFonts w:hint="eastAsia" w:ascii="仿宋" w:hAnsi="仿宋" w:eastAsia="仿宋" w:cs="仿宋"/>
          <w:szCs w:val="24"/>
          <w:highlight w:val="none"/>
          <w:shd w:val="clear" w:color="auto" w:fill="FFFFFF" w:themeFill="background1"/>
        </w:rPr>
        <w:t>条款有偏离的，应在此表中列明实际响应的内容并加以说明，以便查对。请在此偏离表“偏离”中填写无偏离或正偏离或负偏离。技术条款是指服务标准和要求中的实质性内容。</w:t>
      </w:r>
    </w:p>
    <w:p w14:paraId="5E4B676E">
      <w:pPr>
        <w:spacing w:line="360" w:lineRule="auto"/>
        <w:ind w:firstLine="480" w:firstLineChars="200"/>
        <w:jc w:val="left"/>
        <w:rPr>
          <w:rFonts w:hint="eastAsia" w:ascii="仿宋" w:hAnsi="仿宋" w:eastAsia="仿宋" w:cs="仿宋"/>
          <w:sz w:val="24"/>
          <w:szCs w:val="24"/>
          <w:highlight w:val="none"/>
          <w:shd w:val="clear" w:color="auto" w:fill="FFFFFF" w:themeFill="background1"/>
        </w:rPr>
      </w:pPr>
    </w:p>
    <w:p w14:paraId="428A30F9">
      <w:pPr>
        <w:spacing w:line="360" w:lineRule="auto"/>
        <w:ind w:firstLine="480" w:firstLineChars="200"/>
        <w:jc w:val="left"/>
        <w:rPr>
          <w:rFonts w:hint="eastAsia" w:ascii="仿宋" w:hAnsi="仿宋" w:eastAsia="仿宋" w:cs="仿宋"/>
          <w:sz w:val="24"/>
          <w:szCs w:val="24"/>
          <w:highlight w:val="none"/>
          <w:shd w:val="clear" w:color="auto" w:fill="FFFFFF" w:themeFill="background1"/>
        </w:rPr>
      </w:pPr>
    </w:p>
    <w:p w14:paraId="3BD5B4B3">
      <w:pPr>
        <w:spacing w:line="360" w:lineRule="auto"/>
        <w:jc w:val="left"/>
        <w:rPr>
          <w:rFonts w:hint="eastAsia" w:ascii="仿宋" w:hAnsi="仿宋" w:eastAsia="仿宋" w:cs="仿宋"/>
          <w:sz w:val="24"/>
          <w:szCs w:val="24"/>
          <w:highlight w:val="none"/>
          <w:shd w:val="clear" w:color="auto" w:fill="FFFFFF" w:themeFill="background1"/>
        </w:rPr>
      </w:pPr>
    </w:p>
    <w:p w14:paraId="1E154531">
      <w:pPr>
        <w:spacing w:line="360" w:lineRule="auto"/>
        <w:jc w:val="left"/>
        <w:rPr>
          <w:rFonts w:hint="eastAsia" w:ascii="仿宋" w:hAnsi="仿宋" w:eastAsia="仿宋" w:cs="仿宋"/>
          <w:sz w:val="24"/>
          <w:szCs w:val="24"/>
          <w:highlight w:val="none"/>
          <w:shd w:val="clear" w:color="auto" w:fill="FFFFFF" w:themeFill="background1"/>
        </w:rPr>
      </w:pPr>
    </w:p>
    <w:p w14:paraId="067A2476">
      <w:pPr>
        <w:spacing w:line="360" w:lineRule="auto"/>
        <w:jc w:val="left"/>
        <w:rPr>
          <w:rFonts w:hint="eastAsia" w:ascii="仿宋" w:hAnsi="仿宋" w:eastAsia="仿宋" w:cs="仿宋"/>
          <w:sz w:val="24"/>
          <w:szCs w:val="24"/>
          <w:highlight w:val="none"/>
          <w:shd w:val="clear" w:color="auto" w:fill="FFFFFF" w:themeFill="background1"/>
        </w:rPr>
      </w:pPr>
    </w:p>
    <w:p w14:paraId="58552C92">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投标人：</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（盖章）</w:t>
      </w:r>
    </w:p>
    <w:p w14:paraId="0783F5FB">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p>
    <w:p w14:paraId="07DD2A95">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法定代表人：</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（盖章）</w:t>
      </w:r>
    </w:p>
    <w:p w14:paraId="592807E6">
      <w:pPr>
        <w:widowControl/>
        <w:shd w:val="clear" w:color="auto" w:fill="FFFFFF"/>
        <w:snapToGrid w:val="0"/>
        <w:spacing w:line="360" w:lineRule="auto"/>
        <w:ind w:firstLine="420"/>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 xml:space="preserve">                                               日期： 年  月  日</w:t>
      </w:r>
    </w:p>
    <w:p w14:paraId="2BDB8EA7">
      <w:pPr>
        <w:tabs>
          <w:tab w:val="center" w:pos="4832"/>
          <w:tab w:val="left" w:pos="7140"/>
        </w:tabs>
        <w:spacing w:line="360" w:lineRule="auto"/>
        <w:jc w:val="center"/>
        <w:outlineLvl w:val="1"/>
        <w:rPr>
          <w:rFonts w:hint="eastAsia" w:ascii="仿宋" w:hAnsi="仿宋" w:eastAsia="仿宋" w:cs="仿宋"/>
          <w:b/>
          <w:sz w:val="24"/>
          <w:szCs w:val="24"/>
          <w:highlight w:val="none"/>
          <w:shd w:val="clear" w:color="auto" w:fill="FFFFFF" w:themeFill="background1"/>
        </w:rPr>
      </w:pPr>
      <w:r>
        <w:rPr>
          <w:rFonts w:hint="eastAsia" w:ascii="仿宋" w:hAnsi="仿宋" w:eastAsia="仿宋" w:cs="仿宋"/>
          <w:b/>
          <w:bCs/>
          <w:kern w:val="36"/>
          <w:sz w:val="24"/>
          <w:szCs w:val="24"/>
          <w:highlight w:val="none"/>
          <w:shd w:val="clear" w:color="auto" w:fill="FFFFFF" w:themeFill="background1"/>
        </w:rPr>
        <w:br w:type="page"/>
      </w:r>
      <w:bookmarkStart w:id="519" w:name="_Toc30533"/>
      <w:bookmarkStart w:id="520" w:name="_Toc31121"/>
      <w:bookmarkStart w:id="521" w:name="_Toc38446475"/>
      <w:bookmarkStart w:id="522" w:name="_Toc533503185"/>
      <w:bookmarkStart w:id="523" w:name="_Toc507586170"/>
      <w:r>
        <w:rPr>
          <w:rFonts w:hint="eastAsia" w:ascii="仿宋" w:hAnsi="仿宋" w:eastAsia="仿宋" w:cs="仿宋"/>
          <w:b/>
          <w:sz w:val="24"/>
          <w:szCs w:val="24"/>
          <w:highlight w:val="none"/>
          <w:shd w:val="clear" w:color="auto" w:fill="FFFFFF" w:themeFill="background1"/>
        </w:rPr>
        <w:t>六、法定代表人身份证明书</w:t>
      </w:r>
      <w:bookmarkEnd w:id="519"/>
      <w:bookmarkEnd w:id="520"/>
      <w:bookmarkEnd w:id="521"/>
      <w:bookmarkEnd w:id="522"/>
      <w:bookmarkEnd w:id="523"/>
    </w:p>
    <w:p w14:paraId="0FBCD186">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p>
    <w:p w14:paraId="3B8A0825">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投 标 人：</w:t>
      </w:r>
      <w:r>
        <w:rPr>
          <w:rFonts w:hint="eastAsia" w:ascii="仿宋" w:hAnsi="仿宋" w:eastAsia="仿宋" w:cs="仿宋"/>
          <w:kern w:val="0"/>
          <w:sz w:val="24"/>
          <w:szCs w:val="24"/>
          <w:highlight w:val="none"/>
          <w:u w:val="single"/>
          <w:shd w:val="clear" w:color="auto" w:fill="FFFFFF" w:themeFill="background1"/>
        </w:rPr>
        <w:t xml:space="preserve">                              </w:t>
      </w:r>
    </w:p>
    <w:p w14:paraId="008F553E">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单位性质：</w:t>
      </w:r>
      <w:r>
        <w:rPr>
          <w:rFonts w:hint="eastAsia" w:ascii="仿宋" w:hAnsi="仿宋" w:eastAsia="仿宋" w:cs="仿宋"/>
          <w:kern w:val="0"/>
          <w:sz w:val="24"/>
          <w:szCs w:val="24"/>
          <w:highlight w:val="none"/>
          <w:u w:val="single"/>
          <w:shd w:val="clear" w:color="auto" w:fill="FFFFFF" w:themeFill="background1"/>
        </w:rPr>
        <w:t xml:space="preserve">                              </w:t>
      </w:r>
    </w:p>
    <w:p w14:paraId="24DD2347">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地    址：</w:t>
      </w:r>
      <w:r>
        <w:rPr>
          <w:rFonts w:hint="eastAsia" w:ascii="仿宋" w:hAnsi="仿宋" w:eastAsia="仿宋" w:cs="仿宋"/>
          <w:kern w:val="0"/>
          <w:sz w:val="24"/>
          <w:szCs w:val="24"/>
          <w:highlight w:val="none"/>
          <w:u w:val="single"/>
          <w:shd w:val="clear" w:color="auto" w:fill="FFFFFF" w:themeFill="background1"/>
        </w:rPr>
        <w:t xml:space="preserve">                              </w:t>
      </w:r>
    </w:p>
    <w:p w14:paraId="213BB978">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成立时间：</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年</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月</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日</w:t>
      </w:r>
    </w:p>
    <w:p w14:paraId="6A3D4C6F">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经营期限：</w:t>
      </w:r>
      <w:r>
        <w:rPr>
          <w:rFonts w:hint="eastAsia" w:ascii="仿宋" w:hAnsi="仿宋" w:eastAsia="仿宋" w:cs="仿宋"/>
          <w:kern w:val="0"/>
          <w:sz w:val="24"/>
          <w:szCs w:val="24"/>
          <w:highlight w:val="none"/>
          <w:u w:val="single"/>
          <w:shd w:val="clear" w:color="auto" w:fill="FFFFFF" w:themeFill="background1"/>
        </w:rPr>
        <w:t xml:space="preserve">                              </w:t>
      </w:r>
    </w:p>
    <w:p w14:paraId="07084ED2">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p>
    <w:p w14:paraId="1DF04908">
      <w:pPr>
        <w:widowControl/>
        <w:shd w:val="clear" w:color="auto" w:fill="FFFFFF"/>
        <w:snapToGrid w:val="0"/>
        <w:spacing w:line="360" w:lineRule="auto"/>
        <w:ind w:firstLine="480" w:firstLineChars="200"/>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姓名：</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性别：</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年龄：</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职务：</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系</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（投标人名称）的法定代表人。</w:t>
      </w:r>
    </w:p>
    <w:p w14:paraId="6B0C08CE">
      <w:pPr>
        <w:widowControl/>
        <w:shd w:val="clear" w:color="auto" w:fill="FFFFFF"/>
        <w:snapToGrid w:val="0"/>
        <w:spacing w:line="360" w:lineRule="auto"/>
        <w:ind w:firstLine="480" w:firstLineChars="200"/>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特此证明。</w:t>
      </w:r>
    </w:p>
    <w:p w14:paraId="4BC0C7FE">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p>
    <w:p w14:paraId="5B874677">
      <w:pPr>
        <w:widowControl/>
        <w:shd w:val="clear" w:color="auto" w:fill="FFFFFF"/>
        <w:snapToGrid w:val="0"/>
        <w:spacing w:line="360" w:lineRule="auto"/>
        <w:ind w:firstLine="480" w:firstLineChars="200"/>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附：法定代表人身份证明</w:t>
      </w:r>
    </w:p>
    <w:p w14:paraId="31A42BB8">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p>
    <w:tbl>
      <w:tblPr>
        <w:tblStyle w:val="42"/>
        <w:tblW w:w="396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9"/>
      </w:tblGrid>
      <w:tr w14:paraId="28A61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8" w:hRule="exact"/>
        </w:trPr>
        <w:tc>
          <w:tcPr>
            <w:tcW w:w="3969" w:type="dxa"/>
            <w:vAlign w:val="center"/>
          </w:tcPr>
          <w:p w14:paraId="403124B0">
            <w:pPr>
              <w:spacing w:line="360" w:lineRule="auto"/>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法定代表人身份证复印件（正面）</w:t>
            </w:r>
          </w:p>
        </w:tc>
      </w:tr>
    </w:tbl>
    <w:p w14:paraId="473474D7">
      <w:pPr>
        <w:spacing w:line="360" w:lineRule="auto"/>
        <w:rPr>
          <w:rFonts w:hint="eastAsia" w:ascii="仿宋" w:hAnsi="仿宋" w:eastAsia="仿宋" w:cs="仿宋"/>
          <w:vanish/>
          <w:sz w:val="24"/>
          <w:szCs w:val="24"/>
          <w:highlight w:val="none"/>
          <w:shd w:val="clear" w:color="auto" w:fill="FFFFFF" w:themeFill="background1"/>
        </w:rPr>
      </w:pPr>
    </w:p>
    <w:tbl>
      <w:tblPr>
        <w:tblStyle w:val="42"/>
        <w:tblpPr w:leftFromText="180" w:rightFromText="180" w:vertAnchor="text" w:horzAnchor="page" w:tblpX="5971" w:tblpY="-2431"/>
        <w:tblW w:w="396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9"/>
      </w:tblGrid>
      <w:tr w14:paraId="75368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8" w:hRule="exact"/>
        </w:trPr>
        <w:tc>
          <w:tcPr>
            <w:tcW w:w="3969" w:type="dxa"/>
            <w:vAlign w:val="center"/>
          </w:tcPr>
          <w:p w14:paraId="2E0B4AAE">
            <w:pPr>
              <w:spacing w:line="360" w:lineRule="auto"/>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法定代表人身份证复印件（反面）</w:t>
            </w:r>
          </w:p>
        </w:tc>
      </w:tr>
    </w:tbl>
    <w:p w14:paraId="3473E597">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 xml:space="preserve">   </w:t>
      </w:r>
    </w:p>
    <w:p w14:paraId="0E9071F1">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p>
    <w:p w14:paraId="23C49042">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投标人：</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（盖章）</w:t>
      </w:r>
    </w:p>
    <w:p w14:paraId="53E76626">
      <w:pPr>
        <w:widowControl/>
        <w:shd w:val="clear" w:color="auto" w:fill="FFFFFF"/>
        <w:snapToGrid w:val="0"/>
        <w:spacing w:line="360" w:lineRule="auto"/>
        <w:jc w:val="righ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日期： 年  月  日</w:t>
      </w:r>
    </w:p>
    <w:p w14:paraId="1D0E18A1">
      <w:pPr>
        <w:widowControl/>
        <w:shd w:val="clear" w:color="auto" w:fill="FFFFFF"/>
        <w:snapToGrid w:val="0"/>
        <w:spacing w:line="360" w:lineRule="auto"/>
        <w:jc w:val="right"/>
        <w:rPr>
          <w:rFonts w:hint="eastAsia" w:ascii="仿宋" w:hAnsi="仿宋" w:eastAsia="仿宋" w:cs="仿宋"/>
          <w:kern w:val="0"/>
          <w:sz w:val="24"/>
          <w:szCs w:val="24"/>
          <w:highlight w:val="none"/>
          <w:shd w:val="clear" w:color="auto" w:fill="FFFFFF" w:themeFill="background1"/>
        </w:rPr>
      </w:pPr>
    </w:p>
    <w:p w14:paraId="4BA8AD4A">
      <w:pPr>
        <w:widowControl/>
        <w:shd w:val="clear" w:color="auto" w:fill="FFFFFF"/>
        <w:snapToGrid w:val="0"/>
        <w:spacing w:line="360" w:lineRule="auto"/>
        <w:jc w:val="right"/>
        <w:rPr>
          <w:rFonts w:hint="eastAsia" w:ascii="仿宋" w:hAnsi="仿宋" w:eastAsia="仿宋" w:cs="仿宋"/>
          <w:kern w:val="0"/>
          <w:sz w:val="24"/>
          <w:szCs w:val="24"/>
          <w:highlight w:val="none"/>
          <w:shd w:val="clear" w:color="auto" w:fill="FFFFFF" w:themeFill="background1"/>
        </w:rPr>
      </w:pPr>
    </w:p>
    <w:p w14:paraId="3A87C0B1">
      <w:pPr>
        <w:tabs>
          <w:tab w:val="center" w:pos="4832"/>
          <w:tab w:val="left" w:pos="7140"/>
        </w:tabs>
        <w:spacing w:line="360" w:lineRule="auto"/>
        <w:jc w:val="center"/>
        <w:outlineLvl w:val="1"/>
        <w:rPr>
          <w:rFonts w:hint="eastAsia" w:ascii="仿宋" w:hAnsi="仿宋" w:eastAsia="仿宋" w:cs="仿宋"/>
          <w:b/>
          <w:sz w:val="24"/>
          <w:szCs w:val="24"/>
          <w:highlight w:val="none"/>
          <w:shd w:val="clear" w:color="auto" w:fill="FFFFFF" w:themeFill="background1"/>
        </w:rPr>
      </w:pPr>
      <w:r>
        <w:rPr>
          <w:rFonts w:hint="eastAsia" w:ascii="仿宋" w:hAnsi="仿宋" w:eastAsia="仿宋" w:cs="仿宋"/>
          <w:b/>
          <w:bCs/>
          <w:kern w:val="0"/>
          <w:sz w:val="24"/>
          <w:szCs w:val="24"/>
          <w:highlight w:val="none"/>
          <w:shd w:val="clear" w:color="auto" w:fill="FFFFFF" w:themeFill="background1"/>
        </w:rPr>
        <w:br w:type="page"/>
      </w:r>
      <w:bookmarkStart w:id="524" w:name="_Toc29637"/>
      <w:bookmarkStart w:id="525" w:name="_Toc533503186"/>
      <w:bookmarkStart w:id="526" w:name="_Toc38446476"/>
      <w:bookmarkStart w:id="527" w:name="_Toc507586171"/>
      <w:bookmarkStart w:id="528" w:name="_Toc24163"/>
      <w:r>
        <w:rPr>
          <w:rFonts w:hint="eastAsia" w:ascii="仿宋" w:hAnsi="仿宋" w:eastAsia="仿宋" w:cs="仿宋"/>
          <w:b/>
          <w:sz w:val="24"/>
          <w:szCs w:val="24"/>
          <w:highlight w:val="none"/>
          <w:shd w:val="clear" w:color="auto" w:fill="FFFFFF" w:themeFill="background1"/>
        </w:rPr>
        <w:t>七、法定代表人授权委托书</w:t>
      </w:r>
      <w:bookmarkEnd w:id="524"/>
      <w:bookmarkEnd w:id="525"/>
      <w:bookmarkEnd w:id="526"/>
      <w:bookmarkEnd w:id="527"/>
      <w:bookmarkEnd w:id="528"/>
    </w:p>
    <w:p w14:paraId="583612A1">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p>
    <w:p w14:paraId="2C2EB2D4">
      <w:pPr>
        <w:widowControl/>
        <w:shd w:val="clear" w:color="auto" w:fill="FFFFFF"/>
        <w:snapToGrid w:val="0"/>
        <w:spacing w:line="360" w:lineRule="auto"/>
        <w:ind w:firstLine="480" w:firstLineChars="200"/>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本人</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（姓名）系</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 xml:space="preserve"> （投标人名称）的法定代表人，现拟派我单位</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（姓名）为我方委托代理人。委托代理人根据授权，就</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w:t>
      </w:r>
      <w:r>
        <w:rPr>
          <w:rFonts w:hint="eastAsia" w:ascii="仿宋" w:hAnsi="仿宋" w:eastAsia="仿宋" w:cs="仿宋"/>
          <w:kern w:val="0"/>
          <w:sz w:val="24"/>
          <w:szCs w:val="24"/>
          <w:highlight w:val="none"/>
          <w:shd w:val="clear" w:color="auto" w:fill="FFFFFF" w:themeFill="background1"/>
          <w:lang w:val="en-US" w:eastAsia="zh-CN"/>
        </w:rPr>
        <w:t>项目</w:t>
      </w:r>
      <w:r>
        <w:rPr>
          <w:rFonts w:hint="eastAsia" w:ascii="仿宋" w:hAnsi="仿宋" w:eastAsia="仿宋" w:cs="仿宋"/>
          <w:kern w:val="0"/>
          <w:sz w:val="24"/>
          <w:szCs w:val="24"/>
          <w:highlight w:val="none"/>
          <w:shd w:val="clear" w:color="auto" w:fill="FFFFFF" w:themeFill="background1"/>
        </w:rPr>
        <w:t>名称）的投标，以本公司名义处理一切与之有关的事务，其法律后果由我方承担。</w:t>
      </w:r>
    </w:p>
    <w:p w14:paraId="63D91008">
      <w:pPr>
        <w:widowControl/>
        <w:shd w:val="clear" w:color="auto" w:fill="FFFFFF"/>
        <w:snapToGrid w:val="0"/>
        <w:spacing w:line="360" w:lineRule="auto"/>
        <w:ind w:firstLine="480" w:firstLineChars="200"/>
        <w:jc w:val="left"/>
        <w:rPr>
          <w:rFonts w:hint="eastAsia" w:ascii="仿宋" w:hAnsi="仿宋" w:eastAsia="仿宋" w:cs="仿宋"/>
          <w:kern w:val="0"/>
          <w:sz w:val="24"/>
          <w:szCs w:val="24"/>
          <w:highlight w:val="none"/>
          <w:u w:val="single"/>
          <w:shd w:val="clear" w:color="auto" w:fill="FFFFFF" w:themeFill="background1"/>
        </w:rPr>
      </w:pPr>
      <w:r>
        <w:rPr>
          <w:rFonts w:hint="eastAsia" w:ascii="仿宋" w:hAnsi="仿宋" w:eastAsia="仿宋" w:cs="仿宋"/>
          <w:kern w:val="0"/>
          <w:sz w:val="24"/>
          <w:szCs w:val="24"/>
          <w:highlight w:val="none"/>
          <w:shd w:val="clear" w:color="auto" w:fill="FFFFFF" w:themeFill="background1"/>
        </w:rPr>
        <w:t>代理人：</w:t>
      </w:r>
      <w:r>
        <w:rPr>
          <w:rFonts w:hint="eastAsia" w:ascii="仿宋" w:hAnsi="仿宋" w:eastAsia="仿宋" w:cs="仿宋"/>
          <w:i/>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性别：</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 xml:space="preserve"> 年龄：</w:t>
      </w:r>
      <w:r>
        <w:rPr>
          <w:rFonts w:hint="eastAsia" w:ascii="仿宋" w:hAnsi="仿宋" w:eastAsia="仿宋" w:cs="仿宋"/>
          <w:kern w:val="0"/>
          <w:sz w:val="24"/>
          <w:szCs w:val="24"/>
          <w:highlight w:val="none"/>
          <w:u w:val="single"/>
          <w:shd w:val="clear" w:color="auto" w:fill="FFFFFF" w:themeFill="background1"/>
        </w:rPr>
        <w:t xml:space="preserve">                    </w:t>
      </w:r>
    </w:p>
    <w:p w14:paraId="3121C8B9">
      <w:pPr>
        <w:widowControl/>
        <w:shd w:val="clear" w:color="auto" w:fill="FFFFFF"/>
        <w:snapToGrid w:val="0"/>
        <w:spacing w:line="360" w:lineRule="auto"/>
        <w:ind w:firstLine="480" w:firstLineChars="200"/>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单  位：</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部门：</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 xml:space="preserve"> 职务：</w:t>
      </w:r>
      <w:r>
        <w:rPr>
          <w:rFonts w:hint="eastAsia" w:ascii="仿宋" w:hAnsi="仿宋" w:eastAsia="仿宋" w:cs="仿宋"/>
          <w:kern w:val="0"/>
          <w:sz w:val="24"/>
          <w:szCs w:val="24"/>
          <w:highlight w:val="none"/>
          <w:u w:val="single"/>
          <w:shd w:val="clear" w:color="auto" w:fill="FFFFFF" w:themeFill="background1"/>
        </w:rPr>
        <w:t xml:space="preserve">                    </w:t>
      </w:r>
    </w:p>
    <w:p w14:paraId="588453D3">
      <w:pPr>
        <w:widowControl/>
        <w:shd w:val="clear" w:color="auto" w:fill="FFFFFF"/>
        <w:snapToGrid w:val="0"/>
        <w:spacing w:line="360" w:lineRule="auto"/>
        <w:ind w:firstLine="480" w:firstLineChars="200"/>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代理人无转委权，特此申明。</w:t>
      </w:r>
    </w:p>
    <w:p w14:paraId="3DFBFC48">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p>
    <w:p w14:paraId="028E3566">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附：委托代理人身份证明。</w:t>
      </w:r>
    </w:p>
    <w:p w14:paraId="1B85B8A2">
      <w:pPr>
        <w:pStyle w:val="15"/>
        <w:spacing w:before="6"/>
        <w:rPr>
          <w:rFonts w:hint="eastAsia" w:ascii="仿宋" w:hAnsi="仿宋" w:eastAsia="仿宋" w:cs="仿宋"/>
          <w:sz w:val="21"/>
          <w:szCs w:val="21"/>
          <w:highlight w:val="none"/>
        </w:rPr>
      </w:pPr>
    </w:p>
    <w:p w14:paraId="7858600A">
      <w:pPr>
        <w:pStyle w:val="15"/>
        <w:rPr>
          <w:rFonts w:hint="eastAsia" w:ascii="仿宋" w:hAnsi="仿宋" w:eastAsia="仿宋" w:cs="仿宋"/>
          <w:sz w:val="21"/>
          <w:szCs w:val="21"/>
          <w:highlight w:val="none"/>
        </w:rPr>
      </w:pPr>
      <w:r>
        <w:rPr>
          <w:rFonts w:hint="eastAsia" w:ascii="仿宋" w:hAnsi="仿宋" w:eastAsia="仿宋" w:cs="仿宋"/>
          <w:highlight w:val="none"/>
        </w:rPr>
        <mc:AlternateContent>
          <mc:Choice Requires="wps">
            <w:drawing>
              <wp:anchor distT="0" distB="0" distL="114300" distR="114300" simplePos="0" relativeHeight="251661312" behindDoc="1" locked="0" layoutInCell="1" allowOverlap="1">
                <wp:simplePos x="0" y="0"/>
                <wp:positionH relativeFrom="page">
                  <wp:posOffset>1302385</wp:posOffset>
                </wp:positionH>
                <wp:positionV relativeFrom="paragraph">
                  <wp:posOffset>119380</wp:posOffset>
                </wp:positionV>
                <wp:extent cx="2240915" cy="1125855"/>
                <wp:effectExtent l="4445" t="4445" r="10795" b="13970"/>
                <wp:wrapTopAndBottom/>
                <wp:docPr id="13" name="文本框 13"/>
                <wp:cNvGraphicFramePr/>
                <a:graphic xmlns:a="http://schemas.openxmlformats.org/drawingml/2006/main">
                  <a:graphicData uri="http://schemas.microsoft.com/office/word/2010/wordprocessingShape">
                    <wps:wsp>
                      <wps:cNvSpPr txBox="1"/>
                      <wps:spPr>
                        <a:xfrm>
                          <a:off x="0" y="0"/>
                          <a:ext cx="2240915" cy="1125855"/>
                        </a:xfrm>
                        <a:prstGeom prst="rect">
                          <a:avLst/>
                        </a:prstGeom>
                        <a:noFill/>
                        <a:ln w="9525" cap="flat" cmpd="sng">
                          <a:solidFill>
                            <a:srgbClr val="000000"/>
                          </a:solidFill>
                          <a:prstDash val="solid"/>
                          <a:miter/>
                          <a:headEnd type="none" w="med" len="med"/>
                          <a:tailEnd type="none" w="med" len="med"/>
                        </a:ln>
                        <a:effectLst/>
                      </wps:spPr>
                      <wps:txbx>
                        <w:txbxContent>
                          <w:p w14:paraId="4D4DB2B1">
                            <w:pPr>
                              <w:pStyle w:val="15"/>
                              <w:autoSpaceDE w:val="0"/>
                              <w:autoSpaceDN w:val="0"/>
                              <w:ind w:firstLine="480" w:firstLineChars="200"/>
                              <w:rPr>
                                <w:rFonts w:ascii="宋体" w:hAnsi="宋体" w:cs="宋体"/>
                              </w:rPr>
                            </w:pPr>
                          </w:p>
                          <w:p w14:paraId="02281D9A">
                            <w:pPr>
                              <w:pStyle w:val="15"/>
                              <w:autoSpaceDE w:val="0"/>
                              <w:autoSpaceDN w:val="0"/>
                              <w:ind w:firstLine="480" w:firstLineChars="200"/>
                              <w:rPr>
                                <w:rFonts w:ascii="宋体" w:hAnsi="宋体" w:cs="宋体"/>
                              </w:rPr>
                            </w:pPr>
                            <w:r>
                              <w:rPr>
                                <w:rFonts w:hint="eastAsia" w:ascii="宋体" w:hAnsi="宋体" w:cs="宋体"/>
                              </w:rPr>
                              <w:t>法定代表人身份证复印件</w:t>
                            </w:r>
                          </w:p>
                          <w:p w14:paraId="6FEBE11C">
                            <w:pPr>
                              <w:pStyle w:val="15"/>
                              <w:autoSpaceDE w:val="0"/>
                              <w:autoSpaceDN w:val="0"/>
                              <w:jc w:val="center"/>
                              <w:rPr>
                                <w:rFonts w:ascii="宋体" w:hAnsi="宋体" w:cs="宋体"/>
                              </w:rPr>
                            </w:pPr>
                            <w:r>
                              <w:rPr>
                                <w:rFonts w:hint="eastAsia" w:ascii="宋体" w:hAnsi="宋体" w:cs="宋体"/>
                              </w:rPr>
                              <w:t>（正面）</w:t>
                            </w:r>
                          </w:p>
                        </w:txbxContent>
                      </wps:txbx>
                      <wps:bodyPr lIns="0" tIns="0" rIns="0" bIns="0" upright="1"/>
                    </wps:wsp>
                  </a:graphicData>
                </a:graphic>
              </wp:anchor>
            </w:drawing>
          </mc:Choice>
          <mc:Fallback>
            <w:pict>
              <v:shape id="_x0000_s1026" o:spid="_x0000_s1026" o:spt="202" type="#_x0000_t202" style="position:absolute;left:0pt;margin-left:102.55pt;margin-top:9.4pt;height:88.65pt;width:176.45pt;mso-position-horizontal-relative:page;mso-wrap-distance-bottom:0pt;mso-wrap-distance-top:0pt;z-index:-251655168;mso-width-relative:page;mso-height-relative:page;" filled="f" stroked="t" coordsize="21600,21600" o:gfxdata="UEsDBAoAAAAAAIdO4kAAAAAAAAAAAAAAAAAEAAAAZHJzL1BLAwQUAAAACACHTuJAzM1Vq9gAAAAK&#10;AQAADwAAAGRycy9kb3ducmV2LnhtbE2PwU7DMBBE70j8g7VIXBC1UylVCHF6qOCGEC2gcnTjJY4S&#10;r6PYbdq/ZznBcWeeZmeq9dkP4oRT7AJpyBYKBFITbEetho/35/sCREyGrBkCoYYLRljX11eVKW2Y&#10;aYunXWoFh1AsjQaX0lhKGRuH3sRFGJHY+w6TN4nPqZV2MjOH+0EulVpJbzriD86MuHHY9Luj19C/&#10;urft/mXz1dxJ7Nv5U+2Ly5PWtzeZegSR8Jz+YPitz9Wh5k6HcCQbxaBhqfKMUTYKnsBAnhc87sDC&#10;wyoDWVfy/4T6B1BLAwQUAAAACACHTuJAiEp5pRkCAABCBAAADgAAAGRycy9lMm9Eb2MueG1srVPN&#10;jtMwEL4j8Q6W72zaQNFu1HQlKIuQECAtPIDrTBJL/pPHbdIXgDfgxIU7z9XnYOy0ZVkuPZBD8mVm&#10;/M3MN+Pl7Wg020FA5WzN51czzsBK1yjb1fzL57tn15xhFLYR2lmo+R6Q366ePlkOvoLS9U43EBiR&#10;WKwGX/M+Rl8VBcoejMAr58GSs3XBiEi/oSuaIAZiN7ooZ7OXxeBC44OTgEjW9eTkR8ZwCaFrWyVh&#10;7eTWgI0TawAtIrWEvfLIV7natgUZP7YtQmS65tRpzG9KQniT3sVqKaouCN8reSxBXFLCo56MUJaS&#10;nqnWIgq2DeofKqNkcOjaeCWdKaZGsiLUxXz2SJv7XnjIvZDU6M+i4/+jlR92nwJTDW3Cc86sMDTx&#10;w/dvhx+/Dj+/MrKRQIPHiuLuPUXG8ZUbKfhkRzKmvsc2mPSljhj5Sd79WV4YI5NkLMsXs5v5gjNJ&#10;vvm8XFwvFomn+HPcB4xvwRmWQM0DzS/LKnbvMU6hp5CUzbo7pXWeobZsqPnNokz8gvaypX0gaDz1&#10;hrbLNOi0atKRdBhDt3mtA9uJtBv5OVbzV1jKtxbYT3HZlcJEZVSEkFEPonljGxb3nuSzdG14KsZA&#10;w5kGumUJ5cgolL4kkiTRNiWBvMPH5tMgJsETiuNmJNIEN67Z03D0O0urkdb8BMIJbE5g64PqetI2&#10;j7BIp2m18hCO1yDt7sN/wg+v/u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M1Vq9gAAAAKAQAA&#10;DwAAAAAAAAABACAAAAAiAAAAZHJzL2Rvd25yZXYueG1sUEsBAhQAFAAAAAgAh07iQIhKeaUZAgAA&#10;QgQAAA4AAAAAAAAAAQAgAAAAJwEAAGRycy9lMm9Eb2MueG1sUEsFBgAAAAAGAAYAWQEAALIFAAAA&#10;AA==&#10;">
                <v:fill on="f" focussize="0,0"/>
                <v:stroke color="#000000" joinstyle="miter"/>
                <v:imagedata o:title=""/>
                <o:lock v:ext="edit" aspectratio="f"/>
                <v:textbox inset="0mm,0mm,0mm,0mm">
                  <w:txbxContent>
                    <w:p w14:paraId="4D4DB2B1">
                      <w:pPr>
                        <w:pStyle w:val="15"/>
                        <w:autoSpaceDE w:val="0"/>
                        <w:autoSpaceDN w:val="0"/>
                        <w:ind w:firstLine="480" w:firstLineChars="200"/>
                        <w:rPr>
                          <w:rFonts w:ascii="宋体" w:hAnsi="宋体" w:cs="宋体"/>
                        </w:rPr>
                      </w:pPr>
                    </w:p>
                    <w:p w14:paraId="02281D9A">
                      <w:pPr>
                        <w:pStyle w:val="15"/>
                        <w:autoSpaceDE w:val="0"/>
                        <w:autoSpaceDN w:val="0"/>
                        <w:ind w:firstLine="480" w:firstLineChars="200"/>
                        <w:rPr>
                          <w:rFonts w:ascii="宋体" w:hAnsi="宋体" w:cs="宋体"/>
                        </w:rPr>
                      </w:pPr>
                      <w:r>
                        <w:rPr>
                          <w:rFonts w:hint="eastAsia" w:ascii="宋体" w:hAnsi="宋体" w:cs="宋体"/>
                        </w:rPr>
                        <w:t>法定代表人身份证复印件</w:t>
                      </w:r>
                    </w:p>
                    <w:p w14:paraId="6FEBE11C">
                      <w:pPr>
                        <w:pStyle w:val="15"/>
                        <w:autoSpaceDE w:val="0"/>
                        <w:autoSpaceDN w:val="0"/>
                        <w:jc w:val="center"/>
                        <w:rPr>
                          <w:rFonts w:ascii="宋体" w:hAnsi="宋体" w:cs="宋体"/>
                        </w:rPr>
                      </w:pPr>
                      <w:r>
                        <w:rPr>
                          <w:rFonts w:hint="eastAsia" w:ascii="宋体" w:hAnsi="宋体" w:cs="宋体"/>
                        </w:rPr>
                        <w:t>（正面）</w:t>
                      </w:r>
                    </w:p>
                  </w:txbxContent>
                </v:textbox>
                <w10:wrap type="topAndBottom"/>
              </v:shape>
            </w:pict>
          </mc:Fallback>
        </mc:AlternateContent>
      </w:r>
      <w:r>
        <w:rPr>
          <w:rFonts w:hint="eastAsia" w:ascii="仿宋" w:hAnsi="仿宋" w:eastAsia="仿宋" w:cs="仿宋"/>
          <w:highlight w:val="none"/>
        </w:rPr>
        <mc:AlternateContent>
          <mc:Choice Requires="wps">
            <w:drawing>
              <wp:anchor distT="0" distB="0" distL="114300" distR="114300" simplePos="0" relativeHeight="251662336" behindDoc="1" locked="0" layoutInCell="1" allowOverlap="1">
                <wp:simplePos x="0" y="0"/>
                <wp:positionH relativeFrom="page">
                  <wp:posOffset>3790315</wp:posOffset>
                </wp:positionH>
                <wp:positionV relativeFrom="paragraph">
                  <wp:posOffset>121285</wp:posOffset>
                </wp:positionV>
                <wp:extent cx="2240915" cy="1125855"/>
                <wp:effectExtent l="4445" t="4445" r="10795" b="13970"/>
                <wp:wrapTopAndBottom/>
                <wp:docPr id="14" name="文本框 14"/>
                <wp:cNvGraphicFramePr/>
                <a:graphic xmlns:a="http://schemas.openxmlformats.org/drawingml/2006/main">
                  <a:graphicData uri="http://schemas.microsoft.com/office/word/2010/wordprocessingShape">
                    <wps:wsp>
                      <wps:cNvSpPr txBox="1"/>
                      <wps:spPr>
                        <a:xfrm>
                          <a:off x="0" y="0"/>
                          <a:ext cx="2240915" cy="1125855"/>
                        </a:xfrm>
                        <a:prstGeom prst="rect">
                          <a:avLst/>
                        </a:prstGeom>
                        <a:noFill/>
                        <a:ln w="9525" cap="flat" cmpd="sng">
                          <a:solidFill>
                            <a:srgbClr val="000000"/>
                          </a:solidFill>
                          <a:prstDash val="solid"/>
                          <a:miter/>
                          <a:headEnd type="none" w="med" len="med"/>
                          <a:tailEnd type="none" w="med" len="med"/>
                        </a:ln>
                        <a:effectLst/>
                      </wps:spPr>
                      <wps:txbx>
                        <w:txbxContent>
                          <w:p w14:paraId="16EDFF29">
                            <w:pPr>
                              <w:pStyle w:val="15"/>
                              <w:ind w:left="417" w:right="416"/>
                              <w:jc w:val="center"/>
                              <w:rPr>
                                <w:rFonts w:ascii="宋体" w:hAnsi="宋体" w:cs="宋体"/>
                              </w:rPr>
                            </w:pPr>
                          </w:p>
                          <w:p w14:paraId="30A0460F">
                            <w:pPr>
                              <w:pStyle w:val="15"/>
                              <w:ind w:left="417" w:right="416"/>
                              <w:jc w:val="center"/>
                              <w:rPr>
                                <w:rFonts w:ascii="宋体" w:hAnsi="宋体" w:cs="宋体"/>
                              </w:rPr>
                            </w:pPr>
                            <w:r>
                              <w:rPr>
                                <w:rFonts w:hint="eastAsia" w:ascii="宋体" w:hAnsi="宋体" w:cs="宋体"/>
                              </w:rPr>
                              <w:t>授权代表身份证复印件</w:t>
                            </w:r>
                          </w:p>
                          <w:p w14:paraId="3315AFC5">
                            <w:pPr>
                              <w:pStyle w:val="15"/>
                              <w:spacing w:before="2"/>
                              <w:ind w:left="417" w:right="416"/>
                              <w:jc w:val="center"/>
                              <w:rPr>
                                <w:rFonts w:ascii="宋体" w:hAnsi="宋体" w:cs="宋体"/>
                              </w:rPr>
                            </w:pPr>
                            <w:r>
                              <w:rPr>
                                <w:rFonts w:hint="eastAsia" w:ascii="宋体" w:hAnsi="宋体" w:cs="宋体"/>
                              </w:rPr>
                              <w:t>（正面）</w:t>
                            </w:r>
                          </w:p>
                        </w:txbxContent>
                      </wps:txbx>
                      <wps:bodyPr lIns="0" tIns="0" rIns="0" bIns="0" upright="1"/>
                    </wps:wsp>
                  </a:graphicData>
                </a:graphic>
              </wp:anchor>
            </w:drawing>
          </mc:Choice>
          <mc:Fallback>
            <w:pict>
              <v:shape id="_x0000_s1026" o:spid="_x0000_s1026" o:spt="202" type="#_x0000_t202" style="position:absolute;left:0pt;margin-left:298.45pt;margin-top:9.55pt;height:88.65pt;width:176.45pt;mso-position-horizontal-relative:page;mso-wrap-distance-bottom:0pt;mso-wrap-distance-top:0pt;z-index:-251654144;mso-width-relative:page;mso-height-relative:page;" filled="f" stroked="t" coordsize="21600,21600" o:gfxdata="UEsDBAoAAAAAAIdO4kAAAAAAAAAAAAAAAAAEAAAAZHJzL1BLAwQUAAAACACHTuJANBeT4tkAAAAK&#10;AQAADwAAAGRycy9kb3ducmV2LnhtbE2PwU7DMBBE70j8g7VIXBC1g9qoDnF6qOCGEC2gcnTjJY4S&#10;21HsNu3fsz2V4848zc6Uq5Pr2RHH2AavIJsJYOjrYFrfKPj6fH1cAotJe6P74FHBGSOsqtubUhcm&#10;TH6Dx21qGIX4WGgFNqWh4DzWFp2OszCgJ+83jE4nOseGm1FPFO56/iREzp1uPX2wesC1xbrbHpyC&#10;7t1+bHZv65/6gWPXTN9itzy/KHV/l4lnYAlP6QrDpT5Vh4o67cPBm8h6BQuZS0LJkBkwAuRc0pb9&#10;RcjnwKuS/59Q/QFQSwMEFAAAAAgAh07iQLM+2sIZAgAAQgQAAA4AAABkcnMvZTJvRG9jLnhtbK1T&#10;zY7TMBC+I/EOlu80bbRFu1HTlaAsQkKAtPAArjNJLPlPHrdJXwDegBMX7jzXPgdjpy3LcumBHJIv&#10;M+NvZr4Zr25Ho9keAipna76YzTkDK12jbFfzL5/vXlxzhlHYRmhnoeYHQH67fv5sNfgKStc73UBg&#10;RGKxGnzN+xh9VRQoezACZ86DJWfrghGRfkNXNEEMxG50Uc7nL4vBhcYHJwGRrJvJyY+M4RJC17ZK&#10;wsbJnQEbJ9YAWkRqCXvlka9ztW0LMn5sW4TIdM2p05jflITwNr2L9UpUXRC+V/JYgrikhCc9GaEs&#10;JT1TbUQUbBfUP1RGyeDQtXEmnSmmRrIi1MVi/kSb+154yL2Q1OjPouP/o5Uf9p8CUw1twhVnVhia&#10;+MP3bw8/fj38/MrIRgINHiuKu/cUGcdXbqTgkx3JmPoe22DSlzpi5Cd5D2d5YYxMkrEsr+Y3iyVn&#10;knyLRbm8Xi4TT/HnuA8Y34IzLIGaB5pfllXs32OcQk8hKZt1d0rrPENt2VDzm2WZ+AXtZUv7QNB4&#10;6g1tl2nQadWkI+kwhm77Wge2F2k38nOs5q+wlG8jsJ/isiuFicqoCCGjHkTzxjYsHjzJZ+na8FSM&#10;gYYzDXTLEsqRUSh9SSRJom1KAnmHj82nQUyCJxTH7UikCW5dc6Dh6HeWViOt+QmEE9iewM4H1fWk&#10;bR5hkU7TauUhHK9B2t3H/4QfX/3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QXk+LZAAAACgEA&#10;AA8AAAAAAAAAAQAgAAAAIgAAAGRycy9kb3ducmV2LnhtbFBLAQIUABQAAAAIAIdO4kCzPtrCGQIA&#10;AEIEAAAOAAAAAAAAAAEAIAAAACgBAABkcnMvZTJvRG9jLnhtbFBLBQYAAAAABgAGAFkBAACzBQAA&#10;AAA=&#10;">
                <v:fill on="f" focussize="0,0"/>
                <v:stroke color="#000000" joinstyle="miter"/>
                <v:imagedata o:title=""/>
                <o:lock v:ext="edit" aspectratio="f"/>
                <v:textbox inset="0mm,0mm,0mm,0mm">
                  <w:txbxContent>
                    <w:p w14:paraId="16EDFF29">
                      <w:pPr>
                        <w:pStyle w:val="15"/>
                        <w:ind w:left="417" w:right="416"/>
                        <w:jc w:val="center"/>
                        <w:rPr>
                          <w:rFonts w:ascii="宋体" w:hAnsi="宋体" w:cs="宋体"/>
                        </w:rPr>
                      </w:pPr>
                    </w:p>
                    <w:p w14:paraId="30A0460F">
                      <w:pPr>
                        <w:pStyle w:val="15"/>
                        <w:ind w:left="417" w:right="416"/>
                        <w:jc w:val="center"/>
                        <w:rPr>
                          <w:rFonts w:ascii="宋体" w:hAnsi="宋体" w:cs="宋体"/>
                        </w:rPr>
                      </w:pPr>
                      <w:r>
                        <w:rPr>
                          <w:rFonts w:hint="eastAsia" w:ascii="宋体" w:hAnsi="宋体" w:cs="宋体"/>
                        </w:rPr>
                        <w:t>授权代表身份证复印件</w:t>
                      </w:r>
                    </w:p>
                    <w:p w14:paraId="3315AFC5">
                      <w:pPr>
                        <w:pStyle w:val="15"/>
                        <w:spacing w:before="2"/>
                        <w:ind w:left="417" w:right="416"/>
                        <w:jc w:val="center"/>
                        <w:rPr>
                          <w:rFonts w:ascii="宋体" w:hAnsi="宋体" w:cs="宋体"/>
                        </w:rPr>
                      </w:pPr>
                      <w:r>
                        <w:rPr>
                          <w:rFonts w:hint="eastAsia" w:ascii="宋体" w:hAnsi="宋体" w:cs="宋体"/>
                        </w:rPr>
                        <w:t>（正面）</w:t>
                      </w:r>
                    </w:p>
                  </w:txbxContent>
                </v:textbox>
                <w10:wrap type="topAndBottom"/>
              </v:shape>
            </w:pict>
          </mc:Fallback>
        </mc:AlternateContent>
      </w:r>
      <w:r>
        <w:rPr>
          <w:rFonts w:hint="eastAsia" w:ascii="仿宋" w:hAnsi="仿宋" w:eastAsia="仿宋" w:cs="仿宋"/>
          <w:highlight w:val="none"/>
        </w:rPr>
        <mc:AlternateContent>
          <mc:Choice Requires="wps">
            <w:drawing>
              <wp:anchor distT="0" distB="0" distL="114300" distR="114300" simplePos="0" relativeHeight="251663360" behindDoc="1" locked="0" layoutInCell="1" allowOverlap="1">
                <wp:simplePos x="0" y="0"/>
                <wp:positionH relativeFrom="page">
                  <wp:posOffset>1302385</wp:posOffset>
                </wp:positionH>
                <wp:positionV relativeFrom="paragraph">
                  <wp:posOffset>1513840</wp:posOffset>
                </wp:positionV>
                <wp:extent cx="2240915" cy="1125855"/>
                <wp:effectExtent l="4445" t="4445" r="10795" b="13970"/>
                <wp:wrapTopAndBottom/>
                <wp:docPr id="11" name="文本框 11"/>
                <wp:cNvGraphicFramePr/>
                <a:graphic xmlns:a="http://schemas.openxmlformats.org/drawingml/2006/main">
                  <a:graphicData uri="http://schemas.microsoft.com/office/word/2010/wordprocessingShape">
                    <wps:wsp>
                      <wps:cNvSpPr txBox="1"/>
                      <wps:spPr>
                        <a:xfrm>
                          <a:off x="0" y="0"/>
                          <a:ext cx="2240915" cy="1125855"/>
                        </a:xfrm>
                        <a:prstGeom prst="rect">
                          <a:avLst/>
                        </a:prstGeom>
                        <a:noFill/>
                        <a:ln w="9525" cap="flat" cmpd="sng">
                          <a:solidFill>
                            <a:srgbClr val="000000"/>
                          </a:solidFill>
                          <a:prstDash val="solid"/>
                          <a:miter/>
                          <a:headEnd type="none" w="med" len="med"/>
                          <a:tailEnd type="none" w="med" len="med"/>
                        </a:ln>
                        <a:effectLst/>
                      </wps:spPr>
                      <wps:txbx>
                        <w:txbxContent>
                          <w:p w14:paraId="3DB49F97">
                            <w:pPr>
                              <w:pStyle w:val="15"/>
                              <w:rPr>
                                <w:rFonts w:ascii="宋体" w:hAnsi="宋体" w:cs="宋体"/>
                              </w:rPr>
                            </w:pPr>
                          </w:p>
                          <w:p w14:paraId="5C71F3AA">
                            <w:pPr>
                              <w:pStyle w:val="15"/>
                              <w:ind w:left="417" w:right="417"/>
                              <w:jc w:val="center"/>
                              <w:rPr>
                                <w:rFonts w:ascii="宋体" w:hAnsi="宋体" w:cs="宋体"/>
                              </w:rPr>
                            </w:pPr>
                            <w:r>
                              <w:rPr>
                                <w:rFonts w:hint="eastAsia" w:ascii="宋体" w:hAnsi="宋体" w:cs="宋体"/>
                              </w:rPr>
                              <w:t>法定代表人身份证复印件</w:t>
                            </w:r>
                          </w:p>
                          <w:p w14:paraId="74596F9F">
                            <w:pPr>
                              <w:pStyle w:val="15"/>
                              <w:spacing w:before="8"/>
                              <w:ind w:left="417" w:right="416"/>
                              <w:jc w:val="center"/>
                              <w:rPr>
                                <w:rFonts w:ascii="宋体" w:hAnsi="宋体" w:cs="宋体"/>
                              </w:rPr>
                            </w:pPr>
                            <w:r>
                              <w:rPr>
                                <w:rFonts w:hint="eastAsia" w:ascii="宋体" w:hAnsi="宋体" w:cs="宋体"/>
                              </w:rPr>
                              <w:t>（反面）</w:t>
                            </w:r>
                          </w:p>
                        </w:txbxContent>
                      </wps:txbx>
                      <wps:bodyPr lIns="0" tIns="0" rIns="0" bIns="0" upright="1"/>
                    </wps:wsp>
                  </a:graphicData>
                </a:graphic>
              </wp:anchor>
            </w:drawing>
          </mc:Choice>
          <mc:Fallback>
            <w:pict>
              <v:shape id="_x0000_s1026" o:spid="_x0000_s1026" o:spt="202" type="#_x0000_t202" style="position:absolute;left:0pt;margin-left:102.55pt;margin-top:119.2pt;height:88.65pt;width:176.45pt;mso-position-horizontal-relative:page;mso-wrap-distance-bottom:0pt;mso-wrap-distance-top:0pt;z-index:-251653120;mso-width-relative:page;mso-height-relative:page;" filled="f" stroked="t" coordsize="21600,21600" o:gfxdata="UEsDBAoAAAAAAIdO4kAAAAAAAAAAAAAAAAAEAAAAZHJzL1BLAwQUAAAACACHTuJA1N0TntsAAAAL&#10;AQAADwAAAGRycy9kb3ducmV2LnhtbE2PwU7DMAyG70i8Q2QkLoglHStUpekOE9wQ2gZoHLPWNFUb&#10;p2qydXv7mRPcbPnT7+8vlifXiyOOofWkIZkpEEiVr1tqNHx+vN5nIEI0VJveE2o4Y4BleX1VmLz2&#10;E23wuI2N4BAKudFgYxxyKUNl0Zkw8wMS33786EzkdWxkPZqJw10v50o9Smda4g/WDLiyWHXbg9PQ&#10;vdv1Zve2+q7uJHbN9KV22flF69ubRD2DiHiKfzD86rM6lOy09weqg+g1zFWaMMrDQ7YAwUSaZtxu&#10;r2GRpE8gy0L+71BeAFBLAwQUAAAACACHTuJAQgS4ihkCAABCBAAADgAAAGRycy9lMm9Eb2MueG1s&#10;rVPNjtMwEL4j8Q6W7zRNRNFu1HQlKIuQECAtPIBrTxJL/pPtNukLwBtw4sKd5+pz7Nhpy7J76WFz&#10;SL7MjL+Z+Wa8vBm1IjvwQVrT0HI2pwQMt0KarqHfv92+uqIkRGYEU9ZAQ/cQ6M3q5Yvl4GqobG+V&#10;AE+QxIR6cA3tY3R1UQTeg2ZhZh0YdLbWaxbx13eF8GxAdq2Kaj5/UwzWC+cthxDQup6c9MjoLyG0&#10;bSs5rC3fajBxYvWgWMSWQi9doKtcbdsCj1/aNkAkqqHYacxvTIJ4k97FasnqzjPXS34sgV1SwqOe&#10;NJMGk56p1iwysvXyCZWW3Ntg2zjjVhdTI1kR7KKcP9LmrmcOci8odXBn0cPz0fLPu6+eSIGbUFJi&#10;mMaJH379PPz+e/jzg6ANBRpcqDHuzmFkHN/aEYNP9oDG1PfYep2+2BFBP8q7P8sLYyQcjVX1en5d&#10;Lijh6CvLanG1WCSe4t9x50P8AFaTBBrqcX5ZVrb7FOIUegpJ2Yy9lUrlGSpDhoZeL6rEz3AvW9wH&#10;hNphb8F0mSZYJUU6kg4H323eKU92LO1Gfo7V/BeW8q1Z6Ke47EphrNYygs+oBybeG0Hi3qF8Bq8N&#10;TcVoEJQowFuWUI6MTKpLIlESZVISyDt8bD4NYhI8oThuRiRNcGPFHoejPhpcjbTmJ+BPYHMCW+dl&#10;16O2eYRFOo2rlYdwvAZpdx/+I3549Vf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N0TntsAAAAL&#10;AQAADwAAAAAAAAABACAAAAAiAAAAZHJzL2Rvd25yZXYueG1sUEsBAhQAFAAAAAgAh07iQEIEuIoZ&#10;AgAAQgQAAA4AAAAAAAAAAQAgAAAAKgEAAGRycy9lMm9Eb2MueG1sUEsFBgAAAAAGAAYAWQEAALUF&#10;AAAAAA==&#10;">
                <v:fill on="f" focussize="0,0"/>
                <v:stroke color="#000000" joinstyle="miter"/>
                <v:imagedata o:title=""/>
                <o:lock v:ext="edit" aspectratio="f"/>
                <v:textbox inset="0mm,0mm,0mm,0mm">
                  <w:txbxContent>
                    <w:p w14:paraId="3DB49F97">
                      <w:pPr>
                        <w:pStyle w:val="15"/>
                        <w:rPr>
                          <w:rFonts w:ascii="宋体" w:hAnsi="宋体" w:cs="宋体"/>
                        </w:rPr>
                      </w:pPr>
                    </w:p>
                    <w:p w14:paraId="5C71F3AA">
                      <w:pPr>
                        <w:pStyle w:val="15"/>
                        <w:ind w:left="417" w:right="417"/>
                        <w:jc w:val="center"/>
                        <w:rPr>
                          <w:rFonts w:ascii="宋体" w:hAnsi="宋体" w:cs="宋体"/>
                        </w:rPr>
                      </w:pPr>
                      <w:r>
                        <w:rPr>
                          <w:rFonts w:hint="eastAsia" w:ascii="宋体" w:hAnsi="宋体" w:cs="宋体"/>
                        </w:rPr>
                        <w:t>法定代表人身份证复印件</w:t>
                      </w:r>
                    </w:p>
                    <w:p w14:paraId="74596F9F">
                      <w:pPr>
                        <w:pStyle w:val="15"/>
                        <w:spacing w:before="8"/>
                        <w:ind w:left="417" w:right="416"/>
                        <w:jc w:val="center"/>
                        <w:rPr>
                          <w:rFonts w:ascii="宋体" w:hAnsi="宋体" w:cs="宋体"/>
                        </w:rPr>
                      </w:pPr>
                      <w:r>
                        <w:rPr>
                          <w:rFonts w:hint="eastAsia" w:ascii="宋体" w:hAnsi="宋体" w:cs="宋体"/>
                        </w:rPr>
                        <w:t>（反面）</w:t>
                      </w:r>
                    </w:p>
                  </w:txbxContent>
                </v:textbox>
                <w10:wrap type="topAndBottom"/>
              </v:shape>
            </w:pict>
          </mc:Fallback>
        </mc:AlternateContent>
      </w:r>
      <w:r>
        <w:rPr>
          <w:rFonts w:hint="eastAsia" w:ascii="仿宋" w:hAnsi="仿宋" w:eastAsia="仿宋" w:cs="仿宋"/>
          <w:highlight w:val="none"/>
        </w:rPr>
        <mc:AlternateContent>
          <mc:Choice Requires="wps">
            <w:drawing>
              <wp:anchor distT="0" distB="0" distL="114300" distR="114300" simplePos="0" relativeHeight="251664384" behindDoc="1" locked="0" layoutInCell="1" allowOverlap="1">
                <wp:simplePos x="0" y="0"/>
                <wp:positionH relativeFrom="page">
                  <wp:posOffset>3790315</wp:posOffset>
                </wp:positionH>
                <wp:positionV relativeFrom="paragraph">
                  <wp:posOffset>1515745</wp:posOffset>
                </wp:positionV>
                <wp:extent cx="2240915" cy="1125855"/>
                <wp:effectExtent l="4445" t="4445" r="10795" b="13970"/>
                <wp:wrapTopAndBottom/>
                <wp:docPr id="12" name="文本框 12"/>
                <wp:cNvGraphicFramePr/>
                <a:graphic xmlns:a="http://schemas.openxmlformats.org/drawingml/2006/main">
                  <a:graphicData uri="http://schemas.microsoft.com/office/word/2010/wordprocessingShape">
                    <wps:wsp>
                      <wps:cNvSpPr txBox="1"/>
                      <wps:spPr>
                        <a:xfrm>
                          <a:off x="0" y="0"/>
                          <a:ext cx="2240915" cy="1125855"/>
                        </a:xfrm>
                        <a:prstGeom prst="rect">
                          <a:avLst/>
                        </a:prstGeom>
                        <a:noFill/>
                        <a:ln w="9525" cap="flat" cmpd="sng">
                          <a:solidFill>
                            <a:srgbClr val="000000"/>
                          </a:solidFill>
                          <a:prstDash val="solid"/>
                          <a:miter/>
                          <a:headEnd type="none" w="med" len="med"/>
                          <a:tailEnd type="none" w="med" len="med"/>
                        </a:ln>
                        <a:effectLst/>
                      </wps:spPr>
                      <wps:txbx>
                        <w:txbxContent>
                          <w:p w14:paraId="090BEDD4">
                            <w:pPr>
                              <w:pStyle w:val="15"/>
                              <w:rPr>
                                <w:rFonts w:ascii="宋体" w:hAnsi="宋体" w:cs="宋体"/>
                              </w:rPr>
                            </w:pPr>
                          </w:p>
                          <w:p w14:paraId="5FD03EF5">
                            <w:pPr>
                              <w:pStyle w:val="15"/>
                              <w:ind w:left="417" w:right="416"/>
                              <w:jc w:val="center"/>
                              <w:rPr>
                                <w:rFonts w:ascii="宋体" w:hAnsi="宋体" w:cs="宋体"/>
                              </w:rPr>
                            </w:pPr>
                            <w:r>
                              <w:rPr>
                                <w:rFonts w:hint="eastAsia" w:ascii="宋体" w:hAnsi="宋体" w:cs="宋体"/>
                              </w:rPr>
                              <w:t>授权代表身份证复印件</w:t>
                            </w:r>
                          </w:p>
                          <w:p w14:paraId="6FF60480">
                            <w:pPr>
                              <w:pStyle w:val="15"/>
                              <w:spacing w:before="3"/>
                              <w:ind w:left="417" w:right="416"/>
                              <w:jc w:val="center"/>
                              <w:rPr>
                                <w:rFonts w:ascii="宋体" w:hAnsi="宋体" w:cs="宋体"/>
                              </w:rPr>
                            </w:pPr>
                            <w:r>
                              <w:rPr>
                                <w:rFonts w:hint="eastAsia" w:ascii="宋体" w:hAnsi="宋体" w:cs="宋体"/>
                              </w:rPr>
                              <w:t>（反面）</w:t>
                            </w:r>
                          </w:p>
                        </w:txbxContent>
                      </wps:txbx>
                      <wps:bodyPr lIns="0" tIns="0" rIns="0" bIns="0" upright="1"/>
                    </wps:wsp>
                  </a:graphicData>
                </a:graphic>
              </wp:anchor>
            </w:drawing>
          </mc:Choice>
          <mc:Fallback>
            <w:pict>
              <v:shape id="_x0000_s1026" o:spid="_x0000_s1026" o:spt="202" type="#_x0000_t202" style="position:absolute;left:0pt;margin-left:298.45pt;margin-top:119.35pt;height:88.65pt;width:176.45pt;mso-position-horizontal-relative:page;mso-wrap-distance-bottom:0pt;mso-wrap-distance-top:0pt;z-index:-251652096;mso-width-relative:page;mso-height-relative:page;" filled="f" stroked="t" coordsize="21600,21600" o:gfxdata="UEsDBAoAAAAAAIdO4kAAAAAAAAAAAAAAAAAEAAAAZHJzL1BLAwQUAAAACACHTuJADpON3dsAAAAL&#10;AQAADwAAAGRycy9kb3ducmV2LnhtbE2PwU7DMBBE70j8g7VIXBC1U0qahDg9VHBDiBaqcnTjJY4S&#10;r6PYbdq/x5zguNqnmTfl6mx7dsLRt44kJDMBDKl2uqVGwufHy30GzAdFWvWOUMIFPayq66tSFdpN&#10;tMHTNjQshpAvlAQTwlBw7muDVvmZG5Di79uNVoV4jg3Xo5piuO35XIiUW9VSbDBqwLXButserYTu&#10;zbxv9q/rr/qOY9dMO7HPLs9S3t4k4glYwHP4g+FXP6pDFZ0O7kjas17CY57mEZUwf8iWwCKRL/I4&#10;5iBhkaQCeFXy/xuqH1BLAwQUAAAACACHTuJA7e2ZshkCAABCBAAADgAAAGRycy9lMm9Eb2MueG1s&#10;rVPNjtMwEL4j8Q6W7zRtRNFu1HQlKIuQECAtPIDrTBJL/pPHbdIXgDfgxIU7z7XPsWOnLcty6YEc&#10;ki8z429mvhmvbkaj2R4CKmdrvpjNOQMrXaNsV/OvX25fXHGGUdhGaGeh5gdAfrN+/mw1+ApK1zvd&#10;QGBEYrEafM37GH1VFCh7MAJnzoMlZ+uCEZF+Q1c0QQzEbnRRzuevisGFxgcnAZGsm8nJj4zhEkLX&#10;tkrCxsmdARsn1gBaRGoJe+WRr3O1bQsyfmpbhMh0zanTmN+UhPA2vYv1SlRdEL5X8liCuKSEJz0Z&#10;oSwlPVNtRBRsF9Q/VEbJ4NC1cSadKaZGsiLUxWL+RJu7XnjIvZDU6M+i4/+jlR/3nwNTDW1CyZkV&#10;hiZ+/+P7/c/f97++MbKRQIPHiuLuPEXG8bUbKfhkRzKmvsc2mPSljhj5Sd7DWV4YI5NkLMuX8+vF&#10;kjNJvsWiXF4tl4mn+HPcB4zvwBmWQM0DzS/LKvYfME6hp5CUzbpbpXWeobZsqPn1skz8gvaypX0g&#10;aDz1hrbLNOi0atKRdBhDt32jA9uLtBv5OVbzV1jKtxHYT3HZlcJEZVSEkFEPonlrGxYPnuSzdG14&#10;KsZAw5kGumUJ5cgolL4kkiTRNiWBvMPH5tMgJsETiuN2JNIEt6450HD0e0urkdb8BMIJbE9g54Pq&#10;etI2j7BIp2m18hCO1yDt7uN/wo+v/vo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pON3dsAAAAL&#10;AQAADwAAAAAAAAABACAAAAAiAAAAZHJzL2Rvd25yZXYueG1sUEsBAhQAFAAAAAgAh07iQO3tmbIZ&#10;AgAAQgQAAA4AAAAAAAAAAQAgAAAAKgEAAGRycy9lMm9Eb2MueG1sUEsFBgAAAAAGAAYAWQEAALUF&#10;AAAAAA==&#10;">
                <v:fill on="f" focussize="0,0"/>
                <v:stroke color="#000000" joinstyle="miter"/>
                <v:imagedata o:title=""/>
                <o:lock v:ext="edit" aspectratio="f"/>
                <v:textbox inset="0mm,0mm,0mm,0mm">
                  <w:txbxContent>
                    <w:p w14:paraId="090BEDD4">
                      <w:pPr>
                        <w:pStyle w:val="15"/>
                        <w:rPr>
                          <w:rFonts w:ascii="宋体" w:hAnsi="宋体" w:cs="宋体"/>
                        </w:rPr>
                      </w:pPr>
                    </w:p>
                    <w:p w14:paraId="5FD03EF5">
                      <w:pPr>
                        <w:pStyle w:val="15"/>
                        <w:ind w:left="417" w:right="416"/>
                        <w:jc w:val="center"/>
                        <w:rPr>
                          <w:rFonts w:ascii="宋体" w:hAnsi="宋体" w:cs="宋体"/>
                        </w:rPr>
                      </w:pPr>
                      <w:r>
                        <w:rPr>
                          <w:rFonts w:hint="eastAsia" w:ascii="宋体" w:hAnsi="宋体" w:cs="宋体"/>
                        </w:rPr>
                        <w:t>授权代表身份证复印件</w:t>
                      </w:r>
                    </w:p>
                    <w:p w14:paraId="6FF60480">
                      <w:pPr>
                        <w:pStyle w:val="15"/>
                        <w:spacing w:before="3"/>
                        <w:ind w:left="417" w:right="416"/>
                        <w:jc w:val="center"/>
                        <w:rPr>
                          <w:rFonts w:ascii="宋体" w:hAnsi="宋体" w:cs="宋体"/>
                        </w:rPr>
                      </w:pPr>
                      <w:r>
                        <w:rPr>
                          <w:rFonts w:hint="eastAsia" w:ascii="宋体" w:hAnsi="宋体" w:cs="宋体"/>
                        </w:rPr>
                        <w:t>（反面）</w:t>
                      </w:r>
                    </w:p>
                  </w:txbxContent>
                </v:textbox>
                <w10:wrap type="topAndBottom"/>
              </v:shape>
            </w:pict>
          </mc:Fallback>
        </mc:AlternateContent>
      </w:r>
    </w:p>
    <w:p w14:paraId="31A7D8D6">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p>
    <w:p w14:paraId="2D2E20E2">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投标人：</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（盖章）</w:t>
      </w:r>
    </w:p>
    <w:p w14:paraId="1E9AB91B">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p>
    <w:p w14:paraId="20B81344">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法定代表人：</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（盖章）</w:t>
      </w:r>
    </w:p>
    <w:p w14:paraId="772641D5">
      <w:pPr>
        <w:widowControl/>
        <w:shd w:val="clear" w:color="auto" w:fill="FFFFFF"/>
        <w:snapToGrid w:val="0"/>
        <w:spacing w:line="360" w:lineRule="auto"/>
        <w:ind w:firstLine="420"/>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 xml:space="preserve">                                               日期： 年  月  日</w:t>
      </w:r>
    </w:p>
    <w:p w14:paraId="5D08260A">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p>
    <w:p w14:paraId="5F128AD3">
      <w:pPr>
        <w:spacing w:line="360" w:lineRule="auto"/>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 xml:space="preserve"> </w:t>
      </w:r>
    </w:p>
    <w:p w14:paraId="38EC4311">
      <w:pPr>
        <w:tabs>
          <w:tab w:val="center" w:pos="4832"/>
          <w:tab w:val="left" w:pos="7140"/>
        </w:tabs>
        <w:spacing w:line="360" w:lineRule="auto"/>
        <w:jc w:val="center"/>
        <w:outlineLvl w:val="1"/>
        <w:rPr>
          <w:rFonts w:hint="eastAsia" w:ascii="仿宋" w:hAnsi="仿宋" w:eastAsia="仿宋" w:cs="仿宋"/>
          <w:b/>
          <w:sz w:val="24"/>
          <w:szCs w:val="24"/>
          <w:highlight w:val="none"/>
          <w:shd w:val="clear" w:color="auto" w:fill="FFFFFF" w:themeFill="background1"/>
        </w:rPr>
      </w:pPr>
      <w:bookmarkStart w:id="529" w:name="_Toc507586173"/>
      <w:r>
        <w:rPr>
          <w:rFonts w:hint="eastAsia" w:ascii="仿宋" w:hAnsi="仿宋" w:eastAsia="仿宋" w:cs="仿宋"/>
          <w:b/>
          <w:sz w:val="24"/>
          <w:szCs w:val="24"/>
          <w:highlight w:val="none"/>
          <w:shd w:val="clear" w:color="auto" w:fill="FFFFFF" w:themeFill="background1"/>
        </w:rPr>
        <w:br w:type="page"/>
      </w:r>
      <w:bookmarkStart w:id="530" w:name="_Toc23743"/>
      <w:bookmarkStart w:id="531" w:name="_Toc38446478"/>
      <w:bookmarkStart w:id="532" w:name="_Toc533503189"/>
      <w:bookmarkStart w:id="533" w:name="_Toc30621"/>
      <w:r>
        <w:rPr>
          <w:rFonts w:hint="eastAsia" w:ascii="仿宋" w:hAnsi="仿宋" w:eastAsia="仿宋" w:cs="仿宋"/>
          <w:b/>
          <w:sz w:val="24"/>
          <w:szCs w:val="24"/>
          <w:highlight w:val="none"/>
          <w:shd w:val="clear" w:color="auto" w:fill="FFFFFF" w:themeFill="background1"/>
        </w:rPr>
        <w:t>八、投标人基本情况</w:t>
      </w:r>
      <w:bookmarkEnd w:id="529"/>
      <w:bookmarkEnd w:id="530"/>
      <w:bookmarkEnd w:id="531"/>
      <w:bookmarkEnd w:id="532"/>
      <w:bookmarkEnd w:id="533"/>
    </w:p>
    <w:p w14:paraId="1414B865">
      <w:pPr>
        <w:spacing w:line="360" w:lineRule="auto"/>
        <w:jc w:val="left"/>
        <w:rPr>
          <w:rFonts w:hint="eastAsia" w:ascii="仿宋" w:hAnsi="仿宋" w:eastAsia="仿宋" w:cs="仿宋"/>
          <w:sz w:val="24"/>
          <w:szCs w:val="24"/>
          <w:highlight w:val="none"/>
          <w:shd w:val="clear" w:color="auto" w:fill="FFFFFF" w:themeFill="background1"/>
        </w:rPr>
      </w:pPr>
    </w:p>
    <w:tbl>
      <w:tblPr>
        <w:tblStyle w:val="42"/>
        <w:tblW w:w="8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65"/>
        <w:gridCol w:w="3165"/>
        <w:gridCol w:w="1995"/>
        <w:gridCol w:w="2140"/>
      </w:tblGrid>
      <w:tr w14:paraId="142C6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4E33E784">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投标人名称</w:t>
            </w:r>
          </w:p>
        </w:tc>
        <w:tc>
          <w:tcPr>
            <w:tcW w:w="7300" w:type="dxa"/>
            <w:gridSpan w:val="3"/>
            <w:vAlign w:val="center"/>
          </w:tcPr>
          <w:p w14:paraId="7E123F47">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p>
        </w:tc>
      </w:tr>
      <w:tr w14:paraId="0481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6B59A43C">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注册地址</w:t>
            </w:r>
          </w:p>
        </w:tc>
        <w:tc>
          <w:tcPr>
            <w:tcW w:w="3165" w:type="dxa"/>
            <w:vAlign w:val="center"/>
          </w:tcPr>
          <w:p w14:paraId="36EFCC21">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p>
        </w:tc>
        <w:tc>
          <w:tcPr>
            <w:tcW w:w="1995" w:type="dxa"/>
            <w:vAlign w:val="center"/>
          </w:tcPr>
          <w:p w14:paraId="2F314515">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邮政编码</w:t>
            </w:r>
          </w:p>
        </w:tc>
        <w:tc>
          <w:tcPr>
            <w:tcW w:w="2140" w:type="dxa"/>
            <w:vAlign w:val="center"/>
          </w:tcPr>
          <w:p w14:paraId="7CDF8A24">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p>
        </w:tc>
      </w:tr>
      <w:tr w14:paraId="5EDF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18521BB4">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成立时间</w:t>
            </w:r>
          </w:p>
        </w:tc>
        <w:tc>
          <w:tcPr>
            <w:tcW w:w="3165" w:type="dxa"/>
            <w:vAlign w:val="center"/>
          </w:tcPr>
          <w:p w14:paraId="20C31BF6">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p>
        </w:tc>
        <w:tc>
          <w:tcPr>
            <w:tcW w:w="1995" w:type="dxa"/>
            <w:vAlign w:val="center"/>
          </w:tcPr>
          <w:p w14:paraId="75C7BD69">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企业性质</w:t>
            </w:r>
          </w:p>
        </w:tc>
        <w:tc>
          <w:tcPr>
            <w:tcW w:w="2140" w:type="dxa"/>
            <w:vAlign w:val="center"/>
          </w:tcPr>
          <w:p w14:paraId="6268DCA6">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p>
        </w:tc>
      </w:tr>
      <w:tr w14:paraId="6AF24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3F32806B">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营业执照号</w:t>
            </w:r>
          </w:p>
        </w:tc>
        <w:tc>
          <w:tcPr>
            <w:tcW w:w="3165" w:type="dxa"/>
            <w:vAlign w:val="center"/>
          </w:tcPr>
          <w:p w14:paraId="08D83707">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p>
        </w:tc>
        <w:tc>
          <w:tcPr>
            <w:tcW w:w="1995" w:type="dxa"/>
            <w:vAlign w:val="center"/>
          </w:tcPr>
          <w:p w14:paraId="63AA4C8D">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注册资金</w:t>
            </w:r>
          </w:p>
        </w:tc>
        <w:tc>
          <w:tcPr>
            <w:tcW w:w="2140" w:type="dxa"/>
            <w:vAlign w:val="center"/>
          </w:tcPr>
          <w:p w14:paraId="2BFF3293">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p>
        </w:tc>
      </w:tr>
      <w:tr w14:paraId="39802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0C230AF5">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法定代表人</w:t>
            </w:r>
          </w:p>
        </w:tc>
        <w:tc>
          <w:tcPr>
            <w:tcW w:w="3165" w:type="dxa"/>
            <w:vAlign w:val="center"/>
          </w:tcPr>
          <w:p w14:paraId="4005D32A">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p>
        </w:tc>
        <w:tc>
          <w:tcPr>
            <w:tcW w:w="1995" w:type="dxa"/>
            <w:vAlign w:val="center"/>
          </w:tcPr>
          <w:p w14:paraId="230B7108">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电话</w:t>
            </w:r>
          </w:p>
        </w:tc>
        <w:tc>
          <w:tcPr>
            <w:tcW w:w="2140" w:type="dxa"/>
            <w:vAlign w:val="center"/>
          </w:tcPr>
          <w:p w14:paraId="502FEC8B">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p>
        </w:tc>
      </w:tr>
      <w:tr w14:paraId="311E9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43F0B75F">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联系人</w:t>
            </w:r>
          </w:p>
        </w:tc>
        <w:tc>
          <w:tcPr>
            <w:tcW w:w="3165" w:type="dxa"/>
            <w:vAlign w:val="center"/>
          </w:tcPr>
          <w:p w14:paraId="4C34F908">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p>
        </w:tc>
        <w:tc>
          <w:tcPr>
            <w:tcW w:w="1995" w:type="dxa"/>
            <w:vAlign w:val="center"/>
          </w:tcPr>
          <w:p w14:paraId="28A8CF17">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电话</w:t>
            </w:r>
          </w:p>
        </w:tc>
        <w:tc>
          <w:tcPr>
            <w:tcW w:w="2140" w:type="dxa"/>
            <w:vAlign w:val="center"/>
          </w:tcPr>
          <w:p w14:paraId="74B969BA">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p>
        </w:tc>
      </w:tr>
      <w:tr w14:paraId="1839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6D24C314">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传真</w:t>
            </w:r>
          </w:p>
        </w:tc>
        <w:tc>
          <w:tcPr>
            <w:tcW w:w="3165" w:type="dxa"/>
            <w:vAlign w:val="center"/>
          </w:tcPr>
          <w:p w14:paraId="45F69199">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p>
        </w:tc>
        <w:tc>
          <w:tcPr>
            <w:tcW w:w="1995" w:type="dxa"/>
            <w:vAlign w:val="center"/>
          </w:tcPr>
          <w:p w14:paraId="00E3FEEF">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网址</w:t>
            </w:r>
          </w:p>
        </w:tc>
        <w:tc>
          <w:tcPr>
            <w:tcW w:w="2140" w:type="dxa"/>
            <w:vAlign w:val="center"/>
          </w:tcPr>
          <w:p w14:paraId="48AB7F45">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p>
        </w:tc>
      </w:tr>
      <w:tr w14:paraId="0789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20C797D5">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开户银行</w:t>
            </w:r>
          </w:p>
        </w:tc>
        <w:tc>
          <w:tcPr>
            <w:tcW w:w="3165" w:type="dxa"/>
            <w:vAlign w:val="center"/>
          </w:tcPr>
          <w:p w14:paraId="502089C7">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p>
        </w:tc>
        <w:tc>
          <w:tcPr>
            <w:tcW w:w="1995" w:type="dxa"/>
            <w:vAlign w:val="center"/>
          </w:tcPr>
          <w:p w14:paraId="23D3C15E">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银行帐号</w:t>
            </w:r>
          </w:p>
        </w:tc>
        <w:tc>
          <w:tcPr>
            <w:tcW w:w="2140" w:type="dxa"/>
            <w:vAlign w:val="center"/>
          </w:tcPr>
          <w:p w14:paraId="236FF3D4">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p>
        </w:tc>
      </w:tr>
      <w:tr w14:paraId="7B3D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1" w:hRule="atLeast"/>
          <w:jc w:val="center"/>
        </w:trPr>
        <w:tc>
          <w:tcPr>
            <w:tcW w:w="1665" w:type="dxa"/>
            <w:vAlign w:val="center"/>
          </w:tcPr>
          <w:p w14:paraId="179CDD21">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职工概况</w:t>
            </w:r>
          </w:p>
        </w:tc>
        <w:tc>
          <w:tcPr>
            <w:tcW w:w="7300" w:type="dxa"/>
            <w:gridSpan w:val="3"/>
            <w:vAlign w:val="center"/>
          </w:tcPr>
          <w:p w14:paraId="0B5DB4D6">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p>
        </w:tc>
      </w:tr>
      <w:tr w14:paraId="76F4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1" w:hRule="atLeast"/>
          <w:jc w:val="center"/>
        </w:trPr>
        <w:tc>
          <w:tcPr>
            <w:tcW w:w="1665" w:type="dxa"/>
            <w:vAlign w:val="center"/>
          </w:tcPr>
          <w:p w14:paraId="782D2194">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经营范围</w:t>
            </w:r>
          </w:p>
        </w:tc>
        <w:tc>
          <w:tcPr>
            <w:tcW w:w="7300" w:type="dxa"/>
            <w:gridSpan w:val="3"/>
            <w:vAlign w:val="center"/>
          </w:tcPr>
          <w:p w14:paraId="7EE94BAD">
            <w:pPr>
              <w:autoSpaceDE w:val="0"/>
              <w:autoSpaceDN w:val="0"/>
              <w:adjustRightInd w:val="0"/>
              <w:snapToGrid w:val="0"/>
              <w:spacing w:line="360" w:lineRule="auto"/>
              <w:jc w:val="center"/>
              <w:rPr>
                <w:rFonts w:hint="eastAsia" w:ascii="仿宋" w:hAnsi="仿宋" w:eastAsia="仿宋" w:cs="仿宋"/>
                <w:kern w:val="0"/>
                <w:sz w:val="24"/>
                <w:szCs w:val="24"/>
                <w:highlight w:val="none"/>
                <w:shd w:val="clear" w:color="auto" w:fill="FFFFFF" w:themeFill="background1"/>
              </w:rPr>
            </w:pPr>
          </w:p>
        </w:tc>
      </w:tr>
    </w:tbl>
    <w:p w14:paraId="6E074D6D">
      <w:pPr>
        <w:spacing w:line="360" w:lineRule="auto"/>
        <w:ind w:firstLine="504" w:firstLineChars="200"/>
        <w:rPr>
          <w:rFonts w:hint="eastAsia" w:ascii="仿宋" w:hAnsi="仿宋" w:eastAsia="仿宋" w:cs="仿宋"/>
          <w:spacing w:val="6"/>
          <w:sz w:val="24"/>
          <w:szCs w:val="24"/>
          <w:highlight w:val="none"/>
          <w:shd w:val="clear" w:color="auto" w:fill="FFFFFF" w:themeFill="background1"/>
        </w:rPr>
      </w:pPr>
    </w:p>
    <w:p w14:paraId="69BA6B4F">
      <w:pPr>
        <w:widowControl/>
        <w:jc w:val="left"/>
        <w:rPr>
          <w:rFonts w:hint="eastAsia" w:ascii="仿宋" w:hAnsi="仿宋" w:eastAsia="仿宋" w:cs="仿宋"/>
          <w:spacing w:val="6"/>
          <w:sz w:val="24"/>
          <w:szCs w:val="24"/>
          <w:highlight w:val="none"/>
          <w:shd w:val="clear" w:color="auto" w:fill="FFFFFF" w:themeFill="background1"/>
        </w:rPr>
      </w:pPr>
      <w:r>
        <w:rPr>
          <w:rFonts w:hint="eastAsia" w:ascii="仿宋" w:hAnsi="仿宋" w:eastAsia="仿宋" w:cs="仿宋"/>
          <w:spacing w:val="6"/>
          <w:sz w:val="24"/>
          <w:szCs w:val="24"/>
          <w:highlight w:val="none"/>
          <w:shd w:val="clear" w:color="auto" w:fill="FFFFFF" w:themeFill="background1"/>
        </w:rPr>
        <w:br w:type="page"/>
      </w:r>
    </w:p>
    <w:p w14:paraId="0971CE7C">
      <w:pPr>
        <w:rPr>
          <w:rFonts w:hint="eastAsia" w:ascii="仿宋" w:hAnsi="仿宋" w:eastAsia="仿宋" w:cs="仿宋"/>
          <w:highlight w:val="none"/>
          <w:shd w:val="clear" w:color="auto" w:fill="FFFFFF" w:themeFill="background1"/>
        </w:rPr>
      </w:pPr>
      <w:bookmarkStart w:id="534" w:name="_Toc107422184"/>
      <w:bookmarkStart w:id="535" w:name="_Toc109143671"/>
      <w:bookmarkStart w:id="536" w:name="_Toc32366"/>
      <w:bookmarkStart w:id="537" w:name="_Toc11207"/>
      <w:bookmarkStart w:id="538" w:name="_Toc111556487"/>
    </w:p>
    <w:p w14:paraId="18A357C7">
      <w:pPr>
        <w:spacing w:line="360" w:lineRule="auto"/>
        <w:jc w:val="center"/>
        <w:outlineLvl w:val="1"/>
        <w:rPr>
          <w:rFonts w:hint="eastAsia" w:ascii="仿宋" w:hAnsi="仿宋" w:eastAsia="仿宋" w:cs="仿宋"/>
          <w:b/>
          <w:sz w:val="24"/>
          <w:szCs w:val="24"/>
          <w:highlight w:val="none"/>
          <w:shd w:val="clear" w:color="auto" w:fill="FFFFFF" w:themeFill="background1"/>
        </w:rPr>
      </w:pPr>
      <w:bookmarkStart w:id="539" w:name="_Toc133453662"/>
      <w:bookmarkStart w:id="540" w:name="_Toc20683"/>
      <w:bookmarkStart w:id="541" w:name="_Toc128476878"/>
      <w:bookmarkStart w:id="542" w:name="_Toc113901849"/>
      <w:bookmarkStart w:id="543" w:name="_Toc22928"/>
      <w:r>
        <w:rPr>
          <w:rFonts w:hint="eastAsia" w:ascii="仿宋" w:hAnsi="仿宋" w:eastAsia="仿宋" w:cs="仿宋"/>
          <w:b/>
          <w:sz w:val="24"/>
          <w:szCs w:val="24"/>
          <w:highlight w:val="none"/>
          <w:shd w:val="clear" w:color="auto" w:fill="FFFFFF" w:themeFill="background1"/>
        </w:rPr>
        <w:t>8.1、</w:t>
      </w:r>
      <w:bookmarkEnd w:id="534"/>
      <w:bookmarkEnd w:id="535"/>
      <w:bookmarkEnd w:id="536"/>
      <w:bookmarkEnd w:id="537"/>
      <w:r>
        <w:rPr>
          <w:rFonts w:hint="eastAsia" w:ascii="仿宋" w:hAnsi="仿宋" w:eastAsia="仿宋" w:cs="仿宋"/>
          <w:b/>
          <w:sz w:val="24"/>
          <w:szCs w:val="24"/>
          <w:highlight w:val="none"/>
          <w:shd w:val="clear" w:color="auto" w:fill="FFFFFF" w:themeFill="background1"/>
        </w:rPr>
        <w:t>法人或者其他组织的营业执照等证明文件，自然人的身份证明</w:t>
      </w:r>
      <w:bookmarkEnd w:id="539"/>
      <w:bookmarkEnd w:id="540"/>
      <w:bookmarkEnd w:id="541"/>
      <w:bookmarkEnd w:id="542"/>
      <w:bookmarkEnd w:id="543"/>
    </w:p>
    <w:p w14:paraId="68AAA4D6">
      <w:pPr>
        <w:spacing w:line="360" w:lineRule="auto"/>
        <w:rPr>
          <w:rFonts w:hint="eastAsia" w:ascii="仿宋" w:hAnsi="仿宋" w:eastAsia="仿宋" w:cs="仿宋"/>
          <w:sz w:val="24"/>
          <w:szCs w:val="24"/>
          <w:highlight w:val="none"/>
          <w:shd w:val="clear" w:color="auto" w:fill="FFFFFF" w:themeFill="background1"/>
        </w:rPr>
      </w:pPr>
    </w:p>
    <w:p w14:paraId="44AAAA2E">
      <w:pPr>
        <w:spacing w:line="360" w:lineRule="auto"/>
        <w:ind w:firstLine="480" w:firstLineChars="200"/>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一、如投标人是企业（包括合伙企业)，应提供在工商部门注册的有效“企业法人营业执照”或“营业执照”;</w:t>
      </w:r>
    </w:p>
    <w:p w14:paraId="5331273E">
      <w:pPr>
        <w:spacing w:line="360" w:lineRule="auto"/>
        <w:ind w:firstLine="480" w:firstLineChars="200"/>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二、如投标人是事业单位，应提供有效的“事业单位法人证书”;</w:t>
      </w:r>
    </w:p>
    <w:p w14:paraId="1F40C6FE">
      <w:pPr>
        <w:spacing w:line="360" w:lineRule="auto"/>
        <w:ind w:firstLine="480" w:firstLineChars="200"/>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三、投标人是非企业专业服务机构的，应提供执业许可证等证明文件;</w:t>
      </w:r>
    </w:p>
    <w:p w14:paraId="49F89BFD">
      <w:pPr>
        <w:spacing w:line="360" w:lineRule="auto"/>
        <w:ind w:firstLine="480" w:firstLineChars="200"/>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四、如投标人是个体工商户，应提供有效的“个体工商户营业执照”;</w:t>
      </w:r>
    </w:p>
    <w:p w14:paraId="6063B544">
      <w:pPr>
        <w:spacing w:line="360" w:lineRule="auto"/>
        <w:ind w:firstLine="480" w:firstLineChars="200"/>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五、如投标人是自然人，应提供有效的自然人身份证明。</w:t>
      </w:r>
    </w:p>
    <w:p w14:paraId="7615C9FE">
      <w:pPr>
        <w:spacing w:line="360" w:lineRule="auto"/>
        <w:rPr>
          <w:rFonts w:hint="eastAsia" w:ascii="仿宋" w:hAnsi="仿宋" w:eastAsia="仿宋" w:cs="仿宋"/>
          <w:sz w:val="24"/>
          <w:szCs w:val="24"/>
          <w:highlight w:val="none"/>
          <w:shd w:val="clear" w:color="auto" w:fill="FFFFFF" w:themeFill="background1"/>
        </w:rPr>
      </w:pPr>
    </w:p>
    <w:p w14:paraId="56EC4867">
      <w:pPr>
        <w:spacing w:line="360" w:lineRule="auto"/>
        <w:rPr>
          <w:rFonts w:hint="eastAsia" w:ascii="仿宋" w:hAnsi="仿宋" w:eastAsia="仿宋" w:cs="仿宋"/>
          <w:sz w:val="24"/>
          <w:szCs w:val="24"/>
          <w:highlight w:val="none"/>
          <w:shd w:val="clear" w:color="auto" w:fill="FFFFFF" w:themeFill="background1"/>
        </w:rPr>
      </w:pPr>
    </w:p>
    <w:p w14:paraId="592A6BAA">
      <w:pPr>
        <w:widowControl/>
        <w:spacing w:line="360" w:lineRule="auto"/>
        <w:jc w:val="left"/>
        <w:rPr>
          <w:rFonts w:hint="eastAsia" w:ascii="仿宋" w:hAnsi="仿宋" w:eastAsia="仿宋" w:cs="仿宋"/>
          <w:b/>
          <w:sz w:val="24"/>
          <w:szCs w:val="24"/>
          <w:highlight w:val="none"/>
          <w:shd w:val="clear" w:color="auto" w:fill="FFFFFF" w:themeFill="background1"/>
        </w:rPr>
      </w:pPr>
      <w:r>
        <w:rPr>
          <w:rFonts w:hint="eastAsia" w:ascii="仿宋" w:hAnsi="仿宋" w:eastAsia="仿宋" w:cs="仿宋"/>
          <w:b/>
          <w:sz w:val="24"/>
          <w:szCs w:val="24"/>
          <w:highlight w:val="none"/>
          <w:shd w:val="clear" w:color="auto" w:fill="FFFFFF" w:themeFill="background1"/>
        </w:rPr>
        <w:br w:type="page"/>
      </w:r>
    </w:p>
    <w:p w14:paraId="27148B54">
      <w:pPr>
        <w:rPr>
          <w:rFonts w:hint="eastAsia" w:ascii="仿宋" w:hAnsi="仿宋" w:eastAsia="仿宋" w:cs="仿宋"/>
          <w:highlight w:val="none"/>
          <w:shd w:val="clear" w:color="auto" w:fill="FFFFFF" w:themeFill="background1"/>
        </w:rPr>
      </w:pPr>
    </w:p>
    <w:p w14:paraId="3727347B">
      <w:pPr>
        <w:spacing w:line="360" w:lineRule="auto"/>
        <w:jc w:val="center"/>
        <w:outlineLvl w:val="1"/>
        <w:rPr>
          <w:rFonts w:hint="eastAsia" w:ascii="仿宋" w:hAnsi="仿宋" w:eastAsia="仿宋" w:cs="仿宋"/>
          <w:b/>
          <w:sz w:val="24"/>
          <w:szCs w:val="24"/>
          <w:highlight w:val="none"/>
          <w:shd w:val="clear" w:color="auto" w:fill="FFFFFF" w:themeFill="background1"/>
        </w:rPr>
      </w:pPr>
      <w:bookmarkStart w:id="544" w:name="_Toc133453663"/>
      <w:bookmarkStart w:id="545" w:name="_Toc128476879"/>
      <w:bookmarkStart w:id="546" w:name="_Toc113901850"/>
      <w:bookmarkStart w:id="547" w:name="_Toc10010"/>
      <w:bookmarkStart w:id="548" w:name="_Toc591"/>
      <w:r>
        <w:rPr>
          <w:rFonts w:hint="eastAsia" w:ascii="仿宋" w:hAnsi="仿宋" w:eastAsia="仿宋" w:cs="仿宋"/>
          <w:b/>
          <w:sz w:val="24"/>
          <w:szCs w:val="24"/>
          <w:highlight w:val="none"/>
          <w:shd w:val="clear" w:color="auto" w:fill="FFFFFF" w:themeFill="background1"/>
        </w:rPr>
        <w:t>8.2、</w:t>
      </w:r>
      <w:bookmarkEnd w:id="538"/>
      <w:r>
        <w:rPr>
          <w:rFonts w:hint="eastAsia" w:ascii="仿宋" w:hAnsi="仿宋" w:eastAsia="仿宋" w:cs="仿宋"/>
          <w:b/>
          <w:sz w:val="24"/>
          <w:szCs w:val="24"/>
          <w:highlight w:val="none"/>
          <w:shd w:val="clear" w:color="auto" w:fill="FFFFFF" w:themeFill="background1"/>
        </w:rPr>
        <w:t>财务状况报告，依法缴纳税收和社会保障资金的相关材料</w:t>
      </w:r>
      <w:bookmarkEnd w:id="544"/>
      <w:bookmarkEnd w:id="545"/>
      <w:bookmarkEnd w:id="546"/>
      <w:bookmarkEnd w:id="547"/>
      <w:bookmarkEnd w:id="548"/>
    </w:p>
    <w:p w14:paraId="6B435AAF">
      <w:pPr>
        <w:pStyle w:val="15"/>
        <w:spacing w:line="360" w:lineRule="auto"/>
        <w:rPr>
          <w:rFonts w:hint="eastAsia" w:ascii="仿宋" w:hAnsi="仿宋" w:eastAsia="仿宋" w:cs="仿宋"/>
          <w:spacing w:val="10"/>
          <w:szCs w:val="24"/>
          <w:highlight w:val="none"/>
          <w:shd w:val="clear" w:color="auto" w:fill="FFFFFF" w:themeFill="background1"/>
        </w:rPr>
      </w:pPr>
    </w:p>
    <w:p w14:paraId="4C3E46E9">
      <w:pPr>
        <w:spacing w:line="480" w:lineRule="auto"/>
        <w:ind w:firstLine="480" w:firstLineChars="200"/>
        <w:rPr>
          <w:rFonts w:hint="eastAsia" w:ascii="仿宋" w:hAnsi="仿宋" w:eastAsia="仿宋" w:cs="仿宋"/>
          <w:color w:val="000000"/>
          <w:sz w:val="24"/>
          <w:szCs w:val="24"/>
          <w:highlight w:val="none"/>
        </w:rPr>
      </w:pPr>
      <w:bookmarkStart w:id="549" w:name="_Toc128476880"/>
      <w:bookmarkStart w:id="550" w:name="_Toc113901851"/>
      <w:bookmarkStart w:id="551" w:name="_Toc30348"/>
      <w:bookmarkStart w:id="552" w:name="_Toc111556488"/>
      <w:r>
        <w:rPr>
          <w:rFonts w:hint="eastAsia" w:ascii="仿宋" w:hAnsi="仿宋" w:eastAsia="仿宋" w:cs="仿宋"/>
          <w:color w:val="000000"/>
          <w:sz w:val="24"/>
          <w:szCs w:val="24"/>
          <w:highlight w:val="none"/>
        </w:rPr>
        <w:t>一、财务状况报告（满足下述一条要求即可）：</w:t>
      </w:r>
    </w:p>
    <w:p w14:paraId="64EAE52C">
      <w:pPr>
        <w:spacing w:line="48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要求1、经审计的财务报告（2024年度</w:t>
      </w:r>
      <w:r>
        <w:rPr>
          <w:rFonts w:hint="eastAsia" w:ascii="仿宋" w:hAnsi="仿宋" w:eastAsia="仿宋" w:cs="仿宋"/>
          <w:color w:val="000000"/>
          <w:sz w:val="24"/>
          <w:szCs w:val="24"/>
          <w:highlight w:val="none"/>
          <w:lang w:val="en-US" w:eastAsia="zh-CN"/>
        </w:rPr>
        <w:t>或2025年度</w:t>
      </w:r>
      <w:r>
        <w:rPr>
          <w:rFonts w:hint="eastAsia" w:ascii="仿宋" w:hAnsi="仿宋" w:eastAsia="仿宋" w:cs="仿宋"/>
          <w:color w:val="000000"/>
          <w:sz w:val="24"/>
          <w:szCs w:val="24"/>
          <w:highlight w:val="none"/>
        </w:rPr>
        <w:t>，包括“四表-注”，即资产负债表、利润表、现金流量表、所有者权益变动表及其附注）或银行出具的资信/金证明。</w:t>
      </w:r>
    </w:p>
    <w:p w14:paraId="1B5671BE">
      <w:pPr>
        <w:spacing w:line="48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要求</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、成立不足</w:t>
      </w:r>
      <w:r>
        <w:rPr>
          <w:rFonts w:hint="eastAsia" w:ascii="仿宋" w:hAnsi="仿宋" w:eastAsia="仿宋" w:cs="仿宋"/>
          <w:color w:val="000000"/>
          <w:sz w:val="24"/>
          <w:szCs w:val="24"/>
          <w:highlight w:val="none"/>
          <w:lang w:val="en-US" w:eastAsia="zh-CN"/>
        </w:rPr>
        <w:t>三</w:t>
      </w:r>
      <w:r>
        <w:rPr>
          <w:rFonts w:hint="eastAsia" w:ascii="仿宋" w:hAnsi="仿宋" w:eastAsia="仿宋" w:cs="仿宋"/>
          <w:color w:val="000000"/>
          <w:sz w:val="24"/>
          <w:szCs w:val="24"/>
          <w:highlight w:val="none"/>
        </w:rPr>
        <w:t>个月（以响应文件递交截止之日为期限）的供应商无需提供。</w:t>
      </w:r>
    </w:p>
    <w:p w14:paraId="4E319B97">
      <w:pPr>
        <w:spacing w:line="48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二、依法缴纳税收和社会保障资金的相关材料</w:t>
      </w:r>
    </w:p>
    <w:p w14:paraId="3AF7EBFA">
      <w:pPr>
        <w:spacing w:line="48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2.1、依法缴纳税收的证明材料：</w:t>
      </w:r>
    </w:p>
    <w:p w14:paraId="54C75701">
      <w:pPr>
        <w:spacing w:line="48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投标人</w:t>
      </w:r>
      <w:r>
        <w:rPr>
          <w:rFonts w:hint="eastAsia" w:ascii="仿宋" w:hAnsi="仿宋" w:eastAsia="仿宋" w:cs="仿宋"/>
          <w:color w:val="000000"/>
          <w:sz w:val="24"/>
          <w:szCs w:val="24"/>
          <w:highlight w:val="none"/>
        </w:rPr>
        <w:t>参加政府采购活动前一段时间（响应文件递交截止之日前六个月内任一个月）内缴纳税收的完税凭证（指各种完税证、缴款书、印花税票、扣（收）税凭证以及其他完税证明）。</w:t>
      </w:r>
    </w:p>
    <w:p w14:paraId="455D27D3">
      <w:pPr>
        <w:spacing w:line="48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2.2、依法缴纳社会保障资金的证明材料：</w:t>
      </w:r>
    </w:p>
    <w:p w14:paraId="7D2214FD">
      <w:pPr>
        <w:spacing w:line="48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投标人</w:t>
      </w:r>
      <w:r>
        <w:rPr>
          <w:rFonts w:hint="eastAsia" w:ascii="仿宋" w:hAnsi="仿宋" w:eastAsia="仿宋" w:cs="仿宋"/>
          <w:color w:val="000000"/>
          <w:sz w:val="24"/>
          <w:szCs w:val="24"/>
          <w:highlight w:val="none"/>
        </w:rPr>
        <w:t>参加政府采购活动前一段时间（响应文件递交截止之日前六个月内任一个月）内缴纳社会保险的凭据，其他组织和自然人也需要提供缴纳税收的凭据和缴纳社会保险的凭据。</w:t>
      </w:r>
    </w:p>
    <w:p w14:paraId="21E87038">
      <w:pPr>
        <w:spacing w:line="48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2.3、依法免税或不需要缴纳社会保障资金的</w:t>
      </w:r>
      <w:r>
        <w:rPr>
          <w:rFonts w:hint="eastAsia" w:ascii="仿宋" w:hAnsi="仿宋" w:eastAsia="仿宋" w:cs="仿宋"/>
          <w:color w:val="000000"/>
          <w:sz w:val="24"/>
          <w:szCs w:val="24"/>
          <w:highlight w:val="none"/>
          <w:lang w:eastAsia="zh-CN"/>
        </w:rPr>
        <w:t>投标人</w:t>
      </w:r>
      <w:r>
        <w:rPr>
          <w:rFonts w:hint="eastAsia" w:ascii="仿宋" w:hAnsi="仿宋" w:eastAsia="仿宋" w:cs="仿宋"/>
          <w:color w:val="000000"/>
          <w:sz w:val="24"/>
          <w:szCs w:val="24"/>
          <w:highlight w:val="none"/>
        </w:rPr>
        <w:t>，应提供相应文件证明其依法免税或不需要缴纳社会保障资金。</w:t>
      </w:r>
    </w:p>
    <w:p w14:paraId="478C3367">
      <w:pPr>
        <w:spacing w:line="48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三、注：</w:t>
      </w:r>
    </w:p>
    <w:p w14:paraId="25EB32E1">
      <w:pPr>
        <w:spacing w:line="48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3.1、如因有关主管部门政策调整，部分证明材料有所增减，以最新政策要求为准；</w:t>
      </w:r>
    </w:p>
    <w:p w14:paraId="041A96AD">
      <w:pPr>
        <w:spacing w:line="480" w:lineRule="auto"/>
        <w:ind w:firstLine="480" w:firstLineChars="200"/>
        <w:rPr>
          <w:rFonts w:hint="eastAsia" w:ascii="仿宋" w:hAnsi="仿宋" w:eastAsia="仿宋" w:cs="仿宋"/>
          <w:b/>
          <w:sz w:val="24"/>
          <w:szCs w:val="24"/>
          <w:highlight w:val="none"/>
          <w:shd w:val="clear" w:color="auto" w:fill="FFFFFF" w:themeFill="background1"/>
        </w:rPr>
      </w:pPr>
      <w:r>
        <w:rPr>
          <w:rFonts w:hint="eastAsia" w:ascii="仿宋" w:hAnsi="仿宋" w:eastAsia="仿宋" w:cs="仿宋"/>
          <w:color w:val="000000"/>
          <w:sz w:val="24"/>
          <w:szCs w:val="24"/>
          <w:highlight w:val="none"/>
        </w:rPr>
        <w:t>3.2、如</w:t>
      </w:r>
      <w:r>
        <w:rPr>
          <w:rFonts w:hint="eastAsia" w:ascii="仿宋" w:hAnsi="仿宋" w:eastAsia="仿宋" w:cs="仿宋"/>
          <w:color w:val="000000"/>
          <w:sz w:val="24"/>
          <w:szCs w:val="24"/>
          <w:highlight w:val="none"/>
          <w:lang w:eastAsia="zh-CN"/>
        </w:rPr>
        <w:t>投标人</w:t>
      </w:r>
      <w:r>
        <w:rPr>
          <w:rFonts w:hint="eastAsia" w:ascii="仿宋" w:hAnsi="仿宋" w:eastAsia="仿宋" w:cs="仿宋"/>
          <w:color w:val="000000"/>
          <w:sz w:val="24"/>
          <w:szCs w:val="24"/>
          <w:highlight w:val="none"/>
        </w:rPr>
        <w:t>所在地有关主管部门反馈的证明材料与本文中要求不一致时，以当地要求为准，但须</w:t>
      </w:r>
      <w:r>
        <w:rPr>
          <w:rFonts w:hint="eastAsia" w:ascii="仿宋" w:hAnsi="仿宋" w:eastAsia="仿宋" w:cs="仿宋"/>
          <w:color w:val="000000"/>
          <w:sz w:val="24"/>
          <w:szCs w:val="24"/>
          <w:highlight w:val="none"/>
          <w:lang w:eastAsia="zh-CN"/>
        </w:rPr>
        <w:t>投标人</w:t>
      </w:r>
      <w:r>
        <w:rPr>
          <w:rFonts w:hint="eastAsia" w:ascii="仿宋" w:hAnsi="仿宋" w:eastAsia="仿宋" w:cs="仿宋"/>
          <w:color w:val="000000"/>
          <w:sz w:val="24"/>
          <w:szCs w:val="24"/>
          <w:highlight w:val="none"/>
        </w:rPr>
        <w:t>提供文字说明。</w:t>
      </w:r>
      <w:r>
        <w:rPr>
          <w:rFonts w:hint="eastAsia" w:ascii="仿宋" w:hAnsi="仿宋" w:eastAsia="仿宋" w:cs="仿宋"/>
          <w:b/>
          <w:sz w:val="24"/>
          <w:szCs w:val="24"/>
          <w:highlight w:val="none"/>
          <w:shd w:val="clear" w:color="auto" w:fill="FFFFFF" w:themeFill="background1"/>
        </w:rPr>
        <w:br w:type="page"/>
      </w:r>
    </w:p>
    <w:p w14:paraId="5968D9CF">
      <w:pPr>
        <w:tabs>
          <w:tab w:val="center" w:pos="4832"/>
          <w:tab w:val="left" w:pos="7140"/>
        </w:tabs>
        <w:spacing w:line="360" w:lineRule="auto"/>
        <w:jc w:val="center"/>
        <w:outlineLvl w:val="1"/>
        <w:rPr>
          <w:rFonts w:hint="eastAsia" w:ascii="仿宋" w:hAnsi="仿宋" w:eastAsia="仿宋" w:cs="仿宋"/>
          <w:b/>
          <w:sz w:val="24"/>
          <w:szCs w:val="24"/>
          <w:highlight w:val="none"/>
          <w:shd w:val="clear" w:color="auto" w:fill="FFFFFF" w:themeFill="background1"/>
        </w:rPr>
      </w:pPr>
      <w:bookmarkStart w:id="553" w:name="_Toc5928"/>
      <w:bookmarkStart w:id="554" w:name="_Toc133453664"/>
      <w:r>
        <w:rPr>
          <w:rFonts w:hint="eastAsia" w:ascii="仿宋" w:hAnsi="仿宋" w:eastAsia="仿宋" w:cs="仿宋"/>
          <w:b/>
          <w:sz w:val="24"/>
          <w:szCs w:val="24"/>
          <w:highlight w:val="none"/>
          <w:shd w:val="clear" w:color="auto" w:fill="FFFFFF" w:themeFill="background1"/>
        </w:rPr>
        <w:t>8.3、具备履行合同所必需的设备和专业技术能力的证明材料</w:t>
      </w:r>
      <w:bookmarkEnd w:id="549"/>
      <w:bookmarkEnd w:id="550"/>
      <w:bookmarkEnd w:id="551"/>
      <w:bookmarkEnd w:id="553"/>
      <w:bookmarkEnd w:id="554"/>
    </w:p>
    <w:p w14:paraId="29CE6D73">
      <w:pPr>
        <w:spacing w:line="360" w:lineRule="auto"/>
        <w:rPr>
          <w:rFonts w:hint="eastAsia" w:ascii="仿宋" w:hAnsi="仿宋" w:eastAsia="仿宋" w:cs="仿宋"/>
          <w:sz w:val="24"/>
          <w:szCs w:val="24"/>
          <w:highlight w:val="none"/>
          <w:shd w:val="clear" w:color="auto" w:fill="FFFFFF" w:themeFill="background1"/>
        </w:rPr>
      </w:pPr>
    </w:p>
    <w:p w14:paraId="428FCDD4">
      <w:pPr>
        <w:spacing w:line="360" w:lineRule="auto"/>
        <w:rPr>
          <w:rFonts w:hint="eastAsia" w:ascii="仿宋" w:hAnsi="仿宋" w:eastAsia="仿宋" w:cs="仿宋"/>
          <w:sz w:val="24"/>
          <w:szCs w:val="24"/>
          <w:highlight w:val="none"/>
          <w:shd w:val="clear" w:color="auto" w:fill="FFFFFF" w:themeFill="background1"/>
        </w:rPr>
      </w:pPr>
    </w:p>
    <w:p w14:paraId="3A1E5E36">
      <w:pPr>
        <w:spacing w:line="360" w:lineRule="auto"/>
        <w:jc w:val="center"/>
        <w:rPr>
          <w:rFonts w:hint="eastAsia" w:ascii="仿宋" w:hAnsi="仿宋" w:eastAsia="仿宋" w:cs="仿宋"/>
          <w:b/>
          <w:sz w:val="24"/>
          <w:szCs w:val="24"/>
          <w:highlight w:val="none"/>
          <w:shd w:val="clear" w:color="auto" w:fill="FFFFFF" w:themeFill="background1"/>
        </w:rPr>
      </w:pPr>
      <w:r>
        <w:rPr>
          <w:rFonts w:hint="eastAsia" w:ascii="仿宋" w:hAnsi="仿宋" w:eastAsia="仿宋" w:cs="仿宋"/>
          <w:b/>
          <w:sz w:val="24"/>
          <w:szCs w:val="24"/>
          <w:highlight w:val="none"/>
          <w:shd w:val="clear" w:color="auto" w:fill="FFFFFF" w:themeFill="background1"/>
        </w:rPr>
        <w:t>具有履行合同所必需的设备和专业技术能力的承诺</w:t>
      </w:r>
      <w:bookmarkEnd w:id="552"/>
      <w:r>
        <w:rPr>
          <w:rFonts w:hint="eastAsia" w:ascii="仿宋" w:hAnsi="仿宋" w:eastAsia="仿宋" w:cs="仿宋"/>
          <w:b/>
          <w:sz w:val="24"/>
          <w:szCs w:val="24"/>
          <w:highlight w:val="none"/>
          <w:shd w:val="clear" w:color="auto" w:fill="FFFFFF" w:themeFill="background1"/>
        </w:rPr>
        <w:t>函</w:t>
      </w:r>
    </w:p>
    <w:p w14:paraId="236E50B9">
      <w:pPr>
        <w:adjustRightInd w:val="0"/>
        <w:snapToGrid w:val="0"/>
        <w:spacing w:line="360" w:lineRule="auto"/>
        <w:ind w:firstLine="480" w:firstLineChars="200"/>
        <w:jc w:val="center"/>
        <w:rPr>
          <w:rFonts w:hint="eastAsia" w:ascii="仿宋" w:hAnsi="仿宋" w:eastAsia="仿宋" w:cs="仿宋"/>
          <w:sz w:val="24"/>
          <w:szCs w:val="24"/>
          <w:highlight w:val="none"/>
          <w:shd w:val="clear" w:color="auto" w:fill="FFFFFF" w:themeFill="background1"/>
        </w:rPr>
      </w:pPr>
    </w:p>
    <w:p w14:paraId="11918A3A">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致：</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（采购人名称）</w:t>
      </w:r>
    </w:p>
    <w:p w14:paraId="48C77D2C">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shd w:val="clear" w:color="auto" w:fill="FFFFFF" w:themeFill="background1"/>
        </w:rPr>
      </w:pPr>
    </w:p>
    <w:p w14:paraId="21776272">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 xml:space="preserve">我单位郑重承诺： </w:t>
      </w:r>
    </w:p>
    <w:p w14:paraId="1E38CF23">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我单位具备履行</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w:t>
      </w:r>
      <w:r>
        <w:rPr>
          <w:rFonts w:hint="eastAsia" w:ascii="仿宋" w:hAnsi="仿宋" w:eastAsia="仿宋" w:cs="仿宋"/>
          <w:kern w:val="0"/>
          <w:sz w:val="24"/>
          <w:szCs w:val="24"/>
          <w:highlight w:val="none"/>
          <w:shd w:val="clear" w:color="auto" w:fill="FFFFFF" w:themeFill="background1"/>
          <w:lang w:val="en-US" w:eastAsia="zh-CN"/>
        </w:rPr>
        <w:t>项目名称</w:t>
      </w:r>
      <w:r>
        <w:rPr>
          <w:rFonts w:hint="eastAsia" w:ascii="仿宋" w:hAnsi="仿宋" w:eastAsia="仿宋" w:cs="仿宋"/>
          <w:kern w:val="0"/>
          <w:sz w:val="24"/>
          <w:szCs w:val="24"/>
          <w:highlight w:val="none"/>
          <w:shd w:val="clear" w:color="auto" w:fill="FFFFFF" w:themeFill="background1"/>
        </w:rPr>
        <w:t>）合同所必需的设备和专业技术能力；</w:t>
      </w:r>
    </w:p>
    <w:p w14:paraId="74B4CB69">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 xml:space="preserve">特此承诺。 </w:t>
      </w:r>
    </w:p>
    <w:p w14:paraId="75E8A92B">
      <w:pPr>
        <w:autoSpaceDE w:val="0"/>
        <w:autoSpaceDN w:val="0"/>
        <w:adjustRightInd w:val="0"/>
        <w:spacing w:line="360" w:lineRule="auto"/>
        <w:jc w:val="left"/>
        <w:rPr>
          <w:rFonts w:hint="eastAsia" w:ascii="仿宋" w:hAnsi="仿宋" w:eastAsia="仿宋" w:cs="仿宋"/>
          <w:kern w:val="0"/>
          <w:sz w:val="24"/>
          <w:szCs w:val="24"/>
          <w:highlight w:val="none"/>
          <w:shd w:val="clear" w:color="auto" w:fill="FFFFFF" w:themeFill="background1"/>
        </w:rPr>
      </w:pPr>
    </w:p>
    <w:p w14:paraId="1BC5B0E6">
      <w:pPr>
        <w:autoSpaceDE w:val="0"/>
        <w:autoSpaceDN w:val="0"/>
        <w:adjustRightInd w:val="0"/>
        <w:spacing w:line="360" w:lineRule="auto"/>
        <w:jc w:val="left"/>
        <w:rPr>
          <w:rFonts w:hint="eastAsia" w:ascii="仿宋" w:hAnsi="仿宋" w:eastAsia="仿宋" w:cs="仿宋"/>
          <w:kern w:val="0"/>
          <w:sz w:val="24"/>
          <w:szCs w:val="24"/>
          <w:highlight w:val="none"/>
          <w:shd w:val="clear" w:color="auto" w:fill="FFFFFF" w:themeFill="background1"/>
        </w:rPr>
      </w:pPr>
    </w:p>
    <w:p w14:paraId="129D666F">
      <w:pPr>
        <w:autoSpaceDE w:val="0"/>
        <w:autoSpaceDN w:val="0"/>
        <w:adjustRightInd w:val="0"/>
        <w:spacing w:line="360" w:lineRule="auto"/>
        <w:jc w:val="left"/>
        <w:rPr>
          <w:rFonts w:hint="eastAsia" w:ascii="仿宋" w:hAnsi="仿宋" w:eastAsia="仿宋" w:cs="仿宋"/>
          <w:kern w:val="0"/>
          <w:sz w:val="24"/>
          <w:szCs w:val="24"/>
          <w:highlight w:val="none"/>
          <w:shd w:val="clear" w:color="auto" w:fill="FFFFFF" w:themeFill="background1"/>
        </w:rPr>
      </w:pPr>
    </w:p>
    <w:p w14:paraId="0A0FA2C8">
      <w:pPr>
        <w:autoSpaceDE w:val="0"/>
        <w:autoSpaceDN w:val="0"/>
        <w:adjustRightInd w:val="0"/>
        <w:spacing w:line="360" w:lineRule="auto"/>
        <w:jc w:val="left"/>
        <w:rPr>
          <w:rFonts w:hint="eastAsia" w:ascii="仿宋" w:hAnsi="仿宋" w:eastAsia="仿宋" w:cs="仿宋"/>
          <w:kern w:val="0"/>
          <w:sz w:val="24"/>
          <w:szCs w:val="24"/>
          <w:highlight w:val="none"/>
          <w:shd w:val="clear" w:color="auto" w:fill="FFFFFF" w:themeFill="background1"/>
        </w:rPr>
      </w:pPr>
    </w:p>
    <w:p w14:paraId="4C1C7C20">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投标人：</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（盖章）</w:t>
      </w:r>
    </w:p>
    <w:p w14:paraId="0877C695">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p>
    <w:p w14:paraId="5414C8D2">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p>
    <w:p w14:paraId="112EC44B">
      <w:pPr>
        <w:widowControl/>
        <w:shd w:val="clear" w:color="auto" w:fill="FFFFFF"/>
        <w:snapToGrid w:val="0"/>
        <w:spacing w:line="360" w:lineRule="auto"/>
        <w:ind w:firstLine="420"/>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 xml:space="preserve">                                               日期： 年  月  日</w:t>
      </w:r>
    </w:p>
    <w:p w14:paraId="1770C7ED">
      <w:pPr>
        <w:adjustRightInd w:val="0"/>
        <w:snapToGrid w:val="0"/>
        <w:spacing w:line="360" w:lineRule="auto"/>
        <w:rPr>
          <w:rFonts w:hint="eastAsia" w:ascii="仿宋" w:hAnsi="仿宋" w:eastAsia="仿宋" w:cs="仿宋"/>
          <w:bCs/>
          <w:sz w:val="24"/>
          <w:szCs w:val="24"/>
          <w:highlight w:val="none"/>
          <w:shd w:val="clear" w:color="auto" w:fill="FFFFFF" w:themeFill="background1"/>
        </w:rPr>
      </w:pPr>
    </w:p>
    <w:p w14:paraId="66381B0D">
      <w:pPr>
        <w:spacing w:line="360" w:lineRule="auto"/>
        <w:rPr>
          <w:rFonts w:hint="eastAsia" w:ascii="仿宋" w:hAnsi="仿宋" w:eastAsia="仿宋" w:cs="仿宋"/>
          <w:sz w:val="24"/>
          <w:szCs w:val="24"/>
          <w:highlight w:val="none"/>
          <w:shd w:val="clear" w:color="auto" w:fill="FFFFFF" w:themeFill="background1"/>
        </w:rPr>
      </w:pPr>
    </w:p>
    <w:p w14:paraId="37A7F0CC">
      <w:pPr>
        <w:spacing w:line="360" w:lineRule="auto"/>
        <w:rPr>
          <w:rFonts w:hint="eastAsia" w:ascii="仿宋" w:hAnsi="仿宋" w:eastAsia="仿宋" w:cs="仿宋"/>
          <w:sz w:val="24"/>
          <w:szCs w:val="24"/>
          <w:highlight w:val="none"/>
          <w:shd w:val="clear" w:color="auto" w:fill="FFFFFF" w:themeFill="background1"/>
        </w:rPr>
      </w:pPr>
    </w:p>
    <w:p w14:paraId="160F2A7B">
      <w:pPr>
        <w:spacing w:line="360" w:lineRule="auto"/>
        <w:rPr>
          <w:rFonts w:hint="eastAsia" w:ascii="仿宋" w:hAnsi="仿宋" w:eastAsia="仿宋" w:cs="仿宋"/>
          <w:sz w:val="24"/>
          <w:szCs w:val="24"/>
          <w:highlight w:val="none"/>
          <w:shd w:val="clear" w:color="auto" w:fill="FFFFFF" w:themeFill="background1"/>
        </w:rPr>
      </w:pPr>
    </w:p>
    <w:p w14:paraId="32015380">
      <w:pPr>
        <w:spacing w:line="360" w:lineRule="auto"/>
        <w:rPr>
          <w:rFonts w:hint="eastAsia" w:ascii="仿宋" w:hAnsi="仿宋" w:eastAsia="仿宋" w:cs="仿宋"/>
          <w:sz w:val="24"/>
          <w:szCs w:val="24"/>
          <w:highlight w:val="none"/>
          <w:shd w:val="clear" w:color="auto" w:fill="FFFFFF" w:themeFill="background1"/>
        </w:rPr>
      </w:pPr>
    </w:p>
    <w:p w14:paraId="724FF1E5">
      <w:pPr>
        <w:spacing w:line="360" w:lineRule="auto"/>
        <w:rPr>
          <w:rFonts w:hint="eastAsia" w:ascii="仿宋" w:hAnsi="仿宋" w:eastAsia="仿宋" w:cs="仿宋"/>
          <w:sz w:val="24"/>
          <w:szCs w:val="24"/>
          <w:highlight w:val="none"/>
          <w:shd w:val="clear" w:color="auto" w:fill="FFFFFF" w:themeFill="background1"/>
        </w:rPr>
      </w:pPr>
    </w:p>
    <w:p w14:paraId="142C93E5">
      <w:pPr>
        <w:spacing w:line="360" w:lineRule="auto"/>
        <w:rPr>
          <w:rFonts w:hint="eastAsia" w:ascii="仿宋" w:hAnsi="仿宋" w:eastAsia="仿宋" w:cs="仿宋"/>
          <w:sz w:val="24"/>
          <w:szCs w:val="24"/>
          <w:highlight w:val="none"/>
          <w:shd w:val="clear" w:color="auto" w:fill="FFFFFF" w:themeFill="background1"/>
        </w:rPr>
      </w:pPr>
    </w:p>
    <w:p w14:paraId="57D0B5D9">
      <w:pPr>
        <w:widowControl/>
        <w:spacing w:line="360" w:lineRule="auto"/>
        <w:jc w:val="left"/>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br w:type="page"/>
      </w:r>
    </w:p>
    <w:p w14:paraId="20CFC1BE">
      <w:pPr>
        <w:adjustRightInd w:val="0"/>
        <w:snapToGrid w:val="0"/>
        <w:spacing w:line="360" w:lineRule="auto"/>
        <w:jc w:val="center"/>
        <w:outlineLvl w:val="1"/>
        <w:rPr>
          <w:rFonts w:hint="eastAsia" w:ascii="仿宋" w:hAnsi="仿宋" w:eastAsia="仿宋" w:cs="仿宋"/>
          <w:b/>
          <w:sz w:val="24"/>
          <w:szCs w:val="24"/>
          <w:highlight w:val="none"/>
          <w:shd w:val="clear" w:color="auto" w:fill="FFFFFF" w:themeFill="background1"/>
        </w:rPr>
      </w:pPr>
      <w:bookmarkStart w:id="555" w:name="_Toc5703"/>
      <w:bookmarkStart w:id="556" w:name="_Toc133453665"/>
      <w:bookmarkStart w:id="557" w:name="_Toc128476881"/>
      <w:bookmarkStart w:id="558" w:name="_Toc9548"/>
      <w:bookmarkStart w:id="559" w:name="_Toc113901852"/>
      <w:bookmarkStart w:id="560" w:name="_Toc111556490"/>
      <w:r>
        <w:rPr>
          <w:rFonts w:hint="eastAsia" w:ascii="仿宋" w:hAnsi="仿宋" w:eastAsia="仿宋" w:cs="仿宋"/>
          <w:b/>
          <w:sz w:val="24"/>
          <w:szCs w:val="24"/>
          <w:highlight w:val="none"/>
          <w:shd w:val="clear" w:color="auto" w:fill="FFFFFF" w:themeFill="background1"/>
        </w:rPr>
        <w:t>8.4、参加政府采购活动前3年内在经营活动中没有重大违法记录的书面声明</w:t>
      </w:r>
      <w:bookmarkEnd w:id="555"/>
      <w:bookmarkEnd w:id="556"/>
      <w:bookmarkEnd w:id="557"/>
      <w:bookmarkEnd w:id="558"/>
      <w:bookmarkEnd w:id="559"/>
    </w:p>
    <w:bookmarkEnd w:id="560"/>
    <w:p w14:paraId="2F63140E">
      <w:pPr>
        <w:widowControl/>
        <w:adjustRightInd w:val="0"/>
        <w:snapToGrid w:val="0"/>
        <w:spacing w:line="360" w:lineRule="auto"/>
        <w:rPr>
          <w:rFonts w:hint="eastAsia" w:ascii="仿宋" w:hAnsi="仿宋" w:eastAsia="仿宋" w:cs="仿宋"/>
          <w:sz w:val="24"/>
          <w:szCs w:val="24"/>
          <w:highlight w:val="none"/>
          <w:shd w:val="clear" w:color="auto" w:fill="FFFFFF" w:themeFill="background1"/>
        </w:rPr>
      </w:pPr>
    </w:p>
    <w:p w14:paraId="5C8763BC">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致：</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（采购人名称）</w:t>
      </w:r>
    </w:p>
    <w:p w14:paraId="6ADC5F87">
      <w:pPr>
        <w:adjustRightInd w:val="0"/>
        <w:snapToGrid w:val="0"/>
        <w:spacing w:line="360" w:lineRule="auto"/>
        <w:ind w:firstLine="480" w:firstLineChars="200"/>
        <w:rPr>
          <w:rFonts w:hint="eastAsia" w:ascii="仿宋" w:hAnsi="仿宋" w:eastAsia="仿宋" w:cs="仿宋"/>
          <w:sz w:val="24"/>
          <w:szCs w:val="24"/>
          <w:highlight w:val="none"/>
          <w:shd w:val="clear" w:color="auto" w:fill="FFFFFF" w:themeFill="background1"/>
        </w:rPr>
      </w:pPr>
    </w:p>
    <w:p w14:paraId="6D08A78B">
      <w:pPr>
        <w:adjustRightInd w:val="0"/>
        <w:snapToGrid w:val="0"/>
        <w:spacing w:line="360" w:lineRule="auto"/>
        <w:ind w:firstLine="480" w:firstLineChars="200"/>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我单位在参与</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sz w:val="24"/>
          <w:szCs w:val="24"/>
          <w:highlight w:val="none"/>
          <w:shd w:val="clear" w:color="auto" w:fill="FFFFFF" w:themeFill="background1"/>
        </w:rPr>
        <w:t>（</w:t>
      </w:r>
      <w:r>
        <w:rPr>
          <w:rFonts w:hint="eastAsia" w:ascii="仿宋" w:hAnsi="仿宋" w:eastAsia="仿宋" w:cs="仿宋"/>
          <w:kern w:val="0"/>
          <w:sz w:val="24"/>
          <w:szCs w:val="24"/>
          <w:highlight w:val="none"/>
          <w:shd w:val="clear" w:color="auto" w:fill="FFFFFF" w:themeFill="background1"/>
          <w:lang w:val="en-US" w:eastAsia="zh-CN"/>
        </w:rPr>
        <w:t>项目名称</w:t>
      </w:r>
      <w:r>
        <w:rPr>
          <w:rFonts w:hint="eastAsia" w:ascii="仿宋" w:hAnsi="仿宋" w:eastAsia="仿宋" w:cs="仿宋"/>
          <w:sz w:val="24"/>
          <w:szCs w:val="24"/>
          <w:highlight w:val="none"/>
          <w:shd w:val="clear" w:color="auto" w:fill="FFFFFF" w:themeFill="background1"/>
        </w:rPr>
        <w:t>）</w:t>
      </w:r>
      <w:r>
        <w:rPr>
          <w:rFonts w:hint="eastAsia" w:ascii="仿宋" w:hAnsi="仿宋" w:eastAsia="仿宋" w:cs="仿宋"/>
          <w:kern w:val="0"/>
          <w:sz w:val="24"/>
          <w:szCs w:val="24"/>
          <w:highlight w:val="none"/>
          <w:shd w:val="clear" w:color="auto" w:fill="FFFFFF" w:themeFill="background1"/>
        </w:rPr>
        <w:t>前三年内（以</w:t>
      </w:r>
      <w:r>
        <w:rPr>
          <w:rFonts w:hint="eastAsia" w:ascii="仿宋" w:hAnsi="仿宋" w:eastAsia="仿宋" w:cs="仿宋"/>
          <w:sz w:val="24"/>
          <w:szCs w:val="24"/>
          <w:highlight w:val="none"/>
          <w:shd w:val="clear" w:color="auto" w:fill="FFFFFF" w:themeFill="background1"/>
        </w:rPr>
        <w:t>投标文件递交截止之日为期限</w:t>
      </w:r>
      <w:r>
        <w:rPr>
          <w:rFonts w:hint="eastAsia" w:ascii="仿宋" w:hAnsi="仿宋" w:eastAsia="仿宋" w:cs="仿宋"/>
          <w:kern w:val="0"/>
          <w:sz w:val="24"/>
          <w:szCs w:val="24"/>
          <w:highlight w:val="none"/>
          <w:shd w:val="clear" w:color="auto" w:fill="FFFFFF" w:themeFill="background1"/>
        </w:rPr>
        <w:t>）在经营活动中没有重大违法记录。</w:t>
      </w:r>
    </w:p>
    <w:p w14:paraId="5E4ED008">
      <w:pPr>
        <w:adjustRightInd w:val="0"/>
        <w:snapToGrid w:val="0"/>
        <w:spacing w:line="360" w:lineRule="auto"/>
        <w:ind w:firstLine="480" w:firstLineChars="200"/>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若贵方在本项目采购过程中发现我方参加政府采购活动前三年内有重大违法记录；</w:t>
      </w:r>
      <w:r>
        <w:rPr>
          <w:rFonts w:hint="eastAsia" w:ascii="仿宋" w:hAnsi="仿宋" w:eastAsia="仿宋" w:cs="仿宋"/>
          <w:kern w:val="0"/>
          <w:sz w:val="24"/>
          <w:szCs w:val="24"/>
          <w:highlight w:val="none"/>
          <w:shd w:val="clear" w:color="auto" w:fill="FFFFFF" w:themeFill="background1"/>
        </w:rPr>
        <w:t>我单位</w:t>
      </w:r>
      <w:r>
        <w:rPr>
          <w:rFonts w:hint="eastAsia" w:ascii="仿宋" w:hAnsi="仿宋" w:eastAsia="仿宋" w:cs="仿宋"/>
          <w:sz w:val="24"/>
          <w:szCs w:val="24"/>
          <w:highlight w:val="none"/>
          <w:shd w:val="clear" w:color="auto" w:fill="FFFFFF" w:themeFill="background1"/>
        </w:rPr>
        <w:t>将无条件退出本项目的投标，并承担因此引起的一切后果。我方对此声明负全部法律责任。</w:t>
      </w:r>
    </w:p>
    <w:p w14:paraId="59013C5F">
      <w:pPr>
        <w:adjustRightInd w:val="0"/>
        <w:snapToGrid w:val="0"/>
        <w:spacing w:line="360" w:lineRule="auto"/>
        <w:ind w:firstLine="480" w:firstLineChars="200"/>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特此声明！</w:t>
      </w:r>
    </w:p>
    <w:p w14:paraId="42FD44A8">
      <w:pPr>
        <w:adjustRightInd w:val="0"/>
        <w:snapToGrid w:val="0"/>
        <w:spacing w:line="360" w:lineRule="auto"/>
        <w:ind w:firstLine="480" w:firstLineChars="200"/>
        <w:rPr>
          <w:rFonts w:hint="eastAsia" w:ascii="仿宋" w:hAnsi="仿宋" w:eastAsia="仿宋" w:cs="仿宋"/>
          <w:sz w:val="24"/>
          <w:szCs w:val="24"/>
          <w:highlight w:val="none"/>
          <w:shd w:val="clear" w:color="auto" w:fill="FFFFFF" w:themeFill="background1"/>
        </w:rPr>
      </w:pPr>
    </w:p>
    <w:p w14:paraId="648C34D6">
      <w:pPr>
        <w:adjustRightInd w:val="0"/>
        <w:snapToGrid w:val="0"/>
        <w:spacing w:line="360" w:lineRule="auto"/>
        <w:ind w:firstLine="480" w:firstLineChars="200"/>
        <w:rPr>
          <w:rFonts w:hint="eastAsia" w:ascii="仿宋" w:hAnsi="仿宋" w:eastAsia="仿宋" w:cs="仿宋"/>
          <w:sz w:val="24"/>
          <w:szCs w:val="24"/>
          <w:highlight w:val="none"/>
          <w:shd w:val="clear" w:color="auto" w:fill="FFFFFF" w:themeFill="background1"/>
        </w:rPr>
      </w:pPr>
    </w:p>
    <w:p w14:paraId="148D46E3">
      <w:pPr>
        <w:adjustRightInd w:val="0"/>
        <w:snapToGrid w:val="0"/>
        <w:spacing w:line="360" w:lineRule="auto"/>
        <w:ind w:firstLine="420" w:firstLineChars="200"/>
        <w:rPr>
          <w:rFonts w:hint="eastAsia" w:ascii="仿宋" w:hAnsi="仿宋" w:eastAsia="仿宋" w:cs="仿宋"/>
          <w:szCs w:val="24"/>
          <w:highlight w:val="none"/>
          <w:shd w:val="clear" w:color="auto" w:fill="FFFFFF" w:themeFill="background1"/>
        </w:rPr>
      </w:pPr>
      <w:r>
        <w:rPr>
          <w:rFonts w:hint="eastAsia" w:ascii="仿宋" w:hAnsi="仿宋" w:eastAsia="仿宋" w:cs="仿宋"/>
          <w:szCs w:val="24"/>
          <w:highlight w:val="none"/>
          <w:shd w:val="clear" w:color="auto" w:fill="FFFFFF" w:themeFill="background1"/>
        </w:rPr>
        <w:t>备注：</w:t>
      </w:r>
    </w:p>
    <w:p w14:paraId="5F47CA02">
      <w:pPr>
        <w:adjustRightInd w:val="0"/>
        <w:snapToGrid w:val="0"/>
        <w:spacing w:line="360" w:lineRule="auto"/>
        <w:ind w:firstLine="420" w:firstLineChars="200"/>
        <w:rPr>
          <w:rFonts w:hint="eastAsia" w:ascii="仿宋" w:hAnsi="仿宋" w:eastAsia="仿宋" w:cs="仿宋"/>
          <w:sz w:val="24"/>
          <w:szCs w:val="24"/>
          <w:highlight w:val="none"/>
          <w:shd w:val="clear" w:color="auto" w:fill="FFFFFF" w:themeFill="background1"/>
        </w:rPr>
      </w:pPr>
      <w:r>
        <w:rPr>
          <w:rFonts w:hint="eastAsia" w:ascii="仿宋" w:hAnsi="仿宋" w:eastAsia="仿宋" w:cs="仿宋"/>
          <w:szCs w:val="24"/>
          <w:highlight w:val="none"/>
          <w:shd w:val="clear" w:color="auto" w:fill="FFFFFF" w:themeFill="background1"/>
        </w:rPr>
        <w:t>若投标人在投标文件递交截止之日成立时间不足三年，以自成立以来的时间计取。</w:t>
      </w:r>
    </w:p>
    <w:p w14:paraId="2A45FB97">
      <w:pPr>
        <w:adjustRightInd w:val="0"/>
        <w:snapToGrid w:val="0"/>
        <w:spacing w:line="360" w:lineRule="auto"/>
        <w:ind w:firstLine="480" w:firstLineChars="200"/>
        <w:rPr>
          <w:rFonts w:hint="eastAsia" w:ascii="仿宋" w:hAnsi="仿宋" w:eastAsia="仿宋" w:cs="仿宋"/>
          <w:kern w:val="0"/>
          <w:sz w:val="24"/>
          <w:szCs w:val="24"/>
          <w:highlight w:val="none"/>
          <w:shd w:val="clear" w:color="auto" w:fill="FFFFFF" w:themeFill="background1"/>
        </w:rPr>
      </w:pPr>
    </w:p>
    <w:p w14:paraId="433A5492">
      <w:pPr>
        <w:adjustRightInd w:val="0"/>
        <w:snapToGrid w:val="0"/>
        <w:spacing w:line="360" w:lineRule="auto"/>
        <w:ind w:firstLine="3112" w:firstLineChars="1297"/>
        <w:rPr>
          <w:rFonts w:hint="eastAsia" w:ascii="仿宋" w:hAnsi="仿宋" w:eastAsia="仿宋" w:cs="仿宋"/>
          <w:sz w:val="24"/>
          <w:szCs w:val="24"/>
          <w:highlight w:val="none"/>
          <w:shd w:val="clear" w:color="auto" w:fill="FFFFFF" w:themeFill="background1"/>
        </w:rPr>
      </w:pPr>
    </w:p>
    <w:p w14:paraId="7E593955">
      <w:pPr>
        <w:widowControl/>
        <w:shd w:val="clear" w:color="auto" w:fill="FFFFFF"/>
        <w:snapToGrid w:val="0"/>
        <w:spacing w:line="360" w:lineRule="auto"/>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投标人：</w:t>
      </w:r>
      <w:r>
        <w:rPr>
          <w:rFonts w:hint="eastAsia" w:ascii="仿宋" w:hAnsi="仿宋" w:eastAsia="仿宋" w:cs="仿宋"/>
          <w:kern w:val="0"/>
          <w:sz w:val="24"/>
          <w:szCs w:val="24"/>
          <w:highlight w:val="none"/>
          <w:u w:val="single"/>
          <w:shd w:val="clear" w:color="auto" w:fill="FFFFFF" w:themeFill="background1"/>
        </w:rPr>
        <w:t xml:space="preserve">               </w:t>
      </w:r>
      <w:r>
        <w:rPr>
          <w:rFonts w:hint="eastAsia" w:ascii="仿宋" w:hAnsi="仿宋" w:eastAsia="仿宋" w:cs="仿宋"/>
          <w:kern w:val="0"/>
          <w:sz w:val="24"/>
          <w:szCs w:val="24"/>
          <w:highlight w:val="none"/>
          <w:shd w:val="clear" w:color="auto" w:fill="FFFFFF" w:themeFill="background1"/>
        </w:rPr>
        <w:t>（盖章）</w:t>
      </w:r>
    </w:p>
    <w:p w14:paraId="30886455">
      <w:pPr>
        <w:widowControl/>
        <w:shd w:val="clear" w:color="auto" w:fill="FFFFFF"/>
        <w:snapToGrid w:val="0"/>
        <w:spacing w:line="360" w:lineRule="auto"/>
        <w:ind w:firstLine="420"/>
        <w:jc w:val="center"/>
        <w:rPr>
          <w:rFonts w:hint="eastAsia" w:ascii="仿宋" w:hAnsi="仿宋" w:eastAsia="仿宋" w:cs="仿宋"/>
          <w:kern w:val="0"/>
          <w:sz w:val="24"/>
          <w:szCs w:val="24"/>
          <w:highlight w:val="none"/>
          <w:shd w:val="clear" w:color="auto" w:fill="FFFFFF" w:themeFill="background1"/>
        </w:rPr>
      </w:pPr>
    </w:p>
    <w:p w14:paraId="63B1E7C0">
      <w:pPr>
        <w:widowControl/>
        <w:shd w:val="clear" w:color="auto" w:fill="FFFFFF"/>
        <w:snapToGrid w:val="0"/>
        <w:spacing w:line="360" w:lineRule="auto"/>
        <w:ind w:firstLine="420"/>
        <w:jc w:val="center"/>
        <w:rPr>
          <w:rFonts w:hint="eastAsia" w:ascii="仿宋" w:hAnsi="仿宋" w:eastAsia="仿宋" w:cs="仿宋"/>
          <w:kern w:val="0"/>
          <w:sz w:val="24"/>
          <w:szCs w:val="24"/>
          <w:highlight w:val="none"/>
          <w:shd w:val="clear" w:color="auto" w:fill="FFFFFF" w:themeFill="background1"/>
        </w:rPr>
      </w:pPr>
    </w:p>
    <w:p w14:paraId="358DA0A1">
      <w:pPr>
        <w:widowControl/>
        <w:shd w:val="clear" w:color="auto" w:fill="FFFFFF"/>
        <w:snapToGrid w:val="0"/>
        <w:spacing w:line="360" w:lineRule="auto"/>
        <w:ind w:firstLine="420"/>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 xml:space="preserve">                                               日期： 年  月  日</w:t>
      </w:r>
    </w:p>
    <w:p w14:paraId="13144215">
      <w:pPr>
        <w:widowControl/>
        <w:shd w:val="clear" w:color="auto" w:fill="FFFFFF"/>
        <w:snapToGrid w:val="0"/>
        <w:spacing w:line="360" w:lineRule="auto"/>
        <w:ind w:firstLine="420"/>
        <w:rPr>
          <w:rFonts w:hint="eastAsia" w:ascii="仿宋" w:hAnsi="仿宋" w:eastAsia="仿宋" w:cs="仿宋"/>
          <w:kern w:val="0"/>
          <w:sz w:val="24"/>
          <w:szCs w:val="24"/>
          <w:highlight w:val="none"/>
          <w:shd w:val="clear" w:color="auto" w:fill="FFFFFF" w:themeFill="background1"/>
        </w:rPr>
      </w:pPr>
    </w:p>
    <w:p w14:paraId="07717102">
      <w:pPr>
        <w:widowControl/>
        <w:jc w:val="left"/>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br w:type="page"/>
      </w:r>
    </w:p>
    <w:p w14:paraId="3A3A8B67">
      <w:pPr>
        <w:adjustRightInd w:val="0"/>
        <w:snapToGrid w:val="0"/>
        <w:spacing w:line="360" w:lineRule="auto"/>
        <w:jc w:val="center"/>
        <w:outlineLvl w:val="1"/>
        <w:rPr>
          <w:rFonts w:hint="eastAsia" w:ascii="仿宋" w:hAnsi="仿宋" w:eastAsia="仿宋" w:cs="仿宋"/>
          <w:b/>
          <w:sz w:val="24"/>
          <w:szCs w:val="24"/>
          <w:highlight w:val="none"/>
          <w:shd w:val="clear" w:color="auto" w:fill="FFFFFF" w:themeFill="background1"/>
        </w:rPr>
      </w:pPr>
      <w:bookmarkStart w:id="561" w:name="_Toc26372"/>
      <w:bookmarkStart w:id="562" w:name="_Toc113901853"/>
      <w:bookmarkStart w:id="563" w:name="_Toc133453666"/>
      <w:bookmarkStart w:id="564" w:name="_Toc15699"/>
      <w:bookmarkStart w:id="565" w:name="_Toc128476882"/>
      <w:r>
        <w:rPr>
          <w:rFonts w:hint="eastAsia" w:ascii="仿宋" w:hAnsi="仿宋" w:eastAsia="仿宋" w:cs="仿宋"/>
          <w:b/>
          <w:sz w:val="24"/>
          <w:szCs w:val="24"/>
          <w:highlight w:val="none"/>
          <w:shd w:val="clear" w:color="auto" w:fill="FFFFFF" w:themeFill="background1"/>
        </w:rPr>
        <w:t>8.5、具备法律、行政法规规定的其他条件的证明材料</w:t>
      </w:r>
      <w:bookmarkEnd w:id="561"/>
      <w:bookmarkEnd w:id="562"/>
      <w:bookmarkEnd w:id="563"/>
      <w:bookmarkEnd w:id="564"/>
      <w:bookmarkEnd w:id="565"/>
    </w:p>
    <w:p w14:paraId="64068D36">
      <w:pPr>
        <w:widowControl/>
        <w:adjustRightInd w:val="0"/>
        <w:snapToGrid w:val="0"/>
        <w:spacing w:line="360" w:lineRule="auto"/>
        <w:rPr>
          <w:rFonts w:hint="eastAsia" w:ascii="仿宋" w:hAnsi="仿宋" w:eastAsia="仿宋" w:cs="仿宋"/>
          <w:sz w:val="24"/>
          <w:szCs w:val="24"/>
          <w:highlight w:val="none"/>
          <w:shd w:val="clear" w:color="auto" w:fill="FFFFFF" w:themeFill="background1"/>
        </w:rPr>
      </w:pPr>
    </w:p>
    <w:p w14:paraId="01E46E92">
      <w:pPr>
        <w:spacing w:line="360" w:lineRule="auto"/>
        <w:ind w:firstLine="480" w:firstLineChars="200"/>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1、国家有关主管部门的行政许可（如有时）。</w:t>
      </w:r>
    </w:p>
    <w:p w14:paraId="7C29531F">
      <w:pPr>
        <w:spacing w:line="360" w:lineRule="auto"/>
        <w:ind w:firstLine="480" w:firstLineChars="200"/>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2、投标人如为</w:t>
      </w:r>
      <w:r>
        <w:rPr>
          <w:rFonts w:hint="eastAsia" w:ascii="仿宋" w:hAnsi="仿宋" w:eastAsia="仿宋" w:cs="仿宋"/>
          <w:kern w:val="0"/>
          <w:sz w:val="24"/>
          <w:szCs w:val="24"/>
          <w:highlight w:val="none"/>
          <w:shd w:val="clear" w:color="auto" w:fill="FFFFFF" w:themeFill="background1"/>
          <w:lang w:val="en-US" w:eastAsia="zh-CN"/>
        </w:rPr>
        <w:t>中</w:t>
      </w:r>
      <w:r>
        <w:rPr>
          <w:rFonts w:hint="eastAsia" w:ascii="仿宋" w:hAnsi="仿宋" w:eastAsia="仿宋" w:cs="仿宋"/>
          <w:kern w:val="0"/>
          <w:sz w:val="24"/>
          <w:szCs w:val="24"/>
          <w:highlight w:val="none"/>
          <w:shd w:val="clear" w:color="auto" w:fill="FFFFFF" w:themeFill="background1"/>
        </w:rPr>
        <w:t>小企业或残疾人福利性单位的须提供声明函，为监狱企业的须提供由省级以上监狱管理局、戒毒管理局（含新疆生产建设兵团）出具的属于监狱企业的证明文件；注：残疾人福利性单位和监狱企业视同小型、微型企业。</w:t>
      </w:r>
    </w:p>
    <w:p w14:paraId="79AFBB82">
      <w:pPr>
        <w:spacing w:line="360" w:lineRule="auto"/>
        <w:ind w:firstLine="480" w:firstLineChars="200"/>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br w:type="page"/>
      </w:r>
    </w:p>
    <w:p w14:paraId="35C89FD7">
      <w:pPr>
        <w:pStyle w:val="37"/>
        <w:spacing w:line="360" w:lineRule="auto"/>
        <w:rPr>
          <w:rStyle w:val="45"/>
          <w:rFonts w:hint="eastAsia" w:ascii="仿宋" w:hAnsi="仿宋" w:eastAsia="仿宋" w:cs="仿宋"/>
          <w:highlight w:val="none"/>
          <w:shd w:val="clear" w:color="auto" w:fill="FFFFFF" w:themeFill="background1"/>
        </w:rPr>
      </w:pPr>
      <w:r>
        <w:rPr>
          <w:rFonts w:hint="eastAsia" w:ascii="仿宋" w:hAnsi="仿宋" w:eastAsia="仿宋" w:cs="仿宋"/>
          <w:highlight w:val="none"/>
          <w:shd w:val="clear" w:color="auto" w:fill="FFFFFF" w:themeFill="background1"/>
        </w:rPr>
        <w:t xml:space="preserve"> </w:t>
      </w:r>
      <w:r>
        <w:rPr>
          <w:rStyle w:val="45"/>
          <w:rFonts w:hint="eastAsia" w:ascii="仿宋" w:hAnsi="仿宋" w:eastAsia="仿宋" w:cs="仿宋"/>
          <w:highlight w:val="none"/>
          <w:shd w:val="clear" w:color="auto" w:fill="FFFFFF" w:themeFill="background1"/>
        </w:rPr>
        <w:t xml:space="preserve">附表一、                  </w:t>
      </w:r>
    </w:p>
    <w:p w14:paraId="5D001048">
      <w:pPr>
        <w:spacing w:line="588" w:lineRule="exact"/>
        <w:jc w:val="center"/>
        <w:rPr>
          <w:rFonts w:hint="eastAsia" w:ascii="仿宋" w:hAnsi="仿宋" w:eastAsia="仿宋" w:cs="仿宋"/>
          <w:b/>
          <w:spacing w:val="6"/>
          <w:sz w:val="24"/>
          <w:highlight w:val="none"/>
        </w:rPr>
      </w:pPr>
      <w:r>
        <w:rPr>
          <w:rFonts w:hint="eastAsia" w:ascii="仿宋" w:hAnsi="仿宋" w:eastAsia="仿宋" w:cs="仿宋"/>
          <w:b/>
          <w:spacing w:val="6"/>
          <w:sz w:val="24"/>
          <w:highlight w:val="none"/>
        </w:rPr>
        <w:t>中小企业声明函（工程、服务）</w:t>
      </w:r>
    </w:p>
    <w:p w14:paraId="139BFFF7">
      <w:pPr>
        <w:spacing w:line="588" w:lineRule="exact"/>
        <w:jc w:val="center"/>
        <w:rPr>
          <w:rFonts w:hint="eastAsia" w:ascii="仿宋" w:hAnsi="仿宋" w:eastAsia="仿宋" w:cs="仿宋"/>
          <w:b/>
          <w:spacing w:val="6"/>
          <w:sz w:val="24"/>
          <w:highlight w:val="none"/>
        </w:rPr>
      </w:pPr>
    </w:p>
    <w:p w14:paraId="0871B03C">
      <w:pPr>
        <w:spacing w:line="588" w:lineRule="exact"/>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本公司（联合体）郑重声明，根据《政府采购促进中小企业发展管理办法》（财库﹝2020﹞46 号）的规定，本公司</w:t>
      </w:r>
      <w:r>
        <w:rPr>
          <w:rFonts w:hint="eastAsia" w:ascii="仿宋" w:hAnsi="仿宋" w:eastAsia="仿宋" w:cs="仿宋"/>
          <w:kern w:val="0"/>
          <w:sz w:val="24"/>
          <w:szCs w:val="24"/>
          <w:highlight w:val="none"/>
          <w:u w:val="single"/>
        </w:rPr>
        <w:t>（联合体）</w:t>
      </w:r>
      <w:r>
        <w:rPr>
          <w:rFonts w:hint="eastAsia" w:ascii="仿宋" w:hAnsi="仿宋" w:eastAsia="仿宋" w:cs="仿宋"/>
          <w:kern w:val="0"/>
          <w:sz w:val="24"/>
          <w:szCs w:val="24"/>
          <w:highlight w:val="none"/>
        </w:rPr>
        <w:t>参加</w:t>
      </w:r>
      <w:r>
        <w:rPr>
          <w:rFonts w:hint="eastAsia" w:ascii="仿宋" w:hAnsi="仿宋" w:eastAsia="仿宋" w:cs="仿宋"/>
          <w:kern w:val="0"/>
          <w:sz w:val="24"/>
          <w:szCs w:val="24"/>
          <w:highlight w:val="none"/>
          <w:u w:val="single"/>
        </w:rPr>
        <w:t>（单位名称）</w:t>
      </w:r>
      <w:r>
        <w:rPr>
          <w:rFonts w:hint="eastAsia" w:ascii="仿宋" w:hAnsi="仿宋" w:eastAsia="仿宋" w:cs="仿宋"/>
          <w:kern w:val="0"/>
          <w:sz w:val="24"/>
          <w:szCs w:val="24"/>
          <w:highlight w:val="none"/>
        </w:rPr>
        <w:t>的</w:t>
      </w:r>
      <w:r>
        <w:rPr>
          <w:rFonts w:hint="eastAsia" w:ascii="仿宋" w:hAnsi="仿宋" w:eastAsia="仿宋" w:cs="仿宋"/>
          <w:kern w:val="0"/>
          <w:sz w:val="24"/>
          <w:szCs w:val="24"/>
          <w:highlight w:val="none"/>
          <w:u w:val="single"/>
        </w:rPr>
        <w:t>（项目名称）</w:t>
      </w:r>
      <w:r>
        <w:rPr>
          <w:rFonts w:hint="eastAsia" w:ascii="仿宋" w:hAnsi="仿宋" w:eastAsia="仿宋" w:cs="仿宋"/>
          <w:kern w:val="0"/>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1E806A1B">
      <w:pPr>
        <w:spacing w:line="588" w:lineRule="exact"/>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xml:space="preserve">1. </w:t>
      </w:r>
      <w:r>
        <w:rPr>
          <w:rFonts w:hint="eastAsia" w:ascii="仿宋" w:hAnsi="仿宋" w:eastAsia="仿宋" w:cs="仿宋"/>
          <w:kern w:val="0"/>
          <w:sz w:val="24"/>
          <w:szCs w:val="24"/>
          <w:highlight w:val="none"/>
          <w:u w:val="single"/>
        </w:rPr>
        <w:t>（标的名称）</w:t>
      </w:r>
      <w:r>
        <w:rPr>
          <w:rFonts w:hint="eastAsia" w:ascii="仿宋" w:hAnsi="仿宋" w:eastAsia="仿宋" w:cs="仿宋"/>
          <w:kern w:val="0"/>
          <w:sz w:val="24"/>
          <w:szCs w:val="24"/>
          <w:highlight w:val="none"/>
        </w:rPr>
        <w:t xml:space="preserve"> ，属于</w:t>
      </w:r>
      <w:r>
        <w:rPr>
          <w:rFonts w:hint="eastAsia" w:ascii="仿宋" w:hAnsi="仿宋" w:eastAsia="仿宋" w:cs="仿宋"/>
          <w:kern w:val="0"/>
          <w:sz w:val="24"/>
          <w:szCs w:val="24"/>
          <w:highlight w:val="none"/>
          <w:u w:val="single"/>
        </w:rPr>
        <w:t>（采购文件中明确的所属行业）</w:t>
      </w:r>
      <w:r>
        <w:rPr>
          <w:rFonts w:hint="eastAsia" w:ascii="仿宋" w:hAnsi="仿宋" w:eastAsia="仿宋" w:cs="仿宋"/>
          <w:kern w:val="0"/>
          <w:sz w:val="24"/>
          <w:szCs w:val="24"/>
          <w:highlight w:val="none"/>
        </w:rPr>
        <w:t>；承建（承接）企业为</w:t>
      </w:r>
      <w:r>
        <w:rPr>
          <w:rFonts w:hint="eastAsia" w:ascii="仿宋" w:hAnsi="仿宋" w:eastAsia="仿宋" w:cs="仿宋"/>
          <w:kern w:val="0"/>
          <w:sz w:val="24"/>
          <w:szCs w:val="24"/>
          <w:highlight w:val="none"/>
          <w:u w:val="single"/>
        </w:rPr>
        <w:t>（企业名称）</w:t>
      </w:r>
      <w:r>
        <w:rPr>
          <w:rFonts w:hint="eastAsia" w:ascii="仿宋" w:hAnsi="仿宋" w:eastAsia="仿宋" w:cs="仿宋"/>
          <w:kern w:val="0"/>
          <w:sz w:val="24"/>
          <w:szCs w:val="24"/>
          <w:highlight w:val="none"/>
        </w:rPr>
        <w:t>，从业人员</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人，营业收入为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万元，资产总额为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万元，属于（</w:t>
      </w:r>
      <w:r>
        <w:rPr>
          <w:rFonts w:hint="eastAsia" w:ascii="仿宋" w:hAnsi="仿宋" w:eastAsia="仿宋" w:cs="仿宋"/>
          <w:kern w:val="0"/>
          <w:sz w:val="24"/>
          <w:szCs w:val="24"/>
          <w:highlight w:val="none"/>
          <w:u w:val="single"/>
        </w:rPr>
        <w:t>中型企业、小型企业、微型企业</w:t>
      </w:r>
      <w:r>
        <w:rPr>
          <w:rFonts w:hint="eastAsia" w:ascii="仿宋" w:hAnsi="仿宋" w:eastAsia="仿宋" w:cs="仿宋"/>
          <w:kern w:val="0"/>
          <w:sz w:val="24"/>
          <w:szCs w:val="24"/>
          <w:highlight w:val="none"/>
        </w:rPr>
        <w:t>）；</w:t>
      </w:r>
    </w:p>
    <w:p w14:paraId="3BDA78AA">
      <w:pPr>
        <w:spacing w:line="588" w:lineRule="exact"/>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xml:space="preserve">2. </w:t>
      </w:r>
      <w:r>
        <w:rPr>
          <w:rFonts w:hint="eastAsia" w:ascii="仿宋" w:hAnsi="仿宋" w:eastAsia="仿宋" w:cs="仿宋"/>
          <w:kern w:val="0"/>
          <w:sz w:val="24"/>
          <w:szCs w:val="24"/>
          <w:highlight w:val="none"/>
          <w:u w:val="single"/>
        </w:rPr>
        <w:t>（标的名称）</w:t>
      </w:r>
      <w:r>
        <w:rPr>
          <w:rFonts w:hint="eastAsia" w:ascii="仿宋" w:hAnsi="仿宋" w:eastAsia="仿宋" w:cs="仿宋"/>
          <w:kern w:val="0"/>
          <w:sz w:val="24"/>
          <w:szCs w:val="24"/>
          <w:highlight w:val="none"/>
        </w:rPr>
        <w:t xml:space="preserve"> ，属于</w:t>
      </w:r>
      <w:r>
        <w:rPr>
          <w:rFonts w:hint="eastAsia" w:ascii="仿宋" w:hAnsi="仿宋" w:eastAsia="仿宋" w:cs="仿宋"/>
          <w:kern w:val="0"/>
          <w:sz w:val="24"/>
          <w:szCs w:val="24"/>
          <w:highlight w:val="none"/>
          <w:u w:val="single"/>
        </w:rPr>
        <w:t>（采购文件中明确的所属行业）</w:t>
      </w:r>
      <w:r>
        <w:rPr>
          <w:rFonts w:hint="eastAsia" w:ascii="仿宋" w:hAnsi="仿宋" w:eastAsia="仿宋" w:cs="仿宋"/>
          <w:kern w:val="0"/>
          <w:sz w:val="24"/>
          <w:szCs w:val="24"/>
          <w:highlight w:val="none"/>
        </w:rPr>
        <w:t>；承建（承接）企业为</w:t>
      </w:r>
      <w:r>
        <w:rPr>
          <w:rFonts w:hint="eastAsia" w:ascii="仿宋" w:hAnsi="仿宋" w:eastAsia="仿宋" w:cs="仿宋"/>
          <w:kern w:val="0"/>
          <w:sz w:val="24"/>
          <w:szCs w:val="24"/>
          <w:highlight w:val="none"/>
          <w:u w:val="single"/>
        </w:rPr>
        <w:t>（企业名称）</w:t>
      </w:r>
      <w:r>
        <w:rPr>
          <w:rFonts w:hint="eastAsia" w:ascii="仿宋" w:hAnsi="仿宋" w:eastAsia="仿宋" w:cs="仿宋"/>
          <w:kern w:val="0"/>
          <w:sz w:val="24"/>
          <w:szCs w:val="24"/>
          <w:highlight w:val="none"/>
        </w:rPr>
        <w:t>，从业人员</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人，营业收入为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万元，资产总额为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万元，属于（</w:t>
      </w:r>
      <w:r>
        <w:rPr>
          <w:rFonts w:hint="eastAsia" w:ascii="仿宋" w:hAnsi="仿宋" w:eastAsia="仿宋" w:cs="仿宋"/>
          <w:kern w:val="0"/>
          <w:sz w:val="24"/>
          <w:szCs w:val="24"/>
          <w:highlight w:val="none"/>
          <w:u w:val="single"/>
        </w:rPr>
        <w:t>中型企业、小型企业、微型企业</w:t>
      </w:r>
      <w:r>
        <w:rPr>
          <w:rFonts w:hint="eastAsia" w:ascii="仿宋" w:hAnsi="仿宋" w:eastAsia="仿宋" w:cs="仿宋"/>
          <w:kern w:val="0"/>
          <w:sz w:val="24"/>
          <w:szCs w:val="24"/>
          <w:highlight w:val="none"/>
        </w:rPr>
        <w:t>）；</w:t>
      </w:r>
    </w:p>
    <w:p w14:paraId="44477348">
      <w:pPr>
        <w:spacing w:line="588" w:lineRule="exact"/>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14:paraId="516693A1">
      <w:pPr>
        <w:spacing w:line="588" w:lineRule="exact"/>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以上企业，不属于大企业的分支机构，不存在控股股东为大企业的情形，也不存在与大企业的负责人为同一人的情形。</w:t>
      </w:r>
    </w:p>
    <w:p w14:paraId="2AFECBB6">
      <w:pPr>
        <w:spacing w:line="588" w:lineRule="exact"/>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本企业对上述声明内容的真实性负责。如有虚假，将依法承担相应责任。</w:t>
      </w:r>
    </w:p>
    <w:p w14:paraId="42104DF8">
      <w:pPr>
        <w:spacing w:line="588" w:lineRule="exact"/>
        <w:ind w:firstLine="480" w:firstLineChars="200"/>
        <w:jc w:val="righ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企业名称（盖章）：</w:t>
      </w:r>
    </w:p>
    <w:p w14:paraId="251BEFE6">
      <w:pPr>
        <w:spacing w:line="588" w:lineRule="exact"/>
        <w:ind w:right="480" w:firstLine="480" w:firstLineChars="200"/>
        <w:jc w:val="right"/>
        <w:rPr>
          <w:rFonts w:hint="eastAsia" w:ascii="仿宋" w:hAnsi="仿宋" w:eastAsia="仿宋" w:cs="仿宋"/>
          <w:b/>
          <w:sz w:val="24"/>
          <w:szCs w:val="24"/>
          <w:highlight w:val="none"/>
        </w:rPr>
      </w:pPr>
      <w:r>
        <w:rPr>
          <w:rFonts w:hint="eastAsia" w:ascii="仿宋" w:hAnsi="仿宋" w:eastAsia="仿宋" w:cs="仿宋"/>
          <w:kern w:val="0"/>
          <w:sz w:val="24"/>
          <w:szCs w:val="24"/>
          <w:highlight w:val="none"/>
        </w:rPr>
        <w:t>日期：</w:t>
      </w:r>
    </w:p>
    <w:p w14:paraId="7E5D2C34">
      <w:pPr>
        <w:spacing w:line="588" w:lineRule="exact"/>
        <w:rPr>
          <w:rStyle w:val="45"/>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注：人员、营业收入、资产总额填报上一年度数据，无上一年度数据的新成立企业可不填报。</w:t>
      </w:r>
    </w:p>
    <w:p w14:paraId="4DDDEC85">
      <w:pPr>
        <w:spacing w:line="360" w:lineRule="auto"/>
        <w:ind w:firstLine="420" w:firstLineChars="200"/>
        <w:rPr>
          <w:rFonts w:hint="eastAsia" w:ascii="仿宋" w:hAnsi="仿宋" w:eastAsia="仿宋" w:cs="仿宋"/>
          <w:highlight w:val="none"/>
        </w:rPr>
      </w:pPr>
    </w:p>
    <w:p w14:paraId="5271AC7E">
      <w:pPr>
        <w:keepNext w:val="0"/>
        <w:keepLines w:val="0"/>
        <w:pageBreakBefore w:val="0"/>
        <w:tabs>
          <w:tab w:val="left" w:pos="3777"/>
          <w:tab w:val="center" w:pos="4819"/>
        </w:tabs>
        <w:kinsoku/>
        <w:wordWrap/>
        <w:overflowPunct/>
        <w:topLinePunct w:val="0"/>
        <w:bidi w:val="0"/>
        <w:spacing w:line="360" w:lineRule="auto"/>
        <w:jc w:val="center"/>
        <w:textAlignment w:val="auto"/>
        <w:outlineLvl w:val="9"/>
        <w:rPr>
          <w:rFonts w:hint="eastAsia" w:ascii="仿宋" w:hAnsi="仿宋" w:eastAsia="仿宋" w:cs="仿宋"/>
          <w:b/>
          <w:sz w:val="32"/>
          <w:szCs w:val="32"/>
          <w:highlight w:val="none"/>
        </w:rPr>
      </w:pPr>
      <w:r>
        <w:rPr>
          <w:rFonts w:hint="eastAsia" w:ascii="仿宋" w:hAnsi="仿宋" w:eastAsia="仿宋" w:cs="仿宋"/>
          <w:b/>
          <w:sz w:val="32"/>
          <w:szCs w:val="32"/>
          <w:highlight w:val="none"/>
        </w:rPr>
        <w:br w:type="page"/>
      </w:r>
      <w:bookmarkStart w:id="566" w:name="_Toc2253"/>
      <w:bookmarkStart w:id="567" w:name="_Toc138177925"/>
      <w:bookmarkStart w:id="568" w:name="_Toc3480"/>
      <w:bookmarkStart w:id="569" w:name="_Toc28587"/>
      <w:r>
        <w:rPr>
          <w:rFonts w:hint="eastAsia" w:ascii="仿宋" w:hAnsi="仿宋" w:eastAsia="仿宋" w:cs="仿宋"/>
          <w:b/>
          <w:spacing w:val="6"/>
          <w:sz w:val="24"/>
          <w:highlight w:val="none"/>
        </w:rPr>
        <w:t>监狱企业声明函</w:t>
      </w:r>
      <w:bookmarkEnd w:id="566"/>
      <w:bookmarkEnd w:id="567"/>
      <w:bookmarkEnd w:id="568"/>
      <w:bookmarkEnd w:id="569"/>
    </w:p>
    <w:p w14:paraId="1FF6AC1F">
      <w:pPr>
        <w:keepNext w:val="0"/>
        <w:keepLines w:val="0"/>
        <w:pageBreakBefore w:val="0"/>
        <w:kinsoku/>
        <w:wordWrap/>
        <w:overflowPunct/>
        <w:topLinePunct w:val="0"/>
        <w:bidi w:val="0"/>
        <w:spacing w:line="360" w:lineRule="auto"/>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（监狱企业适用）</w:t>
      </w:r>
    </w:p>
    <w:p w14:paraId="64274BF6">
      <w:pPr>
        <w:keepNext w:val="0"/>
        <w:keepLines w:val="0"/>
        <w:pageBreakBefore w:val="0"/>
        <w:kinsoku/>
        <w:wordWrap/>
        <w:overflowPunct/>
        <w:topLinePunct w:val="0"/>
        <w:bidi w:val="0"/>
        <w:spacing w:line="360" w:lineRule="auto"/>
        <w:ind w:firstLine="540" w:firstLineChars="225"/>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本公司郑重声明，根据《关于政府采购支持监狱企业发展有关问题的通知》（财库[2014]68号）的规定，本公司为监狱企业。</w:t>
      </w:r>
    </w:p>
    <w:p w14:paraId="462429E9">
      <w:pPr>
        <w:keepNext w:val="0"/>
        <w:keepLines w:val="0"/>
        <w:pageBreakBefore w:val="0"/>
        <w:kinsoku/>
        <w:wordWrap/>
        <w:overflowPunct/>
        <w:topLinePunct w:val="0"/>
        <w:bidi w:val="0"/>
        <w:spacing w:line="360" w:lineRule="auto"/>
        <w:ind w:firstLine="540" w:firstLineChars="225"/>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本公司参加______单位的______项目采购活动，采购活动提供本企业（填写制造的货物，由本企业承担工程、提供服务）。</w:t>
      </w:r>
    </w:p>
    <w:p w14:paraId="42A7BDFF">
      <w:pPr>
        <w:keepNext w:val="0"/>
        <w:keepLines w:val="0"/>
        <w:pageBreakBefore w:val="0"/>
        <w:kinsoku/>
        <w:wordWrap/>
        <w:overflowPunct/>
        <w:topLinePunct w:val="0"/>
        <w:bidi w:val="0"/>
        <w:spacing w:line="360" w:lineRule="auto"/>
        <w:ind w:firstLine="540" w:firstLineChars="225"/>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本条所称货物不包括使用大型企业注册商标的货物和服务。</w:t>
      </w:r>
    </w:p>
    <w:p w14:paraId="2F43855B">
      <w:pPr>
        <w:keepNext w:val="0"/>
        <w:keepLines w:val="0"/>
        <w:pageBreakBefore w:val="0"/>
        <w:kinsoku/>
        <w:wordWrap/>
        <w:overflowPunct/>
        <w:topLinePunct w:val="0"/>
        <w:bidi w:val="0"/>
        <w:spacing w:line="360" w:lineRule="auto"/>
        <w:ind w:firstLine="540" w:firstLineChars="225"/>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本公司对上述声明的真实性负责。如有虚假，将依法承担相应责任。</w:t>
      </w:r>
    </w:p>
    <w:p w14:paraId="753B4322">
      <w:pPr>
        <w:keepNext w:val="0"/>
        <w:keepLines w:val="0"/>
        <w:pageBreakBefore w:val="0"/>
        <w:kinsoku/>
        <w:wordWrap/>
        <w:overflowPunct/>
        <w:topLinePunct w:val="0"/>
        <w:bidi w:val="0"/>
        <w:spacing w:line="360" w:lineRule="auto"/>
        <w:ind w:firstLine="4860" w:firstLineChars="2025"/>
        <w:textAlignment w:val="auto"/>
        <w:outlineLvl w:val="9"/>
        <w:rPr>
          <w:rFonts w:hint="eastAsia" w:ascii="仿宋" w:hAnsi="仿宋" w:eastAsia="仿宋" w:cs="仿宋"/>
          <w:sz w:val="24"/>
          <w:szCs w:val="24"/>
          <w:highlight w:val="none"/>
        </w:rPr>
      </w:pPr>
    </w:p>
    <w:p w14:paraId="4104A7AC">
      <w:pPr>
        <w:keepNext w:val="0"/>
        <w:keepLines w:val="0"/>
        <w:pageBreakBefore w:val="0"/>
        <w:kinsoku/>
        <w:wordWrap/>
        <w:overflowPunct/>
        <w:topLinePunct w:val="0"/>
        <w:bidi w:val="0"/>
        <w:spacing w:line="360" w:lineRule="auto"/>
        <w:ind w:firstLine="4320" w:firstLineChars="1800"/>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企业名称（加盖公章）：</w:t>
      </w:r>
    </w:p>
    <w:p w14:paraId="640A408F">
      <w:pPr>
        <w:keepNext w:val="0"/>
        <w:keepLines w:val="0"/>
        <w:pageBreakBefore w:val="0"/>
        <w:kinsoku/>
        <w:wordWrap/>
        <w:overflowPunct/>
        <w:topLinePunct w:val="0"/>
        <w:bidi w:val="0"/>
        <w:spacing w:line="360" w:lineRule="auto"/>
        <w:jc w:val="right"/>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法定代表人（负责人）或其授权代表(签字)：</w:t>
      </w:r>
    </w:p>
    <w:p w14:paraId="13846868">
      <w:pPr>
        <w:keepNext w:val="0"/>
        <w:keepLines w:val="0"/>
        <w:pageBreakBefore w:val="0"/>
        <w:tabs>
          <w:tab w:val="left" w:pos="2880"/>
        </w:tabs>
        <w:kinsoku/>
        <w:wordWrap/>
        <w:overflowPunct/>
        <w:topLinePunct w:val="0"/>
        <w:bidi w:val="0"/>
        <w:spacing w:line="460" w:lineRule="atLeast"/>
        <w:ind w:firstLine="4560" w:firstLineChars="1900"/>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日期：</w:t>
      </w:r>
    </w:p>
    <w:p w14:paraId="5E14B18D">
      <w:pPr>
        <w:keepNext w:val="0"/>
        <w:keepLines w:val="0"/>
        <w:pageBreakBefore w:val="0"/>
        <w:kinsoku/>
        <w:wordWrap/>
        <w:overflowPunct/>
        <w:topLinePunct w:val="0"/>
        <w:bidi w:val="0"/>
        <w:spacing w:line="440" w:lineRule="exact"/>
        <w:ind w:firstLine="720" w:firstLineChars="300"/>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注：后附监狱企业资格证明文件</w:t>
      </w:r>
    </w:p>
    <w:p w14:paraId="575BDAD3">
      <w:pPr>
        <w:keepNext w:val="0"/>
        <w:keepLines w:val="0"/>
        <w:pageBreakBefore w:val="0"/>
        <w:kinsoku/>
        <w:wordWrap/>
        <w:overflowPunct/>
        <w:topLinePunct w:val="0"/>
        <w:bidi w:val="0"/>
        <w:spacing w:line="440" w:lineRule="exact"/>
        <w:ind w:firstLine="720" w:firstLineChars="300"/>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省级以上监狱管理局、戒毒管理局（含新疆生产建设兵团）出具的属于监狱企业的证明文件；</w:t>
      </w:r>
    </w:p>
    <w:p w14:paraId="33EAABBB">
      <w:pPr>
        <w:keepNext w:val="0"/>
        <w:keepLines w:val="0"/>
        <w:pageBreakBefore w:val="0"/>
        <w:kinsoku/>
        <w:wordWrap/>
        <w:overflowPunct/>
        <w:topLinePunct w:val="0"/>
        <w:bidi w:val="0"/>
        <w:spacing w:line="440" w:lineRule="exact"/>
        <w:ind w:firstLine="720" w:firstLineChars="300"/>
        <w:textAlignment w:val="auto"/>
        <w:outlineLvl w:val="9"/>
        <w:rPr>
          <w:rFonts w:hint="eastAsia" w:ascii="仿宋" w:hAnsi="仿宋" w:eastAsia="仿宋" w:cs="仿宋"/>
          <w:b/>
          <w:sz w:val="24"/>
          <w:szCs w:val="24"/>
          <w:highlight w:val="none"/>
        </w:rPr>
      </w:pPr>
      <w:r>
        <w:rPr>
          <w:rFonts w:hint="eastAsia" w:ascii="仿宋" w:hAnsi="仿宋" w:eastAsia="仿宋" w:cs="仿宋"/>
          <w:sz w:val="24"/>
          <w:szCs w:val="24"/>
          <w:highlight w:val="none"/>
        </w:rPr>
        <w:t>2.证明材料加盖供应商公章。</w:t>
      </w:r>
    </w:p>
    <w:p w14:paraId="3B4A7A76">
      <w:pPr>
        <w:keepNext w:val="0"/>
        <w:keepLines w:val="0"/>
        <w:pageBreakBefore w:val="0"/>
        <w:kinsoku/>
        <w:wordWrap/>
        <w:overflowPunct/>
        <w:topLinePunct w:val="0"/>
        <w:bidi w:val="0"/>
        <w:spacing w:line="360" w:lineRule="auto"/>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（若响应性文件中无上述证明文件，则在评审时不考虑对该监狱企业的相关优惠。） </w:t>
      </w:r>
    </w:p>
    <w:p w14:paraId="70442931">
      <w:pPr>
        <w:keepNext w:val="0"/>
        <w:keepLines w:val="0"/>
        <w:pageBreakBefore w:val="0"/>
        <w:tabs>
          <w:tab w:val="left" w:pos="3600"/>
        </w:tabs>
        <w:kinsoku/>
        <w:wordWrap/>
        <w:overflowPunct/>
        <w:topLinePunct w:val="0"/>
        <w:bidi w:val="0"/>
        <w:adjustRightInd w:val="0"/>
        <w:snapToGrid w:val="0"/>
        <w:spacing w:line="440" w:lineRule="exact"/>
        <w:jc w:val="center"/>
        <w:textAlignment w:val="auto"/>
        <w:outlineLvl w:val="9"/>
        <w:rPr>
          <w:rFonts w:hint="eastAsia" w:ascii="仿宋" w:hAnsi="仿宋" w:eastAsia="仿宋" w:cs="仿宋"/>
          <w:highlight w:val="none"/>
        </w:rPr>
      </w:pPr>
    </w:p>
    <w:p w14:paraId="1CCA8083">
      <w:pPr>
        <w:keepNext w:val="0"/>
        <w:keepLines w:val="0"/>
        <w:pageBreakBefore w:val="0"/>
        <w:tabs>
          <w:tab w:val="left" w:pos="3777"/>
          <w:tab w:val="center" w:pos="4819"/>
        </w:tabs>
        <w:kinsoku/>
        <w:wordWrap/>
        <w:overflowPunct/>
        <w:topLinePunct w:val="0"/>
        <w:bidi w:val="0"/>
        <w:spacing w:line="360" w:lineRule="auto"/>
        <w:jc w:val="center"/>
        <w:textAlignment w:val="auto"/>
        <w:outlineLvl w:val="9"/>
        <w:rPr>
          <w:rFonts w:hint="eastAsia" w:ascii="仿宋" w:hAnsi="仿宋" w:eastAsia="仿宋" w:cs="仿宋"/>
          <w:b/>
          <w:spacing w:val="6"/>
          <w:sz w:val="24"/>
          <w:highlight w:val="none"/>
        </w:rPr>
      </w:pPr>
      <w:bookmarkStart w:id="570" w:name="_Toc138177926"/>
      <w:bookmarkStart w:id="571" w:name="_Toc12565"/>
      <w:bookmarkStart w:id="572" w:name="_Toc20936"/>
      <w:bookmarkStart w:id="573" w:name="_Toc2606"/>
    </w:p>
    <w:p w14:paraId="3A3907F7">
      <w:pPr>
        <w:keepNext w:val="0"/>
        <w:keepLines w:val="0"/>
        <w:pageBreakBefore w:val="0"/>
        <w:tabs>
          <w:tab w:val="left" w:pos="3777"/>
          <w:tab w:val="center" w:pos="4819"/>
        </w:tabs>
        <w:kinsoku/>
        <w:wordWrap/>
        <w:overflowPunct/>
        <w:topLinePunct w:val="0"/>
        <w:bidi w:val="0"/>
        <w:spacing w:line="360" w:lineRule="auto"/>
        <w:jc w:val="center"/>
        <w:textAlignment w:val="auto"/>
        <w:outlineLvl w:val="9"/>
        <w:rPr>
          <w:rFonts w:hint="eastAsia" w:ascii="仿宋" w:hAnsi="仿宋" w:eastAsia="仿宋" w:cs="仿宋"/>
          <w:b/>
          <w:spacing w:val="6"/>
          <w:sz w:val="24"/>
          <w:highlight w:val="none"/>
        </w:rPr>
      </w:pPr>
      <w:r>
        <w:rPr>
          <w:rFonts w:hint="eastAsia" w:ascii="仿宋" w:hAnsi="仿宋" w:eastAsia="仿宋" w:cs="仿宋"/>
          <w:b/>
          <w:spacing w:val="6"/>
          <w:sz w:val="24"/>
          <w:highlight w:val="none"/>
        </w:rPr>
        <w:t>残疾人福利性单位声明函</w:t>
      </w:r>
      <w:bookmarkEnd w:id="570"/>
      <w:bookmarkEnd w:id="571"/>
      <w:bookmarkEnd w:id="572"/>
      <w:bookmarkEnd w:id="573"/>
    </w:p>
    <w:p w14:paraId="09FEA8B1">
      <w:pPr>
        <w:keepNext w:val="0"/>
        <w:keepLines w:val="0"/>
        <w:pageBreakBefore w:val="0"/>
        <w:kinsoku/>
        <w:wordWrap/>
        <w:overflowPunct/>
        <w:topLinePunct w:val="0"/>
        <w:autoSpaceDE w:val="0"/>
        <w:autoSpaceDN w:val="0"/>
        <w:bidi w:val="0"/>
        <w:adjustRightInd w:val="0"/>
        <w:spacing w:line="440" w:lineRule="exact"/>
        <w:textAlignment w:val="auto"/>
        <w:outlineLvl w:val="9"/>
        <w:rPr>
          <w:rFonts w:hint="eastAsia" w:ascii="仿宋" w:hAnsi="仿宋" w:eastAsia="仿宋" w:cs="仿宋"/>
          <w:b/>
          <w:bCs/>
          <w:spacing w:val="6"/>
          <w:highlight w:val="none"/>
        </w:rPr>
      </w:pPr>
    </w:p>
    <w:p w14:paraId="25B31A08">
      <w:pPr>
        <w:keepNext w:val="0"/>
        <w:keepLines w:val="0"/>
        <w:pageBreakBefore w:val="0"/>
        <w:kinsoku/>
        <w:wordWrap/>
        <w:overflowPunct/>
        <w:topLinePunct w:val="0"/>
        <w:bidi w:val="0"/>
        <w:adjustRightInd w:val="0"/>
        <w:snapToGrid w:val="0"/>
        <w:spacing w:line="440" w:lineRule="exact"/>
        <w:ind w:firstLine="504" w:firstLineChars="200"/>
        <w:textAlignment w:val="auto"/>
        <w:outlineLvl w:val="9"/>
        <w:rPr>
          <w:rFonts w:hint="eastAsia" w:ascii="仿宋" w:hAnsi="仿宋" w:eastAsia="仿宋" w:cs="仿宋"/>
          <w:spacing w:val="6"/>
          <w:sz w:val="24"/>
          <w:szCs w:val="28"/>
          <w:highlight w:val="none"/>
        </w:rPr>
      </w:pPr>
      <w:r>
        <w:rPr>
          <w:rFonts w:hint="eastAsia" w:ascii="仿宋" w:hAnsi="仿宋" w:eastAsia="仿宋" w:cs="仿宋"/>
          <w:spacing w:val="6"/>
          <w:sz w:val="24"/>
          <w:szCs w:val="28"/>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36467BA">
      <w:pPr>
        <w:keepNext w:val="0"/>
        <w:keepLines w:val="0"/>
        <w:pageBreakBefore w:val="0"/>
        <w:kinsoku/>
        <w:wordWrap/>
        <w:overflowPunct/>
        <w:topLinePunct w:val="0"/>
        <w:bidi w:val="0"/>
        <w:adjustRightInd w:val="0"/>
        <w:snapToGrid w:val="0"/>
        <w:spacing w:line="440" w:lineRule="exact"/>
        <w:ind w:firstLine="504" w:firstLineChars="200"/>
        <w:textAlignment w:val="auto"/>
        <w:outlineLvl w:val="9"/>
        <w:rPr>
          <w:rFonts w:hint="eastAsia" w:ascii="仿宋" w:hAnsi="仿宋" w:eastAsia="仿宋" w:cs="仿宋"/>
          <w:spacing w:val="6"/>
          <w:sz w:val="24"/>
          <w:szCs w:val="28"/>
          <w:highlight w:val="none"/>
        </w:rPr>
      </w:pPr>
      <w:r>
        <w:rPr>
          <w:rFonts w:hint="eastAsia" w:ascii="仿宋" w:hAnsi="仿宋" w:eastAsia="仿宋" w:cs="仿宋"/>
          <w:spacing w:val="6"/>
          <w:sz w:val="24"/>
          <w:szCs w:val="28"/>
          <w:highlight w:val="none"/>
        </w:rPr>
        <w:t xml:space="preserve">本单位对上述声明的真实性负责。如有虚假，将依法承担相应责任。 </w:t>
      </w:r>
    </w:p>
    <w:p w14:paraId="7D35CF31">
      <w:pPr>
        <w:keepNext w:val="0"/>
        <w:keepLines w:val="0"/>
        <w:pageBreakBefore w:val="0"/>
        <w:kinsoku/>
        <w:wordWrap/>
        <w:overflowPunct/>
        <w:topLinePunct w:val="0"/>
        <w:bidi w:val="0"/>
        <w:adjustRightInd w:val="0"/>
        <w:snapToGrid w:val="0"/>
        <w:spacing w:line="440" w:lineRule="exact"/>
        <w:ind w:firstLine="504" w:firstLineChars="200"/>
        <w:textAlignment w:val="auto"/>
        <w:outlineLvl w:val="9"/>
        <w:rPr>
          <w:rFonts w:hint="eastAsia" w:ascii="仿宋" w:hAnsi="仿宋" w:eastAsia="仿宋" w:cs="仿宋"/>
          <w:spacing w:val="6"/>
          <w:sz w:val="24"/>
          <w:szCs w:val="28"/>
          <w:highlight w:val="none"/>
        </w:rPr>
      </w:pPr>
    </w:p>
    <w:p w14:paraId="67F500DE">
      <w:pPr>
        <w:keepNext w:val="0"/>
        <w:keepLines w:val="0"/>
        <w:pageBreakBefore w:val="0"/>
        <w:kinsoku/>
        <w:wordWrap/>
        <w:overflowPunct/>
        <w:topLinePunct w:val="0"/>
        <w:bidi w:val="0"/>
        <w:adjustRightInd w:val="0"/>
        <w:snapToGrid w:val="0"/>
        <w:spacing w:line="440" w:lineRule="exact"/>
        <w:ind w:firstLine="5544" w:firstLineChars="2200"/>
        <w:textAlignment w:val="auto"/>
        <w:outlineLvl w:val="9"/>
        <w:rPr>
          <w:rFonts w:hint="eastAsia" w:ascii="仿宋" w:hAnsi="仿宋" w:eastAsia="仿宋" w:cs="仿宋"/>
          <w:spacing w:val="6"/>
          <w:sz w:val="24"/>
          <w:szCs w:val="28"/>
          <w:highlight w:val="none"/>
        </w:rPr>
      </w:pPr>
      <w:r>
        <w:rPr>
          <w:rFonts w:hint="eastAsia" w:ascii="仿宋" w:hAnsi="仿宋" w:eastAsia="仿宋" w:cs="仿宋"/>
          <w:spacing w:val="6"/>
          <w:sz w:val="24"/>
          <w:szCs w:val="28"/>
          <w:highlight w:val="none"/>
        </w:rPr>
        <w:t>单位名称（盖章）：</w:t>
      </w:r>
    </w:p>
    <w:p w14:paraId="207EA999">
      <w:pPr>
        <w:keepNext w:val="0"/>
        <w:keepLines w:val="0"/>
        <w:pageBreakBefore w:val="0"/>
        <w:widowControl/>
        <w:kinsoku/>
        <w:wordWrap/>
        <w:overflowPunct/>
        <w:topLinePunct w:val="0"/>
        <w:bidi w:val="0"/>
        <w:spacing w:line="360" w:lineRule="auto"/>
        <w:jc w:val="center"/>
        <w:textAlignment w:val="auto"/>
        <w:outlineLvl w:val="9"/>
        <w:rPr>
          <w:rFonts w:hint="eastAsia" w:ascii="仿宋" w:hAnsi="仿宋" w:eastAsia="仿宋" w:cs="仿宋"/>
          <w:sz w:val="24"/>
          <w:szCs w:val="24"/>
          <w:highlight w:val="none"/>
          <w:shd w:val="clear" w:color="auto" w:fill="FFFFFF" w:themeFill="background1"/>
        </w:rPr>
      </w:pPr>
      <w:r>
        <w:rPr>
          <w:rFonts w:hint="eastAsia" w:ascii="仿宋" w:hAnsi="仿宋" w:eastAsia="仿宋" w:cs="仿宋"/>
          <w:spacing w:val="6"/>
          <w:sz w:val="24"/>
          <w:szCs w:val="28"/>
          <w:highlight w:val="none"/>
          <w:lang w:val="en-US" w:eastAsia="zh-CN"/>
        </w:rPr>
        <w:t xml:space="preserve">                      </w:t>
      </w:r>
      <w:r>
        <w:rPr>
          <w:rFonts w:hint="eastAsia" w:ascii="仿宋" w:hAnsi="仿宋" w:eastAsia="仿宋" w:cs="仿宋"/>
          <w:spacing w:val="6"/>
          <w:sz w:val="24"/>
          <w:szCs w:val="28"/>
          <w:highlight w:val="none"/>
        </w:rPr>
        <w:t>日  期：</w:t>
      </w:r>
    </w:p>
    <w:p w14:paraId="02DC825F">
      <w:pPr>
        <w:keepNext w:val="0"/>
        <w:keepLines w:val="0"/>
        <w:pageBreakBefore w:val="0"/>
        <w:widowControl/>
        <w:kinsoku/>
        <w:wordWrap/>
        <w:overflowPunct/>
        <w:topLinePunct w:val="0"/>
        <w:bidi w:val="0"/>
        <w:spacing w:line="360" w:lineRule="auto"/>
        <w:jc w:val="left"/>
        <w:textAlignment w:val="auto"/>
        <w:outlineLvl w:val="9"/>
        <w:rPr>
          <w:rFonts w:hint="eastAsia" w:ascii="仿宋" w:hAnsi="仿宋" w:eastAsia="仿宋" w:cs="仿宋"/>
          <w:b/>
          <w:sz w:val="24"/>
          <w:szCs w:val="24"/>
          <w:highlight w:val="none"/>
          <w:shd w:val="clear" w:color="auto" w:fill="FFFFFF" w:themeFill="background1"/>
        </w:rPr>
      </w:pPr>
    </w:p>
    <w:p w14:paraId="154BC4E1">
      <w:pPr>
        <w:tabs>
          <w:tab w:val="center" w:pos="4832"/>
          <w:tab w:val="left" w:pos="7140"/>
        </w:tabs>
        <w:spacing w:line="360" w:lineRule="auto"/>
        <w:jc w:val="center"/>
        <w:outlineLvl w:val="1"/>
        <w:rPr>
          <w:rFonts w:hint="eastAsia" w:ascii="仿宋" w:hAnsi="仿宋" w:eastAsia="仿宋" w:cs="仿宋"/>
          <w:b/>
          <w:bCs/>
          <w:sz w:val="24"/>
          <w:szCs w:val="24"/>
          <w:highlight w:val="none"/>
          <w:shd w:val="clear" w:color="auto" w:fill="FFFFFF" w:themeFill="background1"/>
        </w:rPr>
      </w:pPr>
      <w:bookmarkStart w:id="574" w:name="_Toc38446479"/>
      <w:bookmarkStart w:id="575" w:name="_Toc533503190"/>
      <w:bookmarkStart w:id="576" w:name="_Toc25643"/>
      <w:bookmarkStart w:id="577" w:name="_Toc507586174"/>
      <w:bookmarkStart w:id="578" w:name="_Toc9955"/>
      <w:r>
        <w:rPr>
          <w:rFonts w:hint="eastAsia" w:ascii="仿宋" w:hAnsi="仿宋" w:eastAsia="仿宋" w:cs="仿宋"/>
          <w:b/>
          <w:sz w:val="24"/>
          <w:szCs w:val="24"/>
          <w:highlight w:val="none"/>
          <w:shd w:val="clear" w:color="auto" w:fill="FFFFFF" w:themeFill="background1"/>
        </w:rPr>
        <w:t>九、</w:t>
      </w:r>
      <w:bookmarkEnd w:id="574"/>
      <w:bookmarkEnd w:id="575"/>
      <w:bookmarkEnd w:id="576"/>
      <w:bookmarkEnd w:id="577"/>
      <w:r>
        <w:rPr>
          <w:rFonts w:hint="eastAsia" w:ascii="仿宋" w:hAnsi="仿宋" w:eastAsia="仿宋" w:cs="仿宋"/>
          <w:b/>
          <w:bCs/>
          <w:sz w:val="24"/>
          <w:szCs w:val="24"/>
          <w:highlight w:val="none"/>
          <w:shd w:val="clear" w:color="auto" w:fill="FFFFFF" w:themeFill="background1"/>
        </w:rPr>
        <w:t>投标人近三年类似项目业绩表</w:t>
      </w:r>
      <w:bookmarkEnd w:id="578"/>
    </w:p>
    <w:p w14:paraId="7F3AB0D6">
      <w:pPr>
        <w:spacing w:line="360" w:lineRule="auto"/>
        <w:jc w:val="left"/>
        <w:rPr>
          <w:rFonts w:hint="eastAsia" w:ascii="仿宋" w:hAnsi="仿宋" w:eastAsia="仿宋" w:cs="仿宋"/>
          <w:sz w:val="24"/>
          <w:szCs w:val="24"/>
          <w:highlight w:val="none"/>
          <w:shd w:val="clear" w:color="auto" w:fill="FFFFFF" w:themeFill="background1"/>
        </w:rPr>
      </w:pPr>
    </w:p>
    <w:tbl>
      <w:tblPr>
        <w:tblStyle w:val="43"/>
        <w:tblW w:w="0" w:type="auto"/>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1"/>
        <w:gridCol w:w="1549"/>
        <w:gridCol w:w="1134"/>
        <w:gridCol w:w="1369"/>
        <w:gridCol w:w="1194"/>
        <w:gridCol w:w="1213"/>
        <w:gridCol w:w="1213"/>
        <w:gridCol w:w="787"/>
      </w:tblGrid>
      <w:tr w14:paraId="4FCB2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861" w:type="dxa"/>
            <w:tcBorders>
              <w:top w:val="single" w:color="000000" w:sz="4" w:space="0"/>
              <w:left w:val="single" w:color="000000" w:sz="4" w:space="0"/>
              <w:bottom w:val="single" w:color="000000" w:sz="4" w:space="0"/>
              <w:right w:val="single" w:color="000000" w:sz="4" w:space="0"/>
            </w:tcBorders>
            <w:vAlign w:val="center"/>
          </w:tcPr>
          <w:p w14:paraId="0BAFF660">
            <w:pPr>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序号</w:t>
            </w:r>
          </w:p>
        </w:tc>
        <w:tc>
          <w:tcPr>
            <w:tcW w:w="1549" w:type="dxa"/>
            <w:tcBorders>
              <w:top w:val="single" w:color="000000" w:sz="4" w:space="0"/>
              <w:left w:val="single" w:color="000000" w:sz="4" w:space="0"/>
              <w:bottom w:val="single" w:color="000000" w:sz="4" w:space="0"/>
              <w:right w:val="single" w:color="000000" w:sz="4" w:space="0"/>
            </w:tcBorders>
            <w:vAlign w:val="center"/>
          </w:tcPr>
          <w:p w14:paraId="25737E2F">
            <w:pPr>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项目名称</w:t>
            </w:r>
          </w:p>
        </w:tc>
        <w:tc>
          <w:tcPr>
            <w:tcW w:w="1134" w:type="dxa"/>
            <w:tcBorders>
              <w:top w:val="single" w:color="000000" w:sz="4" w:space="0"/>
              <w:left w:val="single" w:color="000000" w:sz="4" w:space="0"/>
              <w:bottom w:val="single" w:color="000000" w:sz="4" w:space="0"/>
              <w:right w:val="single" w:color="000000" w:sz="4" w:space="0"/>
            </w:tcBorders>
            <w:vAlign w:val="center"/>
          </w:tcPr>
          <w:p w14:paraId="37757B8E">
            <w:pPr>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采购人</w:t>
            </w:r>
          </w:p>
        </w:tc>
        <w:tc>
          <w:tcPr>
            <w:tcW w:w="1369" w:type="dxa"/>
            <w:tcBorders>
              <w:top w:val="single" w:color="000000" w:sz="4" w:space="0"/>
              <w:left w:val="single" w:color="000000" w:sz="4" w:space="0"/>
              <w:bottom w:val="single" w:color="000000" w:sz="4" w:space="0"/>
              <w:right w:val="single" w:color="000000" w:sz="4" w:space="0"/>
            </w:tcBorders>
            <w:vAlign w:val="center"/>
          </w:tcPr>
          <w:p w14:paraId="4E6DCBF8">
            <w:pPr>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采购人</w:t>
            </w:r>
          </w:p>
          <w:p w14:paraId="7AA8A25E">
            <w:pPr>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联系方式</w:t>
            </w:r>
          </w:p>
        </w:tc>
        <w:tc>
          <w:tcPr>
            <w:tcW w:w="1194" w:type="dxa"/>
            <w:tcBorders>
              <w:top w:val="single" w:color="000000" w:sz="4" w:space="0"/>
              <w:left w:val="single" w:color="000000" w:sz="4" w:space="0"/>
              <w:bottom w:val="single" w:color="000000" w:sz="4" w:space="0"/>
              <w:right w:val="single" w:color="000000" w:sz="4" w:space="0"/>
            </w:tcBorders>
            <w:vAlign w:val="center"/>
          </w:tcPr>
          <w:p w14:paraId="7B03615A">
            <w:pPr>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项目规模</w:t>
            </w:r>
          </w:p>
        </w:tc>
        <w:tc>
          <w:tcPr>
            <w:tcW w:w="1213" w:type="dxa"/>
            <w:tcBorders>
              <w:top w:val="single" w:color="000000" w:sz="4" w:space="0"/>
              <w:left w:val="single" w:color="000000" w:sz="4" w:space="0"/>
              <w:bottom w:val="single" w:color="000000" w:sz="4" w:space="0"/>
              <w:right w:val="single" w:color="000000" w:sz="4" w:space="0"/>
            </w:tcBorders>
            <w:vAlign w:val="center"/>
          </w:tcPr>
          <w:p w14:paraId="557520FE">
            <w:pPr>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合同金额</w:t>
            </w:r>
          </w:p>
        </w:tc>
        <w:tc>
          <w:tcPr>
            <w:tcW w:w="1213" w:type="dxa"/>
            <w:tcBorders>
              <w:top w:val="single" w:color="000000" w:sz="4" w:space="0"/>
              <w:left w:val="single" w:color="000000" w:sz="4" w:space="0"/>
              <w:bottom w:val="single" w:color="000000" w:sz="4" w:space="0"/>
              <w:right w:val="single" w:color="000000" w:sz="4" w:space="0"/>
            </w:tcBorders>
            <w:vAlign w:val="center"/>
          </w:tcPr>
          <w:p w14:paraId="5540D07B">
            <w:pPr>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合同日期</w:t>
            </w:r>
          </w:p>
        </w:tc>
        <w:tc>
          <w:tcPr>
            <w:tcW w:w="787" w:type="dxa"/>
            <w:tcBorders>
              <w:top w:val="single" w:color="000000" w:sz="4" w:space="0"/>
              <w:left w:val="single" w:color="000000" w:sz="4" w:space="0"/>
              <w:bottom w:val="single" w:color="000000" w:sz="4" w:space="0"/>
              <w:right w:val="single" w:color="000000" w:sz="4" w:space="0"/>
            </w:tcBorders>
            <w:vAlign w:val="center"/>
          </w:tcPr>
          <w:p w14:paraId="275B3836">
            <w:pPr>
              <w:jc w:val="center"/>
              <w:rPr>
                <w:rFonts w:hint="eastAsia" w:ascii="仿宋" w:hAnsi="仿宋" w:eastAsia="仿宋" w:cs="仿宋"/>
                <w:kern w:val="0"/>
                <w:sz w:val="24"/>
                <w:szCs w:val="24"/>
                <w:highlight w:val="none"/>
                <w:shd w:val="clear" w:color="auto" w:fill="FFFFFF" w:themeFill="background1"/>
              </w:rPr>
            </w:pPr>
            <w:r>
              <w:rPr>
                <w:rFonts w:hint="eastAsia" w:ascii="仿宋" w:hAnsi="仿宋" w:eastAsia="仿宋" w:cs="仿宋"/>
                <w:kern w:val="0"/>
                <w:sz w:val="24"/>
                <w:szCs w:val="24"/>
                <w:highlight w:val="none"/>
                <w:shd w:val="clear" w:color="auto" w:fill="FFFFFF" w:themeFill="background1"/>
              </w:rPr>
              <w:t>备注</w:t>
            </w:r>
          </w:p>
        </w:tc>
      </w:tr>
      <w:tr w14:paraId="4FA11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861" w:type="dxa"/>
            <w:tcBorders>
              <w:top w:val="single" w:color="000000" w:sz="4" w:space="0"/>
              <w:left w:val="single" w:color="000000" w:sz="4" w:space="0"/>
              <w:bottom w:val="single" w:color="000000" w:sz="4" w:space="0"/>
              <w:right w:val="single" w:color="000000" w:sz="4" w:space="0"/>
            </w:tcBorders>
            <w:vAlign w:val="center"/>
          </w:tcPr>
          <w:p w14:paraId="5310E08C">
            <w:pPr>
              <w:jc w:val="center"/>
              <w:rPr>
                <w:rFonts w:hint="eastAsia" w:ascii="仿宋" w:hAnsi="仿宋" w:eastAsia="仿宋" w:cs="仿宋"/>
                <w:kern w:val="0"/>
                <w:sz w:val="24"/>
                <w:szCs w:val="24"/>
                <w:highlight w:val="none"/>
                <w:shd w:val="clear" w:color="auto" w:fill="FFFFFF" w:themeFill="background1"/>
              </w:rPr>
            </w:pPr>
          </w:p>
        </w:tc>
        <w:tc>
          <w:tcPr>
            <w:tcW w:w="1549" w:type="dxa"/>
            <w:tcBorders>
              <w:top w:val="single" w:color="000000" w:sz="4" w:space="0"/>
              <w:left w:val="single" w:color="000000" w:sz="4" w:space="0"/>
              <w:bottom w:val="single" w:color="000000" w:sz="4" w:space="0"/>
              <w:right w:val="single" w:color="000000" w:sz="4" w:space="0"/>
            </w:tcBorders>
            <w:vAlign w:val="center"/>
          </w:tcPr>
          <w:p w14:paraId="3F0A195F">
            <w:pPr>
              <w:jc w:val="center"/>
              <w:rPr>
                <w:rFonts w:hint="eastAsia" w:ascii="仿宋" w:hAnsi="仿宋" w:eastAsia="仿宋" w:cs="仿宋"/>
                <w:kern w:val="0"/>
                <w:sz w:val="24"/>
                <w:szCs w:val="24"/>
                <w:highlight w:val="none"/>
                <w:shd w:val="clear" w:color="auto" w:fill="FFFFFF" w:themeFill="background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515E17D">
            <w:pPr>
              <w:jc w:val="center"/>
              <w:rPr>
                <w:rFonts w:hint="eastAsia" w:ascii="仿宋" w:hAnsi="仿宋" w:eastAsia="仿宋" w:cs="仿宋"/>
                <w:kern w:val="0"/>
                <w:sz w:val="24"/>
                <w:szCs w:val="24"/>
                <w:highlight w:val="none"/>
                <w:shd w:val="clear" w:color="auto" w:fill="FFFFFF" w:themeFill="background1"/>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ADC8711">
            <w:pPr>
              <w:jc w:val="center"/>
              <w:rPr>
                <w:rFonts w:hint="eastAsia" w:ascii="仿宋" w:hAnsi="仿宋" w:eastAsia="仿宋" w:cs="仿宋"/>
                <w:kern w:val="0"/>
                <w:sz w:val="24"/>
                <w:szCs w:val="24"/>
                <w:highlight w:val="none"/>
                <w:shd w:val="clear" w:color="auto" w:fill="FFFFFF" w:themeFill="background1"/>
              </w:rPr>
            </w:pPr>
          </w:p>
        </w:tc>
        <w:tc>
          <w:tcPr>
            <w:tcW w:w="1194" w:type="dxa"/>
            <w:tcBorders>
              <w:top w:val="single" w:color="000000" w:sz="4" w:space="0"/>
              <w:left w:val="single" w:color="000000" w:sz="4" w:space="0"/>
              <w:bottom w:val="single" w:color="000000" w:sz="4" w:space="0"/>
              <w:right w:val="single" w:color="000000" w:sz="4" w:space="0"/>
            </w:tcBorders>
            <w:vAlign w:val="center"/>
          </w:tcPr>
          <w:p w14:paraId="429E9148">
            <w:pPr>
              <w:jc w:val="center"/>
              <w:rPr>
                <w:rFonts w:hint="eastAsia" w:ascii="仿宋" w:hAnsi="仿宋" w:eastAsia="仿宋" w:cs="仿宋"/>
                <w:kern w:val="0"/>
                <w:sz w:val="24"/>
                <w:szCs w:val="24"/>
                <w:highlight w:val="none"/>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3434F5E7">
            <w:pPr>
              <w:jc w:val="center"/>
              <w:rPr>
                <w:rFonts w:hint="eastAsia" w:ascii="仿宋" w:hAnsi="仿宋" w:eastAsia="仿宋" w:cs="仿宋"/>
                <w:kern w:val="0"/>
                <w:sz w:val="24"/>
                <w:szCs w:val="24"/>
                <w:highlight w:val="none"/>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09168248">
            <w:pPr>
              <w:jc w:val="center"/>
              <w:rPr>
                <w:rFonts w:hint="eastAsia" w:ascii="仿宋" w:hAnsi="仿宋" w:eastAsia="仿宋" w:cs="仿宋"/>
                <w:kern w:val="0"/>
                <w:sz w:val="24"/>
                <w:szCs w:val="24"/>
                <w:highlight w:val="none"/>
                <w:shd w:val="clear" w:color="auto" w:fill="FFFFFF" w:themeFill="background1"/>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01B5A755">
            <w:pPr>
              <w:jc w:val="center"/>
              <w:rPr>
                <w:rFonts w:hint="eastAsia" w:ascii="仿宋" w:hAnsi="仿宋" w:eastAsia="仿宋" w:cs="仿宋"/>
                <w:kern w:val="0"/>
                <w:sz w:val="24"/>
                <w:szCs w:val="24"/>
                <w:highlight w:val="none"/>
                <w:shd w:val="clear" w:color="auto" w:fill="FFFFFF" w:themeFill="background1"/>
              </w:rPr>
            </w:pPr>
          </w:p>
        </w:tc>
      </w:tr>
      <w:tr w14:paraId="0A3FA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861" w:type="dxa"/>
            <w:tcBorders>
              <w:top w:val="single" w:color="000000" w:sz="4" w:space="0"/>
              <w:left w:val="single" w:color="000000" w:sz="4" w:space="0"/>
              <w:bottom w:val="single" w:color="000000" w:sz="4" w:space="0"/>
              <w:right w:val="single" w:color="000000" w:sz="4" w:space="0"/>
            </w:tcBorders>
            <w:vAlign w:val="center"/>
          </w:tcPr>
          <w:p w14:paraId="617E1667">
            <w:pPr>
              <w:jc w:val="center"/>
              <w:rPr>
                <w:rFonts w:hint="eastAsia" w:ascii="仿宋" w:hAnsi="仿宋" w:eastAsia="仿宋" w:cs="仿宋"/>
                <w:kern w:val="0"/>
                <w:sz w:val="24"/>
                <w:szCs w:val="24"/>
                <w:highlight w:val="none"/>
                <w:shd w:val="clear" w:color="auto" w:fill="FFFFFF" w:themeFill="background1"/>
              </w:rPr>
            </w:pPr>
          </w:p>
        </w:tc>
        <w:tc>
          <w:tcPr>
            <w:tcW w:w="1549" w:type="dxa"/>
            <w:tcBorders>
              <w:top w:val="single" w:color="000000" w:sz="4" w:space="0"/>
              <w:left w:val="single" w:color="000000" w:sz="4" w:space="0"/>
              <w:bottom w:val="single" w:color="000000" w:sz="4" w:space="0"/>
              <w:right w:val="single" w:color="000000" w:sz="4" w:space="0"/>
            </w:tcBorders>
            <w:vAlign w:val="center"/>
          </w:tcPr>
          <w:p w14:paraId="5C21E8D9">
            <w:pPr>
              <w:jc w:val="center"/>
              <w:rPr>
                <w:rFonts w:hint="eastAsia" w:ascii="仿宋" w:hAnsi="仿宋" w:eastAsia="仿宋" w:cs="仿宋"/>
                <w:kern w:val="0"/>
                <w:sz w:val="24"/>
                <w:szCs w:val="24"/>
                <w:highlight w:val="none"/>
                <w:shd w:val="clear" w:color="auto" w:fill="FFFFFF" w:themeFill="background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5F47275">
            <w:pPr>
              <w:jc w:val="center"/>
              <w:rPr>
                <w:rFonts w:hint="eastAsia" w:ascii="仿宋" w:hAnsi="仿宋" w:eastAsia="仿宋" w:cs="仿宋"/>
                <w:kern w:val="0"/>
                <w:sz w:val="24"/>
                <w:szCs w:val="24"/>
                <w:highlight w:val="none"/>
                <w:shd w:val="clear" w:color="auto" w:fill="FFFFFF" w:themeFill="background1"/>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785BF752">
            <w:pPr>
              <w:jc w:val="center"/>
              <w:rPr>
                <w:rFonts w:hint="eastAsia" w:ascii="仿宋" w:hAnsi="仿宋" w:eastAsia="仿宋" w:cs="仿宋"/>
                <w:kern w:val="0"/>
                <w:sz w:val="24"/>
                <w:szCs w:val="24"/>
                <w:highlight w:val="none"/>
                <w:shd w:val="clear" w:color="auto" w:fill="FFFFFF" w:themeFill="background1"/>
              </w:rPr>
            </w:pPr>
          </w:p>
        </w:tc>
        <w:tc>
          <w:tcPr>
            <w:tcW w:w="1194" w:type="dxa"/>
            <w:tcBorders>
              <w:top w:val="single" w:color="000000" w:sz="4" w:space="0"/>
              <w:left w:val="single" w:color="000000" w:sz="4" w:space="0"/>
              <w:bottom w:val="single" w:color="000000" w:sz="4" w:space="0"/>
              <w:right w:val="single" w:color="000000" w:sz="4" w:space="0"/>
            </w:tcBorders>
            <w:vAlign w:val="center"/>
          </w:tcPr>
          <w:p w14:paraId="4B845EC0">
            <w:pPr>
              <w:jc w:val="center"/>
              <w:rPr>
                <w:rFonts w:hint="eastAsia" w:ascii="仿宋" w:hAnsi="仿宋" w:eastAsia="仿宋" w:cs="仿宋"/>
                <w:kern w:val="0"/>
                <w:sz w:val="24"/>
                <w:szCs w:val="24"/>
                <w:highlight w:val="none"/>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3327D19E">
            <w:pPr>
              <w:jc w:val="center"/>
              <w:rPr>
                <w:rFonts w:hint="eastAsia" w:ascii="仿宋" w:hAnsi="仿宋" w:eastAsia="仿宋" w:cs="仿宋"/>
                <w:kern w:val="0"/>
                <w:sz w:val="24"/>
                <w:szCs w:val="24"/>
                <w:highlight w:val="none"/>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0F934748">
            <w:pPr>
              <w:jc w:val="center"/>
              <w:rPr>
                <w:rFonts w:hint="eastAsia" w:ascii="仿宋" w:hAnsi="仿宋" w:eastAsia="仿宋" w:cs="仿宋"/>
                <w:kern w:val="0"/>
                <w:sz w:val="24"/>
                <w:szCs w:val="24"/>
                <w:highlight w:val="none"/>
                <w:shd w:val="clear" w:color="auto" w:fill="FFFFFF" w:themeFill="background1"/>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654E7D94">
            <w:pPr>
              <w:jc w:val="center"/>
              <w:rPr>
                <w:rFonts w:hint="eastAsia" w:ascii="仿宋" w:hAnsi="仿宋" w:eastAsia="仿宋" w:cs="仿宋"/>
                <w:kern w:val="0"/>
                <w:sz w:val="24"/>
                <w:szCs w:val="24"/>
                <w:highlight w:val="none"/>
                <w:shd w:val="clear" w:color="auto" w:fill="FFFFFF" w:themeFill="background1"/>
              </w:rPr>
            </w:pPr>
          </w:p>
        </w:tc>
      </w:tr>
      <w:tr w14:paraId="35FAB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861" w:type="dxa"/>
            <w:tcBorders>
              <w:top w:val="single" w:color="000000" w:sz="4" w:space="0"/>
              <w:left w:val="single" w:color="000000" w:sz="4" w:space="0"/>
              <w:bottom w:val="single" w:color="000000" w:sz="4" w:space="0"/>
              <w:right w:val="single" w:color="000000" w:sz="4" w:space="0"/>
            </w:tcBorders>
            <w:vAlign w:val="center"/>
          </w:tcPr>
          <w:p w14:paraId="3C0817B4">
            <w:pPr>
              <w:jc w:val="center"/>
              <w:rPr>
                <w:rFonts w:hint="eastAsia" w:ascii="仿宋" w:hAnsi="仿宋" w:eastAsia="仿宋" w:cs="仿宋"/>
                <w:kern w:val="0"/>
                <w:sz w:val="24"/>
                <w:szCs w:val="24"/>
                <w:highlight w:val="none"/>
                <w:shd w:val="clear" w:color="auto" w:fill="FFFFFF" w:themeFill="background1"/>
              </w:rPr>
            </w:pPr>
          </w:p>
        </w:tc>
        <w:tc>
          <w:tcPr>
            <w:tcW w:w="1549" w:type="dxa"/>
            <w:tcBorders>
              <w:top w:val="single" w:color="000000" w:sz="4" w:space="0"/>
              <w:left w:val="single" w:color="000000" w:sz="4" w:space="0"/>
              <w:bottom w:val="single" w:color="000000" w:sz="4" w:space="0"/>
              <w:right w:val="single" w:color="000000" w:sz="4" w:space="0"/>
            </w:tcBorders>
            <w:vAlign w:val="center"/>
          </w:tcPr>
          <w:p w14:paraId="45619ECC">
            <w:pPr>
              <w:jc w:val="center"/>
              <w:rPr>
                <w:rFonts w:hint="eastAsia" w:ascii="仿宋" w:hAnsi="仿宋" w:eastAsia="仿宋" w:cs="仿宋"/>
                <w:kern w:val="0"/>
                <w:sz w:val="24"/>
                <w:szCs w:val="24"/>
                <w:highlight w:val="none"/>
                <w:shd w:val="clear" w:color="auto" w:fill="FFFFFF" w:themeFill="background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86D97C1">
            <w:pPr>
              <w:jc w:val="center"/>
              <w:rPr>
                <w:rFonts w:hint="eastAsia" w:ascii="仿宋" w:hAnsi="仿宋" w:eastAsia="仿宋" w:cs="仿宋"/>
                <w:kern w:val="0"/>
                <w:sz w:val="24"/>
                <w:szCs w:val="24"/>
                <w:highlight w:val="none"/>
                <w:shd w:val="clear" w:color="auto" w:fill="FFFFFF" w:themeFill="background1"/>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F9F6EC7">
            <w:pPr>
              <w:jc w:val="center"/>
              <w:rPr>
                <w:rFonts w:hint="eastAsia" w:ascii="仿宋" w:hAnsi="仿宋" w:eastAsia="仿宋" w:cs="仿宋"/>
                <w:kern w:val="0"/>
                <w:sz w:val="24"/>
                <w:szCs w:val="24"/>
                <w:highlight w:val="none"/>
                <w:shd w:val="clear" w:color="auto" w:fill="FFFFFF" w:themeFill="background1"/>
              </w:rPr>
            </w:pPr>
          </w:p>
        </w:tc>
        <w:tc>
          <w:tcPr>
            <w:tcW w:w="1194" w:type="dxa"/>
            <w:tcBorders>
              <w:top w:val="single" w:color="000000" w:sz="4" w:space="0"/>
              <w:left w:val="single" w:color="000000" w:sz="4" w:space="0"/>
              <w:bottom w:val="single" w:color="000000" w:sz="4" w:space="0"/>
              <w:right w:val="single" w:color="000000" w:sz="4" w:space="0"/>
            </w:tcBorders>
            <w:vAlign w:val="center"/>
          </w:tcPr>
          <w:p w14:paraId="613011DA">
            <w:pPr>
              <w:jc w:val="center"/>
              <w:rPr>
                <w:rFonts w:hint="eastAsia" w:ascii="仿宋" w:hAnsi="仿宋" w:eastAsia="仿宋" w:cs="仿宋"/>
                <w:kern w:val="0"/>
                <w:sz w:val="24"/>
                <w:szCs w:val="24"/>
                <w:highlight w:val="none"/>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7C5F7CBD">
            <w:pPr>
              <w:jc w:val="center"/>
              <w:rPr>
                <w:rFonts w:hint="eastAsia" w:ascii="仿宋" w:hAnsi="仿宋" w:eastAsia="仿宋" w:cs="仿宋"/>
                <w:kern w:val="0"/>
                <w:sz w:val="24"/>
                <w:szCs w:val="24"/>
                <w:highlight w:val="none"/>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3F26073C">
            <w:pPr>
              <w:jc w:val="center"/>
              <w:rPr>
                <w:rFonts w:hint="eastAsia" w:ascii="仿宋" w:hAnsi="仿宋" w:eastAsia="仿宋" w:cs="仿宋"/>
                <w:kern w:val="0"/>
                <w:sz w:val="24"/>
                <w:szCs w:val="24"/>
                <w:highlight w:val="none"/>
                <w:shd w:val="clear" w:color="auto" w:fill="FFFFFF" w:themeFill="background1"/>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2AEDE31D">
            <w:pPr>
              <w:jc w:val="center"/>
              <w:rPr>
                <w:rFonts w:hint="eastAsia" w:ascii="仿宋" w:hAnsi="仿宋" w:eastAsia="仿宋" w:cs="仿宋"/>
                <w:kern w:val="0"/>
                <w:sz w:val="24"/>
                <w:szCs w:val="24"/>
                <w:highlight w:val="none"/>
                <w:shd w:val="clear" w:color="auto" w:fill="FFFFFF" w:themeFill="background1"/>
              </w:rPr>
            </w:pPr>
          </w:p>
        </w:tc>
      </w:tr>
      <w:tr w14:paraId="5DA3E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861" w:type="dxa"/>
            <w:tcBorders>
              <w:top w:val="single" w:color="000000" w:sz="4" w:space="0"/>
              <w:left w:val="single" w:color="000000" w:sz="4" w:space="0"/>
              <w:bottom w:val="single" w:color="000000" w:sz="4" w:space="0"/>
              <w:right w:val="single" w:color="000000" w:sz="4" w:space="0"/>
            </w:tcBorders>
            <w:vAlign w:val="center"/>
          </w:tcPr>
          <w:p w14:paraId="06F4930C">
            <w:pPr>
              <w:jc w:val="center"/>
              <w:rPr>
                <w:rFonts w:hint="eastAsia" w:ascii="仿宋" w:hAnsi="仿宋" w:eastAsia="仿宋" w:cs="仿宋"/>
                <w:kern w:val="0"/>
                <w:sz w:val="24"/>
                <w:szCs w:val="24"/>
                <w:highlight w:val="none"/>
                <w:shd w:val="clear" w:color="auto" w:fill="FFFFFF" w:themeFill="background1"/>
              </w:rPr>
            </w:pPr>
          </w:p>
        </w:tc>
        <w:tc>
          <w:tcPr>
            <w:tcW w:w="1549" w:type="dxa"/>
            <w:tcBorders>
              <w:top w:val="single" w:color="000000" w:sz="4" w:space="0"/>
              <w:left w:val="single" w:color="000000" w:sz="4" w:space="0"/>
              <w:bottom w:val="single" w:color="000000" w:sz="4" w:space="0"/>
              <w:right w:val="single" w:color="000000" w:sz="4" w:space="0"/>
            </w:tcBorders>
            <w:vAlign w:val="center"/>
          </w:tcPr>
          <w:p w14:paraId="1CDB7864">
            <w:pPr>
              <w:jc w:val="center"/>
              <w:rPr>
                <w:rFonts w:hint="eastAsia" w:ascii="仿宋" w:hAnsi="仿宋" w:eastAsia="仿宋" w:cs="仿宋"/>
                <w:kern w:val="0"/>
                <w:sz w:val="24"/>
                <w:szCs w:val="24"/>
                <w:highlight w:val="none"/>
                <w:shd w:val="clear" w:color="auto" w:fill="FFFFFF" w:themeFill="background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8B26C64">
            <w:pPr>
              <w:jc w:val="center"/>
              <w:rPr>
                <w:rFonts w:hint="eastAsia" w:ascii="仿宋" w:hAnsi="仿宋" w:eastAsia="仿宋" w:cs="仿宋"/>
                <w:kern w:val="0"/>
                <w:sz w:val="24"/>
                <w:szCs w:val="24"/>
                <w:highlight w:val="none"/>
                <w:shd w:val="clear" w:color="auto" w:fill="FFFFFF" w:themeFill="background1"/>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756A1E7F">
            <w:pPr>
              <w:jc w:val="center"/>
              <w:rPr>
                <w:rFonts w:hint="eastAsia" w:ascii="仿宋" w:hAnsi="仿宋" w:eastAsia="仿宋" w:cs="仿宋"/>
                <w:kern w:val="0"/>
                <w:sz w:val="24"/>
                <w:szCs w:val="24"/>
                <w:highlight w:val="none"/>
                <w:shd w:val="clear" w:color="auto" w:fill="FFFFFF" w:themeFill="background1"/>
              </w:rPr>
            </w:pPr>
          </w:p>
        </w:tc>
        <w:tc>
          <w:tcPr>
            <w:tcW w:w="1194" w:type="dxa"/>
            <w:tcBorders>
              <w:top w:val="single" w:color="000000" w:sz="4" w:space="0"/>
              <w:left w:val="single" w:color="000000" w:sz="4" w:space="0"/>
              <w:bottom w:val="single" w:color="000000" w:sz="4" w:space="0"/>
              <w:right w:val="single" w:color="000000" w:sz="4" w:space="0"/>
            </w:tcBorders>
            <w:vAlign w:val="center"/>
          </w:tcPr>
          <w:p w14:paraId="5D930068">
            <w:pPr>
              <w:jc w:val="center"/>
              <w:rPr>
                <w:rFonts w:hint="eastAsia" w:ascii="仿宋" w:hAnsi="仿宋" w:eastAsia="仿宋" w:cs="仿宋"/>
                <w:kern w:val="0"/>
                <w:sz w:val="24"/>
                <w:szCs w:val="24"/>
                <w:highlight w:val="none"/>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63380647">
            <w:pPr>
              <w:jc w:val="center"/>
              <w:rPr>
                <w:rFonts w:hint="eastAsia" w:ascii="仿宋" w:hAnsi="仿宋" w:eastAsia="仿宋" w:cs="仿宋"/>
                <w:kern w:val="0"/>
                <w:sz w:val="24"/>
                <w:szCs w:val="24"/>
                <w:highlight w:val="none"/>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3F41179F">
            <w:pPr>
              <w:jc w:val="center"/>
              <w:rPr>
                <w:rFonts w:hint="eastAsia" w:ascii="仿宋" w:hAnsi="仿宋" w:eastAsia="仿宋" w:cs="仿宋"/>
                <w:kern w:val="0"/>
                <w:sz w:val="24"/>
                <w:szCs w:val="24"/>
                <w:highlight w:val="none"/>
                <w:shd w:val="clear" w:color="auto" w:fill="FFFFFF" w:themeFill="background1"/>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436777BA">
            <w:pPr>
              <w:jc w:val="center"/>
              <w:rPr>
                <w:rFonts w:hint="eastAsia" w:ascii="仿宋" w:hAnsi="仿宋" w:eastAsia="仿宋" w:cs="仿宋"/>
                <w:kern w:val="0"/>
                <w:sz w:val="24"/>
                <w:szCs w:val="24"/>
                <w:highlight w:val="none"/>
                <w:shd w:val="clear" w:color="auto" w:fill="FFFFFF" w:themeFill="background1"/>
              </w:rPr>
            </w:pPr>
          </w:p>
        </w:tc>
      </w:tr>
      <w:tr w14:paraId="499F6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861" w:type="dxa"/>
            <w:tcBorders>
              <w:top w:val="single" w:color="000000" w:sz="4" w:space="0"/>
              <w:left w:val="single" w:color="000000" w:sz="4" w:space="0"/>
              <w:bottom w:val="single" w:color="000000" w:sz="4" w:space="0"/>
              <w:right w:val="single" w:color="000000" w:sz="4" w:space="0"/>
            </w:tcBorders>
            <w:vAlign w:val="center"/>
          </w:tcPr>
          <w:p w14:paraId="2BA0FFCF">
            <w:pPr>
              <w:jc w:val="center"/>
              <w:rPr>
                <w:rFonts w:hint="eastAsia" w:ascii="仿宋" w:hAnsi="仿宋" w:eastAsia="仿宋" w:cs="仿宋"/>
                <w:kern w:val="0"/>
                <w:sz w:val="24"/>
                <w:szCs w:val="24"/>
                <w:highlight w:val="none"/>
                <w:shd w:val="clear" w:color="auto" w:fill="FFFFFF" w:themeFill="background1"/>
              </w:rPr>
            </w:pPr>
          </w:p>
        </w:tc>
        <w:tc>
          <w:tcPr>
            <w:tcW w:w="1549" w:type="dxa"/>
            <w:tcBorders>
              <w:top w:val="single" w:color="000000" w:sz="4" w:space="0"/>
              <w:left w:val="single" w:color="000000" w:sz="4" w:space="0"/>
              <w:bottom w:val="single" w:color="000000" w:sz="4" w:space="0"/>
              <w:right w:val="single" w:color="000000" w:sz="4" w:space="0"/>
            </w:tcBorders>
            <w:vAlign w:val="center"/>
          </w:tcPr>
          <w:p w14:paraId="41E179A3">
            <w:pPr>
              <w:jc w:val="center"/>
              <w:rPr>
                <w:rFonts w:hint="eastAsia" w:ascii="仿宋" w:hAnsi="仿宋" w:eastAsia="仿宋" w:cs="仿宋"/>
                <w:kern w:val="0"/>
                <w:sz w:val="24"/>
                <w:szCs w:val="24"/>
                <w:highlight w:val="none"/>
                <w:shd w:val="clear" w:color="auto" w:fill="FFFFFF" w:themeFill="background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AD017DD">
            <w:pPr>
              <w:jc w:val="center"/>
              <w:rPr>
                <w:rFonts w:hint="eastAsia" w:ascii="仿宋" w:hAnsi="仿宋" w:eastAsia="仿宋" w:cs="仿宋"/>
                <w:kern w:val="0"/>
                <w:sz w:val="24"/>
                <w:szCs w:val="24"/>
                <w:highlight w:val="none"/>
                <w:shd w:val="clear" w:color="auto" w:fill="FFFFFF" w:themeFill="background1"/>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1A407899">
            <w:pPr>
              <w:jc w:val="center"/>
              <w:rPr>
                <w:rFonts w:hint="eastAsia" w:ascii="仿宋" w:hAnsi="仿宋" w:eastAsia="仿宋" w:cs="仿宋"/>
                <w:kern w:val="0"/>
                <w:sz w:val="24"/>
                <w:szCs w:val="24"/>
                <w:highlight w:val="none"/>
                <w:shd w:val="clear" w:color="auto" w:fill="FFFFFF" w:themeFill="background1"/>
              </w:rPr>
            </w:pPr>
          </w:p>
        </w:tc>
        <w:tc>
          <w:tcPr>
            <w:tcW w:w="1194" w:type="dxa"/>
            <w:tcBorders>
              <w:top w:val="single" w:color="000000" w:sz="4" w:space="0"/>
              <w:left w:val="single" w:color="000000" w:sz="4" w:space="0"/>
              <w:bottom w:val="single" w:color="000000" w:sz="4" w:space="0"/>
              <w:right w:val="single" w:color="000000" w:sz="4" w:space="0"/>
            </w:tcBorders>
            <w:vAlign w:val="center"/>
          </w:tcPr>
          <w:p w14:paraId="46797969">
            <w:pPr>
              <w:jc w:val="center"/>
              <w:rPr>
                <w:rFonts w:hint="eastAsia" w:ascii="仿宋" w:hAnsi="仿宋" w:eastAsia="仿宋" w:cs="仿宋"/>
                <w:kern w:val="0"/>
                <w:sz w:val="24"/>
                <w:szCs w:val="24"/>
                <w:highlight w:val="none"/>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3F886573">
            <w:pPr>
              <w:jc w:val="center"/>
              <w:rPr>
                <w:rFonts w:hint="eastAsia" w:ascii="仿宋" w:hAnsi="仿宋" w:eastAsia="仿宋" w:cs="仿宋"/>
                <w:kern w:val="0"/>
                <w:sz w:val="24"/>
                <w:szCs w:val="24"/>
                <w:highlight w:val="none"/>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061372B7">
            <w:pPr>
              <w:jc w:val="center"/>
              <w:rPr>
                <w:rFonts w:hint="eastAsia" w:ascii="仿宋" w:hAnsi="仿宋" w:eastAsia="仿宋" w:cs="仿宋"/>
                <w:kern w:val="0"/>
                <w:sz w:val="24"/>
                <w:szCs w:val="24"/>
                <w:highlight w:val="none"/>
                <w:shd w:val="clear" w:color="auto" w:fill="FFFFFF" w:themeFill="background1"/>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3C09293D">
            <w:pPr>
              <w:jc w:val="center"/>
              <w:rPr>
                <w:rFonts w:hint="eastAsia" w:ascii="仿宋" w:hAnsi="仿宋" w:eastAsia="仿宋" w:cs="仿宋"/>
                <w:kern w:val="0"/>
                <w:sz w:val="24"/>
                <w:szCs w:val="24"/>
                <w:highlight w:val="none"/>
                <w:shd w:val="clear" w:color="auto" w:fill="FFFFFF" w:themeFill="background1"/>
              </w:rPr>
            </w:pPr>
          </w:p>
        </w:tc>
      </w:tr>
    </w:tbl>
    <w:p w14:paraId="7EC46C53">
      <w:pPr>
        <w:spacing w:line="360" w:lineRule="auto"/>
        <w:jc w:val="left"/>
        <w:rPr>
          <w:rFonts w:hint="eastAsia" w:ascii="仿宋" w:hAnsi="仿宋" w:eastAsia="仿宋" w:cs="仿宋"/>
          <w:sz w:val="24"/>
          <w:szCs w:val="24"/>
          <w:highlight w:val="none"/>
          <w:shd w:val="clear" w:color="auto" w:fill="FFFFFF" w:themeFill="background1"/>
        </w:rPr>
      </w:pPr>
    </w:p>
    <w:p w14:paraId="49726652">
      <w:pPr>
        <w:spacing w:line="360" w:lineRule="auto"/>
        <w:jc w:val="left"/>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备注：本表后须附业绩的证明资料：</w:t>
      </w:r>
      <w:r>
        <w:rPr>
          <w:rFonts w:hint="eastAsia" w:ascii="仿宋" w:hAnsi="仿宋" w:eastAsia="仿宋" w:cs="仿宋"/>
          <w:sz w:val="24"/>
          <w:szCs w:val="24"/>
          <w:highlight w:val="none"/>
          <w:u w:val="single"/>
          <w:shd w:val="clear" w:color="auto" w:fill="FFFFFF" w:themeFill="background1"/>
        </w:rPr>
        <w:t>需提供招标文件要求的有关书面证明材料。</w:t>
      </w:r>
    </w:p>
    <w:p w14:paraId="32EAD2EA">
      <w:pPr>
        <w:spacing w:line="360" w:lineRule="auto"/>
        <w:ind w:firstLine="480" w:firstLineChars="200"/>
        <w:rPr>
          <w:rFonts w:hint="eastAsia" w:ascii="仿宋" w:hAnsi="仿宋" w:eastAsia="仿宋" w:cs="仿宋"/>
          <w:sz w:val="24"/>
          <w:szCs w:val="24"/>
          <w:highlight w:val="none"/>
          <w:u w:val="single"/>
          <w:shd w:val="clear" w:color="auto" w:fill="FFFFFF" w:themeFill="background1"/>
        </w:rPr>
      </w:pPr>
    </w:p>
    <w:p w14:paraId="5AEFC81F">
      <w:pPr>
        <w:spacing w:line="360" w:lineRule="auto"/>
        <w:ind w:firstLine="480" w:firstLineChars="200"/>
        <w:rPr>
          <w:rFonts w:hint="eastAsia" w:ascii="仿宋" w:hAnsi="仿宋" w:eastAsia="仿宋" w:cs="仿宋"/>
          <w:sz w:val="24"/>
          <w:szCs w:val="24"/>
          <w:highlight w:val="none"/>
          <w:u w:val="single"/>
          <w:shd w:val="clear" w:color="auto" w:fill="FFFFFF" w:themeFill="background1"/>
        </w:rPr>
      </w:pPr>
    </w:p>
    <w:p w14:paraId="6C8143EA">
      <w:pPr>
        <w:widowControl/>
        <w:spacing w:line="360" w:lineRule="auto"/>
        <w:jc w:val="left"/>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br w:type="page"/>
      </w:r>
    </w:p>
    <w:p w14:paraId="064DE4BE">
      <w:pPr>
        <w:tabs>
          <w:tab w:val="center" w:pos="4832"/>
          <w:tab w:val="left" w:pos="7140"/>
        </w:tabs>
        <w:spacing w:line="360" w:lineRule="auto"/>
        <w:jc w:val="center"/>
        <w:outlineLvl w:val="1"/>
        <w:rPr>
          <w:rFonts w:hint="eastAsia" w:ascii="仿宋" w:hAnsi="仿宋" w:eastAsia="仿宋" w:cs="仿宋"/>
          <w:b/>
          <w:bCs/>
          <w:sz w:val="24"/>
          <w:szCs w:val="24"/>
          <w:highlight w:val="none"/>
          <w:shd w:val="clear" w:color="auto" w:fill="FFFFFF" w:themeFill="background1"/>
        </w:rPr>
      </w:pPr>
      <w:bookmarkStart w:id="579" w:name="_Toc20381"/>
      <w:bookmarkStart w:id="580" w:name="_Toc507586175"/>
      <w:bookmarkStart w:id="581" w:name="_Toc533503191"/>
      <w:bookmarkStart w:id="582" w:name="_Toc38446480"/>
      <w:bookmarkStart w:id="583" w:name="_Toc15333"/>
      <w:r>
        <w:rPr>
          <w:rFonts w:hint="eastAsia" w:ascii="仿宋" w:hAnsi="仿宋" w:eastAsia="仿宋" w:cs="仿宋"/>
          <w:b/>
          <w:sz w:val="24"/>
          <w:szCs w:val="24"/>
          <w:highlight w:val="none"/>
          <w:shd w:val="clear" w:color="auto" w:fill="FFFFFF" w:themeFill="background1"/>
        </w:rPr>
        <w:t>十、</w:t>
      </w:r>
      <w:r>
        <w:rPr>
          <w:rFonts w:hint="eastAsia" w:ascii="仿宋" w:hAnsi="仿宋" w:eastAsia="仿宋" w:cs="仿宋"/>
          <w:b/>
          <w:bCs/>
          <w:sz w:val="24"/>
          <w:szCs w:val="24"/>
          <w:highlight w:val="none"/>
          <w:shd w:val="clear" w:color="auto" w:fill="FFFFFF" w:themeFill="background1"/>
        </w:rPr>
        <w:t>项目负责人简历表</w:t>
      </w:r>
      <w:bookmarkEnd w:id="579"/>
      <w:bookmarkEnd w:id="580"/>
      <w:bookmarkEnd w:id="581"/>
      <w:bookmarkEnd w:id="582"/>
      <w:bookmarkEnd w:id="583"/>
    </w:p>
    <w:p w14:paraId="377DBA2F">
      <w:pPr>
        <w:spacing w:line="360" w:lineRule="auto"/>
        <w:jc w:val="left"/>
        <w:rPr>
          <w:rFonts w:hint="eastAsia" w:ascii="仿宋" w:hAnsi="仿宋" w:eastAsia="仿宋" w:cs="仿宋"/>
          <w:sz w:val="24"/>
          <w:szCs w:val="24"/>
          <w:highlight w:val="none"/>
          <w:shd w:val="clear" w:color="auto" w:fill="FFFFFF" w:themeFill="background1"/>
        </w:rPr>
      </w:pPr>
    </w:p>
    <w:tbl>
      <w:tblPr>
        <w:tblStyle w:val="42"/>
        <w:tblW w:w="92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372"/>
        <w:gridCol w:w="1230"/>
        <w:gridCol w:w="233"/>
        <w:gridCol w:w="1702"/>
        <w:gridCol w:w="1275"/>
        <w:gridCol w:w="1364"/>
      </w:tblGrid>
      <w:tr w14:paraId="40D8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Align w:val="center"/>
          </w:tcPr>
          <w:p w14:paraId="42F1E981">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姓名</w:t>
            </w:r>
          </w:p>
        </w:tc>
        <w:tc>
          <w:tcPr>
            <w:tcW w:w="2602" w:type="dxa"/>
            <w:gridSpan w:val="2"/>
            <w:vAlign w:val="center"/>
          </w:tcPr>
          <w:p w14:paraId="454DFA8D">
            <w:pPr>
              <w:spacing w:line="360" w:lineRule="auto"/>
              <w:jc w:val="center"/>
              <w:rPr>
                <w:rFonts w:hint="eastAsia" w:ascii="仿宋" w:hAnsi="仿宋" w:eastAsia="仿宋" w:cs="仿宋"/>
                <w:sz w:val="24"/>
                <w:szCs w:val="24"/>
                <w:highlight w:val="none"/>
                <w:shd w:val="clear" w:color="auto" w:fill="FFFFFF" w:themeFill="background1"/>
              </w:rPr>
            </w:pPr>
          </w:p>
        </w:tc>
        <w:tc>
          <w:tcPr>
            <w:tcW w:w="1935" w:type="dxa"/>
            <w:gridSpan w:val="2"/>
            <w:vAlign w:val="center"/>
          </w:tcPr>
          <w:p w14:paraId="6AE7D753">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性别</w:t>
            </w:r>
          </w:p>
        </w:tc>
        <w:tc>
          <w:tcPr>
            <w:tcW w:w="2639" w:type="dxa"/>
            <w:gridSpan w:val="2"/>
            <w:vAlign w:val="center"/>
          </w:tcPr>
          <w:p w14:paraId="56E8C7ED">
            <w:pPr>
              <w:spacing w:line="360" w:lineRule="auto"/>
              <w:jc w:val="center"/>
              <w:rPr>
                <w:rFonts w:hint="eastAsia" w:ascii="仿宋" w:hAnsi="仿宋" w:eastAsia="仿宋" w:cs="仿宋"/>
                <w:sz w:val="24"/>
                <w:szCs w:val="24"/>
                <w:highlight w:val="none"/>
                <w:shd w:val="clear" w:color="auto" w:fill="FFFFFF" w:themeFill="background1"/>
              </w:rPr>
            </w:pPr>
          </w:p>
        </w:tc>
      </w:tr>
      <w:tr w14:paraId="3452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Align w:val="center"/>
          </w:tcPr>
          <w:p w14:paraId="1C5230F1">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身份证号码</w:t>
            </w:r>
          </w:p>
        </w:tc>
        <w:tc>
          <w:tcPr>
            <w:tcW w:w="2602" w:type="dxa"/>
            <w:gridSpan w:val="2"/>
            <w:vAlign w:val="center"/>
          </w:tcPr>
          <w:p w14:paraId="29704297">
            <w:pPr>
              <w:spacing w:line="360" w:lineRule="auto"/>
              <w:jc w:val="center"/>
              <w:rPr>
                <w:rFonts w:hint="eastAsia" w:ascii="仿宋" w:hAnsi="仿宋" w:eastAsia="仿宋" w:cs="仿宋"/>
                <w:sz w:val="24"/>
                <w:szCs w:val="24"/>
                <w:highlight w:val="none"/>
                <w:shd w:val="clear" w:color="auto" w:fill="FFFFFF" w:themeFill="background1"/>
              </w:rPr>
            </w:pPr>
          </w:p>
        </w:tc>
        <w:tc>
          <w:tcPr>
            <w:tcW w:w="1935" w:type="dxa"/>
            <w:gridSpan w:val="2"/>
            <w:vAlign w:val="center"/>
          </w:tcPr>
          <w:p w14:paraId="35590CD1">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学历</w:t>
            </w:r>
          </w:p>
        </w:tc>
        <w:tc>
          <w:tcPr>
            <w:tcW w:w="2639" w:type="dxa"/>
            <w:gridSpan w:val="2"/>
            <w:vAlign w:val="center"/>
          </w:tcPr>
          <w:p w14:paraId="12D7F424">
            <w:pPr>
              <w:spacing w:line="360" w:lineRule="auto"/>
              <w:jc w:val="center"/>
              <w:rPr>
                <w:rFonts w:hint="eastAsia" w:ascii="仿宋" w:hAnsi="仿宋" w:eastAsia="仿宋" w:cs="仿宋"/>
                <w:sz w:val="24"/>
                <w:szCs w:val="24"/>
                <w:highlight w:val="none"/>
                <w:shd w:val="clear" w:color="auto" w:fill="FFFFFF" w:themeFill="background1"/>
              </w:rPr>
            </w:pPr>
          </w:p>
        </w:tc>
      </w:tr>
      <w:tr w14:paraId="7A46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Align w:val="center"/>
          </w:tcPr>
          <w:p w14:paraId="262562B6">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毕业学校</w:t>
            </w:r>
          </w:p>
        </w:tc>
        <w:tc>
          <w:tcPr>
            <w:tcW w:w="2602" w:type="dxa"/>
            <w:gridSpan w:val="2"/>
            <w:vAlign w:val="center"/>
          </w:tcPr>
          <w:p w14:paraId="651CB580">
            <w:pPr>
              <w:spacing w:line="360" w:lineRule="auto"/>
              <w:jc w:val="center"/>
              <w:rPr>
                <w:rFonts w:hint="eastAsia" w:ascii="仿宋" w:hAnsi="仿宋" w:eastAsia="仿宋" w:cs="仿宋"/>
                <w:sz w:val="24"/>
                <w:szCs w:val="24"/>
                <w:highlight w:val="none"/>
                <w:shd w:val="clear" w:color="auto" w:fill="FFFFFF" w:themeFill="background1"/>
              </w:rPr>
            </w:pPr>
          </w:p>
        </w:tc>
        <w:tc>
          <w:tcPr>
            <w:tcW w:w="1935" w:type="dxa"/>
            <w:gridSpan w:val="2"/>
            <w:vAlign w:val="center"/>
          </w:tcPr>
          <w:p w14:paraId="154C8075">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专业</w:t>
            </w:r>
          </w:p>
        </w:tc>
        <w:tc>
          <w:tcPr>
            <w:tcW w:w="2639" w:type="dxa"/>
            <w:gridSpan w:val="2"/>
            <w:vAlign w:val="center"/>
          </w:tcPr>
          <w:p w14:paraId="1A834C85">
            <w:pPr>
              <w:spacing w:line="360" w:lineRule="auto"/>
              <w:jc w:val="center"/>
              <w:rPr>
                <w:rFonts w:hint="eastAsia" w:ascii="仿宋" w:hAnsi="仿宋" w:eastAsia="仿宋" w:cs="仿宋"/>
                <w:sz w:val="24"/>
                <w:szCs w:val="24"/>
                <w:highlight w:val="none"/>
                <w:shd w:val="clear" w:color="auto" w:fill="FFFFFF" w:themeFill="background1"/>
              </w:rPr>
            </w:pPr>
          </w:p>
        </w:tc>
      </w:tr>
      <w:tr w14:paraId="1EEE2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Align w:val="center"/>
          </w:tcPr>
          <w:p w14:paraId="607DE084">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参加工作时间</w:t>
            </w:r>
          </w:p>
        </w:tc>
        <w:tc>
          <w:tcPr>
            <w:tcW w:w="2602" w:type="dxa"/>
            <w:gridSpan w:val="2"/>
            <w:vAlign w:val="center"/>
          </w:tcPr>
          <w:p w14:paraId="59D361BE">
            <w:pPr>
              <w:spacing w:line="360" w:lineRule="auto"/>
              <w:jc w:val="center"/>
              <w:rPr>
                <w:rFonts w:hint="eastAsia" w:ascii="仿宋" w:hAnsi="仿宋" w:eastAsia="仿宋" w:cs="仿宋"/>
                <w:sz w:val="24"/>
                <w:szCs w:val="24"/>
                <w:highlight w:val="none"/>
                <w:shd w:val="clear" w:color="auto" w:fill="FFFFFF" w:themeFill="background1"/>
              </w:rPr>
            </w:pPr>
          </w:p>
        </w:tc>
        <w:tc>
          <w:tcPr>
            <w:tcW w:w="1935" w:type="dxa"/>
            <w:gridSpan w:val="2"/>
            <w:vAlign w:val="center"/>
          </w:tcPr>
          <w:p w14:paraId="1D528D5F">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从事本职业年限</w:t>
            </w:r>
          </w:p>
        </w:tc>
        <w:tc>
          <w:tcPr>
            <w:tcW w:w="2639" w:type="dxa"/>
            <w:gridSpan w:val="2"/>
            <w:vAlign w:val="center"/>
          </w:tcPr>
          <w:p w14:paraId="584F4C31">
            <w:pPr>
              <w:spacing w:line="360" w:lineRule="auto"/>
              <w:jc w:val="center"/>
              <w:rPr>
                <w:rFonts w:hint="eastAsia" w:ascii="仿宋" w:hAnsi="仿宋" w:eastAsia="仿宋" w:cs="仿宋"/>
                <w:sz w:val="24"/>
                <w:szCs w:val="24"/>
                <w:highlight w:val="none"/>
                <w:shd w:val="clear" w:color="auto" w:fill="FFFFFF" w:themeFill="background1"/>
              </w:rPr>
            </w:pPr>
          </w:p>
        </w:tc>
      </w:tr>
      <w:tr w14:paraId="34F0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Align w:val="center"/>
          </w:tcPr>
          <w:p w14:paraId="1B7648D7">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在公司担任职务</w:t>
            </w:r>
          </w:p>
        </w:tc>
        <w:tc>
          <w:tcPr>
            <w:tcW w:w="2602" w:type="dxa"/>
            <w:gridSpan w:val="2"/>
            <w:vAlign w:val="center"/>
          </w:tcPr>
          <w:p w14:paraId="00D2DB6D">
            <w:pPr>
              <w:spacing w:line="360" w:lineRule="auto"/>
              <w:jc w:val="center"/>
              <w:rPr>
                <w:rFonts w:hint="eastAsia" w:ascii="仿宋" w:hAnsi="仿宋" w:eastAsia="仿宋" w:cs="仿宋"/>
                <w:sz w:val="24"/>
                <w:szCs w:val="24"/>
                <w:highlight w:val="none"/>
                <w:shd w:val="clear" w:color="auto" w:fill="FFFFFF" w:themeFill="background1"/>
              </w:rPr>
            </w:pPr>
          </w:p>
        </w:tc>
        <w:tc>
          <w:tcPr>
            <w:tcW w:w="1935" w:type="dxa"/>
            <w:gridSpan w:val="2"/>
            <w:vAlign w:val="center"/>
          </w:tcPr>
          <w:p w14:paraId="67A42C3F">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联系方式</w:t>
            </w:r>
          </w:p>
        </w:tc>
        <w:tc>
          <w:tcPr>
            <w:tcW w:w="2639" w:type="dxa"/>
            <w:gridSpan w:val="2"/>
            <w:vAlign w:val="center"/>
          </w:tcPr>
          <w:p w14:paraId="36A480BB">
            <w:pPr>
              <w:spacing w:line="360" w:lineRule="auto"/>
              <w:jc w:val="center"/>
              <w:rPr>
                <w:rFonts w:hint="eastAsia" w:ascii="仿宋" w:hAnsi="仿宋" w:eastAsia="仿宋" w:cs="仿宋"/>
                <w:sz w:val="24"/>
                <w:szCs w:val="24"/>
                <w:highlight w:val="none"/>
                <w:shd w:val="clear" w:color="auto" w:fill="FFFFFF" w:themeFill="background1"/>
              </w:rPr>
            </w:pPr>
          </w:p>
        </w:tc>
      </w:tr>
      <w:tr w14:paraId="1A22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Align w:val="center"/>
          </w:tcPr>
          <w:p w14:paraId="6425AD85">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证书名称</w:t>
            </w:r>
          </w:p>
        </w:tc>
        <w:tc>
          <w:tcPr>
            <w:tcW w:w="2602" w:type="dxa"/>
            <w:gridSpan w:val="2"/>
            <w:vAlign w:val="center"/>
          </w:tcPr>
          <w:p w14:paraId="3FCE1B56">
            <w:pPr>
              <w:spacing w:line="360" w:lineRule="auto"/>
              <w:jc w:val="center"/>
              <w:rPr>
                <w:rFonts w:hint="eastAsia" w:ascii="仿宋" w:hAnsi="仿宋" w:eastAsia="仿宋" w:cs="仿宋"/>
                <w:sz w:val="24"/>
                <w:szCs w:val="24"/>
                <w:highlight w:val="none"/>
                <w:shd w:val="clear" w:color="auto" w:fill="FFFFFF" w:themeFill="background1"/>
              </w:rPr>
            </w:pPr>
          </w:p>
        </w:tc>
        <w:tc>
          <w:tcPr>
            <w:tcW w:w="1935" w:type="dxa"/>
            <w:gridSpan w:val="2"/>
            <w:vAlign w:val="center"/>
          </w:tcPr>
          <w:p w14:paraId="61A8301E">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证书编号</w:t>
            </w:r>
          </w:p>
        </w:tc>
        <w:tc>
          <w:tcPr>
            <w:tcW w:w="2639" w:type="dxa"/>
            <w:gridSpan w:val="2"/>
            <w:vAlign w:val="center"/>
          </w:tcPr>
          <w:p w14:paraId="475E2DD2">
            <w:pPr>
              <w:spacing w:line="360" w:lineRule="auto"/>
              <w:jc w:val="center"/>
              <w:rPr>
                <w:rFonts w:hint="eastAsia" w:ascii="仿宋" w:hAnsi="仿宋" w:eastAsia="仿宋" w:cs="仿宋"/>
                <w:sz w:val="24"/>
                <w:szCs w:val="24"/>
                <w:highlight w:val="none"/>
                <w:shd w:val="clear" w:color="auto" w:fill="FFFFFF" w:themeFill="background1"/>
              </w:rPr>
            </w:pPr>
          </w:p>
        </w:tc>
      </w:tr>
      <w:tr w14:paraId="3E7D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Merge w:val="restart"/>
            <w:vAlign w:val="center"/>
          </w:tcPr>
          <w:p w14:paraId="0F5E75B0">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近三年类似业绩</w:t>
            </w:r>
          </w:p>
        </w:tc>
        <w:tc>
          <w:tcPr>
            <w:tcW w:w="1372" w:type="dxa"/>
            <w:vAlign w:val="center"/>
          </w:tcPr>
          <w:p w14:paraId="599A4B08">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项目名称</w:t>
            </w:r>
          </w:p>
        </w:tc>
        <w:tc>
          <w:tcPr>
            <w:tcW w:w="1463" w:type="dxa"/>
            <w:gridSpan w:val="2"/>
            <w:vAlign w:val="center"/>
          </w:tcPr>
          <w:p w14:paraId="1CEA20A6">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采购人</w:t>
            </w:r>
          </w:p>
        </w:tc>
        <w:tc>
          <w:tcPr>
            <w:tcW w:w="1702" w:type="dxa"/>
            <w:vAlign w:val="center"/>
          </w:tcPr>
          <w:p w14:paraId="7FC91594">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合同内容</w:t>
            </w:r>
          </w:p>
        </w:tc>
        <w:tc>
          <w:tcPr>
            <w:tcW w:w="1275" w:type="dxa"/>
            <w:vAlign w:val="center"/>
          </w:tcPr>
          <w:p w14:paraId="21A03BED">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合同价格</w:t>
            </w:r>
          </w:p>
        </w:tc>
        <w:tc>
          <w:tcPr>
            <w:tcW w:w="1364" w:type="dxa"/>
            <w:vAlign w:val="center"/>
          </w:tcPr>
          <w:p w14:paraId="1C2F5389">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签约日期</w:t>
            </w:r>
          </w:p>
        </w:tc>
      </w:tr>
      <w:tr w14:paraId="79D7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Merge w:val="continue"/>
            <w:vAlign w:val="center"/>
          </w:tcPr>
          <w:p w14:paraId="56F9C604">
            <w:pPr>
              <w:spacing w:line="360" w:lineRule="auto"/>
              <w:jc w:val="center"/>
              <w:rPr>
                <w:rFonts w:hint="eastAsia" w:ascii="仿宋" w:hAnsi="仿宋" w:eastAsia="仿宋" w:cs="仿宋"/>
                <w:sz w:val="24"/>
                <w:szCs w:val="24"/>
                <w:highlight w:val="none"/>
                <w:shd w:val="clear" w:color="auto" w:fill="FFFFFF" w:themeFill="background1"/>
              </w:rPr>
            </w:pPr>
          </w:p>
        </w:tc>
        <w:tc>
          <w:tcPr>
            <w:tcW w:w="1372" w:type="dxa"/>
            <w:vAlign w:val="center"/>
          </w:tcPr>
          <w:p w14:paraId="4C78CD91">
            <w:pPr>
              <w:spacing w:line="360" w:lineRule="auto"/>
              <w:jc w:val="center"/>
              <w:rPr>
                <w:rFonts w:hint="eastAsia" w:ascii="仿宋" w:hAnsi="仿宋" w:eastAsia="仿宋" w:cs="仿宋"/>
                <w:sz w:val="24"/>
                <w:szCs w:val="24"/>
                <w:highlight w:val="none"/>
                <w:shd w:val="clear" w:color="auto" w:fill="FFFFFF" w:themeFill="background1"/>
              </w:rPr>
            </w:pPr>
          </w:p>
        </w:tc>
        <w:tc>
          <w:tcPr>
            <w:tcW w:w="1463" w:type="dxa"/>
            <w:gridSpan w:val="2"/>
            <w:vAlign w:val="center"/>
          </w:tcPr>
          <w:p w14:paraId="739FE1F3">
            <w:pPr>
              <w:spacing w:line="360" w:lineRule="auto"/>
              <w:jc w:val="center"/>
              <w:rPr>
                <w:rFonts w:hint="eastAsia" w:ascii="仿宋" w:hAnsi="仿宋" w:eastAsia="仿宋" w:cs="仿宋"/>
                <w:sz w:val="24"/>
                <w:szCs w:val="24"/>
                <w:highlight w:val="none"/>
                <w:shd w:val="clear" w:color="auto" w:fill="FFFFFF" w:themeFill="background1"/>
              </w:rPr>
            </w:pPr>
          </w:p>
        </w:tc>
        <w:tc>
          <w:tcPr>
            <w:tcW w:w="1702" w:type="dxa"/>
            <w:vAlign w:val="center"/>
          </w:tcPr>
          <w:p w14:paraId="37E77769">
            <w:pPr>
              <w:spacing w:line="360" w:lineRule="auto"/>
              <w:jc w:val="center"/>
              <w:rPr>
                <w:rFonts w:hint="eastAsia" w:ascii="仿宋" w:hAnsi="仿宋" w:eastAsia="仿宋" w:cs="仿宋"/>
                <w:sz w:val="24"/>
                <w:szCs w:val="24"/>
                <w:highlight w:val="none"/>
                <w:shd w:val="clear" w:color="auto" w:fill="FFFFFF" w:themeFill="background1"/>
              </w:rPr>
            </w:pPr>
          </w:p>
        </w:tc>
        <w:tc>
          <w:tcPr>
            <w:tcW w:w="1275" w:type="dxa"/>
            <w:vAlign w:val="center"/>
          </w:tcPr>
          <w:p w14:paraId="0ED3D2AF">
            <w:pPr>
              <w:spacing w:line="360" w:lineRule="auto"/>
              <w:jc w:val="center"/>
              <w:rPr>
                <w:rFonts w:hint="eastAsia" w:ascii="仿宋" w:hAnsi="仿宋" w:eastAsia="仿宋" w:cs="仿宋"/>
                <w:sz w:val="24"/>
                <w:szCs w:val="24"/>
                <w:highlight w:val="none"/>
                <w:shd w:val="clear" w:color="auto" w:fill="FFFFFF" w:themeFill="background1"/>
              </w:rPr>
            </w:pPr>
          </w:p>
        </w:tc>
        <w:tc>
          <w:tcPr>
            <w:tcW w:w="1364" w:type="dxa"/>
            <w:vAlign w:val="center"/>
          </w:tcPr>
          <w:p w14:paraId="62B1912F">
            <w:pPr>
              <w:spacing w:line="360" w:lineRule="auto"/>
              <w:jc w:val="center"/>
              <w:rPr>
                <w:rFonts w:hint="eastAsia" w:ascii="仿宋" w:hAnsi="仿宋" w:eastAsia="仿宋" w:cs="仿宋"/>
                <w:sz w:val="24"/>
                <w:szCs w:val="24"/>
                <w:highlight w:val="none"/>
                <w:shd w:val="clear" w:color="auto" w:fill="FFFFFF" w:themeFill="background1"/>
              </w:rPr>
            </w:pPr>
          </w:p>
        </w:tc>
      </w:tr>
      <w:tr w14:paraId="46AA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Merge w:val="continue"/>
            <w:vAlign w:val="center"/>
          </w:tcPr>
          <w:p w14:paraId="73A0A442">
            <w:pPr>
              <w:spacing w:line="360" w:lineRule="auto"/>
              <w:jc w:val="center"/>
              <w:rPr>
                <w:rFonts w:hint="eastAsia" w:ascii="仿宋" w:hAnsi="仿宋" w:eastAsia="仿宋" w:cs="仿宋"/>
                <w:sz w:val="24"/>
                <w:szCs w:val="24"/>
                <w:highlight w:val="none"/>
                <w:shd w:val="clear" w:color="auto" w:fill="FFFFFF" w:themeFill="background1"/>
              </w:rPr>
            </w:pPr>
          </w:p>
        </w:tc>
        <w:tc>
          <w:tcPr>
            <w:tcW w:w="1372" w:type="dxa"/>
            <w:vAlign w:val="center"/>
          </w:tcPr>
          <w:p w14:paraId="4E162D1F">
            <w:pPr>
              <w:spacing w:line="360" w:lineRule="auto"/>
              <w:jc w:val="center"/>
              <w:rPr>
                <w:rFonts w:hint="eastAsia" w:ascii="仿宋" w:hAnsi="仿宋" w:eastAsia="仿宋" w:cs="仿宋"/>
                <w:sz w:val="24"/>
                <w:szCs w:val="24"/>
                <w:highlight w:val="none"/>
                <w:shd w:val="clear" w:color="auto" w:fill="FFFFFF" w:themeFill="background1"/>
              </w:rPr>
            </w:pPr>
          </w:p>
        </w:tc>
        <w:tc>
          <w:tcPr>
            <w:tcW w:w="1463" w:type="dxa"/>
            <w:gridSpan w:val="2"/>
            <w:vAlign w:val="center"/>
          </w:tcPr>
          <w:p w14:paraId="6FB11DE9">
            <w:pPr>
              <w:spacing w:line="360" w:lineRule="auto"/>
              <w:jc w:val="center"/>
              <w:rPr>
                <w:rFonts w:hint="eastAsia" w:ascii="仿宋" w:hAnsi="仿宋" w:eastAsia="仿宋" w:cs="仿宋"/>
                <w:sz w:val="24"/>
                <w:szCs w:val="24"/>
                <w:highlight w:val="none"/>
                <w:shd w:val="clear" w:color="auto" w:fill="FFFFFF" w:themeFill="background1"/>
              </w:rPr>
            </w:pPr>
          </w:p>
        </w:tc>
        <w:tc>
          <w:tcPr>
            <w:tcW w:w="1702" w:type="dxa"/>
            <w:vAlign w:val="center"/>
          </w:tcPr>
          <w:p w14:paraId="5BE17873">
            <w:pPr>
              <w:spacing w:line="360" w:lineRule="auto"/>
              <w:jc w:val="center"/>
              <w:rPr>
                <w:rFonts w:hint="eastAsia" w:ascii="仿宋" w:hAnsi="仿宋" w:eastAsia="仿宋" w:cs="仿宋"/>
                <w:sz w:val="24"/>
                <w:szCs w:val="24"/>
                <w:highlight w:val="none"/>
                <w:shd w:val="clear" w:color="auto" w:fill="FFFFFF" w:themeFill="background1"/>
              </w:rPr>
            </w:pPr>
          </w:p>
        </w:tc>
        <w:tc>
          <w:tcPr>
            <w:tcW w:w="1275" w:type="dxa"/>
            <w:vAlign w:val="center"/>
          </w:tcPr>
          <w:p w14:paraId="0E18E698">
            <w:pPr>
              <w:spacing w:line="360" w:lineRule="auto"/>
              <w:jc w:val="center"/>
              <w:rPr>
                <w:rFonts w:hint="eastAsia" w:ascii="仿宋" w:hAnsi="仿宋" w:eastAsia="仿宋" w:cs="仿宋"/>
                <w:sz w:val="24"/>
                <w:szCs w:val="24"/>
                <w:highlight w:val="none"/>
                <w:shd w:val="clear" w:color="auto" w:fill="FFFFFF" w:themeFill="background1"/>
              </w:rPr>
            </w:pPr>
          </w:p>
        </w:tc>
        <w:tc>
          <w:tcPr>
            <w:tcW w:w="1364" w:type="dxa"/>
            <w:vAlign w:val="center"/>
          </w:tcPr>
          <w:p w14:paraId="6466682B">
            <w:pPr>
              <w:spacing w:line="360" w:lineRule="auto"/>
              <w:jc w:val="center"/>
              <w:rPr>
                <w:rFonts w:hint="eastAsia" w:ascii="仿宋" w:hAnsi="仿宋" w:eastAsia="仿宋" w:cs="仿宋"/>
                <w:sz w:val="24"/>
                <w:szCs w:val="24"/>
                <w:highlight w:val="none"/>
                <w:shd w:val="clear" w:color="auto" w:fill="FFFFFF" w:themeFill="background1"/>
              </w:rPr>
            </w:pPr>
          </w:p>
        </w:tc>
      </w:tr>
      <w:tr w14:paraId="1A45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Merge w:val="continue"/>
            <w:vAlign w:val="center"/>
          </w:tcPr>
          <w:p w14:paraId="1BF35109">
            <w:pPr>
              <w:spacing w:line="360" w:lineRule="auto"/>
              <w:jc w:val="center"/>
              <w:rPr>
                <w:rFonts w:hint="eastAsia" w:ascii="仿宋" w:hAnsi="仿宋" w:eastAsia="仿宋" w:cs="仿宋"/>
                <w:sz w:val="24"/>
                <w:szCs w:val="24"/>
                <w:highlight w:val="none"/>
                <w:shd w:val="clear" w:color="auto" w:fill="FFFFFF" w:themeFill="background1"/>
              </w:rPr>
            </w:pPr>
          </w:p>
        </w:tc>
        <w:tc>
          <w:tcPr>
            <w:tcW w:w="1372" w:type="dxa"/>
            <w:vAlign w:val="center"/>
          </w:tcPr>
          <w:p w14:paraId="07F60F21">
            <w:pPr>
              <w:spacing w:line="360" w:lineRule="auto"/>
              <w:jc w:val="center"/>
              <w:rPr>
                <w:rFonts w:hint="eastAsia" w:ascii="仿宋" w:hAnsi="仿宋" w:eastAsia="仿宋" w:cs="仿宋"/>
                <w:sz w:val="24"/>
                <w:szCs w:val="24"/>
                <w:highlight w:val="none"/>
                <w:shd w:val="clear" w:color="auto" w:fill="FFFFFF" w:themeFill="background1"/>
              </w:rPr>
            </w:pPr>
          </w:p>
        </w:tc>
        <w:tc>
          <w:tcPr>
            <w:tcW w:w="1463" w:type="dxa"/>
            <w:gridSpan w:val="2"/>
            <w:vAlign w:val="center"/>
          </w:tcPr>
          <w:p w14:paraId="132A4DD7">
            <w:pPr>
              <w:spacing w:line="360" w:lineRule="auto"/>
              <w:jc w:val="center"/>
              <w:rPr>
                <w:rFonts w:hint="eastAsia" w:ascii="仿宋" w:hAnsi="仿宋" w:eastAsia="仿宋" w:cs="仿宋"/>
                <w:sz w:val="24"/>
                <w:szCs w:val="24"/>
                <w:highlight w:val="none"/>
                <w:shd w:val="clear" w:color="auto" w:fill="FFFFFF" w:themeFill="background1"/>
              </w:rPr>
            </w:pPr>
          </w:p>
        </w:tc>
        <w:tc>
          <w:tcPr>
            <w:tcW w:w="1702" w:type="dxa"/>
            <w:vAlign w:val="center"/>
          </w:tcPr>
          <w:p w14:paraId="43911FCB">
            <w:pPr>
              <w:spacing w:line="360" w:lineRule="auto"/>
              <w:jc w:val="center"/>
              <w:rPr>
                <w:rFonts w:hint="eastAsia" w:ascii="仿宋" w:hAnsi="仿宋" w:eastAsia="仿宋" w:cs="仿宋"/>
                <w:sz w:val="24"/>
                <w:szCs w:val="24"/>
                <w:highlight w:val="none"/>
                <w:shd w:val="clear" w:color="auto" w:fill="FFFFFF" w:themeFill="background1"/>
              </w:rPr>
            </w:pPr>
          </w:p>
        </w:tc>
        <w:tc>
          <w:tcPr>
            <w:tcW w:w="1275" w:type="dxa"/>
            <w:vAlign w:val="center"/>
          </w:tcPr>
          <w:p w14:paraId="2DD6DB95">
            <w:pPr>
              <w:spacing w:line="360" w:lineRule="auto"/>
              <w:jc w:val="center"/>
              <w:rPr>
                <w:rFonts w:hint="eastAsia" w:ascii="仿宋" w:hAnsi="仿宋" w:eastAsia="仿宋" w:cs="仿宋"/>
                <w:sz w:val="24"/>
                <w:szCs w:val="24"/>
                <w:highlight w:val="none"/>
                <w:shd w:val="clear" w:color="auto" w:fill="FFFFFF" w:themeFill="background1"/>
              </w:rPr>
            </w:pPr>
          </w:p>
        </w:tc>
        <w:tc>
          <w:tcPr>
            <w:tcW w:w="1364" w:type="dxa"/>
            <w:vAlign w:val="center"/>
          </w:tcPr>
          <w:p w14:paraId="039EA435">
            <w:pPr>
              <w:spacing w:line="360" w:lineRule="auto"/>
              <w:jc w:val="center"/>
              <w:rPr>
                <w:rFonts w:hint="eastAsia" w:ascii="仿宋" w:hAnsi="仿宋" w:eastAsia="仿宋" w:cs="仿宋"/>
                <w:sz w:val="24"/>
                <w:szCs w:val="24"/>
                <w:highlight w:val="none"/>
                <w:shd w:val="clear" w:color="auto" w:fill="FFFFFF" w:themeFill="background1"/>
              </w:rPr>
            </w:pPr>
          </w:p>
        </w:tc>
      </w:tr>
      <w:tr w14:paraId="31D0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Merge w:val="continue"/>
            <w:vAlign w:val="center"/>
          </w:tcPr>
          <w:p w14:paraId="04EBB40D">
            <w:pPr>
              <w:spacing w:line="360" w:lineRule="auto"/>
              <w:jc w:val="center"/>
              <w:rPr>
                <w:rFonts w:hint="eastAsia" w:ascii="仿宋" w:hAnsi="仿宋" w:eastAsia="仿宋" w:cs="仿宋"/>
                <w:sz w:val="24"/>
                <w:szCs w:val="24"/>
                <w:highlight w:val="none"/>
                <w:shd w:val="clear" w:color="auto" w:fill="FFFFFF" w:themeFill="background1"/>
              </w:rPr>
            </w:pPr>
          </w:p>
        </w:tc>
        <w:tc>
          <w:tcPr>
            <w:tcW w:w="1372" w:type="dxa"/>
            <w:vAlign w:val="center"/>
          </w:tcPr>
          <w:p w14:paraId="5E534F5C">
            <w:pPr>
              <w:spacing w:line="360" w:lineRule="auto"/>
              <w:jc w:val="center"/>
              <w:rPr>
                <w:rFonts w:hint="eastAsia" w:ascii="仿宋" w:hAnsi="仿宋" w:eastAsia="仿宋" w:cs="仿宋"/>
                <w:sz w:val="24"/>
                <w:szCs w:val="24"/>
                <w:highlight w:val="none"/>
                <w:shd w:val="clear" w:color="auto" w:fill="FFFFFF" w:themeFill="background1"/>
              </w:rPr>
            </w:pPr>
          </w:p>
        </w:tc>
        <w:tc>
          <w:tcPr>
            <w:tcW w:w="1463" w:type="dxa"/>
            <w:gridSpan w:val="2"/>
            <w:vAlign w:val="center"/>
          </w:tcPr>
          <w:p w14:paraId="3733653E">
            <w:pPr>
              <w:spacing w:line="360" w:lineRule="auto"/>
              <w:jc w:val="center"/>
              <w:rPr>
                <w:rFonts w:hint="eastAsia" w:ascii="仿宋" w:hAnsi="仿宋" w:eastAsia="仿宋" w:cs="仿宋"/>
                <w:sz w:val="24"/>
                <w:szCs w:val="24"/>
                <w:highlight w:val="none"/>
                <w:shd w:val="clear" w:color="auto" w:fill="FFFFFF" w:themeFill="background1"/>
              </w:rPr>
            </w:pPr>
          </w:p>
        </w:tc>
        <w:tc>
          <w:tcPr>
            <w:tcW w:w="1702" w:type="dxa"/>
            <w:vAlign w:val="center"/>
          </w:tcPr>
          <w:p w14:paraId="3A052A43">
            <w:pPr>
              <w:spacing w:line="360" w:lineRule="auto"/>
              <w:jc w:val="center"/>
              <w:rPr>
                <w:rFonts w:hint="eastAsia" w:ascii="仿宋" w:hAnsi="仿宋" w:eastAsia="仿宋" w:cs="仿宋"/>
                <w:sz w:val="24"/>
                <w:szCs w:val="24"/>
                <w:highlight w:val="none"/>
                <w:shd w:val="clear" w:color="auto" w:fill="FFFFFF" w:themeFill="background1"/>
              </w:rPr>
            </w:pPr>
          </w:p>
        </w:tc>
        <w:tc>
          <w:tcPr>
            <w:tcW w:w="1275" w:type="dxa"/>
            <w:vAlign w:val="center"/>
          </w:tcPr>
          <w:p w14:paraId="35DB5907">
            <w:pPr>
              <w:spacing w:line="360" w:lineRule="auto"/>
              <w:jc w:val="center"/>
              <w:rPr>
                <w:rFonts w:hint="eastAsia" w:ascii="仿宋" w:hAnsi="仿宋" w:eastAsia="仿宋" w:cs="仿宋"/>
                <w:sz w:val="24"/>
                <w:szCs w:val="24"/>
                <w:highlight w:val="none"/>
                <w:shd w:val="clear" w:color="auto" w:fill="FFFFFF" w:themeFill="background1"/>
              </w:rPr>
            </w:pPr>
          </w:p>
        </w:tc>
        <w:tc>
          <w:tcPr>
            <w:tcW w:w="1364" w:type="dxa"/>
            <w:vAlign w:val="center"/>
          </w:tcPr>
          <w:p w14:paraId="1E43C495">
            <w:pPr>
              <w:spacing w:line="360" w:lineRule="auto"/>
              <w:jc w:val="center"/>
              <w:rPr>
                <w:rFonts w:hint="eastAsia" w:ascii="仿宋" w:hAnsi="仿宋" w:eastAsia="仿宋" w:cs="仿宋"/>
                <w:sz w:val="24"/>
                <w:szCs w:val="24"/>
                <w:highlight w:val="none"/>
                <w:shd w:val="clear" w:color="auto" w:fill="FFFFFF" w:themeFill="background1"/>
              </w:rPr>
            </w:pPr>
          </w:p>
        </w:tc>
      </w:tr>
      <w:tr w14:paraId="75B1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Merge w:val="continue"/>
            <w:vAlign w:val="center"/>
          </w:tcPr>
          <w:p w14:paraId="632BCA8B">
            <w:pPr>
              <w:spacing w:line="360" w:lineRule="auto"/>
              <w:jc w:val="center"/>
              <w:rPr>
                <w:rFonts w:hint="eastAsia" w:ascii="仿宋" w:hAnsi="仿宋" w:eastAsia="仿宋" w:cs="仿宋"/>
                <w:sz w:val="24"/>
                <w:szCs w:val="24"/>
                <w:highlight w:val="none"/>
                <w:shd w:val="clear" w:color="auto" w:fill="FFFFFF" w:themeFill="background1"/>
              </w:rPr>
            </w:pPr>
          </w:p>
        </w:tc>
        <w:tc>
          <w:tcPr>
            <w:tcW w:w="1372" w:type="dxa"/>
            <w:vAlign w:val="center"/>
          </w:tcPr>
          <w:p w14:paraId="28F64FF0">
            <w:pPr>
              <w:spacing w:line="360" w:lineRule="auto"/>
              <w:jc w:val="center"/>
              <w:rPr>
                <w:rFonts w:hint="eastAsia" w:ascii="仿宋" w:hAnsi="仿宋" w:eastAsia="仿宋" w:cs="仿宋"/>
                <w:sz w:val="24"/>
                <w:szCs w:val="24"/>
                <w:highlight w:val="none"/>
                <w:shd w:val="clear" w:color="auto" w:fill="FFFFFF" w:themeFill="background1"/>
              </w:rPr>
            </w:pPr>
          </w:p>
        </w:tc>
        <w:tc>
          <w:tcPr>
            <w:tcW w:w="1463" w:type="dxa"/>
            <w:gridSpan w:val="2"/>
            <w:vAlign w:val="center"/>
          </w:tcPr>
          <w:p w14:paraId="0BE451B8">
            <w:pPr>
              <w:spacing w:line="360" w:lineRule="auto"/>
              <w:jc w:val="center"/>
              <w:rPr>
                <w:rFonts w:hint="eastAsia" w:ascii="仿宋" w:hAnsi="仿宋" w:eastAsia="仿宋" w:cs="仿宋"/>
                <w:sz w:val="24"/>
                <w:szCs w:val="24"/>
                <w:highlight w:val="none"/>
                <w:shd w:val="clear" w:color="auto" w:fill="FFFFFF" w:themeFill="background1"/>
              </w:rPr>
            </w:pPr>
          </w:p>
        </w:tc>
        <w:tc>
          <w:tcPr>
            <w:tcW w:w="1702" w:type="dxa"/>
            <w:vAlign w:val="center"/>
          </w:tcPr>
          <w:p w14:paraId="16ED4B6C">
            <w:pPr>
              <w:spacing w:line="360" w:lineRule="auto"/>
              <w:jc w:val="center"/>
              <w:rPr>
                <w:rFonts w:hint="eastAsia" w:ascii="仿宋" w:hAnsi="仿宋" w:eastAsia="仿宋" w:cs="仿宋"/>
                <w:sz w:val="24"/>
                <w:szCs w:val="24"/>
                <w:highlight w:val="none"/>
                <w:shd w:val="clear" w:color="auto" w:fill="FFFFFF" w:themeFill="background1"/>
              </w:rPr>
            </w:pPr>
          </w:p>
        </w:tc>
        <w:tc>
          <w:tcPr>
            <w:tcW w:w="1275" w:type="dxa"/>
            <w:vAlign w:val="center"/>
          </w:tcPr>
          <w:p w14:paraId="5267E0A7">
            <w:pPr>
              <w:spacing w:line="360" w:lineRule="auto"/>
              <w:jc w:val="center"/>
              <w:rPr>
                <w:rFonts w:hint="eastAsia" w:ascii="仿宋" w:hAnsi="仿宋" w:eastAsia="仿宋" w:cs="仿宋"/>
                <w:sz w:val="24"/>
                <w:szCs w:val="24"/>
                <w:highlight w:val="none"/>
                <w:shd w:val="clear" w:color="auto" w:fill="FFFFFF" w:themeFill="background1"/>
              </w:rPr>
            </w:pPr>
          </w:p>
        </w:tc>
        <w:tc>
          <w:tcPr>
            <w:tcW w:w="1364" w:type="dxa"/>
            <w:vAlign w:val="center"/>
          </w:tcPr>
          <w:p w14:paraId="3852179B">
            <w:pPr>
              <w:spacing w:line="360" w:lineRule="auto"/>
              <w:jc w:val="center"/>
              <w:rPr>
                <w:rFonts w:hint="eastAsia" w:ascii="仿宋" w:hAnsi="仿宋" w:eastAsia="仿宋" w:cs="仿宋"/>
                <w:sz w:val="24"/>
                <w:szCs w:val="24"/>
                <w:highlight w:val="none"/>
                <w:shd w:val="clear" w:color="auto" w:fill="FFFFFF" w:themeFill="background1"/>
              </w:rPr>
            </w:pPr>
          </w:p>
        </w:tc>
      </w:tr>
    </w:tbl>
    <w:p w14:paraId="5468EBDB">
      <w:pPr>
        <w:spacing w:line="360" w:lineRule="auto"/>
        <w:ind w:firstLine="480" w:firstLineChars="200"/>
        <w:jc w:val="left"/>
        <w:rPr>
          <w:rFonts w:hint="eastAsia" w:ascii="仿宋" w:hAnsi="仿宋" w:eastAsia="仿宋" w:cs="仿宋"/>
          <w:sz w:val="24"/>
          <w:szCs w:val="24"/>
          <w:highlight w:val="none"/>
          <w:shd w:val="clear" w:color="auto" w:fill="FFFFFF" w:themeFill="background1"/>
        </w:rPr>
      </w:pPr>
    </w:p>
    <w:p w14:paraId="7062E10B">
      <w:pPr>
        <w:spacing w:line="360" w:lineRule="auto"/>
        <w:ind w:firstLine="480" w:firstLineChars="200"/>
        <w:jc w:val="left"/>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备注：本表后需提供招标文件要求的有关书面证明材料。</w:t>
      </w:r>
    </w:p>
    <w:p w14:paraId="2468B98E">
      <w:pPr>
        <w:tabs>
          <w:tab w:val="center" w:pos="4832"/>
          <w:tab w:val="left" w:pos="7140"/>
        </w:tabs>
        <w:spacing w:line="360" w:lineRule="auto"/>
        <w:jc w:val="center"/>
        <w:outlineLvl w:val="1"/>
        <w:rPr>
          <w:rFonts w:hint="eastAsia" w:ascii="仿宋" w:hAnsi="仿宋" w:eastAsia="仿宋" w:cs="仿宋"/>
          <w:b/>
          <w:bCs/>
          <w:sz w:val="24"/>
          <w:szCs w:val="24"/>
          <w:highlight w:val="none"/>
          <w:shd w:val="clear" w:color="auto" w:fill="FFFFFF" w:themeFill="background1"/>
        </w:rPr>
      </w:pPr>
      <w:bookmarkStart w:id="584" w:name="_Toc507586176"/>
      <w:r>
        <w:rPr>
          <w:rFonts w:hint="eastAsia" w:ascii="仿宋" w:hAnsi="仿宋" w:eastAsia="仿宋" w:cs="仿宋"/>
          <w:b/>
          <w:bCs/>
          <w:sz w:val="24"/>
          <w:szCs w:val="24"/>
          <w:highlight w:val="none"/>
          <w:shd w:val="clear" w:color="auto" w:fill="FFFFFF" w:themeFill="background1"/>
        </w:rPr>
        <w:br w:type="page"/>
      </w:r>
      <w:bookmarkStart w:id="585" w:name="_Toc533503192"/>
      <w:bookmarkStart w:id="586" w:name="_Toc38446481"/>
      <w:bookmarkStart w:id="587" w:name="_Toc4484"/>
      <w:bookmarkStart w:id="588" w:name="_Toc5101"/>
      <w:r>
        <w:rPr>
          <w:rFonts w:hint="eastAsia" w:ascii="仿宋" w:hAnsi="仿宋" w:eastAsia="仿宋" w:cs="仿宋"/>
          <w:b/>
          <w:bCs/>
          <w:sz w:val="24"/>
          <w:szCs w:val="24"/>
          <w:highlight w:val="none"/>
          <w:shd w:val="clear" w:color="auto" w:fill="FFFFFF" w:themeFill="background1"/>
        </w:rPr>
        <w:t>十一、</w:t>
      </w:r>
      <w:bookmarkEnd w:id="584"/>
      <w:bookmarkEnd w:id="585"/>
      <w:bookmarkEnd w:id="586"/>
      <w:r>
        <w:rPr>
          <w:rFonts w:hint="eastAsia" w:ascii="仿宋" w:hAnsi="仿宋" w:eastAsia="仿宋" w:cs="仿宋"/>
          <w:b/>
          <w:bCs/>
          <w:sz w:val="24"/>
          <w:szCs w:val="24"/>
          <w:highlight w:val="none"/>
          <w:shd w:val="clear" w:color="auto" w:fill="FFFFFF" w:themeFill="background1"/>
        </w:rPr>
        <w:t>拟派本项目服务人员情况表</w:t>
      </w:r>
      <w:bookmarkEnd w:id="587"/>
      <w:bookmarkEnd w:id="588"/>
    </w:p>
    <w:p w14:paraId="7B7F783C">
      <w:pPr>
        <w:spacing w:line="360" w:lineRule="auto"/>
        <w:rPr>
          <w:rFonts w:hint="eastAsia" w:ascii="仿宋" w:hAnsi="仿宋" w:eastAsia="仿宋" w:cs="仿宋"/>
          <w:sz w:val="24"/>
          <w:szCs w:val="24"/>
          <w:highlight w:val="none"/>
          <w:shd w:val="clear" w:color="auto" w:fill="FFFFFF" w:themeFill="background1"/>
        </w:rPr>
      </w:pPr>
    </w:p>
    <w:tbl>
      <w:tblPr>
        <w:tblStyle w:val="42"/>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103"/>
        <w:gridCol w:w="1196"/>
        <w:gridCol w:w="1558"/>
        <w:gridCol w:w="1299"/>
        <w:gridCol w:w="1455"/>
        <w:gridCol w:w="1377"/>
        <w:gridCol w:w="742"/>
      </w:tblGrid>
      <w:tr w14:paraId="38FD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Align w:val="center"/>
          </w:tcPr>
          <w:p w14:paraId="71552A81">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序号</w:t>
            </w:r>
          </w:p>
        </w:tc>
        <w:tc>
          <w:tcPr>
            <w:tcW w:w="1103" w:type="dxa"/>
            <w:vAlign w:val="center"/>
          </w:tcPr>
          <w:p w14:paraId="26997BA7">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姓名</w:t>
            </w:r>
          </w:p>
        </w:tc>
        <w:tc>
          <w:tcPr>
            <w:tcW w:w="1196" w:type="dxa"/>
            <w:vAlign w:val="center"/>
          </w:tcPr>
          <w:p w14:paraId="3E686F54">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性别</w:t>
            </w:r>
          </w:p>
        </w:tc>
        <w:tc>
          <w:tcPr>
            <w:tcW w:w="1558" w:type="dxa"/>
            <w:vAlign w:val="center"/>
          </w:tcPr>
          <w:p w14:paraId="5ED0B055">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身份证号码</w:t>
            </w:r>
          </w:p>
        </w:tc>
        <w:tc>
          <w:tcPr>
            <w:tcW w:w="1299" w:type="dxa"/>
            <w:vAlign w:val="center"/>
          </w:tcPr>
          <w:p w14:paraId="138F9849">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学历</w:t>
            </w:r>
          </w:p>
        </w:tc>
        <w:tc>
          <w:tcPr>
            <w:tcW w:w="1455" w:type="dxa"/>
            <w:vAlign w:val="center"/>
          </w:tcPr>
          <w:p w14:paraId="123271F6">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担任岗位</w:t>
            </w:r>
          </w:p>
        </w:tc>
        <w:tc>
          <w:tcPr>
            <w:tcW w:w="1377" w:type="dxa"/>
            <w:vAlign w:val="center"/>
          </w:tcPr>
          <w:p w14:paraId="5B35F24D">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从事类似</w:t>
            </w:r>
          </w:p>
          <w:p w14:paraId="783AEE15">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工作年限</w:t>
            </w:r>
          </w:p>
        </w:tc>
        <w:tc>
          <w:tcPr>
            <w:tcW w:w="742" w:type="dxa"/>
            <w:vAlign w:val="center"/>
          </w:tcPr>
          <w:p w14:paraId="2CC7A121">
            <w:pPr>
              <w:spacing w:line="360" w:lineRule="auto"/>
              <w:jc w:val="center"/>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备注</w:t>
            </w:r>
          </w:p>
        </w:tc>
      </w:tr>
      <w:tr w14:paraId="5E04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Align w:val="center"/>
          </w:tcPr>
          <w:p w14:paraId="3BBD571A">
            <w:pPr>
              <w:spacing w:line="360" w:lineRule="auto"/>
              <w:jc w:val="center"/>
              <w:rPr>
                <w:rFonts w:hint="eastAsia" w:ascii="仿宋" w:hAnsi="仿宋" w:eastAsia="仿宋" w:cs="仿宋"/>
                <w:sz w:val="24"/>
                <w:szCs w:val="24"/>
                <w:highlight w:val="none"/>
                <w:shd w:val="clear" w:color="auto" w:fill="FFFFFF" w:themeFill="background1"/>
              </w:rPr>
            </w:pPr>
          </w:p>
        </w:tc>
        <w:tc>
          <w:tcPr>
            <w:tcW w:w="1103" w:type="dxa"/>
            <w:vAlign w:val="center"/>
          </w:tcPr>
          <w:p w14:paraId="21040743">
            <w:pPr>
              <w:spacing w:line="360" w:lineRule="auto"/>
              <w:jc w:val="center"/>
              <w:rPr>
                <w:rFonts w:hint="eastAsia" w:ascii="仿宋" w:hAnsi="仿宋" w:eastAsia="仿宋" w:cs="仿宋"/>
                <w:sz w:val="24"/>
                <w:szCs w:val="24"/>
                <w:highlight w:val="none"/>
                <w:shd w:val="clear" w:color="auto" w:fill="FFFFFF" w:themeFill="background1"/>
              </w:rPr>
            </w:pPr>
          </w:p>
        </w:tc>
        <w:tc>
          <w:tcPr>
            <w:tcW w:w="1196" w:type="dxa"/>
            <w:vAlign w:val="center"/>
          </w:tcPr>
          <w:p w14:paraId="4C1F6E69">
            <w:pPr>
              <w:spacing w:line="360" w:lineRule="auto"/>
              <w:jc w:val="center"/>
              <w:rPr>
                <w:rFonts w:hint="eastAsia" w:ascii="仿宋" w:hAnsi="仿宋" w:eastAsia="仿宋" w:cs="仿宋"/>
                <w:sz w:val="24"/>
                <w:szCs w:val="24"/>
                <w:highlight w:val="none"/>
                <w:shd w:val="clear" w:color="auto" w:fill="FFFFFF" w:themeFill="background1"/>
              </w:rPr>
            </w:pPr>
          </w:p>
        </w:tc>
        <w:tc>
          <w:tcPr>
            <w:tcW w:w="1558" w:type="dxa"/>
            <w:vAlign w:val="center"/>
          </w:tcPr>
          <w:p w14:paraId="0577B014">
            <w:pPr>
              <w:spacing w:line="360" w:lineRule="auto"/>
              <w:jc w:val="center"/>
              <w:rPr>
                <w:rFonts w:hint="eastAsia" w:ascii="仿宋" w:hAnsi="仿宋" w:eastAsia="仿宋" w:cs="仿宋"/>
                <w:sz w:val="24"/>
                <w:szCs w:val="24"/>
                <w:highlight w:val="none"/>
                <w:shd w:val="clear" w:color="auto" w:fill="FFFFFF" w:themeFill="background1"/>
              </w:rPr>
            </w:pPr>
          </w:p>
        </w:tc>
        <w:tc>
          <w:tcPr>
            <w:tcW w:w="1299" w:type="dxa"/>
            <w:vAlign w:val="center"/>
          </w:tcPr>
          <w:p w14:paraId="71B1A863">
            <w:pPr>
              <w:spacing w:line="360" w:lineRule="auto"/>
              <w:jc w:val="center"/>
              <w:rPr>
                <w:rFonts w:hint="eastAsia" w:ascii="仿宋" w:hAnsi="仿宋" w:eastAsia="仿宋" w:cs="仿宋"/>
                <w:sz w:val="24"/>
                <w:szCs w:val="24"/>
                <w:highlight w:val="none"/>
                <w:shd w:val="clear" w:color="auto" w:fill="FFFFFF" w:themeFill="background1"/>
              </w:rPr>
            </w:pPr>
          </w:p>
        </w:tc>
        <w:tc>
          <w:tcPr>
            <w:tcW w:w="1455" w:type="dxa"/>
            <w:vAlign w:val="center"/>
          </w:tcPr>
          <w:p w14:paraId="52489265">
            <w:pPr>
              <w:spacing w:line="360" w:lineRule="auto"/>
              <w:jc w:val="center"/>
              <w:rPr>
                <w:rFonts w:hint="eastAsia" w:ascii="仿宋" w:hAnsi="仿宋" w:eastAsia="仿宋" w:cs="仿宋"/>
                <w:sz w:val="24"/>
                <w:szCs w:val="24"/>
                <w:highlight w:val="none"/>
                <w:shd w:val="clear" w:color="auto" w:fill="FFFFFF" w:themeFill="background1"/>
              </w:rPr>
            </w:pPr>
          </w:p>
        </w:tc>
        <w:tc>
          <w:tcPr>
            <w:tcW w:w="1377" w:type="dxa"/>
            <w:vAlign w:val="center"/>
          </w:tcPr>
          <w:p w14:paraId="112F3F28">
            <w:pPr>
              <w:spacing w:line="360" w:lineRule="auto"/>
              <w:jc w:val="center"/>
              <w:rPr>
                <w:rFonts w:hint="eastAsia" w:ascii="仿宋" w:hAnsi="仿宋" w:eastAsia="仿宋" w:cs="仿宋"/>
                <w:sz w:val="24"/>
                <w:szCs w:val="24"/>
                <w:highlight w:val="none"/>
                <w:shd w:val="clear" w:color="auto" w:fill="FFFFFF" w:themeFill="background1"/>
              </w:rPr>
            </w:pPr>
          </w:p>
        </w:tc>
        <w:tc>
          <w:tcPr>
            <w:tcW w:w="742" w:type="dxa"/>
            <w:vAlign w:val="center"/>
          </w:tcPr>
          <w:p w14:paraId="2725874F">
            <w:pPr>
              <w:spacing w:line="360" w:lineRule="auto"/>
              <w:jc w:val="center"/>
              <w:rPr>
                <w:rFonts w:hint="eastAsia" w:ascii="仿宋" w:hAnsi="仿宋" w:eastAsia="仿宋" w:cs="仿宋"/>
                <w:sz w:val="24"/>
                <w:szCs w:val="24"/>
                <w:highlight w:val="none"/>
                <w:shd w:val="clear" w:color="auto" w:fill="FFFFFF" w:themeFill="background1"/>
              </w:rPr>
            </w:pPr>
          </w:p>
        </w:tc>
      </w:tr>
      <w:tr w14:paraId="6138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Align w:val="center"/>
          </w:tcPr>
          <w:p w14:paraId="759F77D8">
            <w:pPr>
              <w:spacing w:line="360" w:lineRule="auto"/>
              <w:jc w:val="center"/>
              <w:rPr>
                <w:rFonts w:hint="eastAsia" w:ascii="仿宋" w:hAnsi="仿宋" w:eastAsia="仿宋" w:cs="仿宋"/>
                <w:sz w:val="24"/>
                <w:szCs w:val="24"/>
                <w:highlight w:val="none"/>
                <w:shd w:val="clear" w:color="auto" w:fill="FFFFFF" w:themeFill="background1"/>
              </w:rPr>
            </w:pPr>
          </w:p>
        </w:tc>
        <w:tc>
          <w:tcPr>
            <w:tcW w:w="1103" w:type="dxa"/>
            <w:vAlign w:val="center"/>
          </w:tcPr>
          <w:p w14:paraId="6B72AE27">
            <w:pPr>
              <w:spacing w:line="360" w:lineRule="auto"/>
              <w:jc w:val="center"/>
              <w:rPr>
                <w:rFonts w:hint="eastAsia" w:ascii="仿宋" w:hAnsi="仿宋" w:eastAsia="仿宋" w:cs="仿宋"/>
                <w:sz w:val="24"/>
                <w:szCs w:val="24"/>
                <w:highlight w:val="none"/>
                <w:shd w:val="clear" w:color="auto" w:fill="FFFFFF" w:themeFill="background1"/>
              </w:rPr>
            </w:pPr>
          </w:p>
        </w:tc>
        <w:tc>
          <w:tcPr>
            <w:tcW w:w="1196" w:type="dxa"/>
            <w:vAlign w:val="center"/>
          </w:tcPr>
          <w:p w14:paraId="4D3316BE">
            <w:pPr>
              <w:spacing w:line="360" w:lineRule="auto"/>
              <w:jc w:val="center"/>
              <w:rPr>
                <w:rFonts w:hint="eastAsia" w:ascii="仿宋" w:hAnsi="仿宋" w:eastAsia="仿宋" w:cs="仿宋"/>
                <w:sz w:val="24"/>
                <w:szCs w:val="24"/>
                <w:highlight w:val="none"/>
                <w:shd w:val="clear" w:color="auto" w:fill="FFFFFF" w:themeFill="background1"/>
              </w:rPr>
            </w:pPr>
          </w:p>
        </w:tc>
        <w:tc>
          <w:tcPr>
            <w:tcW w:w="1558" w:type="dxa"/>
            <w:vAlign w:val="center"/>
          </w:tcPr>
          <w:p w14:paraId="0633EFEB">
            <w:pPr>
              <w:spacing w:line="360" w:lineRule="auto"/>
              <w:jc w:val="center"/>
              <w:rPr>
                <w:rFonts w:hint="eastAsia" w:ascii="仿宋" w:hAnsi="仿宋" w:eastAsia="仿宋" w:cs="仿宋"/>
                <w:sz w:val="24"/>
                <w:szCs w:val="24"/>
                <w:highlight w:val="none"/>
                <w:shd w:val="clear" w:color="auto" w:fill="FFFFFF" w:themeFill="background1"/>
              </w:rPr>
            </w:pPr>
          </w:p>
        </w:tc>
        <w:tc>
          <w:tcPr>
            <w:tcW w:w="1299" w:type="dxa"/>
            <w:vAlign w:val="center"/>
          </w:tcPr>
          <w:p w14:paraId="37A298D0">
            <w:pPr>
              <w:spacing w:line="360" w:lineRule="auto"/>
              <w:jc w:val="center"/>
              <w:rPr>
                <w:rFonts w:hint="eastAsia" w:ascii="仿宋" w:hAnsi="仿宋" w:eastAsia="仿宋" w:cs="仿宋"/>
                <w:sz w:val="24"/>
                <w:szCs w:val="24"/>
                <w:highlight w:val="none"/>
                <w:shd w:val="clear" w:color="auto" w:fill="FFFFFF" w:themeFill="background1"/>
              </w:rPr>
            </w:pPr>
          </w:p>
        </w:tc>
        <w:tc>
          <w:tcPr>
            <w:tcW w:w="1455" w:type="dxa"/>
            <w:vAlign w:val="center"/>
          </w:tcPr>
          <w:p w14:paraId="70D75DDF">
            <w:pPr>
              <w:spacing w:line="360" w:lineRule="auto"/>
              <w:jc w:val="center"/>
              <w:rPr>
                <w:rFonts w:hint="eastAsia" w:ascii="仿宋" w:hAnsi="仿宋" w:eastAsia="仿宋" w:cs="仿宋"/>
                <w:sz w:val="24"/>
                <w:szCs w:val="24"/>
                <w:highlight w:val="none"/>
                <w:shd w:val="clear" w:color="auto" w:fill="FFFFFF" w:themeFill="background1"/>
              </w:rPr>
            </w:pPr>
          </w:p>
        </w:tc>
        <w:tc>
          <w:tcPr>
            <w:tcW w:w="1377" w:type="dxa"/>
            <w:vAlign w:val="center"/>
          </w:tcPr>
          <w:p w14:paraId="0B8FCF30">
            <w:pPr>
              <w:spacing w:line="360" w:lineRule="auto"/>
              <w:jc w:val="center"/>
              <w:rPr>
                <w:rFonts w:hint="eastAsia" w:ascii="仿宋" w:hAnsi="仿宋" w:eastAsia="仿宋" w:cs="仿宋"/>
                <w:sz w:val="24"/>
                <w:szCs w:val="24"/>
                <w:highlight w:val="none"/>
                <w:shd w:val="clear" w:color="auto" w:fill="FFFFFF" w:themeFill="background1"/>
              </w:rPr>
            </w:pPr>
          </w:p>
        </w:tc>
        <w:tc>
          <w:tcPr>
            <w:tcW w:w="742" w:type="dxa"/>
            <w:vAlign w:val="center"/>
          </w:tcPr>
          <w:p w14:paraId="28538A1B">
            <w:pPr>
              <w:spacing w:line="360" w:lineRule="auto"/>
              <w:jc w:val="center"/>
              <w:rPr>
                <w:rFonts w:hint="eastAsia" w:ascii="仿宋" w:hAnsi="仿宋" w:eastAsia="仿宋" w:cs="仿宋"/>
                <w:sz w:val="24"/>
                <w:szCs w:val="24"/>
                <w:highlight w:val="none"/>
                <w:shd w:val="clear" w:color="auto" w:fill="FFFFFF" w:themeFill="background1"/>
              </w:rPr>
            </w:pPr>
          </w:p>
        </w:tc>
      </w:tr>
      <w:tr w14:paraId="3500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Align w:val="center"/>
          </w:tcPr>
          <w:p w14:paraId="1246D369">
            <w:pPr>
              <w:spacing w:line="360" w:lineRule="auto"/>
              <w:jc w:val="center"/>
              <w:rPr>
                <w:rFonts w:hint="eastAsia" w:ascii="仿宋" w:hAnsi="仿宋" w:eastAsia="仿宋" w:cs="仿宋"/>
                <w:sz w:val="24"/>
                <w:szCs w:val="24"/>
                <w:highlight w:val="none"/>
                <w:shd w:val="clear" w:color="auto" w:fill="FFFFFF" w:themeFill="background1"/>
              </w:rPr>
            </w:pPr>
          </w:p>
        </w:tc>
        <w:tc>
          <w:tcPr>
            <w:tcW w:w="1103" w:type="dxa"/>
            <w:vAlign w:val="center"/>
          </w:tcPr>
          <w:p w14:paraId="3F6E4892">
            <w:pPr>
              <w:spacing w:line="360" w:lineRule="auto"/>
              <w:jc w:val="center"/>
              <w:rPr>
                <w:rFonts w:hint="eastAsia" w:ascii="仿宋" w:hAnsi="仿宋" w:eastAsia="仿宋" w:cs="仿宋"/>
                <w:sz w:val="24"/>
                <w:szCs w:val="24"/>
                <w:highlight w:val="none"/>
                <w:shd w:val="clear" w:color="auto" w:fill="FFFFFF" w:themeFill="background1"/>
              </w:rPr>
            </w:pPr>
          </w:p>
        </w:tc>
        <w:tc>
          <w:tcPr>
            <w:tcW w:w="1196" w:type="dxa"/>
            <w:vAlign w:val="center"/>
          </w:tcPr>
          <w:p w14:paraId="341EBC4A">
            <w:pPr>
              <w:spacing w:line="360" w:lineRule="auto"/>
              <w:jc w:val="center"/>
              <w:rPr>
                <w:rFonts w:hint="eastAsia" w:ascii="仿宋" w:hAnsi="仿宋" w:eastAsia="仿宋" w:cs="仿宋"/>
                <w:sz w:val="24"/>
                <w:szCs w:val="24"/>
                <w:highlight w:val="none"/>
                <w:shd w:val="clear" w:color="auto" w:fill="FFFFFF" w:themeFill="background1"/>
              </w:rPr>
            </w:pPr>
          </w:p>
        </w:tc>
        <w:tc>
          <w:tcPr>
            <w:tcW w:w="1558" w:type="dxa"/>
            <w:vAlign w:val="center"/>
          </w:tcPr>
          <w:p w14:paraId="45FC1EF4">
            <w:pPr>
              <w:spacing w:line="360" w:lineRule="auto"/>
              <w:jc w:val="center"/>
              <w:rPr>
                <w:rFonts w:hint="eastAsia" w:ascii="仿宋" w:hAnsi="仿宋" w:eastAsia="仿宋" w:cs="仿宋"/>
                <w:sz w:val="24"/>
                <w:szCs w:val="24"/>
                <w:highlight w:val="none"/>
                <w:shd w:val="clear" w:color="auto" w:fill="FFFFFF" w:themeFill="background1"/>
              </w:rPr>
            </w:pPr>
          </w:p>
        </w:tc>
        <w:tc>
          <w:tcPr>
            <w:tcW w:w="1299" w:type="dxa"/>
            <w:vAlign w:val="center"/>
          </w:tcPr>
          <w:p w14:paraId="52E381B1">
            <w:pPr>
              <w:spacing w:line="360" w:lineRule="auto"/>
              <w:jc w:val="center"/>
              <w:rPr>
                <w:rFonts w:hint="eastAsia" w:ascii="仿宋" w:hAnsi="仿宋" w:eastAsia="仿宋" w:cs="仿宋"/>
                <w:sz w:val="24"/>
                <w:szCs w:val="24"/>
                <w:highlight w:val="none"/>
                <w:shd w:val="clear" w:color="auto" w:fill="FFFFFF" w:themeFill="background1"/>
              </w:rPr>
            </w:pPr>
          </w:p>
        </w:tc>
        <w:tc>
          <w:tcPr>
            <w:tcW w:w="1455" w:type="dxa"/>
            <w:vAlign w:val="center"/>
          </w:tcPr>
          <w:p w14:paraId="5856E336">
            <w:pPr>
              <w:spacing w:line="360" w:lineRule="auto"/>
              <w:jc w:val="center"/>
              <w:rPr>
                <w:rFonts w:hint="eastAsia" w:ascii="仿宋" w:hAnsi="仿宋" w:eastAsia="仿宋" w:cs="仿宋"/>
                <w:sz w:val="24"/>
                <w:szCs w:val="24"/>
                <w:highlight w:val="none"/>
                <w:shd w:val="clear" w:color="auto" w:fill="FFFFFF" w:themeFill="background1"/>
              </w:rPr>
            </w:pPr>
          </w:p>
        </w:tc>
        <w:tc>
          <w:tcPr>
            <w:tcW w:w="1377" w:type="dxa"/>
            <w:vAlign w:val="center"/>
          </w:tcPr>
          <w:p w14:paraId="373094FE">
            <w:pPr>
              <w:spacing w:line="360" w:lineRule="auto"/>
              <w:jc w:val="center"/>
              <w:rPr>
                <w:rFonts w:hint="eastAsia" w:ascii="仿宋" w:hAnsi="仿宋" w:eastAsia="仿宋" w:cs="仿宋"/>
                <w:sz w:val="24"/>
                <w:szCs w:val="24"/>
                <w:highlight w:val="none"/>
                <w:shd w:val="clear" w:color="auto" w:fill="FFFFFF" w:themeFill="background1"/>
              </w:rPr>
            </w:pPr>
          </w:p>
        </w:tc>
        <w:tc>
          <w:tcPr>
            <w:tcW w:w="742" w:type="dxa"/>
            <w:vAlign w:val="center"/>
          </w:tcPr>
          <w:p w14:paraId="4BB42A8C">
            <w:pPr>
              <w:spacing w:line="360" w:lineRule="auto"/>
              <w:jc w:val="center"/>
              <w:rPr>
                <w:rFonts w:hint="eastAsia" w:ascii="仿宋" w:hAnsi="仿宋" w:eastAsia="仿宋" w:cs="仿宋"/>
                <w:sz w:val="24"/>
                <w:szCs w:val="24"/>
                <w:highlight w:val="none"/>
                <w:shd w:val="clear" w:color="auto" w:fill="FFFFFF" w:themeFill="background1"/>
              </w:rPr>
            </w:pPr>
          </w:p>
        </w:tc>
      </w:tr>
      <w:tr w14:paraId="7292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Align w:val="center"/>
          </w:tcPr>
          <w:p w14:paraId="60F570A5">
            <w:pPr>
              <w:spacing w:line="360" w:lineRule="auto"/>
              <w:jc w:val="center"/>
              <w:rPr>
                <w:rFonts w:hint="eastAsia" w:ascii="仿宋" w:hAnsi="仿宋" w:eastAsia="仿宋" w:cs="仿宋"/>
                <w:sz w:val="24"/>
                <w:szCs w:val="24"/>
                <w:highlight w:val="none"/>
                <w:shd w:val="clear" w:color="auto" w:fill="FFFFFF" w:themeFill="background1"/>
              </w:rPr>
            </w:pPr>
          </w:p>
        </w:tc>
        <w:tc>
          <w:tcPr>
            <w:tcW w:w="1103" w:type="dxa"/>
            <w:vAlign w:val="center"/>
          </w:tcPr>
          <w:p w14:paraId="15FD922B">
            <w:pPr>
              <w:spacing w:line="360" w:lineRule="auto"/>
              <w:jc w:val="center"/>
              <w:rPr>
                <w:rFonts w:hint="eastAsia" w:ascii="仿宋" w:hAnsi="仿宋" w:eastAsia="仿宋" w:cs="仿宋"/>
                <w:sz w:val="24"/>
                <w:szCs w:val="24"/>
                <w:highlight w:val="none"/>
                <w:shd w:val="clear" w:color="auto" w:fill="FFFFFF" w:themeFill="background1"/>
              </w:rPr>
            </w:pPr>
          </w:p>
        </w:tc>
        <w:tc>
          <w:tcPr>
            <w:tcW w:w="1196" w:type="dxa"/>
            <w:vAlign w:val="center"/>
          </w:tcPr>
          <w:p w14:paraId="623F453F">
            <w:pPr>
              <w:spacing w:line="360" w:lineRule="auto"/>
              <w:jc w:val="center"/>
              <w:rPr>
                <w:rFonts w:hint="eastAsia" w:ascii="仿宋" w:hAnsi="仿宋" w:eastAsia="仿宋" w:cs="仿宋"/>
                <w:sz w:val="24"/>
                <w:szCs w:val="24"/>
                <w:highlight w:val="none"/>
                <w:shd w:val="clear" w:color="auto" w:fill="FFFFFF" w:themeFill="background1"/>
              </w:rPr>
            </w:pPr>
          </w:p>
        </w:tc>
        <w:tc>
          <w:tcPr>
            <w:tcW w:w="1558" w:type="dxa"/>
            <w:vAlign w:val="center"/>
          </w:tcPr>
          <w:p w14:paraId="0DE826F1">
            <w:pPr>
              <w:spacing w:line="360" w:lineRule="auto"/>
              <w:jc w:val="center"/>
              <w:rPr>
                <w:rFonts w:hint="eastAsia" w:ascii="仿宋" w:hAnsi="仿宋" w:eastAsia="仿宋" w:cs="仿宋"/>
                <w:sz w:val="24"/>
                <w:szCs w:val="24"/>
                <w:highlight w:val="none"/>
                <w:shd w:val="clear" w:color="auto" w:fill="FFFFFF" w:themeFill="background1"/>
              </w:rPr>
            </w:pPr>
          </w:p>
        </w:tc>
        <w:tc>
          <w:tcPr>
            <w:tcW w:w="1299" w:type="dxa"/>
            <w:vAlign w:val="center"/>
          </w:tcPr>
          <w:p w14:paraId="09C89DB1">
            <w:pPr>
              <w:spacing w:line="360" w:lineRule="auto"/>
              <w:jc w:val="center"/>
              <w:rPr>
                <w:rFonts w:hint="eastAsia" w:ascii="仿宋" w:hAnsi="仿宋" w:eastAsia="仿宋" w:cs="仿宋"/>
                <w:sz w:val="24"/>
                <w:szCs w:val="24"/>
                <w:highlight w:val="none"/>
                <w:shd w:val="clear" w:color="auto" w:fill="FFFFFF" w:themeFill="background1"/>
              </w:rPr>
            </w:pPr>
          </w:p>
        </w:tc>
        <w:tc>
          <w:tcPr>
            <w:tcW w:w="1455" w:type="dxa"/>
            <w:vAlign w:val="center"/>
          </w:tcPr>
          <w:p w14:paraId="0BF85A82">
            <w:pPr>
              <w:spacing w:line="360" w:lineRule="auto"/>
              <w:jc w:val="center"/>
              <w:rPr>
                <w:rFonts w:hint="eastAsia" w:ascii="仿宋" w:hAnsi="仿宋" w:eastAsia="仿宋" w:cs="仿宋"/>
                <w:sz w:val="24"/>
                <w:szCs w:val="24"/>
                <w:highlight w:val="none"/>
                <w:shd w:val="clear" w:color="auto" w:fill="FFFFFF" w:themeFill="background1"/>
              </w:rPr>
            </w:pPr>
          </w:p>
        </w:tc>
        <w:tc>
          <w:tcPr>
            <w:tcW w:w="1377" w:type="dxa"/>
            <w:vAlign w:val="center"/>
          </w:tcPr>
          <w:p w14:paraId="2B83A891">
            <w:pPr>
              <w:spacing w:line="360" w:lineRule="auto"/>
              <w:jc w:val="center"/>
              <w:rPr>
                <w:rFonts w:hint="eastAsia" w:ascii="仿宋" w:hAnsi="仿宋" w:eastAsia="仿宋" w:cs="仿宋"/>
                <w:sz w:val="24"/>
                <w:szCs w:val="24"/>
                <w:highlight w:val="none"/>
                <w:shd w:val="clear" w:color="auto" w:fill="FFFFFF" w:themeFill="background1"/>
              </w:rPr>
            </w:pPr>
          </w:p>
        </w:tc>
        <w:tc>
          <w:tcPr>
            <w:tcW w:w="742" w:type="dxa"/>
            <w:vAlign w:val="center"/>
          </w:tcPr>
          <w:p w14:paraId="27299D31">
            <w:pPr>
              <w:spacing w:line="360" w:lineRule="auto"/>
              <w:jc w:val="center"/>
              <w:rPr>
                <w:rFonts w:hint="eastAsia" w:ascii="仿宋" w:hAnsi="仿宋" w:eastAsia="仿宋" w:cs="仿宋"/>
                <w:sz w:val="24"/>
                <w:szCs w:val="24"/>
                <w:highlight w:val="none"/>
                <w:shd w:val="clear" w:color="auto" w:fill="FFFFFF" w:themeFill="background1"/>
              </w:rPr>
            </w:pPr>
          </w:p>
        </w:tc>
      </w:tr>
      <w:tr w14:paraId="291D1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Align w:val="center"/>
          </w:tcPr>
          <w:p w14:paraId="44DBA8C6">
            <w:pPr>
              <w:spacing w:line="360" w:lineRule="auto"/>
              <w:jc w:val="center"/>
              <w:rPr>
                <w:rFonts w:hint="eastAsia" w:ascii="仿宋" w:hAnsi="仿宋" w:eastAsia="仿宋" w:cs="仿宋"/>
                <w:sz w:val="24"/>
                <w:szCs w:val="24"/>
                <w:highlight w:val="none"/>
                <w:shd w:val="clear" w:color="auto" w:fill="FFFFFF" w:themeFill="background1"/>
              </w:rPr>
            </w:pPr>
          </w:p>
        </w:tc>
        <w:tc>
          <w:tcPr>
            <w:tcW w:w="1103" w:type="dxa"/>
            <w:vAlign w:val="center"/>
          </w:tcPr>
          <w:p w14:paraId="641B41E4">
            <w:pPr>
              <w:spacing w:line="360" w:lineRule="auto"/>
              <w:jc w:val="center"/>
              <w:rPr>
                <w:rFonts w:hint="eastAsia" w:ascii="仿宋" w:hAnsi="仿宋" w:eastAsia="仿宋" w:cs="仿宋"/>
                <w:sz w:val="24"/>
                <w:szCs w:val="24"/>
                <w:highlight w:val="none"/>
                <w:shd w:val="clear" w:color="auto" w:fill="FFFFFF" w:themeFill="background1"/>
              </w:rPr>
            </w:pPr>
          </w:p>
        </w:tc>
        <w:tc>
          <w:tcPr>
            <w:tcW w:w="1196" w:type="dxa"/>
            <w:vAlign w:val="center"/>
          </w:tcPr>
          <w:p w14:paraId="33B96352">
            <w:pPr>
              <w:spacing w:line="360" w:lineRule="auto"/>
              <w:jc w:val="center"/>
              <w:rPr>
                <w:rFonts w:hint="eastAsia" w:ascii="仿宋" w:hAnsi="仿宋" w:eastAsia="仿宋" w:cs="仿宋"/>
                <w:sz w:val="24"/>
                <w:szCs w:val="24"/>
                <w:highlight w:val="none"/>
                <w:shd w:val="clear" w:color="auto" w:fill="FFFFFF" w:themeFill="background1"/>
              </w:rPr>
            </w:pPr>
          </w:p>
        </w:tc>
        <w:tc>
          <w:tcPr>
            <w:tcW w:w="1558" w:type="dxa"/>
            <w:vAlign w:val="center"/>
          </w:tcPr>
          <w:p w14:paraId="06509CC7">
            <w:pPr>
              <w:spacing w:line="360" w:lineRule="auto"/>
              <w:jc w:val="center"/>
              <w:rPr>
                <w:rFonts w:hint="eastAsia" w:ascii="仿宋" w:hAnsi="仿宋" w:eastAsia="仿宋" w:cs="仿宋"/>
                <w:sz w:val="24"/>
                <w:szCs w:val="24"/>
                <w:highlight w:val="none"/>
                <w:shd w:val="clear" w:color="auto" w:fill="FFFFFF" w:themeFill="background1"/>
              </w:rPr>
            </w:pPr>
          </w:p>
        </w:tc>
        <w:tc>
          <w:tcPr>
            <w:tcW w:w="1299" w:type="dxa"/>
            <w:vAlign w:val="center"/>
          </w:tcPr>
          <w:p w14:paraId="27A5FAD2">
            <w:pPr>
              <w:spacing w:line="360" w:lineRule="auto"/>
              <w:jc w:val="center"/>
              <w:rPr>
                <w:rFonts w:hint="eastAsia" w:ascii="仿宋" w:hAnsi="仿宋" w:eastAsia="仿宋" w:cs="仿宋"/>
                <w:sz w:val="24"/>
                <w:szCs w:val="24"/>
                <w:highlight w:val="none"/>
                <w:shd w:val="clear" w:color="auto" w:fill="FFFFFF" w:themeFill="background1"/>
              </w:rPr>
            </w:pPr>
          </w:p>
        </w:tc>
        <w:tc>
          <w:tcPr>
            <w:tcW w:w="1455" w:type="dxa"/>
            <w:vAlign w:val="center"/>
          </w:tcPr>
          <w:p w14:paraId="1752D9F2">
            <w:pPr>
              <w:spacing w:line="360" w:lineRule="auto"/>
              <w:jc w:val="center"/>
              <w:rPr>
                <w:rFonts w:hint="eastAsia" w:ascii="仿宋" w:hAnsi="仿宋" w:eastAsia="仿宋" w:cs="仿宋"/>
                <w:sz w:val="24"/>
                <w:szCs w:val="24"/>
                <w:highlight w:val="none"/>
                <w:shd w:val="clear" w:color="auto" w:fill="FFFFFF" w:themeFill="background1"/>
              </w:rPr>
            </w:pPr>
          </w:p>
        </w:tc>
        <w:tc>
          <w:tcPr>
            <w:tcW w:w="1377" w:type="dxa"/>
            <w:vAlign w:val="center"/>
          </w:tcPr>
          <w:p w14:paraId="34E618F6">
            <w:pPr>
              <w:spacing w:line="360" w:lineRule="auto"/>
              <w:jc w:val="center"/>
              <w:rPr>
                <w:rFonts w:hint="eastAsia" w:ascii="仿宋" w:hAnsi="仿宋" w:eastAsia="仿宋" w:cs="仿宋"/>
                <w:sz w:val="24"/>
                <w:szCs w:val="24"/>
                <w:highlight w:val="none"/>
                <w:shd w:val="clear" w:color="auto" w:fill="FFFFFF" w:themeFill="background1"/>
              </w:rPr>
            </w:pPr>
          </w:p>
        </w:tc>
        <w:tc>
          <w:tcPr>
            <w:tcW w:w="742" w:type="dxa"/>
            <w:vAlign w:val="center"/>
          </w:tcPr>
          <w:p w14:paraId="3C092BD6">
            <w:pPr>
              <w:spacing w:line="360" w:lineRule="auto"/>
              <w:jc w:val="center"/>
              <w:rPr>
                <w:rFonts w:hint="eastAsia" w:ascii="仿宋" w:hAnsi="仿宋" w:eastAsia="仿宋" w:cs="仿宋"/>
                <w:sz w:val="24"/>
                <w:szCs w:val="24"/>
                <w:highlight w:val="none"/>
                <w:shd w:val="clear" w:color="auto" w:fill="FFFFFF" w:themeFill="background1"/>
              </w:rPr>
            </w:pPr>
          </w:p>
        </w:tc>
      </w:tr>
    </w:tbl>
    <w:p w14:paraId="3F7E358C">
      <w:pPr>
        <w:spacing w:line="360" w:lineRule="auto"/>
        <w:jc w:val="left"/>
        <w:rPr>
          <w:rFonts w:hint="eastAsia" w:ascii="仿宋" w:hAnsi="仿宋" w:eastAsia="仿宋" w:cs="仿宋"/>
          <w:bCs/>
          <w:sz w:val="24"/>
          <w:szCs w:val="24"/>
          <w:highlight w:val="none"/>
          <w:shd w:val="clear" w:color="auto" w:fill="FFFFFF" w:themeFill="background1"/>
        </w:rPr>
      </w:pPr>
    </w:p>
    <w:p w14:paraId="7F252D70">
      <w:pPr>
        <w:spacing w:line="360" w:lineRule="auto"/>
        <w:jc w:val="left"/>
        <w:rPr>
          <w:rFonts w:hint="eastAsia" w:ascii="仿宋" w:hAnsi="仿宋" w:eastAsia="仿宋" w:cs="仿宋"/>
          <w:sz w:val="24"/>
          <w:szCs w:val="24"/>
          <w:highlight w:val="none"/>
          <w:shd w:val="clear" w:color="auto" w:fill="FFFFFF" w:themeFill="background1"/>
        </w:rPr>
      </w:pPr>
      <w:r>
        <w:rPr>
          <w:rFonts w:hint="eastAsia" w:ascii="仿宋" w:hAnsi="仿宋" w:eastAsia="仿宋" w:cs="仿宋"/>
          <w:bCs/>
          <w:sz w:val="24"/>
          <w:szCs w:val="24"/>
          <w:highlight w:val="none"/>
          <w:shd w:val="clear" w:color="auto" w:fill="FFFFFF" w:themeFill="background1"/>
        </w:rPr>
        <w:t>备注：</w:t>
      </w:r>
      <w:r>
        <w:rPr>
          <w:rFonts w:hint="eastAsia" w:ascii="仿宋" w:hAnsi="仿宋" w:eastAsia="仿宋" w:cs="仿宋"/>
          <w:sz w:val="24"/>
          <w:szCs w:val="24"/>
          <w:highlight w:val="none"/>
          <w:shd w:val="clear" w:color="auto" w:fill="FFFFFF" w:themeFill="background1"/>
        </w:rPr>
        <w:t>本表后需提供招标文件要求的有关书面证明材料。</w:t>
      </w:r>
    </w:p>
    <w:p w14:paraId="4E17AC42">
      <w:pPr>
        <w:spacing w:line="360" w:lineRule="auto"/>
        <w:jc w:val="center"/>
        <w:outlineLvl w:val="1"/>
        <w:rPr>
          <w:rFonts w:hint="eastAsia" w:ascii="仿宋" w:hAnsi="仿宋" w:eastAsia="仿宋" w:cs="仿宋"/>
          <w:bCs/>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br w:type="page"/>
      </w:r>
      <w:bookmarkStart w:id="589" w:name="_Toc18396"/>
      <w:bookmarkStart w:id="590" w:name="_Toc38446482"/>
      <w:bookmarkStart w:id="591" w:name="_Toc507586177"/>
      <w:bookmarkStart w:id="592" w:name="_Toc4741"/>
      <w:bookmarkStart w:id="593" w:name="_Toc533503193"/>
      <w:r>
        <w:rPr>
          <w:rFonts w:hint="eastAsia" w:ascii="仿宋" w:hAnsi="仿宋" w:eastAsia="仿宋" w:cs="仿宋"/>
          <w:b/>
          <w:sz w:val="24"/>
          <w:szCs w:val="24"/>
          <w:highlight w:val="none"/>
          <w:shd w:val="clear" w:color="auto" w:fill="FFFFFF" w:themeFill="background1"/>
        </w:rPr>
        <w:t>十二、</w:t>
      </w:r>
      <w:r>
        <w:rPr>
          <w:rFonts w:hint="eastAsia" w:ascii="仿宋" w:hAnsi="仿宋" w:eastAsia="仿宋" w:cs="仿宋"/>
          <w:b/>
          <w:bCs/>
          <w:sz w:val="24"/>
          <w:szCs w:val="24"/>
          <w:highlight w:val="none"/>
          <w:shd w:val="clear" w:color="auto" w:fill="FFFFFF" w:themeFill="background1"/>
        </w:rPr>
        <w:t>服务方案</w:t>
      </w:r>
      <w:bookmarkEnd w:id="589"/>
      <w:bookmarkEnd w:id="590"/>
      <w:bookmarkEnd w:id="591"/>
      <w:bookmarkEnd w:id="592"/>
      <w:bookmarkEnd w:id="593"/>
    </w:p>
    <w:p w14:paraId="66CCE494">
      <w:pPr>
        <w:spacing w:line="360" w:lineRule="auto"/>
        <w:ind w:firstLine="480" w:firstLineChars="200"/>
        <w:rPr>
          <w:rFonts w:hint="eastAsia" w:ascii="仿宋" w:hAnsi="仿宋" w:eastAsia="仿宋" w:cs="仿宋"/>
          <w:sz w:val="24"/>
          <w:szCs w:val="24"/>
          <w:highlight w:val="none"/>
          <w:shd w:val="clear" w:color="auto" w:fill="FFFFFF" w:themeFill="background1"/>
        </w:rPr>
      </w:pPr>
      <w:r>
        <w:rPr>
          <w:rFonts w:hint="eastAsia" w:ascii="仿宋" w:hAnsi="仿宋" w:eastAsia="仿宋" w:cs="仿宋"/>
          <w:bCs/>
          <w:sz w:val="24"/>
          <w:szCs w:val="24"/>
          <w:highlight w:val="none"/>
          <w:shd w:val="clear" w:color="auto" w:fill="FFFFFF" w:themeFill="background1"/>
        </w:rPr>
        <w:t>投标人须提交拟完成本项目的服务方案，服务方案的格式和内容由投标人根据本项目的具体情况</w:t>
      </w:r>
      <w:r>
        <w:rPr>
          <w:rFonts w:hint="eastAsia" w:ascii="仿宋" w:hAnsi="仿宋" w:eastAsia="仿宋" w:cs="仿宋"/>
          <w:sz w:val="24"/>
          <w:szCs w:val="24"/>
          <w:highlight w:val="none"/>
          <w:shd w:val="clear" w:color="auto" w:fill="FFFFFF" w:themeFill="background1"/>
        </w:rPr>
        <w:t>自行拟定。</w:t>
      </w:r>
    </w:p>
    <w:p w14:paraId="7C2B0DF3">
      <w:pPr>
        <w:spacing w:line="360" w:lineRule="auto"/>
        <w:ind w:firstLine="480" w:firstLineChars="200"/>
        <w:rPr>
          <w:rFonts w:hint="eastAsia" w:ascii="仿宋" w:hAnsi="仿宋" w:eastAsia="仿宋" w:cs="仿宋"/>
          <w:bCs/>
          <w:sz w:val="24"/>
          <w:szCs w:val="24"/>
          <w:highlight w:val="none"/>
          <w:shd w:val="clear" w:color="auto" w:fill="FFFFFF" w:themeFill="background1"/>
        </w:rPr>
      </w:pPr>
    </w:p>
    <w:p w14:paraId="2A753C26">
      <w:pPr>
        <w:pStyle w:val="15"/>
        <w:rPr>
          <w:rFonts w:hint="eastAsia" w:ascii="仿宋" w:hAnsi="仿宋" w:eastAsia="仿宋" w:cs="仿宋"/>
          <w:highlight w:val="none"/>
        </w:rPr>
      </w:pPr>
    </w:p>
    <w:p w14:paraId="6F79FAE4">
      <w:pPr>
        <w:rPr>
          <w:rFonts w:hint="eastAsia" w:ascii="仿宋" w:hAnsi="仿宋" w:eastAsia="仿宋" w:cs="仿宋"/>
          <w:highlight w:val="none"/>
        </w:rPr>
      </w:pPr>
    </w:p>
    <w:p w14:paraId="74D25154">
      <w:pPr>
        <w:pStyle w:val="15"/>
        <w:rPr>
          <w:rFonts w:hint="eastAsia" w:ascii="仿宋" w:hAnsi="仿宋" w:eastAsia="仿宋" w:cs="仿宋"/>
          <w:highlight w:val="none"/>
        </w:rPr>
      </w:pPr>
    </w:p>
    <w:p w14:paraId="56770526">
      <w:pPr>
        <w:rPr>
          <w:rFonts w:hint="eastAsia" w:ascii="仿宋" w:hAnsi="仿宋" w:eastAsia="仿宋" w:cs="仿宋"/>
          <w:highlight w:val="none"/>
        </w:rPr>
      </w:pPr>
    </w:p>
    <w:p w14:paraId="5A386DB7">
      <w:pPr>
        <w:spacing w:line="360" w:lineRule="auto"/>
        <w:jc w:val="center"/>
        <w:outlineLvl w:val="1"/>
        <w:rPr>
          <w:rFonts w:hint="eastAsia" w:ascii="仿宋" w:hAnsi="仿宋" w:eastAsia="仿宋" w:cs="仿宋"/>
          <w:b/>
          <w:sz w:val="24"/>
          <w:szCs w:val="24"/>
          <w:highlight w:val="none"/>
          <w:shd w:val="clear" w:color="auto" w:fill="FFFFFF" w:themeFill="background1"/>
        </w:rPr>
      </w:pPr>
      <w:bookmarkStart w:id="594" w:name="_Toc507586178"/>
      <w:bookmarkStart w:id="595" w:name="_Toc274"/>
      <w:bookmarkStart w:id="596" w:name="_Toc38446484"/>
      <w:bookmarkStart w:id="597" w:name="_Toc13425"/>
      <w:bookmarkStart w:id="598" w:name="_Toc533503194"/>
      <w:r>
        <w:rPr>
          <w:rFonts w:hint="eastAsia" w:ascii="仿宋" w:hAnsi="仿宋" w:eastAsia="仿宋" w:cs="仿宋"/>
          <w:b/>
          <w:sz w:val="24"/>
          <w:szCs w:val="24"/>
          <w:highlight w:val="none"/>
          <w:shd w:val="clear" w:color="auto" w:fill="FFFFFF" w:themeFill="background1"/>
        </w:rPr>
        <w:t>十三、其他需要提交的资料</w:t>
      </w:r>
      <w:bookmarkEnd w:id="594"/>
      <w:bookmarkEnd w:id="595"/>
      <w:bookmarkEnd w:id="596"/>
      <w:bookmarkEnd w:id="597"/>
      <w:bookmarkEnd w:id="598"/>
    </w:p>
    <w:p w14:paraId="7B283E75">
      <w:pPr>
        <w:spacing w:line="360" w:lineRule="auto"/>
        <w:ind w:firstLine="480" w:firstLineChars="200"/>
        <w:rPr>
          <w:rFonts w:hint="eastAsia" w:ascii="仿宋" w:hAnsi="仿宋" w:eastAsia="仿宋" w:cs="仿宋"/>
          <w:sz w:val="24"/>
          <w:szCs w:val="24"/>
          <w:highlight w:val="none"/>
          <w:shd w:val="clear" w:color="auto" w:fill="FFFFFF" w:themeFill="background1"/>
        </w:rPr>
      </w:pPr>
      <w:r>
        <w:rPr>
          <w:rFonts w:hint="eastAsia" w:ascii="仿宋" w:hAnsi="仿宋" w:eastAsia="仿宋" w:cs="仿宋"/>
          <w:sz w:val="24"/>
          <w:szCs w:val="24"/>
          <w:highlight w:val="none"/>
          <w:shd w:val="clear" w:color="auto" w:fill="FFFFFF" w:themeFill="background1"/>
        </w:rPr>
        <w:t>根据招标文件的要求和投标人认为需要提供的资料（如投标保证金缴纳凭证等）。</w:t>
      </w:r>
    </w:p>
    <w:p w14:paraId="2AFAB327">
      <w:pPr>
        <w:spacing w:line="360" w:lineRule="auto"/>
        <w:ind w:firstLine="480" w:firstLineChars="200"/>
        <w:rPr>
          <w:rFonts w:hint="eastAsia" w:ascii="仿宋" w:hAnsi="仿宋" w:eastAsia="仿宋" w:cs="仿宋"/>
          <w:sz w:val="24"/>
          <w:szCs w:val="24"/>
          <w:highlight w:val="none"/>
          <w:shd w:val="clear" w:color="auto" w:fill="FFFFFF" w:themeFill="background1"/>
        </w:rPr>
      </w:pPr>
    </w:p>
    <w:p w14:paraId="2CE87C2E">
      <w:pPr>
        <w:widowControl/>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br w:type="page"/>
      </w:r>
    </w:p>
    <w:p w14:paraId="1A66AB28">
      <w:pPr>
        <w:tabs>
          <w:tab w:val="center" w:pos="4832"/>
          <w:tab w:val="left" w:pos="7140"/>
        </w:tabs>
        <w:spacing w:line="360" w:lineRule="auto"/>
        <w:jc w:val="center"/>
        <w:outlineLvl w:val="0"/>
        <w:rPr>
          <w:rFonts w:hint="eastAsia" w:ascii="仿宋" w:hAnsi="仿宋" w:eastAsia="仿宋" w:cs="仿宋"/>
          <w:b/>
          <w:sz w:val="24"/>
          <w:szCs w:val="24"/>
          <w:highlight w:val="none"/>
        </w:rPr>
      </w:pPr>
      <w:bookmarkStart w:id="599" w:name="_Toc24631"/>
      <w:r>
        <w:rPr>
          <w:rFonts w:hint="eastAsia" w:ascii="仿宋" w:hAnsi="仿宋" w:eastAsia="仿宋" w:cs="仿宋"/>
          <w:b/>
          <w:sz w:val="24"/>
          <w:szCs w:val="24"/>
          <w:highlight w:val="none"/>
        </w:rPr>
        <w:t>第六章 补充条款</w:t>
      </w:r>
      <w:bookmarkEnd w:id="599"/>
    </w:p>
    <w:p w14:paraId="365F124B">
      <w:pPr>
        <w:spacing w:line="360" w:lineRule="auto"/>
        <w:ind w:firstLine="480" w:firstLineChars="200"/>
        <w:jc w:val="center"/>
        <w:rPr>
          <w:rFonts w:hint="eastAsia" w:ascii="仿宋" w:hAnsi="仿宋" w:eastAsia="仿宋" w:cs="仿宋"/>
          <w:sz w:val="24"/>
          <w:szCs w:val="24"/>
          <w:highlight w:val="none"/>
        </w:rPr>
      </w:pPr>
    </w:p>
    <w:sectPr>
      <w:headerReference r:id="rId10" w:type="default"/>
      <w:footerReference r:id="rId11" w:type="default"/>
      <w:pgSz w:w="11906" w:h="16838"/>
      <w:pgMar w:top="1134" w:right="1418" w:bottom="1134" w:left="1418" w:header="851" w:footer="992" w:gutter="0"/>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w:altName w:val="Times New Roman"/>
    <w:panose1 w:val="00000000000000000000"/>
    <w:charset w:val="00"/>
    <w:family w:val="auto"/>
    <w:pitch w:val="default"/>
    <w:sig w:usb0="00000000" w:usb1="00000000" w:usb2="00000000" w:usb3="00000000" w:csb0="00000001" w:csb1="00000000"/>
  </w:font>
  <w:font w:name="??">
    <w:altName w:val="宋体"/>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monospace">
    <w:altName w:val="Courier New"/>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Trebuchet MS">
    <w:panose1 w:val="020B0603020202020204"/>
    <w:charset w:val="00"/>
    <w:family w:val="swiss"/>
    <w:pitch w:val="default"/>
    <w:sig w:usb0="00000687" w:usb1="00000000" w:usb2="00000000" w:usb3="00000000" w:csb0="2000009F" w:csb1="00000000"/>
  </w:font>
  <w:font w:name="方正仿宋简体">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 w:name="KSOFE4507CE4">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E3278">
    <w:pPr>
      <w:pStyle w:val="25"/>
      <w:ind w:right="90"/>
      <w:jc w:val="right"/>
    </w:pPr>
  </w:p>
  <w:p w14:paraId="69C610E3">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A1E19">
    <w:pPr>
      <w:pStyle w:val="25"/>
      <w:framePr w:wrap="around" w:vAnchor="text" w:hAnchor="margin" w:xAlign="center" w:y="1"/>
      <w:rPr>
        <w:rStyle w:val="46"/>
      </w:rPr>
    </w:pPr>
    <w:r>
      <w:rPr>
        <w:rStyle w:val="46"/>
      </w:rPr>
      <w:fldChar w:fldCharType="begin"/>
    </w:r>
    <w:r>
      <w:rPr>
        <w:rStyle w:val="46"/>
      </w:rPr>
      <w:instrText xml:space="preserve">PAGE  </w:instrText>
    </w:r>
    <w:r>
      <w:rPr>
        <w:rStyle w:val="46"/>
      </w:rPr>
      <w:fldChar w:fldCharType="separate"/>
    </w:r>
    <w:r>
      <w:rPr>
        <w:rStyle w:val="46"/>
      </w:rPr>
      <w:t>68</w:t>
    </w:r>
    <w:r>
      <w:rPr>
        <w:rStyle w:val="46"/>
      </w:rPr>
      <w:fldChar w:fldCharType="end"/>
    </w:r>
  </w:p>
  <w:p w14:paraId="1C8A5B83">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FCBCA">
    <w:pPr>
      <w:pStyle w:val="2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5E8C8">
    <w:pPr>
      <w:pStyle w:val="25"/>
      <w:rPr>
        <w:rFonts w:asciiTheme="minorEastAsia" w:hAnsiTheme="minorEastAsia" w:eastAsiaTheme="minorEastAsia"/>
        <w:sz w:val="21"/>
        <w:szCs w:val="21"/>
        <w:lang w:val="zh-CN"/>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D55E3">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32D55E3">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E724B">
    <w:pPr>
      <w:pStyle w:val="2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C8FAE0">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8C8FAE0">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0E3CC">
    <w:pPr>
      <w:pStyle w:val="25"/>
      <w:ind w:right="360"/>
      <w:jc w:val="center"/>
      <w:rPr>
        <w:rFonts w:asciiTheme="minorEastAsia" w:hAnsiTheme="minorEastAsia" w:eastAsiaTheme="minorEastAsia"/>
        <w:sz w:val="30"/>
        <w:szCs w:val="30"/>
      </w:rPr>
    </w:pPr>
    <w:r>
      <w:rPr>
        <w:sz w:val="3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sz w:val="24"/>
                              <w:szCs w:val="24"/>
                            </w:rPr>
                            <w:id w:val="-367532114"/>
                          </w:sdtPr>
                          <w:sdtEndPr>
                            <w:rPr>
                              <w:rFonts w:asciiTheme="minorEastAsia" w:hAnsiTheme="minorEastAsia" w:eastAsiaTheme="minorEastAsia"/>
                              <w:sz w:val="30"/>
                              <w:szCs w:val="30"/>
                            </w:rPr>
                          </w:sdtEndPr>
                          <w:sdtContent>
                            <w:p w14:paraId="3B90D0DC">
                              <w:pPr>
                                <w:pStyle w:val="25"/>
                                <w:ind w:right="360"/>
                                <w:jc w:val="center"/>
                                <w:rPr>
                                  <w:rFonts w:asciiTheme="minorEastAsia" w:hAnsiTheme="minorEastAsia" w:eastAsiaTheme="minorEastAsia"/>
                                  <w:sz w:val="30"/>
                                  <w:szCs w:val="30"/>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PAGE   \* MERGEFORMAT</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lang w:val="zh-CN"/>
                                </w:rPr>
                                <w:t>32</w:t>
                              </w:r>
                              <w:r>
                                <w:rPr>
                                  <w:rFonts w:asciiTheme="minorEastAsia" w:hAnsiTheme="minorEastAsia" w:eastAsiaTheme="minorEastAsia"/>
                                  <w:sz w:val="24"/>
                                  <w:szCs w:val="24"/>
                                </w:rPr>
                                <w:fldChar w:fldCharType="end"/>
                              </w:r>
                            </w:p>
                          </w:sdtContent>
                        </w:sdt>
                        <w:p w14:paraId="6437F3CC">
                          <w:pPr>
                            <w:pStyle w:val="41"/>
                            <w:ind w:firstLine="21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rPr>
                        <w:sz w:val="24"/>
                        <w:szCs w:val="24"/>
                      </w:rPr>
                      <w:id w:val="-367532114"/>
                    </w:sdtPr>
                    <w:sdtEndPr>
                      <w:rPr>
                        <w:rFonts w:asciiTheme="minorEastAsia" w:hAnsiTheme="minorEastAsia" w:eastAsiaTheme="minorEastAsia"/>
                        <w:sz w:val="30"/>
                        <w:szCs w:val="30"/>
                      </w:rPr>
                    </w:sdtEndPr>
                    <w:sdtContent>
                      <w:p w14:paraId="3B90D0DC">
                        <w:pPr>
                          <w:pStyle w:val="25"/>
                          <w:ind w:right="360"/>
                          <w:jc w:val="center"/>
                          <w:rPr>
                            <w:rFonts w:asciiTheme="minorEastAsia" w:hAnsiTheme="minorEastAsia" w:eastAsiaTheme="minorEastAsia"/>
                            <w:sz w:val="30"/>
                            <w:szCs w:val="30"/>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PAGE   \* MERGEFORMAT</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lang w:val="zh-CN"/>
                          </w:rPr>
                          <w:t>32</w:t>
                        </w:r>
                        <w:r>
                          <w:rPr>
                            <w:rFonts w:asciiTheme="minorEastAsia" w:hAnsiTheme="minorEastAsia" w:eastAsiaTheme="minorEastAsia"/>
                            <w:sz w:val="24"/>
                            <w:szCs w:val="24"/>
                          </w:rPr>
                          <w:fldChar w:fldCharType="end"/>
                        </w:r>
                      </w:p>
                    </w:sdtContent>
                  </w:sdt>
                  <w:p w14:paraId="6437F3CC">
                    <w:pPr>
                      <w:pStyle w:val="41"/>
                      <w:ind w:firstLine="210"/>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3571A">
    <w:pPr>
      <w:pStyle w:val="26"/>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7C8D5">
    <w:pPr>
      <w:pStyle w:val="26"/>
      <w:pBdr>
        <w:bottom w:val="none" w:color="auto" w:sz="0" w:space="0"/>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D43F8">
    <w:pPr>
      <w:pStyle w:val="26"/>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27"/>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
    <w:nsid w:val="5C7E0EE5"/>
    <w:multiLevelType w:val="multilevel"/>
    <w:tmpl w:val="5C7E0EE5"/>
    <w:lvl w:ilvl="0" w:tentative="0">
      <w:start w:val="1"/>
      <w:numFmt w:val="chineseCountingThousand"/>
      <w:suff w:val="nothing"/>
      <w:lvlText w:val="第%1章 "/>
      <w:lvlJc w:val="left"/>
      <w:pPr>
        <w:ind w:left="0" w:firstLine="0"/>
      </w:pPr>
      <w:rPr>
        <w:rFonts w:hint="eastAsia"/>
      </w:rPr>
    </w:lvl>
    <w:lvl w:ilvl="1" w:tentative="0">
      <w:start w:val="1"/>
      <w:numFmt w:val="decimal"/>
      <w:suff w:val="nothing"/>
      <w:lvlText w:val="%2、"/>
      <w:lvlJc w:val="left"/>
      <w:pPr>
        <w:ind w:left="0" w:firstLine="0"/>
      </w:pPr>
      <w:rPr>
        <w:rFonts w:hint="eastAsia"/>
      </w:rPr>
    </w:lvl>
    <w:lvl w:ilvl="2" w:tentative="0">
      <w:start w:val="1"/>
      <w:numFmt w:val="decimal"/>
      <w:suff w:val="nothing"/>
      <w:lvlText w:val="%2.%3 "/>
      <w:lvlJc w:val="left"/>
      <w:pPr>
        <w:ind w:left="0" w:firstLine="0"/>
      </w:pPr>
      <w:rPr>
        <w:rFonts w:hint="eastAsia"/>
      </w:rPr>
    </w:lvl>
    <w:lvl w:ilvl="3" w:tentative="0">
      <w:start w:val="1"/>
      <w:numFmt w:val="decimal"/>
      <w:suff w:val="nothing"/>
      <w:lvlText w:val="%2.%3.%4 "/>
      <w:lvlJc w:val="left"/>
      <w:pPr>
        <w:ind w:left="0" w:firstLine="0"/>
      </w:pPr>
      <w:rPr>
        <w:rFonts w:hint="eastAsia"/>
      </w:rPr>
    </w:lvl>
    <w:lvl w:ilvl="4" w:tentative="0">
      <w:start w:val="1"/>
      <w:numFmt w:val="decimal"/>
      <w:suff w:val="nothing"/>
      <w:lvlText w:val="%2.%3.%4.%5 "/>
      <w:lvlJc w:val="left"/>
      <w:pPr>
        <w:ind w:left="0" w:firstLine="0"/>
      </w:pPr>
      <w:rPr>
        <w:rFonts w:hint="eastAsia"/>
      </w:rPr>
    </w:lvl>
    <w:lvl w:ilvl="5" w:tentative="0">
      <w:start w:val="1"/>
      <w:numFmt w:val="none"/>
      <w:pStyle w:val="9"/>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FjM2MwZjNjZmVkMDI0YzZjMDZiN2M3ZmRhYjMxOWEifQ=="/>
    <w:docVar w:name="KSO_WPS_MARK_KEY" w:val="85996549-4f80-4e2e-9ba0-20f7c0168d15"/>
  </w:docVars>
  <w:rsids>
    <w:rsidRoot w:val="00101AA4"/>
    <w:rsid w:val="000002B4"/>
    <w:rsid w:val="00001340"/>
    <w:rsid w:val="00002143"/>
    <w:rsid w:val="00004DAA"/>
    <w:rsid w:val="00005C75"/>
    <w:rsid w:val="00006BD9"/>
    <w:rsid w:val="00007BA8"/>
    <w:rsid w:val="000104D6"/>
    <w:rsid w:val="00010CE2"/>
    <w:rsid w:val="000111C4"/>
    <w:rsid w:val="00012108"/>
    <w:rsid w:val="00012E01"/>
    <w:rsid w:val="00013899"/>
    <w:rsid w:val="00014F7D"/>
    <w:rsid w:val="00015EBB"/>
    <w:rsid w:val="000162FE"/>
    <w:rsid w:val="00020411"/>
    <w:rsid w:val="0002386B"/>
    <w:rsid w:val="0002405E"/>
    <w:rsid w:val="000244CA"/>
    <w:rsid w:val="0002545E"/>
    <w:rsid w:val="00027B5D"/>
    <w:rsid w:val="00030171"/>
    <w:rsid w:val="00033566"/>
    <w:rsid w:val="00033852"/>
    <w:rsid w:val="000343A0"/>
    <w:rsid w:val="000347EB"/>
    <w:rsid w:val="00036B12"/>
    <w:rsid w:val="000400E8"/>
    <w:rsid w:val="00044B32"/>
    <w:rsid w:val="00046152"/>
    <w:rsid w:val="0005003E"/>
    <w:rsid w:val="000510D1"/>
    <w:rsid w:val="00054F47"/>
    <w:rsid w:val="0005551C"/>
    <w:rsid w:val="00057565"/>
    <w:rsid w:val="000604DE"/>
    <w:rsid w:val="0006199F"/>
    <w:rsid w:val="000641A9"/>
    <w:rsid w:val="000653CD"/>
    <w:rsid w:val="000661C0"/>
    <w:rsid w:val="00070AF5"/>
    <w:rsid w:val="00070BFE"/>
    <w:rsid w:val="0007362D"/>
    <w:rsid w:val="00073D96"/>
    <w:rsid w:val="000762D4"/>
    <w:rsid w:val="00077D54"/>
    <w:rsid w:val="00077DB3"/>
    <w:rsid w:val="0008025F"/>
    <w:rsid w:val="00080E16"/>
    <w:rsid w:val="000829F2"/>
    <w:rsid w:val="00082FC4"/>
    <w:rsid w:val="0008328D"/>
    <w:rsid w:val="0008436D"/>
    <w:rsid w:val="000904A3"/>
    <w:rsid w:val="00090F37"/>
    <w:rsid w:val="000916AB"/>
    <w:rsid w:val="000923E8"/>
    <w:rsid w:val="000946D4"/>
    <w:rsid w:val="00094989"/>
    <w:rsid w:val="000976AE"/>
    <w:rsid w:val="000A0272"/>
    <w:rsid w:val="000A02F9"/>
    <w:rsid w:val="000A1ECD"/>
    <w:rsid w:val="000A32B9"/>
    <w:rsid w:val="000A3552"/>
    <w:rsid w:val="000A452A"/>
    <w:rsid w:val="000A53A5"/>
    <w:rsid w:val="000A7B36"/>
    <w:rsid w:val="000B210F"/>
    <w:rsid w:val="000B318F"/>
    <w:rsid w:val="000B331B"/>
    <w:rsid w:val="000B4C6A"/>
    <w:rsid w:val="000B4FF0"/>
    <w:rsid w:val="000B7C76"/>
    <w:rsid w:val="000C364C"/>
    <w:rsid w:val="000C3FDE"/>
    <w:rsid w:val="000D171A"/>
    <w:rsid w:val="000D5DA0"/>
    <w:rsid w:val="000D728E"/>
    <w:rsid w:val="000D7CE7"/>
    <w:rsid w:val="000E2D54"/>
    <w:rsid w:val="000E40A6"/>
    <w:rsid w:val="000E5B9C"/>
    <w:rsid w:val="000E674D"/>
    <w:rsid w:val="000E7461"/>
    <w:rsid w:val="000F186E"/>
    <w:rsid w:val="000F56EE"/>
    <w:rsid w:val="00100D44"/>
    <w:rsid w:val="00101966"/>
    <w:rsid w:val="00101AA4"/>
    <w:rsid w:val="00102AB6"/>
    <w:rsid w:val="00104F86"/>
    <w:rsid w:val="001063D0"/>
    <w:rsid w:val="0010650C"/>
    <w:rsid w:val="00106BA4"/>
    <w:rsid w:val="00111383"/>
    <w:rsid w:val="001145B2"/>
    <w:rsid w:val="00115901"/>
    <w:rsid w:val="00115A4B"/>
    <w:rsid w:val="0011725D"/>
    <w:rsid w:val="00121DF5"/>
    <w:rsid w:val="001248E7"/>
    <w:rsid w:val="00124E50"/>
    <w:rsid w:val="00127B38"/>
    <w:rsid w:val="00127C9A"/>
    <w:rsid w:val="0013312B"/>
    <w:rsid w:val="00134210"/>
    <w:rsid w:val="00134F82"/>
    <w:rsid w:val="00137BC9"/>
    <w:rsid w:val="00142BB8"/>
    <w:rsid w:val="00143169"/>
    <w:rsid w:val="0014554F"/>
    <w:rsid w:val="00146E26"/>
    <w:rsid w:val="001543A3"/>
    <w:rsid w:val="001575BE"/>
    <w:rsid w:val="00157673"/>
    <w:rsid w:val="0015794E"/>
    <w:rsid w:val="00160311"/>
    <w:rsid w:val="00161961"/>
    <w:rsid w:val="00162DD4"/>
    <w:rsid w:val="001652C6"/>
    <w:rsid w:val="0016644B"/>
    <w:rsid w:val="00170A17"/>
    <w:rsid w:val="00171110"/>
    <w:rsid w:val="00172AA0"/>
    <w:rsid w:val="001733AF"/>
    <w:rsid w:val="001753D2"/>
    <w:rsid w:val="00176FAD"/>
    <w:rsid w:val="0017733A"/>
    <w:rsid w:val="00181200"/>
    <w:rsid w:val="001930FC"/>
    <w:rsid w:val="00193402"/>
    <w:rsid w:val="00194DD8"/>
    <w:rsid w:val="00197628"/>
    <w:rsid w:val="001A1D16"/>
    <w:rsid w:val="001A2117"/>
    <w:rsid w:val="001A24E6"/>
    <w:rsid w:val="001A45DD"/>
    <w:rsid w:val="001A4E5A"/>
    <w:rsid w:val="001A4E90"/>
    <w:rsid w:val="001A71AF"/>
    <w:rsid w:val="001B1372"/>
    <w:rsid w:val="001B1748"/>
    <w:rsid w:val="001B4413"/>
    <w:rsid w:val="001B5A4C"/>
    <w:rsid w:val="001B7239"/>
    <w:rsid w:val="001B74E2"/>
    <w:rsid w:val="001C15DD"/>
    <w:rsid w:val="001C4134"/>
    <w:rsid w:val="001D4B73"/>
    <w:rsid w:val="001D50A5"/>
    <w:rsid w:val="001D5DEA"/>
    <w:rsid w:val="001E288B"/>
    <w:rsid w:val="001E33A7"/>
    <w:rsid w:val="001E3D69"/>
    <w:rsid w:val="001E4755"/>
    <w:rsid w:val="001E634A"/>
    <w:rsid w:val="001E6E8F"/>
    <w:rsid w:val="001E794E"/>
    <w:rsid w:val="001F292C"/>
    <w:rsid w:val="001F3A08"/>
    <w:rsid w:val="001F610A"/>
    <w:rsid w:val="001F79E8"/>
    <w:rsid w:val="001F7C95"/>
    <w:rsid w:val="00200BA8"/>
    <w:rsid w:val="0020240F"/>
    <w:rsid w:val="002055DD"/>
    <w:rsid w:val="00205968"/>
    <w:rsid w:val="00205DF6"/>
    <w:rsid w:val="00205F22"/>
    <w:rsid w:val="0021147C"/>
    <w:rsid w:val="00214257"/>
    <w:rsid w:val="00214392"/>
    <w:rsid w:val="002144B8"/>
    <w:rsid w:val="00215BA5"/>
    <w:rsid w:val="00215F58"/>
    <w:rsid w:val="00217E00"/>
    <w:rsid w:val="0022016C"/>
    <w:rsid w:val="0022177D"/>
    <w:rsid w:val="002224AE"/>
    <w:rsid w:val="00223931"/>
    <w:rsid w:val="002246D6"/>
    <w:rsid w:val="00226DEC"/>
    <w:rsid w:val="0022747A"/>
    <w:rsid w:val="00227871"/>
    <w:rsid w:val="0023151C"/>
    <w:rsid w:val="002324EA"/>
    <w:rsid w:val="0023323E"/>
    <w:rsid w:val="002357A0"/>
    <w:rsid w:val="00236058"/>
    <w:rsid w:val="00236A48"/>
    <w:rsid w:val="00236D43"/>
    <w:rsid w:val="00240D63"/>
    <w:rsid w:val="00243861"/>
    <w:rsid w:val="002472C0"/>
    <w:rsid w:val="002508FA"/>
    <w:rsid w:val="00253DC3"/>
    <w:rsid w:val="002541CE"/>
    <w:rsid w:val="00255C6B"/>
    <w:rsid w:val="0025723D"/>
    <w:rsid w:val="00257F22"/>
    <w:rsid w:val="002604A7"/>
    <w:rsid w:val="00260910"/>
    <w:rsid w:val="00262A6E"/>
    <w:rsid w:val="00263141"/>
    <w:rsid w:val="00266F04"/>
    <w:rsid w:val="00272E96"/>
    <w:rsid w:val="00280F38"/>
    <w:rsid w:val="00283C54"/>
    <w:rsid w:val="00285885"/>
    <w:rsid w:val="00285ABC"/>
    <w:rsid w:val="002939C8"/>
    <w:rsid w:val="002967DA"/>
    <w:rsid w:val="002A6197"/>
    <w:rsid w:val="002A7CE2"/>
    <w:rsid w:val="002B0041"/>
    <w:rsid w:val="002B01D0"/>
    <w:rsid w:val="002B3DBF"/>
    <w:rsid w:val="002B77E1"/>
    <w:rsid w:val="002C02A1"/>
    <w:rsid w:val="002C2DD2"/>
    <w:rsid w:val="002C4DD6"/>
    <w:rsid w:val="002C7FCF"/>
    <w:rsid w:val="002D280B"/>
    <w:rsid w:val="002D3439"/>
    <w:rsid w:val="002D635D"/>
    <w:rsid w:val="002D6CF2"/>
    <w:rsid w:val="002E1B79"/>
    <w:rsid w:val="002E25BC"/>
    <w:rsid w:val="002E29B4"/>
    <w:rsid w:val="002E5AAD"/>
    <w:rsid w:val="002F10F5"/>
    <w:rsid w:val="002F2283"/>
    <w:rsid w:val="002F640F"/>
    <w:rsid w:val="002F7FD1"/>
    <w:rsid w:val="00300C92"/>
    <w:rsid w:val="003017E3"/>
    <w:rsid w:val="00301FBF"/>
    <w:rsid w:val="00304A1A"/>
    <w:rsid w:val="00304D2D"/>
    <w:rsid w:val="00305EE3"/>
    <w:rsid w:val="0030747A"/>
    <w:rsid w:val="003121AD"/>
    <w:rsid w:val="00313F13"/>
    <w:rsid w:val="00315623"/>
    <w:rsid w:val="00315D4B"/>
    <w:rsid w:val="00315D59"/>
    <w:rsid w:val="003160D4"/>
    <w:rsid w:val="00316DBA"/>
    <w:rsid w:val="00317D34"/>
    <w:rsid w:val="00321036"/>
    <w:rsid w:val="00323AFC"/>
    <w:rsid w:val="00326152"/>
    <w:rsid w:val="003317E6"/>
    <w:rsid w:val="00331C14"/>
    <w:rsid w:val="0033231B"/>
    <w:rsid w:val="00332D2E"/>
    <w:rsid w:val="00333E01"/>
    <w:rsid w:val="00336EED"/>
    <w:rsid w:val="00344BCD"/>
    <w:rsid w:val="00347E66"/>
    <w:rsid w:val="0035118C"/>
    <w:rsid w:val="003537E4"/>
    <w:rsid w:val="0035581F"/>
    <w:rsid w:val="00357E91"/>
    <w:rsid w:val="00360813"/>
    <w:rsid w:val="00360D30"/>
    <w:rsid w:val="00361C9D"/>
    <w:rsid w:val="00363991"/>
    <w:rsid w:val="00364473"/>
    <w:rsid w:val="003646E5"/>
    <w:rsid w:val="00366F29"/>
    <w:rsid w:val="00367BA8"/>
    <w:rsid w:val="00370F25"/>
    <w:rsid w:val="00372324"/>
    <w:rsid w:val="00373602"/>
    <w:rsid w:val="00373826"/>
    <w:rsid w:val="00373AD1"/>
    <w:rsid w:val="00376E83"/>
    <w:rsid w:val="003879AD"/>
    <w:rsid w:val="00390A3C"/>
    <w:rsid w:val="003964F5"/>
    <w:rsid w:val="003A28C5"/>
    <w:rsid w:val="003A5B50"/>
    <w:rsid w:val="003A6107"/>
    <w:rsid w:val="003A7427"/>
    <w:rsid w:val="003B0D63"/>
    <w:rsid w:val="003B70AD"/>
    <w:rsid w:val="003B7226"/>
    <w:rsid w:val="003C0B9E"/>
    <w:rsid w:val="003C21E8"/>
    <w:rsid w:val="003C558B"/>
    <w:rsid w:val="003D01BB"/>
    <w:rsid w:val="003D05EA"/>
    <w:rsid w:val="003D3CCB"/>
    <w:rsid w:val="003D4211"/>
    <w:rsid w:val="003E11F4"/>
    <w:rsid w:val="003E4A7A"/>
    <w:rsid w:val="003F08DC"/>
    <w:rsid w:val="003F3849"/>
    <w:rsid w:val="003F4611"/>
    <w:rsid w:val="003F59D7"/>
    <w:rsid w:val="004011D8"/>
    <w:rsid w:val="0040310D"/>
    <w:rsid w:val="00404253"/>
    <w:rsid w:val="00407128"/>
    <w:rsid w:val="004079CE"/>
    <w:rsid w:val="004143A5"/>
    <w:rsid w:val="004220B6"/>
    <w:rsid w:val="00423980"/>
    <w:rsid w:val="004252CD"/>
    <w:rsid w:val="0042662D"/>
    <w:rsid w:val="004270EF"/>
    <w:rsid w:val="00427533"/>
    <w:rsid w:val="00432C0C"/>
    <w:rsid w:val="00433EED"/>
    <w:rsid w:val="00435310"/>
    <w:rsid w:val="0044198C"/>
    <w:rsid w:val="0044280B"/>
    <w:rsid w:val="00443888"/>
    <w:rsid w:val="004449F3"/>
    <w:rsid w:val="00444EE1"/>
    <w:rsid w:val="00445872"/>
    <w:rsid w:val="0044799D"/>
    <w:rsid w:val="0045091A"/>
    <w:rsid w:val="00452BB8"/>
    <w:rsid w:val="00455196"/>
    <w:rsid w:val="004575EA"/>
    <w:rsid w:val="004639BC"/>
    <w:rsid w:val="004640C1"/>
    <w:rsid w:val="00464725"/>
    <w:rsid w:val="00464BAE"/>
    <w:rsid w:val="004660B0"/>
    <w:rsid w:val="004704FB"/>
    <w:rsid w:val="00480C32"/>
    <w:rsid w:val="0048512D"/>
    <w:rsid w:val="00494431"/>
    <w:rsid w:val="00497C15"/>
    <w:rsid w:val="004A010F"/>
    <w:rsid w:val="004A01F6"/>
    <w:rsid w:val="004A1F5D"/>
    <w:rsid w:val="004A3D6D"/>
    <w:rsid w:val="004A4981"/>
    <w:rsid w:val="004A5190"/>
    <w:rsid w:val="004A5376"/>
    <w:rsid w:val="004A6517"/>
    <w:rsid w:val="004A67FA"/>
    <w:rsid w:val="004A68AF"/>
    <w:rsid w:val="004A7D7E"/>
    <w:rsid w:val="004B029E"/>
    <w:rsid w:val="004B0537"/>
    <w:rsid w:val="004B7ACC"/>
    <w:rsid w:val="004B7DE5"/>
    <w:rsid w:val="004C1AE6"/>
    <w:rsid w:val="004C6BAD"/>
    <w:rsid w:val="004D0A4A"/>
    <w:rsid w:val="004D0E18"/>
    <w:rsid w:val="004D11B3"/>
    <w:rsid w:val="004D3C30"/>
    <w:rsid w:val="004D40F7"/>
    <w:rsid w:val="004D5AE9"/>
    <w:rsid w:val="004D5C23"/>
    <w:rsid w:val="004D5F63"/>
    <w:rsid w:val="004D75D5"/>
    <w:rsid w:val="004E0230"/>
    <w:rsid w:val="004E2088"/>
    <w:rsid w:val="004E419C"/>
    <w:rsid w:val="004E56D8"/>
    <w:rsid w:val="004E606C"/>
    <w:rsid w:val="004E76F6"/>
    <w:rsid w:val="004E7786"/>
    <w:rsid w:val="004F0D23"/>
    <w:rsid w:val="00501303"/>
    <w:rsid w:val="0050507E"/>
    <w:rsid w:val="00507DCF"/>
    <w:rsid w:val="00511664"/>
    <w:rsid w:val="00520FE8"/>
    <w:rsid w:val="0052394D"/>
    <w:rsid w:val="00524F86"/>
    <w:rsid w:val="00526F0E"/>
    <w:rsid w:val="005271EF"/>
    <w:rsid w:val="00527A46"/>
    <w:rsid w:val="005307A5"/>
    <w:rsid w:val="0053132A"/>
    <w:rsid w:val="0053466A"/>
    <w:rsid w:val="00536952"/>
    <w:rsid w:val="005369FB"/>
    <w:rsid w:val="00537638"/>
    <w:rsid w:val="0054181E"/>
    <w:rsid w:val="00541AC4"/>
    <w:rsid w:val="00541FB5"/>
    <w:rsid w:val="0054485F"/>
    <w:rsid w:val="0055435D"/>
    <w:rsid w:val="005574D7"/>
    <w:rsid w:val="00560740"/>
    <w:rsid w:val="00561AD0"/>
    <w:rsid w:val="005627EE"/>
    <w:rsid w:val="00562B2E"/>
    <w:rsid w:val="00566F28"/>
    <w:rsid w:val="00570015"/>
    <w:rsid w:val="00573EAA"/>
    <w:rsid w:val="00576ADE"/>
    <w:rsid w:val="00577ECB"/>
    <w:rsid w:val="00577FFA"/>
    <w:rsid w:val="0058012A"/>
    <w:rsid w:val="00582F95"/>
    <w:rsid w:val="00586658"/>
    <w:rsid w:val="005879D1"/>
    <w:rsid w:val="0059145C"/>
    <w:rsid w:val="005948FE"/>
    <w:rsid w:val="00594BE3"/>
    <w:rsid w:val="00596BA7"/>
    <w:rsid w:val="005A215C"/>
    <w:rsid w:val="005A6326"/>
    <w:rsid w:val="005A69CA"/>
    <w:rsid w:val="005A770A"/>
    <w:rsid w:val="005C11E5"/>
    <w:rsid w:val="005C53A8"/>
    <w:rsid w:val="005D2A28"/>
    <w:rsid w:val="005D3846"/>
    <w:rsid w:val="005D5695"/>
    <w:rsid w:val="005D651D"/>
    <w:rsid w:val="005D6F56"/>
    <w:rsid w:val="005E22B8"/>
    <w:rsid w:val="005E28BD"/>
    <w:rsid w:val="005E3C18"/>
    <w:rsid w:val="005E617A"/>
    <w:rsid w:val="005F3159"/>
    <w:rsid w:val="005F3701"/>
    <w:rsid w:val="005F437E"/>
    <w:rsid w:val="005F4DCF"/>
    <w:rsid w:val="005F6E37"/>
    <w:rsid w:val="005F7CCF"/>
    <w:rsid w:val="0060072E"/>
    <w:rsid w:val="0060086F"/>
    <w:rsid w:val="00600C9C"/>
    <w:rsid w:val="00601507"/>
    <w:rsid w:val="006053D2"/>
    <w:rsid w:val="00606716"/>
    <w:rsid w:val="006073F0"/>
    <w:rsid w:val="00607BD4"/>
    <w:rsid w:val="0061147C"/>
    <w:rsid w:val="00614490"/>
    <w:rsid w:val="0061632F"/>
    <w:rsid w:val="00616341"/>
    <w:rsid w:val="00617E79"/>
    <w:rsid w:val="00617EC4"/>
    <w:rsid w:val="00622699"/>
    <w:rsid w:val="00624E16"/>
    <w:rsid w:val="00630AAC"/>
    <w:rsid w:val="006314C2"/>
    <w:rsid w:val="00631C5A"/>
    <w:rsid w:val="0063569B"/>
    <w:rsid w:val="00635CE4"/>
    <w:rsid w:val="0063610A"/>
    <w:rsid w:val="006367D4"/>
    <w:rsid w:val="00644382"/>
    <w:rsid w:val="006447A2"/>
    <w:rsid w:val="00644CAA"/>
    <w:rsid w:val="0064722F"/>
    <w:rsid w:val="00647D58"/>
    <w:rsid w:val="0065082F"/>
    <w:rsid w:val="00650F27"/>
    <w:rsid w:val="00651977"/>
    <w:rsid w:val="006523BD"/>
    <w:rsid w:val="00652A1B"/>
    <w:rsid w:val="00652A7E"/>
    <w:rsid w:val="00652A9D"/>
    <w:rsid w:val="00653B67"/>
    <w:rsid w:val="00653FFE"/>
    <w:rsid w:val="006546EA"/>
    <w:rsid w:val="00654D73"/>
    <w:rsid w:val="00655FCC"/>
    <w:rsid w:val="006568E0"/>
    <w:rsid w:val="00656C08"/>
    <w:rsid w:val="00657AD0"/>
    <w:rsid w:val="0066102E"/>
    <w:rsid w:val="00661E10"/>
    <w:rsid w:val="00664BD0"/>
    <w:rsid w:val="0066520F"/>
    <w:rsid w:val="006654E8"/>
    <w:rsid w:val="0066681E"/>
    <w:rsid w:val="00666A31"/>
    <w:rsid w:val="00670008"/>
    <w:rsid w:val="00670650"/>
    <w:rsid w:val="00670790"/>
    <w:rsid w:val="0067272A"/>
    <w:rsid w:val="006728AB"/>
    <w:rsid w:val="00672F73"/>
    <w:rsid w:val="00673798"/>
    <w:rsid w:val="00674559"/>
    <w:rsid w:val="00674A1B"/>
    <w:rsid w:val="006804BB"/>
    <w:rsid w:val="00691232"/>
    <w:rsid w:val="006932B7"/>
    <w:rsid w:val="00693DA7"/>
    <w:rsid w:val="00694538"/>
    <w:rsid w:val="006956A0"/>
    <w:rsid w:val="0069732C"/>
    <w:rsid w:val="0069791E"/>
    <w:rsid w:val="006A4AC4"/>
    <w:rsid w:val="006A72C3"/>
    <w:rsid w:val="006B014A"/>
    <w:rsid w:val="006B11DD"/>
    <w:rsid w:val="006B14EC"/>
    <w:rsid w:val="006B2DDD"/>
    <w:rsid w:val="006B6739"/>
    <w:rsid w:val="006B72B0"/>
    <w:rsid w:val="006B72D9"/>
    <w:rsid w:val="006B7760"/>
    <w:rsid w:val="006C06C9"/>
    <w:rsid w:val="006C08F0"/>
    <w:rsid w:val="006C214D"/>
    <w:rsid w:val="006C3250"/>
    <w:rsid w:val="006C551A"/>
    <w:rsid w:val="006C5A93"/>
    <w:rsid w:val="006D0395"/>
    <w:rsid w:val="006D0D54"/>
    <w:rsid w:val="006D21CC"/>
    <w:rsid w:val="006D3A5D"/>
    <w:rsid w:val="006D5419"/>
    <w:rsid w:val="006D541A"/>
    <w:rsid w:val="006D54D4"/>
    <w:rsid w:val="006D747B"/>
    <w:rsid w:val="006E249F"/>
    <w:rsid w:val="006E344D"/>
    <w:rsid w:val="006E51CF"/>
    <w:rsid w:val="006F07AB"/>
    <w:rsid w:val="006F2A4E"/>
    <w:rsid w:val="006F3AF3"/>
    <w:rsid w:val="006F5509"/>
    <w:rsid w:val="006F6DB0"/>
    <w:rsid w:val="006F7BBE"/>
    <w:rsid w:val="00700939"/>
    <w:rsid w:val="00703743"/>
    <w:rsid w:val="00704AEC"/>
    <w:rsid w:val="00704C14"/>
    <w:rsid w:val="00705A54"/>
    <w:rsid w:val="00707DD7"/>
    <w:rsid w:val="007104B7"/>
    <w:rsid w:val="00711806"/>
    <w:rsid w:val="00711DFE"/>
    <w:rsid w:val="007127BA"/>
    <w:rsid w:val="00712834"/>
    <w:rsid w:val="007128C2"/>
    <w:rsid w:val="007137F1"/>
    <w:rsid w:val="007138D7"/>
    <w:rsid w:val="007156D2"/>
    <w:rsid w:val="007171D2"/>
    <w:rsid w:val="0072037A"/>
    <w:rsid w:val="00726A9E"/>
    <w:rsid w:val="00731CAD"/>
    <w:rsid w:val="00737F44"/>
    <w:rsid w:val="00742828"/>
    <w:rsid w:val="00747623"/>
    <w:rsid w:val="00750F56"/>
    <w:rsid w:val="0075151D"/>
    <w:rsid w:val="0075182A"/>
    <w:rsid w:val="00751E8B"/>
    <w:rsid w:val="00752409"/>
    <w:rsid w:val="0075307E"/>
    <w:rsid w:val="007555F9"/>
    <w:rsid w:val="00756E59"/>
    <w:rsid w:val="007574D1"/>
    <w:rsid w:val="0076194F"/>
    <w:rsid w:val="00767044"/>
    <w:rsid w:val="00767A9C"/>
    <w:rsid w:val="007706A6"/>
    <w:rsid w:val="00775831"/>
    <w:rsid w:val="007758AC"/>
    <w:rsid w:val="00775DEA"/>
    <w:rsid w:val="00775E04"/>
    <w:rsid w:val="00777B6C"/>
    <w:rsid w:val="0078033B"/>
    <w:rsid w:val="00781F52"/>
    <w:rsid w:val="00782548"/>
    <w:rsid w:val="00782584"/>
    <w:rsid w:val="00784173"/>
    <w:rsid w:val="00786AAF"/>
    <w:rsid w:val="00787D19"/>
    <w:rsid w:val="00791EC4"/>
    <w:rsid w:val="00794BDB"/>
    <w:rsid w:val="007952C7"/>
    <w:rsid w:val="00796034"/>
    <w:rsid w:val="007A0C42"/>
    <w:rsid w:val="007A0E43"/>
    <w:rsid w:val="007A1947"/>
    <w:rsid w:val="007A237A"/>
    <w:rsid w:val="007A3B2A"/>
    <w:rsid w:val="007A4FBA"/>
    <w:rsid w:val="007A5319"/>
    <w:rsid w:val="007A7C18"/>
    <w:rsid w:val="007A7EF1"/>
    <w:rsid w:val="007B29C9"/>
    <w:rsid w:val="007B2A84"/>
    <w:rsid w:val="007C2D89"/>
    <w:rsid w:val="007C4912"/>
    <w:rsid w:val="007C4B8E"/>
    <w:rsid w:val="007C66D2"/>
    <w:rsid w:val="007C6BBF"/>
    <w:rsid w:val="007D1C55"/>
    <w:rsid w:val="007D2E1C"/>
    <w:rsid w:val="007D3CF4"/>
    <w:rsid w:val="007D3DC6"/>
    <w:rsid w:val="007D4455"/>
    <w:rsid w:val="007D62D7"/>
    <w:rsid w:val="007D68A5"/>
    <w:rsid w:val="007E7421"/>
    <w:rsid w:val="007F314D"/>
    <w:rsid w:val="007F6C55"/>
    <w:rsid w:val="008012FC"/>
    <w:rsid w:val="00801FFA"/>
    <w:rsid w:val="008036B7"/>
    <w:rsid w:val="00804D5D"/>
    <w:rsid w:val="0080672E"/>
    <w:rsid w:val="008067AA"/>
    <w:rsid w:val="008068DA"/>
    <w:rsid w:val="008068EC"/>
    <w:rsid w:val="00807795"/>
    <w:rsid w:val="00810459"/>
    <w:rsid w:val="00813D04"/>
    <w:rsid w:val="0081414C"/>
    <w:rsid w:val="00816A53"/>
    <w:rsid w:val="00820914"/>
    <w:rsid w:val="00822EBD"/>
    <w:rsid w:val="00823EB0"/>
    <w:rsid w:val="008247D9"/>
    <w:rsid w:val="0082538B"/>
    <w:rsid w:val="00825A15"/>
    <w:rsid w:val="00825F46"/>
    <w:rsid w:val="00825FAA"/>
    <w:rsid w:val="00826C3A"/>
    <w:rsid w:val="0082760F"/>
    <w:rsid w:val="00830296"/>
    <w:rsid w:val="0083223D"/>
    <w:rsid w:val="008330C9"/>
    <w:rsid w:val="00835F52"/>
    <w:rsid w:val="00840117"/>
    <w:rsid w:val="00843C8F"/>
    <w:rsid w:val="00844290"/>
    <w:rsid w:val="008443B1"/>
    <w:rsid w:val="00844507"/>
    <w:rsid w:val="0084490D"/>
    <w:rsid w:val="00844A00"/>
    <w:rsid w:val="00846F1B"/>
    <w:rsid w:val="008526D9"/>
    <w:rsid w:val="008534E7"/>
    <w:rsid w:val="00854E30"/>
    <w:rsid w:val="00857654"/>
    <w:rsid w:val="00857B62"/>
    <w:rsid w:val="008618C1"/>
    <w:rsid w:val="00862BE3"/>
    <w:rsid w:val="00862EBB"/>
    <w:rsid w:val="008631DD"/>
    <w:rsid w:val="00864330"/>
    <w:rsid w:val="008703DB"/>
    <w:rsid w:val="00872CE4"/>
    <w:rsid w:val="0087459C"/>
    <w:rsid w:val="00877E4D"/>
    <w:rsid w:val="00880D74"/>
    <w:rsid w:val="00880ED3"/>
    <w:rsid w:val="00881BAB"/>
    <w:rsid w:val="00881D84"/>
    <w:rsid w:val="00882B2C"/>
    <w:rsid w:val="00883470"/>
    <w:rsid w:val="00884BA6"/>
    <w:rsid w:val="008858F6"/>
    <w:rsid w:val="00890712"/>
    <w:rsid w:val="00892BDA"/>
    <w:rsid w:val="00892DE8"/>
    <w:rsid w:val="008A072E"/>
    <w:rsid w:val="008A08DB"/>
    <w:rsid w:val="008A3A9E"/>
    <w:rsid w:val="008A4942"/>
    <w:rsid w:val="008A4B8E"/>
    <w:rsid w:val="008A53DE"/>
    <w:rsid w:val="008A561B"/>
    <w:rsid w:val="008A6628"/>
    <w:rsid w:val="008B01C2"/>
    <w:rsid w:val="008B029B"/>
    <w:rsid w:val="008B1D39"/>
    <w:rsid w:val="008B1E52"/>
    <w:rsid w:val="008B3729"/>
    <w:rsid w:val="008B5573"/>
    <w:rsid w:val="008C24AF"/>
    <w:rsid w:val="008C5641"/>
    <w:rsid w:val="008C6135"/>
    <w:rsid w:val="008D0766"/>
    <w:rsid w:val="008D4521"/>
    <w:rsid w:val="008D4BDD"/>
    <w:rsid w:val="008D5387"/>
    <w:rsid w:val="008D60F8"/>
    <w:rsid w:val="008D7591"/>
    <w:rsid w:val="008E1EA1"/>
    <w:rsid w:val="008E337E"/>
    <w:rsid w:val="008E47C0"/>
    <w:rsid w:val="008E6003"/>
    <w:rsid w:val="008E69FC"/>
    <w:rsid w:val="008E6AAE"/>
    <w:rsid w:val="008F1D6D"/>
    <w:rsid w:val="008F52D0"/>
    <w:rsid w:val="008F6AA2"/>
    <w:rsid w:val="00900116"/>
    <w:rsid w:val="009055EE"/>
    <w:rsid w:val="00905A28"/>
    <w:rsid w:val="00910B36"/>
    <w:rsid w:val="00910FF9"/>
    <w:rsid w:val="00913858"/>
    <w:rsid w:val="00914849"/>
    <w:rsid w:val="009166AD"/>
    <w:rsid w:val="0091776B"/>
    <w:rsid w:val="00917C51"/>
    <w:rsid w:val="0092033E"/>
    <w:rsid w:val="009209E8"/>
    <w:rsid w:val="009211B4"/>
    <w:rsid w:val="00922373"/>
    <w:rsid w:val="00922592"/>
    <w:rsid w:val="00923C4A"/>
    <w:rsid w:val="009259D5"/>
    <w:rsid w:val="00925B9C"/>
    <w:rsid w:val="00926CDD"/>
    <w:rsid w:val="00926EE7"/>
    <w:rsid w:val="009278C5"/>
    <w:rsid w:val="0093107D"/>
    <w:rsid w:val="00931A8B"/>
    <w:rsid w:val="009324FE"/>
    <w:rsid w:val="00932976"/>
    <w:rsid w:val="00933150"/>
    <w:rsid w:val="00933165"/>
    <w:rsid w:val="0093334D"/>
    <w:rsid w:val="00934B57"/>
    <w:rsid w:val="00935307"/>
    <w:rsid w:val="0094041C"/>
    <w:rsid w:val="0094055B"/>
    <w:rsid w:val="00941545"/>
    <w:rsid w:val="009435A6"/>
    <w:rsid w:val="009437A7"/>
    <w:rsid w:val="00946789"/>
    <w:rsid w:val="00950163"/>
    <w:rsid w:val="00950CB5"/>
    <w:rsid w:val="009546B7"/>
    <w:rsid w:val="00954D08"/>
    <w:rsid w:val="00955047"/>
    <w:rsid w:val="00955238"/>
    <w:rsid w:val="009558DD"/>
    <w:rsid w:val="009613A3"/>
    <w:rsid w:val="0096147D"/>
    <w:rsid w:val="0096479F"/>
    <w:rsid w:val="00965552"/>
    <w:rsid w:val="0096574A"/>
    <w:rsid w:val="0096617A"/>
    <w:rsid w:val="00967429"/>
    <w:rsid w:val="009700E7"/>
    <w:rsid w:val="009701A2"/>
    <w:rsid w:val="00971FF1"/>
    <w:rsid w:val="00972DDE"/>
    <w:rsid w:val="00975775"/>
    <w:rsid w:val="009775FC"/>
    <w:rsid w:val="00977BAE"/>
    <w:rsid w:val="00977D99"/>
    <w:rsid w:val="0098099B"/>
    <w:rsid w:val="00981749"/>
    <w:rsid w:val="0098383B"/>
    <w:rsid w:val="00983BD4"/>
    <w:rsid w:val="00983E4E"/>
    <w:rsid w:val="009840B0"/>
    <w:rsid w:val="00984531"/>
    <w:rsid w:val="0098659E"/>
    <w:rsid w:val="009869E5"/>
    <w:rsid w:val="00991F92"/>
    <w:rsid w:val="0099239A"/>
    <w:rsid w:val="00992683"/>
    <w:rsid w:val="009930AE"/>
    <w:rsid w:val="009930CA"/>
    <w:rsid w:val="00994368"/>
    <w:rsid w:val="009960AD"/>
    <w:rsid w:val="00997017"/>
    <w:rsid w:val="009A089A"/>
    <w:rsid w:val="009A170D"/>
    <w:rsid w:val="009A1ABA"/>
    <w:rsid w:val="009A1D1C"/>
    <w:rsid w:val="009A456E"/>
    <w:rsid w:val="009A6799"/>
    <w:rsid w:val="009A693B"/>
    <w:rsid w:val="009A7284"/>
    <w:rsid w:val="009A75CB"/>
    <w:rsid w:val="009B074B"/>
    <w:rsid w:val="009B0A3E"/>
    <w:rsid w:val="009B72EB"/>
    <w:rsid w:val="009B792F"/>
    <w:rsid w:val="009C4BB9"/>
    <w:rsid w:val="009C4C50"/>
    <w:rsid w:val="009C4EA2"/>
    <w:rsid w:val="009C7D0A"/>
    <w:rsid w:val="009C7FD8"/>
    <w:rsid w:val="009D05BF"/>
    <w:rsid w:val="009D2432"/>
    <w:rsid w:val="009D245C"/>
    <w:rsid w:val="009E0EA7"/>
    <w:rsid w:val="009E36F0"/>
    <w:rsid w:val="009E7471"/>
    <w:rsid w:val="009F064F"/>
    <w:rsid w:val="009F11C8"/>
    <w:rsid w:val="009F15EF"/>
    <w:rsid w:val="009F24D1"/>
    <w:rsid w:val="009F3D47"/>
    <w:rsid w:val="009F4563"/>
    <w:rsid w:val="009F487E"/>
    <w:rsid w:val="00A01EFD"/>
    <w:rsid w:val="00A039D2"/>
    <w:rsid w:val="00A04B51"/>
    <w:rsid w:val="00A05781"/>
    <w:rsid w:val="00A068B7"/>
    <w:rsid w:val="00A069FC"/>
    <w:rsid w:val="00A06A22"/>
    <w:rsid w:val="00A0749F"/>
    <w:rsid w:val="00A127F1"/>
    <w:rsid w:val="00A12C82"/>
    <w:rsid w:val="00A1322D"/>
    <w:rsid w:val="00A17158"/>
    <w:rsid w:val="00A2031C"/>
    <w:rsid w:val="00A20856"/>
    <w:rsid w:val="00A2140F"/>
    <w:rsid w:val="00A22375"/>
    <w:rsid w:val="00A24145"/>
    <w:rsid w:val="00A24411"/>
    <w:rsid w:val="00A252A2"/>
    <w:rsid w:val="00A30F32"/>
    <w:rsid w:val="00A319A4"/>
    <w:rsid w:val="00A320D2"/>
    <w:rsid w:val="00A32455"/>
    <w:rsid w:val="00A32D75"/>
    <w:rsid w:val="00A33C82"/>
    <w:rsid w:val="00A33EC9"/>
    <w:rsid w:val="00A377F1"/>
    <w:rsid w:val="00A40087"/>
    <w:rsid w:val="00A41CA5"/>
    <w:rsid w:val="00A426D2"/>
    <w:rsid w:val="00A46BC3"/>
    <w:rsid w:val="00A47BEB"/>
    <w:rsid w:val="00A51A47"/>
    <w:rsid w:val="00A5296E"/>
    <w:rsid w:val="00A5323E"/>
    <w:rsid w:val="00A5538A"/>
    <w:rsid w:val="00A5692F"/>
    <w:rsid w:val="00A57C84"/>
    <w:rsid w:val="00A6358C"/>
    <w:rsid w:val="00A63DE3"/>
    <w:rsid w:val="00A648D2"/>
    <w:rsid w:val="00A648FB"/>
    <w:rsid w:val="00A665B8"/>
    <w:rsid w:val="00A67621"/>
    <w:rsid w:val="00A70DE0"/>
    <w:rsid w:val="00A72947"/>
    <w:rsid w:val="00A73132"/>
    <w:rsid w:val="00A73E82"/>
    <w:rsid w:val="00A80815"/>
    <w:rsid w:val="00A81B56"/>
    <w:rsid w:val="00A83F70"/>
    <w:rsid w:val="00A841E3"/>
    <w:rsid w:val="00A86E53"/>
    <w:rsid w:val="00A920ED"/>
    <w:rsid w:val="00A92497"/>
    <w:rsid w:val="00A94B95"/>
    <w:rsid w:val="00A95164"/>
    <w:rsid w:val="00A969C3"/>
    <w:rsid w:val="00A97447"/>
    <w:rsid w:val="00AA0C7F"/>
    <w:rsid w:val="00AA1E25"/>
    <w:rsid w:val="00AA65EF"/>
    <w:rsid w:val="00AA6837"/>
    <w:rsid w:val="00AB07FC"/>
    <w:rsid w:val="00AB0BCB"/>
    <w:rsid w:val="00AB1B7A"/>
    <w:rsid w:val="00AB234F"/>
    <w:rsid w:val="00AB490B"/>
    <w:rsid w:val="00AB50A1"/>
    <w:rsid w:val="00AB63EC"/>
    <w:rsid w:val="00AB706C"/>
    <w:rsid w:val="00AB71FF"/>
    <w:rsid w:val="00AB7635"/>
    <w:rsid w:val="00AB7D40"/>
    <w:rsid w:val="00AC0195"/>
    <w:rsid w:val="00AC169A"/>
    <w:rsid w:val="00AC17BD"/>
    <w:rsid w:val="00AC627A"/>
    <w:rsid w:val="00AC6C9F"/>
    <w:rsid w:val="00AC7076"/>
    <w:rsid w:val="00AD0219"/>
    <w:rsid w:val="00AD0858"/>
    <w:rsid w:val="00AD159E"/>
    <w:rsid w:val="00AD25AF"/>
    <w:rsid w:val="00AD3FA3"/>
    <w:rsid w:val="00AD5B00"/>
    <w:rsid w:val="00AE0905"/>
    <w:rsid w:val="00AE2F7F"/>
    <w:rsid w:val="00AF2729"/>
    <w:rsid w:val="00AF35AE"/>
    <w:rsid w:val="00AF394B"/>
    <w:rsid w:val="00AF6C87"/>
    <w:rsid w:val="00AF7196"/>
    <w:rsid w:val="00B001EA"/>
    <w:rsid w:val="00B006E0"/>
    <w:rsid w:val="00B0365E"/>
    <w:rsid w:val="00B03D5C"/>
    <w:rsid w:val="00B11E1C"/>
    <w:rsid w:val="00B12CAE"/>
    <w:rsid w:val="00B12DA9"/>
    <w:rsid w:val="00B1771E"/>
    <w:rsid w:val="00B20979"/>
    <w:rsid w:val="00B20B9D"/>
    <w:rsid w:val="00B20CA6"/>
    <w:rsid w:val="00B2179E"/>
    <w:rsid w:val="00B21830"/>
    <w:rsid w:val="00B24130"/>
    <w:rsid w:val="00B24BED"/>
    <w:rsid w:val="00B259B3"/>
    <w:rsid w:val="00B3066F"/>
    <w:rsid w:val="00B31572"/>
    <w:rsid w:val="00B32FDE"/>
    <w:rsid w:val="00B3485C"/>
    <w:rsid w:val="00B3551C"/>
    <w:rsid w:val="00B41CC5"/>
    <w:rsid w:val="00B4456E"/>
    <w:rsid w:val="00B455A2"/>
    <w:rsid w:val="00B5121C"/>
    <w:rsid w:val="00B5536D"/>
    <w:rsid w:val="00B55DD4"/>
    <w:rsid w:val="00B601DE"/>
    <w:rsid w:val="00B60D21"/>
    <w:rsid w:val="00B60F8C"/>
    <w:rsid w:val="00B61DB0"/>
    <w:rsid w:val="00B628A3"/>
    <w:rsid w:val="00B635C3"/>
    <w:rsid w:val="00B64E0D"/>
    <w:rsid w:val="00B65DD7"/>
    <w:rsid w:val="00B66B82"/>
    <w:rsid w:val="00B67C8D"/>
    <w:rsid w:val="00B67DE8"/>
    <w:rsid w:val="00B71A77"/>
    <w:rsid w:val="00B746DE"/>
    <w:rsid w:val="00B75E89"/>
    <w:rsid w:val="00B761D0"/>
    <w:rsid w:val="00B76B5B"/>
    <w:rsid w:val="00B76E0A"/>
    <w:rsid w:val="00B770A1"/>
    <w:rsid w:val="00B826E5"/>
    <w:rsid w:val="00B836E8"/>
    <w:rsid w:val="00B83FBC"/>
    <w:rsid w:val="00B841A4"/>
    <w:rsid w:val="00B871DD"/>
    <w:rsid w:val="00B87B57"/>
    <w:rsid w:val="00B93135"/>
    <w:rsid w:val="00B95CAD"/>
    <w:rsid w:val="00B9774B"/>
    <w:rsid w:val="00BA070F"/>
    <w:rsid w:val="00BA1954"/>
    <w:rsid w:val="00BA376F"/>
    <w:rsid w:val="00BA5F64"/>
    <w:rsid w:val="00BA61A9"/>
    <w:rsid w:val="00BB06A4"/>
    <w:rsid w:val="00BB0A71"/>
    <w:rsid w:val="00BB33FD"/>
    <w:rsid w:val="00BB33FE"/>
    <w:rsid w:val="00BB4913"/>
    <w:rsid w:val="00BB5C5F"/>
    <w:rsid w:val="00BB612A"/>
    <w:rsid w:val="00BB627A"/>
    <w:rsid w:val="00BC193E"/>
    <w:rsid w:val="00BC4F1B"/>
    <w:rsid w:val="00BC6F1B"/>
    <w:rsid w:val="00BC753E"/>
    <w:rsid w:val="00BC7668"/>
    <w:rsid w:val="00BC7E29"/>
    <w:rsid w:val="00BD1D60"/>
    <w:rsid w:val="00BD1FA5"/>
    <w:rsid w:val="00BD2812"/>
    <w:rsid w:val="00BD6949"/>
    <w:rsid w:val="00BE4B8D"/>
    <w:rsid w:val="00BE5EB9"/>
    <w:rsid w:val="00BE73E9"/>
    <w:rsid w:val="00BF0B2C"/>
    <w:rsid w:val="00BF0C97"/>
    <w:rsid w:val="00BF28EC"/>
    <w:rsid w:val="00BF4BF5"/>
    <w:rsid w:val="00BF51F6"/>
    <w:rsid w:val="00BF682C"/>
    <w:rsid w:val="00BF7476"/>
    <w:rsid w:val="00C02D9A"/>
    <w:rsid w:val="00C06808"/>
    <w:rsid w:val="00C10EEC"/>
    <w:rsid w:val="00C12240"/>
    <w:rsid w:val="00C138B2"/>
    <w:rsid w:val="00C13F57"/>
    <w:rsid w:val="00C17074"/>
    <w:rsid w:val="00C1758E"/>
    <w:rsid w:val="00C21672"/>
    <w:rsid w:val="00C21ACC"/>
    <w:rsid w:val="00C22755"/>
    <w:rsid w:val="00C230AB"/>
    <w:rsid w:val="00C31F14"/>
    <w:rsid w:val="00C34E9B"/>
    <w:rsid w:val="00C34FE2"/>
    <w:rsid w:val="00C36041"/>
    <w:rsid w:val="00C36B8D"/>
    <w:rsid w:val="00C36C5A"/>
    <w:rsid w:val="00C402C9"/>
    <w:rsid w:val="00C406A0"/>
    <w:rsid w:val="00C41C1D"/>
    <w:rsid w:val="00C421A0"/>
    <w:rsid w:val="00C439B2"/>
    <w:rsid w:val="00C44001"/>
    <w:rsid w:val="00C4439D"/>
    <w:rsid w:val="00C45F5C"/>
    <w:rsid w:val="00C466A2"/>
    <w:rsid w:val="00C46AF0"/>
    <w:rsid w:val="00C479FE"/>
    <w:rsid w:val="00C47EB3"/>
    <w:rsid w:val="00C50B1D"/>
    <w:rsid w:val="00C53ADD"/>
    <w:rsid w:val="00C56178"/>
    <w:rsid w:val="00C562B0"/>
    <w:rsid w:val="00C56DD1"/>
    <w:rsid w:val="00C57D52"/>
    <w:rsid w:val="00C603C1"/>
    <w:rsid w:val="00C62E07"/>
    <w:rsid w:val="00C62F1B"/>
    <w:rsid w:val="00C63C53"/>
    <w:rsid w:val="00C70B15"/>
    <w:rsid w:val="00C70F4F"/>
    <w:rsid w:val="00C749C1"/>
    <w:rsid w:val="00C74A12"/>
    <w:rsid w:val="00C7603F"/>
    <w:rsid w:val="00C80ECD"/>
    <w:rsid w:val="00C8206E"/>
    <w:rsid w:val="00C83BA2"/>
    <w:rsid w:val="00C840F2"/>
    <w:rsid w:val="00C8538F"/>
    <w:rsid w:val="00C9122B"/>
    <w:rsid w:val="00C93D82"/>
    <w:rsid w:val="00C948CD"/>
    <w:rsid w:val="00C94904"/>
    <w:rsid w:val="00C9683B"/>
    <w:rsid w:val="00CA0EF6"/>
    <w:rsid w:val="00CA31DB"/>
    <w:rsid w:val="00CA4361"/>
    <w:rsid w:val="00CA69D3"/>
    <w:rsid w:val="00CA7A2A"/>
    <w:rsid w:val="00CB21A0"/>
    <w:rsid w:val="00CB26B0"/>
    <w:rsid w:val="00CB2ACC"/>
    <w:rsid w:val="00CB717B"/>
    <w:rsid w:val="00CC0A81"/>
    <w:rsid w:val="00CC2EA3"/>
    <w:rsid w:val="00CC41D4"/>
    <w:rsid w:val="00CD0EFC"/>
    <w:rsid w:val="00CD2724"/>
    <w:rsid w:val="00CD33AB"/>
    <w:rsid w:val="00CD4A09"/>
    <w:rsid w:val="00CD5E71"/>
    <w:rsid w:val="00CD6B61"/>
    <w:rsid w:val="00CE4E7B"/>
    <w:rsid w:val="00CF08A4"/>
    <w:rsid w:val="00CF0C7B"/>
    <w:rsid w:val="00CF1C70"/>
    <w:rsid w:val="00CF291C"/>
    <w:rsid w:val="00CF4B54"/>
    <w:rsid w:val="00CF6AA7"/>
    <w:rsid w:val="00D02613"/>
    <w:rsid w:val="00D060F5"/>
    <w:rsid w:val="00D06613"/>
    <w:rsid w:val="00D114B4"/>
    <w:rsid w:val="00D119E0"/>
    <w:rsid w:val="00D1210A"/>
    <w:rsid w:val="00D12679"/>
    <w:rsid w:val="00D13574"/>
    <w:rsid w:val="00D13FCC"/>
    <w:rsid w:val="00D149B3"/>
    <w:rsid w:val="00D14E0D"/>
    <w:rsid w:val="00D14EAA"/>
    <w:rsid w:val="00D1522D"/>
    <w:rsid w:val="00D15B9A"/>
    <w:rsid w:val="00D15D80"/>
    <w:rsid w:val="00D1666A"/>
    <w:rsid w:val="00D17D8C"/>
    <w:rsid w:val="00D21BE7"/>
    <w:rsid w:val="00D26793"/>
    <w:rsid w:val="00D27953"/>
    <w:rsid w:val="00D27B89"/>
    <w:rsid w:val="00D33441"/>
    <w:rsid w:val="00D334C0"/>
    <w:rsid w:val="00D36619"/>
    <w:rsid w:val="00D3707C"/>
    <w:rsid w:val="00D43AF8"/>
    <w:rsid w:val="00D450F4"/>
    <w:rsid w:val="00D45431"/>
    <w:rsid w:val="00D505AC"/>
    <w:rsid w:val="00D50730"/>
    <w:rsid w:val="00D50E55"/>
    <w:rsid w:val="00D50E97"/>
    <w:rsid w:val="00D539DF"/>
    <w:rsid w:val="00D53B3B"/>
    <w:rsid w:val="00D542EE"/>
    <w:rsid w:val="00D54F3E"/>
    <w:rsid w:val="00D577AF"/>
    <w:rsid w:val="00D57932"/>
    <w:rsid w:val="00D65F39"/>
    <w:rsid w:val="00D664CF"/>
    <w:rsid w:val="00D67757"/>
    <w:rsid w:val="00D72D71"/>
    <w:rsid w:val="00D7654E"/>
    <w:rsid w:val="00D7698D"/>
    <w:rsid w:val="00D76D8D"/>
    <w:rsid w:val="00D83166"/>
    <w:rsid w:val="00D8329A"/>
    <w:rsid w:val="00D85475"/>
    <w:rsid w:val="00D86304"/>
    <w:rsid w:val="00D87DC8"/>
    <w:rsid w:val="00D9044D"/>
    <w:rsid w:val="00D90F3B"/>
    <w:rsid w:val="00D94EB2"/>
    <w:rsid w:val="00D96521"/>
    <w:rsid w:val="00D97881"/>
    <w:rsid w:val="00DA2563"/>
    <w:rsid w:val="00DA318F"/>
    <w:rsid w:val="00DA380B"/>
    <w:rsid w:val="00DA5364"/>
    <w:rsid w:val="00DB160F"/>
    <w:rsid w:val="00DB2F65"/>
    <w:rsid w:val="00DB4270"/>
    <w:rsid w:val="00DB50E6"/>
    <w:rsid w:val="00DB5B28"/>
    <w:rsid w:val="00DB7459"/>
    <w:rsid w:val="00DC2BD1"/>
    <w:rsid w:val="00DC32BC"/>
    <w:rsid w:val="00DC3C54"/>
    <w:rsid w:val="00DC499D"/>
    <w:rsid w:val="00DC7034"/>
    <w:rsid w:val="00DC770C"/>
    <w:rsid w:val="00DD3685"/>
    <w:rsid w:val="00DD5A57"/>
    <w:rsid w:val="00DD5B1D"/>
    <w:rsid w:val="00DE664E"/>
    <w:rsid w:val="00DE6FEA"/>
    <w:rsid w:val="00DF29E0"/>
    <w:rsid w:val="00DF4654"/>
    <w:rsid w:val="00E00DF4"/>
    <w:rsid w:val="00E0178C"/>
    <w:rsid w:val="00E0297A"/>
    <w:rsid w:val="00E0354C"/>
    <w:rsid w:val="00E05CD7"/>
    <w:rsid w:val="00E12168"/>
    <w:rsid w:val="00E121FC"/>
    <w:rsid w:val="00E12BD3"/>
    <w:rsid w:val="00E14149"/>
    <w:rsid w:val="00E155EB"/>
    <w:rsid w:val="00E17B8A"/>
    <w:rsid w:val="00E27F9E"/>
    <w:rsid w:val="00E30852"/>
    <w:rsid w:val="00E311A1"/>
    <w:rsid w:val="00E34833"/>
    <w:rsid w:val="00E34FF9"/>
    <w:rsid w:val="00E3576F"/>
    <w:rsid w:val="00E3696F"/>
    <w:rsid w:val="00E36E35"/>
    <w:rsid w:val="00E40272"/>
    <w:rsid w:val="00E413FB"/>
    <w:rsid w:val="00E41690"/>
    <w:rsid w:val="00E41A56"/>
    <w:rsid w:val="00E41F24"/>
    <w:rsid w:val="00E4229F"/>
    <w:rsid w:val="00E42A20"/>
    <w:rsid w:val="00E4570B"/>
    <w:rsid w:val="00E45AB6"/>
    <w:rsid w:val="00E50150"/>
    <w:rsid w:val="00E501D3"/>
    <w:rsid w:val="00E53FDA"/>
    <w:rsid w:val="00E56EAE"/>
    <w:rsid w:val="00E62EE1"/>
    <w:rsid w:val="00E63C91"/>
    <w:rsid w:val="00E656AA"/>
    <w:rsid w:val="00E6785B"/>
    <w:rsid w:val="00E67BB4"/>
    <w:rsid w:val="00E702E4"/>
    <w:rsid w:val="00E705A5"/>
    <w:rsid w:val="00E71356"/>
    <w:rsid w:val="00E713BE"/>
    <w:rsid w:val="00E715AA"/>
    <w:rsid w:val="00E718FA"/>
    <w:rsid w:val="00E73C64"/>
    <w:rsid w:val="00E751F6"/>
    <w:rsid w:val="00E761CC"/>
    <w:rsid w:val="00E76A25"/>
    <w:rsid w:val="00E82AFE"/>
    <w:rsid w:val="00E8351B"/>
    <w:rsid w:val="00E8434D"/>
    <w:rsid w:val="00E847F7"/>
    <w:rsid w:val="00E84BDF"/>
    <w:rsid w:val="00E869A1"/>
    <w:rsid w:val="00E86E6A"/>
    <w:rsid w:val="00E87230"/>
    <w:rsid w:val="00E872AD"/>
    <w:rsid w:val="00E87666"/>
    <w:rsid w:val="00E9078D"/>
    <w:rsid w:val="00E912E2"/>
    <w:rsid w:val="00E92B97"/>
    <w:rsid w:val="00E92E6C"/>
    <w:rsid w:val="00E94407"/>
    <w:rsid w:val="00E964E5"/>
    <w:rsid w:val="00E96D5C"/>
    <w:rsid w:val="00EA076E"/>
    <w:rsid w:val="00EA75E3"/>
    <w:rsid w:val="00EB19B3"/>
    <w:rsid w:val="00EB312C"/>
    <w:rsid w:val="00EC012F"/>
    <w:rsid w:val="00EC22AB"/>
    <w:rsid w:val="00EC767D"/>
    <w:rsid w:val="00ED4D77"/>
    <w:rsid w:val="00ED7DB6"/>
    <w:rsid w:val="00EE1040"/>
    <w:rsid w:val="00EE2F7B"/>
    <w:rsid w:val="00EE35B9"/>
    <w:rsid w:val="00EE4888"/>
    <w:rsid w:val="00EE4A7D"/>
    <w:rsid w:val="00EE7991"/>
    <w:rsid w:val="00EF0DD2"/>
    <w:rsid w:val="00EF3196"/>
    <w:rsid w:val="00EF4BD4"/>
    <w:rsid w:val="00EF61BD"/>
    <w:rsid w:val="00F00A1D"/>
    <w:rsid w:val="00F00D73"/>
    <w:rsid w:val="00F011EE"/>
    <w:rsid w:val="00F0325A"/>
    <w:rsid w:val="00F077F5"/>
    <w:rsid w:val="00F101CF"/>
    <w:rsid w:val="00F10359"/>
    <w:rsid w:val="00F11AEB"/>
    <w:rsid w:val="00F141A0"/>
    <w:rsid w:val="00F1438C"/>
    <w:rsid w:val="00F21F0C"/>
    <w:rsid w:val="00F22CC8"/>
    <w:rsid w:val="00F2452B"/>
    <w:rsid w:val="00F24F7D"/>
    <w:rsid w:val="00F27F0C"/>
    <w:rsid w:val="00F31749"/>
    <w:rsid w:val="00F31B0F"/>
    <w:rsid w:val="00F3403B"/>
    <w:rsid w:val="00F360D6"/>
    <w:rsid w:val="00F37DC2"/>
    <w:rsid w:val="00F41097"/>
    <w:rsid w:val="00F4197F"/>
    <w:rsid w:val="00F42929"/>
    <w:rsid w:val="00F42B8A"/>
    <w:rsid w:val="00F44D8C"/>
    <w:rsid w:val="00F45130"/>
    <w:rsid w:val="00F47920"/>
    <w:rsid w:val="00F518BA"/>
    <w:rsid w:val="00F52661"/>
    <w:rsid w:val="00F5283D"/>
    <w:rsid w:val="00F52D03"/>
    <w:rsid w:val="00F536DA"/>
    <w:rsid w:val="00F555A6"/>
    <w:rsid w:val="00F57796"/>
    <w:rsid w:val="00F61283"/>
    <w:rsid w:val="00F63A6B"/>
    <w:rsid w:val="00F65CFD"/>
    <w:rsid w:val="00F6738F"/>
    <w:rsid w:val="00F72E4D"/>
    <w:rsid w:val="00F73D80"/>
    <w:rsid w:val="00F7596E"/>
    <w:rsid w:val="00F81D99"/>
    <w:rsid w:val="00F85A84"/>
    <w:rsid w:val="00F94DA0"/>
    <w:rsid w:val="00F95020"/>
    <w:rsid w:val="00F95580"/>
    <w:rsid w:val="00F95C1E"/>
    <w:rsid w:val="00FA6BE0"/>
    <w:rsid w:val="00FA6E45"/>
    <w:rsid w:val="00FA72A6"/>
    <w:rsid w:val="00FB1EB5"/>
    <w:rsid w:val="00FB2B09"/>
    <w:rsid w:val="00FB3DE9"/>
    <w:rsid w:val="00FB5939"/>
    <w:rsid w:val="00FB5C0D"/>
    <w:rsid w:val="00FB5EA4"/>
    <w:rsid w:val="00FC3E48"/>
    <w:rsid w:val="00FC44AA"/>
    <w:rsid w:val="00FC6F7D"/>
    <w:rsid w:val="00FD026D"/>
    <w:rsid w:val="00FD0E95"/>
    <w:rsid w:val="00FD28D5"/>
    <w:rsid w:val="00FD2BC5"/>
    <w:rsid w:val="00FD3D53"/>
    <w:rsid w:val="00FE0791"/>
    <w:rsid w:val="00FE2F34"/>
    <w:rsid w:val="00FE3038"/>
    <w:rsid w:val="00FE3D42"/>
    <w:rsid w:val="00FE5094"/>
    <w:rsid w:val="00FF2520"/>
    <w:rsid w:val="00FF2E08"/>
    <w:rsid w:val="00FF4215"/>
    <w:rsid w:val="00FF4B81"/>
    <w:rsid w:val="00FF4C85"/>
    <w:rsid w:val="00FF63F7"/>
    <w:rsid w:val="00FF7BA0"/>
    <w:rsid w:val="011C65E1"/>
    <w:rsid w:val="01872357"/>
    <w:rsid w:val="019239B4"/>
    <w:rsid w:val="01B86B06"/>
    <w:rsid w:val="01C401C9"/>
    <w:rsid w:val="02125852"/>
    <w:rsid w:val="028271B2"/>
    <w:rsid w:val="02957E3E"/>
    <w:rsid w:val="03151A50"/>
    <w:rsid w:val="03346C50"/>
    <w:rsid w:val="034D62DE"/>
    <w:rsid w:val="03604826"/>
    <w:rsid w:val="036C262D"/>
    <w:rsid w:val="038965C0"/>
    <w:rsid w:val="03AD7315"/>
    <w:rsid w:val="03CA02A5"/>
    <w:rsid w:val="03CD5B4A"/>
    <w:rsid w:val="03D075ED"/>
    <w:rsid w:val="03EC32E0"/>
    <w:rsid w:val="04107E55"/>
    <w:rsid w:val="043C0AB7"/>
    <w:rsid w:val="048552F8"/>
    <w:rsid w:val="0488627D"/>
    <w:rsid w:val="04CF69F1"/>
    <w:rsid w:val="051416E4"/>
    <w:rsid w:val="05155D56"/>
    <w:rsid w:val="05336F74"/>
    <w:rsid w:val="053946FE"/>
    <w:rsid w:val="053F44DA"/>
    <w:rsid w:val="0556347F"/>
    <w:rsid w:val="05657965"/>
    <w:rsid w:val="056A6870"/>
    <w:rsid w:val="057F2246"/>
    <w:rsid w:val="059D7485"/>
    <w:rsid w:val="05A218FD"/>
    <w:rsid w:val="05D518A0"/>
    <w:rsid w:val="05E32826"/>
    <w:rsid w:val="05EC584B"/>
    <w:rsid w:val="05FB57C1"/>
    <w:rsid w:val="060B799A"/>
    <w:rsid w:val="06425AFA"/>
    <w:rsid w:val="0651104B"/>
    <w:rsid w:val="065135D3"/>
    <w:rsid w:val="066901FE"/>
    <w:rsid w:val="068B2EE2"/>
    <w:rsid w:val="06B02C31"/>
    <w:rsid w:val="06C00186"/>
    <w:rsid w:val="06CB2EB0"/>
    <w:rsid w:val="070A598E"/>
    <w:rsid w:val="070C00E2"/>
    <w:rsid w:val="071815CE"/>
    <w:rsid w:val="07215923"/>
    <w:rsid w:val="075676BA"/>
    <w:rsid w:val="075926EA"/>
    <w:rsid w:val="07C90EA0"/>
    <w:rsid w:val="07F01A92"/>
    <w:rsid w:val="082D0DDC"/>
    <w:rsid w:val="0838462F"/>
    <w:rsid w:val="084654BA"/>
    <w:rsid w:val="0888458F"/>
    <w:rsid w:val="08A06B4F"/>
    <w:rsid w:val="08C5160C"/>
    <w:rsid w:val="08F8767A"/>
    <w:rsid w:val="09197B3E"/>
    <w:rsid w:val="094C39EC"/>
    <w:rsid w:val="09527571"/>
    <w:rsid w:val="09546F15"/>
    <w:rsid w:val="09AE2D28"/>
    <w:rsid w:val="09BD43C3"/>
    <w:rsid w:val="09D472EE"/>
    <w:rsid w:val="09E45CBE"/>
    <w:rsid w:val="09E61F4C"/>
    <w:rsid w:val="09FB10FF"/>
    <w:rsid w:val="0A3D5C6E"/>
    <w:rsid w:val="0A603E15"/>
    <w:rsid w:val="0ABF5C4C"/>
    <w:rsid w:val="0AC4740A"/>
    <w:rsid w:val="0B0F368D"/>
    <w:rsid w:val="0B3A5CA3"/>
    <w:rsid w:val="0B4162E6"/>
    <w:rsid w:val="0B6017B9"/>
    <w:rsid w:val="0B735A0F"/>
    <w:rsid w:val="0B7A2E36"/>
    <w:rsid w:val="0B99525E"/>
    <w:rsid w:val="0BCE34E9"/>
    <w:rsid w:val="0BD41778"/>
    <w:rsid w:val="0BDB1D67"/>
    <w:rsid w:val="0BE95E9A"/>
    <w:rsid w:val="0C15127E"/>
    <w:rsid w:val="0C5F5889"/>
    <w:rsid w:val="0C727F65"/>
    <w:rsid w:val="0C7F638D"/>
    <w:rsid w:val="0CAA4C53"/>
    <w:rsid w:val="0CD168E1"/>
    <w:rsid w:val="0D0667FF"/>
    <w:rsid w:val="0D415C54"/>
    <w:rsid w:val="0D50435C"/>
    <w:rsid w:val="0D5B600F"/>
    <w:rsid w:val="0D7F775F"/>
    <w:rsid w:val="0D895471"/>
    <w:rsid w:val="0DB822CE"/>
    <w:rsid w:val="0DD62318"/>
    <w:rsid w:val="0DFD4250"/>
    <w:rsid w:val="0E151025"/>
    <w:rsid w:val="0E347BBB"/>
    <w:rsid w:val="0E4C5684"/>
    <w:rsid w:val="0E4E0B87"/>
    <w:rsid w:val="0E90348C"/>
    <w:rsid w:val="0E9272B5"/>
    <w:rsid w:val="0EA145B8"/>
    <w:rsid w:val="0EB96D98"/>
    <w:rsid w:val="0EDD7260"/>
    <w:rsid w:val="0EFE142F"/>
    <w:rsid w:val="0F0D2C42"/>
    <w:rsid w:val="0F24532B"/>
    <w:rsid w:val="0F3E048F"/>
    <w:rsid w:val="0F4E7C06"/>
    <w:rsid w:val="0F522FDA"/>
    <w:rsid w:val="0F5576A6"/>
    <w:rsid w:val="0F681E28"/>
    <w:rsid w:val="0F75161B"/>
    <w:rsid w:val="0F833182"/>
    <w:rsid w:val="0F837C65"/>
    <w:rsid w:val="0FAB6F93"/>
    <w:rsid w:val="0FE872AF"/>
    <w:rsid w:val="0FED3DE9"/>
    <w:rsid w:val="102B2696"/>
    <w:rsid w:val="102E7CFD"/>
    <w:rsid w:val="103F078A"/>
    <w:rsid w:val="10411A22"/>
    <w:rsid w:val="104834EE"/>
    <w:rsid w:val="104E41AE"/>
    <w:rsid w:val="10612D17"/>
    <w:rsid w:val="1083059A"/>
    <w:rsid w:val="10B75798"/>
    <w:rsid w:val="10C152C4"/>
    <w:rsid w:val="10C6436B"/>
    <w:rsid w:val="10DF70BF"/>
    <w:rsid w:val="1148579C"/>
    <w:rsid w:val="116746F9"/>
    <w:rsid w:val="11760DA3"/>
    <w:rsid w:val="118515F1"/>
    <w:rsid w:val="11DE1CDD"/>
    <w:rsid w:val="11F70C71"/>
    <w:rsid w:val="122E65E4"/>
    <w:rsid w:val="123518F7"/>
    <w:rsid w:val="127F50E9"/>
    <w:rsid w:val="12826F09"/>
    <w:rsid w:val="128F3808"/>
    <w:rsid w:val="131320DA"/>
    <w:rsid w:val="131462C7"/>
    <w:rsid w:val="131C2A52"/>
    <w:rsid w:val="132C47D1"/>
    <w:rsid w:val="1388614A"/>
    <w:rsid w:val="139C2C55"/>
    <w:rsid w:val="13B44B40"/>
    <w:rsid w:val="13F3080A"/>
    <w:rsid w:val="13F74913"/>
    <w:rsid w:val="14012977"/>
    <w:rsid w:val="140372DF"/>
    <w:rsid w:val="14642A47"/>
    <w:rsid w:val="148E4F94"/>
    <w:rsid w:val="14A4376A"/>
    <w:rsid w:val="14AD6CB5"/>
    <w:rsid w:val="14E47444"/>
    <w:rsid w:val="14F53290"/>
    <w:rsid w:val="1505030B"/>
    <w:rsid w:val="151948F4"/>
    <w:rsid w:val="151C212F"/>
    <w:rsid w:val="152E1F10"/>
    <w:rsid w:val="156B3533"/>
    <w:rsid w:val="159A1A9C"/>
    <w:rsid w:val="15A365F7"/>
    <w:rsid w:val="15DA30A6"/>
    <w:rsid w:val="15FD6214"/>
    <w:rsid w:val="16022C53"/>
    <w:rsid w:val="160A7825"/>
    <w:rsid w:val="16114A98"/>
    <w:rsid w:val="161F42DB"/>
    <w:rsid w:val="163B00F8"/>
    <w:rsid w:val="16547C2D"/>
    <w:rsid w:val="16590EFE"/>
    <w:rsid w:val="165F6539"/>
    <w:rsid w:val="167B5CCB"/>
    <w:rsid w:val="1684137A"/>
    <w:rsid w:val="168510F5"/>
    <w:rsid w:val="16BA03A1"/>
    <w:rsid w:val="16CB4C00"/>
    <w:rsid w:val="16DC6423"/>
    <w:rsid w:val="16E85228"/>
    <w:rsid w:val="16FF7D3A"/>
    <w:rsid w:val="1703505F"/>
    <w:rsid w:val="170556EF"/>
    <w:rsid w:val="172B1502"/>
    <w:rsid w:val="17454AD8"/>
    <w:rsid w:val="174B5E12"/>
    <w:rsid w:val="17627DEA"/>
    <w:rsid w:val="17666976"/>
    <w:rsid w:val="1779455B"/>
    <w:rsid w:val="17911BEA"/>
    <w:rsid w:val="17AF0188"/>
    <w:rsid w:val="17D06220"/>
    <w:rsid w:val="19043F59"/>
    <w:rsid w:val="19047893"/>
    <w:rsid w:val="190D7E26"/>
    <w:rsid w:val="190E0680"/>
    <w:rsid w:val="19351120"/>
    <w:rsid w:val="19E21BB8"/>
    <w:rsid w:val="1A4A621C"/>
    <w:rsid w:val="1AA057B7"/>
    <w:rsid w:val="1AEF00AA"/>
    <w:rsid w:val="1B456999"/>
    <w:rsid w:val="1B4B1512"/>
    <w:rsid w:val="1B574371"/>
    <w:rsid w:val="1B5776CB"/>
    <w:rsid w:val="1B672584"/>
    <w:rsid w:val="1B7C5240"/>
    <w:rsid w:val="1B7E4928"/>
    <w:rsid w:val="1B8F0552"/>
    <w:rsid w:val="1BD0376A"/>
    <w:rsid w:val="1BD10986"/>
    <w:rsid w:val="1BD664C1"/>
    <w:rsid w:val="1BE62E2C"/>
    <w:rsid w:val="1C5521A2"/>
    <w:rsid w:val="1C6401A7"/>
    <w:rsid w:val="1C6C5F2C"/>
    <w:rsid w:val="1CAE4A99"/>
    <w:rsid w:val="1CD207E0"/>
    <w:rsid w:val="1D2027D7"/>
    <w:rsid w:val="1D374D5D"/>
    <w:rsid w:val="1DAA7037"/>
    <w:rsid w:val="1DC97089"/>
    <w:rsid w:val="1DEA22A2"/>
    <w:rsid w:val="1DF605AE"/>
    <w:rsid w:val="1E0C5F9A"/>
    <w:rsid w:val="1E3962F7"/>
    <w:rsid w:val="1E45218B"/>
    <w:rsid w:val="1E4A58C3"/>
    <w:rsid w:val="1E546218"/>
    <w:rsid w:val="1E5633AE"/>
    <w:rsid w:val="1ECD0317"/>
    <w:rsid w:val="1EDB5755"/>
    <w:rsid w:val="1EFB0E1B"/>
    <w:rsid w:val="1F0C54A8"/>
    <w:rsid w:val="1FAA2EDE"/>
    <w:rsid w:val="1FB91219"/>
    <w:rsid w:val="1FC0465F"/>
    <w:rsid w:val="1FFE0644"/>
    <w:rsid w:val="20347290"/>
    <w:rsid w:val="20371C1F"/>
    <w:rsid w:val="20646A1B"/>
    <w:rsid w:val="20693865"/>
    <w:rsid w:val="206D0AF9"/>
    <w:rsid w:val="208A0EA9"/>
    <w:rsid w:val="209A5FCA"/>
    <w:rsid w:val="20A2140E"/>
    <w:rsid w:val="20A4060B"/>
    <w:rsid w:val="20A90FFA"/>
    <w:rsid w:val="20EE2B7C"/>
    <w:rsid w:val="20F82B96"/>
    <w:rsid w:val="210A4BA1"/>
    <w:rsid w:val="211704C9"/>
    <w:rsid w:val="212C5FC3"/>
    <w:rsid w:val="21586EBA"/>
    <w:rsid w:val="217A373D"/>
    <w:rsid w:val="21A732AA"/>
    <w:rsid w:val="21D06385"/>
    <w:rsid w:val="21DB371C"/>
    <w:rsid w:val="21E77118"/>
    <w:rsid w:val="21E9221E"/>
    <w:rsid w:val="21EE7D57"/>
    <w:rsid w:val="221F0D41"/>
    <w:rsid w:val="2225798F"/>
    <w:rsid w:val="22361626"/>
    <w:rsid w:val="22714B76"/>
    <w:rsid w:val="231F0CAA"/>
    <w:rsid w:val="238F6834"/>
    <w:rsid w:val="23912854"/>
    <w:rsid w:val="239F4BBF"/>
    <w:rsid w:val="23AA06E5"/>
    <w:rsid w:val="23B3087D"/>
    <w:rsid w:val="23B77CC6"/>
    <w:rsid w:val="23D71570"/>
    <w:rsid w:val="23FC3666"/>
    <w:rsid w:val="23FC43CB"/>
    <w:rsid w:val="242023D2"/>
    <w:rsid w:val="24265EF9"/>
    <w:rsid w:val="24422247"/>
    <w:rsid w:val="2452597D"/>
    <w:rsid w:val="24586FAC"/>
    <w:rsid w:val="248A691A"/>
    <w:rsid w:val="24AE0D3C"/>
    <w:rsid w:val="24F309A0"/>
    <w:rsid w:val="25001A40"/>
    <w:rsid w:val="252E6649"/>
    <w:rsid w:val="254C0545"/>
    <w:rsid w:val="259C66EA"/>
    <w:rsid w:val="25B53702"/>
    <w:rsid w:val="25B86E36"/>
    <w:rsid w:val="25C15CCE"/>
    <w:rsid w:val="25CE6C15"/>
    <w:rsid w:val="25CE7CE7"/>
    <w:rsid w:val="25DC0129"/>
    <w:rsid w:val="25FD7F08"/>
    <w:rsid w:val="26303A95"/>
    <w:rsid w:val="26461889"/>
    <w:rsid w:val="26565067"/>
    <w:rsid w:val="2687240F"/>
    <w:rsid w:val="269C4F84"/>
    <w:rsid w:val="26E0318F"/>
    <w:rsid w:val="26E8008C"/>
    <w:rsid w:val="270A580F"/>
    <w:rsid w:val="271742D6"/>
    <w:rsid w:val="27535154"/>
    <w:rsid w:val="27541D8F"/>
    <w:rsid w:val="27650367"/>
    <w:rsid w:val="27B76579"/>
    <w:rsid w:val="27C7230C"/>
    <w:rsid w:val="27D51A6E"/>
    <w:rsid w:val="28092E82"/>
    <w:rsid w:val="280A70F0"/>
    <w:rsid w:val="28241E16"/>
    <w:rsid w:val="2828418B"/>
    <w:rsid w:val="285831A2"/>
    <w:rsid w:val="2880705B"/>
    <w:rsid w:val="28935078"/>
    <w:rsid w:val="28BA032F"/>
    <w:rsid w:val="28D771B3"/>
    <w:rsid w:val="28F22610"/>
    <w:rsid w:val="291F32E1"/>
    <w:rsid w:val="29583B07"/>
    <w:rsid w:val="296576F6"/>
    <w:rsid w:val="297A26A8"/>
    <w:rsid w:val="297F5D39"/>
    <w:rsid w:val="298E3198"/>
    <w:rsid w:val="29D37D2A"/>
    <w:rsid w:val="29F66FE5"/>
    <w:rsid w:val="2A0C6CC3"/>
    <w:rsid w:val="2A0E7F0F"/>
    <w:rsid w:val="2A1213E4"/>
    <w:rsid w:val="2A207473"/>
    <w:rsid w:val="2A396D97"/>
    <w:rsid w:val="2A832468"/>
    <w:rsid w:val="2A881708"/>
    <w:rsid w:val="2A965A80"/>
    <w:rsid w:val="2AAD386A"/>
    <w:rsid w:val="2ABB161D"/>
    <w:rsid w:val="2AEB1EBC"/>
    <w:rsid w:val="2AEC58C2"/>
    <w:rsid w:val="2B197C87"/>
    <w:rsid w:val="2B25315D"/>
    <w:rsid w:val="2B272BDA"/>
    <w:rsid w:val="2B4861ED"/>
    <w:rsid w:val="2B605293"/>
    <w:rsid w:val="2B612554"/>
    <w:rsid w:val="2B8354F2"/>
    <w:rsid w:val="2B94670F"/>
    <w:rsid w:val="2B9F4376"/>
    <w:rsid w:val="2BBB30E2"/>
    <w:rsid w:val="2BDB76C2"/>
    <w:rsid w:val="2BE3057D"/>
    <w:rsid w:val="2C013CDC"/>
    <w:rsid w:val="2C2124F4"/>
    <w:rsid w:val="2C3579BB"/>
    <w:rsid w:val="2C462053"/>
    <w:rsid w:val="2C4F3D60"/>
    <w:rsid w:val="2C6C6D68"/>
    <w:rsid w:val="2C750052"/>
    <w:rsid w:val="2C8A2821"/>
    <w:rsid w:val="2C9D6E98"/>
    <w:rsid w:val="2CEC37BF"/>
    <w:rsid w:val="2CF56F7A"/>
    <w:rsid w:val="2D0504C1"/>
    <w:rsid w:val="2D191916"/>
    <w:rsid w:val="2D426C3D"/>
    <w:rsid w:val="2D5B1AF1"/>
    <w:rsid w:val="2D645A8B"/>
    <w:rsid w:val="2D795EE6"/>
    <w:rsid w:val="2DA75C8B"/>
    <w:rsid w:val="2DB61DC2"/>
    <w:rsid w:val="2DDC5444"/>
    <w:rsid w:val="2DE8326D"/>
    <w:rsid w:val="2E4A429A"/>
    <w:rsid w:val="2E6426E9"/>
    <w:rsid w:val="2E742A36"/>
    <w:rsid w:val="2E806AC0"/>
    <w:rsid w:val="2EB10C98"/>
    <w:rsid w:val="2EC41B6D"/>
    <w:rsid w:val="2EE40C35"/>
    <w:rsid w:val="2F371186"/>
    <w:rsid w:val="2F8C4860"/>
    <w:rsid w:val="2F9873EC"/>
    <w:rsid w:val="2FB1436E"/>
    <w:rsid w:val="2FBB13DF"/>
    <w:rsid w:val="2FC46C7B"/>
    <w:rsid w:val="2FFA3CBF"/>
    <w:rsid w:val="305A3A1C"/>
    <w:rsid w:val="307C573E"/>
    <w:rsid w:val="30D17ACB"/>
    <w:rsid w:val="30E01C26"/>
    <w:rsid w:val="30FA62A5"/>
    <w:rsid w:val="31164EE4"/>
    <w:rsid w:val="311E2D72"/>
    <w:rsid w:val="312430B7"/>
    <w:rsid w:val="3137444E"/>
    <w:rsid w:val="314D541F"/>
    <w:rsid w:val="31833619"/>
    <w:rsid w:val="31982EEE"/>
    <w:rsid w:val="31A313C1"/>
    <w:rsid w:val="31C02162"/>
    <w:rsid w:val="31C35F31"/>
    <w:rsid w:val="321F68AE"/>
    <w:rsid w:val="322D5960"/>
    <w:rsid w:val="322F18A1"/>
    <w:rsid w:val="323A4C76"/>
    <w:rsid w:val="32453F0C"/>
    <w:rsid w:val="32916000"/>
    <w:rsid w:val="32A323B5"/>
    <w:rsid w:val="32BF029E"/>
    <w:rsid w:val="32BF4ECF"/>
    <w:rsid w:val="32E65F2C"/>
    <w:rsid w:val="32F609DC"/>
    <w:rsid w:val="32FC6F32"/>
    <w:rsid w:val="330A715A"/>
    <w:rsid w:val="330D309E"/>
    <w:rsid w:val="332561EC"/>
    <w:rsid w:val="33384636"/>
    <w:rsid w:val="336530DF"/>
    <w:rsid w:val="33663C27"/>
    <w:rsid w:val="338A6244"/>
    <w:rsid w:val="338E7B26"/>
    <w:rsid w:val="33936F97"/>
    <w:rsid w:val="33BD766E"/>
    <w:rsid w:val="33C022CD"/>
    <w:rsid w:val="33C865FF"/>
    <w:rsid w:val="33EE55C1"/>
    <w:rsid w:val="341C2C0D"/>
    <w:rsid w:val="342C7624"/>
    <w:rsid w:val="34620568"/>
    <w:rsid w:val="34797724"/>
    <w:rsid w:val="349E59C5"/>
    <w:rsid w:val="34C52530"/>
    <w:rsid w:val="34C9220C"/>
    <w:rsid w:val="34F22E60"/>
    <w:rsid w:val="34F52E22"/>
    <w:rsid w:val="34FD5173"/>
    <w:rsid w:val="35132EF4"/>
    <w:rsid w:val="351E0F07"/>
    <w:rsid w:val="35403AD5"/>
    <w:rsid w:val="356F0F35"/>
    <w:rsid w:val="35773A99"/>
    <w:rsid w:val="3599165E"/>
    <w:rsid w:val="359E6318"/>
    <w:rsid w:val="35B93F94"/>
    <w:rsid w:val="35D26A5B"/>
    <w:rsid w:val="35DF6709"/>
    <w:rsid w:val="35E42AC7"/>
    <w:rsid w:val="362B686B"/>
    <w:rsid w:val="363641A4"/>
    <w:rsid w:val="365454CD"/>
    <w:rsid w:val="36596B7F"/>
    <w:rsid w:val="36915EB5"/>
    <w:rsid w:val="36AB7421"/>
    <w:rsid w:val="36C074C4"/>
    <w:rsid w:val="36DE5C94"/>
    <w:rsid w:val="3709455A"/>
    <w:rsid w:val="371344B3"/>
    <w:rsid w:val="37213DE5"/>
    <w:rsid w:val="374B4FC3"/>
    <w:rsid w:val="37846422"/>
    <w:rsid w:val="37906B8B"/>
    <w:rsid w:val="37912C2B"/>
    <w:rsid w:val="37B05FEC"/>
    <w:rsid w:val="38007C07"/>
    <w:rsid w:val="380A685C"/>
    <w:rsid w:val="386901D1"/>
    <w:rsid w:val="38A06A11"/>
    <w:rsid w:val="38AB7278"/>
    <w:rsid w:val="38EA11EC"/>
    <w:rsid w:val="39206C68"/>
    <w:rsid w:val="392574AE"/>
    <w:rsid w:val="3937661B"/>
    <w:rsid w:val="394A04AD"/>
    <w:rsid w:val="396F4CC8"/>
    <w:rsid w:val="397C54F2"/>
    <w:rsid w:val="397E34F9"/>
    <w:rsid w:val="39C946FC"/>
    <w:rsid w:val="39D66090"/>
    <w:rsid w:val="39F96C47"/>
    <w:rsid w:val="3A0B267A"/>
    <w:rsid w:val="3A22009D"/>
    <w:rsid w:val="3A7E0A06"/>
    <w:rsid w:val="3A7E1162"/>
    <w:rsid w:val="3A942F44"/>
    <w:rsid w:val="3A972710"/>
    <w:rsid w:val="3AF61384"/>
    <w:rsid w:val="3AF82491"/>
    <w:rsid w:val="3B013DDA"/>
    <w:rsid w:val="3B475B9C"/>
    <w:rsid w:val="3B620EA2"/>
    <w:rsid w:val="3B697D24"/>
    <w:rsid w:val="3B930097"/>
    <w:rsid w:val="3B9B709C"/>
    <w:rsid w:val="3BB97A2D"/>
    <w:rsid w:val="3BF54D88"/>
    <w:rsid w:val="3C5C4E6F"/>
    <w:rsid w:val="3C6D19FB"/>
    <w:rsid w:val="3C815AE6"/>
    <w:rsid w:val="3CAE1E2C"/>
    <w:rsid w:val="3CC842D5"/>
    <w:rsid w:val="3CDE6407"/>
    <w:rsid w:val="3CF03605"/>
    <w:rsid w:val="3CF53E5E"/>
    <w:rsid w:val="3CFB076D"/>
    <w:rsid w:val="3D1847CA"/>
    <w:rsid w:val="3D3C3CA5"/>
    <w:rsid w:val="3D404689"/>
    <w:rsid w:val="3D4E29E8"/>
    <w:rsid w:val="3D5B6155"/>
    <w:rsid w:val="3D5D508F"/>
    <w:rsid w:val="3D6F4456"/>
    <w:rsid w:val="3D942A8E"/>
    <w:rsid w:val="3DA44151"/>
    <w:rsid w:val="3DBE7231"/>
    <w:rsid w:val="3DD806C4"/>
    <w:rsid w:val="3DF82424"/>
    <w:rsid w:val="3E327332"/>
    <w:rsid w:val="3E7D4B7E"/>
    <w:rsid w:val="3EA1023D"/>
    <w:rsid w:val="3ED5433F"/>
    <w:rsid w:val="3EF4545B"/>
    <w:rsid w:val="3F2A5350"/>
    <w:rsid w:val="3F4F373E"/>
    <w:rsid w:val="3F543E53"/>
    <w:rsid w:val="3F5B494A"/>
    <w:rsid w:val="3F6527BE"/>
    <w:rsid w:val="3F9A1E5E"/>
    <w:rsid w:val="3FB30094"/>
    <w:rsid w:val="3FC221AA"/>
    <w:rsid w:val="3FC24DFB"/>
    <w:rsid w:val="3FF3077A"/>
    <w:rsid w:val="40424194"/>
    <w:rsid w:val="404C36C2"/>
    <w:rsid w:val="40774F6D"/>
    <w:rsid w:val="4080351B"/>
    <w:rsid w:val="40AC6ABD"/>
    <w:rsid w:val="40E524A1"/>
    <w:rsid w:val="40F70F22"/>
    <w:rsid w:val="41022B36"/>
    <w:rsid w:val="410C33C4"/>
    <w:rsid w:val="410C6A04"/>
    <w:rsid w:val="411970AC"/>
    <w:rsid w:val="41271642"/>
    <w:rsid w:val="412B3CFA"/>
    <w:rsid w:val="41614DC5"/>
    <w:rsid w:val="418C2A9A"/>
    <w:rsid w:val="41A91B94"/>
    <w:rsid w:val="41BE5103"/>
    <w:rsid w:val="41F01338"/>
    <w:rsid w:val="42260647"/>
    <w:rsid w:val="422A255C"/>
    <w:rsid w:val="423F17DF"/>
    <w:rsid w:val="425A3496"/>
    <w:rsid w:val="429F4798"/>
    <w:rsid w:val="42B503FB"/>
    <w:rsid w:val="42BC385C"/>
    <w:rsid w:val="42C24FD0"/>
    <w:rsid w:val="42D70A1D"/>
    <w:rsid w:val="433B4099"/>
    <w:rsid w:val="434F4ECF"/>
    <w:rsid w:val="43AB2A94"/>
    <w:rsid w:val="43BC2723"/>
    <w:rsid w:val="43C62D7F"/>
    <w:rsid w:val="43EE44B2"/>
    <w:rsid w:val="44127EBA"/>
    <w:rsid w:val="441B2477"/>
    <w:rsid w:val="442E77EA"/>
    <w:rsid w:val="443E6826"/>
    <w:rsid w:val="44A761AF"/>
    <w:rsid w:val="44BE6C6C"/>
    <w:rsid w:val="44CC6850"/>
    <w:rsid w:val="44D37F54"/>
    <w:rsid w:val="44D90D2D"/>
    <w:rsid w:val="44E1728E"/>
    <w:rsid w:val="44F338DE"/>
    <w:rsid w:val="450962B7"/>
    <w:rsid w:val="451435D9"/>
    <w:rsid w:val="45344663"/>
    <w:rsid w:val="45924D5C"/>
    <w:rsid w:val="45FA3D9C"/>
    <w:rsid w:val="45FA5C41"/>
    <w:rsid w:val="460A786B"/>
    <w:rsid w:val="4656787E"/>
    <w:rsid w:val="465765F5"/>
    <w:rsid w:val="46683C12"/>
    <w:rsid w:val="46AA30C5"/>
    <w:rsid w:val="46B11CD5"/>
    <w:rsid w:val="47071FDC"/>
    <w:rsid w:val="47390B3E"/>
    <w:rsid w:val="4739459F"/>
    <w:rsid w:val="4740699E"/>
    <w:rsid w:val="47501485"/>
    <w:rsid w:val="475F7C6C"/>
    <w:rsid w:val="47B578DE"/>
    <w:rsid w:val="48084749"/>
    <w:rsid w:val="490364C8"/>
    <w:rsid w:val="491F5084"/>
    <w:rsid w:val="49375169"/>
    <w:rsid w:val="496137C4"/>
    <w:rsid w:val="496C50A6"/>
    <w:rsid w:val="49711339"/>
    <w:rsid w:val="498F50D9"/>
    <w:rsid w:val="49977984"/>
    <w:rsid w:val="49FF361D"/>
    <w:rsid w:val="4A523DC6"/>
    <w:rsid w:val="4A7466FF"/>
    <w:rsid w:val="4AA352A0"/>
    <w:rsid w:val="4AB06EC7"/>
    <w:rsid w:val="4AFD2145"/>
    <w:rsid w:val="4B344C32"/>
    <w:rsid w:val="4B560286"/>
    <w:rsid w:val="4B6A50B4"/>
    <w:rsid w:val="4B7A3338"/>
    <w:rsid w:val="4B9316C9"/>
    <w:rsid w:val="4B9A31BC"/>
    <w:rsid w:val="4BC304DA"/>
    <w:rsid w:val="4BE84ADE"/>
    <w:rsid w:val="4BEA35E2"/>
    <w:rsid w:val="4BFD05CC"/>
    <w:rsid w:val="4C1116CD"/>
    <w:rsid w:val="4C261041"/>
    <w:rsid w:val="4C357B95"/>
    <w:rsid w:val="4C4455EA"/>
    <w:rsid w:val="4C7321DD"/>
    <w:rsid w:val="4C81306E"/>
    <w:rsid w:val="4CEA7917"/>
    <w:rsid w:val="4D1A675C"/>
    <w:rsid w:val="4D237EEE"/>
    <w:rsid w:val="4D36236B"/>
    <w:rsid w:val="4D426A4E"/>
    <w:rsid w:val="4D447ACD"/>
    <w:rsid w:val="4D69372C"/>
    <w:rsid w:val="4DE20C4E"/>
    <w:rsid w:val="4DE37998"/>
    <w:rsid w:val="4E121B55"/>
    <w:rsid w:val="4E1409B4"/>
    <w:rsid w:val="4E244E42"/>
    <w:rsid w:val="4E2B67D4"/>
    <w:rsid w:val="4E5A6974"/>
    <w:rsid w:val="4E6F2738"/>
    <w:rsid w:val="4E822DD2"/>
    <w:rsid w:val="4E8376D0"/>
    <w:rsid w:val="4E8A3AF9"/>
    <w:rsid w:val="4EA33192"/>
    <w:rsid w:val="4ED14E3B"/>
    <w:rsid w:val="4EDB451F"/>
    <w:rsid w:val="4EDE6994"/>
    <w:rsid w:val="4EF574D2"/>
    <w:rsid w:val="4F010732"/>
    <w:rsid w:val="4F375E50"/>
    <w:rsid w:val="4F3A4FAD"/>
    <w:rsid w:val="4F413421"/>
    <w:rsid w:val="4F5542BA"/>
    <w:rsid w:val="4F5B6A7C"/>
    <w:rsid w:val="4F902DE8"/>
    <w:rsid w:val="4FEF31B4"/>
    <w:rsid w:val="4FF108B5"/>
    <w:rsid w:val="4FF727BF"/>
    <w:rsid w:val="505D37E8"/>
    <w:rsid w:val="505E5044"/>
    <w:rsid w:val="50645371"/>
    <w:rsid w:val="50783615"/>
    <w:rsid w:val="50975B14"/>
    <w:rsid w:val="509E64DF"/>
    <w:rsid w:val="50E161AA"/>
    <w:rsid w:val="5103512C"/>
    <w:rsid w:val="51051CE7"/>
    <w:rsid w:val="512833BF"/>
    <w:rsid w:val="52026457"/>
    <w:rsid w:val="523D05D3"/>
    <w:rsid w:val="527B17DD"/>
    <w:rsid w:val="527B1A36"/>
    <w:rsid w:val="528662F0"/>
    <w:rsid w:val="529E3019"/>
    <w:rsid w:val="52FA3944"/>
    <w:rsid w:val="53125FE1"/>
    <w:rsid w:val="531E4716"/>
    <w:rsid w:val="534C582B"/>
    <w:rsid w:val="536729EA"/>
    <w:rsid w:val="5385080E"/>
    <w:rsid w:val="53B355D7"/>
    <w:rsid w:val="53F33750"/>
    <w:rsid w:val="541E31C1"/>
    <w:rsid w:val="54226DAD"/>
    <w:rsid w:val="54B57C0A"/>
    <w:rsid w:val="54C2149E"/>
    <w:rsid w:val="54D072C3"/>
    <w:rsid w:val="551845E5"/>
    <w:rsid w:val="55741A72"/>
    <w:rsid w:val="55AD5A35"/>
    <w:rsid w:val="55CD5707"/>
    <w:rsid w:val="55D05DD8"/>
    <w:rsid w:val="55DF072A"/>
    <w:rsid w:val="561719BF"/>
    <w:rsid w:val="561C4D71"/>
    <w:rsid w:val="562070BA"/>
    <w:rsid w:val="562654E2"/>
    <w:rsid w:val="56276D69"/>
    <w:rsid w:val="567B0D05"/>
    <w:rsid w:val="5687274B"/>
    <w:rsid w:val="56AF7B24"/>
    <w:rsid w:val="56B4427A"/>
    <w:rsid w:val="56E3240E"/>
    <w:rsid w:val="56E94B75"/>
    <w:rsid w:val="56EB2994"/>
    <w:rsid w:val="56F077A0"/>
    <w:rsid w:val="57580AC9"/>
    <w:rsid w:val="577E4D9D"/>
    <w:rsid w:val="57B73A21"/>
    <w:rsid w:val="57C91F73"/>
    <w:rsid w:val="57F55ADD"/>
    <w:rsid w:val="57F87AFA"/>
    <w:rsid w:val="58350BDD"/>
    <w:rsid w:val="58365C18"/>
    <w:rsid w:val="58BB07A8"/>
    <w:rsid w:val="58D16635"/>
    <w:rsid w:val="58F93554"/>
    <w:rsid w:val="58F93587"/>
    <w:rsid w:val="590B7E1B"/>
    <w:rsid w:val="590E17FB"/>
    <w:rsid w:val="59235EE6"/>
    <w:rsid w:val="593A6196"/>
    <w:rsid w:val="593D5A74"/>
    <w:rsid w:val="59634AD2"/>
    <w:rsid w:val="596F7DF9"/>
    <w:rsid w:val="59700CB2"/>
    <w:rsid w:val="5992590A"/>
    <w:rsid w:val="59F73FA9"/>
    <w:rsid w:val="5A006E37"/>
    <w:rsid w:val="5A0709C0"/>
    <w:rsid w:val="5A443ABB"/>
    <w:rsid w:val="5A4D392F"/>
    <w:rsid w:val="5A6A2C63"/>
    <w:rsid w:val="5A7979FA"/>
    <w:rsid w:val="5A863E8E"/>
    <w:rsid w:val="5AB74E18"/>
    <w:rsid w:val="5ABE73D9"/>
    <w:rsid w:val="5AD51BB4"/>
    <w:rsid w:val="5AD621DB"/>
    <w:rsid w:val="5AE557FF"/>
    <w:rsid w:val="5AF20017"/>
    <w:rsid w:val="5AF5329F"/>
    <w:rsid w:val="5AF542D9"/>
    <w:rsid w:val="5B1512E1"/>
    <w:rsid w:val="5B307A41"/>
    <w:rsid w:val="5B4D5A36"/>
    <w:rsid w:val="5B664ADB"/>
    <w:rsid w:val="5B785F50"/>
    <w:rsid w:val="5B7A4125"/>
    <w:rsid w:val="5B877940"/>
    <w:rsid w:val="5B9E7045"/>
    <w:rsid w:val="5BA81C2A"/>
    <w:rsid w:val="5BFA7EF6"/>
    <w:rsid w:val="5C116D59"/>
    <w:rsid w:val="5C32271D"/>
    <w:rsid w:val="5C45068B"/>
    <w:rsid w:val="5C5A3EE7"/>
    <w:rsid w:val="5C784F41"/>
    <w:rsid w:val="5CAC42F9"/>
    <w:rsid w:val="5CBA7FC0"/>
    <w:rsid w:val="5CCF4CCD"/>
    <w:rsid w:val="5D2C38E4"/>
    <w:rsid w:val="5D333476"/>
    <w:rsid w:val="5D34491A"/>
    <w:rsid w:val="5D411F85"/>
    <w:rsid w:val="5D4F642A"/>
    <w:rsid w:val="5D536E7C"/>
    <w:rsid w:val="5D7828E6"/>
    <w:rsid w:val="5D874EB5"/>
    <w:rsid w:val="5DB85ED3"/>
    <w:rsid w:val="5DC871F5"/>
    <w:rsid w:val="5DFB2D6D"/>
    <w:rsid w:val="5E2C6546"/>
    <w:rsid w:val="5E4F72F6"/>
    <w:rsid w:val="5E6721EE"/>
    <w:rsid w:val="5EC827A4"/>
    <w:rsid w:val="5ECD6188"/>
    <w:rsid w:val="5ED65FEF"/>
    <w:rsid w:val="5EE12163"/>
    <w:rsid w:val="5F052914"/>
    <w:rsid w:val="5F0A5F36"/>
    <w:rsid w:val="5F187E14"/>
    <w:rsid w:val="5F216FD0"/>
    <w:rsid w:val="5F517590"/>
    <w:rsid w:val="5F931193"/>
    <w:rsid w:val="5F995DE3"/>
    <w:rsid w:val="5FD157E9"/>
    <w:rsid w:val="60183D36"/>
    <w:rsid w:val="60316A8A"/>
    <w:rsid w:val="60352E49"/>
    <w:rsid w:val="604307FB"/>
    <w:rsid w:val="60436DFE"/>
    <w:rsid w:val="60587F6C"/>
    <w:rsid w:val="60745B86"/>
    <w:rsid w:val="60757548"/>
    <w:rsid w:val="608225C2"/>
    <w:rsid w:val="608F4E09"/>
    <w:rsid w:val="60922EA7"/>
    <w:rsid w:val="60D276FD"/>
    <w:rsid w:val="60DD09F9"/>
    <w:rsid w:val="60EB1D7C"/>
    <w:rsid w:val="60FB43D3"/>
    <w:rsid w:val="61215C6A"/>
    <w:rsid w:val="614822A7"/>
    <w:rsid w:val="615467BF"/>
    <w:rsid w:val="615E13D9"/>
    <w:rsid w:val="619A74DB"/>
    <w:rsid w:val="61D536CC"/>
    <w:rsid w:val="61D95419"/>
    <w:rsid w:val="61E46B07"/>
    <w:rsid w:val="61E559A8"/>
    <w:rsid w:val="61E72504"/>
    <w:rsid w:val="62082855"/>
    <w:rsid w:val="62201DCB"/>
    <w:rsid w:val="62670855"/>
    <w:rsid w:val="626B2E63"/>
    <w:rsid w:val="62722BF9"/>
    <w:rsid w:val="62781254"/>
    <w:rsid w:val="628F56D7"/>
    <w:rsid w:val="62AD77BF"/>
    <w:rsid w:val="62B6401D"/>
    <w:rsid w:val="62F04C62"/>
    <w:rsid w:val="62F77B79"/>
    <w:rsid w:val="630330AE"/>
    <w:rsid w:val="63357CC5"/>
    <w:rsid w:val="63417E63"/>
    <w:rsid w:val="63586D06"/>
    <w:rsid w:val="638669D0"/>
    <w:rsid w:val="639B5D89"/>
    <w:rsid w:val="63A32E81"/>
    <w:rsid w:val="63A82549"/>
    <w:rsid w:val="640052D8"/>
    <w:rsid w:val="6402249F"/>
    <w:rsid w:val="6417398B"/>
    <w:rsid w:val="64382979"/>
    <w:rsid w:val="646D3538"/>
    <w:rsid w:val="64DC72A8"/>
    <w:rsid w:val="64F13D73"/>
    <w:rsid w:val="65114B98"/>
    <w:rsid w:val="65170A3D"/>
    <w:rsid w:val="651E4C38"/>
    <w:rsid w:val="65365292"/>
    <w:rsid w:val="65436AE1"/>
    <w:rsid w:val="65527C1B"/>
    <w:rsid w:val="65704466"/>
    <w:rsid w:val="6584222B"/>
    <w:rsid w:val="65C20823"/>
    <w:rsid w:val="65CD26B4"/>
    <w:rsid w:val="65D214B6"/>
    <w:rsid w:val="660A60F8"/>
    <w:rsid w:val="661253BE"/>
    <w:rsid w:val="6612692A"/>
    <w:rsid w:val="66161F0A"/>
    <w:rsid w:val="66196145"/>
    <w:rsid w:val="6670389E"/>
    <w:rsid w:val="66C60A29"/>
    <w:rsid w:val="66D042E9"/>
    <w:rsid w:val="66F66FFA"/>
    <w:rsid w:val="66F73355"/>
    <w:rsid w:val="671921DE"/>
    <w:rsid w:val="6731565E"/>
    <w:rsid w:val="673536B8"/>
    <w:rsid w:val="674E497A"/>
    <w:rsid w:val="677D30E0"/>
    <w:rsid w:val="67C25F42"/>
    <w:rsid w:val="68006EE8"/>
    <w:rsid w:val="68166C87"/>
    <w:rsid w:val="6819202A"/>
    <w:rsid w:val="68401238"/>
    <w:rsid w:val="684727D9"/>
    <w:rsid w:val="68535FE0"/>
    <w:rsid w:val="68683D31"/>
    <w:rsid w:val="686D2070"/>
    <w:rsid w:val="68A139E4"/>
    <w:rsid w:val="68B3726E"/>
    <w:rsid w:val="68BD171A"/>
    <w:rsid w:val="68C1349D"/>
    <w:rsid w:val="68D659E5"/>
    <w:rsid w:val="69264754"/>
    <w:rsid w:val="694420CC"/>
    <w:rsid w:val="696E1C4C"/>
    <w:rsid w:val="697C74E5"/>
    <w:rsid w:val="69816C11"/>
    <w:rsid w:val="6A1224A0"/>
    <w:rsid w:val="6A292147"/>
    <w:rsid w:val="6A31115D"/>
    <w:rsid w:val="6A502F91"/>
    <w:rsid w:val="6A5C2E89"/>
    <w:rsid w:val="6A6B1379"/>
    <w:rsid w:val="6A6F21B0"/>
    <w:rsid w:val="6A87109B"/>
    <w:rsid w:val="6A996FCF"/>
    <w:rsid w:val="6B0C0A7D"/>
    <w:rsid w:val="6B195F9E"/>
    <w:rsid w:val="6B2F7019"/>
    <w:rsid w:val="6B7B77ED"/>
    <w:rsid w:val="6B834A11"/>
    <w:rsid w:val="6BA5799B"/>
    <w:rsid w:val="6BAF3BBE"/>
    <w:rsid w:val="6BD86705"/>
    <w:rsid w:val="6BDC6768"/>
    <w:rsid w:val="6BE33C8F"/>
    <w:rsid w:val="6BFD6A38"/>
    <w:rsid w:val="6C26003F"/>
    <w:rsid w:val="6C39469E"/>
    <w:rsid w:val="6C81224F"/>
    <w:rsid w:val="6C8E09FD"/>
    <w:rsid w:val="6CAA1438"/>
    <w:rsid w:val="6CB674EB"/>
    <w:rsid w:val="6CC3417C"/>
    <w:rsid w:val="6CF751CD"/>
    <w:rsid w:val="6CFE2A90"/>
    <w:rsid w:val="6D033406"/>
    <w:rsid w:val="6D0E42A3"/>
    <w:rsid w:val="6D363AA9"/>
    <w:rsid w:val="6D6A23A6"/>
    <w:rsid w:val="6D747C94"/>
    <w:rsid w:val="6D7A7986"/>
    <w:rsid w:val="6D843218"/>
    <w:rsid w:val="6DAA3AC3"/>
    <w:rsid w:val="6DB27C2E"/>
    <w:rsid w:val="6DB33789"/>
    <w:rsid w:val="6DC349D7"/>
    <w:rsid w:val="6DCF3E9D"/>
    <w:rsid w:val="6DD01ED5"/>
    <w:rsid w:val="6DD1579D"/>
    <w:rsid w:val="6E520A94"/>
    <w:rsid w:val="6E583149"/>
    <w:rsid w:val="6E722676"/>
    <w:rsid w:val="6E725242"/>
    <w:rsid w:val="6E7716CA"/>
    <w:rsid w:val="6E7D3E7D"/>
    <w:rsid w:val="6E8B036B"/>
    <w:rsid w:val="6E916298"/>
    <w:rsid w:val="6E946B8C"/>
    <w:rsid w:val="6EA83F00"/>
    <w:rsid w:val="6EA84809"/>
    <w:rsid w:val="6EA86D11"/>
    <w:rsid w:val="6EF041DC"/>
    <w:rsid w:val="6F225078"/>
    <w:rsid w:val="6F4F5C6B"/>
    <w:rsid w:val="6F6D5808"/>
    <w:rsid w:val="6FF3443A"/>
    <w:rsid w:val="6FF40BBB"/>
    <w:rsid w:val="70013752"/>
    <w:rsid w:val="70317E9E"/>
    <w:rsid w:val="70342CA5"/>
    <w:rsid w:val="70363C29"/>
    <w:rsid w:val="705410A6"/>
    <w:rsid w:val="705D2BE9"/>
    <w:rsid w:val="708A7E30"/>
    <w:rsid w:val="70E26C32"/>
    <w:rsid w:val="70E86DEE"/>
    <w:rsid w:val="712307DD"/>
    <w:rsid w:val="71356F33"/>
    <w:rsid w:val="719C3171"/>
    <w:rsid w:val="71DA2984"/>
    <w:rsid w:val="71E81E35"/>
    <w:rsid w:val="71F31696"/>
    <w:rsid w:val="720277AF"/>
    <w:rsid w:val="721169B3"/>
    <w:rsid w:val="723D3F29"/>
    <w:rsid w:val="72556B12"/>
    <w:rsid w:val="725F4533"/>
    <w:rsid w:val="72665AB1"/>
    <w:rsid w:val="726B0346"/>
    <w:rsid w:val="729F603C"/>
    <w:rsid w:val="72A21144"/>
    <w:rsid w:val="72AC5DEC"/>
    <w:rsid w:val="72BA11D4"/>
    <w:rsid w:val="72BB5863"/>
    <w:rsid w:val="72C34BC0"/>
    <w:rsid w:val="72EF0842"/>
    <w:rsid w:val="73653045"/>
    <w:rsid w:val="736D13CC"/>
    <w:rsid w:val="73C34FB0"/>
    <w:rsid w:val="73E630B6"/>
    <w:rsid w:val="7419265F"/>
    <w:rsid w:val="747709E7"/>
    <w:rsid w:val="7487654A"/>
    <w:rsid w:val="74A75C74"/>
    <w:rsid w:val="74AE727B"/>
    <w:rsid w:val="74B72109"/>
    <w:rsid w:val="74BC79F6"/>
    <w:rsid w:val="74BD356E"/>
    <w:rsid w:val="74DE2D28"/>
    <w:rsid w:val="75034DA5"/>
    <w:rsid w:val="75055E9E"/>
    <w:rsid w:val="750B5416"/>
    <w:rsid w:val="75317F36"/>
    <w:rsid w:val="75434148"/>
    <w:rsid w:val="75536301"/>
    <w:rsid w:val="757731F2"/>
    <w:rsid w:val="757A7E5C"/>
    <w:rsid w:val="75A84F6F"/>
    <w:rsid w:val="75C46A48"/>
    <w:rsid w:val="75E13D13"/>
    <w:rsid w:val="763E2F56"/>
    <w:rsid w:val="76582980"/>
    <w:rsid w:val="765B603D"/>
    <w:rsid w:val="765C7713"/>
    <w:rsid w:val="76671C9E"/>
    <w:rsid w:val="767B6F1E"/>
    <w:rsid w:val="76820B5D"/>
    <w:rsid w:val="768E1D0F"/>
    <w:rsid w:val="76BA5152"/>
    <w:rsid w:val="76D457A0"/>
    <w:rsid w:val="76E97262"/>
    <w:rsid w:val="771F0D94"/>
    <w:rsid w:val="77411B76"/>
    <w:rsid w:val="77482DDB"/>
    <w:rsid w:val="774B2396"/>
    <w:rsid w:val="778012E8"/>
    <w:rsid w:val="77AA1492"/>
    <w:rsid w:val="781A460E"/>
    <w:rsid w:val="782F7348"/>
    <w:rsid w:val="783025F2"/>
    <w:rsid w:val="78582600"/>
    <w:rsid w:val="7881670C"/>
    <w:rsid w:val="78967EE6"/>
    <w:rsid w:val="78BD4522"/>
    <w:rsid w:val="78C42AEC"/>
    <w:rsid w:val="78DA4DE9"/>
    <w:rsid w:val="78EA6A67"/>
    <w:rsid w:val="79010C64"/>
    <w:rsid w:val="79164A8A"/>
    <w:rsid w:val="79343267"/>
    <w:rsid w:val="794A3E9B"/>
    <w:rsid w:val="796304EA"/>
    <w:rsid w:val="799042FF"/>
    <w:rsid w:val="79D96301"/>
    <w:rsid w:val="7A213F9F"/>
    <w:rsid w:val="7A25707D"/>
    <w:rsid w:val="7A446928"/>
    <w:rsid w:val="7AA579E1"/>
    <w:rsid w:val="7AB824C3"/>
    <w:rsid w:val="7ABD52ED"/>
    <w:rsid w:val="7B0D13DE"/>
    <w:rsid w:val="7B6A2E87"/>
    <w:rsid w:val="7B743B30"/>
    <w:rsid w:val="7B7A6518"/>
    <w:rsid w:val="7BA82B1B"/>
    <w:rsid w:val="7BB15250"/>
    <w:rsid w:val="7BD754B6"/>
    <w:rsid w:val="7BE36163"/>
    <w:rsid w:val="7BEE2FE2"/>
    <w:rsid w:val="7C1039EF"/>
    <w:rsid w:val="7C2C6B33"/>
    <w:rsid w:val="7C7310AD"/>
    <w:rsid w:val="7C79405E"/>
    <w:rsid w:val="7C814E20"/>
    <w:rsid w:val="7C9D2643"/>
    <w:rsid w:val="7CC22674"/>
    <w:rsid w:val="7CDE07EA"/>
    <w:rsid w:val="7D07504F"/>
    <w:rsid w:val="7D083A4C"/>
    <w:rsid w:val="7D135E30"/>
    <w:rsid w:val="7D1A3539"/>
    <w:rsid w:val="7D2D49BC"/>
    <w:rsid w:val="7D5D46AB"/>
    <w:rsid w:val="7D851A94"/>
    <w:rsid w:val="7D88777A"/>
    <w:rsid w:val="7DAB34EE"/>
    <w:rsid w:val="7DE06C1B"/>
    <w:rsid w:val="7DE1182D"/>
    <w:rsid w:val="7DF34CB6"/>
    <w:rsid w:val="7E035813"/>
    <w:rsid w:val="7E1410AD"/>
    <w:rsid w:val="7E1809CF"/>
    <w:rsid w:val="7E4253D3"/>
    <w:rsid w:val="7E46459C"/>
    <w:rsid w:val="7E753D6C"/>
    <w:rsid w:val="7E905C32"/>
    <w:rsid w:val="7EC30AC6"/>
    <w:rsid w:val="7EFB1398"/>
    <w:rsid w:val="7F070ED1"/>
    <w:rsid w:val="7F144E7E"/>
    <w:rsid w:val="7F1926C7"/>
    <w:rsid w:val="7F1D6B1B"/>
    <w:rsid w:val="7F5D7905"/>
    <w:rsid w:val="7F8A0016"/>
    <w:rsid w:val="7FC927A8"/>
    <w:rsid w:val="7FD36A43"/>
    <w:rsid w:val="7FE27B5E"/>
    <w:rsid w:val="7FF76C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qFormat="1"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qFormat="1" w:unhideWhenUsed="0" w:uiPriority="99"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iPriority="99" w:name="Body Text First Indent 2"/>
    <w:lsdException w:uiPriority="99" w:name="Note Heading"/>
    <w:lsdException w:qFormat="1" w:unhideWhenUsed="0" w:uiPriority="0" w:semiHidden="0"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sdException w:qFormat="1" w:unhideWhenUsed="0" w:uiPriority="99" w:semiHidden="0" w:name="HTML Sample"/>
    <w:lsdException w:uiPriority="99" w:name="HTML Typewriter"/>
    <w:lsdException w:qFormat="1" w:unhideWhenUsed="0"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nhideWhenUsed="0" w:uiPriority="99" w:semiHidden="0" w:name="Balloon Text"/>
    <w:lsdException w:qFormat="1" w:unhideWhenUsed="0" w:uiPriority="9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4"/>
    <w:autoRedefine/>
    <w:qFormat/>
    <w:uiPriority w:val="9"/>
    <w:pPr>
      <w:keepNext/>
      <w:widowControl/>
      <w:spacing w:before="340" w:after="330" w:line="576" w:lineRule="auto"/>
      <w:outlineLvl w:val="0"/>
    </w:pPr>
    <w:rPr>
      <w:rFonts w:ascii="???" w:hAnsi="???" w:eastAsia="宋体" w:cs="Arial"/>
      <w:color w:val="020000"/>
      <w:kern w:val="36"/>
      <w:sz w:val="44"/>
      <w:szCs w:val="44"/>
    </w:rPr>
  </w:style>
  <w:style w:type="paragraph" w:styleId="4">
    <w:name w:val="heading 2"/>
    <w:basedOn w:val="1"/>
    <w:next w:val="1"/>
    <w:link w:val="66"/>
    <w:qFormat/>
    <w:uiPriority w:val="0"/>
    <w:pPr>
      <w:keepNext/>
      <w:widowControl/>
      <w:spacing w:before="260" w:after="260" w:line="412" w:lineRule="auto"/>
      <w:outlineLvl w:val="1"/>
    </w:pPr>
    <w:rPr>
      <w:rFonts w:ascii="???" w:hAnsi="???" w:eastAsia="宋体" w:cs="Arial"/>
      <w:b/>
      <w:bCs/>
      <w:color w:val="020000"/>
      <w:kern w:val="0"/>
      <w:sz w:val="32"/>
      <w:szCs w:val="32"/>
    </w:rPr>
  </w:style>
  <w:style w:type="paragraph" w:styleId="5">
    <w:name w:val="heading 3"/>
    <w:basedOn w:val="1"/>
    <w:next w:val="1"/>
    <w:link w:val="65"/>
    <w:qFormat/>
    <w:uiPriority w:val="99"/>
    <w:pPr>
      <w:keepNext/>
      <w:widowControl/>
      <w:spacing w:before="260" w:after="260" w:line="412" w:lineRule="auto"/>
      <w:outlineLvl w:val="2"/>
    </w:pPr>
    <w:rPr>
      <w:rFonts w:ascii="??" w:hAnsi="??" w:eastAsia="宋体" w:cs="Arial"/>
      <w:b/>
      <w:bCs/>
      <w:color w:val="000000"/>
      <w:kern w:val="0"/>
      <w:sz w:val="32"/>
      <w:szCs w:val="32"/>
    </w:rPr>
  </w:style>
  <w:style w:type="paragraph" w:styleId="6">
    <w:name w:val="heading 4"/>
    <w:basedOn w:val="1"/>
    <w:next w:val="7"/>
    <w:qFormat/>
    <w:uiPriority w:val="0"/>
    <w:pPr>
      <w:keepNext/>
      <w:keepLines/>
      <w:ind w:firstLine="420" w:firstLineChars="150"/>
      <w:outlineLvl w:val="3"/>
    </w:pPr>
    <w:rPr>
      <w:rFonts w:ascii="Arial" w:hAnsi="Arial" w:cs="Arial"/>
      <w:b/>
      <w:sz w:val="28"/>
      <w:szCs w:val="28"/>
    </w:rPr>
  </w:style>
  <w:style w:type="paragraph" w:styleId="8">
    <w:name w:val="heading 5"/>
    <w:basedOn w:val="1"/>
    <w:next w:val="7"/>
    <w:autoRedefine/>
    <w:qFormat/>
    <w:uiPriority w:val="0"/>
    <w:pPr>
      <w:keepNext/>
      <w:autoSpaceDE w:val="0"/>
      <w:autoSpaceDN w:val="0"/>
      <w:adjustRightInd w:val="0"/>
      <w:outlineLvl w:val="4"/>
    </w:pPr>
    <w:rPr>
      <w:rFonts w:ascii="宋体"/>
      <w:color w:val="000000"/>
      <w:kern w:val="0"/>
      <w:sz w:val="28"/>
      <w:szCs w:val="28"/>
    </w:rPr>
  </w:style>
  <w:style w:type="paragraph" w:styleId="9">
    <w:name w:val="heading 6"/>
    <w:basedOn w:val="1"/>
    <w:next w:val="1"/>
    <w:autoRedefine/>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jc w:val="both"/>
    </w:pPr>
    <w:rPr>
      <w:rFonts w:ascii="黑体" w:hAnsi="黑体" w:eastAsia="宋体" w:cs="黑体"/>
      <w:color w:val="000000"/>
      <w:sz w:val="24"/>
      <w:szCs w:val="24"/>
      <w:lang w:val="en-US" w:eastAsia="zh-CN" w:bidi="ar-SA"/>
    </w:rPr>
  </w:style>
  <w:style w:type="paragraph" w:styleId="7">
    <w:name w:val="Normal Indent"/>
    <w:basedOn w:val="1"/>
    <w:link w:val="117"/>
    <w:autoRedefine/>
    <w:qFormat/>
    <w:uiPriority w:val="0"/>
    <w:pPr>
      <w:ind w:firstLine="420" w:firstLineChars="200"/>
    </w:pPr>
    <w:rPr>
      <w:rFonts w:ascii="Times New Roman" w:hAnsi="Times New Roman" w:eastAsia="宋体" w:cs="Times New Roman"/>
      <w:kern w:val="0"/>
      <w:sz w:val="24"/>
      <w:szCs w:val="20"/>
    </w:rPr>
  </w:style>
  <w:style w:type="paragraph" w:styleId="10">
    <w:name w:val="toc 7"/>
    <w:basedOn w:val="1"/>
    <w:next w:val="1"/>
    <w:qFormat/>
    <w:uiPriority w:val="0"/>
    <w:pPr>
      <w:ind w:left="2520" w:leftChars="1200"/>
    </w:pPr>
    <w:rPr>
      <w:rFonts w:ascii="Times New Roman" w:hAnsi="Times New Roman" w:eastAsia="宋体" w:cs="Times New Roman"/>
      <w:szCs w:val="24"/>
    </w:rPr>
  </w:style>
  <w:style w:type="paragraph" w:styleId="11">
    <w:name w:val="List Number"/>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Document Map"/>
    <w:basedOn w:val="1"/>
    <w:link w:val="135"/>
    <w:autoRedefine/>
    <w:qFormat/>
    <w:uiPriority w:val="0"/>
    <w:rPr>
      <w:rFonts w:ascii="宋体" w:hAnsi="Calibri" w:eastAsia="宋体" w:cs="Times New Roman"/>
      <w:kern w:val="0"/>
      <w:sz w:val="18"/>
      <w:szCs w:val="20"/>
    </w:rPr>
  </w:style>
  <w:style w:type="paragraph" w:styleId="13">
    <w:name w:val="toa heading"/>
    <w:basedOn w:val="1"/>
    <w:next w:val="1"/>
    <w:qFormat/>
    <w:uiPriority w:val="0"/>
    <w:pPr>
      <w:spacing w:before="120"/>
    </w:pPr>
    <w:rPr>
      <w:rFonts w:ascii="Cambria" w:hAnsi="Cambria"/>
      <w:sz w:val="24"/>
      <w:szCs w:val="20"/>
    </w:rPr>
  </w:style>
  <w:style w:type="paragraph" w:styleId="14">
    <w:name w:val="annotation text"/>
    <w:basedOn w:val="1"/>
    <w:link w:val="163"/>
    <w:qFormat/>
    <w:uiPriority w:val="0"/>
    <w:pPr>
      <w:jc w:val="left"/>
    </w:pPr>
  </w:style>
  <w:style w:type="paragraph" w:styleId="15">
    <w:name w:val="Body Text"/>
    <w:basedOn w:val="1"/>
    <w:link w:val="138"/>
    <w:autoRedefine/>
    <w:qFormat/>
    <w:uiPriority w:val="99"/>
    <w:pPr>
      <w:spacing w:after="120"/>
    </w:pPr>
    <w:rPr>
      <w:rFonts w:ascii="Calibri" w:hAnsi="Calibri" w:eastAsia="宋体" w:cs="Times New Roman"/>
      <w:kern w:val="0"/>
      <w:sz w:val="24"/>
      <w:szCs w:val="20"/>
    </w:rPr>
  </w:style>
  <w:style w:type="paragraph" w:styleId="16">
    <w:name w:val="Body Text Indent"/>
    <w:basedOn w:val="1"/>
    <w:next w:val="17"/>
    <w:link w:val="69"/>
    <w:qFormat/>
    <w:uiPriority w:val="0"/>
    <w:pPr>
      <w:widowControl/>
      <w:spacing w:after="120"/>
      <w:ind w:left="420"/>
    </w:pPr>
    <w:rPr>
      <w:rFonts w:ascii="??" w:hAnsi="??" w:eastAsia="宋体" w:cs="Arial"/>
      <w:kern w:val="0"/>
      <w:sz w:val="24"/>
      <w:szCs w:val="24"/>
    </w:rPr>
  </w:style>
  <w:style w:type="paragraph" w:styleId="17">
    <w:name w:val="Body Text First Indent 2"/>
    <w:basedOn w:val="16"/>
    <w:next w:val="1"/>
    <w:link w:val="212"/>
    <w:semiHidden/>
    <w:unhideWhenUsed/>
    <w:qFormat/>
    <w:uiPriority w:val="99"/>
    <w:pPr>
      <w:widowControl w:val="0"/>
      <w:ind w:left="200" w:leftChars="200" w:firstLine="420" w:firstLineChars="200"/>
    </w:pPr>
    <w:rPr>
      <w:rFonts w:asciiTheme="minorHAnsi" w:hAnsiTheme="minorHAnsi" w:eastAsiaTheme="minorEastAsia" w:cstheme="minorBidi"/>
      <w:kern w:val="2"/>
      <w:sz w:val="21"/>
      <w:szCs w:val="22"/>
    </w:rPr>
  </w:style>
  <w:style w:type="paragraph" w:styleId="18">
    <w:name w:val="toc 5"/>
    <w:basedOn w:val="1"/>
    <w:next w:val="1"/>
    <w:qFormat/>
    <w:uiPriority w:val="0"/>
    <w:pPr>
      <w:ind w:left="1680" w:leftChars="800"/>
    </w:pPr>
    <w:rPr>
      <w:rFonts w:ascii="Times New Roman" w:hAnsi="Times New Roman" w:eastAsia="宋体" w:cs="Times New Roman"/>
      <w:szCs w:val="24"/>
    </w:rPr>
  </w:style>
  <w:style w:type="paragraph" w:styleId="19">
    <w:name w:val="toc 3"/>
    <w:basedOn w:val="1"/>
    <w:next w:val="1"/>
    <w:autoRedefine/>
    <w:qFormat/>
    <w:uiPriority w:val="39"/>
    <w:pPr>
      <w:ind w:left="840" w:leftChars="400"/>
    </w:pPr>
    <w:rPr>
      <w:rFonts w:ascii="Times New Roman" w:hAnsi="Times New Roman" w:eastAsia="宋体" w:cs="Times New Roman"/>
      <w:szCs w:val="24"/>
    </w:rPr>
  </w:style>
  <w:style w:type="paragraph" w:styleId="20">
    <w:name w:val="Plain Text"/>
    <w:basedOn w:val="1"/>
    <w:link w:val="198"/>
    <w:qFormat/>
    <w:uiPriority w:val="99"/>
    <w:rPr>
      <w:rFonts w:ascii="宋体" w:hAnsi="Courier New" w:eastAsia="宋体"/>
      <w:szCs w:val="21"/>
    </w:rPr>
  </w:style>
  <w:style w:type="paragraph" w:styleId="21">
    <w:name w:val="toc 8"/>
    <w:basedOn w:val="1"/>
    <w:next w:val="1"/>
    <w:qFormat/>
    <w:uiPriority w:val="0"/>
    <w:pPr>
      <w:ind w:left="2940" w:leftChars="1400"/>
    </w:pPr>
    <w:rPr>
      <w:rFonts w:ascii="Times New Roman" w:hAnsi="Times New Roman" w:eastAsia="宋体" w:cs="Times New Roman"/>
      <w:szCs w:val="24"/>
    </w:rPr>
  </w:style>
  <w:style w:type="paragraph" w:styleId="22">
    <w:name w:val="Date"/>
    <w:basedOn w:val="1"/>
    <w:next w:val="1"/>
    <w:link w:val="158"/>
    <w:autoRedefine/>
    <w:qFormat/>
    <w:uiPriority w:val="0"/>
    <w:rPr>
      <w:szCs w:val="21"/>
    </w:rPr>
  </w:style>
  <w:style w:type="paragraph" w:styleId="23">
    <w:name w:val="Body Text Indent 2"/>
    <w:basedOn w:val="1"/>
    <w:link w:val="131"/>
    <w:qFormat/>
    <w:uiPriority w:val="99"/>
    <w:pPr>
      <w:spacing w:before="100" w:beforeAutospacing="1" w:after="100" w:afterAutospacing="1" w:line="360" w:lineRule="auto"/>
      <w:ind w:firstLine="420"/>
    </w:pPr>
    <w:rPr>
      <w:rFonts w:ascii="宋体" w:hAnsi="Calibri" w:eastAsia="宋体" w:cs="Times New Roman"/>
      <w:kern w:val="0"/>
      <w:sz w:val="24"/>
      <w:szCs w:val="20"/>
    </w:rPr>
  </w:style>
  <w:style w:type="paragraph" w:styleId="24">
    <w:name w:val="Balloon Text"/>
    <w:basedOn w:val="1"/>
    <w:link w:val="81"/>
    <w:qFormat/>
    <w:uiPriority w:val="99"/>
    <w:rPr>
      <w:rFonts w:ascii="Calibri" w:hAnsi="Calibri" w:eastAsia="宋体" w:cs="Times New Roman"/>
      <w:sz w:val="18"/>
      <w:szCs w:val="18"/>
    </w:rPr>
  </w:style>
  <w:style w:type="paragraph" w:styleId="25">
    <w:name w:val="footer"/>
    <w:basedOn w:val="1"/>
    <w:link w:val="68"/>
    <w:qFormat/>
    <w:uiPriority w:val="99"/>
    <w:pPr>
      <w:tabs>
        <w:tab w:val="center" w:pos="4153"/>
        <w:tab w:val="right" w:pos="8306"/>
      </w:tabs>
      <w:snapToGrid w:val="0"/>
      <w:jc w:val="left"/>
    </w:pPr>
    <w:rPr>
      <w:rFonts w:ascii="Calibri" w:hAnsi="Calibri" w:eastAsia="宋体" w:cs="Times New Roman"/>
      <w:sz w:val="18"/>
      <w:szCs w:val="18"/>
    </w:rPr>
  </w:style>
  <w:style w:type="paragraph" w:styleId="26">
    <w:name w:val="header"/>
    <w:basedOn w:val="1"/>
    <w:link w:val="67"/>
    <w:qFormat/>
    <w:uiPriority w:val="0"/>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27">
    <w:name w:val="toc 1"/>
    <w:basedOn w:val="1"/>
    <w:next w:val="1"/>
    <w:qFormat/>
    <w:uiPriority w:val="39"/>
    <w:rPr>
      <w:rFonts w:ascii="Times New Roman" w:hAnsi="Times New Roman" w:eastAsia="宋体" w:cs="Times New Roman"/>
      <w:szCs w:val="24"/>
    </w:rPr>
  </w:style>
  <w:style w:type="paragraph" w:styleId="28">
    <w:name w:val="toc 4"/>
    <w:basedOn w:val="1"/>
    <w:next w:val="1"/>
    <w:qFormat/>
    <w:uiPriority w:val="0"/>
    <w:pPr>
      <w:ind w:left="1260" w:leftChars="600"/>
    </w:pPr>
    <w:rPr>
      <w:rFonts w:ascii="Times New Roman" w:hAnsi="Times New Roman" w:eastAsia="宋体" w:cs="Times New Roman"/>
      <w:szCs w:val="24"/>
    </w:rPr>
  </w:style>
  <w:style w:type="paragraph" w:styleId="29">
    <w:name w:val="footnote text"/>
    <w:basedOn w:val="1"/>
    <w:link w:val="175"/>
    <w:semiHidden/>
    <w:qFormat/>
    <w:uiPriority w:val="0"/>
    <w:pPr>
      <w:snapToGrid w:val="0"/>
      <w:jc w:val="left"/>
    </w:pPr>
    <w:rPr>
      <w:rFonts w:ascii="Times New Roman" w:hAnsi="Times New Roman" w:eastAsia="宋体" w:cs="Times New Roman"/>
      <w:sz w:val="18"/>
      <w:szCs w:val="18"/>
    </w:rPr>
  </w:style>
  <w:style w:type="paragraph" w:styleId="30">
    <w:name w:val="toc 6"/>
    <w:basedOn w:val="1"/>
    <w:next w:val="1"/>
    <w:qFormat/>
    <w:uiPriority w:val="0"/>
    <w:pPr>
      <w:ind w:left="2100" w:leftChars="1000"/>
    </w:pPr>
    <w:rPr>
      <w:rFonts w:ascii="Times New Roman" w:hAnsi="Times New Roman" w:eastAsia="宋体" w:cs="Times New Roman"/>
      <w:szCs w:val="24"/>
    </w:rPr>
  </w:style>
  <w:style w:type="paragraph" w:styleId="31">
    <w:name w:val="Body Text Indent 3"/>
    <w:basedOn w:val="1"/>
    <w:link w:val="133"/>
    <w:qFormat/>
    <w:uiPriority w:val="99"/>
    <w:pPr>
      <w:spacing w:line="440" w:lineRule="exact"/>
      <w:ind w:firstLine="412" w:firstLineChars="200"/>
    </w:pPr>
    <w:rPr>
      <w:rFonts w:ascii="宋体" w:hAnsi="Calibri" w:eastAsia="宋体" w:cs="Times New Roman"/>
      <w:kern w:val="0"/>
      <w:sz w:val="20"/>
      <w:szCs w:val="20"/>
    </w:rPr>
  </w:style>
  <w:style w:type="paragraph" w:styleId="32">
    <w:name w:val="table of figures"/>
    <w:basedOn w:val="1"/>
    <w:next w:val="1"/>
    <w:qFormat/>
    <w:uiPriority w:val="0"/>
    <w:pPr>
      <w:ind w:left="200" w:leftChars="200" w:hanging="200" w:hangingChars="200"/>
    </w:pPr>
    <w:rPr>
      <w:rFonts w:ascii="Times New Roman" w:hAnsi="Times New Roman" w:eastAsia="宋体" w:cs="Times New Roman"/>
      <w:szCs w:val="20"/>
    </w:rPr>
  </w:style>
  <w:style w:type="paragraph" w:styleId="33">
    <w:name w:val="toc 2"/>
    <w:basedOn w:val="1"/>
    <w:next w:val="1"/>
    <w:qFormat/>
    <w:uiPriority w:val="39"/>
    <w:pPr>
      <w:ind w:left="420" w:leftChars="200"/>
    </w:pPr>
    <w:rPr>
      <w:rFonts w:ascii="Times New Roman" w:hAnsi="Times New Roman" w:eastAsia="宋体" w:cs="Times New Roman"/>
      <w:szCs w:val="24"/>
    </w:rPr>
  </w:style>
  <w:style w:type="paragraph" w:styleId="34">
    <w:name w:val="toc 9"/>
    <w:basedOn w:val="1"/>
    <w:next w:val="1"/>
    <w:qFormat/>
    <w:uiPriority w:val="0"/>
    <w:pPr>
      <w:ind w:left="3360" w:leftChars="1600"/>
    </w:pPr>
    <w:rPr>
      <w:rFonts w:ascii="Times New Roman" w:hAnsi="Times New Roman" w:eastAsia="宋体" w:cs="Times New Roman"/>
      <w:szCs w:val="24"/>
    </w:rPr>
  </w:style>
  <w:style w:type="paragraph" w:styleId="35">
    <w:name w:val="Body Text 2"/>
    <w:basedOn w:val="1"/>
    <w:qFormat/>
    <w:uiPriority w:val="0"/>
    <w:pPr>
      <w:spacing w:after="120" w:line="480" w:lineRule="auto"/>
    </w:pPr>
    <w:rPr>
      <w:rFonts w:eastAsia="宋体"/>
      <w:kern w:val="0"/>
      <w:sz w:val="20"/>
      <w:szCs w:val="24"/>
    </w:rPr>
  </w:style>
  <w:style w:type="paragraph" w:styleId="36">
    <w:name w:val="List Continue 2"/>
    <w:basedOn w:val="1"/>
    <w:qFormat/>
    <w:uiPriority w:val="99"/>
    <w:pPr>
      <w:spacing w:after="120"/>
      <w:ind w:left="840" w:leftChars="400"/>
    </w:pPr>
    <w:rPr>
      <w:rFonts w:ascii="Times New Roman" w:hAnsi="Times New Roman" w:eastAsia="宋体" w:cs="Times New Roman"/>
      <w:szCs w:val="24"/>
    </w:rPr>
  </w:style>
  <w:style w:type="paragraph" w:styleId="37">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38">
    <w:name w:val="index 1"/>
    <w:basedOn w:val="1"/>
    <w:next w:val="1"/>
    <w:qFormat/>
    <w:uiPriority w:val="0"/>
    <w:pPr>
      <w:adjustRightInd w:val="0"/>
      <w:snapToGrid w:val="0"/>
      <w:spacing w:line="300" w:lineRule="exact"/>
    </w:pPr>
    <w:rPr>
      <w:rFonts w:ascii="宋体" w:hAnsi="宋体" w:eastAsia="宋体" w:cs="Times New Roman"/>
      <w:bCs/>
      <w:sz w:val="20"/>
      <w:szCs w:val="21"/>
    </w:rPr>
  </w:style>
  <w:style w:type="paragraph" w:styleId="39">
    <w:name w:val="Title"/>
    <w:basedOn w:val="1"/>
    <w:next w:val="1"/>
    <w:link w:val="161"/>
    <w:qFormat/>
    <w:uiPriority w:val="0"/>
    <w:pPr>
      <w:spacing w:before="240" w:after="60"/>
      <w:jc w:val="center"/>
      <w:outlineLvl w:val="0"/>
    </w:pPr>
    <w:rPr>
      <w:rFonts w:ascii="Cambria" w:hAnsi="Cambria" w:cs="Times New Roman"/>
      <w:b/>
      <w:bCs/>
      <w:sz w:val="32"/>
      <w:szCs w:val="32"/>
    </w:rPr>
  </w:style>
  <w:style w:type="paragraph" w:styleId="40">
    <w:name w:val="annotation subject"/>
    <w:basedOn w:val="14"/>
    <w:next w:val="14"/>
    <w:link w:val="168"/>
    <w:qFormat/>
    <w:uiPriority w:val="0"/>
    <w:rPr>
      <w:b/>
      <w:bCs/>
    </w:rPr>
  </w:style>
  <w:style w:type="paragraph" w:styleId="41">
    <w:name w:val="Body Text First Indent"/>
    <w:basedOn w:val="15"/>
    <w:link w:val="208"/>
    <w:unhideWhenUsed/>
    <w:qFormat/>
    <w:uiPriority w:val="99"/>
    <w:pPr>
      <w:ind w:firstLine="420" w:firstLineChars="100"/>
    </w:pPr>
    <w:rPr>
      <w:rFonts w:asciiTheme="minorHAnsi" w:hAnsiTheme="minorHAnsi" w:eastAsiaTheme="minorEastAsia" w:cstheme="minorBidi"/>
      <w:kern w:val="2"/>
      <w:sz w:val="21"/>
      <w:szCs w:val="22"/>
    </w:rPr>
  </w:style>
  <w:style w:type="table" w:styleId="43">
    <w:name w:val="Table Grid"/>
    <w:basedOn w:val="42"/>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5">
    <w:name w:val="Strong"/>
    <w:basedOn w:val="44"/>
    <w:qFormat/>
    <w:uiPriority w:val="22"/>
    <w:rPr>
      <w:rFonts w:cs="Times New Roman"/>
      <w:b/>
    </w:rPr>
  </w:style>
  <w:style w:type="character" w:styleId="46">
    <w:name w:val="page number"/>
    <w:basedOn w:val="44"/>
    <w:qFormat/>
    <w:uiPriority w:val="0"/>
    <w:rPr>
      <w:rFonts w:cs="Times New Roman"/>
    </w:rPr>
  </w:style>
  <w:style w:type="character" w:styleId="47">
    <w:name w:val="FollowedHyperlink"/>
    <w:basedOn w:val="44"/>
    <w:qFormat/>
    <w:uiPriority w:val="99"/>
    <w:rPr>
      <w:rFonts w:cs="Times New Roman"/>
      <w:color w:val="555555"/>
      <w:u w:val="none"/>
    </w:rPr>
  </w:style>
  <w:style w:type="character" w:styleId="48">
    <w:name w:val="Emphasis"/>
    <w:basedOn w:val="44"/>
    <w:qFormat/>
    <w:uiPriority w:val="0"/>
    <w:rPr>
      <w:rFonts w:cs="Times New Roman"/>
      <w:i/>
    </w:rPr>
  </w:style>
  <w:style w:type="character" w:styleId="49">
    <w:name w:val="HTML Definition"/>
    <w:basedOn w:val="44"/>
    <w:qFormat/>
    <w:uiPriority w:val="99"/>
    <w:rPr>
      <w:rFonts w:cs="Times New Roman"/>
    </w:rPr>
  </w:style>
  <w:style w:type="character" w:styleId="50">
    <w:name w:val="HTML Acronym"/>
    <w:basedOn w:val="44"/>
    <w:qFormat/>
    <w:uiPriority w:val="99"/>
    <w:rPr>
      <w:rFonts w:cs="Times New Roman"/>
    </w:rPr>
  </w:style>
  <w:style w:type="character" w:styleId="51">
    <w:name w:val="HTML Variable"/>
    <w:basedOn w:val="44"/>
    <w:qFormat/>
    <w:uiPriority w:val="99"/>
    <w:rPr>
      <w:rFonts w:cs="Times New Roman"/>
    </w:rPr>
  </w:style>
  <w:style w:type="character" w:styleId="52">
    <w:name w:val="Hyperlink"/>
    <w:basedOn w:val="44"/>
    <w:qFormat/>
    <w:uiPriority w:val="99"/>
    <w:rPr>
      <w:rFonts w:cs="Times New Roman"/>
      <w:color w:val="555555"/>
      <w:u w:val="none"/>
    </w:rPr>
  </w:style>
  <w:style w:type="character" w:styleId="53">
    <w:name w:val="HTML Code"/>
    <w:basedOn w:val="44"/>
    <w:qFormat/>
    <w:uiPriority w:val="99"/>
    <w:rPr>
      <w:rFonts w:ascii="monospace" w:hAnsi="monospace" w:cs="Times New Roman"/>
      <w:sz w:val="24"/>
    </w:rPr>
  </w:style>
  <w:style w:type="character" w:styleId="54">
    <w:name w:val="annotation reference"/>
    <w:qFormat/>
    <w:uiPriority w:val="0"/>
    <w:rPr>
      <w:sz w:val="21"/>
      <w:szCs w:val="21"/>
    </w:rPr>
  </w:style>
  <w:style w:type="character" w:styleId="55">
    <w:name w:val="HTML Cite"/>
    <w:basedOn w:val="44"/>
    <w:qFormat/>
    <w:uiPriority w:val="99"/>
    <w:rPr>
      <w:rFonts w:cs="Times New Roman"/>
    </w:rPr>
  </w:style>
  <w:style w:type="character" w:styleId="56">
    <w:name w:val="footnote reference"/>
    <w:semiHidden/>
    <w:qFormat/>
    <w:uiPriority w:val="0"/>
    <w:rPr>
      <w:vertAlign w:val="superscript"/>
    </w:rPr>
  </w:style>
  <w:style w:type="character" w:styleId="57">
    <w:name w:val="HTML Keyboard"/>
    <w:basedOn w:val="44"/>
    <w:qFormat/>
    <w:uiPriority w:val="99"/>
    <w:rPr>
      <w:rFonts w:ascii="monospace" w:hAnsi="monospace" w:cs="Times New Roman"/>
      <w:sz w:val="24"/>
    </w:rPr>
  </w:style>
  <w:style w:type="character" w:styleId="58">
    <w:name w:val="HTML Sample"/>
    <w:basedOn w:val="44"/>
    <w:qFormat/>
    <w:uiPriority w:val="99"/>
    <w:rPr>
      <w:rFonts w:ascii="monospace" w:hAnsi="monospace" w:cs="Times New Roman"/>
      <w:sz w:val="24"/>
    </w:rPr>
  </w:style>
  <w:style w:type="paragraph" w:customStyle="1" w:styleId="59">
    <w:name w:val="H3-HXDI"/>
    <w:basedOn w:val="60"/>
    <w:next w:val="62"/>
    <w:qFormat/>
    <w:uiPriority w:val="0"/>
    <w:pPr>
      <w:spacing w:before="0" w:after="0"/>
      <w:outlineLvl w:val="2"/>
    </w:pPr>
  </w:style>
  <w:style w:type="paragraph" w:customStyle="1" w:styleId="60">
    <w:name w:val="H2-HXDI"/>
    <w:basedOn w:val="61"/>
    <w:next w:val="62"/>
    <w:qFormat/>
    <w:uiPriority w:val="0"/>
    <w:pPr>
      <w:pageBreakBefore w:val="0"/>
      <w:outlineLvl w:val="1"/>
    </w:pPr>
    <w:rPr>
      <w:sz w:val="24"/>
    </w:rPr>
  </w:style>
  <w:style w:type="paragraph" w:customStyle="1" w:styleId="61">
    <w:name w:val="H1-HXDI"/>
    <w:basedOn w:val="62"/>
    <w:next w:val="62"/>
    <w:qFormat/>
    <w:uiPriority w:val="0"/>
    <w:pPr>
      <w:pageBreakBefore/>
      <w:spacing w:before="120" w:after="120"/>
      <w:outlineLvl w:val="0"/>
    </w:pPr>
    <w:rPr>
      <w:rFonts w:eastAsia="黑体"/>
      <w:sz w:val="28"/>
    </w:rPr>
  </w:style>
  <w:style w:type="paragraph" w:customStyle="1" w:styleId="62">
    <w:name w:val="正文-HXDI"/>
    <w:basedOn w:val="1"/>
    <w:qFormat/>
    <w:uiPriority w:val="0"/>
    <w:pPr>
      <w:adjustRightInd w:val="0"/>
      <w:textAlignment w:val="baseline"/>
    </w:pPr>
    <w:rPr>
      <w:kern w:val="0"/>
    </w:rPr>
  </w:style>
  <w:style w:type="paragraph" w:customStyle="1" w:styleId="63">
    <w:name w:val="方案正文"/>
    <w:basedOn w:val="15"/>
    <w:qFormat/>
    <w:uiPriority w:val="0"/>
    <w:pPr>
      <w:spacing w:after="0"/>
      <w:ind w:firstLine="560" w:firstLineChars="200"/>
      <w:jc w:val="left"/>
    </w:pPr>
    <w:rPr>
      <w:rFonts w:ascii="Arial" w:hAnsi="Arial" w:eastAsia="仿宋" w:cs="宋体"/>
      <w:sz w:val="28"/>
      <w:szCs w:val="21"/>
    </w:rPr>
  </w:style>
  <w:style w:type="character" w:customStyle="1" w:styleId="64">
    <w:name w:val="标题 1 Char"/>
    <w:basedOn w:val="44"/>
    <w:link w:val="3"/>
    <w:qFormat/>
    <w:uiPriority w:val="9"/>
    <w:rPr>
      <w:rFonts w:ascii="???" w:hAnsi="???" w:eastAsia="宋体" w:cs="Arial"/>
      <w:b/>
      <w:bCs/>
      <w:color w:val="020000"/>
      <w:kern w:val="36"/>
      <w:sz w:val="44"/>
      <w:szCs w:val="44"/>
    </w:rPr>
  </w:style>
  <w:style w:type="character" w:customStyle="1" w:styleId="65">
    <w:name w:val="标题 3 Char"/>
    <w:basedOn w:val="44"/>
    <w:link w:val="5"/>
    <w:qFormat/>
    <w:uiPriority w:val="0"/>
    <w:rPr>
      <w:rFonts w:ascii="??" w:hAnsi="??" w:eastAsia="宋体" w:cs="Arial"/>
      <w:b/>
      <w:bCs/>
      <w:color w:val="000000"/>
      <w:kern w:val="0"/>
      <w:sz w:val="32"/>
      <w:szCs w:val="32"/>
    </w:rPr>
  </w:style>
  <w:style w:type="character" w:customStyle="1" w:styleId="66">
    <w:name w:val="标题 2 Char"/>
    <w:basedOn w:val="44"/>
    <w:link w:val="4"/>
    <w:qFormat/>
    <w:uiPriority w:val="99"/>
    <w:rPr>
      <w:rFonts w:ascii="???" w:hAnsi="???" w:eastAsia="宋体" w:cs="Arial"/>
      <w:b/>
      <w:bCs/>
      <w:color w:val="020000"/>
      <w:kern w:val="0"/>
      <w:sz w:val="32"/>
      <w:szCs w:val="32"/>
    </w:rPr>
  </w:style>
  <w:style w:type="character" w:customStyle="1" w:styleId="67">
    <w:name w:val="页眉 Char"/>
    <w:basedOn w:val="44"/>
    <w:link w:val="26"/>
    <w:qFormat/>
    <w:uiPriority w:val="99"/>
    <w:rPr>
      <w:rFonts w:ascii="Calibri" w:hAnsi="Calibri" w:eastAsia="宋体" w:cs="Times New Roman"/>
      <w:sz w:val="18"/>
      <w:szCs w:val="18"/>
    </w:rPr>
  </w:style>
  <w:style w:type="character" w:customStyle="1" w:styleId="68">
    <w:name w:val="页脚 Char"/>
    <w:basedOn w:val="44"/>
    <w:link w:val="25"/>
    <w:qFormat/>
    <w:uiPriority w:val="99"/>
    <w:rPr>
      <w:rFonts w:ascii="Calibri" w:hAnsi="Calibri" w:eastAsia="宋体" w:cs="Times New Roman"/>
      <w:sz w:val="18"/>
      <w:szCs w:val="18"/>
    </w:rPr>
  </w:style>
  <w:style w:type="character" w:customStyle="1" w:styleId="69">
    <w:name w:val="正文文本缩进 Char"/>
    <w:basedOn w:val="44"/>
    <w:link w:val="16"/>
    <w:qFormat/>
    <w:uiPriority w:val="0"/>
    <w:rPr>
      <w:rFonts w:ascii="??" w:hAnsi="??" w:eastAsia="宋体" w:cs="Arial"/>
      <w:kern w:val="0"/>
      <w:sz w:val="24"/>
      <w:szCs w:val="24"/>
    </w:rPr>
  </w:style>
  <w:style w:type="paragraph" w:customStyle="1" w:styleId="70">
    <w:name w:val="列出段落1"/>
    <w:basedOn w:val="1"/>
    <w:qFormat/>
    <w:uiPriority w:val="34"/>
    <w:pPr>
      <w:ind w:firstLine="420" w:firstLineChars="200"/>
    </w:pPr>
    <w:rPr>
      <w:rFonts w:ascii="Calibri" w:hAnsi="Calibri" w:eastAsia="宋体" w:cs="Times New Roman"/>
    </w:rPr>
  </w:style>
  <w:style w:type="character" w:customStyle="1" w:styleId="71">
    <w:name w:val="标题 2 Char Char"/>
    <w:qFormat/>
    <w:uiPriority w:val="99"/>
    <w:rPr>
      <w:rFonts w:ascii="Arial" w:hAnsi="Arial" w:eastAsia="黑体"/>
      <w:b/>
      <w:kern w:val="2"/>
      <w:sz w:val="32"/>
      <w:lang w:val="en-US" w:eastAsia="zh-CN"/>
    </w:rPr>
  </w:style>
  <w:style w:type="character" w:customStyle="1" w:styleId="72">
    <w:name w:val="2charchar"/>
    <w:basedOn w:val="44"/>
    <w:qFormat/>
    <w:uiPriority w:val="99"/>
    <w:rPr>
      <w:rFonts w:cs="Times New Roman"/>
    </w:rPr>
  </w:style>
  <w:style w:type="paragraph" w:customStyle="1" w:styleId="73">
    <w:name w:val="表格文字"/>
    <w:basedOn w:val="1"/>
    <w:next w:val="15"/>
    <w:qFormat/>
    <w:uiPriority w:val="99"/>
    <w:pPr>
      <w:adjustRightInd w:val="0"/>
      <w:spacing w:line="420" w:lineRule="atLeast"/>
      <w:jc w:val="left"/>
    </w:pPr>
    <w:rPr>
      <w:rFonts w:ascii="Times New Roman" w:hAnsi="Times New Roman" w:eastAsia="宋体" w:cs="Times New Roman"/>
      <w:kern w:val="0"/>
      <w:szCs w:val="20"/>
    </w:rPr>
  </w:style>
  <w:style w:type="paragraph" w:customStyle="1" w:styleId="74">
    <w:name w:val="z-窗体顶端1"/>
    <w:basedOn w:val="1"/>
    <w:next w:val="1"/>
    <w:link w:val="75"/>
    <w:semiHidden/>
    <w:qFormat/>
    <w:uiPriority w:val="99"/>
    <w:pPr>
      <w:widowControl/>
      <w:pBdr>
        <w:bottom w:val="single" w:color="auto" w:sz="6" w:space="1"/>
      </w:pBdr>
      <w:jc w:val="center"/>
    </w:pPr>
    <w:rPr>
      <w:rFonts w:ascii="Arial" w:hAnsi="Arial" w:eastAsia="宋体" w:cs="Arial"/>
      <w:vanish/>
      <w:kern w:val="0"/>
      <w:sz w:val="16"/>
      <w:szCs w:val="16"/>
    </w:rPr>
  </w:style>
  <w:style w:type="character" w:customStyle="1" w:styleId="75">
    <w:name w:val="z-窗体顶端 Char"/>
    <w:basedOn w:val="44"/>
    <w:link w:val="74"/>
    <w:semiHidden/>
    <w:qFormat/>
    <w:uiPriority w:val="99"/>
    <w:rPr>
      <w:rFonts w:ascii="Arial" w:hAnsi="Arial" w:eastAsia="宋体" w:cs="Arial"/>
      <w:vanish/>
      <w:kern w:val="0"/>
      <w:sz w:val="16"/>
      <w:szCs w:val="16"/>
    </w:rPr>
  </w:style>
  <w:style w:type="paragraph" w:customStyle="1" w:styleId="76">
    <w:name w:val="z-窗体底端1"/>
    <w:basedOn w:val="1"/>
    <w:next w:val="1"/>
    <w:link w:val="77"/>
    <w:semiHidden/>
    <w:qFormat/>
    <w:uiPriority w:val="99"/>
    <w:pPr>
      <w:widowControl/>
      <w:pBdr>
        <w:top w:val="single" w:color="auto" w:sz="6" w:space="1"/>
      </w:pBdr>
      <w:jc w:val="center"/>
    </w:pPr>
    <w:rPr>
      <w:rFonts w:ascii="Arial" w:hAnsi="Arial" w:eastAsia="宋体" w:cs="Arial"/>
      <w:vanish/>
      <w:kern w:val="0"/>
      <w:sz w:val="16"/>
      <w:szCs w:val="16"/>
    </w:rPr>
  </w:style>
  <w:style w:type="character" w:customStyle="1" w:styleId="77">
    <w:name w:val="z-窗体底端 Char"/>
    <w:basedOn w:val="44"/>
    <w:link w:val="76"/>
    <w:semiHidden/>
    <w:qFormat/>
    <w:uiPriority w:val="99"/>
    <w:rPr>
      <w:rFonts w:ascii="Arial" w:hAnsi="Arial" w:eastAsia="宋体" w:cs="Arial"/>
      <w:vanish/>
      <w:kern w:val="0"/>
      <w:sz w:val="16"/>
      <w:szCs w:val="16"/>
    </w:rPr>
  </w:style>
  <w:style w:type="paragraph" w:customStyle="1" w:styleId="78">
    <w:name w:val="hu正文"/>
    <w:basedOn w:val="1"/>
    <w:link w:val="79"/>
    <w:qFormat/>
    <w:uiPriority w:val="99"/>
    <w:pPr>
      <w:spacing w:before="156" w:after="156" w:line="300" w:lineRule="auto"/>
      <w:ind w:firstLine="480" w:firstLineChars="200"/>
    </w:pPr>
    <w:rPr>
      <w:rFonts w:ascii="Times New Roman" w:hAnsi="Times New Roman" w:eastAsia="宋体" w:cs="Times New Roman"/>
      <w:kern w:val="0"/>
      <w:sz w:val="24"/>
      <w:szCs w:val="20"/>
    </w:rPr>
  </w:style>
  <w:style w:type="character" w:customStyle="1" w:styleId="79">
    <w:name w:val="hu正文 Char"/>
    <w:link w:val="78"/>
    <w:qFormat/>
    <w:locked/>
    <w:uiPriority w:val="99"/>
    <w:rPr>
      <w:rFonts w:ascii="Times New Roman" w:hAnsi="Times New Roman" w:eastAsia="宋体" w:cs="Times New Roman"/>
      <w:kern w:val="0"/>
      <w:sz w:val="24"/>
      <w:szCs w:val="20"/>
    </w:rPr>
  </w:style>
  <w:style w:type="paragraph" w:customStyle="1" w:styleId="80">
    <w:name w:val="无间隔1"/>
    <w:qFormat/>
    <w:uiPriority w:val="99"/>
    <w:pPr>
      <w:widowControl w:val="0"/>
      <w:jc w:val="both"/>
    </w:pPr>
    <w:rPr>
      <w:rFonts w:ascii="Calibri" w:hAnsi="Calibri" w:eastAsia="宋体" w:cs="Times New Roman"/>
      <w:kern w:val="2"/>
      <w:sz w:val="21"/>
      <w:szCs w:val="22"/>
      <w:lang w:val="en-US" w:eastAsia="zh-CN" w:bidi="ar-SA"/>
    </w:rPr>
  </w:style>
  <w:style w:type="character" w:customStyle="1" w:styleId="81">
    <w:name w:val="批注框文本 Char"/>
    <w:basedOn w:val="44"/>
    <w:link w:val="24"/>
    <w:qFormat/>
    <w:uiPriority w:val="99"/>
    <w:rPr>
      <w:rFonts w:ascii="Calibri" w:hAnsi="Calibri" w:eastAsia="宋体" w:cs="Times New Roman"/>
      <w:sz w:val="18"/>
      <w:szCs w:val="18"/>
    </w:rPr>
  </w:style>
  <w:style w:type="character" w:customStyle="1" w:styleId="82">
    <w:name w:val="ui-bz-bg-hover1"/>
    <w:basedOn w:val="44"/>
    <w:qFormat/>
    <w:uiPriority w:val="99"/>
    <w:rPr>
      <w:rFonts w:cs="Times New Roman"/>
    </w:rPr>
  </w:style>
  <w:style w:type="character" w:customStyle="1" w:styleId="83">
    <w:name w:val="批注框文本 Char1"/>
    <w:qFormat/>
    <w:uiPriority w:val="99"/>
    <w:rPr>
      <w:rFonts w:ascii="Times New Roman" w:hAnsi="Times New Roman" w:eastAsia="宋体"/>
      <w:sz w:val="18"/>
    </w:rPr>
  </w:style>
  <w:style w:type="character" w:customStyle="1" w:styleId="84">
    <w:name w:val="bds_nopic"/>
    <w:basedOn w:val="44"/>
    <w:qFormat/>
    <w:uiPriority w:val="99"/>
    <w:rPr>
      <w:rFonts w:cs="Times New Roman"/>
    </w:rPr>
  </w:style>
  <w:style w:type="character" w:customStyle="1" w:styleId="85">
    <w:name w:val="tip12"/>
    <w:qFormat/>
    <w:uiPriority w:val="99"/>
    <w:rPr>
      <w:vanish/>
      <w:color w:val="FF0000"/>
      <w:sz w:val="18"/>
    </w:rPr>
  </w:style>
  <w:style w:type="character" w:customStyle="1" w:styleId="86">
    <w:name w:val="Body Text Indent 3 Char"/>
    <w:qFormat/>
    <w:locked/>
    <w:uiPriority w:val="99"/>
    <w:rPr>
      <w:rFonts w:ascii="宋体" w:eastAsia="宋体"/>
    </w:rPr>
  </w:style>
  <w:style w:type="character" w:customStyle="1" w:styleId="87">
    <w:name w:val="HTML Markup"/>
    <w:qFormat/>
    <w:uiPriority w:val="99"/>
    <w:rPr>
      <w:vanish/>
      <w:color w:val="FF0000"/>
    </w:rPr>
  </w:style>
  <w:style w:type="character" w:customStyle="1" w:styleId="88">
    <w:name w:val="tip7"/>
    <w:qFormat/>
    <w:uiPriority w:val="99"/>
    <w:rPr>
      <w:vanish/>
      <w:color w:val="FF0000"/>
      <w:sz w:val="18"/>
    </w:rPr>
  </w:style>
  <w:style w:type="character" w:customStyle="1" w:styleId="89">
    <w:name w:val="f-star"/>
    <w:qFormat/>
    <w:uiPriority w:val="99"/>
    <w:rPr>
      <w:color w:val="999999"/>
      <w:sz w:val="21"/>
    </w:rPr>
  </w:style>
  <w:style w:type="character" w:customStyle="1" w:styleId="90">
    <w:name w:val="Document Map Char1"/>
    <w:qFormat/>
    <w:uiPriority w:val="99"/>
    <w:rPr>
      <w:rFonts w:ascii="Times New Roman" w:hAnsi="Times New Roman"/>
      <w:kern w:val="2"/>
      <w:sz w:val="2"/>
    </w:rPr>
  </w:style>
  <w:style w:type="character" w:customStyle="1" w:styleId="91">
    <w:name w:val="my-class2"/>
    <w:basedOn w:val="44"/>
    <w:qFormat/>
    <w:uiPriority w:val="99"/>
    <w:rPr>
      <w:rFonts w:cs="Times New Roman"/>
    </w:rPr>
  </w:style>
  <w:style w:type="character" w:customStyle="1" w:styleId="92">
    <w:name w:val="no52"/>
    <w:basedOn w:val="44"/>
    <w:qFormat/>
    <w:uiPriority w:val="99"/>
    <w:rPr>
      <w:rFonts w:cs="Times New Roman"/>
    </w:rPr>
  </w:style>
  <w:style w:type="character" w:customStyle="1" w:styleId="93">
    <w:name w:val="no4"/>
    <w:basedOn w:val="44"/>
    <w:qFormat/>
    <w:uiPriority w:val="99"/>
    <w:rPr>
      <w:rFonts w:cs="Times New Roman"/>
    </w:rPr>
  </w:style>
  <w:style w:type="character" w:customStyle="1" w:styleId="94">
    <w:name w:val="my-notice"/>
    <w:basedOn w:val="44"/>
    <w:qFormat/>
    <w:uiPriority w:val="99"/>
    <w:rPr>
      <w:rFonts w:cs="Times New Roman"/>
    </w:rPr>
  </w:style>
  <w:style w:type="character" w:customStyle="1" w:styleId="95">
    <w:name w:val="ico-jiang"/>
    <w:basedOn w:val="44"/>
    <w:qFormat/>
    <w:uiPriority w:val="99"/>
    <w:rPr>
      <w:rFonts w:cs="Times New Roman"/>
    </w:rPr>
  </w:style>
  <w:style w:type="character" w:customStyle="1" w:styleId="96">
    <w:name w:val="ico-jiang2"/>
    <w:basedOn w:val="44"/>
    <w:qFormat/>
    <w:uiPriority w:val="99"/>
    <w:rPr>
      <w:rFonts w:cs="Times New Roman"/>
    </w:rPr>
  </w:style>
  <w:style w:type="character" w:customStyle="1" w:styleId="97">
    <w:name w:val="bds_more1"/>
    <w:qFormat/>
    <w:uiPriority w:val="99"/>
    <w:rPr>
      <w:rFonts w:ascii="宋体" w:hAnsi="宋体" w:eastAsia="宋体"/>
    </w:rPr>
  </w:style>
  <w:style w:type="character" w:customStyle="1" w:styleId="98">
    <w:name w:val="Body Text Indent 2 Char"/>
    <w:qFormat/>
    <w:locked/>
    <w:uiPriority w:val="99"/>
    <w:rPr>
      <w:rFonts w:ascii="宋体" w:eastAsia="宋体"/>
      <w:sz w:val="24"/>
    </w:rPr>
  </w:style>
  <w:style w:type="character" w:customStyle="1" w:styleId="99">
    <w:name w:val="org_name"/>
    <w:basedOn w:val="44"/>
    <w:qFormat/>
    <w:uiPriority w:val="99"/>
    <w:rPr>
      <w:rFonts w:cs="Times New Roman"/>
    </w:rPr>
  </w:style>
  <w:style w:type="character" w:customStyle="1" w:styleId="100">
    <w:name w:val="org_name2"/>
    <w:basedOn w:val="44"/>
    <w:qFormat/>
    <w:uiPriority w:val="99"/>
    <w:rPr>
      <w:rFonts w:cs="Times New Roman"/>
    </w:rPr>
  </w:style>
  <w:style w:type="character" w:customStyle="1" w:styleId="101">
    <w:name w:val="tip10"/>
    <w:qFormat/>
    <w:uiPriority w:val="99"/>
    <w:rPr>
      <w:vanish/>
      <w:color w:val="FF0000"/>
      <w:sz w:val="18"/>
    </w:rPr>
  </w:style>
  <w:style w:type="character" w:customStyle="1" w:styleId="102">
    <w:name w:val="orange"/>
    <w:qFormat/>
    <w:uiPriority w:val="99"/>
    <w:rPr>
      <w:color w:val="3FB58F"/>
    </w:rPr>
  </w:style>
  <w:style w:type="character" w:customStyle="1" w:styleId="103">
    <w:name w:val="bds_more"/>
    <w:basedOn w:val="44"/>
    <w:qFormat/>
    <w:uiPriority w:val="99"/>
    <w:rPr>
      <w:rFonts w:cs="Times New Roman"/>
    </w:rPr>
  </w:style>
  <w:style w:type="character" w:customStyle="1" w:styleId="104">
    <w:name w:val="t-tag"/>
    <w:qFormat/>
    <w:uiPriority w:val="99"/>
    <w:rPr>
      <w:color w:val="FFFFFF"/>
      <w:sz w:val="18"/>
      <w:shd w:val="clear" w:color="auto" w:fill="FE8833"/>
    </w:rPr>
  </w:style>
  <w:style w:type="character" w:customStyle="1" w:styleId="105">
    <w:name w:val="top-icon"/>
    <w:basedOn w:val="44"/>
    <w:qFormat/>
    <w:uiPriority w:val="99"/>
    <w:rPr>
      <w:rFonts w:cs="Times New Roman"/>
    </w:rPr>
  </w:style>
  <w:style w:type="character" w:customStyle="1" w:styleId="106">
    <w:name w:val="Body Text Char"/>
    <w:qFormat/>
    <w:locked/>
    <w:uiPriority w:val="99"/>
    <w:rPr>
      <w:sz w:val="24"/>
    </w:rPr>
  </w:style>
  <w:style w:type="character" w:customStyle="1" w:styleId="107">
    <w:name w:val="no72"/>
    <w:basedOn w:val="44"/>
    <w:qFormat/>
    <w:uiPriority w:val="99"/>
    <w:rPr>
      <w:rFonts w:cs="Times New Roman"/>
    </w:rPr>
  </w:style>
  <w:style w:type="character" w:customStyle="1" w:styleId="108">
    <w:name w:val="bds_nopic2"/>
    <w:basedOn w:val="44"/>
    <w:qFormat/>
    <w:uiPriority w:val="99"/>
    <w:rPr>
      <w:rFonts w:cs="Times New Roman"/>
    </w:rPr>
  </w:style>
  <w:style w:type="character" w:customStyle="1" w:styleId="109">
    <w:name w:val="Document Map Char"/>
    <w:qFormat/>
    <w:uiPriority w:val="99"/>
    <w:rPr>
      <w:rFonts w:ascii="宋体"/>
      <w:sz w:val="18"/>
    </w:rPr>
  </w:style>
  <w:style w:type="character" w:customStyle="1" w:styleId="110">
    <w:name w:val="no6"/>
    <w:basedOn w:val="44"/>
    <w:qFormat/>
    <w:uiPriority w:val="99"/>
    <w:rPr>
      <w:rFonts w:cs="Times New Roman"/>
    </w:rPr>
  </w:style>
  <w:style w:type="character" w:customStyle="1" w:styleId="111">
    <w:name w:val="tip"/>
    <w:qFormat/>
    <w:uiPriority w:val="99"/>
    <w:rPr>
      <w:vanish/>
      <w:color w:val="FF0000"/>
      <w:sz w:val="18"/>
    </w:rPr>
  </w:style>
  <w:style w:type="character" w:customStyle="1" w:styleId="112">
    <w:name w:val="apple-converted-space"/>
    <w:basedOn w:val="44"/>
    <w:qFormat/>
    <w:uiPriority w:val="99"/>
    <w:rPr>
      <w:rFonts w:cs="Times New Roman"/>
    </w:rPr>
  </w:style>
  <w:style w:type="character" w:customStyle="1" w:styleId="113">
    <w:name w:val="bds_more2"/>
    <w:basedOn w:val="44"/>
    <w:qFormat/>
    <w:uiPriority w:val="99"/>
    <w:rPr>
      <w:rFonts w:cs="Times New Roman"/>
    </w:rPr>
  </w:style>
  <w:style w:type="character" w:customStyle="1" w:styleId="114">
    <w:name w:val="my-class"/>
    <w:basedOn w:val="44"/>
    <w:qFormat/>
    <w:uiPriority w:val="99"/>
    <w:rPr>
      <w:rFonts w:cs="Times New Roman"/>
    </w:rPr>
  </w:style>
  <w:style w:type="character" w:customStyle="1" w:styleId="115">
    <w:name w:val="ui-bz-bg-hover"/>
    <w:qFormat/>
    <w:uiPriority w:val="99"/>
    <w:rPr>
      <w:shd w:val="clear" w:color="auto" w:fill="000000"/>
    </w:rPr>
  </w:style>
  <w:style w:type="character" w:customStyle="1" w:styleId="116">
    <w:name w:val="no7"/>
    <w:basedOn w:val="44"/>
    <w:qFormat/>
    <w:uiPriority w:val="99"/>
    <w:rPr>
      <w:rFonts w:cs="Times New Roman"/>
    </w:rPr>
  </w:style>
  <w:style w:type="character" w:customStyle="1" w:styleId="117">
    <w:name w:val="正文缩进 Char"/>
    <w:link w:val="7"/>
    <w:qFormat/>
    <w:locked/>
    <w:uiPriority w:val="0"/>
    <w:rPr>
      <w:rFonts w:ascii="Times New Roman" w:hAnsi="Times New Roman" w:eastAsia="宋体" w:cs="Times New Roman"/>
      <w:kern w:val="0"/>
      <w:sz w:val="24"/>
      <w:szCs w:val="20"/>
    </w:rPr>
  </w:style>
  <w:style w:type="character" w:customStyle="1" w:styleId="118">
    <w:name w:val="ico-jiang1"/>
    <w:basedOn w:val="44"/>
    <w:qFormat/>
    <w:uiPriority w:val="99"/>
    <w:rPr>
      <w:rFonts w:cs="Times New Roman"/>
    </w:rPr>
  </w:style>
  <w:style w:type="character" w:customStyle="1" w:styleId="119">
    <w:name w:val="no62"/>
    <w:basedOn w:val="44"/>
    <w:qFormat/>
    <w:uiPriority w:val="99"/>
    <w:rPr>
      <w:rFonts w:cs="Times New Roman"/>
    </w:rPr>
  </w:style>
  <w:style w:type="character" w:customStyle="1" w:styleId="120">
    <w:name w:val="orange5"/>
    <w:qFormat/>
    <w:uiPriority w:val="99"/>
    <w:rPr>
      <w:color w:val="3FB58F"/>
    </w:rPr>
  </w:style>
  <w:style w:type="character" w:customStyle="1" w:styleId="121">
    <w:name w:val="bds_more4"/>
    <w:basedOn w:val="44"/>
    <w:qFormat/>
    <w:uiPriority w:val="99"/>
    <w:rPr>
      <w:rFonts w:cs="Times New Roman"/>
    </w:rPr>
  </w:style>
  <w:style w:type="character" w:customStyle="1" w:styleId="122">
    <w:name w:val="no5"/>
    <w:basedOn w:val="44"/>
    <w:qFormat/>
    <w:uiPriority w:val="99"/>
    <w:rPr>
      <w:rFonts w:cs="Times New Roman"/>
    </w:rPr>
  </w:style>
  <w:style w:type="character" w:customStyle="1" w:styleId="123">
    <w:name w:val="bds_more3"/>
    <w:basedOn w:val="44"/>
    <w:qFormat/>
    <w:uiPriority w:val="99"/>
    <w:rPr>
      <w:rFonts w:cs="Times New Roman"/>
    </w:rPr>
  </w:style>
  <w:style w:type="character" w:customStyle="1" w:styleId="124">
    <w:name w:val="no42"/>
    <w:basedOn w:val="44"/>
    <w:qFormat/>
    <w:uiPriority w:val="99"/>
    <w:rPr>
      <w:rFonts w:cs="Times New Roman"/>
    </w:rPr>
  </w:style>
  <w:style w:type="character" w:customStyle="1" w:styleId="125">
    <w:name w:val="bds_nopic1"/>
    <w:basedOn w:val="44"/>
    <w:qFormat/>
    <w:uiPriority w:val="99"/>
    <w:rPr>
      <w:rFonts w:cs="Times New Roman"/>
    </w:rPr>
  </w:style>
  <w:style w:type="character" w:customStyle="1" w:styleId="126">
    <w:name w:val="my-notice1"/>
    <w:basedOn w:val="44"/>
    <w:qFormat/>
    <w:uiPriority w:val="99"/>
    <w:rPr>
      <w:rFonts w:cs="Times New Roman"/>
    </w:rPr>
  </w:style>
  <w:style w:type="character" w:customStyle="1" w:styleId="127">
    <w:name w:val="orange6"/>
    <w:qFormat/>
    <w:uiPriority w:val="99"/>
    <w:rPr>
      <w:color w:val="3FB58F"/>
    </w:rPr>
  </w:style>
  <w:style w:type="character" w:customStyle="1" w:styleId="128">
    <w:name w:val="Document Map Char2"/>
    <w:qFormat/>
    <w:locked/>
    <w:uiPriority w:val="99"/>
    <w:rPr>
      <w:rFonts w:ascii="宋体"/>
      <w:sz w:val="18"/>
    </w:rPr>
  </w:style>
  <w:style w:type="character" w:customStyle="1" w:styleId="129">
    <w:name w:val="ico-jiang3"/>
    <w:basedOn w:val="44"/>
    <w:qFormat/>
    <w:uiPriority w:val="99"/>
    <w:rPr>
      <w:rFonts w:cs="Times New Roman"/>
    </w:rPr>
  </w:style>
  <w:style w:type="character" w:customStyle="1" w:styleId="130">
    <w:name w:val="tip13"/>
    <w:qFormat/>
    <w:uiPriority w:val="99"/>
    <w:rPr>
      <w:vanish/>
      <w:color w:val="FF0000"/>
      <w:sz w:val="18"/>
    </w:rPr>
  </w:style>
  <w:style w:type="character" w:customStyle="1" w:styleId="131">
    <w:name w:val="正文文本缩进 2 Char"/>
    <w:basedOn w:val="44"/>
    <w:link w:val="23"/>
    <w:qFormat/>
    <w:uiPriority w:val="99"/>
    <w:rPr>
      <w:rFonts w:ascii="宋体" w:hAnsi="Calibri" w:eastAsia="宋体" w:cs="Times New Roman"/>
      <w:kern w:val="0"/>
      <w:sz w:val="24"/>
      <w:szCs w:val="20"/>
    </w:rPr>
  </w:style>
  <w:style w:type="character" w:customStyle="1" w:styleId="132">
    <w:name w:val="Body Text Indent 2 Char1"/>
    <w:basedOn w:val="44"/>
    <w:semiHidden/>
    <w:qFormat/>
    <w:locked/>
    <w:uiPriority w:val="99"/>
    <w:rPr>
      <w:rFonts w:cs="Times New Roman"/>
    </w:rPr>
  </w:style>
  <w:style w:type="character" w:customStyle="1" w:styleId="133">
    <w:name w:val="正文文本缩进 3 Char"/>
    <w:basedOn w:val="44"/>
    <w:link w:val="31"/>
    <w:qFormat/>
    <w:uiPriority w:val="99"/>
    <w:rPr>
      <w:rFonts w:ascii="宋体" w:hAnsi="Calibri" w:eastAsia="宋体" w:cs="Times New Roman"/>
      <w:kern w:val="0"/>
      <w:sz w:val="20"/>
      <w:szCs w:val="20"/>
    </w:rPr>
  </w:style>
  <w:style w:type="character" w:customStyle="1" w:styleId="134">
    <w:name w:val="Body Text Indent 3 Char1"/>
    <w:basedOn w:val="44"/>
    <w:semiHidden/>
    <w:qFormat/>
    <w:locked/>
    <w:uiPriority w:val="99"/>
    <w:rPr>
      <w:rFonts w:cs="Times New Roman"/>
      <w:sz w:val="16"/>
      <w:szCs w:val="16"/>
    </w:rPr>
  </w:style>
  <w:style w:type="character" w:customStyle="1" w:styleId="135">
    <w:name w:val="文档结构图 Char"/>
    <w:basedOn w:val="44"/>
    <w:link w:val="12"/>
    <w:qFormat/>
    <w:uiPriority w:val="99"/>
    <w:rPr>
      <w:rFonts w:ascii="宋体" w:hAnsi="Calibri" w:eastAsia="宋体" w:cs="Times New Roman"/>
      <w:kern w:val="0"/>
      <w:sz w:val="18"/>
      <w:szCs w:val="20"/>
    </w:rPr>
  </w:style>
  <w:style w:type="character" w:customStyle="1" w:styleId="136">
    <w:name w:val="Document Map Char3"/>
    <w:basedOn w:val="44"/>
    <w:semiHidden/>
    <w:qFormat/>
    <w:locked/>
    <w:uiPriority w:val="99"/>
    <w:rPr>
      <w:rFonts w:ascii="Times New Roman" w:hAnsi="Times New Roman" w:cs="Times New Roman"/>
      <w:sz w:val="2"/>
    </w:rPr>
  </w:style>
  <w:style w:type="paragraph" w:customStyle="1" w:styleId="137">
    <w:name w:val="_Style 1"/>
    <w:basedOn w:val="1"/>
    <w:qFormat/>
    <w:uiPriority w:val="99"/>
    <w:pPr>
      <w:ind w:firstLine="420" w:firstLineChars="200"/>
    </w:pPr>
    <w:rPr>
      <w:rFonts w:ascii="Times New Roman" w:hAnsi="Times New Roman" w:eastAsia="宋体" w:cs="Times New Roman"/>
      <w:szCs w:val="24"/>
    </w:rPr>
  </w:style>
  <w:style w:type="character" w:customStyle="1" w:styleId="138">
    <w:name w:val="正文文本 Char"/>
    <w:basedOn w:val="44"/>
    <w:link w:val="15"/>
    <w:qFormat/>
    <w:uiPriority w:val="99"/>
    <w:rPr>
      <w:rFonts w:ascii="Calibri" w:hAnsi="Calibri" w:eastAsia="宋体" w:cs="Times New Roman"/>
      <w:kern w:val="0"/>
      <w:sz w:val="24"/>
      <w:szCs w:val="20"/>
    </w:rPr>
  </w:style>
  <w:style w:type="character" w:customStyle="1" w:styleId="139">
    <w:name w:val="Body Text Char1"/>
    <w:basedOn w:val="44"/>
    <w:semiHidden/>
    <w:qFormat/>
    <w:locked/>
    <w:uiPriority w:val="99"/>
    <w:rPr>
      <w:rFonts w:cs="Times New Roman"/>
    </w:rPr>
  </w:style>
  <w:style w:type="paragraph" w:customStyle="1" w:styleId="140">
    <w:name w:val="_Style 21"/>
    <w:basedOn w:val="1"/>
    <w:qFormat/>
    <w:uiPriority w:val="99"/>
    <w:rPr>
      <w:rFonts w:ascii="Times New Roman" w:hAnsi="Times New Roman" w:eastAsia="宋体" w:cs="Times New Roman"/>
      <w:szCs w:val="20"/>
    </w:rPr>
  </w:style>
  <w:style w:type="paragraph" w:customStyle="1" w:styleId="141">
    <w:name w:val="p0"/>
    <w:basedOn w:val="1"/>
    <w:qFormat/>
    <w:uiPriority w:val="99"/>
    <w:pPr>
      <w:widowControl/>
    </w:pPr>
    <w:rPr>
      <w:rFonts w:ascii="Times New Roman" w:hAnsi="Times New Roman" w:eastAsia="宋体" w:cs="Times New Roman"/>
      <w:kern w:val="0"/>
      <w:szCs w:val="21"/>
    </w:rPr>
  </w:style>
  <w:style w:type="paragraph" w:customStyle="1" w:styleId="142">
    <w:name w:val="xl37"/>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宋体" w:hAnsi="宋体" w:eastAsia="宋体" w:cs="Times New Roman"/>
      <w:kern w:val="0"/>
      <w:sz w:val="18"/>
      <w:szCs w:val="18"/>
    </w:rPr>
  </w:style>
  <w:style w:type="paragraph" w:customStyle="1" w:styleId="143">
    <w:name w:val="xl25"/>
    <w:basedOn w:val="1"/>
    <w:qFormat/>
    <w:uiPriority w:val="99"/>
    <w:pPr>
      <w:widowControl/>
      <w:spacing w:before="100" w:beforeAutospacing="1" w:after="100" w:afterAutospacing="1"/>
      <w:textAlignment w:val="center"/>
    </w:pPr>
    <w:rPr>
      <w:rFonts w:ascii="宋体" w:hAnsi="宋体" w:eastAsia="宋体" w:cs="Times New Roman"/>
      <w:kern w:val="0"/>
      <w:sz w:val="18"/>
      <w:szCs w:val="18"/>
    </w:rPr>
  </w:style>
  <w:style w:type="paragraph" w:customStyle="1" w:styleId="144">
    <w:name w:val="样式 样式 样式 样式 内容 + 首行缩进:  2 字符18 + 首行缩进:  5.71 厘米 + 首行缩进:  8.04 厘米..."/>
    <w:basedOn w:val="1"/>
    <w:autoRedefine/>
    <w:qFormat/>
    <w:uiPriority w:val="99"/>
    <w:pPr>
      <w:widowControl/>
      <w:spacing w:line="360" w:lineRule="auto"/>
      <w:ind w:firstLine="425" w:firstLineChars="177"/>
      <w:jc w:val="left"/>
    </w:pPr>
    <w:rPr>
      <w:rFonts w:ascii="Trebuchet MS" w:hAnsi="Trebuchet MS" w:eastAsia="宋体" w:cs="Times New Roman"/>
      <w:color w:val="404040"/>
      <w:kern w:val="0"/>
      <w:sz w:val="24"/>
      <w:szCs w:val="20"/>
      <w:lang w:eastAsia="en-US"/>
    </w:rPr>
  </w:style>
  <w:style w:type="paragraph" w:customStyle="1" w:styleId="145">
    <w:name w:val="无间隔11"/>
    <w:qFormat/>
    <w:uiPriority w:val="99"/>
    <w:pPr>
      <w:widowControl w:val="0"/>
      <w:spacing w:line="360" w:lineRule="auto"/>
      <w:jc w:val="center"/>
    </w:pPr>
    <w:rPr>
      <w:rFonts w:ascii="Times New Roman" w:hAnsi="Times New Roman" w:eastAsia="宋体" w:cs="Times New Roman"/>
      <w:b/>
      <w:color w:val="000000"/>
      <w:kern w:val="2"/>
      <w:sz w:val="21"/>
      <w:szCs w:val="21"/>
      <w:lang w:val="zh-CN" w:eastAsia="zh-CN" w:bidi="ar-SA"/>
    </w:rPr>
  </w:style>
  <w:style w:type="paragraph" w:customStyle="1" w:styleId="146">
    <w:name w:val="列出段落11"/>
    <w:basedOn w:val="1"/>
    <w:qFormat/>
    <w:uiPriority w:val="99"/>
    <w:pPr>
      <w:ind w:firstLine="420" w:firstLineChars="200"/>
    </w:pPr>
    <w:rPr>
      <w:rFonts w:ascii="Times New Roman" w:hAnsi="Times New Roman" w:eastAsia="宋体" w:cs="Times New Roman"/>
      <w:szCs w:val="24"/>
    </w:rPr>
  </w:style>
  <w:style w:type="paragraph" w:customStyle="1" w:styleId="147">
    <w:name w:val="_Style 2"/>
    <w:basedOn w:val="1"/>
    <w:qFormat/>
    <w:uiPriority w:val="99"/>
    <w:pPr>
      <w:ind w:firstLine="420" w:firstLineChars="200"/>
    </w:pPr>
    <w:rPr>
      <w:rFonts w:ascii="Calibri" w:hAnsi="Calibri" w:eastAsia="宋体" w:cs="Times New Roman"/>
    </w:rPr>
  </w:style>
  <w:style w:type="paragraph" w:customStyle="1" w:styleId="148">
    <w:name w:val="txt14"/>
    <w:basedOn w:val="1"/>
    <w:qFormat/>
    <w:uiPriority w:val="99"/>
    <w:pPr>
      <w:widowControl/>
      <w:spacing w:before="100" w:beforeAutospacing="1" w:after="100" w:afterAutospacing="1"/>
      <w:jc w:val="left"/>
    </w:pPr>
    <w:rPr>
      <w:rFonts w:ascii="宋体" w:hAnsi="宋体" w:eastAsia="宋体" w:cs="Times New Roman"/>
      <w:color w:val="000000"/>
      <w:kern w:val="0"/>
      <w:szCs w:val="21"/>
    </w:rPr>
  </w:style>
  <w:style w:type="paragraph" w:customStyle="1" w:styleId="149">
    <w:name w:val="_Style 11"/>
    <w:basedOn w:val="1"/>
    <w:qFormat/>
    <w:uiPriority w:val="99"/>
    <w:rPr>
      <w:rFonts w:ascii="Times New Roman" w:hAnsi="Times New Roman" w:eastAsia="宋体" w:cs="Times New Roman"/>
      <w:szCs w:val="24"/>
    </w:rPr>
  </w:style>
  <w:style w:type="paragraph" w:customStyle="1" w:styleId="150">
    <w:name w:val="Char"/>
    <w:basedOn w:val="1"/>
    <w:qFormat/>
    <w:uiPriority w:val="99"/>
    <w:rPr>
      <w:rFonts w:ascii="Times New Roman" w:hAnsi="Times New Roman" w:eastAsia="宋体" w:cs="Times New Roman"/>
      <w:szCs w:val="21"/>
    </w:rPr>
  </w:style>
  <w:style w:type="paragraph" w:customStyle="1" w:styleId="151">
    <w:name w:val="列出段落12"/>
    <w:basedOn w:val="1"/>
    <w:qFormat/>
    <w:uiPriority w:val="99"/>
    <w:pPr>
      <w:ind w:firstLine="420" w:firstLineChars="200"/>
    </w:pPr>
    <w:rPr>
      <w:rFonts w:ascii="Times New Roman" w:hAnsi="Times New Roman" w:eastAsia="宋体" w:cs="Times New Roman"/>
      <w:szCs w:val="24"/>
    </w:rPr>
  </w:style>
  <w:style w:type="paragraph" w:customStyle="1" w:styleId="152">
    <w:name w:val="列出段落2"/>
    <w:basedOn w:val="1"/>
    <w:qFormat/>
    <w:uiPriority w:val="99"/>
    <w:pPr>
      <w:ind w:firstLine="420" w:firstLineChars="200"/>
    </w:pPr>
    <w:rPr>
      <w:rFonts w:ascii="Times New Roman" w:hAnsi="Times New Roman" w:eastAsia="宋体" w:cs="Times New Roman"/>
      <w:szCs w:val="24"/>
    </w:rPr>
  </w:style>
  <w:style w:type="paragraph" w:customStyle="1" w:styleId="153">
    <w:name w:val="TOC 标题1"/>
    <w:basedOn w:val="3"/>
    <w:next w:val="1"/>
    <w:qFormat/>
    <w:uiPriority w:val="39"/>
    <w:pPr>
      <w:keepLines/>
      <w:spacing w:before="480" w:after="0" w:line="276" w:lineRule="auto"/>
      <w:jc w:val="left"/>
      <w:outlineLvl w:val="9"/>
    </w:pPr>
    <w:rPr>
      <w:rFonts w:ascii="Cambria" w:hAnsi="Cambria" w:cs="Times New Roman"/>
      <w:color w:val="365F91"/>
      <w:kern w:val="0"/>
      <w:sz w:val="28"/>
      <w:szCs w:val="28"/>
    </w:rPr>
  </w:style>
  <w:style w:type="paragraph" w:customStyle="1" w:styleId="154">
    <w:name w:val="正文文本缩进 31"/>
    <w:basedOn w:val="1"/>
    <w:qFormat/>
    <w:uiPriority w:val="99"/>
    <w:pPr>
      <w:spacing w:line="440" w:lineRule="exact"/>
      <w:ind w:firstLine="412" w:firstLineChars="200"/>
    </w:pPr>
    <w:rPr>
      <w:rFonts w:ascii="宋体" w:hAnsi="宋体" w:eastAsia="宋体" w:cs="Times New Roman"/>
      <w:kern w:val="0"/>
      <w:sz w:val="20"/>
      <w:szCs w:val="20"/>
    </w:rPr>
  </w:style>
  <w:style w:type="character" w:customStyle="1" w:styleId="155">
    <w:name w:val="font41"/>
    <w:qFormat/>
    <w:uiPriority w:val="99"/>
    <w:rPr>
      <w:rFonts w:hint="eastAsia" w:ascii="宋体" w:hAnsi="宋体" w:eastAsia="宋体" w:cs="宋体"/>
      <w:b/>
      <w:color w:val="000000"/>
      <w:sz w:val="22"/>
      <w:szCs w:val="22"/>
      <w:u w:val="none"/>
    </w:rPr>
  </w:style>
  <w:style w:type="character" w:customStyle="1" w:styleId="156">
    <w:name w:val="font81"/>
    <w:qFormat/>
    <w:uiPriority w:val="99"/>
    <w:rPr>
      <w:rFonts w:hint="eastAsia" w:ascii="宋体" w:hAnsi="宋体" w:eastAsia="宋体" w:cs="宋体"/>
      <w:b/>
      <w:color w:val="000000"/>
      <w:sz w:val="22"/>
      <w:szCs w:val="22"/>
      <w:u w:val="none"/>
    </w:rPr>
  </w:style>
  <w:style w:type="character" w:customStyle="1" w:styleId="157">
    <w:name w:val="font21"/>
    <w:qFormat/>
    <w:uiPriority w:val="0"/>
    <w:rPr>
      <w:rFonts w:hint="eastAsia" w:ascii="宋体" w:hAnsi="宋体" w:eastAsia="宋体" w:cs="宋体"/>
      <w:color w:val="000000"/>
      <w:sz w:val="18"/>
      <w:szCs w:val="18"/>
      <w:u w:val="none"/>
    </w:rPr>
  </w:style>
  <w:style w:type="character" w:customStyle="1" w:styleId="158">
    <w:name w:val="日期 Char"/>
    <w:link w:val="22"/>
    <w:qFormat/>
    <w:uiPriority w:val="0"/>
    <w:rPr>
      <w:szCs w:val="21"/>
    </w:rPr>
  </w:style>
  <w:style w:type="character" w:customStyle="1" w:styleId="159">
    <w:name w:val="font01"/>
    <w:autoRedefine/>
    <w:qFormat/>
    <w:uiPriority w:val="99"/>
    <w:rPr>
      <w:rFonts w:hint="eastAsia" w:ascii="宋体" w:hAnsi="宋体" w:eastAsia="宋体" w:cs="宋体"/>
      <w:color w:val="000000"/>
      <w:sz w:val="22"/>
      <w:szCs w:val="22"/>
      <w:u w:val="none"/>
    </w:rPr>
  </w:style>
  <w:style w:type="character" w:customStyle="1" w:styleId="160">
    <w:name w:val="Char Char1"/>
    <w:qFormat/>
    <w:uiPriority w:val="0"/>
    <w:rPr>
      <w:rFonts w:eastAsia="宋体"/>
      <w:kern w:val="2"/>
      <w:sz w:val="18"/>
      <w:szCs w:val="18"/>
      <w:lang w:val="en-US" w:eastAsia="zh-CN" w:bidi="ar-SA"/>
    </w:rPr>
  </w:style>
  <w:style w:type="character" w:customStyle="1" w:styleId="161">
    <w:name w:val="标题 Char"/>
    <w:link w:val="39"/>
    <w:qFormat/>
    <w:uiPriority w:val="0"/>
    <w:rPr>
      <w:rFonts w:ascii="Cambria" w:hAnsi="Cambria" w:cs="Times New Roman"/>
      <w:b/>
      <w:bCs/>
      <w:sz w:val="32"/>
      <w:szCs w:val="32"/>
    </w:rPr>
  </w:style>
  <w:style w:type="character" w:customStyle="1" w:styleId="162">
    <w:name w:val="hei141"/>
    <w:qFormat/>
    <w:uiPriority w:val="0"/>
    <w:rPr>
      <w:rFonts w:hint="eastAsia" w:ascii="宋体" w:hAnsi="宋体" w:eastAsia="宋体"/>
      <w:color w:val="000000"/>
      <w:sz w:val="19"/>
      <w:szCs w:val="19"/>
      <w:u w:val="none"/>
    </w:rPr>
  </w:style>
  <w:style w:type="character" w:customStyle="1" w:styleId="163">
    <w:name w:val="批注文字 Char"/>
    <w:link w:val="14"/>
    <w:qFormat/>
    <w:uiPriority w:val="0"/>
  </w:style>
  <w:style w:type="character" w:customStyle="1" w:styleId="164">
    <w:name w:val="apple-style-span"/>
    <w:basedOn w:val="44"/>
    <w:qFormat/>
    <w:uiPriority w:val="0"/>
  </w:style>
  <w:style w:type="character" w:customStyle="1" w:styleId="165">
    <w:name w:val="param-value"/>
    <w:qFormat/>
    <w:uiPriority w:val="99"/>
    <w:rPr>
      <w:rFonts w:cs="Times New Roman"/>
    </w:rPr>
  </w:style>
  <w:style w:type="character" w:customStyle="1" w:styleId="166">
    <w:name w:val="font61"/>
    <w:qFormat/>
    <w:uiPriority w:val="0"/>
    <w:rPr>
      <w:rFonts w:hint="eastAsia" w:ascii="宋体" w:hAnsi="宋体" w:eastAsia="宋体" w:cs="宋体"/>
      <w:color w:val="000000"/>
      <w:sz w:val="22"/>
      <w:szCs w:val="22"/>
      <w:u w:val="none"/>
    </w:rPr>
  </w:style>
  <w:style w:type="character" w:customStyle="1" w:styleId="167">
    <w:name w:val="font11"/>
    <w:qFormat/>
    <w:uiPriority w:val="0"/>
    <w:rPr>
      <w:rFonts w:hint="eastAsia" w:ascii="宋体" w:hAnsi="宋体" w:eastAsia="宋体" w:cs="宋体"/>
      <w:color w:val="FF0000"/>
      <w:sz w:val="22"/>
      <w:szCs w:val="22"/>
      <w:u w:val="none"/>
    </w:rPr>
  </w:style>
  <w:style w:type="character" w:customStyle="1" w:styleId="168">
    <w:name w:val="批注主题 Char"/>
    <w:link w:val="40"/>
    <w:qFormat/>
    <w:uiPriority w:val="0"/>
    <w:rPr>
      <w:b/>
      <w:bCs/>
    </w:rPr>
  </w:style>
  <w:style w:type="character" w:customStyle="1" w:styleId="169">
    <w:name w:val="批注文字 Char1"/>
    <w:basedOn w:val="44"/>
    <w:semiHidden/>
    <w:qFormat/>
    <w:uiPriority w:val="99"/>
  </w:style>
  <w:style w:type="paragraph" w:customStyle="1" w:styleId="170">
    <w:name w:val="内文"/>
    <w:basedOn w:val="1"/>
    <w:qFormat/>
    <w:uiPriority w:val="0"/>
    <w:pPr>
      <w:spacing w:line="500" w:lineRule="exact"/>
      <w:ind w:firstLine="560" w:firstLineChars="200"/>
    </w:pPr>
    <w:rPr>
      <w:rFonts w:ascii="方正仿宋简体" w:hAnsi="宋体" w:eastAsia="方正仿宋简体" w:cs="Times New Roman"/>
      <w:sz w:val="28"/>
      <w:szCs w:val="28"/>
    </w:rPr>
  </w:style>
  <w:style w:type="character" w:customStyle="1" w:styleId="171">
    <w:name w:val="批注主题 Char1"/>
    <w:basedOn w:val="169"/>
    <w:semiHidden/>
    <w:qFormat/>
    <w:uiPriority w:val="99"/>
    <w:rPr>
      <w:b/>
      <w:bCs/>
    </w:rPr>
  </w:style>
  <w:style w:type="paragraph" w:customStyle="1" w:styleId="172">
    <w:name w:val="reader-word-layer reader-word-s1-17"/>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73">
    <w:name w:val="日期 Char1"/>
    <w:basedOn w:val="44"/>
    <w:semiHidden/>
    <w:qFormat/>
    <w:uiPriority w:val="99"/>
  </w:style>
  <w:style w:type="paragraph" w:customStyle="1" w:styleId="174">
    <w:name w:val="reader-word-layer reader-word-s1-14"/>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75">
    <w:name w:val="脚注文本 Char"/>
    <w:basedOn w:val="44"/>
    <w:link w:val="29"/>
    <w:semiHidden/>
    <w:qFormat/>
    <w:uiPriority w:val="0"/>
    <w:rPr>
      <w:rFonts w:ascii="Times New Roman" w:hAnsi="Times New Roman" w:eastAsia="宋体" w:cs="Times New Roman"/>
      <w:sz w:val="18"/>
      <w:szCs w:val="18"/>
    </w:rPr>
  </w:style>
  <w:style w:type="paragraph" w:customStyle="1" w:styleId="176">
    <w:name w:val="reader-word-layer reader-word-s1-1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7">
    <w:name w:val="reader-word-layer reader-word-s1-15"/>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78">
    <w:name w:val="标题 Char1"/>
    <w:basedOn w:val="44"/>
    <w:qFormat/>
    <w:uiPriority w:val="10"/>
    <w:rPr>
      <w:rFonts w:eastAsia="宋体" w:asciiTheme="majorHAnsi" w:hAnsiTheme="majorHAnsi" w:cstheme="majorBidi"/>
      <w:b/>
      <w:bCs/>
      <w:sz w:val="32"/>
      <w:szCs w:val="32"/>
    </w:rPr>
  </w:style>
  <w:style w:type="paragraph" w:customStyle="1" w:styleId="179">
    <w:name w:val="本文正文"/>
    <w:basedOn w:val="1"/>
    <w:qFormat/>
    <w:uiPriority w:val="0"/>
    <w:pPr>
      <w:widowControl/>
      <w:spacing w:line="480" w:lineRule="exact"/>
      <w:ind w:firstLine="200" w:firstLineChars="200"/>
      <w:jc w:val="left"/>
    </w:pPr>
    <w:rPr>
      <w:rFonts w:ascii="宋体" w:hAnsi="宋体" w:eastAsia="宋体" w:cs="Times New Roman"/>
      <w:kern w:val="0"/>
      <w:sz w:val="24"/>
      <w:szCs w:val="24"/>
    </w:rPr>
  </w:style>
  <w:style w:type="paragraph" w:customStyle="1" w:styleId="180">
    <w:name w:val="reader-word-layer reader-word-s1-18"/>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1">
    <w:name w:val="Char Char Char1 Char Char Char Char"/>
    <w:basedOn w:val="1"/>
    <w:qFormat/>
    <w:uiPriority w:val="99"/>
    <w:pPr>
      <w:spacing w:line="300" w:lineRule="auto"/>
    </w:pPr>
    <w:rPr>
      <w:rFonts w:ascii="Tahoma" w:hAnsi="Tahoma" w:eastAsia="宋体" w:cs="Times New Roman"/>
      <w:sz w:val="24"/>
      <w:szCs w:val="24"/>
    </w:rPr>
  </w:style>
  <w:style w:type="paragraph" w:customStyle="1" w:styleId="182">
    <w:name w:val="List Paragraph1"/>
    <w:basedOn w:val="1"/>
    <w:qFormat/>
    <w:uiPriority w:val="0"/>
    <w:pPr>
      <w:ind w:firstLine="420" w:firstLineChars="200"/>
    </w:pPr>
    <w:rPr>
      <w:rFonts w:ascii="Times New Roman" w:hAnsi="Times New Roman" w:eastAsia="宋体" w:cs="Times New Roman"/>
      <w:szCs w:val="24"/>
    </w:rPr>
  </w:style>
  <w:style w:type="paragraph" w:customStyle="1" w:styleId="183">
    <w:name w:val="reader-word-layer reader-word-s1-1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4">
    <w:name w:val="reader-word-layer reader-word-s1-1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5">
    <w:name w:val="reader-word-layer reader-word-s1-1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6">
    <w:name w:val="Char Char4"/>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7">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8">
    <w:name w:val="Char Char4 Char 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9">
    <w:name w:val="列出段落3"/>
    <w:basedOn w:val="1"/>
    <w:qFormat/>
    <w:uiPriority w:val="0"/>
    <w:pPr>
      <w:ind w:firstLine="420" w:firstLineChars="200"/>
    </w:pPr>
    <w:rPr>
      <w:rFonts w:ascii="Times New Roman" w:hAnsi="Times New Roman" w:eastAsia="宋体" w:cs="Times New Roman"/>
      <w:szCs w:val="24"/>
    </w:rPr>
  </w:style>
  <w:style w:type="character" w:customStyle="1" w:styleId="190">
    <w:name w:val="Char Char12"/>
    <w:qFormat/>
    <w:uiPriority w:val="0"/>
    <w:rPr>
      <w:rFonts w:eastAsia="宋体"/>
      <w:kern w:val="2"/>
      <w:sz w:val="18"/>
      <w:szCs w:val="18"/>
      <w:lang w:val="en-US" w:eastAsia="zh-CN" w:bidi="ar-SA"/>
    </w:rPr>
  </w:style>
  <w:style w:type="paragraph" w:customStyle="1" w:styleId="191">
    <w:name w:val="Char Char42"/>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92">
    <w:name w:val="Char Char4 Char Char2"/>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93">
    <w:name w:val="列出段落4"/>
    <w:basedOn w:val="1"/>
    <w:qFormat/>
    <w:uiPriority w:val="0"/>
    <w:pPr>
      <w:ind w:firstLine="420" w:firstLineChars="200"/>
    </w:pPr>
    <w:rPr>
      <w:rFonts w:ascii="Times New Roman" w:hAnsi="Times New Roman" w:eastAsia="宋体" w:cs="Times New Roman"/>
      <w:szCs w:val="24"/>
    </w:rPr>
  </w:style>
  <w:style w:type="character" w:customStyle="1" w:styleId="194">
    <w:name w:val="Char Char11"/>
    <w:qFormat/>
    <w:uiPriority w:val="0"/>
    <w:rPr>
      <w:rFonts w:eastAsia="宋体"/>
      <w:kern w:val="2"/>
      <w:sz w:val="18"/>
      <w:szCs w:val="18"/>
      <w:lang w:val="en-US" w:eastAsia="zh-CN" w:bidi="ar-SA"/>
    </w:rPr>
  </w:style>
  <w:style w:type="paragraph" w:customStyle="1" w:styleId="195">
    <w:name w:val="Char Char41"/>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96">
    <w:name w:val="Char Char4 Char Char1"/>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97">
    <w:name w:val="列出段落5"/>
    <w:basedOn w:val="1"/>
    <w:qFormat/>
    <w:uiPriority w:val="0"/>
    <w:pPr>
      <w:ind w:firstLine="420" w:firstLineChars="200"/>
    </w:pPr>
    <w:rPr>
      <w:rFonts w:ascii="Times New Roman" w:hAnsi="Times New Roman" w:eastAsia="宋体" w:cs="Times New Roman"/>
      <w:szCs w:val="24"/>
    </w:rPr>
  </w:style>
  <w:style w:type="character" w:customStyle="1" w:styleId="198">
    <w:name w:val="纯文本 Char"/>
    <w:link w:val="20"/>
    <w:qFormat/>
    <w:uiPriority w:val="99"/>
    <w:rPr>
      <w:rFonts w:ascii="宋体" w:hAnsi="Courier New" w:eastAsia="宋体"/>
      <w:szCs w:val="21"/>
    </w:rPr>
  </w:style>
  <w:style w:type="character" w:customStyle="1" w:styleId="199">
    <w:name w:val="纯文本 Char1"/>
    <w:basedOn w:val="44"/>
    <w:semiHidden/>
    <w:qFormat/>
    <w:uiPriority w:val="99"/>
    <w:rPr>
      <w:rFonts w:ascii="宋体" w:hAnsi="Courier New" w:eastAsia="宋体" w:cs="Courier New"/>
      <w:szCs w:val="21"/>
    </w:rPr>
  </w:style>
  <w:style w:type="paragraph" w:customStyle="1" w:styleId="200">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201">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02">
    <w:name w:val="样式4"/>
    <w:basedOn w:val="1"/>
    <w:qFormat/>
    <w:uiPriority w:val="0"/>
    <w:pPr>
      <w:adjustRightInd w:val="0"/>
      <w:spacing w:line="480" w:lineRule="auto"/>
      <w:textAlignment w:val="baseline"/>
    </w:pPr>
    <w:rPr>
      <w:rFonts w:ascii="Times New Roman" w:hAnsi="Times New Roman" w:eastAsia="黑体" w:cs="Times New Roman"/>
      <w:spacing w:val="10"/>
      <w:kern w:val="28"/>
      <w:sz w:val="48"/>
      <w:szCs w:val="20"/>
    </w:rPr>
  </w:style>
  <w:style w:type="paragraph" w:customStyle="1" w:styleId="203">
    <w:name w:val="正文缩进2格"/>
    <w:basedOn w:val="1"/>
    <w:link w:val="204"/>
    <w:qFormat/>
    <w:uiPriority w:val="0"/>
    <w:pPr>
      <w:spacing w:line="600" w:lineRule="exact"/>
      <w:ind w:firstLine="639" w:firstLineChars="206"/>
    </w:pPr>
    <w:rPr>
      <w:rFonts w:ascii="仿宋_GB2312" w:hAnsi="宋体" w:eastAsia="仿宋_GB2312" w:cs="Times New Roman"/>
      <w:sz w:val="31"/>
      <w:szCs w:val="28"/>
    </w:rPr>
  </w:style>
  <w:style w:type="character" w:customStyle="1" w:styleId="204">
    <w:name w:val="正文缩进2格 Char"/>
    <w:link w:val="203"/>
    <w:qFormat/>
    <w:uiPriority w:val="0"/>
    <w:rPr>
      <w:rFonts w:ascii="仿宋_GB2312" w:hAnsi="宋体" w:eastAsia="仿宋_GB2312" w:cs="Times New Roman"/>
      <w:sz w:val="31"/>
      <w:szCs w:val="28"/>
    </w:rPr>
  </w:style>
  <w:style w:type="paragraph" w:customStyle="1" w:styleId="205">
    <w:name w:val="文件抬头"/>
    <w:qFormat/>
    <w:uiPriority w:val="0"/>
    <w:pPr>
      <w:widowControl w:val="0"/>
      <w:jc w:val="both"/>
    </w:pPr>
    <w:rPr>
      <w:rFonts w:ascii="Calibri" w:hAnsi="Calibri" w:eastAsia="仿宋_GB2312" w:cs="Times New Roman"/>
      <w:kern w:val="2"/>
      <w:sz w:val="32"/>
      <w:szCs w:val="21"/>
      <w:lang w:val="en-US" w:eastAsia="zh-CN" w:bidi="ar-SA"/>
    </w:rPr>
  </w:style>
  <w:style w:type="paragraph" w:styleId="206">
    <w:name w:val="List Paragraph"/>
    <w:basedOn w:val="1"/>
    <w:qFormat/>
    <w:uiPriority w:val="34"/>
    <w:pPr>
      <w:ind w:firstLine="420" w:firstLineChars="200"/>
    </w:pPr>
  </w:style>
  <w:style w:type="paragraph" w:customStyle="1" w:styleId="207">
    <w:name w:val="普通正文"/>
    <w:basedOn w:val="1"/>
    <w:qFormat/>
    <w:uiPriority w:val="0"/>
    <w:pPr>
      <w:adjustRightInd w:val="0"/>
      <w:spacing w:before="120" w:after="120" w:line="360" w:lineRule="auto"/>
      <w:ind w:left="50" w:leftChars="50" w:right="50" w:rightChars="50" w:firstLine="480" w:firstLineChars="200"/>
      <w:jc w:val="left"/>
      <w:textAlignment w:val="baseline"/>
    </w:pPr>
    <w:rPr>
      <w:rFonts w:ascii="Arial" w:hAnsi="Arial" w:eastAsia="宋体" w:cs="Times New Roman"/>
      <w:kern w:val="0"/>
      <w:sz w:val="24"/>
      <w:szCs w:val="24"/>
    </w:rPr>
  </w:style>
  <w:style w:type="character" w:customStyle="1" w:styleId="208">
    <w:name w:val="正文首行缩进 Char"/>
    <w:basedOn w:val="138"/>
    <w:link w:val="41"/>
    <w:qFormat/>
    <w:uiPriority w:val="99"/>
    <w:rPr>
      <w:rFonts w:asciiTheme="minorHAnsi" w:hAnsiTheme="minorHAnsi" w:eastAsiaTheme="minorEastAsia" w:cstheme="minorBidi"/>
      <w:kern w:val="2"/>
      <w:sz w:val="21"/>
      <w:szCs w:val="22"/>
    </w:rPr>
  </w:style>
  <w:style w:type="paragraph" w:customStyle="1" w:styleId="209">
    <w:name w:val="Table Paragraph"/>
    <w:basedOn w:val="1"/>
    <w:qFormat/>
    <w:uiPriority w:val="1"/>
    <w:pPr>
      <w:autoSpaceDE w:val="0"/>
      <w:autoSpaceDN w:val="0"/>
      <w:jc w:val="left"/>
    </w:pPr>
    <w:rPr>
      <w:rFonts w:ascii="宋体" w:hAnsi="宋体" w:eastAsia="宋体" w:cs="宋体"/>
      <w:kern w:val="0"/>
      <w:sz w:val="22"/>
    </w:rPr>
  </w:style>
  <w:style w:type="paragraph" w:customStyle="1" w:styleId="210">
    <w:name w:val="标书正文"/>
    <w:basedOn w:val="1"/>
    <w:qFormat/>
    <w:uiPriority w:val="0"/>
    <w:pPr>
      <w:spacing w:line="560" w:lineRule="exact"/>
      <w:ind w:firstLine="723" w:firstLineChars="200"/>
      <w:jc w:val="center"/>
    </w:pPr>
    <w:rPr>
      <w:rFonts w:ascii="仿宋_GB2312" w:hAnsi="Times New Roman" w:eastAsia="仿宋_GB2312" w:cs="Times New Roman"/>
      <w:b/>
      <w:sz w:val="36"/>
      <w:szCs w:val="20"/>
    </w:rPr>
  </w:style>
  <w:style w:type="paragraph" w:customStyle="1" w:styleId="211">
    <w:name w:val="表格"/>
    <w:qFormat/>
    <w:uiPriority w:val="0"/>
    <w:pPr>
      <w:adjustRightInd w:val="0"/>
      <w:snapToGrid w:val="0"/>
      <w:spacing w:before="20" w:after="20"/>
      <w:jc w:val="center"/>
      <w:textAlignment w:val="baseline"/>
    </w:pPr>
    <w:rPr>
      <w:rFonts w:ascii="Arial" w:hAnsi="Arial" w:eastAsia="宋体" w:cs="Times New Roman"/>
      <w:snapToGrid w:val="0"/>
      <w:sz w:val="21"/>
      <w:lang w:val="en-US" w:eastAsia="zh-CN" w:bidi="ar-SA"/>
    </w:rPr>
  </w:style>
  <w:style w:type="character" w:customStyle="1" w:styleId="212">
    <w:name w:val="正文首行缩进 2 Char"/>
    <w:basedOn w:val="69"/>
    <w:link w:val="17"/>
    <w:semiHidden/>
    <w:qFormat/>
    <w:uiPriority w:val="99"/>
    <w:rPr>
      <w:rFonts w:ascii="??" w:hAnsi="??" w:eastAsia="宋体" w:cs="Arial"/>
      <w:kern w:val="2"/>
      <w:sz w:val="21"/>
      <w:szCs w:val="22"/>
    </w:rPr>
  </w:style>
  <w:style w:type="paragraph" w:customStyle="1" w:styleId="213">
    <w:name w:val="Normal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214">
    <w:name w:val="bookmark-item"/>
    <w:qFormat/>
    <w:uiPriority w:val="0"/>
  </w:style>
  <w:style w:type="paragraph" w:customStyle="1" w:styleId="215">
    <w:name w:val="报告正文"/>
    <w:basedOn w:val="1"/>
    <w:qFormat/>
    <w:uiPriority w:val="0"/>
    <w:pPr>
      <w:adjustRightInd w:val="0"/>
      <w:spacing w:line="360" w:lineRule="auto"/>
      <w:ind w:firstLine="200" w:firstLineChars="200"/>
    </w:pPr>
    <w:rPr>
      <w:rFonts w:ascii="宋体" w:hAnsi="宋体" w:eastAsia="宋体" w:cs="宋体"/>
      <w:kern w:val="0"/>
      <w:sz w:val="24"/>
      <w:szCs w:val="24"/>
    </w:rPr>
  </w:style>
  <w:style w:type="paragraph" w:customStyle="1" w:styleId="216">
    <w:name w:val="表格文字2"/>
    <w:basedOn w:val="1"/>
    <w:qFormat/>
    <w:uiPriority w:val="0"/>
    <w:pPr>
      <w:widowControl/>
      <w:spacing w:before="25" w:after="25"/>
      <w:jc w:val="left"/>
    </w:pPr>
    <w:rPr>
      <w:rFonts w:ascii="Times New Roman" w:hAnsi="Times New Roman" w:eastAsia="宋体" w:cs="Times New Roman"/>
      <w:bCs/>
      <w:spacing w:val="10"/>
      <w:kern w:val="0"/>
      <w:szCs w:val="21"/>
    </w:rPr>
  </w:style>
  <w:style w:type="paragraph" w:customStyle="1" w:styleId="217">
    <w:name w:val="BodyText1I"/>
    <w:basedOn w:val="218"/>
    <w:qFormat/>
    <w:uiPriority w:val="0"/>
    <w:pPr>
      <w:spacing w:line="360" w:lineRule="auto"/>
    </w:pPr>
    <w:rPr>
      <w:rFonts w:ascii="仿宋_GB2312" w:hAnsi="Times New Roman" w:eastAsia="仿宋_GB2312"/>
      <w:sz w:val="30"/>
      <w:szCs w:val="30"/>
    </w:rPr>
  </w:style>
  <w:style w:type="paragraph" w:customStyle="1" w:styleId="218">
    <w:name w:val="BodyText"/>
    <w:basedOn w:val="1"/>
    <w:next w:val="219"/>
    <w:qFormat/>
    <w:uiPriority w:val="0"/>
    <w:pPr>
      <w:widowControl/>
      <w:spacing w:before="156"/>
      <w:ind w:firstLine="200" w:firstLineChars="200"/>
      <w:textAlignment w:val="baseline"/>
    </w:pPr>
    <w:rPr>
      <w:rFonts w:ascii="楷体_GB2312" w:hAnsi="Arial" w:eastAsia="楷体_GB2312"/>
      <w:sz w:val="28"/>
      <w:szCs w:val="28"/>
    </w:rPr>
  </w:style>
  <w:style w:type="paragraph" w:customStyle="1" w:styleId="219">
    <w:name w:val="180"/>
    <w:basedOn w:val="1"/>
    <w:next w:val="1"/>
    <w:qFormat/>
    <w:uiPriority w:val="0"/>
    <w:pPr>
      <w:spacing w:after="160" w:line="259" w:lineRule="auto"/>
      <w:textAlignment w:val="baseline"/>
    </w:pPr>
    <w:rPr>
      <w:rFonts w:ascii="Calibri" w:hAnsi="Calibri" w:eastAsia="宋体"/>
      <w:i/>
      <w:iCs/>
      <w:color w:val="000000"/>
      <w:szCs w:val="24"/>
    </w:rPr>
  </w:style>
  <w:style w:type="character" w:customStyle="1" w:styleId="220">
    <w:name w:val="15"/>
    <w:qFormat/>
    <w:uiPriority w:val="0"/>
    <w:rPr>
      <w:rFonts w:hint="default" w:ascii="Times New Roman" w:hAnsi="Times New Roman" w:cs="Times New Roman"/>
      <w:kern w:val="2"/>
      <w:sz w:val="24"/>
      <w:szCs w:val="24"/>
    </w:rPr>
  </w:style>
  <w:style w:type="paragraph" w:customStyle="1" w:styleId="221">
    <w:name w:val="列表段落1"/>
    <w:basedOn w:val="1"/>
    <w:qFormat/>
    <w:uiPriority w:val="34"/>
    <w:pPr>
      <w:widowControl/>
      <w:ind w:firstLine="420"/>
    </w:pPr>
  </w:style>
  <w:style w:type="character" w:customStyle="1" w:styleId="222">
    <w:name w:val="font51"/>
    <w:basedOn w:val="44"/>
    <w:qFormat/>
    <w:uiPriority w:val="0"/>
    <w:rPr>
      <w:rFonts w:hint="default" w:ascii="Wingdings 2" w:hAnsi="Wingdings 2" w:eastAsia="Wingdings 2" w:cs="Wingdings 2"/>
      <w:color w:val="000000"/>
      <w:sz w:val="20"/>
      <w:szCs w:val="20"/>
      <w:u w:val="none"/>
    </w:rPr>
  </w:style>
  <w:style w:type="character" w:customStyle="1" w:styleId="223">
    <w:name w:val="font31"/>
    <w:basedOn w:val="44"/>
    <w:qFormat/>
    <w:uiPriority w:val="0"/>
    <w:rPr>
      <w:rFonts w:hint="default" w:ascii="Times New Roman" w:hAnsi="Times New Roman" w:cs="Times New Roman"/>
      <w:color w:val="000000"/>
      <w:sz w:val="20"/>
      <w:szCs w:val="20"/>
      <w:u w:val="none"/>
    </w:rPr>
  </w:style>
  <w:style w:type="paragraph" w:customStyle="1" w:styleId="224">
    <w:name w:val="正文缩进1"/>
    <w:basedOn w:val="1"/>
    <w:qFormat/>
    <w:uiPriority w:val="0"/>
    <w:pPr>
      <w:autoSpaceDE w:val="0"/>
      <w:autoSpaceDN w:val="0"/>
      <w:adjustRightInd w:val="0"/>
      <w:ind w:firstLine="420"/>
      <w:jc w:val="left"/>
    </w:pPr>
    <w:rPr>
      <w:rFonts w:ascii="宋体" w:hAnsi="Times New Roman" w:eastAsia="宋体" w:cs="Times New Roman"/>
      <w:kern w:val="0"/>
      <w:sz w:val="24"/>
      <w:szCs w:val="20"/>
    </w:rPr>
  </w:style>
  <w:style w:type="paragraph" w:customStyle="1" w:styleId="225">
    <w:name w:val="索引 11"/>
    <w:basedOn w:val="1"/>
    <w:next w:val="1"/>
    <w:qFormat/>
    <w:uiPriority w:val="0"/>
    <w:pPr>
      <w:spacing w:line="360" w:lineRule="auto"/>
    </w:pPr>
    <w:rPr>
      <w:rFonts w:ascii="仿宋_GB2312" w:hAnsi="Times New Roman" w:eastAsia="仿宋_GB2312" w:cs="Times New Roman"/>
      <w:sz w:val="24"/>
      <w:szCs w:val="20"/>
    </w:rPr>
  </w:style>
  <w:style w:type="paragraph" w:customStyle="1" w:styleId="226">
    <w:name w:val="纯文本1"/>
    <w:basedOn w:val="1"/>
    <w:qFormat/>
    <w:uiPriority w:val="0"/>
    <w:rPr>
      <w:rFonts w:ascii="宋体" w:hAnsi="Courier New" w:eastAsia="宋体" w:cs="Times New Roman"/>
      <w:kern w:val="0"/>
      <w:sz w:val="20"/>
      <w:szCs w:val="20"/>
    </w:rPr>
  </w:style>
  <w:style w:type="paragraph" w:customStyle="1" w:styleId="227">
    <w:name w:val="标题 5（有编号）（绿盟科技）"/>
    <w:basedOn w:val="1"/>
    <w:next w:val="228"/>
    <w:qFormat/>
    <w:uiPriority w:val="0"/>
    <w:pPr>
      <w:keepNext/>
      <w:keepLines/>
      <w:numPr>
        <w:ilvl w:val="4"/>
        <w:numId w:val="2"/>
      </w:numPr>
      <w:spacing w:before="280" w:after="156" w:line="377" w:lineRule="auto"/>
      <w:jc w:val="left"/>
      <w:outlineLvl w:val="4"/>
    </w:pPr>
    <w:rPr>
      <w:rFonts w:ascii="Arial" w:hAnsi="Arial" w:eastAsia="黑体"/>
      <w:b/>
      <w:szCs w:val="28"/>
    </w:rPr>
  </w:style>
  <w:style w:type="paragraph" w:customStyle="1" w:styleId="228">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229">
    <w:name w:val="7）页眉页脚"/>
    <w:qFormat/>
    <w:uiPriority w:val="0"/>
    <w:rPr>
      <w:rFonts w:ascii="仿宋_GB2312" w:eastAsia="仿宋_GB2312"/>
      <w:b/>
      <w:i/>
      <w:sz w:val="18"/>
      <w:vertAlign w:val="baseline"/>
    </w:rPr>
  </w:style>
  <w:style w:type="paragraph" w:customStyle="1" w:styleId="230">
    <w:name w:val="bg正文"/>
    <w:basedOn w:val="1"/>
    <w:qFormat/>
    <w:uiPriority w:val="0"/>
    <w:pPr>
      <w:ind w:firstLine="200" w:firstLineChars="200"/>
    </w:pPr>
    <w:rPr>
      <w:rFonts w:ascii="Times New Roman" w:hAnsi="Times New Roman" w:eastAsia="宋体" w:cs="Times New Roman"/>
      <w:sz w:val="24"/>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53.wmf"/><Relationship Id="rId98" Type="http://schemas.openxmlformats.org/officeDocument/2006/relationships/oleObject" Target="embeddings/oleObject34.bin"/><Relationship Id="rId97" Type="http://schemas.openxmlformats.org/officeDocument/2006/relationships/image" Target="media/image52.wmf"/><Relationship Id="rId96" Type="http://schemas.openxmlformats.org/officeDocument/2006/relationships/oleObject" Target="embeddings/oleObject33.bin"/><Relationship Id="rId95" Type="http://schemas.openxmlformats.org/officeDocument/2006/relationships/image" Target="media/image51.wmf"/><Relationship Id="rId94" Type="http://schemas.openxmlformats.org/officeDocument/2006/relationships/oleObject" Target="embeddings/oleObject32.bin"/><Relationship Id="rId93" Type="http://schemas.openxmlformats.org/officeDocument/2006/relationships/image" Target="media/image50.wmf"/><Relationship Id="rId92" Type="http://schemas.openxmlformats.org/officeDocument/2006/relationships/oleObject" Target="embeddings/oleObject31.bin"/><Relationship Id="rId91" Type="http://schemas.openxmlformats.org/officeDocument/2006/relationships/image" Target="media/image49.wmf"/><Relationship Id="rId90" Type="http://schemas.openxmlformats.org/officeDocument/2006/relationships/oleObject" Target="embeddings/oleObject30.bin"/><Relationship Id="rId9" Type="http://schemas.openxmlformats.org/officeDocument/2006/relationships/footer" Target="footer5.xml"/><Relationship Id="rId89" Type="http://schemas.openxmlformats.org/officeDocument/2006/relationships/image" Target="media/image48.wmf"/><Relationship Id="rId88" Type="http://schemas.openxmlformats.org/officeDocument/2006/relationships/oleObject" Target="embeddings/oleObject29.bin"/><Relationship Id="rId87" Type="http://schemas.openxmlformats.org/officeDocument/2006/relationships/image" Target="media/image47.wmf"/><Relationship Id="rId86" Type="http://schemas.openxmlformats.org/officeDocument/2006/relationships/oleObject" Target="embeddings/oleObject28.bin"/><Relationship Id="rId85" Type="http://schemas.openxmlformats.org/officeDocument/2006/relationships/image" Target="media/image46.wmf"/><Relationship Id="rId84" Type="http://schemas.openxmlformats.org/officeDocument/2006/relationships/oleObject" Target="embeddings/oleObject27.bin"/><Relationship Id="rId83" Type="http://schemas.openxmlformats.org/officeDocument/2006/relationships/image" Target="media/image45.wmf"/><Relationship Id="rId82" Type="http://schemas.openxmlformats.org/officeDocument/2006/relationships/oleObject" Target="embeddings/oleObject26.bin"/><Relationship Id="rId81" Type="http://schemas.openxmlformats.org/officeDocument/2006/relationships/image" Target="media/image44.wmf"/><Relationship Id="rId80" Type="http://schemas.openxmlformats.org/officeDocument/2006/relationships/oleObject" Target="embeddings/oleObject25.bin"/><Relationship Id="rId8" Type="http://schemas.openxmlformats.org/officeDocument/2006/relationships/footer" Target="footer4.xml"/><Relationship Id="rId79" Type="http://schemas.openxmlformats.org/officeDocument/2006/relationships/image" Target="media/image43.wmf"/><Relationship Id="rId78" Type="http://schemas.openxmlformats.org/officeDocument/2006/relationships/oleObject" Target="embeddings/oleObject24.bin"/><Relationship Id="rId77" Type="http://schemas.openxmlformats.org/officeDocument/2006/relationships/oleObject" Target="embeddings/oleObject23.bin"/><Relationship Id="rId76" Type="http://schemas.openxmlformats.org/officeDocument/2006/relationships/image" Target="media/image42.wmf"/><Relationship Id="rId75" Type="http://schemas.openxmlformats.org/officeDocument/2006/relationships/oleObject" Target="embeddings/oleObject22.bin"/><Relationship Id="rId74" Type="http://schemas.openxmlformats.org/officeDocument/2006/relationships/image" Target="media/image41.wmf"/><Relationship Id="rId73" Type="http://schemas.openxmlformats.org/officeDocument/2006/relationships/oleObject" Target="embeddings/oleObject21.bin"/><Relationship Id="rId72" Type="http://schemas.openxmlformats.org/officeDocument/2006/relationships/image" Target="media/image40.wmf"/><Relationship Id="rId71" Type="http://schemas.openxmlformats.org/officeDocument/2006/relationships/oleObject" Target="embeddings/oleObject20.bin"/><Relationship Id="rId70" Type="http://schemas.openxmlformats.org/officeDocument/2006/relationships/oleObject" Target="embeddings/oleObject19.bin"/><Relationship Id="rId7" Type="http://schemas.openxmlformats.org/officeDocument/2006/relationships/header" Target="header2.xml"/><Relationship Id="rId69" Type="http://schemas.openxmlformats.org/officeDocument/2006/relationships/image" Target="media/image39.wmf"/><Relationship Id="rId68" Type="http://schemas.openxmlformats.org/officeDocument/2006/relationships/oleObject" Target="embeddings/oleObject18.bin"/><Relationship Id="rId67" Type="http://schemas.openxmlformats.org/officeDocument/2006/relationships/image" Target="media/image38.wmf"/><Relationship Id="rId66" Type="http://schemas.openxmlformats.org/officeDocument/2006/relationships/oleObject" Target="embeddings/oleObject17.bin"/><Relationship Id="rId65" Type="http://schemas.openxmlformats.org/officeDocument/2006/relationships/image" Target="media/image37.wmf"/><Relationship Id="rId64" Type="http://schemas.openxmlformats.org/officeDocument/2006/relationships/oleObject" Target="embeddings/oleObject16.bin"/><Relationship Id="rId63" Type="http://schemas.openxmlformats.org/officeDocument/2006/relationships/image" Target="media/image36.wmf"/><Relationship Id="rId62" Type="http://schemas.openxmlformats.org/officeDocument/2006/relationships/oleObject" Target="embeddings/oleObject15.bin"/><Relationship Id="rId61" Type="http://schemas.openxmlformats.org/officeDocument/2006/relationships/image" Target="media/image35.wmf"/><Relationship Id="rId60" Type="http://schemas.openxmlformats.org/officeDocument/2006/relationships/oleObject" Target="embeddings/oleObject14.bin"/><Relationship Id="rId6" Type="http://schemas.openxmlformats.org/officeDocument/2006/relationships/footer" Target="footer3.xml"/><Relationship Id="rId59" Type="http://schemas.openxmlformats.org/officeDocument/2006/relationships/image" Target="media/image34.wmf"/><Relationship Id="rId58" Type="http://schemas.openxmlformats.org/officeDocument/2006/relationships/oleObject" Target="embeddings/oleObject13.bin"/><Relationship Id="rId57" Type="http://schemas.openxmlformats.org/officeDocument/2006/relationships/image" Target="media/image33.wmf"/><Relationship Id="rId56" Type="http://schemas.openxmlformats.org/officeDocument/2006/relationships/oleObject" Target="embeddings/oleObject12.bin"/><Relationship Id="rId55" Type="http://schemas.openxmlformats.org/officeDocument/2006/relationships/image" Target="media/image32.wmf"/><Relationship Id="rId54" Type="http://schemas.openxmlformats.org/officeDocument/2006/relationships/oleObject" Target="embeddings/oleObject11.bin"/><Relationship Id="rId53" Type="http://schemas.openxmlformats.org/officeDocument/2006/relationships/image" Target="media/image31.wmf"/><Relationship Id="rId52" Type="http://schemas.openxmlformats.org/officeDocument/2006/relationships/oleObject" Target="embeddings/oleObject10.bin"/><Relationship Id="rId51" Type="http://schemas.openxmlformats.org/officeDocument/2006/relationships/image" Target="media/image30.wmf"/><Relationship Id="rId509" Type="http://schemas.openxmlformats.org/officeDocument/2006/relationships/fontTable" Target="fontTable.xml"/><Relationship Id="rId508" Type="http://schemas.openxmlformats.org/officeDocument/2006/relationships/customXml" Target="../customXml/item2.xml"/><Relationship Id="rId507" Type="http://schemas.openxmlformats.org/officeDocument/2006/relationships/numbering" Target="numbering.xml"/><Relationship Id="rId506" Type="http://schemas.openxmlformats.org/officeDocument/2006/relationships/customXml" Target="../customXml/item1.xml"/><Relationship Id="rId505" Type="http://schemas.openxmlformats.org/officeDocument/2006/relationships/image" Target="media/image264.png"/><Relationship Id="rId504" Type="http://schemas.openxmlformats.org/officeDocument/2006/relationships/image" Target="media/image263.png"/><Relationship Id="rId503" Type="http://schemas.openxmlformats.org/officeDocument/2006/relationships/image" Target="media/image262.png"/><Relationship Id="rId502" Type="http://schemas.openxmlformats.org/officeDocument/2006/relationships/image" Target="media/image261.png"/><Relationship Id="rId501" Type="http://schemas.openxmlformats.org/officeDocument/2006/relationships/image" Target="media/image260.png"/><Relationship Id="rId500" Type="http://schemas.openxmlformats.org/officeDocument/2006/relationships/image" Target="media/image259.png"/><Relationship Id="rId50" Type="http://schemas.openxmlformats.org/officeDocument/2006/relationships/oleObject" Target="embeddings/oleObject9.bin"/><Relationship Id="rId5" Type="http://schemas.openxmlformats.org/officeDocument/2006/relationships/footer" Target="footer2.xml"/><Relationship Id="rId499" Type="http://schemas.openxmlformats.org/officeDocument/2006/relationships/image" Target="media/image258.png"/><Relationship Id="rId498" Type="http://schemas.openxmlformats.org/officeDocument/2006/relationships/image" Target="media/image257.png"/><Relationship Id="rId497" Type="http://schemas.openxmlformats.org/officeDocument/2006/relationships/image" Target="media/image256.png"/><Relationship Id="rId496" Type="http://schemas.openxmlformats.org/officeDocument/2006/relationships/image" Target="media/image255.png"/><Relationship Id="rId495" Type="http://schemas.openxmlformats.org/officeDocument/2006/relationships/image" Target="media/image254.png"/><Relationship Id="rId494" Type="http://schemas.openxmlformats.org/officeDocument/2006/relationships/image" Target="media/image253.png"/><Relationship Id="rId493" Type="http://schemas.openxmlformats.org/officeDocument/2006/relationships/image" Target="media/image252.jpeg"/><Relationship Id="rId492" Type="http://schemas.openxmlformats.org/officeDocument/2006/relationships/image" Target="media/image251.wmf"/><Relationship Id="rId491" Type="http://schemas.openxmlformats.org/officeDocument/2006/relationships/oleObject" Target="embeddings/oleObject229.bin"/><Relationship Id="rId490" Type="http://schemas.openxmlformats.org/officeDocument/2006/relationships/image" Target="media/image250.wmf"/><Relationship Id="rId49" Type="http://schemas.openxmlformats.org/officeDocument/2006/relationships/image" Target="media/image29.wmf"/><Relationship Id="rId489" Type="http://schemas.openxmlformats.org/officeDocument/2006/relationships/oleObject" Target="embeddings/oleObject228.bin"/><Relationship Id="rId488" Type="http://schemas.openxmlformats.org/officeDocument/2006/relationships/image" Target="media/image249.wmf"/><Relationship Id="rId487" Type="http://schemas.openxmlformats.org/officeDocument/2006/relationships/oleObject" Target="embeddings/oleObject227.bin"/><Relationship Id="rId486" Type="http://schemas.openxmlformats.org/officeDocument/2006/relationships/image" Target="media/image248.wmf"/><Relationship Id="rId485" Type="http://schemas.openxmlformats.org/officeDocument/2006/relationships/oleObject" Target="embeddings/oleObject226.bin"/><Relationship Id="rId484" Type="http://schemas.openxmlformats.org/officeDocument/2006/relationships/image" Target="media/image247.wmf"/><Relationship Id="rId483" Type="http://schemas.openxmlformats.org/officeDocument/2006/relationships/oleObject" Target="embeddings/oleObject225.bin"/><Relationship Id="rId482" Type="http://schemas.openxmlformats.org/officeDocument/2006/relationships/oleObject" Target="embeddings/oleObject224.bin"/><Relationship Id="rId481" Type="http://schemas.openxmlformats.org/officeDocument/2006/relationships/image" Target="media/image246.wmf"/><Relationship Id="rId480" Type="http://schemas.openxmlformats.org/officeDocument/2006/relationships/oleObject" Target="embeddings/oleObject223.bin"/><Relationship Id="rId48" Type="http://schemas.openxmlformats.org/officeDocument/2006/relationships/oleObject" Target="embeddings/oleObject8.bin"/><Relationship Id="rId479" Type="http://schemas.openxmlformats.org/officeDocument/2006/relationships/image" Target="media/image245.wmf"/><Relationship Id="rId478" Type="http://schemas.openxmlformats.org/officeDocument/2006/relationships/oleObject" Target="embeddings/oleObject222.bin"/><Relationship Id="rId477" Type="http://schemas.openxmlformats.org/officeDocument/2006/relationships/image" Target="media/image244.wmf"/><Relationship Id="rId476" Type="http://schemas.openxmlformats.org/officeDocument/2006/relationships/oleObject" Target="embeddings/oleObject221.bin"/><Relationship Id="rId475" Type="http://schemas.openxmlformats.org/officeDocument/2006/relationships/image" Target="media/image243.wmf"/><Relationship Id="rId474" Type="http://schemas.openxmlformats.org/officeDocument/2006/relationships/oleObject" Target="embeddings/oleObject220.bin"/><Relationship Id="rId473" Type="http://schemas.openxmlformats.org/officeDocument/2006/relationships/image" Target="media/image242.wmf"/><Relationship Id="rId472" Type="http://schemas.openxmlformats.org/officeDocument/2006/relationships/oleObject" Target="embeddings/oleObject219.bin"/><Relationship Id="rId471" Type="http://schemas.openxmlformats.org/officeDocument/2006/relationships/image" Target="media/image241.wmf"/><Relationship Id="rId470" Type="http://schemas.openxmlformats.org/officeDocument/2006/relationships/oleObject" Target="embeddings/oleObject218.bin"/><Relationship Id="rId47" Type="http://schemas.openxmlformats.org/officeDocument/2006/relationships/image" Target="media/image28.png"/><Relationship Id="rId469" Type="http://schemas.openxmlformats.org/officeDocument/2006/relationships/image" Target="media/image240.wmf"/><Relationship Id="rId468" Type="http://schemas.openxmlformats.org/officeDocument/2006/relationships/oleObject" Target="embeddings/oleObject217.bin"/><Relationship Id="rId467" Type="http://schemas.openxmlformats.org/officeDocument/2006/relationships/image" Target="media/image239.wmf"/><Relationship Id="rId466" Type="http://schemas.openxmlformats.org/officeDocument/2006/relationships/oleObject" Target="embeddings/oleObject216.bin"/><Relationship Id="rId465" Type="http://schemas.openxmlformats.org/officeDocument/2006/relationships/image" Target="media/image238.wmf"/><Relationship Id="rId464" Type="http://schemas.openxmlformats.org/officeDocument/2006/relationships/oleObject" Target="embeddings/oleObject215.bin"/><Relationship Id="rId463" Type="http://schemas.openxmlformats.org/officeDocument/2006/relationships/image" Target="media/image237.wmf"/><Relationship Id="rId462" Type="http://schemas.openxmlformats.org/officeDocument/2006/relationships/oleObject" Target="embeddings/oleObject214.bin"/><Relationship Id="rId461" Type="http://schemas.openxmlformats.org/officeDocument/2006/relationships/image" Target="media/image236.wmf"/><Relationship Id="rId460" Type="http://schemas.openxmlformats.org/officeDocument/2006/relationships/oleObject" Target="embeddings/oleObject213.bin"/><Relationship Id="rId46" Type="http://schemas.openxmlformats.org/officeDocument/2006/relationships/image" Target="media/image27.wmf"/><Relationship Id="rId459" Type="http://schemas.openxmlformats.org/officeDocument/2006/relationships/image" Target="media/image235.wmf"/><Relationship Id="rId458" Type="http://schemas.openxmlformats.org/officeDocument/2006/relationships/oleObject" Target="embeddings/oleObject212.bin"/><Relationship Id="rId457" Type="http://schemas.openxmlformats.org/officeDocument/2006/relationships/oleObject" Target="embeddings/oleObject211.bin"/><Relationship Id="rId456" Type="http://schemas.openxmlformats.org/officeDocument/2006/relationships/image" Target="media/image234.wmf"/><Relationship Id="rId455" Type="http://schemas.openxmlformats.org/officeDocument/2006/relationships/oleObject" Target="embeddings/oleObject210.bin"/><Relationship Id="rId454" Type="http://schemas.openxmlformats.org/officeDocument/2006/relationships/image" Target="media/image233.wmf"/><Relationship Id="rId453" Type="http://schemas.openxmlformats.org/officeDocument/2006/relationships/oleObject" Target="embeddings/oleObject209.bin"/><Relationship Id="rId452" Type="http://schemas.openxmlformats.org/officeDocument/2006/relationships/image" Target="media/image232.wmf"/><Relationship Id="rId451" Type="http://schemas.openxmlformats.org/officeDocument/2006/relationships/oleObject" Target="embeddings/oleObject208.bin"/><Relationship Id="rId450" Type="http://schemas.openxmlformats.org/officeDocument/2006/relationships/image" Target="media/image231.wmf"/><Relationship Id="rId45" Type="http://schemas.openxmlformats.org/officeDocument/2006/relationships/oleObject" Target="embeddings/oleObject7.bin"/><Relationship Id="rId449" Type="http://schemas.openxmlformats.org/officeDocument/2006/relationships/oleObject" Target="embeddings/oleObject207.bin"/><Relationship Id="rId448" Type="http://schemas.openxmlformats.org/officeDocument/2006/relationships/image" Target="media/image230.wmf"/><Relationship Id="rId447" Type="http://schemas.openxmlformats.org/officeDocument/2006/relationships/oleObject" Target="embeddings/oleObject206.bin"/><Relationship Id="rId446" Type="http://schemas.openxmlformats.org/officeDocument/2006/relationships/image" Target="media/image229.wmf"/><Relationship Id="rId445" Type="http://schemas.openxmlformats.org/officeDocument/2006/relationships/oleObject" Target="embeddings/oleObject205.bin"/><Relationship Id="rId444" Type="http://schemas.openxmlformats.org/officeDocument/2006/relationships/oleObject" Target="embeddings/oleObject204.bin"/><Relationship Id="rId443" Type="http://schemas.openxmlformats.org/officeDocument/2006/relationships/image" Target="media/image228.wmf"/><Relationship Id="rId442" Type="http://schemas.openxmlformats.org/officeDocument/2006/relationships/oleObject" Target="embeddings/oleObject203.bin"/><Relationship Id="rId441" Type="http://schemas.openxmlformats.org/officeDocument/2006/relationships/image" Target="media/image227.wmf"/><Relationship Id="rId440" Type="http://schemas.openxmlformats.org/officeDocument/2006/relationships/oleObject" Target="embeddings/oleObject202.bin"/><Relationship Id="rId44" Type="http://schemas.openxmlformats.org/officeDocument/2006/relationships/image" Target="media/image26.png"/><Relationship Id="rId439" Type="http://schemas.openxmlformats.org/officeDocument/2006/relationships/image" Target="media/image226.wmf"/><Relationship Id="rId438" Type="http://schemas.openxmlformats.org/officeDocument/2006/relationships/oleObject" Target="embeddings/oleObject201.bin"/><Relationship Id="rId437" Type="http://schemas.openxmlformats.org/officeDocument/2006/relationships/image" Target="media/image225.wmf"/><Relationship Id="rId436" Type="http://schemas.openxmlformats.org/officeDocument/2006/relationships/oleObject" Target="embeddings/oleObject200.bin"/><Relationship Id="rId435" Type="http://schemas.openxmlformats.org/officeDocument/2006/relationships/image" Target="media/image224.wmf"/><Relationship Id="rId434" Type="http://schemas.openxmlformats.org/officeDocument/2006/relationships/oleObject" Target="embeddings/oleObject199.bin"/><Relationship Id="rId433" Type="http://schemas.openxmlformats.org/officeDocument/2006/relationships/image" Target="media/image223.wmf"/><Relationship Id="rId432" Type="http://schemas.openxmlformats.org/officeDocument/2006/relationships/oleObject" Target="embeddings/oleObject198.bin"/><Relationship Id="rId431" Type="http://schemas.openxmlformats.org/officeDocument/2006/relationships/oleObject" Target="embeddings/oleObject197.bin"/><Relationship Id="rId430" Type="http://schemas.openxmlformats.org/officeDocument/2006/relationships/oleObject" Target="embeddings/oleObject196.bin"/><Relationship Id="rId43" Type="http://schemas.openxmlformats.org/officeDocument/2006/relationships/image" Target="media/image25.png"/><Relationship Id="rId429" Type="http://schemas.openxmlformats.org/officeDocument/2006/relationships/image" Target="media/image222.wmf"/><Relationship Id="rId428" Type="http://schemas.openxmlformats.org/officeDocument/2006/relationships/oleObject" Target="embeddings/oleObject195.bin"/><Relationship Id="rId427" Type="http://schemas.openxmlformats.org/officeDocument/2006/relationships/image" Target="media/image221.wmf"/><Relationship Id="rId426" Type="http://schemas.openxmlformats.org/officeDocument/2006/relationships/oleObject" Target="embeddings/oleObject194.bin"/><Relationship Id="rId425" Type="http://schemas.openxmlformats.org/officeDocument/2006/relationships/image" Target="media/image220.wmf"/><Relationship Id="rId424" Type="http://schemas.openxmlformats.org/officeDocument/2006/relationships/oleObject" Target="embeddings/oleObject193.bin"/><Relationship Id="rId423" Type="http://schemas.openxmlformats.org/officeDocument/2006/relationships/image" Target="media/image219.wmf"/><Relationship Id="rId422" Type="http://schemas.openxmlformats.org/officeDocument/2006/relationships/oleObject" Target="embeddings/oleObject192.bin"/><Relationship Id="rId421" Type="http://schemas.openxmlformats.org/officeDocument/2006/relationships/image" Target="media/image218.wmf"/><Relationship Id="rId420" Type="http://schemas.openxmlformats.org/officeDocument/2006/relationships/oleObject" Target="embeddings/oleObject191.bin"/><Relationship Id="rId42" Type="http://schemas.openxmlformats.org/officeDocument/2006/relationships/image" Target="media/image24.wmf"/><Relationship Id="rId419" Type="http://schemas.openxmlformats.org/officeDocument/2006/relationships/image" Target="media/image217.wmf"/><Relationship Id="rId418" Type="http://schemas.openxmlformats.org/officeDocument/2006/relationships/oleObject" Target="embeddings/oleObject190.bin"/><Relationship Id="rId417" Type="http://schemas.openxmlformats.org/officeDocument/2006/relationships/image" Target="media/image216.wmf"/><Relationship Id="rId416" Type="http://schemas.openxmlformats.org/officeDocument/2006/relationships/oleObject" Target="embeddings/oleObject189.bin"/><Relationship Id="rId415" Type="http://schemas.openxmlformats.org/officeDocument/2006/relationships/image" Target="media/image215.wmf"/><Relationship Id="rId414" Type="http://schemas.openxmlformats.org/officeDocument/2006/relationships/oleObject" Target="embeddings/oleObject188.bin"/><Relationship Id="rId413" Type="http://schemas.openxmlformats.org/officeDocument/2006/relationships/image" Target="media/image214.wmf"/><Relationship Id="rId412" Type="http://schemas.openxmlformats.org/officeDocument/2006/relationships/oleObject" Target="embeddings/oleObject187.bin"/><Relationship Id="rId411" Type="http://schemas.openxmlformats.org/officeDocument/2006/relationships/image" Target="media/image213.wmf"/><Relationship Id="rId410" Type="http://schemas.openxmlformats.org/officeDocument/2006/relationships/oleObject" Target="embeddings/oleObject186.bin"/><Relationship Id="rId41" Type="http://schemas.openxmlformats.org/officeDocument/2006/relationships/oleObject" Target="embeddings/oleObject6.bin"/><Relationship Id="rId409" Type="http://schemas.openxmlformats.org/officeDocument/2006/relationships/image" Target="media/image212.wmf"/><Relationship Id="rId408" Type="http://schemas.openxmlformats.org/officeDocument/2006/relationships/oleObject" Target="embeddings/oleObject185.bin"/><Relationship Id="rId407" Type="http://schemas.openxmlformats.org/officeDocument/2006/relationships/image" Target="media/image211.wmf"/><Relationship Id="rId406" Type="http://schemas.openxmlformats.org/officeDocument/2006/relationships/oleObject" Target="embeddings/oleObject184.bin"/><Relationship Id="rId405" Type="http://schemas.openxmlformats.org/officeDocument/2006/relationships/image" Target="media/image210.wmf"/><Relationship Id="rId404" Type="http://schemas.openxmlformats.org/officeDocument/2006/relationships/oleObject" Target="embeddings/oleObject183.bin"/><Relationship Id="rId403" Type="http://schemas.openxmlformats.org/officeDocument/2006/relationships/image" Target="media/image209.wmf"/><Relationship Id="rId402" Type="http://schemas.openxmlformats.org/officeDocument/2006/relationships/oleObject" Target="embeddings/oleObject182.bin"/><Relationship Id="rId401" Type="http://schemas.openxmlformats.org/officeDocument/2006/relationships/image" Target="media/image208.wmf"/><Relationship Id="rId400" Type="http://schemas.openxmlformats.org/officeDocument/2006/relationships/oleObject" Target="embeddings/oleObject181.bin"/><Relationship Id="rId40" Type="http://schemas.openxmlformats.org/officeDocument/2006/relationships/image" Target="media/image23.wmf"/><Relationship Id="rId4" Type="http://schemas.openxmlformats.org/officeDocument/2006/relationships/footer" Target="footer1.xml"/><Relationship Id="rId399" Type="http://schemas.openxmlformats.org/officeDocument/2006/relationships/image" Target="media/image207.wmf"/><Relationship Id="rId398" Type="http://schemas.openxmlformats.org/officeDocument/2006/relationships/oleObject" Target="embeddings/oleObject180.bin"/><Relationship Id="rId397" Type="http://schemas.openxmlformats.org/officeDocument/2006/relationships/image" Target="media/image206.wmf"/><Relationship Id="rId396" Type="http://schemas.openxmlformats.org/officeDocument/2006/relationships/oleObject" Target="embeddings/oleObject179.bin"/><Relationship Id="rId395" Type="http://schemas.openxmlformats.org/officeDocument/2006/relationships/image" Target="media/image205.wmf"/><Relationship Id="rId394" Type="http://schemas.openxmlformats.org/officeDocument/2006/relationships/oleObject" Target="embeddings/oleObject178.bin"/><Relationship Id="rId393" Type="http://schemas.openxmlformats.org/officeDocument/2006/relationships/image" Target="media/image204.wmf"/><Relationship Id="rId392" Type="http://schemas.openxmlformats.org/officeDocument/2006/relationships/oleObject" Target="embeddings/oleObject177.bin"/><Relationship Id="rId391" Type="http://schemas.openxmlformats.org/officeDocument/2006/relationships/image" Target="media/image203.wmf"/><Relationship Id="rId390" Type="http://schemas.openxmlformats.org/officeDocument/2006/relationships/oleObject" Target="embeddings/oleObject176.bin"/><Relationship Id="rId39" Type="http://schemas.openxmlformats.org/officeDocument/2006/relationships/oleObject" Target="embeddings/oleObject5.bin"/><Relationship Id="rId389" Type="http://schemas.openxmlformats.org/officeDocument/2006/relationships/image" Target="media/image202.wmf"/><Relationship Id="rId388" Type="http://schemas.openxmlformats.org/officeDocument/2006/relationships/oleObject" Target="embeddings/oleObject175.bin"/><Relationship Id="rId387" Type="http://schemas.openxmlformats.org/officeDocument/2006/relationships/image" Target="media/image201.wmf"/><Relationship Id="rId386" Type="http://schemas.openxmlformats.org/officeDocument/2006/relationships/oleObject" Target="embeddings/oleObject174.bin"/><Relationship Id="rId385" Type="http://schemas.openxmlformats.org/officeDocument/2006/relationships/image" Target="media/image200.png"/><Relationship Id="rId384" Type="http://schemas.openxmlformats.org/officeDocument/2006/relationships/image" Target="media/image199.png"/><Relationship Id="rId383" Type="http://schemas.openxmlformats.org/officeDocument/2006/relationships/image" Target="media/image198.png"/><Relationship Id="rId382" Type="http://schemas.openxmlformats.org/officeDocument/2006/relationships/image" Target="media/image197.png"/><Relationship Id="rId381" Type="http://schemas.openxmlformats.org/officeDocument/2006/relationships/image" Target="media/image196.png"/><Relationship Id="rId380" Type="http://schemas.openxmlformats.org/officeDocument/2006/relationships/image" Target="media/image195.png"/><Relationship Id="rId38" Type="http://schemas.openxmlformats.org/officeDocument/2006/relationships/image" Target="media/image22.wmf"/><Relationship Id="rId379" Type="http://schemas.openxmlformats.org/officeDocument/2006/relationships/image" Target="media/image194.png"/><Relationship Id="rId378" Type="http://schemas.openxmlformats.org/officeDocument/2006/relationships/image" Target="media/image193.png"/><Relationship Id="rId377" Type="http://schemas.openxmlformats.org/officeDocument/2006/relationships/image" Target="media/image192.png"/><Relationship Id="rId376" Type="http://schemas.openxmlformats.org/officeDocument/2006/relationships/image" Target="media/image191.png"/><Relationship Id="rId375" Type="http://schemas.openxmlformats.org/officeDocument/2006/relationships/image" Target="media/image190.png"/><Relationship Id="rId374" Type="http://schemas.openxmlformats.org/officeDocument/2006/relationships/image" Target="media/image189.png"/><Relationship Id="rId373" Type="http://schemas.openxmlformats.org/officeDocument/2006/relationships/image" Target="media/image188.png"/><Relationship Id="rId372" Type="http://schemas.openxmlformats.org/officeDocument/2006/relationships/image" Target="media/image187.png"/><Relationship Id="rId371" Type="http://schemas.openxmlformats.org/officeDocument/2006/relationships/image" Target="media/image186.png"/><Relationship Id="rId370" Type="http://schemas.openxmlformats.org/officeDocument/2006/relationships/image" Target="media/image185.png"/><Relationship Id="rId37" Type="http://schemas.openxmlformats.org/officeDocument/2006/relationships/oleObject" Target="embeddings/oleObject4.bin"/><Relationship Id="rId369" Type="http://schemas.openxmlformats.org/officeDocument/2006/relationships/oleObject" Target="embeddings/oleObject173.bin"/><Relationship Id="rId368" Type="http://schemas.openxmlformats.org/officeDocument/2006/relationships/oleObject" Target="embeddings/oleObject172.bin"/><Relationship Id="rId367" Type="http://schemas.openxmlformats.org/officeDocument/2006/relationships/oleObject" Target="embeddings/oleObject171.bin"/><Relationship Id="rId366" Type="http://schemas.openxmlformats.org/officeDocument/2006/relationships/oleObject" Target="embeddings/oleObject170.bin"/><Relationship Id="rId365" Type="http://schemas.openxmlformats.org/officeDocument/2006/relationships/oleObject" Target="embeddings/oleObject169.bin"/><Relationship Id="rId364" Type="http://schemas.openxmlformats.org/officeDocument/2006/relationships/oleObject" Target="embeddings/oleObject168.bin"/><Relationship Id="rId363" Type="http://schemas.openxmlformats.org/officeDocument/2006/relationships/oleObject" Target="embeddings/oleObject167.bin"/><Relationship Id="rId362" Type="http://schemas.openxmlformats.org/officeDocument/2006/relationships/oleObject" Target="embeddings/oleObject166.bin"/><Relationship Id="rId361" Type="http://schemas.openxmlformats.org/officeDocument/2006/relationships/image" Target="media/image184.wmf"/><Relationship Id="rId360" Type="http://schemas.openxmlformats.org/officeDocument/2006/relationships/oleObject" Target="embeddings/oleObject165.bin"/><Relationship Id="rId36" Type="http://schemas.openxmlformats.org/officeDocument/2006/relationships/image" Target="media/image21.wmf"/><Relationship Id="rId359" Type="http://schemas.openxmlformats.org/officeDocument/2006/relationships/oleObject" Target="embeddings/oleObject164.bin"/><Relationship Id="rId358" Type="http://schemas.openxmlformats.org/officeDocument/2006/relationships/oleObject" Target="embeddings/oleObject163.bin"/><Relationship Id="rId357" Type="http://schemas.openxmlformats.org/officeDocument/2006/relationships/oleObject" Target="embeddings/oleObject162.bin"/><Relationship Id="rId356" Type="http://schemas.openxmlformats.org/officeDocument/2006/relationships/oleObject" Target="embeddings/oleObject161.bin"/><Relationship Id="rId355" Type="http://schemas.openxmlformats.org/officeDocument/2006/relationships/image" Target="media/image183.wmf"/><Relationship Id="rId354" Type="http://schemas.openxmlformats.org/officeDocument/2006/relationships/oleObject" Target="embeddings/oleObject160.bin"/><Relationship Id="rId353" Type="http://schemas.openxmlformats.org/officeDocument/2006/relationships/oleObject" Target="embeddings/oleObject159.bin"/><Relationship Id="rId352" Type="http://schemas.openxmlformats.org/officeDocument/2006/relationships/oleObject" Target="embeddings/oleObject158.bin"/><Relationship Id="rId351" Type="http://schemas.openxmlformats.org/officeDocument/2006/relationships/oleObject" Target="embeddings/oleObject157.bin"/><Relationship Id="rId350" Type="http://schemas.openxmlformats.org/officeDocument/2006/relationships/oleObject" Target="embeddings/oleObject156.bin"/><Relationship Id="rId35" Type="http://schemas.openxmlformats.org/officeDocument/2006/relationships/oleObject" Target="embeddings/oleObject3.bin"/><Relationship Id="rId349" Type="http://schemas.openxmlformats.org/officeDocument/2006/relationships/image" Target="media/image182.wmf"/><Relationship Id="rId348" Type="http://schemas.openxmlformats.org/officeDocument/2006/relationships/oleObject" Target="embeddings/oleObject155.bin"/><Relationship Id="rId347" Type="http://schemas.openxmlformats.org/officeDocument/2006/relationships/image" Target="media/image181.wmf"/><Relationship Id="rId346" Type="http://schemas.openxmlformats.org/officeDocument/2006/relationships/oleObject" Target="embeddings/oleObject154.bin"/><Relationship Id="rId345" Type="http://schemas.openxmlformats.org/officeDocument/2006/relationships/image" Target="media/image180.wmf"/><Relationship Id="rId344" Type="http://schemas.openxmlformats.org/officeDocument/2006/relationships/oleObject" Target="embeddings/oleObject153.bin"/><Relationship Id="rId343" Type="http://schemas.openxmlformats.org/officeDocument/2006/relationships/image" Target="media/image179.wmf"/><Relationship Id="rId342" Type="http://schemas.openxmlformats.org/officeDocument/2006/relationships/oleObject" Target="embeddings/oleObject152.bin"/><Relationship Id="rId341" Type="http://schemas.openxmlformats.org/officeDocument/2006/relationships/oleObject" Target="embeddings/oleObject151.bin"/><Relationship Id="rId340" Type="http://schemas.openxmlformats.org/officeDocument/2006/relationships/oleObject" Target="embeddings/oleObject150.bin"/><Relationship Id="rId34" Type="http://schemas.openxmlformats.org/officeDocument/2006/relationships/image" Target="media/image20.wmf"/><Relationship Id="rId339" Type="http://schemas.openxmlformats.org/officeDocument/2006/relationships/image" Target="media/image178.wmf"/><Relationship Id="rId338" Type="http://schemas.openxmlformats.org/officeDocument/2006/relationships/oleObject" Target="embeddings/oleObject149.bin"/><Relationship Id="rId337" Type="http://schemas.openxmlformats.org/officeDocument/2006/relationships/image" Target="media/image177.wmf"/><Relationship Id="rId336" Type="http://schemas.openxmlformats.org/officeDocument/2006/relationships/oleObject" Target="embeddings/oleObject148.bin"/><Relationship Id="rId335" Type="http://schemas.openxmlformats.org/officeDocument/2006/relationships/image" Target="media/image176.wmf"/><Relationship Id="rId334" Type="http://schemas.openxmlformats.org/officeDocument/2006/relationships/oleObject" Target="embeddings/oleObject147.bin"/><Relationship Id="rId333" Type="http://schemas.openxmlformats.org/officeDocument/2006/relationships/image" Target="media/image175.wmf"/><Relationship Id="rId332" Type="http://schemas.openxmlformats.org/officeDocument/2006/relationships/oleObject" Target="embeddings/oleObject146.bin"/><Relationship Id="rId331" Type="http://schemas.openxmlformats.org/officeDocument/2006/relationships/image" Target="media/image174.emf"/><Relationship Id="rId330" Type="http://schemas.openxmlformats.org/officeDocument/2006/relationships/image" Target="media/image173.wmf"/><Relationship Id="rId33" Type="http://schemas.openxmlformats.org/officeDocument/2006/relationships/oleObject" Target="embeddings/oleObject2.bin"/><Relationship Id="rId329" Type="http://schemas.openxmlformats.org/officeDocument/2006/relationships/oleObject" Target="embeddings/oleObject145.bin"/><Relationship Id="rId328" Type="http://schemas.openxmlformats.org/officeDocument/2006/relationships/image" Target="media/image172.wmf"/><Relationship Id="rId327" Type="http://schemas.openxmlformats.org/officeDocument/2006/relationships/oleObject" Target="embeddings/oleObject144.bin"/><Relationship Id="rId326" Type="http://schemas.openxmlformats.org/officeDocument/2006/relationships/image" Target="media/image171.wmf"/><Relationship Id="rId325" Type="http://schemas.openxmlformats.org/officeDocument/2006/relationships/oleObject" Target="embeddings/oleObject143.bin"/><Relationship Id="rId324" Type="http://schemas.openxmlformats.org/officeDocument/2006/relationships/image" Target="media/image170.wmf"/><Relationship Id="rId323" Type="http://schemas.openxmlformats.org/officeDocument/2006/relationships/oleObject" Target="embeddings/oleObject142.bin"/><Relationship Id="rId322" Type="http://schemas.openxmlformats.org/officeDocument/2006/relationships/image" Target="media/image169.wmf"/><Relationship Id="rId321" Type="http://schemas.openxmlformats.org/officeDocument/2006/relationships/oleObject" Target="embeddings/oleObject141.bin"/><Relationship Id="rId320" Type="http://schemas.openxmlformats.org/officeDocument/2006/relationships/image" Target="media/image168.wmf"/><Relationship Id="rId32" Type="http://schemas.openxmlformats.org/officeDocument/2006/relationships/image" Target="media/image19.wmf"/><Relationship Id="rId319" Type="http://schemas.openxmlformats.org/officeDocument/2006/relationships/oleObject" Target="embeddings/oleObject140.bin"/><Relationship Id="rId318" Type="http://schemas.openxmlformats.org/officeDocument/2006/relationships/image" Target="media/image167.wmf"/><Relationship Id="rId317" Type="http://schemas.openxmlformats.org/officeDocument/2006/relationships/oleObject" Target="embeddings/oleObject139.bin"/><Relationship Id="rId316" Type="http://schemas.openxmlformats.org/officeDocument/2006/relationships/image" Target="media/image166.jpeg"/><Relationship Id="rId315" Type="http://schemas.openxmlformats.org/officeDocument/2006/relationships/image" Target="media/image165.png"/><Relationship Id="rId314" Type="http://schemas.openxmlformats.org/officeDocument/2006/relationships/image" Target="media/image164.png"/><Relationship Id="rId313" Type="http://schemas.openxmlformats.org/officeDocument/2006/relationships/image" Target="media/image163.wmf"/><Relationship Id="rId312" Type="http://schemas.openxmlformats.org/officeDocument/2006/relationships/oleObject" Target="embeddings/oleObject138.bin"/><Relationship Id="rId311" Type="http://schemas.openxmlformats.org/officeDocument/2006/relationships/image" Target="media/image162.wmf"/><Relationship Id="rId310" Type="http://schemas.openxmlformats.org/officeDocument/2006/relationships/oleObject" Target="embeddings/oleObject137.bin"/><Relationship Id="rId31" Type="http://schemas.openxmlformats.org/officeDocument/2006/relationships/oleObject" Target="embeddings/oleObject1.bin"/><Relationship Id="rId309" Type="http://schemas.openxmlformats.org/officeDocument/2006/relationships/image" Target="media/image161.wmf"/><Relationship Id="rId308" Type="http://schemas.openxmlformats.org/officeDocument/2006/relationships/oleObject" Target="embeddings/oleObject136.bin"/><Relationship Id="rId307" Type="http://schemas.openxmlformats.org/officeDocument/2006/relationships/image" Target="media/image160.wmf"/><Relationship Id="rId306" Type="http://schemas.openxmlformats.org/officeDocument/2006/relationships/oleObject" Target="embeddings/oleObject135.bin"/><Relationship Id="rId305" Type="http://schemas.openxmlformats.org/officeDocument/2006/relationships/image" Target="media/image159.wmf"/><Relationship Id="rId304" Type="http://schemas.openxmlformats.org/officeDocument/2006/relationships/oleObject" Target="embeddings/oleObject134.bin"/><Relationship Id="rId303" Type="http://schemas.openxmlformats.org/officeDocument/2006/relationships/image" Target="media/image158.wmf"/><Relationship Id="rId302" Type="http://schemas.openxmlformats.org/officeDocument/2006/relationships/oleObject" Target="embeddings/oleObject133.bin"/><Relationship Id="rId301" Type="http://schemas.openxmlformats.org/officeDocument/2006/relationships/oleObject" Target="embeddings/oleObject132.bin"/><Relationship Id="rId300" Type="http://schemas.openxmlformats.org/officeDocument/2006/relationships/image" Target="media/image157.wmf"/><Relationship Id="rId30" Type="http://schemas.openxmlformats.org/officeDocument/2006/relationships/image" Target="media/image18.png"/><Relationship Id="rId3" Type="http://schemas.openxmlformats.org/officeDocument/2006/relationships/header" Target="header1.xml"/><Relationship Id="rId299" Type="http://schemas.openxmlformats.org/officeDocument/2006/relationships/oleObject" Target="embeddings/oleObject131.bin"/><Relationship Id="rId298" Type="http://schemas.openxmlformats.org/officeDocument/2006/relationships/image" Target="media/image156.wmf"/><Relationship Id="rId297" Type="http://schemas.openxmlformats.org/officeDocument/2006/relationships/oleObject" Target="embeddings/oleObject130.bin"/><Relationship Id="rId296" Type="http://schemas.openxmlformats.org/officeDocument/2006/relationships/image" Target="media/image155.wmf"/><Relationship Id="rId295" Type="http://schemas.openxmlformats.org/officeDocument/2006/relationships/oleObject" Target="embeddings/oleObject129.bin"/><Relationship Id="rId294" Type="http://schemas.openxmlformats.org/officeDocument/2006/relationships/image" Target="media/image154.wmf"/><Relationship Id="rId293" Type="http://schemas.openxmlformats.org/officeDocument/2006/relationships/oleObject" Target="embeddings/oleObject128.bin"/><Relationship Id="rId292" Type="http://schemas.openxmlformats.org/officeDocument/2006/relationships/image" Target="media/image153.wmf"/><Relationship Id="rId291" Type="http://schemas.openxmlformats.org/officeDocument/2006/relationships/oleObject" Target="embeddings/oleObject127.bin"/><Relationship Id="rId290" Type="http://schemas.openxmlformats.org/officeDocument/2006/relationships/image" Target="media/image152.wmf"/><Relationship Id="rId29" Type="http://schemas.openxmlformats.org/officeDocument/2006/relationships/image" Target="media/image17.png"/><Relationship Id="rId289" Type="http://schemas.openxmlformats.org/officeDocument/2006/relationships/oleObject" Target="embeddings/oleObject126.bin"/><Relationship Id="rId288" Type="http://schemas.openxmlformats.org/officeDocument/2006/relationships/image" Target="media/image151.wmf"/><Relationship Id="rId287" Type="http://schemas.openxmlformats.org/officeDocument/2006/relationships/oleObject" Target="embeddings/oleObject125.bin"/><Relationship Id="rId286" Type="http://schemas.openxmlformats.org/officeDocument/2006/relationships/image" Target="media/image150.wmf"/><Relationship Id="rId285" Type="http://schemas.openxmlformats.org/officeDocument/2006/relationships/oleObject" Target="embeddings/oleObject124.bin"/><Relationship Id="rId284" Type="http://schemas.openxmlformats.org/officeDocument/2006/relationships/image" Target="media/image149.wmf"/><Relationship Id="rId283" Type="http://schemas.openxmlformats.org/officeDocument/2006/relationships/oleObject" Target="embeddings/oleObject123.bin"/><Relationship Id="rId282" Type="http://schemas.openxmlformats.org/officeDocument/2006/relationships/image" Target="media/image148.wmf"/><Relationship Id="rId281" Type="http://schemas.openxmlformats.org/officeDocument/2006/relationships/oleObject" Target="embeddings/oleObject122.bin"/><Relationship Id="rId280" Type="http://schemas.openxmlformats.org/officeDocument/2006/relationships/image" Target="media/image147.wmf"/><Relationship Id="rId28" Type="http://schemas.openxmlformats.org/officeDocument/2006/relationships/image" Target="media/image16.png"/><Relationship Id="rId279" Type="http://schemas.openxmlformats.org/officeDocument/2006/relationships/oleObject" Target="embeddings/oleObject121.bin"/><Relationship Id="rId278" Type="http://schemas.openxmlformats.org/officeDocument/2006/relationships/image" Target="media/image146.wmf"/><Relationship Id="rId277" Type="http://schemas.openxmlformats.org/officeDocument/2006/relationships/image" Target="media/image145.wmf"/><Relationship Id="rId276" Type="http://schemas.openxmlformats.org/officeDocument/2006/relationships/oleObject" Target="embeddings/oleObject120.bin"/><Relationship Id="rId275" Type="http://schemas.openxmlformats.org/officeDocument/2006/relationships/oleObject" Target="embeddings/oleObject119.bin"/><Relationship Id="rId274" Type="http://schemas.openxmlformats.org/officeDocument/2006/relationships/image" Target="media/image144.wmf"/><Relationship Id="rId273" Type="http://schemas.openxmlformats.org/officeDocument/2006/relationships/oleObject" Target="embeddings/oleObject118.bin"/><Relationship Id="rId272" Type="http://schemas.openxmlformats.org/officeDocument/2006/relationships/image" Target="media/image143.wmf"/><Relationship Id="rId271" Type="http://schemas.openxmlformats.org/officeDocument/2006/relationships/oleObject" Target="embeddings/oleObject117.bin"/><Relationship Id="rId270" Type="http://schemas.openxmlformats.org/officeDocument/2006/relationships/image" Target="media/image142.wmf"/><Relationship Id="rId27" Type="http://schemas.openxmlformats.org/officeDocument/2006/relationships/image" Target="media/image15.png"/><Relationship Id="rId269" Type="http://schemas.openxmlformats.org/officeDocument/2006/relationships/oleObject" Target="embeddings/oleObject116.bin"/><Relationship Id="rId268" Type="http://schemas.openxmlformats.org/officeDocument/2006/relationships/image" Target="media/image141.wmf"/><Relationship Id="rId267" Type="http://schemas.openxmlformats.org/officeDocument/2006/relationships/oleObject" Target="embeddings/oleObject115.bin"/><Relationship Id="rId266" Type="http://schemas.openxmlformats.org/officeDocument/2006/relationships/image" Target="media/image140.wmf"/><Relationship Id="rId265" Type="http://schemas.openxmlformats.org/officeDocument/2006/relationships/oleObject" Target="embeddings/oleObject114.bin"/><Relationship Id="rId264" Type="http://schemas.openxmlformats.org/officeDocument/2006/relationships/image" Target="media/image139.wmf"/><Relationship Id="rId263" Type="http://schemas.openxmlformats.org/officeDocument/2006/relationships/oleObject" Target="embeddings/oleObject113.bin"/><Relationship Id="rId262" Type="http://schemas.openxmlformats.org/officeDocument/2006/relationships/image" Target="media/image138.wmf"/><Relationship Id="rId261" Type="http://schemas.openxmlformats.org/officeDocument/2006/relationships/oleObject" Target="embeddings/oleObject112.bin"/><Relationship Id="rId260" Type="http://schemas.openxmlformats.org/officeDocument/2006/relationships/image" Target="media/image137.png"/><Relationship Id="rId26" Type="http://schemas.openxmlformats.org/officeDocument/2006/relationships/image" Target="media/image14.png"/><Relationship Id="rId259" Type="http://schemas.openxmlformats.org/officeDocument/2006/relationships/image" Target="media/image136.wmf"/><Relationship Id="rId258" Type="http://schemas.openxmlformats.org/officeDocument/2006/relationships/oleObject" Target="embeddings/oleObject111.bin"/><Relationship Id="rId257" Type="http://schemas.openxmlformats.org/officeDocument/2006/relationships/image" Target="media/image135.png"/><Relationship Id="rId256" Type="http://schemas.openxmlformats.org/officeDocument/2006/relationships/image" Target="media/image134.wmf"/><Relationship Id="rId255" Type="http://schemas.openxmlformats.org/officeDocument/2006/relationships/oleObject" Target="embeddings/oleObject110.bin"/><Relationship Id="rId254" Type="http://schemas.openxmlformats.org/officeDocument/2006/relationships/image" Target="media/image133.wmf"/><Relationship Id="rId253" Type="http://schemas.openxmlformats.org/officeDocument/2006/relationships/oleObject" Target="embeddings/oleObject109.bin"/><Relationship Id="rId252" Type="http://schemas.openxmlformats.org/officeDocument/2006/relationships/image" Target="media/image132.wmf"/><Relationship Id="rId251" Type="http://schemas.openxmlformats.org/officeDocument/2006/relationships/oleObject" Target="embeddings/oleObject108.bin"/><Relationship Id="rId250" Type="http://schemas.openxmlformats.org/officeDocument/2006/relationships/image" Target="media/image131.wmf"/><Relationship Id="rId25" Type="http://schemas.openxmlformats.org/officeDocument/2006/relationships/image" Target="media/image13.png"/><Relationship Id="rId249" Type="http://schemas.openxmlformats.org/officeDocument/2006/relationships/oleObject" Target="embeddings/oleObject107.bin"/><Relationship Id="rId248" Type="http://schemas.openxmlformats.org/officeDocument/2006/relationships/image" Target="media/image130.wmf"/><Relationship Id="rId247" Type="http://schemas.openxmlformats.org/officeDocument/2006/relationships/oleObject" Target="embeddings/oleObject106.bin"/><Relationship Id="rId246" Type="http://schemas.openxmlformats.org/officeDocument/2006/relationships/image" Target="media/image129.wmf"/><Relationship Id="rId245" Type="http://schemas.openxmlformats.org/officeDocument/2006/relationships/oleObject" Target="embeddings/oleObject105.bin"/><Relationship Id="rId244" Type="http://schemas.openxmlformats.org/officeDocument/2006/relationships/image" Target="media/image128.wmf"/><Relationship Id="rId243" Type="http://schemas.openxmlformats.org/officeDocument/2006/relationships/oleObject" Target="embeddings/oleObject104.bin"/><Relationship Id="rId242" Type="http://schemas.openxmlformats.org/officeDocument/2006/relationships/image" Target="media/image127.jpeg"/><Relationship Id="rId241" Type="http://schemas.openxmlformats.org/officeDocument/2006/relationships/image" Target="media/image126.jpeg"/><Relationship Id="rId240" Type="http://schemas.openxmlformats.org/officeDocument/2006/relationships/image" Target="media/image125.png"/><Relationship Id="rId24" Type="http://schemas.openxmlformats.org/officeDocument/2006/relationships/image" Target="media/image12.png"/><Relationship Id="rId239" Type="http://schemas.openxmlformats.org/officeDocument/2006/relationships/image" Target="media/image124.wmf"/><Relationship Id="rId238" Type="http://schemas.openxmlformats.org/officeDocument/2006/relationships/oleObject" Target="embeddings/oleObject103.bin"/><Relationship Id="rId237" Type="http://schemas.openxmlformats.org/officeDocument/2006/relationships/image" Target="media/image123.wmf"/><Relationship Id="rId236" Type="http://schemas.openxmlformats.org/officeDocument/2006/relationships/oleObject" Target="embeddings/oleObject102.bin"/><Relationship Id="rId235" Type="http://schemas.openxmlformats.org/officeDocument/2006/relationships/image" Target="media/image122.wmf"/><Relationship Id="rId234" Type="http://schemas.openxmlformats.org/officeDocument/2006/relationships/oleObject" Target="embeddings/oleObject101.bin"/><Relationship Id="rId233" Type="http://schemas.openxmlformats.org/officeDocument/2006/relationships/image" Target="media/image121.wmf"/><Relationship Id="rId232" Type="http://schemas.openxmlformats.org/officeDocument/2006/relationships/oleObject" Target="embeddings/oleObject100.bin"/><Relationship Id="rId231" Type="http://schemas.openxmlformats.org/officeDocument/2006/relationships/image" Target="media/image120.wmf"/><Relationship Id="rId230" Type="http://schemas.openxmlformats.org/officeDocument/2006/relationships/oleObject" Target="embeddings/oleObject99.bin"/><Relationship Id="rId23" Type="http://schemas.openxmlformats.org/officeDocument/2006/relationships/image" Target="media/image11.png"/><Relationship Id="rId229" Type="http://schemas.openxmlformats.org/officeDocument/2006/relationships/image" Target="media/image119.wmf"/><Relationship Id="rId228" Type="http://schemas.openxmlformats.org/officeDocument/2006/relationships/oleObject" Target="embeddings/oleObject98.bin"/><Relationship Id="rId227" Type="http://schemas.openxmlformats.org/officeDocument/2006/relationships/image" Target="media/image118.wmf"/><Relationship Id="rId226" Type="http://schemas.openxmlformats.org/officeDocument/2006/relationships/oleObject" Target="embeddings/oleObject97.bin"/><Relationship Id="rId225" Type="http://schemas.openxmlformats.org/officeDocument/2006/relationships/image" Target="media/image117.wmf"/><Relationship Id="rId224" Type="http://schemas.openxmlformats.org/officeDocument/2006/relationships/oleObject" Target="embeddings/oleObject96.bin"/><Relationship Id="rId223" Type="http://schemas.openxmlformats.org/officeDocument/2006/relationships/image" Target="media/image116.wmf"/><Relationship Id="rId222" Type="http://schemas.openxmlformats.org/officeDocument/2006/relationships/oleObject" Target="embeddings/oleObject95.bin"/><Relationship Id="rId221" Type="http://schemas.openxmlformats.org/officeDocument/2006/relationships/image" Target="media/image115.wmf"/><Relationship Id="rId220" Type="http://schemas.openxmlformats.org/officeDocument/2006/relationships/oleObject" Target="embeddings/oleObject94.bin"/><Relationship Id="rId22" Type="http://schemas.openxmlformats.org/officeDocument/2006/relationships/image" Target="media/image10.png"/><Relationship Id="rId219" Type="http://schemas.openxmlformats.org/officeDocument/2006/relationships/image" Target="media/image114.wmf"/><Relationship Id="rId218" Type="http://schemas.openxmlformats.org/officeDocument/2006/relationships/oleObject" Target="embeddings/oleObject93.bin"/><Relationship Id="rId217" Type="http://schemas.openxmlformats.org/officeDocument/2006/relationships/image" Target="media/image113.wmf"/><Relationship Id="rId216" Type="http://schemas.openxmlformats.org/officeDocument/2006/relationships/oleObject" Target="embeddings/oleObject92.bin"/><Relationship Id="rId215" Type="http://schemas.openxmlformats.org/officeDocument/2006/relationships/image" Target="media/image112.wmf"/><Relationship Id="rId214" Type="http://schemas.openxmlformats.org/officeDocument/2006/relationships/oleObject" Target="embeddings/oleObject91.bin"/><Relationship Id="rId213" Type="http://schemas.openxmlformats.org/officeDocument/2006/relationships/image" Target="media/image111.wmf"/><Relationship Id="rId212" Type="http://schemas.openxmlformats.org/officeDocument/2006/relationships/oleObject" Target="embeddings/oleObject90.bin"/><Relationship Id="rId211" Type="http://schemas.openxmlformats.org/officeDocument/2006/relationships/image" Target="media/image110.wmf"/><Relationship Id="rId210" Type="http://schemas.openxmlformats.org/officeDocument/2006/relationships/oleObject" Target="embeddings/oleObject89.bin"/><Relationship Id="rId21" Type="http://schemas.openxmlformats.org/officeDocument/2006/relationships/image" Target="media/image9.jpeg"/><Relationship Id="rId209" Type="http://schemas.openxmlformats.org/officeDocument/2006/relationships/image" Target="media/image109.wmf"/><Relationship Id="rId208" Type="http://schemas.openxmlformats.org/officeDocument/2006/relationships/oleObject" Target="embeddings/oleObject88.bin"/><Relationship Id="rId207" Type="http://schemas.openxmlformats.org/officeDocument/2006/relationships/image" Target="media/image108.wmf"/><Relationship Id="rId206" Type="http://schemas.openxmlformats.org/officeDocument/2006/relationships/oleObject" Target="embeddings/oleObject87.bin"/><Relationship Id="rId205" Type="http://schemas.openxmlformats.org/officeDocument/2006/relationships/image" Target="media/image107.wmf"/><Relationship Id="rId204" Type="http://schemas.openxmlformats.org/officeDocument/2006/relationships/oleObject" Target="embeddings/oleObject86.bin"/><Relationship Id="rId203" Type="http://schemas.openxmlformats.org/officeDocument/2006/relationships/image" Target="media/image106.wmf"/><Relationship Id="rId202" Type="http://schemas.openxmlformats.org/officeDocument/2006/relationships/oleObject" Target="embeddings/oleObject85.bin"/><Relationship Id="rId201" Type="http://schemas.openxmlformats.org/officeDocument/2006/relationships/image" Target="media/image105.png"/><Relationship Id="rId200" Type="http://schemas.openxmlformats.org/officeDocument/2006/relationships/image" Target="media/image104.png"/><Relationship Id="rId20" Type="http://schemas.openxmlformats.org/officeDocument/2006/relationships/image" Target="media/image8.png"/><Relationship Id="rId2" Type="http://schemas.openxmlformats.org/officeDocument/2006/relationships/settings" Target="settings.xml"/><Relationship Id="rId199" Type="http://schemas.openxmlformats.org/officeDocument/2006/relationships/image" Target="media/image103.wmf"/><Relationship Id="rId198" Type="http://schemas.openxmlformats.org/officeDocument/2006/relationships/image" Target="media/image102.wmf"/><Relationship Id="rId197" Type="http://schemas.openxmlformats.org/officeDocument/2006/relationships/oleObject" Target="embeddings/oleObject84.bin"/><Relationship Id="rId196" Type="http://schemas.openxmlformats.org/officeDocument/2006/relationships/image" Target="media/image101.wmf"/><Relationship Id="rId195" Type="http://schemas.openxmlformats.org/officeDocument/2006/relationships/oleObject" Target="embeddings/oleObject83.bin"/><Relationship Id="rId194" Type="http://schemas.openxmlformats.org/officeDocument/2006/relationships/image" Target="media/image100.wmf"/><Relationship Id="rId193" Type="http://schemas.openxmlformats.org/officeDocument/2006/relationships/oleObject" Target="embeddings/oleObject82.bin"/><Relationship Id="rId192" Type="http://schemas.openxmlformats.org/officeDocument/2006/relationships/image" Target="media/image99.wmf"/><Relationship Id="rId191" Type="http://schemas.openxmlformats.org/officeDocument/2006/relationships/oleObject" Target="embeddings/oleObject81.bin"/><Relationship Id="rId190" Type="http://schemas.openxmlformats.org/officeDocument/2006/relationships/image" Target="media/image98.wmf"/><Relationship Id="rId19" Type="http://schemas.openxmlformats.org/officeDocument/2006/relationships/image" Target="media/image7.png"/><Relationship Id="rId189" Type="http://schemas.openxmlformats.org/officeDocument/2006/relationships/oleObject" Target="embeddings/oleObject80.bin"/><Relationship Id="rId188" Type="http://schemas.openxmlformats.org/officeDocument/2006/relationships/image" Target="media/image97.wmf"/><Relationship Id="rId187" Type="http://schemas.openxmlformats.org/officeDocument/2006/relationships/oleObject" Target="embeddings/oleObject79.bin"/><Relationship Id="rId186" Type="http://schemas.openxmlformats.org/officeDocument/2006/relationships/image" Target="media/image96.wmf"/><Relationship Id="rId185" Type="http://schemas.openxmlformats.org/officeDocument/2006/relationships/oleObject" Target="embeddings/oleObject78.bin"/><Relationship Id="rId184" Type="http://schemas.openxmlformats.org/officeDocument/2006/relationships/image" Target="media/image95.wmf"/><Relationship Id="rId183" Type="http://schemas.openxmlformats.org/officeDocument/2006/relationships/oleObject" Target="embeddings/oleObject77.bin"/><Relationship Id="rId182" Type="http://schemas.openxmlformats.org/officeDocument/2006/relationships/image" Target="media/image94.wmf"/><Relationship Id="rId181" Type="http://schemas.openxmlformats.org/officeDocument/2006/relationships/oleObject" Target="embeddings/oleObject76.bin"/><Relationship Id="rId180" Type="http://schemas.openxmlformats.org/officeDocument/2006/relationships/image" Target="media/image93.wmf"/><Relationship Id="rId18" Type="http://schemas.openxmlformats.org/officeDocument/2006/relationships/image" Target="media/image6.png"/><Relationship Id="rId179" Type="http://schemas.openxmlformats.org/officeDocument/2006/relationships/oleObject" Target="embeddings/oleObject75.bin"/><Relationship Id="rId178" Type="http://schemas.openxmlformats.org/officeDocument/2006/relationships/image" Target="media/image92.wmf"/><Relationship Id="rId177" Type="http://schemas.openxmlformats.org/officeDocument/2006/relationships/oleObject" Target="embeddings/oleObject74.bin"/><Relationship Id="rId176" Type="http://schemas.openxmlformats.org/officeDocument/2006/relationships/image" Target="media/image91.wmf"/><Relationship Id="rId175" Type="http://schemas.openxmlformats.org/officeDocument/2006/relationships/oleObject" Target="embeddings/oleObject73.bin"/><Relationship Id="rId174" Type="http://schemas.openxmlformats.org/officeDocument/2006/relationships/image" Target="media/image90.wmf"/><Relationship Id="rId173" Type="http://schemas.openxmlformats.org/officeDocument/2006/relationships/oleObject" Target="embeddings/oleObject72.bin"/><Relationship Id="rId172" Type="http://schemas.openxmlformats.org/officeDocument/2006/relationships/image" Target="media/image89.wmf"/><Relationship Id="rId171" Type="http://schemas.openxmlformats.org/officeDocument/2006/relationships/oleObject" Target="embeddings/oleObject71.bin"/><Relationship Id="rId170" Type="http://schemas.openxmlformats.org/officeDocument/2006/relationships/image" Target="media/image88.wmf"/><Relationship Id="rId17" Type="http://schemas.openxmlformats.org/officeDocument/2006/relationships/image" Target="media/image5.png"/><Relationship Id="rId169" Type="http://schemas.openxmlformats.org/officeDocument/2006/relationships/oleObject" Target="embeddings/oleObject70.bin"/><Relationship Id="rId168" Type="http://schemas.openxmlformats.org/officeDocument/2006/relationships/image" Target="media/image87.wmf"/><Relationship Id="rId167" Type="http://schemas.openxmlformats.org/officeDocument/2006/relationships/oleObject" Target="embeddings/oleObject69.bin"/><Relationship Id="rId166" Type="http://schemas.openxmlformats.org/officeDocument/2006/relationships/image" Target="media/image86.wmf"/><Relationship Id="rId165" Type="http://schemas.openxmlformats.org/officeDocument/2006/relationships/oleObject" Target="embeddings/oleObject68.bin"/><Relationship Id="rId164" Type="http://schemas.openxmlformats.org/officeDocument/2006/relationships/image" Target="media/image85.wmf"/><Relationship Id="rId163" Type="http://schemas.openxmlformats.org/officeDocument/2006/relationships/oleObject" Target="embeddings/oleObject67.bin"/><Relationship Id="rId162" Type="http://schemas.openxmlformats.org/officeDocument/2006/relationships/image" Target="media/image84.wmf"/><Relationship Id="rId161" Type="http://schemas.openxmlformats.org/officeDocument/2006/relationships/oleObject" Target="embeddings/oleObject66.bin"/><Relationship Id="rId160" Type="http://schemas.openxmlformats.org/officeDocument/2006/relationships/image" Target="media/image83.wmf"/><Relationship Id="rId16" Type="http://schemas.openxmlformats.org/officeDocument/2006/relationships/image" Target="media/image4.png"/><Relationship Id="rId159" Type="http://schemas.openxmlformats.org/officeDocument/2006/relationships/oleObject" Target="embeddings/oleObject65.bin"/><Relationship Id="rId158" Type="http://schemas.openxmlformats.org/officeDocument/2006/relationships/image" Target="media/image82.wmf"/><Relationship Id="rId157" Type="http://schemas.openxmlformats.org/officeDocument/2006/relationships/oleObject" Target="embeddings/oleObject64.bin"/><Relationship Id="rId156" Type="http://schemas.openxmlformats.org/officeDocument/2006/relationships/image" Target="media/image81.wmf"/><Relationship Id="rId155" Type="http://schemas.openxmlformats.org/officeDocument/2006/relationships/oleObject" Target="embeddings/oleObject63.bin"/><Relationship Id="rId154" Type="http://schemas.openxmlformats.org/officeDocument/2006/relationships/image" Target="media/image80.wmf"/><Relationship Id="rId153" Type="http://schemas.openxmlformats.org/officeDocument/2006/relationships/oleObject" Target="embeddings/oleObject62.bin"/><Relationship Id="rId152" Type="http://schemas.openxmlformats.org/officeDocument/2006/relationships/image" Target="media/image79.wmf"/><Relationship Id="rId151" Type="http://schemas.openxmlformats.org/officeDocument/2006/relationships/oleObject" Target="embeddings/oleObject61.bin"/><Relationship Id="rId150" Type="http://schemas.openxmlformats.org/officeDocument/2006/relationships/image" Target="media/image78.wmf"/><Relationship Id="rId15" Type="http://schemas.openxmlformats.org/officeDocument/2006/relationships/image" Target="media/image3.jpeg"/><Relationship Id="rId149" Type="http://schemas.openxmlformats.org/officeDocument/2006/relationships/oleObject" Target="embeddings/oleObject60.bin"/><Relationship Id="rId148" Type="http://schemas.openxmlformats.org/officeDocument/2006/relationships/image" Target="media/image77.wmf"/><Relationship Id="rId147" Type="http://schemas.openxmlformats.org/officeDocument/2006/relationships/oleObject" Target="embeddings/oleObject59.bin"/><Relationship Id="rId146" Type="http://schemas.openxmlformats.org/officeDocument/2006/relationships/image" Target="media/image76.wmf"/><Relationship Id="rId145" Type="http://schemas.openxmlformats.org/officeDocument/2006/relationships/oleObject" Target="embeddings/oleObject58.bin"/><Relationship Id="rId144" Type="http://schemas.openxmlformats.org/officeDocument/2006/relationships/image" Target="media/image75.wmf"/><Relationship Id="rId143" Type="http://schemas.openxmlformats.org/officeDocument/2006/relationships/oleObject" Target="embeddings/oleObject57.bin"/><Relationship Id="rId142" Type="http://schemas.openxmlformats.org/officeDocument/2006/relationships/image" Target="media/image74.wmf"/><Relationship Id="rId141" Type="http://schemas.openxmlformats.org/officeDocument/2006/relationships/oleObject" Target="embeddings/oleObject56.bin"/><Relationship Id="rId140" Type="http://schemas.openxmlformats.org/officeDocument/2006/relationships/image" Target="media/image73.wmf"/><Relationship Id="rId14" Type="http://schemas.openxmlformats.org/officeDocument/2006/relationships/image" Target="media/image2.png"/><Relationship Id="rId139" Type="http://schemas.openxmlformats.org/officeDocument/2006/relationships/oleObject" Target="embeddings/oleObject55.bin"/><Relationship Id="rId138" Type="http://schemas.openxmlformats.org/officeDocument/2006/relationships/image" Target="media/image72.wmf"/><Relationship Id="rId137" Type="http://schemas.openxmlformats.org/officeDocument/2006/relationships/oleObject" Target="embeddings/oleObject54.bin"/><Relationship Id="rId136" Type="http://schemas.openxmlformats.org/officeDocument/2006/relationships/image" Target="media/image71.wmf"/><Relationship Id="rId135" Type="http://schemas.openxmlformats.org/officeDocument/2006/relationships/oleObject" Target="embeddings/oleObject53.bin"/><Relationship Id="rId134" Type="http://schemas.openxmlformats.org/officeDocument/2006/relationships/image" Target="media/image70.wmf"/><Relationship Id="rId133" Type="http://schemas.openxmlformats.org/officeDocument/2006/relationships/oleObject" Target="embeddings/oleObject52.bin"/><Relationship Id="rId132" Type="http://schemas.openxmlformats.org/officeDocument/2006/relationships/image" Target="media/image69.wmf"/><Relationship Id="rId131" Type="http://schemas.openxmlformats.org/officeDocument/2006/relationships/oleObject" Target="embeddings/oleObject51.bin"/><Relationship Id="rId130" Type="http://schemas.openxmlformats.org/officeDocument/2006/relationships/oleObject" Target="embeddings/oleObject50.bin"/><Relationship Id="rId13" Type="http://schemas.openxmlformats.org/officeDocument/2006/relationships/image" Target="media/image1.jpeg"/><Relationship Id="rId129" Type="http://schemas.openxmlformats.org/officeDocument/2006/relationships/image" Target="media/image68.wmf"/><Relationship Id="rId128" Type="http://schemas.openxmlformats.org/officeDocument/2006/relationships/oleObject" Target="embeddings/oleObject49.bin"/><Relationship Id="rId127" Type="http://schemas.openxmlformats.org/officeDocument/2006/relationships/image" Target="media/image67.wmf"/><Relationship Id="rId126" Type="http://schemas.openxmlformats.org/officeDocument/2006/relationships/oleObject" Target="embeddings/oleObject48.bin"/><Relationship Id="rId125" Type="http://schemas.openxmlformats.org/officeDocument/2006/relationships/image" Target="media/image66.wmf"/><Relationship Id="rId124" Type="http://schemas.openxmlformats.org/officeDocument/2006/relationships/oleObject" Target="embeddings/oleObject47.bin"/><Relationship Id="rId123" Type="http://schemas.openxmlformats.org/officeDocument/2006/relationships/image" Target="media/image65.wmf"/><Relationship Id="rId122" Type="http://schemas.openxmlformats.org/officeDocument/2006/relationships/oleObject" Target="embeddings/oleObject46.bin"/><Relationship Id="rId121" Type="http://schemas.openxmlformats.org/officeDocument/2006/relationships/image" Target="media/image64.wmf"/><Relationship Id="rId120" Type="http://schemas.openxmlformats.org/officeDocument/2006/relationships/oleObject" Target="embeddings/oleObject45.bin"/><Relationship Id="rId12" Type="http://schemas.openxmlformats.org/officeDocument/2006/relationships/theme" Target="theme/theme1.xml"/><Relationship Id="rId119" Type="http://schemas.openxmlformats.org/officeDocument/2006/relationships/image" Target="media/image63.wmf"/><Relationship Id="rId118" Type="http://schemas.openxmlformats.org/officeDocument/2006/relationships/oleObject" Target="embeddings/oleObject44.bin"/><Relationship Id="rId117" Type="http://schemas.openxmlformats.org/officeDocument/2006/relationships/image" Target="media/image62.wmf"/><Relationship Id="rId116" Type="http://schemas.openxmlformats.org/officeDocument/2006/relationships/oleObject" Target="embeddings/oleObject43.bin"/><Relationship Id="rId115" Type="http://schemas.openxmlformats.org/officeDocument/2006/relationships/image" Target="media/image61.wmf"/><Relationship Id="rId114" Type="http://schemas.openxmlformats.org/officeDocument/2006/relationships/oleObject" Target="embeddings/oleObject42.bin"/><Relationship Id="rId113" Type="http://schemas.openxmlformats.org/officeDocument/2006/relationships/image" Target="media/image60.wmf"/><Relationship Id="rId112" Type="http://schemas.openxmlformats.org/officeDocument/2006/relationships/oleObject" Target="embeddings/oleObject41.bin"/><Relationship Id="rId111" Type="http://schemas.openxmlformats.org/officeDocument/2006/relationships/image" Target="media/image59.wmf"/><Relationship Id="rId110" Type="http://schemas.openxmlformats.org/officeDocument/2006/relationships/oleObject" Target="embeddings/oleObject40.bin"/><Relationship Id="rId11" Type="http://schemas.openxmlformats.org/officeDocument/2006/relationships/footer" Target="footer6.xml"/><Relationship Id="rId109" Type="http://schemas.openxmlformats.org/officeDocument/2006/relationships/image" Target="media/image58.wmf"/><Relationship Id="rId108" Type="http://schemas.openxmlformats.org/officeDocument/2006/relationships/oleObject" Target="embeddings/oleObject39.bin"/><Relationship Id="rId107" Type="http://schemas.openxmlformats.org/officeDocument/2006/relationships/image" Target="media/image57.wmf"/><Relationship Id="rId106" Type="http://schemas.openxmlformats.org/officeDocument/2006/relationships/oleObject" Target="embeddings/oleObject38.bin"/><Relationship Id="rId105" Type="http://schemas.openxmlformats.org/officeDocument/2006/relationships/image" Target="media/image56.wmf"/><Relationship Id="rId104" Type="http://schemas.openxmlformats.org/officeDocument/2006/relationships/oleObject" Target="embeddings/oleObject37.bin"/><Relationship Id="rId103" Type="http://schemas.openxmlformats.org/officeDocument/2006/relationships/image" Target="media/image55.wmf"/><Relationship Id="rId102" Type="http://schemas.openxmlformats.org/officeDocument/2006/relationships/oleObject" Target="embeddings/oleObject36.bin"/><Relationship Id="rId101" Type="http://schemas.openxmlformats.org/officeDocument/2006/relationships/image" Target="media/image54.wmf"/><Relationship Id="rId100" Type="http://schemas.openxmlformats.org/officeDocument/2006/relationships/oleObject" Target="embeddings/oleObject35.bin"/><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BA6118-2AA1-4E08-8DFC-4054DA4CCE42}">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198</Pages>
  <Words>2724</Words>
  <Characters>3157</Characters>
  <Lines>493</Lines>
  <Paragraphs>139</Paragraphs>
  <TotalTime>15</TotalTime>
  <ScaleCrop>false</ScaleCrop>
  <LinksUpToDate>false</LinksUpToDate>
  <CharactersWithSpaces>3221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2024-04-29T13:58:00Z</dcterms:created>
  <dc:creator>Administrator</dc:creator>
  <cp:lastModifiedBy>.</cp:lastModifiedBy>
  <cp:lastPrinted>2022-04-09T04:00:00Z</cp:lastPrinted>
  <dcterms:modified xsi:type="dcterms:W3CDTF">2026-04-20T02:16:34Z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8E58E8F8CC18473B9F5E3967DBFE41D2_13</vt:lpwstr>
  </property>
  <property fmtid="{D5CDD505-2E9C-101B-9397-08002B2CF9AE}" pid="4" name="KSOTemplateDocerSaveRecord">
    <vt:lpwstr>eyJoZGlkIjoiMDBmMDQ0YjhjZjBkYTc3ZWEzYWJlNzQwYjE0MzM0YTYiLCJ1c2VySWQiOiI1NzcxNzM2NTMifQ==</vt:lpwstr>
  </property>
</Properties>
</file>