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C9342">
      <w:pPr>
        <w:snapToGrid w:val="0"/>
        <w:spacing w:line="480" w:lineRule="exact"/>
        <w:jc w:val="center"/>
        <w:rPr>
          <w:rFonts w:hint="eastAsia" w:asciiTheme="minorEastAsia" w:hAnsiTheme="minorEastAsia" w:eastAsiaTheme="minorEastAsia" w:cstheme="minorEastAsia"/>
          <w:b/>
          <w:color w:val="auto"/>
          <w:kern w:val="0"/>
          <w:sz w:val="36"/>
          <w:szCs w:val="36"/>
          <w:highlight w:val="none"/>
          <w:lang w:val="en-US" w:eastAsia="zh-CN"/>
        </w:rPr>
      </w:pPr>
    </w:p>
    <w:p w14:paraId="0EC0B311">
      <w:pPr>
        <w:snapToGrid w:val="0"/>
        <w:spacing w:line="480" w:lineRule="exact"/>
        <w:jc w:val="center"/>
        <w:rPr>
          <w:rFonts w:hint="eastAsia" w:ascii="仿宋" w:hAnsi="仿宋" w:eastAsia="仿宋" w:cs="仿宋"/>
          <w:b/>
          <w:color w:val="auto"/>
          <w:sz w:val="32"/>
          <w:szCs w:val="32"/>
          <w:highlight w:val="none"/>
        </w:rPr>
      </w:pPr>
      <w:r>
        <w:rPr>
          <w:rFonts w:hint="eastAsia" w:asciiTheme="minorEastAsia" w:hAnsiTheme="minorEastAsia" w:eastAsiaTheme="minorEastAsia" w:cstheme="minorEastAsia"/>
          <w:b/>
          <w:color w:val="auto"/>
          <w:kern w:val="0"/>
          <w:sz w:val="36"/>
          <w:szCs w:val="36"/>
          <w:highlight w:val="none"/>
          <w:lang w:val="en-US" w:eastAsia="zh-CN"/>
        </w:rPr>
        <w:t>河曲县2026年六乡镇富硒谷子产业奖补项目</w:t>
      </w:r>
    </w:p>
    <w:p w14:paraId="7335EB11">
      <w:pPr>
        <w:snapToGrid w:val="0"/>
        <w:spacing w:line="480" w:lineRule="exact"/>
        <w:rPr>
          <w:rFonts w:hint="eastAsia" w:ascii="仿宋" w:hAnsi="仿宋" w:eastAsia="仿宋" w:cs="仿宋"/>
          <w:b/>
          <w:color w:val="auto"/>
          <w:sz w:val="32"/>
          <w:szCs w:val="32"/>
          <w:highlight w:val="none"/>
        </w:rPr>
      </w:pPr>
    </w:p>
    <w:p w14:paraId="585B9C02">
      <w:pPr>
        <w:snapToGrid w:val="0"/>
        <w:spacing w:line="300" w:lineRule="auto"/>
        <w:ind w:firstLine="560" w:firstLineChars="200"/>
        <w:jc w:val="left"/>
        <w:rPr>
          <w:rFonts w:hint="eastAsia" w:ascii="仿宋" w:hAnsi="仿宋" w:eastAsia="仿宋" w:cs="仿宋"/>
          <w:color w:val="auto"/>
          <w:sz w:val="28"/>
          <w:szCs w:val="28"/>
          <w:highlight w:val="none"/>
        </w:rPr>
      </w:pPr>
    </w:p>
    <w:p w14:paraId="53E64340">
      <w:pPr>
        <w:bidi w:val="0"/>
        <w:rPr>
          <w:rFonts w:hint="eastAsia" w:ascii="仿宋" w:hAnsi="仿宋" w:eastAsia="仿宋" w:cs="仿宋"/>
          <w:color w:val="auto"/>
          <w:highlight w:val="none"/>
        </w:rPr>
      </w:pPr>
    </w:p>
    <w:p w14:paraId="198C7900">
      <w:pPr>
        <w:bidi w:val="0"/>
        <w:rPr>
          <w:rFonts w:hint="eastAsia" w:ascii="仿宋" w:hAnsi="仿宋" w:eastAsia="仿宋" w:cs="仿宋"/>
          <w:color w:val="auto"/>
          <w:highlight w:val="none"/>
        </w:rPr>
      </w:pPr>
    </w:p>
    <w:p w14:paraId="2D2197FB">
      <w:pPr>
        <w:spacing w:line="288" w:lineRule="auto"/>
        <w:jc w:val="center"/>
        <w:rPr>
          <w:rFonts w:hint="eastAsia" w:ascii="仿宋" w:hAnsi="仿宋" w:eastAsia="仿宋" w:cs="仿宋"/>
          <w:b/>
          <w:color w:val="auto"/>
          <w:sz w:val="90"/>
          <w:szCs w:val="90"/>
          <w:highlight w:val="none"/>
          <w:lang w:val="en-US" w:eastAsia="zh-CN"/>
        </w:rPr>
      </w:pPr>
    </w:p>
    <w:p w14:paraId="5EB8CA11">
      <w:pPr>
        <w:spacing w:line="288" w:lineRule="auto"/>
        <w:jc w:val="center"/>
        <w:rPr>
          <w:rFonts w:hint="eastAsia" w:ascii="仿宋" w:hAnsi="仿宋" w:eastAsia="仿宋" w:cs="仿宋"/>
          <w:b/>
          <w:color w:val="auto"/>
          <w:sz w:val="90"/>
          <w:szCs w:val="90"/>
          <w:highlight w:val="none"/>
          <w:lang w:eastAsia="zh-CN"/>
        </w:rPr>
      </w:pPr>
      <w:r>
        <w:rPr>
          <w:rFonts w:hint="eastAsia" w:ascii="仿宋" w:hAnsi="仿宋" w:eastAsia="仿宋" w:cs="仿宋"/>
          <w:b/>
          <w:color w:val="auto"/>
          <w:sz w:val="90"/>
          <w:szCs w:val="90"/>
          <w:highlight w:val="none"/>
          <w:lang w:val="en-US" w:eastAsia="zh-CN"/>
        </w:rPr>
        <w:t>公开招标</w:t>
      </w:r>
      <w:r>
        <w:rPr>
          <w:rFonts w:hint="eastAsia" w:ascii="仿宋" w:hAnsi="仿宋" w:eastAsia="仿宋" w:cs="仿宋"/>
          <w:b/>
          <w:color w:val="auto"/>
          <w:sz w:val="90"/>
          <w:szCs w:val="90"/>
          <w:highlight w:val="none"/>
          <w:lang w:eastAsia="zh-CN"/>
        </w:rPr>
        <w:t>文件</w:t>
      </w:r>
      <w:bookmarkStart w:id="0" w:name="_Toc32362"/>
    </w:p>
    <w:bookmarkEnd w:id="0"/>
    <w:p w14:paraId="0951B341">
      <w:pPr>
        <w:spacing w:line="288" w:lineRule="auto"/>
        <w:jc w:val="center"/>
        <w:rPr>
          <w:rFonts w:hint="eastAsia" w:ascii="仿宋" w:hAnsi="仿宋" w:eastAsia="仿宋" w:cs="仿宋"/>
          <w:b/>
          <w:color w:val="auto"/>
          <w:sz w:val="32"/>
          <w:szCs w:val="32"/>
          <w:highlight w:val="none"/>
          <w:lang w:eastAsia="zh-CN"/>
        </w:rPr>
      </w:pPr>
    </w:p>
    <w:p w14:paraId="5DFB0690">
      <w:pPr>
        <w:spacing w:line="288" w:lineRule="auto"/>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lang w:eastAsia="zh-CN"/>
        </w:rPr>
        <w:t>项目编号：</w:t>
      </w:r>
    </w:p>
    <w:p w14:paraId="579BCA55">
      <w:pPr>
        <w:spacing w:line="288" w:lineRule="auto"/>
        <w:jc w:val="center"/>
        <w:rPr>
          <w:rFonts w:hint="eastAsia" w:ascii="仿宋" w:hAnsi="仿宋" w:eastAsia="仿宋" w:cs="仿宋"/>
          <w:b/>
          <w:color w:val="auto"/>
          <w:sz w:val="32"/>
          <w:szCs w:val="32"/>
          <w:highlight w:val="none"/>
          <w:lang w:eastAsia="zh-CN"/>
        </w:rPr>
      </w:pPr>
    </w:p>
    <w:p w14:paraId="118EF116">
      <w:pPr>
        <w:jc w:val="center"/>
        <w:rPr>
          <w:rFonts w:hint="eastAsia" w:ascii="仿宋" w:hAnsi="仿宋" w:eastAsia="仿宋" w:cs="仿宋"/>
          <w:b/>
          <w:color w:val="auto"/>
          <w:sz w:val="32"/>
          <w:szCs w:val="32"/>
          <w:highlight w:val="none"/>
          <w:lang w:eastAsia="zh-CN"/>
        </w:rPr>
      </w:pPr>
    </w:p>
    <w:p w14:paraId="32778693">
      <w:pPr>
        <w:jc w:val="center"/>
        <w:rPr>
          <w:rFonts w:hint="eastAsia" w:ascii="仿宋" w:hAnsi="仿宋" w:eastAsia="仿宋" w:cs="仿宋"/>
          <w:b/>
          <w:color w:val="auto"/>
          <w:sz w:val="32"/>
          <w:szCs w:val="32"/>
          <w:highlight w:val="none"/>
          <w:lang w:eastAsia="zh-CN"/>
        </w:rPr>
      </w:pPr>
    </w:p>
    <w:p w14:paraId="56D34CBD">
      <w:pPr>
        <w:jc w:val="center"/>
        <w:rPr>
          <w:rFonts w:hint="eastAsia" w:ascii="仿宋" w:hAnsi="仿宋" w:eastAsia="仿宋" w:cs="仿宋"/>
          <w:b/>
          <w:color w:val="auto"/>
          <w:sz w:val="32"/>
          <w:szCs w:val="32"/>
          <w:highlight w:val="none"/>
          <w:lang w:eastAsia="zh-CN"/>
        </w:rPr>
      </w:pPr>
    </w:p>
    <w:p w14:paraId="61A0C0DE">
      <w:pPr>
        <w:jc w:val="center"/>
        <w:rPr>
          <w:rFonts w:hint="eastAsia" w:ascii="仿宋" w:hAnsi="仿宋" w:eastAsia="仿宋" w:cs="仿宋"/>
          <w:b/>
          <w:color w:val="auto"/>
          <w:sz w:val="32"/>
          <w:szCs w:val="32"/>
          <w:highlight w:val="none"/>
          <w:lang w:eastAsia="zh-CN"/>
        </w:rPr>
      </w:pPr>
    </w:p>
    <w:p w14:paraId="78698C61">
      <w:pPr>
        <w:jc w:val="center"/>
        <w:rPr>
          <w:rFonts w:hint="eastAsia" w:ascii="仿宋" w:hAnsi="仿宋" w:eastAsia="仿宋" w:cs="仿宋"/>
          <w:b/>
          <w:color w:val="auto"/>
          <w:sz w:val="32"/>
          <w:szCs w:val="32"/>
          <w:highlight w:val="none"/>
          <w:lang w:eastAsia="zh-CN"/>
        </w:rPr>
      </w:pPr>
    </w:p>
    <w:p w14:paraId="3EF3A0D2">
      <w:pPr>
        <w:jc w:val="center"/>
        <w:rPr>
          <w:rFonts w:hint="eastAsia" w:ascii="仿宋" w:hAnsi="仿宋" w:eastAsia="仿宋" w:cs="仿宋"/>
          <w:b/>
          <w:color w:val="auto"/>
          <w:sz w:val="32"/>
          <w:szCs w:val="32"/>
          <w:highlight w:val="none"/>
          <w:lang w:eastAsia="zh-CN"/>
        </w:rPr>
      </w:pPr>
    </w:p>
    <w:p w14:paraId="7D55DB27">
      <w:pPr>
        <w:keepNext w:val="0"/>
        <w:keepLines w:val="0"/>
        <w:pageBreakBefore w:val="0"/>
        <w:widowControl/>
        <w:kinsoku/>
        <w:wordWrap/>
        <w:overflowPunct/>
        <w:topLinePunct w:val="0"/>
        <w:autoSpaceDE/>
        <w:autoSpaceDN/>
        <w:bidi w:val="0"/>
        <w:adjustRightInd/>
        <w:snapToGrid/>
        <w:spacing w:line="360" w:lineRule="auto"/>
        <w:ind w:firstLine="1285" w:firstLineChars="400"/>
        <w:jc w:val="left"/>
        <w:textAlignment w:val="auto"/>
        <w:rPr>
          <w:rStyle w:val="27"/>
          <w:rFonts w:hint="eastAsia" w:ascii="仿宋" w:hAnsi="仿宋" w:eastAsia="仿宋" w:cs="仿宋"/>
          <w:b/>
          <w:color w:val="auto"/>
          <w:sz w:val="32"/>
          <w:szCs w:val="32"/>
          <w:highlight w:val="none"/>
          <w:lang w:val="en-US" w:eastAsia="zh-CN"/>
        </w:rPr>
      </w:pPr>
      <w:r>
        <w:rPr>
          <w:rStyle w:val="27"/>
          <w:rFonts w:hint="eastAsia" w:ascii="仿宋" w:hAnsi="仿宋" w:eastAsia="仿宋" w:cs="仿宋"/>
          <w:b/>
          <w:color w:val="auto"/>
          <w:sz w:val="32"/>
          <w:szCs w:val="32"/>
          <w:highlight w:val="none"/>
          <w:lang w:val="en-US" w:eastAsia="zh-CN"/>
        </w:rPr>
        <w:t>牵头采购人：河曲县鹿固乡人民政府</w:t>
      </w:r>
    </w:p>
    <w:p w14:paraId="00F28350">
      <w:pPr>
        <w:keepNext w:val="0"/>
        <w:keepLines w:val="0"/>
        <w:pageBreakBefore w:val="0"/>
        <w:widowControl/>
        <w:kinsoku/>
        <w:wordWrap/>
        <w:overflowPunct/>
        <w:topLinePunct w:val="0"/>
        <w:autoSpaceDE/>
        <w:autoSpaceDN/>
        <w:bidi w:val="0"/>
        <w:adjustRightInd/>
        <w:snapToGrid/>
        <w:spacing w:line="360" w:lineRule="auto"/>
        <w:ind w:firstLine="1285" w:firstLineChars="400"/>
        <w:jc w:val="left"/>
        <w:textAlignment w:val="auto"/>
        <w:rPr>
          <w:rFonts w:hint="eastAsia" w:ascii="仿宋" w:hAnsi="仿宋" w:eastAsia="仿宋" w:cs="仿宋"/>
          <w:b/>
          <w:color w:val="auto"/>
          <w:spacing w:val="17"/>
          <w:sz w:val="32"/>
          <w:szCs w:val="32"/>
          <w:highlight w:val="none"/>
          <w:lang w:eastAsia="zh-CN"/>
        </w:rPr>
      </w:pPr>
      <w:r>
        <w:rPr>
          <w:rStyle w:val="27"/>
          <w:rFonts w:hint="eastAsia" w:ascii="仿宋" w:hAnsi="仿宋" w:eastAsia="仿宋" w:cs="仿宋"/>
          <w:b/>
          <w:color w:val="auto"/>
          <w:sz w:val="32"/>
          <w:szCs w:val="32"/>
          <w:highlight w:val="none"/>
        </w:rPr>
        <w:t>采购代理机构：山西名成招标代理有限公司</w:t>
      </w:r>
    </w:p>
    <w:p w14:paraId="7AFDDC35">
      <w:pPr>
        <w:spacing w:line="10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202</w:t>
      </w: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04</w:t>
      </w:r>
      <w:r>
        <w:rPr>
          <w:rFonts w:hint="eastAsia" w:ascii="仿宋" w:hAnsi="仿宋" w:eastAsia="仿宋" w:cs="仿宋"/>
          <w:b/>
          <w:color w:val="auto"/>
          <w:sz w:val="32"/>
          <w:szCs w:val="32"/>
          <w:highlight w:val="none"/>
        </w:rPr>
        <w:t>月</w:t>
      </w:r>
    </w:p>
    <w:p w14:paraId="74E19C18">
      <w:pPr>
        <w:snapToGrid w:val="0"/>
        <w:spacing w:after="360" w:afterLines="150" w:line="360" w:lineRule="auto"/>
        <w:jc w:val="center"/>
        <w:rPr>
          <w:rFonts w:hint="eastAsia" w:ascii="仿宋" w:hAnsi="仿宋" w:eastAsia="仿宋" w:cs="仿宋"/>
          <w:b/>
          <w:bCs/>
          <w:color w:val="auto"/>
          <w:kern w:val="0"/>
          <w:sz w:val="28"/>
          <w:szCs w:val="28"/>
          <w:highlight w:val="none"/>
        </w:rPr>
        <w:sectPr>
          <w:pgSz w:w="11906" w:h="16838"/>
          <w:pgMar w:top="1440" w:right="1486" w:bottom="1440" w:left="1486"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492C751">
      <w:pPr>
        <w:snapToGrid w:val="0"/>
        <w:spacing w:line="360" w:lineRule="auto"/>
        <w:jc w:val="center"/>
        <w:rPr>
          <w:rFonts w:hint="eastAsia" w:ascii="仿宋" w:hAnsi="仿宋" w:eastAsia="仿宋" w:cs="仿宋"/>
          <w:color w:val="auto"/>
          <w:kern w:val="0"/>
          <w:sz w:val="36"/>
          <w:szCs w:val="36"/>
          <w:highlight w:val="none"/>
        </w:rPr>
      </w:pPr>
      <w:r>
        <w:rPr>
          <w:rFonts w:hint="eastAsia" w:ascii="仿宋" w:hAnsi="仿宋" w:eastAsia="仿宋" w:cs="仿宋"/>
          <w:b/>
          <w:bCs/>
          <w:color w:val="auto"/>
          <w:kern w:val="0"/>
          <w:sz w:val="28"/>
          <w:szCs w:val="28"/>
          <w:highlight w:val="none"/>
        </w:rPr>
        <w:t>目    录</w:t>
      </w:r>
    </w:p>
    <w:p w14:paraId="1992C2F2">
      <w:pPr>
        <w:pStyle w:val="14"/>
        <w:tabs>
          <w:tab w:val="left" w:pos="1276"/>
          <w:tab w:val="right" w:leader="dot" w:pos="8924"/>
        </w:tabs>
        <w:spacing w:before="0" w:after="0" w:line="360" w:lineRule="auto"/>
        <w:rPr>
          <w:rFonts w:hint="eastAsia" w:ascii="仿宋" w:hAnsi="仿宋" w:eastAsia="仿宋" w:cs="仿宋"/>
          <w:b w:val="0"/>
          <w:bCs w:val="0"/>
          <w:color w:val="auto"/>
          <w:kern w:val="0"/>
          <w:sz w:val="24"/>
          <w:szCs w:val="24"/>
          <w:highlight w:val="none"/>
        </w:rPr>
      </w:pPr>
    </w:p>
    <w:p w14:paraId="413EEF74">
      <w:pPr>
        <w:pStyle w:val="14"/>
        <w:keepNext w:val="0"/>
        <w:keepLines w:val="0"/>
        <w:pageBreakBefore w:val="0"/>
        <w:widowControl w:val="0"/>
        <w:tabs>
          <w:tab w:val="right" w:leader="dot" w:pos="8924"/>
        </w:tabs>
        <w:kinsoku/>
        <w:wordWrap/>
        <w:overflowPunct/>
        <w:topLinePunct w:val="0"/>
        <w:autoSpaceDE/>
        <w:autoSpaceDN/>
        <w:bidi w:val="0"/>
        <w:adjustRightInd/>
        <w:snapToGrid/>
        <w:spacing w:before="0" w:after="0" w:line="480" w:lineRule="auto"/>
        <w:textAlignment w:val="auto"/>
        <w:rPr>
          <w:rFonts w:hint="eastAsia" w:ascii="仿宋" w:hAnsi="仿宋" w:eastAsia="仿宋" w:cs="仿宋"/>
          <w:b w:val="0"/>
          <w:bCs w:val="0"/>
          <w:caps w:val="0"/>
          <w:color w:val="auto"/>
          <w:sz w:val="24"/>
          <w:szCs w:val="24"/>
          <w:highlight w:val="none"/>
        </w:rPr>
      </w:pPr>
      <w:r>
        <w:rPr>
          <w:rFonts w:hint="eastAsia" w:ascii="仿宋" w:hAnsi="仿宋" w:eastAsia="仿宋" w:cs="仿宋"/>
          <w:b w:val="0"/>
          <w:bCs w:val="0"/>
          <w:color w:val="auto"/>
          <w:kern w:val="0"/>
          <w:sz w:val="24"/>
          <w:szCs w:val="24"/>
          <w:highlight w:val="none"/>
        </w:rPr>
        <w:fldChar w:fldCharType="begin"/>
      </w:r>
      <w:r>
        <w:rPr>
          <w:rFonts w:hint="eastAsia" w:ascii="仿宋" w:hAnsi="仿宋" w:eastAsia="仿宋" w:cs="仿宋"/>
          <w:b w:val="0"/>
          <w:bCs w:val="0"/>
          <w:color w:val="auto"/>
          <w:kern w:val="0"/>
          <w:sz w:val="24"/>
          <w:szCs w:val="24"/>
          <w:highlight w:val="none"/>
        </w:rPr>
        <w:instrText xml:space="preserve"> TOC \o "1-2" \h \z \u </w:instrText>
      </w:r>
      <w:r>
        <w:rPr>
          <w:rFonts w:hint="eastAsia" w:ascii="仿宋" w:hAnsi="仿宋" w:eastAsia="仿宋" w:cs="仿宋"/>
          <w:b w:val="0"/>
          <w:bCs w:val="0"/>
          <w:color w:val="auto"/>
          <w:kern w:val="0"/>
          <w:sz w:val="24"/>
          <w:szCs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"_Toc117270077" </w:instrText>
      </w:r>
      <w:r>
        <w:rPr>
          <w:rFonts w:hint="eastAsia" w:ascii="仿宋" w:hAnsi="仿宋" w:eastAsia="仿宋" w:cs="仿宋"/>
          <w:color w:val="auto"/>
          <w:highlight w:val="none"/>
        </w:rPr>
        <w:fldChar w:fldCharType="separate"/>
      </w:r>
      <w:r>
        <w:rPr>
          <w:rStyle w:val="25"/>
          <w:rFonts w:hint="eastAsia" w:ascii="仿宋" w:hAnsi="仿宋" w:eastAsia="仿宋" w:cs="仿宋"/>
          <w:b w:val="0"/>
          <w:bCs w:val="0"/>
          <w:color w:val="auto"/>
          <w:sz w:val="24"/>
          <w:szCs w:val="24"/>
          <w:highlight w:val="none"/>
        </w:rPr>
        <w:t>第一部分  招标公告</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_Toc117270077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357D5EFB">
      <w:pPr>
        <w:pStyle w:val="14"/>
        <w:keepNext w:val="0"/>
        <w:keepLines w:val="0"/>
        <w:pageBreakBefore w:val="0"/>
        <w:widowControl w:val="0"/>
        <w:tabs>
          <w:tab w:val="right" w:leader="dot" w:pos="8924"/>
        </w:tabs>
        <w:kinsoku/>
        <w:wordWrap/>
        <w:overflowPunct/>
        <w:topLinePunct w:val="0"/>
        <w:autoSpaceDE/>
        <w:autoSpaceDN/>
        <w:bidi w:val="0"/>
        <w:adjustRightInd/>
        <w:snapToGrid/>
        <w:spacing w:before="0" w:after="0" w:line="480" w:lineRule="auto"/>
        <w:textAlignment w:val="auto"/>
        <w:rPr>
          <w:rFonts w:hint="eastAsia" w:ascii="仿宋" w:hAnsi="仿宋" w:eastAsia="仿宋" w:cs="仿宋"/>
          <w:b w:val="0"/>
          <w:bCs w:val="0"/>
          <w:caps w:val="0"/>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"_Toc117270078" </w:instrText>
      </w:r>
      <w:r>
        <w:rPr>
          <w:rFonts w:hint="eastAsia" w:ascii="仿宋" w:hAnsi="仿宋" w:eastAsia="仿宋" w:cs="仿宋"/>
          <w:color w:val="auto"/>
          <w:highlight w:val="none"/>
        </w:rPr>
        <w:fldChar w:fldCharType="separate"/>
      </w:r>
      <w:r>
        <w:rPr>
          <w:rStyle w:val="25"/>
          <w:rFonts w:hint="eastAsia" w:ascii="仿宋" w:hAnsi="仿宋" w:eastAsia="仿宋" w:cs="仿宋"/>
          <w:b w:val="0"/>
          <w:bCs w:val="0"/>
          <w:color w:val="auto"/>
          <w:sz w:val="24"/>
          <w:szCs w:val="24"/>
          <w:highlight w:val="none"/>
        </w:rPr>
        <w:t>第二部分  投标人须知前附表</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_Toc117270078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3</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6639F43D">
      <w:pPr>
        <w:pStyle w:val="14"/>
        <w:keepNext w:val="0"/>
        <w:keepLines w:val="0"/>
        <w:pageBreakBefore w:val="0"/>
        <w:widowControl w:val="0"/>
        <w:tabs>
          <w:tab w:val="right" w:leader="dot" w:pos="8924"/>
        </w:tabs>
        <w:kinsoku/>
        <w:wordWrap/>
        <w:overflowPunct/>
        <w:topLinePunct w:val="0"/>
        <w:autoSpaceDE/>
        <w:autoSpaceDN/>
        <w:bidi w:val="0"/>
        <w:adjustRightInd/>
        <w:snapToGrid/>
        <w:spacing w:before="0" w:after="0" w:line="480" w:lineRule="auto"/>
        <w:textAlignment w:val="auto"/>
        <w:rPr>
          <w:rFonts w:hint="eastAsia" w:ascii="仿宋" w:hAnsi="仿宋" w:eastAsia="仿宋" w:cs="仿宋"/>
          <w:b w:val="0"/>
          <w:bCs w:val="0"/>
          <w:caps w:val="0"/>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"_Toc117270079" </w:instrText>
      </w:r>
      <w:r>
        <w:rPr>
          <w:rFonts w:hint="eastAsia" w:ascii="仿宋" w:hAnsi="仿宋" w:eastAsia="仿宋" w:cs="仿宋"/>
          <w:color w:val="auto"/>
          <w:highlight w:val="none"/>
        </w:rPr>
        <w:fldChar w:fldCharType="separate"/>
      </w:r>
      <w:r>
        <w:rPr>
          <w:rStyle w:val="25"/>
          <w:rFonts w:hint="eastAsia" w:ascii="仿宋" w:hAnsi="仿宋" w:eastAsia="仿宋" w:cs="仿宋"/>
          <w:b w:val="0"/>
          <w:bCs w:val="0"/>
          <w:color w:val="auto"/>
          <w:sz w:val="24"/>
          <w:szCs w:val="24"/>
          <w:highlight w:val="none"/>
        </w:rPr>
        <w:t>第三部分  投标人须知</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_Toc117270079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7</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05C2FD83">
      <w:pPr>
        <w:pStyle w:val="14"/>
        <w:keepNext w:val="0"/>
        <w:keepLines w:val="0"/>
        <w:pageBreakBefore w:val="0"/>
        <w:widowControl w:val="0"/>
        <w:tabs>
          <w:tab w:val="right" w:leader="dot" w:pos="8924"/>
        </w:tabs>
        <w:kinsoku/>
        <w:wordWrap/>
        <w:overflowPunct/>
        <w:topLinePunct w:val="0"/>
        <w:autoSpaceDE/>
        <w:autoSpaceDN/>
        <w:bidi w:val="0"/>
        <w:adjustRightInd/>
        <w:snapToGrid/>
        <w:spacing w:before="0" w:after="0" w:line="480" w:lineRule="auto"/>
        <w:textAlignment w:val="auto"/>
        <w:rPr>
          <w:rFonts w:hint="eastAsia" w:ascii="仿宋" w:hAnsi="仿宋" w:eastAsia="仿宋" w:cs="仿宋"/>
          <w:b w:val="0"/>
          <w:bCs w:val="0"/>
          <w:caps w:val="0"/>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"_Toc117270090" </w:instrText>
      </w:r>
      <w:r>
        <w:rPr>
          <w:rFonts w:hint="eastAsia" w:ascii="仿宋" w:hAnsi="仿宋" w:eastAsia="仿宋" w:cs="仿宋"/>
          <w:color w:val="auto"/>
          <w:highlight w:val="none"/>
        </w:rPr>
        <w:fldChar w:fldCharType="separate"/>
      </w:r>
      <w:r>
        <w:rPr>
          <w:rStyle w:val="25"/>
          <w:rFonts w:hint="eastAsia" w:ascii="仿宋" w:hAnsi="仿宋" w:eastAsia="仿宋" w:cs="仿宋"/>
          <w:b w:val="0"/>
          <w:bCs w:val="0"/>
          <w:color w:val="auto"/>
          <w:sz w:val="24"/>
          <w:szCs w:val="24"/>
          <w:highlight w:val="none"/>
        </w:rPr>
        <w:t>第四部分  商务、技术要求</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_Toc117270090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6</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3CAE3FB9">
      <w:pPr>
        <w:pStyle w:val="14"/>
        <w:keepNext w:val="0"/>
        <w:keepLines w:val="0"/>
        <w:pageBreakBefore w:val="0"/>
        <w:widowControl w:val="0"/>
        <w:tabs>
          <w:tab w:val="right" w:leader="dot" w:pos="8924"/>
        </w:tabs>
        <w:kinsoku/>
        <w:wordWrap/>
        <w:overflowPunct/>
        <w:topLinePunct w:val="0"/>
        <w:autoSpaceDE/>
        <w:autoSpaceDN/>
        <w:bidi w:val="0"/>
        <w:adjustRightInd/>
        <w:snapToGrid/>
        <w:spacing w:before="0" w:after="0" w:line="480" w:lineRule="auto"/>
        <w:textAlignment w:val="auto"/>
        <w:rPr>
          <w:rFonts w:hint="eastAsia" w:ascii="仿宋" w:hAnsi="仿宋" w:eastAsia="仿宋" w:cs="仿宋"/>
          <w:b w:val="0"/>
          <w:bCs w:val="0"/>
          <w:caps w:val="0"/>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"_Toc117270091" </w:instrText>
      </w:r>
      <w:r>
        <w:rPr>
          <w:rFonts w:hint="eastAsia" w:ascii="仿宋" w:hAnsi="仿宋" w:eastAsia="仿宋" w:cs="仿宋"/>
          <w:color w:val="auto"/>
          <w:highlight w:val="none"/>
        </w:rPr>
        <w:fldChar w:fldCharType="separate"/>
      </w:r>
      <w:r>
        <w:rPr>
          <w:rStyle w:val="25"/>
          <w:rFonts w:hint="eastAsia" w:ascii="仿宋" w:hAnsi="仿宋" w:eastAsia="仿宋" w:cs="仿宋"/>
          <w:b w:val="0"/>
          <w:bCs w:val="0"/>
          <w:color w:val="auto"/>
          <w:sz w:val="24"/>
          <w:szCs w:val="24"/>
          <w:highlight w:val="none"/>
        </w:rPr>
        <w:t>第五部分  评标标准和评标方法</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_Toc117270091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26</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3BBD55E8">
      <w:pPr>
        <w:pStyle w:val="14"/>
        <w:keepNext w:val="0"/>
        <w:keepLines w:val="0"/>
        <w:pageBreakBefore w:val="0"/>
        <w:widowControl w:val="0"/>
        <w:tabs>
          <w:tab w:val="right" w:leader="dot" w:pos="8924"/>
        </w:tabs>
        <w:kinsoku/>
        <w:wordWrap/>
        <w:overflowPunct/>
        <w:topLinePunct w:val="0"/>
        <w:autoSpaceDE/>
        <w:autoSpaceDN/>
        <w:bidi w:val="0"/>
        <w:adjustRightInd/>
        <w:snapToGrid/>
        <w:spacing w:before="0" w:after="0" w:line="480" w:lineRule="auto"/>
        <w:textAlignment w:val="auto"/>
        <w:rPr>
          <w:rFonts w:hint="eastAsia" w:ascii="仿宋" w:hAnsi="仿宋" w:eastAsia="仿宋" w:cs="仿宋"/>
          <w:b w:val="0"/>
          <w:bCs w:val="0"/>
          <w:caps w:val="0"/>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"_Toc117270092" </w:instrText>
      </w:r>
      <w:r>
        <w:rPr>
          <w:rFonts w:hint="eastAsia" w:ascii="仿宋" w:hAnsi="仿宋" w:eastAsia="仿宋" w:cs="仿宋"/>
          <w:color w:val="auto"/>
          <w:highlight w:val="none"/>
        </w:rPr>
        <w:fldChar w:fldCharType="separate"/>
      </w:r>
      <w:r>
        <w:rPr>
          <w:rStyle w:val="25"/>
          <w:rFonts w:hint="eastAsia" w:ascii="仿宋" w:hAnsi="仿宋" w:eastAsia="仿宋" w:cs="仿宋"/>
          <w:b w:val="0"/>
          <w:bCs w:val="0"/>
          <w:color w:val="auto"/>
          <w:sz w:val="24"/>
          <w:szCs w:val="24"/>
          <w:highlight w:val="none"/>
        </w:rPr>
        <w:t>第六部分  拟签订的合同文本</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_Toc117270092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6</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0426711E">
      <w:pPr>
        <w:pStyle w:val="14"/>
        <w:keepNext w:val="0"/>
        <w:keepLines w:val="0"/>
        <w:pageBreakBefore w:val="0"/>
        <w:widowControl w:val="0"/>
        <w:tabs>
          <w:tab w:val="right" w:leader="dot" w:pos="8924"/>
        </w:tabs>
        <w:kinsoku/>
        <w:wordWrap/>
        <w:overflowPunct/>
        <w:topLinePunct w:val="0"/>
        <w:autoSpaceDE/>
        <w:autoSpaceDN/>
        <w:bidi w:val="0"/>
        <w:adjustRightInd/>
        <w:snapToGrid/>
        <w:spacing w:before="0" w:after="0" w:line="480" w:lineRule="auto"/>
        <w:textAlignment w:val="auto"/>
        <w:rPr>
          <w:rFonts w:hint="eastAsia" w:ascii="仿宋" w:hAnsi="仿宋" w:eastAsia="仿宋" w:cs="仿宋"/>
          <w:b w:val="0"/>
          <w:bCs w:val="0"/>
          <w:caps w:val="0"/>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"_Toc117270093" </w:instrText>
      </w:r>
      <w:r>
        <w:rPr>
          <w:rFonts w:hint="eastAsia" w:ascii="仿宋" w:hAnsi="仿宋" w:eastAsia="仿宋" w:cs="仿宋"/>
          <w:color w:val="auto"/>
          <w:highlight w:val="none"/>
        </w:rPr>
        <w:fldChar w:fldCharType="separate"/>
      </w:r>
      <w:r>
        <w:rPr>
          <w:rStyle w:val="25"/>
          <w:rFonts w:hint="eastAsia" w:ascii="仿宋" w:hAnsi="仿宋" w:eastAsia="仿宋" w:cs="仿宋"/>
          <w:b w:val="0"/>
          <w:bCs w:val="0"/>
          <w:color w:val="auto"/>
          <w:sz w:val="24"/>
          <w:szCs w:val="24"/>
          <w:highlight w:val="none"/>
        </w:rPr>
        <w:t>第七部分  投标文件格式</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_Toc117270093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18</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338F17BB">
      <w:pPr>
        <w:pStyle w:val="14"/>
        <w:tabs>
          <w:tab w:val="right" w:leader="dot" w:pos="8958"/>
        </w:tabs>
        <w:spacing w:before="0" w:after="0" w:line="360" w:lineRule="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fldChar w:fldCharType="end"/>
      </w:r>
    </w:p>
    <w:p w14:paraId="72340043">
      <w:pPr>
        <w:rPr>
          <w:rFonts w:hint="eastAsia" w:ascii="仿宋" w:hAnsi="仿宋" w:eastAsia="仿宋" w:cs="仿宋"/>
          <w:color w:val="auto"/>
          <w:highlight w:val="none"/>
          <w:lang w:val="en-US" w:eastAsia="zh-CN"/>
        </w:rPr>
      </w:pPr>
    </w:p>
    <w:p w14:paraId="1D611B92">
      <w:pPr>
        <w:rPr>
          <w:rFonts w:hint="eastAsia" w:ascii="仿宋" w:hAnsi="仿宋" w:eastAsia="仿宋" w:cs="仿宋"/>
          <w:color w:val="auto"/>
          <w:highlight w:val="none"/>
          <w:lang w:val="en-US" w:eastAsia="zh-CN"/>
        </w:rPr>
      </w:pPr>
    </w:p>
    <w:p w14:paraId="272A7DD0">
      <w:pPr>
        <w:pStyle w:val="14"/>
        <w:tabs>
          <w:tab w:val="right" w:leader="dot" w:pos="8958"/>
        </w:tabs>
        <w:spacing w:before="0" w:after="0" w:line="360" w:lineRule="auto"/>
        <w:rPr>
          <w:rFonts w:hint="eastAsia" w:ascii="仿宋" w:hAnsi="仿宋" w:eastAsia="仿宋" w:cs="仿宋"/>
          <w:b w:val="0"/>
          <w:bCs w:val="0"/>
          <w:color w:val="auto"/>
          <w:kern w:val="0"/>
          <w:sz w:val="24"/>
          <w:szCs w:val="24"/>
          <w:highlight w:val="none"/>
        </w:rPr>
      </w:pPr>
    </w:p>
    <w:p w14:paraId="6DF52AF5">
      <w:pPr>
        <w:pStyle w:val="14"/>
        <w:tabs>
          <w:tab w:val="right" w:leader="dot" w:pos="8958"/>
        </w:tabs>
        <w:spacing w:before="0" w:after="0" w:line="360" w:lineRule="auto"/>
        <w:rPr>
          <w:rFonts w:hint="eastAsia" w:ascii="仿宋" w:hAnsi="仿宋" w:eastAsia="仿宋" w:cs="仿宋"/>
          <w:b w:val="0"/>
          <w:bCs w:val="0"/>
          <w:color w:val="auto"/>
          <w:kern w:val="0"/>
          <w:sz w:val="24"/>
          <w:szCs w:val="24"/>
          <w:highlight w:val="none"/>
        </w:rPr>
      </w:pPr>
    </w:p>
    <w:p w14:paraId="042A1F31">
      <w:pPr>
        <w:pStyle w:val="18"/>
        <w:widowControl w:val="0"/>
        <w:spacing w:before="120" w:beforeLines="50" w:after="120" w:afterLines="50" w:line="440" w:lineRule="exact"/>
        <w:jc w:val="center"/>
        <w:outlineLvl w:val="0"/>
        <w:rPr>
          <w:rFonts w:hint="eastAsia" w:ascii="仿宋" w:hAnsi="仿宋" w:eastAsia="仿宋" w:cs="仿宋"/>
          <w:b/>
          <w:color w:val="auto"/>
          <w:sz w:val="32"/>
          <w:szCs w:val="3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28085"/>
      <w:bookmarkStart w:id="2" w:name="_Toc117270077"/>
    </w:p>
    <w:p w14:paraId="2DBA2B00">
      <w:pPr>
        <w:pStyle w:val="18"/>
        <w:widowControl w:val="0"/>
        <w:spacing w:before="120" w:beforeLines="50" w:after="120" w:afterLines="50" w:line="440" w:lineRule="exact"/>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第一部分 </w:t>
      </w:r>
      <w:bookmarkEnd w:id="1"/>
      <w:r>
        <w:rPr>
          <w:rFonts w:hint="eastAsia" w:ascii="仿宋" w:hAnsi="仿宋" w:eastAsia="仿宋" w:cs="仿宋"/>
          <w:b/>
          <w:color w:val="auto"/>
          <w:sz w:val="32"/>
          <w:szCs w:val="32"/>
          <w:highlight w:val="none"/>
        </w:rPr>
        <w:t xml:space="preserve"> 招标公告</w:t>
      </w:r>
      <w:bookmarkEnd w:id="2"/>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14:paraId="4310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tcPr>
          <w:p w14:paraId="4A04D6BE">
            <w:pPr>
              <w:pStyle w:val="28"/>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项目概况</w:t>
            </w:r>
          </w:p>
          <w:p w14:paraId="227B29D3">
            <w:pPr>
              <w:pStyle w:val="28"/>
              <w:spacing w:line="360" w:lineRule="auto"/>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lang w:val="en-US" w:eastAsia="zh-CN"/>
              </w:rPr>
              <w:t>河曲县2026年六乡镇富硒谷子产业奖补项目</w:t>
            </w:r>
            <w:r>
              <w:rPr>
                <w:rFonts w:hint="eastAsia" w:ascii="仿宋" w:hAnsi="仿宋" w:eastAsia="仿宋" w:cs="仿宋"/>
                <w:color w:val="auto"/>
                <w:sz w:val="21"/>
                <w:szCs w:val="21"/>
                <w:highlight w:val="none"/>
                <w:lang w:val="en-US" w:eastAsia="zh-CN"/>
              </w:rPr>
              <w:t>的潜在投标人应在政采云平台线上获取招标文件，并</w:t>
            </w:r>
            <w:r>
              <w:rPr>
                <w:rFonts w:hint="eastAsia" w:ascii="仿宋" w:hAnsi="仿宋" w:eastAsia="仿宋" w:cs="仿宋"/>
                <w:color w:val="auto"/>
                <w:sz w:val="21"/>
                <w:szCs w:val="21"/>
                <w:highlight w:val="none"/>
                <w:shd w:val="clear"/>
                <w:lang w:val="en-US" w:eastAsia="zh-CN"/>
              </w:rPr>
              <w:t>于</w:t>
            </w:r>
            <w:r>
              <w:rPr>
                <w:rFonts w:hint="eastAsia" w:ascii="仿宋" w:hAnsi="仿宋" w:eastAsia="仿宋" w:cs="仿宋"/>
                <w:color w:val="FF0000"/>
                <w:sz w:val="21"/>
                <w:szCs w:val="21"/>
                <w:highlight w:val="none"/>
                <w:shd w:val="clear"/>
                <w:lang w:val="en-US" w:eastAsia="zh-CN"/>
              </w:rPr>
              <w:t>2026年04月</w:t>
            </w:r>
            <w:r>
              <w:rPr>
                <w:rFonts w:hint="eastAsia" w:ascii="仿宋" w:hAnsi="仿宋" w:eastAsia="仿宋" w:cs="仿宋"/>
                <w:bCs/>
                <w:color w:val="FF0000"/>
                <w:sz w:val="21"/>
                <w:szCs w:val="21"/>
                <w:highlight w:val="none"/>
                <w:lang w:val="en-US" w:eastAsia="zh-CN"/>
              </w:rPr>
              <w:t>30</w:t>
            </w:r>
            <w:r>
              <w:rPr>
                <w:rFonts w:hint="eastAsia" w:ascii="仿宋" w:hAnsi="仿宋" w:eastAsia="仿宋" w:cs="仿宋"/>
                <w:color w:val="FF0000"/>
                <w:sz w:val="21"/>
                <w:szCs w:val="21"/>
                <w:highlight w:val="none"/>
                <w:shd w:val="clear"/>
                <w:lang w:val="en-US" w:eastAsia="zh-CN"/>
              </w:rPr>
              <w:t>日14</w:t>
            </w:r>
            <w:r>
              <w:rPr>
                <w:rFonts w:hint="eastAsia" w:ascii="仿宋" w:hAnsi="仿宋" w:eastAsia="仿宋" w:cs="仿宋"/>
                <w:color w:val="FF0000"/>
                <w:sz w:val="21"/>
                <w:szCs w:val="21"/>
                <w:highlight w:val="none"/>
                <w:lang w:val="en-US" w:eastAsia="zh-CN"/>
              </w:rPr>
              <w:t>:00（北京时间）</w:t>
            </w:r>
            <w:r>
              <w:rPr>
                <w:rFonts w:hint="eastAsia" w:ascii="仿宋" w:hAnsi="仿宋" w:eastAsia="仿宋" w:cs="仿宋"/>
                <w:color w:val="auto"/>
                <w:sz w:val="21"/>
                <w:szCs w:val="21"/>
                <w:highlight w:val="none"/>
                <w:lang w:val="en-US" w:eastAsia="zh-CN"/>
              </w:rPr>
              <w:t>前递交投标文件</w:t>
            </w:r>
            <w:r>
              <w:rPr>
                <w:rFonts w:hint="eastAsia" w:ascii="仿宋" w:hAnsi="仿宋" w:eastAsia="仿宋" w:cs="仿宋"/>
                <w:color w:val="auto"/>
                <w:sz w:val="21"/>
                <w:szCs w:val="21"/>
                <w:highlight w:val="none"/>
              </w:rPr>
              <w:t>。</w:t>
            </w:r>
          </w:p>
        </w:tc>
      </w:tr>
    </w:tbl>
    <w:p w14:paraId="44146F57">
      <w:pPr>
        <w:pStyle w:val="28"/>
        <w:spacing w:line="360" w:lineRule="auto"/>
        <w:ind w:firstLine="48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一、项目基本情况</w:t>
      </w:r>
    </w:p>
    <w:p w14:paraId="31110686">
      <w:pPr>
        <w:pStyle w:val="28"/>
        <w:spacing w:line="360" w:lineRule="auto"/>
        <w:ind w:firstLine="480"/>
        <w:rPr>
          <w:rFonts w:hint="eastAsia" w:ascii="仿宋" w:hAnsi="仿宋" w:eastAsia="仿宋" w:cs="仿宋"/>
          <w:b w:val="0"/>
          <w:bCs w:val="0"/>
          <w:color w:val="FF0000"/>
          <w:sz w:val="21"/>
          <w:szCs w:val="21"/>
          <w:highlight w:val="none"/>
          <w:lang w:eastAsia="zh-CN"/>
        </w:rPr>
      </w:pPr>
      <w:r>
        <w:rPr>
          <w:rFonts w:hint="eastAsia" w:ascii="仿宋" w:hAnsi="仿宋" w:eastAsia="仿宋" w:cs="仿宋"/>
          <w:b w:val="0"/>
          <w:bCs w:val="0"/>
          <w:color w:val="FF0000"/>
          <w:sz w:val="21"/>
          <w:szCs w:val="21"/>
          <w:highlight w:val="none"/>
          <w:lang w:eastAsia="zh-CN"/>
        </w:rPr>
        <w:t>项目编号：</w:t>
      </w:r>
    </w:p>
    <w:p w14:paraId="581AF10C">
      <w:pPr>
        <w:pStyle w:val="28"/>
        <w:spacing w:line="360" w:lineRule="auto"/>
        <w:ind w:firstLine="480"/>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rPr>
        <w:t>项目名称：</w:t>
      </w:r>
      <w:r>
        <w:rPr>
          <w:rFonts w:hint="eastAsia" w:ascii="仿宋" w:hAnsi="仿宋" w:eastAsia="仿宋" w:cs="仿宋"/>
          <w:b w:val="0"/>
          <w:bCs w:val="0"/>
          <w:color w:val="auto"/>
          <w:sz w:val="21"/>
          <w:szCs w:val="21"/>
          <w:highlight w:val="none"/>
          <w:lang w:eastAsia="zh-CN"/>
        </w:rPr>
        <w:t>河曲县2026年六乡镇富硒谷子产业奖补项目</w:t>
      </w:r>
    </w:p>
    <w:p w14:paraId="2DFFB32F">
      <w:pPr>
        <w:pStyle w:val="28"/>
        <w:spacing w:line="360" w:lineRule="auto"/>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采购方式：公开招标</w:t>
      </w:r>
    </w:p>
    <w:p w14:paraId="1A86E820">
      <w:pPr>
        <w:pStyle w:val="28"/>
        <w:spacing w:line="360" w:lineRule="auto"/>
        <w:ind w:firstLine="48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预算金额（元）：12017060.25</w:t>
      </w:r>
      <w:r>
        <w:rPr>
          <w:rFonts w:hint="eastAsia" w:ascii="仿宋" w:hAnsi="仿宋" w:eastAsia="仿宋" w:cs="仿宋"/>
          <w:b w:val="0"/>
          <w:bCs w:val="0"/>
          <w:color w:val="auto"/>
          <w:sz w:val="21"/>
          <w:szCs w:val="21"/>
          <w:highlight w:val="none"/>
          <w:lang w:val="en-US" w:eastAsia="zh-CN"/>
        </w:rPr>
        <w:t>元</w:t>
      </w:r>
    </w:p>
    <w:p w14:paraId="556378AD">
      <w:pPr>
        <w:pStyle w:val="28"/>
        <w:spacing w:line="360" w:lineRule="auto"/>
        <w:ind w:firstLine="48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最高限价（元）：12017060.25元</w:t>
      </w:r>
    </w:p>
    <w:p w14:paraId="5E9D90BA">
      <w:pPr>
        <w:pStyle w:val="28"/>
        <w:spacing w:line="360" w:lineRule="auto"/>
        <w:ind w:firstLine="480"/>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简要规格描述或项目基本概况介绍：</w:t>
      </w:r>
      <w:r>
        <w:rPr>
          <w:rFonts w:hint="eastAsia" w:ascii="仿宋" w:hAnsi="仿宋" w:eastAsia="仿宋" w:cs="仿宋"/>
          <w:b w:val="0"/>
          <w:bCs w:val="0"/>
          <w:color w:val="auto"/>
          <w:sz w:val="21"/>
          <w:szCs w:val="21"/>
          <w:highlight w:val="none"/>
          <w:lang w:val="en-US" w:eastAsia="zh-CN"/>
        </w:rPr>
        <w:t>详见第四部分  商务、技术要求。</w:t>
      </w:r>
    </w:p>
    <w:p w14:paraId="3ECA16F5">
      <w:pPr>
        <w:pStyle w:val="28"/>
        <w:spacing w:line="360" w:lineRule="auto"/>
        <w:ind w:firstLine="480"/>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本项目</w:t>
      </w:r>
      <w:r>
        <w:rPr>
          <w:rFonts w:hint="eastAsia" w:ascii="仿宋" w:hAnsi="仿宋" w:eastAsia="仿宋" w:cs="仿宋"/>
          <w:b w:val="0"/>
          <w:bCs w:val="0"/>
          <w:color w:val="auto"/>
          <w:sz w:val="21"/>
          <w:szCs w:val="21"/>
          <w:highlight w:val="none"/>
          <w:lang w:val="en-US" w:eastAsia="zh-CN"/>
        </w:rPr>
        <w:t>不</w:t>
      </w:r>
      <w:r>
        <w:rPr>
          <w:rFonts w:hint="eastAsia" w:ascii="仿宋" w:hAnsi="仿宋" w:eastAsia="仿宋" w:cs="仿宋"/>
          <w:b w:val="0"/>
          <w:bCs w:val="0"/>
          <w:color w:val="auto"/>
          <w:sz w:val="21"/>
          <w:szCs w:val="21"/>
          <w:highlight w:val="none"/>
        </w:rPr>
        <w:t>接受联合体投标。</w:t>
      </w:r>
    </w:p>
    <w:p w14:paraId="48F648B9">
      <w:pPr>
        <w:pStyle w:val="28"/>
        <w:spacing w:line="360" w:lineRule="auto"/>
        <w:ind w:firstLine="48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二、申请人的资格要求</w:t>
      </w:r>
    </w:p>
    <w:p w14:paraId="1832991B">
      <w:pPr>
        <w:pStyle w:val="28"/>
        <w:spacing w:line="360" w:lineRule="auto"/>
        <w:ind w:firstLine="480"/>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1.满足《中华人民共和国政府采购法》第二十二条规定；</w:t>
      </w:r>
    </w:p>
    <w:p w14:paraId="1229B0A9">
      <w:pPr>
        <w:pStyle w:val="28"/>
        <w:spacing w:line="360" w:lineRule="auto"/>
        <w:ind w:firstLine="480"/>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rPr>
        <w:t>2.落实政府采购政策需满足的资格要求：</w:t>
      </w:r>
      <w:r>
        <w:rPr>
          <w:rFonts w:hint="eastAsia" w:ascii="仿宋" w:hAnsi="仿宋" w:eastAsia="仿宋" w:cs="仿宋"/>
          <w:b w:val="0"/>
          <w:bCs w:val="0"/>
          <w:color w:val="auto"/>
          <w:sz w:val="21"/>
          <w:szCs w:val="21"/>
          <w:highlight w:val="none"/>
          <w:lang w:eastAsia="zh-CN"/>
        </w:rPr>
        <w:t>本项目为专门面向中小企业采购项目 ；</w:t>
      </w:r>
    </w:p>
    <w:p w14:paraId="785C5AAA">
      <w:pPr>
        <w:pStyle w:val="28"/>
        <w:spacing w:line="360" w:lineRule="auto"/>
        <w:ind w:firstLine="480"/>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3.本项目的特定资格要求：</w:t>
      </w:r>
      <w:r>
        <w:rPr>
          <w:rFonts w:hint="eastAsia" w:ascii="仿宋" w:hAnsi="仿宋" w:eastAsia="仿宋" w:cs="仿宋"/>
          <w:b w:val="0"/>
          <w:bCs w:val="0"/>
          <w:color w:val="auto"/>
          <w:sz w:val="21"/>
          <w:szCs w:val="21"/>
          <w:highlight w:val="none"/>
          <w:lang w:val="en-US" w:eastAsia="zh-CN"/>
        </w:rPr>
        <w:t>无。</w:t>
      </w:r>
    </w:p>
    <w:p w14:paraId="194D8E24">
      <w:pPr>
        <w:pStyle w:val="28"/>
        <w:spacing w:line="360" w:lineRule="auto"/>
        <w:ind w:firstLine="48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三、获取招标文件</w:t>
      </w:r>
    </w:p>
    <w:p w14:paraId="4281B380">
      <w:pPr>
        <w:pStyle w:val="28"/>
        <w:spacing w:line="360" w:lineRule="auto"/>
        <w:ind w:firstLine="480"/>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时间：</w:t>
      </w:r>
      <w:r>
        <w:rPr>
          <w:rFonts w:hint="eastAsia" w:ascii="仿宋" w:hAnsi="仿宋" w:eastAsia="仿宋" w:cs="仿宋"/>
          <w:b w:val="0"/>
          <w:bCs w:val="0"/>
          <w:color w:val="FF0000"/>
          <w:sz w:val="21"/>
          <w:szCs w:val="21"/>
          <w:highlight w:val="none"/>
        </w:rPr>
        <w:t>2026年04月07日至2026年04月14日</w:t>
      </w:r>
      <w:r>
        <w:rPr>
          <w:rFonts w:hint="eastAsia" w:ascii="仿宋" w:hAnsi="仿宋" w:eastAsia="仿宋" w:cs="仿宋"/>
          <w:b w:val="0"/>
          <w:bCs w:val="0"/>
          <w:color w:val="auto"/>
          <w:sz w:val="21"/>
          <w:szCs w:val="21"/>
          <w:highlight w:val="none"/>
        </w:rPr>
        <w:t>，每天上午00:00至12:00，下午12:00至23:59（北京时间，法定节假日除外）</w:t>
      </w:r>
    </w:p>
    <w:p w14:paraId="1A0525F6">
      <w:pPr>
        <w:pStyle w:val="28"/>
        <w:spacing w:line="360" w:lineRule="auto"/>
        <w:ind w:firstLine="480"/>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地点：政采云平台线上</w:t>
      </w:r>
    </w:p>
    <w:p w14:paraId="6F781366">
      <w:pPr>
        <w:pStyle w:val="28"/>
        <w:spacing w:line="360" w:lineRule="auto"/>
        <w:ind w:firstLine="480"/>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方式：在线获取</w:t>
      </w:r>
    </w:p>
    <w:p w14:paraId="040713D6">
      <w:pPr>
        <w:pStyle w:val="28"/>
        <w:spacing w:line="360" w:lineRule="auto"/>
        <w:ind w:firstLine="480"/>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售价（元）：0</w:t>
      </w:r>
    </w:p>
    <w:p w14:paraId="707B1234">
      <w:pPr>
        <w:pStyle w:val="28"/>
        <w:spacing w:line="360" w:lineRule="auto"/>
        <w:ind w:firstLine="48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四、提交投标文件截止时间、开标时间和地点</w:t>
      </w:r>
    </w:p>
    <w:p w14:paraId="3E263635">
      <w:pPr>
        <w:pStyle w:val="28"/>
        <w:spacing w:line="360" w:lineRule="auto"/>
        <w:ind w:firstLine="480"/>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提交投标文件截止时间：</w:t>
      </w:r>
      <w:r>
        <w:rPr>
          <w:rFonts w:hint="eastAsia" w:ascii="仿宋" w:hAnsi="仿宋" w:eastAsia="仿宋" w:cs="仿宋"/>
          <w:color w:val="FF0000"/>
          <w:sz w:val="21"/>
          <w:szCs w:val="21"/>
          <w:highlight w:val="none"/>
          <w:shd w:val="clear"/>
          <w:lang w:val="en-US" w:eastAsia="zh-CN"/>
        </w:rPr>
        <w:t>2026年04月</w:t>
      </w:r>
      <w:r>
        <w:rPr>
          <w:rFonts w:hint="eastAsia" w:ascii="仿宋" w:hAnsi="仿宋" w:eastAsia="仿宋" w:cs="仿宋"/>
          <w:bCs/>
          <w:color w:val="FF0000"/>
          <w:sz w:val="21"/>
          <w:szCs w:val="21"/>
          <w:highlight w:val="none"/>
          <w:lang w:val="en-US" w:eastAsia="zh-CN"/>
        </w:rPr>
        <w:t>30</w:t>
      </w:r>
      <w:r>
        <w:rPr>
          <w:rFonts w:hint="eastAsia" w:ascii="仿宋" w:hAnsi="仿宋" w:eastAsia="仿宋" w:cs="仿宋"/>
          <w:color w:val="FF0000"/>
          <w:sz w:val="21"/>
          <w:szCs w:val="21"/>
          <w:highlight w:val="none"/>
          <w:shd w:val="clear"/>
          <w:lang w:val="en-US" w:eastAsia="zh-CN"/>
        </w:rPr>
        <w:t>日14</w:t>
      </w:r>
      <w:r>
        <w:rPr>
          <w:rFonts w:hint="eastAsia" w:ascii="仿宋" w:hAnsi="仿宋" w:eastAsia="仿宋" w:cs="仿宋"/>
          <w:color w:val="FF0000"/>
          <w:sz w:val="21"/>
          <w:szCs w:val="21"/>
          <w:highlight w:val="none"/>
          <w:lang w:val="en-US" w:eastAsia="zh-CN"/>
        </w:rPr>
        <w:t>:00</w:t>
      </w:r>
      <w:r>
        <w:rPr>
          <w:rFonts w:hint="eastAsia" w:ascii="仿宋" w:hAnsi="仿宋" w:eastAsia="仿宋" w:cs="仿宋"/>
          <w:b w:val="0"/>
          <w:bCs w:val="0"/>
          <w:color w:val="auto"/>
          <w:sz w:val="21"/>
          <w:szCs w:val="21"/>
          <w:highlight w:val="none"/>
        </w:rPr>
        <w:t>（北京时间）</w:t>
      </w:r>
    </w:p>
    <w:p w14:paraId="4EED089F">
      <w:pPr>
        <w:pStyle w:val="28"/>
        <w:spacing w:line="360" w:lineRule="auto"/>
        <w:ind w:firstLine="480"/>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投标地点（网址）：请登录政采云投标客户端投标</w:t>
      </w:r>
    </w:p>
    <w:p w14:paraId="6CCBAED3">
      <w:pPr>
        <w:pStyle w:val="28"/>
        <w:spacing w:line="360" w:lineRule="auto"/>
        <w:ind w:firstLine="480"/>
        <w:rPr>
          <w:rFonts w:hint="default" w:ascii="仿宋" w:hAnsi="仿宋" w:eastAsia="仿宋" w:cs="仿宋"/>
          <w:b w:val="0"/>
          <w:bCs w:val="0"/>
          <w:color w:val="auto"/>
          <w:sz w:val="21"/>
          <w:szCs w:val="21"/>
          <w:highlight w:val="none"/>
          <w:lang w:val="en-US"/>
        </w:rPr>
      </w:pPr>
      <w:r>
        <w:rPr>
          <w:rFonts w:hint="eastAsia" w:ascii="仿宋" w:hAnsi="仿宋" w:eastAsia="仿宋" w:cs="仿宋"/>
          <w:b w:val="0"/>
          <w:bCs w:val="0"/>
          <w:color w:val="auto"/>
          <w:sz w:val="21"/>
          <w:szCs w:val="21"/>
          <w:highlight w:val="none"/>
        </w:rPr>
        <w:t>开标时间：</w:t>
      </w:r>
      <w:r>
        <w:rPr>
          <w:rFonts w:hint="eastAsia" w:ascii="仿宋" w:hAnsi="仿宋" w:eastAsia="仿宋" w:cs="仿宋"/>
          <w:color w:val="FF0000"/>
          <w:sz w:val="21"/>
          <w:szCs w:val="21"/>
          <w:highlight w:val="none"/>
          <w:shd w:val="clear"/>
          <w:lang w:val="en-US" w:eastAsia="zh-CN"/>
        </w:rPr>
        <w:t>2026年04月</w:t>
      </w:r>
      <w:r>
        <w:rPr>
          <w:rFonts w:hint="eastAsia" w:ascii="仿宋" w:hAnsi="仿宋" w:eastAsia="仿宋" w:cs="仿宋"/>
          <w:bCs/>
          <w:color w:val="FF0000"/>
          <w:sz w:val="21"/>
          <w:szCs w:val="21"/>
          <w:highlight w:val="none"/>
          <w:lang w:val="en-US" w:eastAsia="zh-CN"/>
        </w:rPr>
        <w:t>30</w:t>
      </w:r>
      <w:r>
        <w:rPr>
          <w:rFonts w:hint="eastAsia" w:ascii="仿宋" w:hAnsi="仿宋" w:eastAsia="仿宋" w:cs="仿宋"/>
          <w:color w:val="FF0000"/>
          <w:sz w:val="21"/>
          <w:szCs w:val="21"/>
          <w:highlight w:val="none"/>
          <w:shd w:val="clear"/>
          <w:lang w:val="en-US" w:eastAsia="zh-CN"/>
        </w:rPr>
        <w:t>日14</w:t>
      </w:r>
      <w:r>
        <w:rPr>
          <w:rFonts w:hint="eastAsia" w:ascii="仿宋" w:hAnsi="仿宋" w:eastAsia="仿宋" w:cs="仿宋"/>
          <w:color w:val="FF0000"/>
          <w:sz w:val="21"/>
          <w:szCs w:val="21"/>
          <w:highlight w:val="none"/>
          <w:lang w:val="en-US" w:eastAsia="zh-CN"/>
        </w:rPr>
        <w:t>:00</w:t>
      </w:r>
    </w:p>
    <w:p w14:paraId="4DB345A3">
      <w:pPr>
        <w:pStyle w:val="28"/>
        <w:spacing w:line="360" w:lineRule="auto"/>
        <w:ind w:firstLine="480"/>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rPr>
        <w:t>开标地点：</w:t>
      </w:r>
      <w:r>
        <w:rPr>
          <w:rFonts w:hint="eastAsia" w:ascii="仿宋" w:hAnsi="仿宋" w:eastAsia="仿宋" w:cs="仿宋"/>
          <w:color w:val="auto"/>
          <w:kern w:val="0"/>
          <w:szCs w:val="21"/>
          <w:highlight w:val="none"/>
          <w:lang w:val="en-US" w:eastAsia="zh-CN"/>
        </w:rPr>
        <w:t>网上开标</w:t>
      </w:r>
      <w:r>
        <w:rPr>
          <w:rFonts w:hint="eastAsia" w:ascii="仿宋" w:hAnsi="仿宋" w:eastAsia="仿宋" w:cs="仿宋"/>
          <w:b w:val="0"/>
          <w:bCs w:val="0"/>
          <w:color w:val="auto"/>
          <w:sz w:val="21"/>
          <w:szCs w:val="21"/>
          <w:highlight w:val="none"/>
        </w:rPr>
        <w:t xml:space="preserve"> </w:t>
      </w:r>
    </w:p>
    <w:p w14:paraId="675D9F9D">
      <w:pPr>
        <w:pStyle w:val="28"/>
        <w:spacing w:line="360" w:lineRule="auto"/>
        <w:ind w:firstLine="48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五、公告期限</w:t>
      </w:r>
    </w:p>
    <w:p w14:paraId="0F7493DF">
      <w:pPr>
        <w:pStyle w:val="28"/>
        <w:spacing w:line="360" w:lineRule="auto"/>
        <w:ind w:firstLine="480"/>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自本公告发布之日起5个工作日。</w:t>
      </w:r>
    </w:p>
    <w:p w14:paraId="73D70AE6">
      <w:pPr>
        <w:pStyle w:val="28"/>
        <w:spacing w:line="360" w:lineRule="auto"/>
        <w:ind w:firstLine="48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六、其他补充事宜</w:t>
      </w:r>
    </w:p>
    <w:p w14:paraId="6372C729">
      <w:pPr>
        <w:pStyle w:val="28"/>
        <w:spacing w:line="360" w:lineRule="auto"/>
        <w:ind w:firstLine="480"/>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427A92B5">
      <w:pPr>
        <w:pStyle w:val="28"/>
        <w:spacing w:line="360" w:lineRule="auto"/>
        <w:ind w:firstLine="480"/>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代理费支付方式：供应商支付</w:t>
      </w:r>
    </w:p>
    <w:p w14:paraId="4F69F688">
      <w:pPr>
        <w:pStyle w:val="28"/>
        <w:spacing w:line="360" w:lineRule="auto"/>
        <w:ind w:firstLine="480"/>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代理费收费标准：</w:t>
      </w:r>
      <w:bookmarkStart w:id="3" w:name="OLE_LINK2"/>
      <w:r>
        <w:rPr>
          <w:rFonts w:hint="eastAsia" w:ascii="仿宋" w:hAnsi="仿宋" w:eastAsia="仿宋" w:cs="仿宋"/>
          <w:b w:val="0"/>
          <w:bCs w:val="0"/>
          <w:color w:val="auto"/>
          <w:sz w:val="21"/>
          <w:szCs w:val="21"/>
          <w:highlight w:val="none"/>
        </w:rPr>
        <w:t>参照国家计委《招标代理服务收费管理暂行办法》（计价格[2002]1980号）、国家发改委《关于招标代理服务收费有关问题的通知》（发改办价格[2003]857号）文件规定执行</w:t>
      </w:r>
    </w:p>
    <w:bookmarkEnd w:id="3"/>
    <w:p w14:paraId="48B5FDB7">
      <w:pPr>
        <w:pStyle w:val="28"/>
        <w:spacing w:line="360" w:lineRule="auto"/>
        <w:ind w:firstLine="480"/>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代理费收费金额（元）：/</w:t>
      </w:r>
    </w:p>
    <w:p w14:paraId="12C8125E">
      <w:pPr>
        <w:pStyle w:val="28"/>
        <w:spacing w:line="360" w:lineRule="auto"/>
        <w:ind w:firstLine="48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七、对本次采购提出询问，请按以下方式联系</w:t>
      </w:r>
    </w:p>
    <w:p w14:paraId="3E536BD8">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lang w:val="en-US" w:eastAsia="zh-CN"/>
        </w:rPr>
        <w:t>牵头</w:t>
      </w:r>
      <w:r>
        <w:rPr>
          <w:rFonts w:hint="eastAsia" w:ascii="仿宋" w:hAnsi="仿宋" w:eastAsia="仿宋" w:cs="仿宋"/>
          <w:color w:val="auto"/>
          <w:kern w:val="0"/>
          <w:szCs w:val="21"/>
          <w:highlight w:val="none"/>
        </w:rPr>
        <w:t>采购人信息</w:t>
      </w:r>
    </w:p>
    <w:p w14:paraId="1E702B11">
      <w:pPr>
        <w:widowControl/>
        <w:autoSpaceDE w:val="0"/>
        <w:spacing w:line="360" w:lineRule="auto"/>
        <w:ind w:firstLine="420" w:firstLineChars="200"/>
        <w:jc w:val="left"/>
        <w:rPr>
          <w:rFonts w:hint="default" w:ascii="仿宋" w:hAnsi="仿宋" w:eastAsia="仿宋" w:cs="仿宋"/>
          <w:color w:val="auto"/>
          <w:kern w:val="0"/>
          <w:szCs w:val="21"/>
          <w:highlight w:val="none"/>
          <w:lang w:val="en-US"/>
        </w:rPr>
      </w:pPr>
      <w:r>
        <w:rPr>
          <w:rFonts w:hint="eastAsia" w:ascii="仿宋" w:hAnsi="仿宋" w:eastAsia="仿宋" w:cs="仿宋"/>
          <w:color w:val="auto"/>
          <w:kern w:val="0"/>
          <w:szCs w:val="21"/>
          <w:highlight w:val="none"/>
        </w:rPr>
        <w:t>名称：</w:t>
      </w:r>
      <w:r>
        <w:rPr>
          <w:rFonts w:hint="eastAsia" w:ascii="仿宋" w:hAnsi="仿宋" w:eastAsia="仿宋" w:cs="仿宋"/>
          <w:color w:val="auto"/>
          <w:kern w:val="0"/>
          <w:szCs w:val="21"/>
          <w:highlight w:val="none"/>
          <w:lang w:val="en-US" w:eastAsia="zh-CN"/>
        </w:rPr>
        <w:t>河曲县鹿固乡人民政府</w:t>
      </w:r>
    </w:p>
    <w:p w14:paraId="6CF6FA68">
      <w:pPr>
        <w:widowControl/>
        <w:autoSpaceDE w:val="0"/>
        <w:spacing w:line="360" w:lineRule="auto"/>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地址：</w:t>
      </w:r>
      <w:r>
        <w:rPr>
          <w:rFonts w:hint="eastAsia" w:ascii="仿宋" w:hAnsi="仿宋" w:eastAsia="仿宋" w:cs="仿宋"/>
          <w:color w:val="auto"/>
          <w:kern w:val="0"/>
          <w:szCs w:val="21"/>
          <w:highlight w:val="none"/>
          <w:lang w:val="en-US" w:eastAsia="zh-CN"/>
        </w:rPr>
        <w:t>河曲县鹿固乡</w:t>
      </w:r>
    </w:p>
    <w:p w14:paraId="33BDBF6A">
      <w:pPr>
        <w:widowControl/>
        <w:autoSpaceDE w:val="0"/>
        <w:spacing w:line="360" w:lineRule="auto"/>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项目</w:t>
      </w:r>
      <w:r>
        <w:rPr>
          <w:rFonts w:hint="eastAsia" w:ascii="仿宋" w:hAnsi="仿宋" w:eastAsia="仿宋" w:cs="仿宋"/>
          <w:color w:val="auto"/>
          <w:kern w:val="0"/>
          <w:szCs w:val="21"/>
          <w:highlight w:val="none"/>
        </w:rPr>
        <w:t>联系</w:t>
      </w:r>
      <w:r>
        <w:rPr>
          <w:rFonts w:hint="eastAsia" w:ascii="仿宋" w:hAnsi="仿宋" w:eastAsia="仿宋" w:cs="仿宋"/>
          <w:color w:val="auto"/>
          <w:kern w:val="0"/>
          <w:szCs w:val="21"/>
          <w:highlight w:val="none"/>
          <w:lang w:val="en-US" w:eastAsia="zh-CN"/>
        </w:rPr>
        <w:t>人</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王蕊</w:t>
      </w:r>
    </w:p>
    <w:p w14:paraId="1ECC5636">
      <w:pPr>
        <w:widowControl/>
        <w:autoSpaceDE w:val="0"/>
        <w:spacing w:line="360" w:lineRule="auto"/>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电话：18303406377</w:t>
      </w:r>
    </w:p>
    <w:p w14:paraId="77A5D1F1">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2.采购代理机构信息</w:t>
      </w:r>
    </w:p>
    <w:p w14:paraId="330D8DDE">
      <w:pPr>
        <w:widowControl/>
        <w:autoSpaceDE w:val="0"/>
        <w:spacing w:line="360" w:lineRule="auto"/>
        <w:ind w:firstLine="420" w:firstLineChars="200"/>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名称：</w:t>
      </w:r>
      <w:r>
        <w:rPr>
          <w:rFonts w:hint="eastAsia" w:ascii="仿宋" w:hAnsi="仿宋" w:eastAsia="仿宋" w:cs="仿宋"/>
          <w:color w:val="auto"/>
          <w:kern w:val="0"/>
          <w:szCs w:val="21"/>
          <w:highlight w:val="none"/>
          <w:lang w:eastAsia="zh-CN"/>
        </w:rPr>
        <w:t>山西名成招标代理有限公司</w:t>
      </w:r>
    </w:p>
    <w:p w14:paraId="416C84CF">
      <w:pPr>
        <w:widowControl/>
        <w:autoSpaceDE w:val="0"/>
        <w:spacing w:line="360" w:lineRule="auto"/>
        <w:ind w:firstLine="420" w:firstLineChars="200"/>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地址：</w:t>
      </w:r>
      <w:r>
        <w:rPr>
          <w:rFonts w:hint="eastAsia" w:ascii="仿宋" w:hAnsi="仿宋" w:eastAsia="仿宋" w:cs="仿宋"/>
          <w:color w:val="auto"/>
          <w:kern w:val="0"/>
          <w:szCs w:val="21"/>
          <w:highlight w:val="none"/>
          <w:lang w:eastAsia="zh-CN"/>
        </w:rPr>
        <w:t>山西省忻州市忻府区云中路165号</w:t>
      </w:r>
    </w:p>
    <w:p w14:paraId="5422151E">
      <w:pPr>
        <w:widowControl/>
        <w:autoSpaceDE w:val="0"/>
        <w:spacing w:line="360" w:lineRule="auto"/>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联系方式：</w:t>
      </w:r>
      <w:r>
        <w:rPr>
          <w:rFonts w:hint="eastAsia" w:ascii="仿宋" w:hAnsi="仿宋" w:eastAsia="仿宋" w:cs="仿宋"/>
          <w:color w:val="auto"/>
          <w:kern w:val="0"/>
          <w:szCs w:val="21"/>
          <w:highlight w:val="none"/>
          <w:lang w:val="en-US" w:eastAsia="zh-CN"/>
        </w:rPr>
        <w:t>18834007006</w:t>
      </w:r>
    </w:p>
    <w:p w14:paraId="21B82E59">
      <w:pPr>
        <w:widowControl/>
        <w:autoSpaceDE w:val="0"/>
        <w:spacing w:line="360" w:lineRule="auto"/>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3.</w:t>
      </w:r>
      <w:r>
        <w:rPr>
          <w:rFonts w:hint="eastAsia" w:ascii="仿宋" w:hAnsi="仿宋" w:eastAsia="仿宋" w:cs="仿宋"/>
          <w:color w:val="auto"/>
          <w:kern w:val="0"/>
          <w:szCs w:val="21"/>
          <w:highlight w:val="none"/>
          <w:lang w:val="en-US" w:eastAsia="zh-CN"/>
        </w:rPr>
        <w:t>项目联系方式</w:t>
      </w:r>
    </w:p>
    <w:p w14:paraId="57EC1DC4">
      <w:pPr>
        <w:widowControl/>
        <w:autoSpaceDE w:val="0"/>
        <w:spacing w:line="360" w:lineRule="auto"/>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项目联系人：</w:t>
      </w:r>
      <w:r>
        <w:rPr>
          <w:rFonts w:hint="eastAsia" w:ascii="仿宋" w:hAnsi="仿宋" w:eastAsia="仿宋" w:cs="仿宋"/>
          <w:color w:val="auto"/>
          <w:kern w:val="0"/>
          <w:szCs w:val="21"/>
          <w:highlight w:val="none"/>
          <w:lang w:val="en-US" w:eastAsia="zh-CN"/>
        </w:rPr>
        <w:t>刘女士</w:t>
      </w:r>
    </w:p>
    <w:p w14:paraId="698F74ED">
      <w:pPr>
        <w:widowControl/>
        <w:autoSpaceDE w:val="0"/>
        <w:spacing w:line="360" w:lineRule="auto"/>
        <w:ind w:firstLine="420"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color w:val="auto"/>
          <w:kern w:val="0"/>
          <w:szCs w:val="21"/>
          <w:highlight w:val="none"/>
        </w:rPr>
        <w:t>电话：</w:t>
      </w:r>
      <w:r>
        <w:rPr>
          <w:rFonts w:hint="eastAsia" w:ascii="仿宋" w:hAnsi="仿宋" w:eastAsia="仿宋" w:cs="仿宋"/>
          <w:color w:val="auto"/>
          <w:kern w:val="0"/>
          <w:szCs w:val="21"/>
          <w:highlight w:val="none"/>
          <w:lang w:val="en-US" w:eastAsia="zh-CN"/>
        </w:rPr>
        <w:t>18834007006</w:t>
      </w:r>
      <w:r>
        <w:rPr>
          <w:rFonts w:hint="eastAsia" w:ascii="仿宋" w:hAnsi="仿宋" w:eastAsia="仿宋" w:cs="仿宋"/>
          <w:b/>
          <w:color w:val="auto"/>
          <w:kern w:val="0"/>
          <w:sz w:val="24"/>
          <w:szCs w:val="24"/>
          <w:highlight w:val="none"/>
        </w:rPr>
        <w:br w:type="page"/>
      </w:r>
    </w:p>
    <w:p w14:paraId="3CA83802">
      <w:pPr>
        <w:pStyle w:val="18"/>
        <w:widowControl w:val="0"/>
        <w:spacing w:before="120" w:beforeLines="50" w:after="120" w:afterLines="50" w:line="440" w:lineRule="exact"/>
        <w:jc w:val="center"/>
        <w:outlineLvl w:val="0"/>
        <w:rPr>
          <w:rFonts w:hint="eastAsia" w:ascii="仿宋" w:hAnsi="仿宋" w:eastAsia="仿宋" w:cs="仿宋"/>
          <w:b/>
          <w:color w:val="auto"/>
          <w:sz w:val="32"/>
          <w:szCs w:val="32"/>
          <w:highlight w:val="none"/>
        </w:rPr>
      </w:pPr>
      <w:bookmarkStart w:id="4" w:name="_Toc117270078"/>
      <w:bookmarkStart w:id="5" w:name="_Toc12207"/>
      <w:r>
        <w:rPr>
          <w:rFonts w:hint="eastAsia" w:ascii="仿宋" w:hAnsi="仿宋" w:eastAsia="仿宋" w:cs="仿宋"/>
          <w:b/>
          <w:color w:val="auto"/>
          <w:sz w:val="32"/>
          <w:szCs w:val="32"/>
          <w:highlight w:val="none"/>
        </w:rPr>
        <w:t>第二部分  投标人须知前附表</w:t>
      </w:r>
      <w:bookmarkEnd w:id="4"/>
      <w:bookmarkEnd w:id="5"/>
    </w:p>
    <w:tbl>
      <w:tblPr>
        <w:tblStyle w:val="22"/>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27"/>
        <w:gridCol w:w="7347"/>
      </w:tblGrid>
      <w:tr w14:paraId="7171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5214098A">
            <w:pPr>
              <w:topLinePunct/>
              <w:autoSpaceDE w:val="0"/>
              <w:autoSpaceDN w:val="0"/>
              <w:spacing w:line="240" w:lineRule="auto"/>
              <w:ind w:left="-105" w:leftChars="-50" w:right="-105" w:rightChars="-50"/>
              <w:jc w:val="center"/>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序号</w:t>
            </w:r>
          </w:p>
        </w:tc>
        <w:tc>
          <w:tcPr>
            <w:tcW w:w="1727" w:type="dxa"/>
            <w:vAlign w:val="center"/>
          </w:tcPr>
          <w:p w14:paraId="52B89C75">
            <w:pPr>
              <w:topLinePunct/>
              <w:autoSpaceDE w:val="0"/>
              <w:autoSpaceDN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内容</w:t>
            </w:r>
          </w:p>
        </w:tc>
        <w:tc>
          <w:tcPr>
            <w:tcW w:w="7347" w:type="dxa"/>
            <w:vAlign w:val="center"/>
          </w:tcPr>
          <w:p w14:paraId="44E9F3D9">
            <w:pPr>
              <w:topLinePunct/>
              <w:autoSpaceDE w:val="0"/>
              <w:autoSpaceDN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说明与要求</w:t>
            </w:r>
          </w:p>
        </w:tc>
      </w:tr>
      <w:tr w14:paraId="5D8D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683" w:type="dxa"/>
            <w:vAlign w:val="center"/>
          </w:tcPr>
          <w:p w14:paraId="700097DE">
            <w:pPr>
              <w:topLinePunct/>
              <w:autoSpaceDE w:val="0"/>
              <w:autoSpaceDN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727" w:type="dxa"/>
            <w:vAlign w:val="center"/>
          </w:tcPr>
          <w:p w14:paraId="2440F301">
            <w:pPr>
              <w:pStyle w:val="29"/>
              <w:keepNext w:val="0"/>
              <w:keepLines w:val="0"/>
              <w:topLinePunct/>
              <w:autoSpaceDE w:val="0"/>
              <w:autoSpaceDN w:val="0"/>
              <w:spacing w:before="0" w:after="0" w:line="240" w:lineRule="auto"/>
              <w:jc w:val="center"/>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本项目</w:t>
            </w:r>
          </w:p>
          <w:p w14:paraId="15391DCF">
            <w:pPr>
              <w:pStyle w:val="29"/>
              <w:keepNext w:val="0"/>
              <w:keepLines w:val="0"/>
              <w:topLinePunct/>
              <w:autoSpaceDE w:val="0"/>
              <w:autoSpaceDN w:val="0"/>
              <w:spacing w:before="0" w:after="0" w:line="240" w:lineRule="auto"/>
              <w:jc w:val="center"/>
              <w:outlineLvl w:val="9"/>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rPr>
              <w:t>预算金额</w:t>
            </w:r>
          </w:p>
          <w:p w14:paraId="310EAC29">
            <w:pPr>
              <w:pStyle w:val="29"/>
              <w:keepNext w:val="0"/>
              <w:keepLines w:val="0"/>
              <w:topLinePunct/>
              <w:autoSpaceDE w:val="0"/>
              <w:autoSpaceDN w:val="0"/>
              <w:spacing w:before="0" w:after="0" w:line="240" w:lineRule="auto"/>
              <w:jc w:val="center"/>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及最高限价</w:t>
            </w:r>
          </w:p>
        </w:tc>
        <w:tc>
          <w:tcPr>
            <w:tcW w:w="7347" w:type="dxa"/>
            <w:vAlign w:val="center"/>
          </w:tcPr>
          <w:p w14:paraId="22AE0BDA">
            <w:pPr>
              <w:pStyle w:val="28"/>
              <w:spacing w:line="240" w:lineRule="auto"/>
              <w:ind w:left="0" w:leftChars="0" w:firstLine="0" w:firstLineChars="0"/>
              <w:rPr>
                <w:rFonts w:hint="default"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预算金额（元）：</w:t>
            </w:r>
            <w:r>
              <w:rPr>
                <w:rFonts w:hint="eastAsia" w:ascii="仿宋" w:hAnsi="仿宋" w:eastAsia="仿宋" w:cs="仿宋"/>
                <w:b w:val="0"/>
                <w:bCs w:val="0"/>
                <w:color w:val="auto"/>
                <w:sz w:val="21"/>
                <w:szCs w:val="21"/>
                <w:highlight w:val="none"/>
              </w:rPr>
              <w:t>12017060.25</w:t>
            </w:r>
            <w:r>
              <w:rPr>
                <w:rFonts w:hint="eastAsia" w:ascii="仿宋" w:hAnsi="仿宋" w:eastAsia="仿宋" w:cs="仿宋"/>
                <w:bCs/>
                <w:color w:val="auto"/>
                <w:kern w:val="2"/>
                <w:sz w:val="21"/>
                <w:szCs w:val="21"/>
                <w:highlight w:val="none"/>
                <w:lang w:val="en-US" w:eastAsia="zh-CN" w:bidi="ar-SA"/>
              </w:rPr>
              <w:t>元</w:t>
            </w:r>
          </w:p>
          <w:p w14:paraId="29427E23">
            <w:pPr>
              <w:pStyle w:val="28"/>
              <w:spacing w:line="240" w:lineRule="auto"/>
              <w:ind w:left="0" w:leftChars="0" w:firstLine="0" w:firstLineChars="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最高限价（元）：</w:t>
            </w:r>
            <w:r>
              <w:rPr>
                <w:rFonts w:hint="eastAsia" w:ascii="仿宋" w:hAnsi="仿宋" w:eastAsia="仿宋" w:cs="仿宋"/>
                <w:b w:val="0"/>
                <w:bCs w:val="0"/>
                <w:color w:val="auto"/>
                <w:sz w:val="21"/>
                <w:szCs w:val="21"/>
                <w:highlight w:val="none"/>
              </w:rPr>
              <w:t>12017060.25</w:t>
            </w:r>
          </w:p>
          <w:p w14:paraId="34C50BE5">
            <w:pPr>
              <w:pStyle w:val="28"/>
              <w:spacing w:line="240" w:lineRule="auto"/>
              <w:ind w:left="0" w:leftChars="0" w:firstLine="0" w:firstLineChars="0"/>
              <w:rPr>
                <w:rFonts w:hint="default"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河曲县鹿固乡人民政府：2667791.75元</w:t>
            </w:r>
          </w:p>
          <w:p w14:paraId="30AD9B66">
            <w:pPr>
              <w:pStyle w:val="28"/>
              <w:spacing w:line="240" w:lineRule="auto"/>
              <w:ind w:left="0" w:leftChars="0" w:firstLine="0" w:firstLineChars="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河曲县沙坪乡人民政府：325325.00元</w:t>
            </w:r>
          </w:p>
          <w:p w14:paraId="3556639E">
            <w:pPr>
              <w:pStyle w:val="28"/>
              <w:spacing w:line="240" w:lineRule="auto"/>
              <w:ind w:left="0" w:leftChars="0" w:firstLine="0" w:firstLineChars="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河曲县土沟乡人民政府：3217500.00元</w:t>
            </w:r>
          </w:p>
          <w:p w14:paraId="5423B46C">
            <w:pPr>
              <w:pStyle w:val="28"/>
              <w:spacing w:line="240" w:lineRule="auto"/>
              <w:ind w:left="0" w:leftChars="0" w:firstLine="0" w:firstLineChars="0"/>
              <w:rPr>
                <w:rFonts w:hint="eastAsia" w:ascii="仿宋" w:hAnsi="仿宋" w:eastAsia="仿宋" w:cs="仿宋"/>
                <w:bCs/>
                <w:color w:val="auto"/>
                <w:kern w:val="2"/>
                <w:sz w:val="21"/>
                <w:szCs w:val="21"/>
                <w:highlight w:val="yellow"/>
                <w:lang w:val="en-US" w:eastAsia="zh-CN" w:bidi="ar-SA"/>
              </w:rPr>
            </w:pPr>
            <w:r>
              <w:rPr>
                <w:rFonts w:hint="eastAsia" w:ascii="仿宋" w:hAnsi="仿宋" w:eastAsia="仿宋" w:cs="仿宋"/>
                <w:bCs/>
                <w:color w:val="auto"/>
                <w:kern w:val="2"/>
                <w:sz w:val="21"/>
                <w:szCs w:val="21"/>
                <w:highlight w:val="none"/>
                <w:lang w:val="en-US" w:eastAsia="zh-CN" w:bidi="ar-SA"/>
              </w:rPr>
              <w:t>河曲县社梁乡人民政府：2224625.00元</w:t>
            </w:r>
          </w:p>
          <w:p w14:paraId="4060DCF2">
            <w:pPr>
              <w:pStyle w:val="28"/>
              <w:spacing w:line="240" w:lineRule="auto"/>
              <w:ind w:left="0" w:leftChars="0" w:firstLine="0" w:firstLineChars="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河曲县沙泉镇人民政府：1981525.00元</w:t>
            </w:r>
          </w:p>
          <w:p w14:paraId="37CAD166">
            <w:pPr>
              <w:pStyle w:val="28"/>
              <w:spacing w:line="240" w:lineRule="auto"/>
              <w:ind w:left="0" w:leftChars="0" w:firstLine="0" w:firstLineChars="0"/>
              <w:rPr>
                <w:rFonts w:hint="default"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河曲县刘家塔镇人民政府：1600293.5元</w:t>
            </w:r>
          </w:p>
          <w:p w14:paraId="553D8959">
            <w:pPr>
              <w:topLinePunct/>
              <w:autoSpaceDE w:val="0"/>
              <w:autoSpaceDN w:val="0"/>
              <w:spacing w:line="240" w:lineRule="auto"/>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注：投标人的投标报价不得超过其最高限价，否则投标无效。</w:t>
            </w:r>
          </w:p>
        </w:tc>
      </w:tr>
      <w:tr w14:paraId="2F51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83" w:type="dxa"/>
            <w:vAlign w:val="center"/>
          </w:tcPr>
          <w:p w14:paraId="5FBB23A1">
            <w:pPr>
              <w:topLinePunct/>
              <w:autoSpaceDE w:val="0"/>
              <w:autoSpaceDN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727" w:type="dxa"/>
            <w:vAlign w:val="center"/>
          </w:tcPr>
          <w:p w14:paraId="06866061">
            <w:pPr>
              <w:topLinePunct/>
              <w:autoSpaceDE w:val="0"/>
              <w:autoSpaceDN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是否允许代理商投标</w:t>
            </w:r>
          </w:p>
        </w:tc>
        <w:tc>
          <w:tcPr>
            <w:tcW w:w="7347" w:type="dxa"/>
            <w:vAlign w:val="center"/>
          </w:tcPr>
          <w:p w14:paraId="7C0A5448">
            <w:pPr>
              <w:spacing w:line="240" w:lineRule="auto"/>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否</w:t>
            </w:r>
          </w:p>
        </w:tc>
      </w:tr>
      <w:tr w14:paraId="4930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14:paraId="3CE20EAF">
            <w:pPr>
              <w:topLinePunct/>
              <w:autoSpaceDE w:val="0"/>
              <w:autoSpaceDN w:val="0"/>
              <w:spacing w:line="24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w:t>
            </w:r>
          </w:p>
        </w:tc>
        <w:tc>
          <w:tcPr>
            <w:tcW w:w="1727" w:type="dxa"/>
            <w:vAlign w:val="center"/>
          </w:tcPr>
          <w:p w14:paraId="20705746">
            <w:pPr>
              <w:topLinePunct/>
              <w:autoSpaceDE w:val="0"/>
              <w:autoSpaceDN w:val="0"/>
              <w:snapToGrid w:val="0"/>
              <w:spacing w:line="24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是否允许联合体投标</w:t>
            </w:r>
          </w:p>
        </w:tc>
        <w:tc>
          <w:tcPr>
            <w:tcW w:w="7347" w:type="dxa"/>
            <w:vAlign w:val="center"/>
          </w:tcPr>
          <w:p w14:paraId="542401A6">
            <w:pPr>
              <w:pStyle w:val="10"/>
              <w:spacing w:line="24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否</w:t>
            </w:r>
          </w:p>
        </w:tc>
      </w:tr>
      <w:tr w14:paraId="6E1E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14:paraId="6DE4E599">
            <w:pPr>
              <w:topLinePunct/>
              <w:autoSpaceDE w:val="0"/>
              <w:autoSpaceDN w:val="0"/>
              <w:spacing w:line="24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w:t>
            </w:r>
          </w:p>
        </w:tc>
        <w:tc>
          <w:tcPr>
            <w:tcW w:w="1727" w:type="dxa"/>
            <w:vAlign w:val="center"/>
          </w:tcPr>
          <w:p w14:paraId="0687DFA2">
            <w:pPr>
              <w:topLinePunct/>
              <w:autoSpaceDE w:val="0"/>
              <w:autoSpaceDN w:val="0"/>
              <w:snapToGrid w:val="0"/>
              <w:spacing w:line="24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投标文件份数、加密要求及解密时长</w:t>
            </w:r>
          </w:p>
        </w:tc>
        <w:tc>
          <w:tcPr>
            <w:tcW w:w="7347" w:type="dxa"/>
            <w:vAlign w:val="center"/>
          </w:tcPr>
          <w:p w14:paraId="16FFB568">
            <w:pPr>
              <w:widowControl/>
              <w:tabs>
                <w:tab w:val="left" w:pos="612"/>
                <w:tab w:val="left" w:pos="1332"/>
              </w:tabs>
              <w:spacing w:line="24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1.投标文件份数：投标人需在政采云系统上传加密电子投标文件壹份；</w:t>
            </w:r>
          </w:p>
          <w:p w14:paraId="2614FC4F">
            <w:pPr>
              <w:widowControl/>
              <w:tabs>
                <w:tab w:val="left" w:pos="612"/>
                <w:tab w:val="left" w:pos="1332"/>
              </w:tabs>
              <w:spacing w:line="24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2.上传截止时间：</w:t>
            </w:r>
            <w:r>
              <w:rPr>
                <w:rFonts w:hint="eastAsia" w:ascii="仿宋" w:hAnsi="仿宋" w:eastAsia="仿宋" w:cs="仿宋"/>
                <w:color w:val="FF0000"/>
                <w:sz w:val="21"/>
                <w:szCs w:val="21"/>
                <w:highlight w:val="none"/>
                <w:shd w:val="clear"/>
                <w:lang w:val="en-US" w:eastAsia="zh-CN"/>
              </w:rPr>
              <w:t>2026年04月</w:t>
            </w:r>
            <w:r>
              <w:rPr>
                <w:rFonts w:hint="eastAsia" w:ascii="仿宋" w:hAnsi="仿宋" w:eastAsia="仿宋" w:cs="仿宋"/>
                <w:bCs/>
                <w:color w:val="FF0000"/>
                <w:sz w:val="21"/>
                <w:szCs w:val="21"/>
                <w:highlight w:val="none"/>
                <w:lang w:val="en-US" w:eastAsia="zh-CN"/>
              </w:rPr>
              <w:t>30</w:t>
            </w:r>
            <w:r>
              <w:rPr>
                <w:rFonts w:hint="eastAsia" w:ascii="仿宋" w:hAnsi="仿宋" w:eastAsia="仿宋" w:cs="仿宋"/>
                <w:color w:val="FF0000"/>
                <w:sz w:val="21"/>
                <w:szCs w:val="21"/>
                <w:highlight w:val="none"/>
                <w:shd w:val="clear"/>
                <w:lang w:val="en-US" w:eastAsia="zh-CN"/>
              </w:rPr>
              <w:t>日14</w:t>
            </w:r>
            <w:r>
              <w:rPr>
                <w:rFonts w:hint="eastAsia" w:ascii="仿宋" w:hAnsi="仿宋" w:eastAsia="仿宋" w:cs="仿宋"/>
                <w:color w:val="FF0000"/>
                <w:sz w:val="21"/>
                <w:szCs w:val="21"/>
                <w:highlight w:val="none"/>
                <w:lang w:val="en-US" w:eastAsia="zh-CN"/>
              </w:rPr>
              <w:t>:00</w:t>
            </w:r>
            <w:r>
              <w:rPr>
                <w:rFonts w:hint="eastAsia" w:ascii="仿宋" w:hAnsi="仿宋" w:eastAsia="仿宋" w:cs="仿宋"/>
                <w:bCs/>
                <w:color w:val="FF0000"/>
                <w:sz w:val="21"/>
                <w:szCs w:val="21"/>
                <w:highlight w:val="none"/>
                <w:lang w:val="en-US" w:eastAsia="zh-CN"/>
              </w:rPr>
              <w:t>(</w:t>
            </w:r>
            <w:r>
              <w:rPr>
                <w:rFonts w:hint="eastAsia" w:ascii="仿宋" w:hAnsi="仿宋" w:eastAsia="仿宋" w:cs="仿宋"/>
                <w:bCs/>
                <w:color w:val="auto"/>
                <w:sz w:val="21"/>
                <w:szCs w:val="21"/>
                <w:highlight w:val="none"/>
                <w:lang w:val="en-US" w:eastAsia="zh-CN"/>
              </w:rPr>
              <w:t>北京时间)</w:t>
            </w:r>
          </w:p>
          <w:p w14:paraId="23C82E4A">
            <w:pPr>
              <w:widowControl/>
              <w:tabs>
                <w:tab w:val="left" w:pos="612"/>
                <w:tab w:val="left" w:pos="1332"/>
              </w:tabs>
              <w:spacing w:line="24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3.解密时长：30分钟（解密截止时间内未进行解密的，视为未递交投标文件）。</w:t>
            </w:r>
          </w:p>
        </w:tc>
      </w:tr>
      <w:tr w14:paraId="2C23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83" w:type="dxa"/>
            <w:vAlign w:val="center"/>
          </w:tcPr>
          <w:p w14:paraId="777BCA8F">
            <w:pPr>
              <w:widowControl/>
              <w:tabs>
                <w:tab w:val="left" w:pos="612"/>
                <w:tab w:val="left" w:pos="1332"/>
              </w:tabs>
              <w:spacing w:line="240" w:lineRule="auto"/>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5</w:t>
            </w:r>
          </w:p>
        </w:tc>
        <w:tc>
          <w:tcPr>
            <w:tcW w:w="1727" w:type="dxa"/>
            <w:vAlign w:val="center"/>
          </w:tcPr>
          <w:p w14:paraId="2137F6EE">
            <w:pPr>
              <w:widowControl/>
              <w:tabs>
                <w:tab w:val="left" w:pos="612"/>
                <w:tab w:val="left" w:pos="1332"/>
              </w:tabs>
              <w:spacing w:line="240" w:lineRule="auto"/>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投标保证金</w:t>
            </w:r>
          </w:p>
        </w:tc>
        <w:tc>
          <w:tcPr>
            <w:tcW w:w="7347" w:type="dxa"/>
            <w:vAlign w:val="center"/>
          </w:tcPr>
          <w:p w14:paraId="38D19D2D">
            <w:pPr>
              <w:widowControl/>
              <w:tabs>
                <w:tab w:val="left" w:pos="612"/>
                <w:tab w:val="left" w:pos="1332"/>
              </w:tabs>
              <w:spacing w:line="24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投标保证金金额及提交要求：</w:t>
            </w:r>
          </w:p>
          <w:p w14:paraId="5D284323">
            <w:pPr>
              <w:widowControl/>
              <w:tabs>
                <w:tab w:val="left" w:pos="612"/>
                <w:tab w:val="left" w:pos="1332"/>
              </w:tabs>
              <w:spacing w:line="24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鹿固乡  26000</w:t>
            </w:r>
          </w:p>
          <w:p w14:paraId="0E711D3F">
            <w:pPr>
              <w:widowControl/>
              <w:tabs>
                <w:tab w:val="left" w:pos="612"/>
                <w:tab w:val="left" w:pos="1332"/>
              </w:tabs>
              <w:spacing w:line="24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土沟乡  32000</w:t>
            </w:r>
          </w:p>
          <w:p w14:paraId="6D413BEC">
            <w:pPr>
              <w:widowControl/>
              <w:tabs>
                <w:tab w:val="left" w:pos="612"/>
                <w:tab w:val="left" w:pos="1332"/>
              </w:tabs>
              <w:spacing w:line="24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社梁乡  22000</w:t>
            </w:r>
          </w:p>
          <w:p w14:paraId="40338B3C">
            <w:pPr>
              <w:widowControl/>
              <w:tabs>
                <w:tab w:val="left" w:pos="612"/>
                <w:tab w:val="left" w:pos="1332"/>
              </w:tabs>
              <w:spacing w:line="24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沙泉镇  19000</w:t>
            </w:r>
          </w:p>
          <w:p w14:paraId="086A4B11">
            <w:pPr>
              <w:widowControl/>
              <w:tabs>
                <w:tab w:val="left" w:pos="612"/>
                <w:tab w:val="left" w:pos="1332"/>
              </w:tabs>
              <w:spacing w:line="24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刘家塔镇16000</w:t>
            </w:r>
          </w:p>
          <w:p w14:paraId="35179427">
            <w:pPr>
              <w:widowControl/>
              <w:tabs>
                <w:tab w:val="left" w:pos="612"/>
                <w:tab w:val="left" w:pos="1332"/>
              </w:tabs>
              <w:spacing w:line="24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沙坪乡  3200</w:t>
            </w:r>
          </w:p>
          <w:p w14:paraId="4279C433">
            <w:pPr>
              <w:widowControl/>
              <w:tabs>
                <w:tab w:val="left" w:pos="612"/>
                <w:tab w:val="left" w:pos="1332"/>
              </w:tabs>
              <w:spacing w:line="24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保证金总金额为：壹拾壹万捌仟贰佰元整（118200 元）</w:t>
            </w:r>
          </w:p>
          <w:p w14:paraId="7EB85954">
            <w:pPr>
              <w:widowControl/>
              <w:spacing w:line="240" w:lineRule="auto"/>
              <w:rPr>
                <w:rFonts w:hint="eastAsia" w:ascii="仿宋" w:hAnsi="仿宋" w:eastAsia="仿宋" w:cs="仿宋"/>
                <w:b/>
                <w:bCs w:val="0"/>
                <w:color w:val="auto"/>
                <w:kern w:val="0"/>
                <w:szCs w:val="21"/>
                <w:highlight w:val="none"/>
                <w:lang w:eastAsia="zh-CN"/>
              </w:rPr>
            </w:pPr>
            <w:r>
              <w:rPr>
                <w:rFonts w:hint="eastAsia" w:ascii="仿宋" w:hAnsi="仿宋" w:eastAsia="仿宋" w:cs="仿宋"/>
                <w:b/>
                <w:bCs w:val="0"/>
                <w:color w:val="auto"/>
                <w:kern w:val="0"/>
                <w:szCs w:val="21"/>
                <w:highlight w:val="none"/>
              </w:rPr>
              <w:t>账户名称：</w:t>
            </w:r>
            <w:r>
              <w:rPr>
                <w:rFonts w:hint="eastAsia" w:ascii="仿宋" w:hAnsi="仿宋" w:eastAsia="仿宋" w:cs="仿宋"/>
                <w:b/>
                <w:bCs w:val="0"/>
                <w:color w:val="auto"/>
                <w:kern w:val="0"/>
                <w:szCs w:val="21"/>
                <w:highlight w:val="none"/>
                <w:lang w:val="en-US" w:eastAsia="zh-CN"/>
              </w:rPr>
              <w:t>山西名成招标代理有限公司</w:t>
            </w:r>
          </w:p>
          <w:p w14:paraId="687682FE">
            <w:pPr>
              <w:widowControl/>
              <w:spacing w:line="240" w:lineRule="auto"/>
              <w:rPr>
                <w:rFonts w:hint="eastAsia" w:ascii="仿宋" w:hAnsi="仿宋" w:eastAsia="仿宋" w:cs="仿宋"/>
                <w:b/>
                <w:bCs w:val="0"/>
                <w:color w:val="auto"/>
                <w:kern w:val="0"/>
                <w:szCs w:val="21"/>
                <w:highlight w:val="none"/>
                <w:lang w:val="en-US" w:eastAsia="zh-CN"/>
              </w:rPr>
            </w:pPr>
            <w:r>
              <w:rPr>
                <w:rFonts w:hint="eastAsia" w:ascii="仿宋" w:hAnsi="仿宋" w:eastAsia="仿宋" w:cs="仿宋"/>
                <w:b/>
                <w:bCs w:val="0"/>
                <w:color w:val="auto"/>
                <w:kern w:val="0"/>
                <w:szCs w:val="21"/>
                <w:highlight w:val="none"/>
              </w:rPr>
              <w:t>开户银行：</w:t>
            </w:r>
            <w:r>
              <w:rPr>
                <w:rFonts w:hint="eastAsia" w:ascii="仿宋" w:hAnsi="仿宋" w:eastAsia="仿宋" w:cs="仿宋"/>
                <w:b/>
                <w:bCs w:val="0"/>
                <w:color w:val="auto"/>
                <w:kern w:val="0"/>
                <w:szCs w:val="21"/>
                <w:highlight w:val="none"/>
                <w:lang w:val="en-US" w:eastAsia="zh-CN"/>
              </w:rPr>
              <w:t>中国农业银行股份有限公司忻州金穗支行</w:t>
            </w:r>
          </w:p>
          <w:p w14:paraId="669C6C35">
            <w:pPr>
              <w:widowControl/>
              <w:spacing w:line="240" w:lineRule="auto"/>
              <w:rPr>
                <w:rFonts w:hint="default" w:ascii="仿宋" w:hAnsi="仿宋" w:eastAsia="仿宋" w:cs="仿宋"/>
                <w:b/>
                <w:bCs w:val="0"/>
                <w:color w:val="auto"/>
                <w:kern w:val="0"/>
                <w:szCs w:val="21"/>
                <w:highlight w:val="none"/>
                <w:lang w:val="en-US" w:eastAsia="zh-CN"/>
              </w:rPr>
            </w:pPr>
            <w:r>
              <w:rPr>
                <w:rFonts w:hint="eastAsia" w:ascii="仿宋" w:hAnsi="仿宋" w:eastAsia="仿宋" w:cs="仿宋"/>
                <w:b/>
                <w:bCs w:val="0"/>
                <w:color w:val="auto"/>
                <w:kern w:val="0"/>
                <w:szCs w:val="21"/>
                <w:highlight w:val="none"/>
              </w:rPr>
              <w:t>帐    号：</w:t>
            </w:r>
            <w:r>
              <w:rPr>
                <w:rFonts w:hint="eastAsia" w:ascii="仿宋" w:hAnsi="仿宋" w:eastAsia="仿宋" w:cs="仿宋"/>
                <w:b/>
                <w:bCs w:val="0"/>
                <w:color w:val="auto"/>
                <w:kern w:val="0"/>
                <w:szCs w:val="21"/>
                <w:highlight w:val="none"/>
                <w:lang w:val="en-US" w:eastAsia="zh-CN"/>
              </w:rPr>
              <w:t>04683001040007793</w:t>
            </w:r>
          </w:p>
          <w:p w14:paraId="34BB2158">
            <w:pPr>
              <w:widowControl/>
              <w:tabs>
                <w:tab w:val="left" w:pos="612"/>
                <w:tab w:val="left" w:pos="1332"/>
              </w:tabs>
              <w:spacing w:line="24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注意事项：</w:t>
            </w:r>
          </w:p>
          <w:p w14:paraId="7A33EB9D">
            <w:pPr>
              <w:widowControl/>
              <w:tabs>
                <w:tab w:val="left" w:pos="612"/>
                <w:tab w:val="left" w:pos="1332"/>
              </w:tabs>
              <w:spacing w:line="24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递交方式：（通过本单位银行基本账户递交）</w:t>
            </w:r>
          </w:p>
          <w:p w14:paraId="41E85D4D">
            <w:pPr>
              <w:widowControl/>
              <w:tabs>
                <w:tab w:val="left" w:pos="612"/>
                <w:tab w:val="left" w:pos="1332"/>
              </w:tabs>
              <w:spacing w:line="24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退还方式：（通过本单位银行账户全额退还）</w:t>
            </w:r>
          </w:p>
          <w:p w14:paraId="4A16DB98">
            <w:pPr>
              <w:widowControl/>
              <w:tabs>
                <w:tab w:val="left" w:pos="612"/>
                <w:tab w:val="left" w:pos="1332"/>
              </w:tabs>
              <w:spacing w:line="24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 xml:space="preserve">☑采用保函形式：保函应当是银行、保险公司或者担保公司直接出具的保函，响应文件中附复印件。 </w:t>
            </w:r>
          </w:p>
          <w:p w14:paraId="67DBA739">
            <w:pPr>
              <w:widowControl/>
              <w:tabs>
                <w:tab w:val="left" w:pos="612"/>
                <w:tab w:val="left" w:pos="1332"/>
              </w:tabs>
              <w:spacing w:line="24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☑采用银行汇款和支票，应当明确收款账号，响应文件中需附汇票存根或银行转账通知扫描件及其基本账户转出的证明。</w:t>
            </w:r>
          </w:p>
          <w:p w14:paraId="5B9FF587">
            <w:pPr>
              <w:widowControl/>
              <w:tabs>
                <w:tab w:val="left" w:pos="612"/>
                <w:tab w:val="left" w:pos="1332"/>
              </w:tabs>
              <w:spacing w:line="24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（1）未按前述要求提交投标保证金或未足额交纳投标保证金的投标，将被视为无效投标。</w:t>
            </w:r>
          </w:p>
          <w:p w14:paraId="150B4AFC">
            <w:pPr>
              <w:widowControl/>
              <w:tabs>
                <w:tab w:val="left" w:pos="612"/>
                <w:tab w:val="left" w:pos="1332"/>
              </w:tabs>
              <w:spacing w:line="24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（2）投标人交纳投标保证金时，在凭单用途栏中注明项目名称（可简写）、项目编号。</w:t>
            </w:r>
          </w:p>
        </w:tc>
      </w:tr>
      <w:tr w14:paraId="7EF5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9902F7D">
            <w:pPr>
              <w:topLinePunct/>
              <w:autoSpaceDE w:val="0"/>
              <w:autoSpaceDN w:val="0"/>
              <w:spacing w:line="240" w:lineRule="auto"/>
              <w:jc w:val="center"/>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c>
          <w:tcPr>
            <w:tcW w:w="1727" w:type="dxa"/>
            <w:vAlign w:val="center"/>
          </w:tcPr>
          <w:p w14:paraId="702D8008">
            <w:pPr>
              <w:topLinePunct/>
              <w:autoSpaceDE w:val="0"/>
              <w:autoSpaceDN w:val="0"/>
              <w:spacing w:line="240" w:lineRule="auto"/>
              <w:ind w:left="-101" w:leftChars="-48" w:right="-94" w:rightChars="-45" w:firstLine="115" w:firstLineChars="55"/>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投标人应提交的资格证明文件</w:t>
            </w:r>
          </w:p>
        </w:tc>
        <w:tc>
          <w:tcPr>
            <w:tcW w:w="7347" w:type="dxa"/>
            <w:vAlign w:val="center"/>
          </w:tcPr>
          <w:p w14:paraId="33A00C89">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1、投标人代表证明</w:t>
            </w:r>
          </w:p>
          <w:p w14:paraId="75AE4907">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（1）法定代表人（负责人）参加投标的，提供“法定代表人（负责人）证明书”；</w:t>
            </w:r>
          </w:p>
          <w:p w14:paraId="3DD3AE40">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（2）委托代理人参加投标的，提供“法定代表人（负责人）授权委托书” ；</w:t>
            </w:r>
          </w:p>
          <w:p w14:paraId="42EB81B6">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（3）自然人参加投标的，提供个人身份证明扫描件</w:t>
            </w:r>
          </w:p>
          <w:p w14:paraId="36636820">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 xml:space="preserve">2、投标函 </w:t>
            </w:r>
          </w:p>
          <w:p w14:paraId="3987ABBD">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3、具有独立承担民事责任的能力</w:t>
            </w:r>
          </w:p>
          <w:p w14:paraId="56A4F4BB">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提供投标人有效的营业执照，或事业单位法人证书，或自然人身份证明，或其他非企业组织证明独立承担民事责任能力的文件；（扫描件）</w:t>
            </w:r>
          </w:p>
          <w:p w14:paraId="5A69F2AA">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4、具有良好的商业信誉和健全的财务会计制度</w:t>
            </w:r>
          </w:p>
          <w:p w14:paraId="264F423A">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提供投标人信用承诺书。</w:t>
            </w:r>
          </w:p>
          <w:p w14:paraId="4BF098A5">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以上证明材料须符合要求、有效、完整。否则，响应无效。</w:t>
            </w:r>
          </w:p>
          <w:p w14:paraId="3CB85084">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5、具有依法缴纳税收和社会保障资金的良好记录</w:t>
            </w:r>
          </w:p>
          <w:p w14:paraId="69B88305">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提供投标人信用承诺书。</w:t>
            </w:r>
          </w:p>
          <w:p w14:paraId="54A5296B">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以上证明材料须符合要求、有效、完整。否则，响应无效。</w:t>
            </w:r>
          </w:p>
          <w:p w14:paraId="19C993E0">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6、具有履行合同所必需的设备和专业技术能力</w:t>
            </w:r>
          </w:p>
          <w:p w14:paraId="070F5814">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提供投标人信用承诺书。</w:t>
            </w:r>
          </w:p>
          <w:p w14:paraId="79D96910">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以上证明材料须符合要求、有效、完整。否则，响应无效。</w:t>
            </w:r>
          </w:p>
          <w:p w14:paraId="79CF2474">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7、参加政府采购活动前三年，在经营活动中没有重大违法记录</w:t>
            </w:r>
          </w:p>
          <w:p w14:paraId="18F0AED2">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提供投标人信用承诺书。</w:t>
            </w:r>
          </w:p>
          <w:p w14:paraId="527E0C86">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以上证明材料须符合要求、有效、完整。否则，响应无效。</w:t>
            </w:r>
          </w:p>
          <w:p w14:paraId="60E9EF4B">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8、本项目要求的特定资格条件：/；</w:t>
            </w:r>
          </w:p>
          <w:p w14:paraId="5188E9B0">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9、投标保证金的交纳情况及开户许可证；</w:t>
            </w:r>
          </w:p>
          <w:p w14:paraId="01485E56">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（1）提供投标保证金交纳证明扫描件或保函扫描件；</w:t>
            </w:r>
          </w:p>
          <w:p w14:paraId="5F062B5B">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（2）提供投标人基本存款账户开户许可证或基本存款账户信息函扫描件。</w:t>
            </w:r>
          </w:p>
          <w:p w14:paraId="7731DFB6">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10、采购政策</w:t>
            </w:r>
          </w:p>
          <w:p w14:paraId="309A4399">
            <w:pPr>
              <w:tabs>
                <w:tab w:val="left" w:pos="567"/>
              </w:tabs>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本项目专门面向中小企业；</w:t>
            </w:r>
          </w:p>
          <w:p w14:paraId="1A3812D3">
            <w:pPr>
              <w:tabs>
                <w:tab w:val="left" w:pos="567"/>
              </w:tabs>
              <w:spacing w:line="240" w:lineRule="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说明：本项目将根据投标人提供的上述文件进行资格审查</w:t>
            </w:r>
          </w:p>
          <w:p w14:paraId="33EF16F5">
            <w:pPr>
              <w:tabs>
                <w:tab w:val="left" w:pos="567"/>
              </w:tabs>
              <w:spacing w:line="240" w:lineRule="auto"/>
              <w:rPr>
                <w:rFonts w:hint="eastAsia"/>
                <w:color w:val="auto"/>
                <w:highlight w:val="none"/>
              </w:rPr>
            </w:pPr>
            <w:r>
              <w:rPr>
                <w:rFonts w:hint="eastAsia" w:ascii="仿宋" w:hAnsi="仿宋" w:eastAsia="仿宋" w:cs="仿宋"/>
                <w:b/>
                <w:bCs/>
                <w:color w:val="auto"/>
                <w:sz w:val="21"/>
                <w:szCs w:val="21"/>
                <w:highlight w:val="none"/>
                <w:lang w:val="en-US" w:eastAsia="zh-CN"/>
              </w:rPr>
              <w:t>以上资格证明文件，若有一项未提供或无效，将导致其不具备投标资格，且不允许在开标后补正。</w:t>
            </w:r>
          </w:p>
        </w:tc>
      </w:tr>
      <w:tr w14:paraId="0EE0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83" w:type="dxa"/>
            <w:vAlign w:val="center"/>
          </w:tcPr>
          <w:p w14:paraId="18ADFEDB">
            <w:pPr>
              <w:topLinePunct/>
              <w:autoSpaceDE w:val="0"/>
              <w:autoSpaceDN w:val="0"/>
              <w:spacing w:line="240" w:lineRule="auto"/>
              <w:jc w:val="center"/>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lang w:val="en-US" w:eastAsia="zh-CN"/>
              </w:rPr>
              <w:t>7</w:t>
            </w:r>
          </w:p>
        </w:tc>
        <w:tc>
          <w:tcPr>
            <w:tcW w:w="1727" w:type="dxa"/>
            <w:vAlign w:val="center"/>
          </w:tcPr>
          <w:p w14:paraId="19997A1F">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投标人应提交的商务、技术文件</w:t>
            </w:r>
          </w:p>
        </w:tc>
        <w:tc>
          <w:tcPr>
            <w:tcW w:w="7347" w:type="dxa"/>
            <w:vAlign w:val="center"/>
          </w:tcPr>
          <w:p w14:paraId="5F04252C">
            <w:pPr>
              <w:spacing w:line="240" w:lineRule="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详见招标文件</w:t>
            </w:r>
          </w:p>
        </w:tc>
      </w:tr>
      <w:tr w14:paraId="4A69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2" w:hRule="atLeast"/>
          <w:jc w:val="center"/>
        </w:trPr>
        <w:tc>
          <w:tcPr>
            <w:tcW w:w="683" w:type="dxa"/>
            <w:vAlign w:val="center"/>
          </w:tcPr>
          <w:p w14:paraId="03045A0A">
            <w:pPr>
              <w:topLinePunct/>
              <w:autoSpaceDE w:val="0"/>
              <w:autoSpaceDN w:val="0"/>
              <w:spacing w:line="240" w:lineRule="auto"/>
              <w:jc w:val="center"/>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lang w:val="en-US" w:eastAsia="zh-CN"/>
              </w:rPr>
              <w:t>8</w:t>
            </w:r>
          </w:p>
        </w:tc>
        <w:tc>
          <w:tcPr>
            <w:tcW w:w="1727" w:type="dxa"/>
            <w:vAlign w:val="center"/>
          </w:tcPr>
          <w:p w14:paraId="245D0FC3">
            <w:pPr>
              <w:topLinePunct/>
              <w:autoSpaceDE w:val="0"/>
              <w:autoSpaceDN w:val="0"/>
              <w:spacing w:line="240" w:lineRule="auto"/>
              <w:ind w:left="-101" w:leftChars="-48" w:right="-94" w:rightChars="-45" w:firstLine="115" w:firstLineChars="55"/>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政府采购相关政策要求</w:t>
            </w:r>
          </w:p>
        </w:tc>
        <w:tc>
          <w:tcPr>
            <w:tcW w:w="7347" w:type="dxa"/>
            <w:vAlign w:val="center"/>
          </w:tcPr>
          <w:p w14:paraId="36D276D6">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1、本项目涉及节能产品、环境标志产品的要求：</w:t>
            </w:r>
          </w:p>
          <w:p w14:paraId="33FF05DA">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根据《国务院办公厅关于建立政府强制采购节能产品制度的通知》（国办发〔2007〕51号）及《关于调整优化节能产品、环境标志产品政府采购执行机制的通知》（财库〔2019〕9号）的规定，本项目拟采购的产品属于品目清单范围的，应当依据国家确定的认证机构出具的、处于有效期内的节能产品、环境标志产品认证证书，对获得证书的产品实施政府优先采购或强制采购。本文件有规定允许采购清单以外产品的除外。</w:t>
            </w:r>
          </w:p>
          <w:p w14:paraId="611F5E86">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货物中有节能产品、环境标志产品的，须按</w:t>
            </w:r>
            <w:r>
              <w:rPr>
                <w:rFonts w:hint="eastAsia" w:ascii="仿宋" w:hAnsi="仿宋" w:eastAsia="仿宋" w:cs="仿宋"/>
                <w:b w:val="0"/>
                <w:bCs/>
                <w:color w:val="auto"/>
                <w:kern w:val="0"/>
                <w:sz w:val="21"/>
                <w:szCs w:val="21"/>
                <w:highlight w:val="none"/>
                <w:lang w:eastAsia="zh-CN"/>
              </w:rPr>
              <w:t>第六章</w:t>
            </w:r>
            <w:r>
              <w:rPr>
                <w:rFonts w:hint="eastAsia" w:ascii="仿宋" w:hAnsi="仿宋" w:eastAsia="仿宋" w:cs="仿宋"/>
                <w:b w:val="0"/>
                <w:bCs/>
                <w:color w:val="auto"/>
                <w:kern w:val="0"/>
                <w:sz w:val="21"/>
                <w:szCs w:val="21"/>
                <w:highlight w:val="none"/>
              </w:rPr>
              <w:t>的格式如实填写节能产品明细表、环境标志产品明细表，同时，提供所投产品在品目清单范围中所在页截图复印件，并予以标记,作为评定依据。包含有国家强制采购的节能、环保产品，投标人未在投标文件中进行标记，评标委员会经审查所报产品不属于国家强制采购的节能、环保产品将对其投标文件作无效处理。</w:t>
            </w:r>
          </w:p>
          <w:p w14:paraId="013A35A5">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2、本项目涉及正版软件的要求：</w:t>
            </w:r>
          </w:p>
          <w:p w14:paraId="1C9E177A">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本项目所采购的货物中如包含计算机，必须预装正版操作系统软件产品；所采购的其它软件必须为正版软件。</w:t>
            </w:r>
          </w:p>
          <w:p w14:paraId="64C30069">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3、本项目涉及信息安全产品的要求：</w:t>
            </w:r>
          </w:p>
          <w:p w14:paraId="46106311">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投标人提供货物中如含有财政部会同有关部门制定下发的《信息安全产品强制性认证目录》中的产品，须提供中国信息安全认证中心按国家标准认证颁发的有效认证证书。未附有效认证证书，将有可能导致投标文件无效。</w:t>
            </w:r>
          </w:p>
          <w:p w14:paraId="34D32378">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4、中小微企业的要求</w:t>
            </w:r>
          </w:p>
          <w:p w14:paraId="1D777FDC">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A、参加本项目投标要求：</w:t>
            </w:r>
          </w:p>
          <w:p w14:paraId="3A5643CD">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须按照工信部联【2011】300号《中小企业划型标准规定》的标准如实填写《中小企业声明函》（格式见</w:t>
            </w:r>
            <w:r>
              <w:rPr>
                <w:rFonts w:hint="eastAsia" w:ascii="仿宋" w:hAnsi="仿宋" w:eastAsia="仿宋" w:cs="仿宋"/>
                <w:b w:val="0"/>
                <w:bCs/>
                <w:color w:val="auto"/>
                <w:kern w:val="0"/>
                <w:sz w:val="21"/>
                <w:szCs w:val="21"/>
                <w:highlight w:val="none"/>
                <w:lang w:eastAsia="zh-CN"/>
              </w:rPr>
              <w:t>第六章</w:t>
            </w:r>
            <w:r>
              <w:rPr>
                <w:rFonts w:hint="eastAsia" w:ascii="仿宋" w:hAnsi="仿宋" w:eastAsia="仿宋" w:cs="仿宋"/>
                <w:b w:val="0"/>
                <w:bCs/>
                <w:color w:val="auto"/>
                <w:kern w:val="0"/>
                <w:sz w:val="21"/>
                <w:szCs w:val="21"/>
                <w:highlight w:val="none"/>
              </w:rPr>
              <w:t>）。</w:t>
            </w:r>
          </w:p>
          <w:p w14:paraId="4E4FEC6D">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B、评审标准：</w:t>
            </w:r>
          </w:p>
          <w:p w14:paraId="27271B2C">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（1）审查《中小企业声明函》各项内容是否符合相关规定要求。如招标过程中发现虚假声明，则拒绝其报价，同时可认为</w:t>
            </w:r>
            <w:r>
              <w:rPr>
                <w:rFonts w:hint="eastAsia" w:ascii="仿宋" w:hAnsi="仿宋" w:eastAsia="仿宋" w:cs="仿宋"/>
                <w:b w:val="0"/>
                <w:bCs/>
                <w:color w:val="auto"/>
                <w:kern w:val="0"/>
                <w:sz w:val="21"/>
                <w:szCs w:val="21"/>
                <w:highlight w:val="none"/>
                <w:lang w:eastAsia="zh-CN"/>
              </w:rPr>
              <w:t>响应人</w:t>
            </w:r>
            <w:r>
              <w:rPr>
                <w:rFonts w:hint="eastAsia" w:ascii="仿宋" w:hAnsi="仿宋" w:eastAsia="仿宋" w:cs="仿宋"/>
                <w:b w:val="0"/>
                <w:bCs/>
                <w:color w:val="auto"/>
                <w:kern w:val="0"/>
                <w:sz w:val="21"/>
                <w:szCs w:val="21"/>
                <w:highlight w:val="none"/>
              </w:rPr>
              <w:t>提供虚假材料谋取中标，可按《中华人民共和国政府采购法》第七十七条规定处理。</w:t>
            </w:r>
          </w:p>
          <w:p w14:paraId="5E19E763">
            <w:pPr>
              <w:spacing w:line="240" w:lineRule="auto"/>
              <w:rPr>
                <w:rFonts w:hint="eastAsia" w:ascii="仿宋" w:hAnsi="仿宋" w:eastAsia="仿宋" w:cs="仿宋"/>
                <w:b w:val="0"/>
                <w:bCs/>
                <w:color w:val="auto"/>
                <w:kern w:val="0"/>
                <w:sz w:val="21"/>
                <w:szCs w:val="21"/>
                <w:highlight w:val="none"/>
                <w:lang w:eastAsia="zh-CN"/>
              </w:rPr>
            </w:pPr>
            <w:r>
              <w:rPr>
                <w:rFonts w:hint="eastAsia" w:ascii="仿宋" w:hAnsi="仿宋" w:eastAsia="仿宋" w:cs="仿宋"/>
                <w:b w:val="0"/>
                <w:bCs/>
                <w:color w:val="auto"/>
                <w:kern w:val="0"/>
                <w:sz w:val="21"/>
                <w:szCs w:val="21"/>
                <w:highlight w:val="none"/>
              </w:rPr>
              <w:t>（2）价格</w:t>
            </w:r>
            <w:r>
              <w:rPr>
                <w:rFonts w:hint="eastAsia" w:ascii="仿宋" w:hAnsi="仿宋" w:eastAsia="仿宋" w:cs="仿宋"/>
                <w:b w:val="0"/>
                <w:bCs/>
                <w:color w:val="auto"/>
                <w:kern w:val="0"/>
                <w:sz w:val="21"/>
                <w:szCs w:val="21"/>
                <w:highlight w:val="none"/>
                <w:lang w:eastAsia="zh-CN"/>
              </w:rPr>
              <w:t>扣除</w:t>
            </w:r>
            <w:r>
              <w:rPr>
                <w:rFonts w:hint="eastAsia" w:ascii="仿宋" w:hAnsi="仿宋" w:eastAsia="仿宋" w:cs="仿宋"/>
                <w:b w:val="0"/>
                <w:bCs/>
                <w:color w:val="auto"/>
                <w:kern w:val="0"/>
                <w:sz w:val="21"/>
                <w:szCs w:val="21"/>
                <w:highlight w:val="none"/>
              </w:rPr>
              <w:t>：</w:t>
            </w:r>
            <w:r>
              <w:rPr>
                <w:rFonts w:hint="eastAsia" w:ascii="仿宋" w:hAnsi="仿宋" w:eastAsia="仿宋" w:cs="仿宋"/>
                <w:b w:val="0"/>
                <w:bCs/>
                <w:color w:val="auto"/>
                <w:kern w:val="0"/>
                <w:sz w:val="21"/>
                <w:szCs w:val="21"/>
                <w:highlight w:val="none"/>
                <w:lang w:val="en-US" w:eastAsia="zh-CN"/>
              </w:rPr>
              <w:t>本</w:t>
            </w:r>
            <w:r>
              <w:rPr>
                <w:rFonts w:hint="eastAsia" w:ascii="仿宋" w:hAnsi="仿宋" w:eastAsia="仿宋" w:cs="仿宋"/>
                <w:b w:val="0"/>
                <w:bCs/>
                <w:color w:val="auto"/>
                <w:kern w:val="0"/>
                <w:sz w:val="21"/>
                <w:szCs w:val="21"/>
                <w:highlight w:val="none"/>
                <w:lang w:eastAsia="zh-CN"/>
              </w:rPr>
              <w:t>项目专门面向中小企业采购，不执行价格扣除的优惠政策。</w:t>
            </w:r>
          </w:p>
          <w:p w14:paraId="1F2700B6">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5、残疾人福利性单位参加本项目投标的要求：</w:t>
            </w:r>
          </w:p>
          <w:p w14:paraId="277B41F4">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161973CD">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注：残疾人福利性单位属于小型、微型企业的，不重复享受政策。</w:t>
            </w:r>
          </w:p>
          <w:p w14:paraId="6C094F0C">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享受政府采购支持政策的残疾人福利性单位应当同时满足以下条件：</w:t>
            </w:r>
          </w:p>
          <w:p w14:paraId="5606360E">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A.安置的残疾人占本单位在职职工人数的比例不低于25%（含25%），并且安置的残疾人人数不少于10人（含10人）；</w:t>
            </w:r>
          </w:p>
          <w:p w14:paraId="517302D7">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B.依法与安置的每位残疾人签订了一年以上（含一年）的劳动合同或服务协议；</w:t>
            </w:r>
          </w:p>
          <w:p w14:paraId="0C0BC8CE">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C.为安置的每位残疾人按月足额缴纳了基本养老保险、基本医疗保险、失业保险、工伤保险和生育保险等社会保险费；</w:t>
            </w:r>
          </w:p>
          <w:p w14:paraId="21B363DF">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D.通过银行等金融机构向安置的每位残疾人，按月支付了不低于单位所在区县适用的经省级人民政府批准的月最低工资标准的工资；</w:t>
            </w:r>
          </w:p>
          <w:p w14:paraId="1EBAFB64">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E．提供本单位制造的货物、承担的工程或者服务（以下简称产品），或者提供其他残疾人福利性单位制造的货物（不包括使用非残疾人福利性单位注册商标的货物）。</w:t>
            </w:r>
          </w:p>
          <w:p w14:paraId="0F20C68A">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48F9E08">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6、监狱企业参加本项目投标的要求：</w:t>
            </w:r>
          </w:p>
          <w:p w14:paraId="7D50469C">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依据《财政部司法部关于政府采购支持监狱企业发展有关问题的通知》(财库〔2014〕68号)规定，监狱企业视同小型、微型企业，享受预留份额、评审中价格扣除等政府采购促进中小企业发展的政府采购政策。</w:t>
            </w:r>
          </w:p>
          <w:p w14:paraId="5C5E0C18">
            <w:pPr>
              <w:spacing w:line="240" w:lineRule="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注：1、监狱企业又属于小型、微型企业的，不重复享受政策。</w:t>
            </w:r>
          </w:p>
          <w:p w14:paraId="5F1B31B9">
            <w:pPr>
              <w:spacing w:line="240" w:lineRule="auto"/>
              <w:rPr>
                <w:rFonts w:hint="eastAsia" w:ascii="仿宋" w:hAnsi="仿宋" w:eastAsia="仿宋" w:cs="仿宋"/>
                <w:b/>
                <w:color w:val="auto"/>
                <w:kern w:val="0"/>
                <w:sz w:val="21"/>
                <w:szCs w:val="21"/>
                <w:highlight w:val="none"/>
              </w:rPr>
            </w:pPr>
            <w:r>
              <w:rPr>
                <w:rFonts w:hint="eastAsia" w:ascii="仿宋" w:hAnsi="仿宋" w:eastAsia="仿宋" w:cs="仿宋"/>
                <w:b w:val="0"/>
                <w:bCs/>
                <w:color w:val="auto"/>
                <w:kern w:val="0"/>
                <w:sz w:val="21"/>
                <w:szCs w:val="21"/>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b w:val="0"/>
                <w:bCs/>
                <w:color w:val="auto"/>
                <w:kern w:val="0"/>
                <w:sz w:val="21"/>
                <w:szCs w:val="21"/>
                <w:highlight w:val="none"/>
                <w:lang w:eastAsia="zh-CN"/>
              </w:rPr>
              <w:t>。</w:t>
            </w:r>
          </w:p>
        </w:tc>
      </w:tr>
      <w:tr w14:paraId="0917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83" w:type="dxa"/>
            <w:vAlign w:val="center"/>
          </w:tcPr>
          <w:p w14:paraId="46E5D20B">
            <w:pPr>
              <w:topLinePunct/>
              <w:autoSpaceDE w:val="0"/>
              <w:autoSpaceDN w:val="0"/>
              <w:spacing w:line="240" w:lineRule="auto"/>
              <w:jc w:val="center"/>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9</w:t>
            </w:r>
          </w:p>
        </w:tc>
        <w:tc>
          <w:tcPr>
            <w:tcW w:w="1727" w:type="dxa"/>
            <w:vAlign w:val="center"/>
          </w:tcPr>
          <w:p w14:paraId="0CF8352F">
            <w:pPr>
              <w:topLinePunct/>
              <w:autoSpaceDE w:val="0"/>
              <w:autoSpaceDN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投标有效期</w:t>
            </w:r>
          </w:p>
        </w:tc>
        <w:tc>
          <w:tcPr>
            <w:tcW w:w="7347" w:type="dxa"/>
            <w:vAlign w:val="center"/>
          </w:tcPr>
          <w:p w14:paraId="03D0CD83">
            <w:pPr>
              <w:topLinePunct/>
              <w:autoSpaceDE w:val="0"/>
              <w:autoSpaceDN w:val="0"/>
              <w:spacing w:line="24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90日历天（从提交投标文件截止之日起计算）</w:t>
            </w:r>
          </w:p>
        </w:tc>
      </w:tr>
      <w:tr w14:paraId="213D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ECAD596">
            <w:pPr>
              <w:topLinePunct/>
              <w:autoSpaceDE w:val="0"/>
              <w:autoSpaceDN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1727" w:type="dxa"/>
            <w:vAlign w:val="center"/>
          </w:tcPr>
          <w:p w14:paraId="236D135E">
            <w:pPr>
              <w:topLinePunct/>
              <w:autoSpaceDE w:val="0"/>
              <w:autoSpaceDN w:val="0"/>
              <w:spacing w:line="240" w:lineRule="auto"/>
              <w:ind w:left="-105" w:leftChars="-50" w:right="-105" w:rightChars="-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评标委员会构成</w:t>
            </w:r>
          </w:p>
        </w:tc>
        <w:tc>
          <w:tcPr>
            <w:tcW w:w="7347" w:type="dxa"/>
            <w:vAlign w:val="center"/>
          </w:tcPr>
          <w:p w14:paraId="63D2C226">
            <w:pPr>
              <w:pStyle w:val="30"/>
              <w:keepNext w:val="0"/>
              <w:keepLines w:val="0"/>
              <w:topLinePunct/>
              <w:autoSpaceDE w:val="0"/>
              <w:autoSpaceDN w:val="0"/>
              <w:spacing w:before="0" w:after="0" w:line="240" w:lineRule="auto"/>
              <w:outlineLvl w:val="9"/>
              <w:rPr>
                <w:rFonts w:hint="eastAsia" w:ascii="仿宋" w:hAnsi="仿宋" w:eastAsia="仿宋" w:cs="仿宋"/>
                <w:color w:val="auto"/>
                <w:sz w:val="21"/>
                <w:szCs w:val="21"/>
                <w:highlight w:val="none"/>
                <w:lang w:eastAsia="zh-CN"/>
              </w:rPr>
            </w:pPr>
            <w:r>
              <w:rPr>
                <w:rFonts w:hint="eastAsia" w:ascii="仿宋" w:hAnsi="仿宋" w:eastAsia="仿宋" w:cs="仿宋"/>
                <w:bCs/>
                <w:color w:val="auto"/>
                <w:sz w:val="21"/>
                <w:szCs w:val="21"/>
                <w:highlight w:val="none"/>
              </w:rPr>
              <w:t>本采购项目的评标委员会成员由</w:t>
            </w:r>
            <w:r>
              <w:rPr>
                <w:rFonts w:hint="eastAsia" w:ascii="仿宋" w:hAnsi="仿宋" w:eastAsia="仿宋" w:cs="仿宋"/>
                <w:bCs/>
                <w:color w:val="auto"/>
                <w:sz w:val="21"/>
                <w:szCs w:val="21"/>
                <w:highlight w:val="none"/>
                <w:u w:val="single"/>
                <w:lang w:val="en-US" w:eastAsia="zh-CN"/>
              </w:rPr>
              <w:t>7</w:t>
            </w:r>
            <w:r>
              <w:rPr>
                <w:rFonts w:hint="eastAsia" w:ascii="仿宋" w:hAnsi="仿宋" w:eastAsia="仿宋" w:cs="仿宋"/>
                <w:bCs/>
                <w:color w:val="auto"/>
                <w:sz w:val="21"/>
                <w:szCs w:val="21"/>
                <w:highlight w:val="none"/>
              </w:rPr>
              <w:t>人组成，其中</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采购人代表</w:t>
            </w:r>
            <w:r>
              <w:rPr>
                <w:rFonts w:hint="eastAsia" w:ascii="仿宋" w:hAnsi="仿宋" w:eastAsia="仿宋" w:cs="仿宋"/>
                <w:bCs/>
                <w:color w:val="auto"/>
                <w:sz w:val="21"/>
                <w:szCs w:val="21"/>
                <w:highlight w:val="none"/>
                <w:u w:val="single"/>
                <w:lang w:val="en-US" w:eastAsia="zh-CN"/>
              </w:rPr>
              <w:t>2</w:t>
            </w:r>
            <w:r>
              <w:rPr>
                <w:rFonts w:hint="eastAsia" w:ascii="仿宋" w:hAnsi="仿宋" w:eastAsia="仿宋" w:cs="仿宋"/>
                <w:bCs/>
                <w:color w:val="auto"/>
                <w:sz w:val="21"/>
                <w:szCs w:val="21"/>
                <w:highlight w:val="none"/>
                <w:lang w:val="en-US" w:eastAsia="zh-CN"/>
              </w:rPr>
              <w:t>人，</w:t>
            </w:r>
            <w:r>
              <w:rPr>
                <w:rFonts w:hint="eastAsia" w:ascii="仿宋" w:hAnsi="仿宋" w:eastAsia="仿宋" w:cs="仿宋"/>
                <w:bCs/>
                <w:color w:val="auto"/>
                <w:sz w:val="21"/>
                <w:szCs w:val="21"/>
                <w:highlight w:val="none"/>
              </w:rPr>
              <w:t>评审专家</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u w:val="single"/>
                <w:lang w:val="en-US" w:eastAsia="zh-CN"/>
              </w:rPr>
              <w:t xml:space="preserve">5 </w:t>
            </w:r>
            <w:r>
              <w:rPr>
                <w:rFonts w:hint="eastAsia" w:ascii="仿宋" w:hAnsi="仿宋" w:eastAsia="仿宋" w:cs="仿宋"/>
                <w:bCs/>
                <w:color w:val="auto"/>
                <w:sz w:val="21"/>
                <w:szCs w:val="21"/>
                <w:highlight w:val="none"/>
              </w:rPr>
              <w:t>人</w:t>
            </w:r>
            <w:r>
              <w:rPr>
                <w:rFonts w:hint="eastAsia" w:ascii="仿宋" w:hAnsi="仿宋" w:eastAsia="仿宋" w:cs="仿宋"/>
                <w:bCs/>
                <w:color w:val="auto"/>
                <w:sz w:val="21"/>
                <w:szCs w:val="21"/>
                <w:highlight w:val="none"/>
                <w:lang w:eastAsia="zh-CN"/>
              </w:rPr>
              <w:t>。</w:t>
            </w:r>
          </w:p>
        </w:tc>
      </w:tr>
      <w:tr w14:paraId="5CC8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14:paraId="58024136">
            <w:pPr>
              <w:topLinePunct/>
              <w:autoSpaceDE w:val="0"/>
              <w:autoSpaceDN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p>
        </w:tc>
        <w:tc>
          <w:tcPr>
            <w:tcW w:w="1727" w:type="dxa"/>
            <w:vAlign w:val="center"/>
          </w:tcPr>
          <w:p w14:paraId="27D7013B">
            <w:pPr>
              <w:topLinePunct/>
              <w:autoSpaceDE w:val="0"/>
              <w:autoSpaceDN w:val="0"/>
              <w:spacing w:line="240" w:lineRule="auto"/>
              <w:ind w:left="-105" w:leftChars="-50" w:right="-105" w:rightChars="-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确定中标人</w:t>
            </w:r>
          </w:p>
        </w:tc>
        <w:tc>
          <w:tcPr>
            <w:tcW w:w="7347" w:type="dxa"/>
            <w:vAlign w:val="center"/>
          </w:tcPr>
          <w:p w14:paraId="3F73C506">
            <w:pPr>
              <w:pStyle w:val="30"/>
              <w:keepNext w:val="0"/>
              <w:keepLines w:val="0"/>
              <w:topLinePunct/>
              <w:autoSpaceDE w:val="0"/>
              <w:autoSpaceDN w:val="0"/>
              <w:spacing w:before="0" w:after="0" w:line="240" w:lineRule="auto"/>
              <w:outlineLvl w:val="9"/>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本项目采用综合评分方法，授权评标委员会直接确定中标人</w:t>
            </w:r>
          </w:p>
        </w:tc>
      </w:tr>
      <w:tr w14:paraId="351E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C074165">
            <w:pPr>
              <w:topLinePunct/>
              <w:autoSpaceDE w:val="0"/>
              <w:autoSpaceDN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p>
        </w:tc>
        <w:tc>
          <w:tcPr>
            <w:tcW w:w="1727" w:type="dxa"/>
            <w:vAlign w:val="center"/>
          </w:tcPr>
          <w:p w14:paraId="17C10D8F">
            <w:pPr>
              <w:topLinePunct/>
              <w:autoSpaceDE w:val="0"/>
              <w:autoSpaceDN w:val="0"/>
              <w:spacing w:line="240" w:lineRule="auto"/>
              <w:ind w:left="-105" w:leftChars="-50" w:right="-105" w:rightChars="-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现场勘查</w:t>
            </w:r>
          </w:p>
        </w:tc>
        <w:tc>
          <w:tcPr>
            <w:tcW w:w="7347" w:type="dxa"/>
            <w:vAlign w:val="center"/>
          </w:tcPr>
          <w:p w14:paraId="2AA8C239">
            <w:pPr>
              <w:pStyle w:val="30"/>
              <w:keepNext w:val="0"/>
              <w:keepLines w:val="0"/>
              <w:topLinePunct/>
              <w:autoSpaceDE w:val="0"/>
              <w:autoSpaceDN w:val="0"/>
              <w:spacing w:before="0" w:after="0" w:line="240" w:lineRule="auto"/>
              <w:outlineLvl w:val="9"/>
              <w:rPr>
                <w:rFonts w:hint="eastAsia" w:ascii="仿宋" w:hAnsi="仿宋" w:eastAsia="仿宋" w:cs="仿宋"/>
                <w:color w:val="auto"/>
                <w:kern w:val="0"/>
                <w:sz w:val="21"/>
                <w:szCs w:val="21"/>
                <w:highlight w:val="none"/>
              </w:rPr>
            </w:pPr>
            <w:r>
              <w:rPr>
                <w:rFonts w:hint="eastAsia" w:ascii="仿宋" w:hAnsi="仿宋" w:eastAsia="仿宋" w:cs="仿宋"/>
                <w:bCs/>
                <w:color w:val="auto"/>
                <w:sz w:val="21"/>
                <w:szCs w:val="21"/>
                <w:highlight w:val="none"/>
              </w:rPr>
              <w:t>否</w:t>
            </w:r>
          </w:p>
        </w:tc>
      </w:tr>
      <w:tr w14:paraId="7E1E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9EA005F">
            <w:pPr>
              <w:topLinePunct/>
              <w:autoSpaceDE w:val="0"/>
              <w:autoSpaceDN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w:t>
            </w:r>
          </w:p>
        </w:tc>
        <w:tc>
          <w:tcPr>
            <w:tcW w:w="1727" w:type="dxa"/>
            <w:vAlign w:val="center"/>
          </w:tcPr>
          <w:p w14:paraId="3A7D7DC0">
            <w:pPr>
              <w:topLinePunct/>
              <w:autoSpaceDE w:val="0"/>
              <w:autoSpaceDN w:val="0"/>
              <w:spacing w:line="240" w:lineRule="auto"/>
              <w:ind w:left="-105" w:leftChars="-50" w:right="-105" w:rightChars="-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标前答疑</w:t>
            </w:r>
          </w:p>
        </w:tc>
        <w:tc>
          <w:tcPr>
            <w:tcW w:w="7347" w:type="dxa"/>
            <w:vAlign w:val="center"/>
          </w:tcPr>
          <w:p w14:paraId="064E42B2">
            <w:pPr>
              <w:pStyle w:val="30"/>
              <w:keepNext w:val="0"/>
              <w:keepLines w:val="0"/>
              <w:topLinePunct/>
              <w:autoSpaceDE w:val="0"/>
              <w:autoSpaceDN w:val="0"/>
              <w:spacing w:before="0" w:after="0" w:line="240" w:lineRule="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招标文件提供期限截止后，如需要，书面通知</w:t>
            </w:r>
          </w:p>
        </w:tc>
      </w:tr>
      <w:tr w14:paraId="4595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383C9310">
            <w:pPr>
              <w:topLinePunct/>
              <w:autoSpaceDE w:val="0"/>
              <w:autoSpaceDN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w:t>
            </w:r>
          </w:p>
        </w:tc>
        <w:tc>
          <w:tcPr>
            <w:tcW w:w="1727" w:type="dxa"/>
            <w:vAlign w:val="center"/>
          </w:tcPr>
          <w:p w14:paraId="6F420D38">
            <w:pPr>
              <w:topLinePunct/>
              <w:autoSpaceDE w:val="0"/>
              <w:autoSpaceDN w:val="0"/>
              <w:spacing w:line="240" w:lineRule="auto"/>
              <w:ind w:left="-105" w:leftChars="-50" w:right="-105" w:rightChars="-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项目所属行业</w:t>
            </w:r>
          </w:p>
        </w:tc>
        <w:tc>
          <w:tcPr>
            <w:tcW w:w="7347" w:type="dxa"/>
            <w:vAlign w:val="center"/>
          </w:tcPr>
          <w:p w14:paraId="1BF04863">
            <w:pPr>
              <w:pStyle w:val="30"/>
              <w:keepNext w:val="0"/>
              <w:keepLines w:val="0"/>
              <w:topLinePunct/>
              <w:autoSpaceDE w:val="0"/>
              <w:autoSpaceDN w:val="0"/>
              <w:spacing w:before="0" w:after="0" w:line="240" w:lineRule="auto"/>
              <w:outlineLvl w:val="9"/>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根据中小企业划型标准，本项目属</w:t>
            </w:r>
            <w:r>
              <w:rPr>
                <w:rFonts w:hint="eastAsia" w:ascii="仿宋" w:hAnsi="仿宋" w:eastAsia="仿宋" w:cs="仿宋"/>
                <w:color w:val="auto"/>
                <w:sz w:val="21"/>
                <w:szCs w:val="21"/>
                <w:highlight w:val="none"/>
                <w:u w:val="single"/>
              </w:rPr>
              <w:t>农、林、牧、渔业</w:t>
            </w:r>
            <w:r>
              <w:rPr>
                <w:rFonts w:hint="eastAsia" w:ascii="仿宋" w:hAnsi="仿宋" w:eastAsia="仿宋" w:cs="仿宋"/>
                <w:b/>
                <w:bCs/>
                <w:color w:val="auto"/>
                <w:sz w:val="21"/>
                <w:szCs w:val="21"/>
                <w:highlight w:val="none"/>
              </w:rPr>
              <w:t>。</w:t>
            </w:r>
          </w:p>
        </w:tc>
      </w:tr>
      <w:tr w14:paraId="6FE5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50602761">
            <w:pPr>
              <w:topLinePunct/>
              <w:autoSpaceDE w:val="0"/>
              <w:autoSpaceDN w:val="0"/>
              <w:spacing w:line="24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w:t>
            </w:r>
          </w:p>
        </w:tc>
        <w:tc>
          <w:tcPr>
            <w:tcW w:w="1727" w:type="dxa"/>
            <w:vAlign w:val="center"/>
          </w:tcPr>
          <w:p w14:paraId="2E3C338B">
            <w:pPr>
              <w:topLinePunct/>
              <w:autoSpaceDE w:val="0"/>
              <w:autoSpaceDN w:val="0"/>
              <w:spacing w:line="240" w:lineRule="auto"/>
              <w:ind w:left="-105" w:leftChars="-50" w:right="-105" w:rightChars="-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其他补充事宜</w:t>
            </w:r>
          </w:p>
        </w:tc>
        <w:tc>
          <w:tcPr>
            <w:tcW w:w="7347" w:type="dxa"/>
            <w:vAlign w:val="center"/>
          </w:tcPr>
          <w:p w14:paraId="11690BD4">
            <w:pPr>
              <w:pStyle w:val="30"/>
              <w:keepNext w:val="0"/>
              <w:keepLines w:val="0"/>
              <w:topLinePunct/>
              <w:autoSpaceDE w:val="0"/>
              <w:autoSpaceDN w:val="0"/>
              <w:spacing w:before="0" w:after="0" w:line="240" w:lineRule="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投标人在法定质疑期内一次性提出针对同一采购程序环节的质疑</w:t>
            </w:r>
          </w:p>
          <w:p w14:paraId="2619259B">
            <w:pPr>
              <w:pStyle w:val="30"/>
              <w:keepNext w:val="0"/>
              <w:keepLines w:val="0"/>
              <w:topLinePunct/>
              <w:autoSpaceDE w:val="0"/>
              <w:autoSpaceDN w:val="0"/>
              <w:spacing w:before="0" w:after="0" w:line="240" w:lineRule="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.在线质疑提出：</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参与本项目符合法定质疑条件的，通过政府采购平台进入“项目质疑管理”栏目向采购人、采购代理机构在线提起质疑。</w:t>
            </w:r>
          </w:p>
          <w:p w14:paraId="7C24D56E">
            <w:pPr>
              <w:pStyle w:val="30"/>
              <w:keepNext w:val="0"/>
              <w:keepLines w:val="0"/>
              <w:topLinePunct/>
              <w:autoSpaceDE w:val="0"/>
              <w:autoSpaceDN w:val="0"/>
              <w:spacing w:before="0" w:after="0" w:line="240" w:lineRule="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.质疑材料要求：</w:t>
            </w:r>
          </w:p>
          <w:p w14:paraId="72F74631">
            <w:pPr>
              <w:pStyle w:val="30"/>
              <w:keepNext w:val="0"/>
              <w:keepLines w:val="0"/>
              <w:topLinePunct/>
              <w:autoSpaceDE w:val="0"/>
              <w:autoSpaceDN w:val="0"/>
              <w:spacing w:before="0" w:after="0" w:line="240" w:lineRule="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提起在线质疑，应当按照《政府采购质疑和投诉办法》有关规定如实填写事项及信息，在线提交质疑函及必要的证明材料纸质版扫描件或图片（支持：DOC、DOCX、PDF、JPG、PNG、GIF）；</w:t>
            </w:r>
          </w:p>
          <w:p w14:paraId="3B5B1D10">
            <w:pPr>
              <w:pStyle w:val="30"/>
              <w:keepNext w:val="0"/>
              <w:keepLines w:val="0"/>
              <w:topLinePunct/>
              <w:autoSpaceDE w:val="0"/>
              <w:autoSpaceDN w:val="0"/>
              <w:spacing w:before="0" w:after="0" w:line="240" w:lineRule="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（2）在线质疑由</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委托代理人提起的，还需上传授权委托书及被委托人身份证明，授权委托书应当载明委托人及被委托人的姓名或名称、代理事项、具体权限、期限等；</w:t>
            </w:r>
          </w:p>
          <w:p w14:paraId="7A22EFCA">
            <w:pPr>
              <w:pStyle w:val="30"/>
              <w:keepNext w:val="0"/>
              <w:keepLines w:val="0"/>
              <w:topLinePunct/>
              <w:autoSpaceDE w:val="0"/>
              <w:autoSpaceDN w:val="0"/>
              <w:spacing w:before="0" w:after="0" w:line="240" w:lineRule="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为法人或者其他组织的，相关材料由法定代表人、主要负责人或其授权代表签名或者盖章并加盖公章；</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为自然人的，相关材料由本人签名。</w:t>
            </w:r>
          </w:p>
          <w:p w14:paraId="2D53758B">
            <w:pPr>
              <w:pStyle w:val="30"/>
              <w:keepNext w:val="0"/>
              <w:keepLines w:val="0"/>
              <w:topLinePunct/>
              <w:autoSpaceDE w:val="0"/>
              <w:autoSpaceDN w:val="0"/>
              <w:spacing w:before="0" w:after="0" w:line="240" w:lineRule="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.在线质疑答复：采购人、采购代理机构收到在线质疑后，在7个工作日内通过政府采购平台对</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依法提出的质疑作出答复，但答复内容不得涉及商业秘密。质疑</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通过政府采购平台在线接收质疑答复结果。</w:t>
            </w:r>
          </w:p>
        </w:tc>
      </w:tr>
    </w:tbl>
    <w:p w14:paraId="60F3C473">
      <w:pPr>
        <w:overflowPunct w:val="0"/>
        <w:topLinePunct/>
        <w:autoSpaceDN w:val="0"/>
        <w:adjustRightInd w:val="0"/>
        <w:snapToGrid w:val="0"/>
        <w:spacing w:line="360" w:lineRule="auto"/>
        <w:rPr>
          <w:rFonts w:hint="eastAsia" w:ascii="仿宋" w:hAnsi="仿宋" w:eastAsia="仿宋" w:cs="仿宋"/>
          <w:b/>
          <w:color w:val="auto"/>
          <w:kern w:val="0"/>
          <w:sz w:val="21"/>
          <w:szCs w:val="21"/>
          <w:highlight w:val="none"/>
        </w:rPr>
      </w:pPr>
      <w:r>
        <w:rPr>
          <w:rFonts w:hint="eastAsia" w:ascii="仿宋" w:hAnsi="仿宋" w:eastAsia="仿宋" w:cs="仿宋"/>
          <w:color w:val="auto"/>
          <w:sz w:val="21"/>
          <w:szCs w:val="21"/>
          <w:highlight w:val="none"/>
        </w:rPr>
        <w:t>注：本表内容与投标人须知内容不一致的，以本表内容为准。</w:t>
      </w:r>
    </w:p>
    <w:p w14:paraId="7D59AD36">
      <w:pPr>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FE8C60A">
      <w:pPr>
        <w:snapToGrid w:val="0"/>
        <w:spacing w:before="260" w:after="260"/>
        <w:jc w:val="center"/>
        <w:rPr>
          <w:rFonts w:hint="eastAsia" w:ascii="仿宋" w:hAnsi="仿宋" w:eastAsia="仿宋" w:cs="仿宋"/>
          <w:b/>
          <w:bCs/>
          <w:color w:val="auto"/>
          <w:spacing w:val="20"/>
          <w:kern w:val="0"/>
          <w:sz w:val="30"/>
          <w:szCs w:val="30"/>
          <w:highlight w:val="none"/>
        </w:rPr>
      </w:pPr>
      <w:r>
        <w:rPr>
          <w:rFonts w:hint="eastAsia" w:ascii="仿宋" w:hAnsi="仿宋" w:eastAsia="仿宋" w:cs="仿宋"/>
          <w:b/>
          <w:bCs/>
          <w:color w:val="auto"/>
          <w:spacing w:val="20"/>
          <w:kern w:val="0"/>
          <w:sz w:val="28"/>
          <w:szCs w:val="28"/>
          <w:highlight w:val="none"/>
        </w:rPr>
        <w:t>电子投标须知附表</w:t>
      </w:r>
    </w:p>
    <w:tbl>
      <w:tblPr>
        <w:tblStyle w:val="22"/>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299"/>
        <w:gridCol w:w="7137"/>
      </w:tblGrid>
      <w:tr w14:paraId="4708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vAlign w:val="center"/>
          </w:tcPr>
          <w:p w14:paraId="4ABE54E9">
            <w:pPr>
              <w:spacing w:line="4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292" w:type="dxa"/>
            <w:vAlign w:val="center"/>
          </w:tcPr>
          <w:p w14:paraId="0849E6C0">
            <w:pPr>
              <w:spacing w:line="4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条款名称</w:t>
            </w:r>
          </w:p>
        </w:tc>
        <w:tc>
          <w:tcPr>
            <w:tcW w:w="7101" w:type="dxa"/>
            <w:vAlign w:val="center"/>
          </w:tcPr>
          <w:p w14:paraId="751FD13E">
            <w:pPr>
              <w:spacing w:line="4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编列内容</w:t>
            </w:r>
          </w:p>
        </w:tc>
      </w:tr>
      <w:tr w14:paraId="60EE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vAlign w:val="center"/>
          </w:tcPr>
          <w:p w14:paraId="12E27873">
            <w:pPr>
              <w:spacing w:line="4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92" w:type="dxa"/>
            <w:vAlign w:val="center"/>
          </w:tcPr>
          <w:p w14:paraId="5232FAB3">
            <w:pPr>
              <w:spacing w:line="4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投标文件编制</w:t>
            </w:r>
          </w:p>
        </w:tc>
        <w:tc>
          <w:tcPr>
            <w:tcW w:w="7101" w:type="dxa"/>
            <w:vAlign w:val="center"/>
          </w:tcPr>
          <w:p w14:paraId="26CA3B14">
            <w:pPr>
              <w:spacing w:line="4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1.1投标人应使用政采云系统的投标文件编制工具，按照操作手册编制电子投标文件，并使用数字证书（CA）按照招标文件规定签字、盖章。同时使用数字证书（CA）对投标文件进行加密。</w:t>
            </w:r>
          </w:p>
          <w:p w14:paraId="4E17D185">
            <w:pPr>
              <w:spacing w:line="4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1.2在上传电子投标文件时，需对应系统中每个模块要求，形成独立的PDF格式文件，按照指定对应模块，逐条完成上传，保存后提交。</w:t>
            </w:r>
          </w:p>
          <w:p w14:paraId="7550BC14">
            <w:pPr>
              <w:spacing w:line="4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1.3电子投标文件所附各类证件、证书、证明，均随投标文件统一编排页码进行上传。</w:t>
            </w:r>
          </w:p>
        </w:tc>
      </w:tr>
      <w:tr w14:paraId="2558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vAlign w:val="center"/>
          </w:tcPr>
          <w:p w14:paraId="4BB2F279">
            <w:pPr>
              <w:spacing w:line="4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92" w:type="dxa"/>
            <w:vAlign w:val="center"/>
          </w:tcPr>
          <w:p w14:paraId="196AF596">
            <w:pPr>
              <w:spacing w:line="4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电子投标文件解密</w:t>
            </w:r>
          </w:p>
        </w:tc>
        <w:tc>
          <w:tcPr>
            <w:tcW w:w="7101" w:type="dxa"/>
            <w:vAlign w:val="center"/>
          </w:tcPr>
          <w:p w14:paraId="1D8EE363">
            <w:pPr>
              <w:spacing w:line="4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在招标文件规定的投标文件上传截止时间，采购代理机构会在政采云系统发出解密指令，投标人在收到解密指令后，须使用加密投标文件时所使用的数字证书（CA）对已递交（上传）的电子投标文件进行解密（可远程解密）。</w:t>
            </w:r>
          </w:p>
          <w:p w14:paraId="2DD08CC6">
            <w:pPr>
              <w:spacing w:line="4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2.2电子投标文件解密时间：</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分钟。</w:t>
            </w:r>
          </w:p>
          <w:p w14:paraId="4FD85214">
            <w:pPr>
              <w:spacing w:line="4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2.3电子投标文件解密流程：使用用户名密码或电子CA登录政采云系统→项目采购→开标评标→找到对应项目→解密→输入CA密码→开始下载→解密完成。</w:t>
            </w:r>
          </w:p>
          <w:p w14:paraId="0249BC10">
            <w:pPr>
              <w:spacing w:line="4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2.4因投标人原因造成投标文件未解密的，视为撤销其投标文件，包括以下情形：</w:t>
            </w:r>
          </w:p>
          <w:p w14:paraId="01DB0A60">
            <w:pPr>
              <w:spacing w:line="4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（1）投标人未在规定时间内解密投标文件的；</w:t>
            </w:r>
          </w:p>
          <w:p w14:paraId="12E8F96B">
            <w:pPr>
              <w:spacing w:line="4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（2）投标人使用非本次投标加密用CA数字证书解密的；</w:t>
            </w:r>
          </w:p>
          <w:p w14:paraId="3814C5C8">
            <w:pPr>
              <w:spacing w:line="4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（3）投标人使用的CA数字证书属于注销或无效或损坏的。</w:t>
            </w:r>
          </w:p>
        </w:tc>
      </w:tr>
      <w:tr w14:paraId="177C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vAlign w:val="center"/>
          </w:tcPr>
          <w:p w14:paraId="7189D049">
            <w:pPr>
              <w:spacing w:line="4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92" w:type="dxa"/>
            <w:vAlign w:val="center"/>
          </w:tcPr>
          <w:p w14:paraId="6617F01D">
            <w:pPr>
              <w:spacing w:line="4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w:t>
            </w:r>
          </w:p>
        </w:tc>
        <w:tc>
          <w:tcPr>
            <w:tcW w:w="7101" w:type="dxa"/>
            <w:vAlign w:val="center"/>
          </w:tcPr>
          <w:p w14:paraId="6FA8064F">
            <w:pPr>
              <w:spacing w:line="4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3.1本项目采购活动的全过程，均采用电子形式进行，纸质</w:t>
            </w:r>
            <w:r>
              <w:rPr>
                <w:rFonts w:hint="eastAsia" w:ascii="仿宋" w:hAnsi="仿宋" w:eastAsia="仿宋" w:cs="仿宋"/>
                <w:color w:val="auto"/>
                <w:sz w:val="21"/>
                <w:szCs w:val="21"/>
                <w:highlight w:val="none"/>
                <w:lang w:val="en-US" w:eastAsia="zh-CN"/>
              </w:rPr>
              <w:t>投标文件仅作为存档使用</w:t>
            </w:r>
            <w:r>
              <w:rPr>
                <w:rFonts w:hint="eastAsia" w:ascii="仿宋" w:hAnsi="仿宋" w:eastAsia="仿宋" w:cs="仿宋"/>
                <w:color w:val="auto"/>
                <w:sz w:val="21"/>
                <w:szCs w:val="21"/>
                <w:highlight w:val="none"/>
              </w:rPr>
              <w:t>。在评标过程中，当政采云系统出现异常情形时，经请示财政部门同意后，采购代理机构可采用其他方式进行评标活动。</w:t>
            </w:r>
          </w:p>
          <w:p w14:paraId="54801CBD">
            <w:pPr>
              <w:spacing w:line="4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3.2待系统恢复后，采购代理机构须把线下开标、评标结果数据录入“政采云系统”。</w:t>
            </w:r>
          </w:p>
        </w:tc>
      </w:tr>
    </w:tbl>
    <w:p w14:paraId="361CBBC5">
      <w:pPr>
        <w:overflowPunct w:val="0"/>
        <w:topLinePunct/>
        <w:autoSpaceDN w:val="0"/>
        <w:adjustRightInd w:val="0"/>
        <w:snapToGrid w:val="0"/>
        <w:spacing w:line="360" w:lineRule="auto"/>
        <w:rPr>
          <w:rFonts w:hint="eastAsia" w:ascii="仿宋" w:hAnsi="仿宋" w:eastAsia="仿宋" w:cs="仿宋"/>
          <w:b/>
          <w:color w:val="auto"/>
          <w:kern w:val="0"/>
          <w:sz w:val="21"/>
          <w:szCs w:val="21"/>
          <w:highlight w:val="none"/>
        </w:rPr>
      </w:pPr>
      <w:r>
        <w:rPr>
          <w:rFonts w:hint="eastAsia" w:ascii="仿宋" w:hAnsi="仿宋" w:eastAsia="仿宋" w:cs="仿宋"/>
          <w:color w:val="auto"/>
          <w:sz w:val="21"/>
          <w:szCs w:val="21"/>
          <w:highlight w:val="none"/>
        </w:rPr>
        <w:t>注：本表内容与投标人须知内容不一致的，以本表内容为准；解密流程与本表不一致的，以政采云系统解密流程为准。</w:t>
      </w:r>
    </w:p>
    <w:p w14:paraId="0089A3AA">
      <w:pPr>
        <w:tabs>
          <w:tab w:val="left" w:pos="2070"/>
          <w:tab w:val="center" w:pos="4365"/>
        </w:tabs>
        <w:snapToGrid w:val="0"/>
        <w:spacing w:line="360" w:lineRule="auto"/>
        <w:jc w:val="center"/>
        <w:rPr>
          <w:rFonts w:hint="eastAsia" w:ascii="仿宋" w:hAnsi="仿宋" w:eastAsia="仿宋" w:cs="仿宋"/>
          <w:b/>
          <w:color w:val="auto"/>
          <w:kern w:val="0"/>
          <w:sz w:val="28"/>
          <w:szCs w:val="28"/>
          <w:highlight w:val="none"/>
        </w:rPr>
      </w:pPr>
    </w:p>
    <w:p w14:paraId="2E3673FD">
      <w:pPr>
        <w:jc w:val="left"/>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br w:type="page"/>
      </w:r>
    </w:p>
    <w:p w14:paraId="584B3137">
      <w:pPr>
        <w:pStyle w:val="18"/>
        <w:widowControl w:val="0"/>
        <w:spacing w:before="120" w:beforeLines="50" w:after="120" w:afterLines="50" w:line="440" w:lineRule="exact"/>
        <w:jc w:val="center"/>
        <w:outlineLvl w:val="0"/>
        <w:rPr>
          <w:rFonts w:hint="eastAsia" w:ascii="仿宋" w:hAnsi="仿宋" w:eastAsia="仿宋" w:cs="仿宋"/>
          <w:b/>
          <w:color w:val="auto"/>
          <w:sz w:val="32"/>
          <w:szCs w:val="32"/>
          <w:highlight w:val="none"/>
        </w:rPr>
      </w:pPr>
      <w:bookmarkStart w:id="6" w:name="_Toc24514"/>
      <w:bookmarkStart w:id="7" w:name="_Toc117270079"/>
      <w:r>
        <w:rPr>
          <w:rFonts w:hint="eastAsia" w:ascii="仿宋" w:hAnsi="仿宋" w:eastAsia="仿宋" w:cs="仿宋"/>
          <w:b/>
          <w:color w:val="auto"/>
          <w:sz w:val="32"/>
          <w:szCs w:val="32"/>
          <w:highlight w:val="none"/>
        </w:rPr>
        <w:t>第三部分  投标人须知</w:t>
      </w:r>
      <w:bookmarkEnd w:id="6"/>
      <w:bookmarkEnd w:id="7"/>
    </w:p>
    <w:p w14:paraId="2CED6546">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outlineLvl w:val="1"/>
        <w:rPr>
          <w:rFonts w:hint="eastAsia" w:ascii="仿宋" w:hAnsi="仿宋" w:eastAsia="仿宋" w:cs="仿宋"/>
          <w:b/>
          <w:color w:val="auto"/>
          <w:kern w:val="0"/>
          <w:sz w:val="21"/>
          <w:szCs w:val="21"/>
          <w:highlight w:val="none"/>
        </w:rPr>
      </w:pPr>
      <w:bookmarkStart w:id="8" w:name="_Toc117270080"/>
      <w:bookmarkStart w:id="9" w:name="_Toc9096"/>
      <w:r>
        <w:rPr>
          <w:rFonts w:hint="eastAsia" w:ascii="仿宋" w:hAnsi="仿宋" w:eastAsia="仿宋" w:cs="仿宋"/>
          <w:b/>
          <w:color w:val="auto"/>
          <w:kern w:val="0"/>
          <w:sz w:val="21"/>
          <w:szCs w:val="21"/>
          <w:highlight w:val="none"/>
        </w:rPr>
        <w:t>一、总则</w:t>
      </w:r>
      <w:bookmarkEnd w:id="8"/>
      <w:bookmarkEnd w:id="9"/>
    </w:p>
    <w:p w14:paraId="59CF5E00">
      <w:pPr>
        <w:keepNext w:val="0"/>
        <w:keepLines w:val="0"/>
        <w:pageBreakBefore w:val="0"/>
        <w:widowControl w:val="0"/>
        <w:tabs>
          <w:tab w:val="left" w:pos="737"/>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 适用范围</w:t>
      </w:r>
    </w:p>
    <w:p w14:paraId="50EDB819">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本招标文件适用于本次招标活动的全过程。</w:t>
      </w:r>
    </w:p>
    <w:p w14:paraId="7B8B2C9F">
      <w:pPr>
        <w:keepNext w:val="0"/>
        <w:keepLines w:val="0"/>
        <w:pageBreakBefore w:val="0"/>
        <w:widowControl w:val="0"/>
        <w:tabs>
          <w:tab w:val="left" w:pos="0"/>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 定义</w:t>
      </w:r>
    </w:p>
    <w:p w14:paraId="45A4D4E3">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2.1采购人：指依法进行本次招标活动的采购单位。</w:t>
      </w:r>
    </w:p>
    <w:p w14:paraId="7FD4E106">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2.2</w:t>
      </w:r>
      <w:r>
        <w:rPr>
          <w:rFonts w:hint="eastAsia" w:ascii="仿宋" w:hAnsi="仿宋" w:eastAsia="仿宋" w:cs="仿宋"/>
          <w:color w:val="auto"/>
          <w:kern w:val="0"/>
          <w:sz w:val="21"/>
          <w:szCs w:val="21"/>
          <w:highlight w:val="none"/>
        </w:rPr>
        <w:t>采购代理机构：指在采购人委托的范围内依法开展招标活动，组织本次招标活动的执行机构。</w:t>
      </w:r>
    </w:p>
    <w:p w14:paraId="3FA6ECEF">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2.3投标人：指响应本招标文件规定并按期提供投标文件参加投标竞争的法人、其他组织或者自然人。</w:t>
      </w:r>
    </w:p>
    <w:p w14:paraId="2614591C">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2.4潜在投标人：指符合本招标文件各项规定的投标人。</w:t>
      </w:r>
    </w:p>
    <w:p w14:paraId="02BC776B">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2.5货物：指投标人按招标文件商务技术要求，向采购人有偿提供的各种物品及其他有关技术资料和材料。</w:t>
      </w:r>
    </w:p>
    <w:p w14:paraId="609C4006">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2.6服务：指招标文件规定的投标人为完成采购项目所需承担的全部义务。如按要求完成货物供货、验收、履行售后服务、提供信息资料、组织相关培训及本招标文件和合同中规定由投标人承担的其他义务。</w:t>
      </w:r>
    </w:p>
    <w:p w14:paraId="41331991">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2.7招标文件：是采购代理机构根据国家相关法律法规政策和采购人采购需求制定的向潜在投标人发出并告知项目需求、招标投标活动规则和合同条件等信息的要约文件，是本项目招标投标活动的主要依据，对招标投标活动各方均具有法律约束力。</w:t>
      </w:r>
    </w:p>
    <w:p w14:paraId="541BDB9F">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2.8投标文件：是指投标人应招标文件的条件和要求，按规定编制并按时递交的文件。</w:t>
      </w:r>
    </w:p>
    <w:p w14:paraId="3F525DEE">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3.合格投标人的条件</w:t>
      </w:r>
    </w:p>
    <w:p w14:paraId="51D0753F">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3.1符合《中华人民共和国政府采购法》第二十二条投标人参加政府采购活动应当具备的条件及其他有关法律、法规关于投标人的有关规定，有能力提供招标采购货物的投标人。需按投标人须知前附表第</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项要求提供有效资格证明文件。</w:t>
      </w:r>
    </w:p>
    <w:p w14:paraId="26935FF5">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3.2为本项目提供整体设计、规范编制或者项目管理、监理、检测等服务的投标人，不得再参加本项目的投标。</w:t>
      </w:r>
    </w:p>
    <w:p w14:paraId="05701693">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3.3关于是否允许代理商参加投标（见投标人须知前附表第2项）。</w:t>
      </w:r>
    </w:p>
    <w:p w14:paraId="7EBCC8D3">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3.4关于是否允许联合体投标（见投标人须知前附表第3项）。</w:t>
      </w:r>
    </w:p>
    <w:p w14:paraId="6608CC06">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若《招标公告》接受联合体投标的：</w:t>
      </w:r>
    </w:p>
    <w:p w14:paraId="441720F4">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（1）两个以上的法人或者其他组织或自然人可以组成一个联合体，以一个投标人的身份共同参加投标。</w:t>
      </w:r>
    </w:p>
    <w:p w14:paraId="4005FFC2">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联合体各方均应当符合《政府采购法》第二十二条第一款规定的条件，根据采购项目的特殊要求规定投标人特定条件的，联合体各方中至少应当有一方符合《招标公告》规定的投标人资格条件（实质性要求）。</w:t>
      </w:r>
    </w:p>
    <w:p w14:paraId="6F1A4AA7">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（3）联合体各方均应当提供投标人须知前附表第</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项中要求的有效的资格证明文件。</w:t>
      </w:r>
    </w:p>
    <w:p w14:paraId="0626FAA7">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联合投标协议格式见本招标文件投标文件格式。</w:t>
      </w:r>
    </w:p>
    <w:p w14:paraId="13C05792">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（5）下载招标文件时，应以联合体协议中确定的主体方名义下载。</w:t>
      </w:r>
    </w:p>
    <w:p w14:paraId="273D5E91">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（6）联合体投标的，应以主体方名义提交投标保证金（如有），对联合体各方均具有约束力。</w:t>
      </w:r>
    </w:p>
    <w:p w14:paraId="4EC96DC7">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6C16FF27">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（8）联合体中任意一方为中小企业的，该方应提供《中小企业声明函》。</w:t>
      </w:r>
    </w:p>
    <w:p w14:paraId="38258A1C">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（9）联合体各方应当共同与采购人签订采购合同，就采购合同约定的事项对采购人承担连带责任。</w:t>
      </w:r>
    </w:p>
    <w:p w14:paraId="4C9BEDA4">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3.5关于关联企业</w:t>
      </w:r>
    </w:p>
    <w:p w14:paraId="2A65A6FB">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除联合体外，法定代表人或单位负责人为同一个人或者存在直接控股、管理关系的不同投标人，不得同时参加同一项目或同一子项目的投标。如同时参加，则评标时将同时被拒绝。</w:t>
      </w:r>
    </w:p>
    <w:p w14:paraId="48203C21">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3.6关于中小微企业参与投标</w:t>
      </w:r>
    </w:p>
    <w:p w14:paraId="5826F1CB">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中小微企业是指符合《政府采购促进中小企业发展管理办法》（财库[2020]46号）规定的投标人。中小微企业参与投标应提供《中小企业声明函》。</w:t>
      </w:r>
    </w:p>
    <w:p w14:paraId="04FE4C5B">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监狱企业投标时，提供由省级以上监狱管理局、戒毒管理局（含新疆生产建设兵团）出具的属于监狱企业的证明文件，不再提供《中小企业声明函》。</w:t>
      </w:r>
    </w:p>
    <w:p w14:paraId="1CB466C4">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残疾人福利性单位视同为小型、微型企业。</w:t>
      </w:r>
    </w:p>
    <w:p w14:paraId="7BA9FA4E">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3.7关于分公司投标</w:t>
      </w:r>
    </w:p>
    <w:p w14:paraId="54E557E8">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分公司作为投标人参与本项目政府采购活动的，应提供具有法人资格的总公司的营业执照副本扫描件或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47D26ED4">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4.合格的服务</w:t>
      </w:r>
    </w:p>
    <w:p w14:paraId="43EA4D72">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4.1投标人所提供的货物应当没有侵犯任何第三方的知识产权、技术秘密等合法权利。</w:t>
      </w:r>
    </w:p>
    <w:p w14:paraId="0FC35476">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4.2投标人提供的货物应当符合招标文件的要求，并且其质量完全符合国家标准、行业标准或地方标准。</w:t>
      </w:r>
    </w:p>
    <w:p w14:paraId="6F731562">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4.3系统软件、通用软件必须是具有在中国境内的合法使用权或版权的正版软件，涉及到第三方提出侵权或知识产权的起诉及支付版税等费用由投标人承担所有责任及费用。</w:t>
      </w:r>
    </w:p>
    <w:p w14:paraId="4CA5E7FC">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5.投标费用</w:t>
      </w:r>
    </w:p>
    <w:p w14:paraId="5DEC6FF4">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5.1投标人应承担准备和参加投标有关的所有费用，采购代理机构和采购人在任何情况下均无义务和责任承担这些费用。</w:t>
      </w:r>
    </w:p>
    <w:p w14:paraId="31CB9C83">
      <w:pPr>
        <w:keepNext w:val="0"/>
        <w:keepLines w:val="0"/>
        <w:pageBreakBefore w:val="0"/>
        <w:widowControl w:val="0"/>
        <w:tabs>
          <w:tab w:val="left" w:pos="567"/>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6.招标要求</w:t>
      </w:r>
    </w:p>
    <w:p w14:paraId="33A8E18C">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6.1投标人所提供的货物、所需服务与技术方案被采购人采用时，中标人</w:t>
      </w:r>
      <w:r>
        <w:rPr>
          <w:rFonts w:hint="eastAsia" w:ascii="仿宋" w:hAnsi="仿宋" w:eastAsia="仿宋" w:cs="仿宋"/>
          <w:snapToGrid w:val="0"/>
          <w:color w:val="auto"/>
          <w:kern w:val="0"/>
          <w:sz w:val="21"/>
          <w:szCs w:val="21"/>
          <w:highlight w:val="none"/>
        </w:rPr>
        <w:t>所提供的服务及相关内容必须符合本《招标文件》的要求且按要求实施，</w:t>
      </w:r>
      <w:r>
        <w:rPr>
          <w:rFonts w:hint="eastAsia" w:ascii="仿宋" w:hAnsi="仿宋" w:eastAsia="仿宋" w:cs="仿宋"/>
          <w:color w:val="auto"/>
          <w:kern w:val="0"/>
          <w:sz w:val="21"/>
          <w:szCs w:val="21"/>
          <w:highlight w:val="none"/>
        </w:rPr>
        <w:t>并认真履行合同规定的相关条款。</w:t>
      </w:r>
    </w:p>
    <w:p w14:paraId="5EC0ABFC">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6.2采购代理机构或者采购人可以在招标文件提供期限截止后，组织已获取招标文件的潜在投标人现场勘查或者召开标前答疑会。是否组织现场勘查或者召开答疑会的，详见投标人须知前附表第11、12项。而无论本项目（包）是否安排踏勘现场，潜在投标人均应当将相关的因素作为投标所应当考虑或依据的因素。</w:t>
      </w:r>
    </w:p>
    <w:p w14:paraId="46FD17F9">
      <w:pPr>
        <w:keepNext w:val="0"/>
        <w:keepLines w:val="0"/>
        <w:pageBreakBefore w:val="0"/>
        <w:widowControl w:val="0"/>
        <w:tabs>
          <w:tab w:val="left" w:pos="567"/>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7.通知</w:t>
      </w:r>
    </w:p>
    <w:p w14:paraId="4913FF06">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7.1对与本项目有关的通知，采购代理机构将在山西政府采购平台政采云系统中发出（视同书面通知），因线路故障导致通知延迟或无法查看，采购代理机构或采购人将不承担任何责任，有关的招标活动可以继续有效地进行。</w:t>
      </w:r>
    </w:p>
    <w:p w14:paraId="001A8107">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8.解释权</w:t>
      </w:r>
    </w:p>
    <w:p w14:paraId="3C9B8788">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8.1本次招投标的最终解释权归为采购人、采购代理机构。</w:t>
      </w:r>
    </w:p>
    <w:p w14:paraId="0908AF65">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8.2当对一个问题有多种解释时以采购人、采购代理机构的解释为准。</w:t>
      </w:r>
    </w:p>
    <w:p w14:paraId="2727DB0E">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8.3本文件未作须知明示，而又有相关法律、法规规定的，采购人、采购代理机构将依据相关法律法规的规定进行解释。</w:t>
      </w:r>
    </w:p>
    <w:p w14:paraId="094E7456">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outlineLvl w:val="1"/>
        <w:rPr>
          <w:rFonts w:hint="eastAsia" w:ascii="仿宋" w:hAnsi="仿宋" w:eastAsia="仿宋" w:cs="仿宋"/>
          <w:b/>
          <w:color w:val="auto"/>
          <w:kern w:val="0"/>
          <w:sz w:val="21"/>
          <w:szCs w:val="21"/>
          <w:highlight w:val="none"/>
        </w:rPr>
      </w:pPr>
      <w:bookmarkStart w:id="10" w:name="_Toc32547"/>
      <w:bookmarkStart w:id="11" w:name="_Toc117270081"/>
      <w:r>
        <w:rPr>
          <w:rFonts w:hint="eastAsia" w:ascii="仿宋" w:hAnsi="仿宋" w:eastAsia="仿宋" w:cs="仿宋"/>
          <w:b/>
          <w:color w:val="auto"/>
          <w:kern w:val="0"/>
          <w:sz w:val="21"/>
          <w:szCs w:val="21"/>
          <w:highlight w:val="none"/>
        </w:rPr>
        <w:t>二、招标文件组成、澄清和修改</w:t>
      </w:r>
      <w:bookmarkEnd w:id="10"/>
      <w:bookmarkEnd w:id="11"/>
    </w:p>
    <w:p w14:paraId="76494A9C">
      <w:pPr>
        <w:keepNext w:val="0"/>
        <w:keepLines w:val="0"/>
        <w:pageBreakBefore w:val="0"/>
        <w:widowControl w:val="0"/>
        <w:tabs>
          <w:tab w:val="left" w:pos="0"/>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9.招标文件的内容</w:t>
      </w:r>
    </w:p>
    <w:p w14:paraId="5607FDF0">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9.1招标文件由下列部分内容组成：</w:t>
      </w:r>
    </w:p>
    <w:p w14:paraId="4CA3D928">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第一部分 招标公告；</w:t>
      </w:r>
    </w:p>
    <w:p w14:paraId="7D9BA725">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第二部分 投标人须知；</w:t>
      </w:r>
    </w:p>
    <w:p w14:paraId="20520F80">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第三部分 评标标准和评分方法；</w:t>
      </w:r>
    </w:p>
    <w:p w14:paraId="5C7A9866">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第四部分 商务、技术要求；</w:t>
      </w:r>
    </w:p>
    <w:p w14:paraId="640F9935">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第五部分 合同原则；</w:t>
      </w:r>
    </w:p>
    <w:p w14:paraId="6D2D0B0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第六部分 投标文件格式。</w:t>
      </w:r>
    </w:p>
    <w:p w14:paraId="18061545">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9.2投标人应详细阅读招标文件的全部内容，如果没有按照招标文件要求提交全部资料或者没有对招标文件在各方面都做出实质性响应，有可能被确定为无效投标。</w:t>
      </w:r>
    </w:p>
    <w:p w14:paraId="2947C7E8">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9.3除非特殊要求，招标文件不单独提供招标项目使用地的自然环境、气候条件、公用设施等情况，投标人被视为熟悉上述与履行合同有关的一切情况。</w:t>
      </w:r>
    </w:p>
    <w:p w14:paraId="6E8F10F4">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10．招标文件的澄清和修改</w:t>
      </w:r>
    </w:p>
    <w:p w14:paraId="7D907102">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10.1澄清、修改时间：</w:t>
      </w:r>
      <w:r>
        <w:rPr>
          <w:rFonts w:hint="eastAsia" w:ascii="仿宋" w:hAnsi="仿宋" w:eastAsia="仿宋" w:cs="仿宋"/>
          <w:color w:val="auto"/>
          <w:sz w:val="21"/>
          <w:szCs w:val="21"/>
          <w:highlight w:val="none"/>
        </w:rPr>
        <w:t>上传投标文件截止日之前，</w:t>
      </w:r>
      <w:r>
        <w:rPr>
          <w:rFonts w:hint="eastAsia" w:ascii="仿宋" w:hAnsi="仿宋" w:eastAsia="仿宋" w:cs="仿宋"/>
          <w:color w:val="auto"/>
          <w:kern w:val="0"/>
          <w:sz w:val="21"/>
          <w:szCs w:val="21"/>
          <w:highlight w:val="none"/>
        </w:rPr>
        <w:t>采购代理机构或者采购人可以对已发出的招标文件进行必要的澄清或者修改，</w:t>
      </w:r>
      <w:r>
        <w:rPr>
          <w:rFonts w:hint="eastAsia" w:ascii="仿宋" w:hAnsi="仿宋" w:eastAsia="仿宋" w:cs="仿宋"/>
          <w:color w:val="auto"/>
          <w:sz w:val="21"/>
          <w:szCs w:val="21"/>
          <w:highlight w:val="none"/>
        </w:rPr>
        <w:t>其内容作为招标文件的组成部分</w:t>
      </w:r>
      <w:r>
        <w:rPr>
          <w:rFonts w:hint="eastAsia" w:ascii="仿宋" w:hAnsi="仿宋" w:eastAsia="仿宋" w:cs="仿宋"/>
          <w:color w:val="auto"/>
          <w:kern w:val="0"/>
          <w:sz w:val="21"/>
          <w:szCs w:val="21"/>
          <w:highlight w:val="none"/>
        </w:rPr>
        <w:t>。澄清或者修改的内容可能影响投标文件编制的，</w:t>
      </w:r>
      <w:r>
        <w:rPr>
          <w:rFonts w:hint="eastAsia" w:ascii="仿宋" w:hAnsi="仿宋" w:eastAsia="仿宋" w:cs="仿宋"/>
          <w:color w:val="auto"/>
          <w:sz w:val="21"/>
          <w:szCs w:val="21"/>
          <w:highlight w:val="none"/>
        </w:rPr>
        <w:t>采购代理机构或采购人</w:t>
      </w:r>
      <w:r>
        <w:rPr>
          <w:rFonts w:hint="eastAsia" w:ascii="仿宋" w:hAnsi="仿宋" w:eastAsia="仿宋" w:cs="仿宋"/>
          <w:color w:val="auto"/>
          <w:kern w:val="0"/>
          <w:sz w:val="21"/>
          <w:szCs w:val="21"/>
          <w:highlight w:val="none"/>
        </w:rPr>
        <w:t>应当在投标截止时间至少15日前，</w:t>
      </w:r>
      <w:r>
        <w:rPr>
          <w:rFonts w:hint="eastAsia" w:ascii="仿宋" w:hAnsi="仿宋" w:eastAsia="仿宋" w:cs="仿宋"/>
          <w:color w:val="auto"/>
          <w:sz w:val="21"/>
          <w:szCs w:val="21"/>
          <w:highlight w:val="none"/>
        </w:rPr>
        <w:t>采购代理机构将在中国政府采购网山西分网发布更正公告；不足15日的，采购代理机构或采购人应当顺延提交（上传）投标文件的截止时间。</w:t>
      </w:r>
    </w:p>
    <w:p w14:paraId="4E41B3FC">
      <w:pPr>
        <w:pStyle w:val="31"/>
        <w:keepNext w:val="0"/>
        <w:keepLines w:val="0"/>
        <w:pageBreakBefore w:val="0"/>
        <w:widowControl w:val="0"/>
        <w:kinsoku/>
        <w:wordWrap/>
        <w:overflowPunct/>
        <w:topLinePunct w:val="0"/>
        <w:autoSpaceDE/>
        <w:autoSpaceDN/>
        <w:bidi w:val="0"/>
        <w:spacing w:line="360" w:lineRule="auto"/>
        <w:ind w:left="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10.2澄清修改的补充文件中包括原提出的问题及问题的说明意见，但不包括问题的来源。</w:t>
      </w:r>
    </w:p>
    <w:p w14:paraId="346F5076">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10.3投标人澄清要求的提交：投标人认为招标文件使自己的权益受到损害的，可以在知道或应当知其权益受到损害之日起7个工作日内，以书面形式向采购代理机构提出质疑和询问。投标人提出的询问，采购代理机构应当在3个工作日内对投标人依法提出的询问做出答复。投标人提出的质疑，采购代理机构应当在收到投标人的书面质疑后7个工作日内，做出答复，但答复的内容不涉及商业秘密。</w:t>
      </w:r>
    </w:p>
    <w:p w14:paraId="110C3B88">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10.4澄清、修改及其它答复的效力：采购代理机构或者采购人一旦对招标文件做出澄清、修改或进行其它答复，即刻发生效力，有关的补充文件，应当作为招标文件的组成部分，对所有潜在投标人均具有约束力。</w:t>
      </w:r>
    </w:p>
    <w:p w14:paraId="06E13295">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outlineLvl w:val="1"/>
        <w:rPr>
          <w:rFonts w:hint="eastAsia" w:ascii="仿宋" w:hAnsi="仿宋" w:eastAsia="仿宋" w:cs="仿宋"/>
          <w:b/>
          <w:color w:val="auto"/>
          <w:kern w:val="0"/>
          <w:sz w:val="21"/>
          <w:szCs w:val="21"/>
          <w:highlight w:val="none"/>
        </w:rPr>
      </w:pPr>
      <w:bookmarkStart w:id="12" w:name="_Toc117270082"/>
      <w:bookmarkStart w:id="13" w:name="_Toc5439"/>
      <w:r>
        <w:rPr>
          <w:rFonts w:hint="eastAsia" w:ascii="仿宋" w:hAnsi="仿宋" w:eastAsia="仿宋" w:cs="仿宋"/>
          <w:b/>
          <w:color w:val="auto"/>
          <w:kern w:val="0"/>
          <w:sz w:val="21"/>
          <w:szCs w:val="21"/>
          <w:highlight w:val="none"/>
        </w:rPr>
        <w:t>三、投标文件组成与要求</w:t>
      </w:r>
      <w:bookmarkEnd w:id="12"/>
      <w:bookmarkEnd w:id="13"/>
    </w:p>
    <w:p w14:paraId="60459304">
      <w:pPr>
        <w:keepNext w:val="0"/>
        <w:keepLines w:val="0"/>
        <w:pageBreakBefore w:val="0"/>
        <w:widowControl w:val="0"/>
        <w:tabs>
          <w:tab w:val="left" w:pos="0"/>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11.投标文件的组成及相关要求</w:t>
      </w:r>
    </w:p>
    <w:p w14:paraId="58A2D856">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sz w:val="21"/>
          <w:szCs w:val="21"/>
          <w:highlight w:val="none"/>
        </w:rPr>
        <w:t>11.1投标文件由资格证明文件和商务技术文件两部分组成</w:t>
      </w:r>
    </w:p>
    <w:p w14:paraId="3C56D545">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资格证明文件：指投标人提交的证明其有资格参加本项目（包）投标的证明文件。</w:t>
      </w:r>
    </w:p>
    <w:p w14:paraId="3A19CD16">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商务技术文件：指投标人提交的能够证明其中标后有能力履行合同的文件和提供的技术、服务符合本招标文件规定和政策性要求的证明文件。</w:t>
      </w:r>
    </w:p>
    <w:p w14:paraId="338E926F">
      <w:pPr>
        <w:keepNext w:val="0"/>
        <w:keepLines w:val="0"/>
        <w:pageBreakBefore w:val="0"/>
        <w:widowControl w:val="0"/>
        <w:tabs>
          <w:tab w:val="left" w:pos="0"/>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12.</w:t>
      </w:r>
      <w:r>
        <w:rPr>
          <w:rFonts w:hint="eastAsia" w:ascii="仿宋" w:hAnsi="仿宋" w:eastAsia="仿宋" w:cs="仿宋"/>
          <w:b/>
          <w:color w:val="auto"/>
          <w:kern w:val="0"/>
          <w:sz w:val="21"/>
          <w:szCs w:val="21"/>
          <w:highlight w:val="none"/>
          <w:lang w:eastAsia="zh-CN"/>
        </w:rPr>
        <w:t>投标文件</w:t>
      </w:r>
      <w:r>
        <w:rPr>
          <w:rFonts w:hint="eastAsia" w:ascii="仿宋" w:hAnsi="仿宋" w:eastAsia="仿宋" w:cs="仿宋"/>
          <w:b/>
          <w:color w:val="auto"/>
          <w:kern w:val="0"/>
          <w:sz w:val="21"/>
          <w:szCs w:val="21"/>
          <w:highlight w:val="none"/>
        </w:rPr>
        <w:t>的其他要求</w:t>
      </w:r>
    </w:p>
    <w:p w14:paraId="2F600B9C">
      <w:pPr>
        <w:keepNext w:val="0"/>
        <w:keepLines w:val="0"/>
        <w:pageBreakBefore w:val="0"/>
        <w:widowControl w:val="0"/>
        <w:tabs>
          <w:tab w:val="left" w:pos="0"/>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12.1投标文件的语言和计量单位</w:t>
      </w:r>
    </w:p>
    <w:p w14:paraId="6EA3D8C5">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12.1.1投标人提交的投标文件（包括商务、技术文件和资料中的说明等）以及投标人与采购代理机构就有关投标的所有往来函电均应使用中文简体字。</w:t>
      </w:r>
    </w:p>
    <w:p w14:paraId="431EC694">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12.1.2除在招标文件中另有规定，投标文件所使用的计量单位均应使用中华人民共和国法定计量单位。</w:t>
      </w:r>
    </w:p>
    <w:p w14:paraId="148E3F40">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12.1.3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03805664">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b/>
          <w:bCs/>
          <w:color w:val="auto"/>
          <w:kern w:val="0"/>
          <w:sz w:val="21"/>
          <w:szCs w:val="21"/>
          <w:highlight w:val="none"/>
        </w:rPr>
      </w:pPr>
      <w:r>
        <w:rPr>
          <w:rFonts w:hint="eastAsia" w:ascii="仿宋" w:hAnsi="仿宋" w:eastAsia="仿宋" w:cs="仿宋"/>
          <w:color w:val="auto"/>
          <w:kern w:val="0"/>
          <w:sz w:val="21"/>
          <w:szCs w:val="21"/>
          <w:highlight w:val="none"/>
        </w:rPr>
        <w:t>原版为外文的证书类、证明类文件，与投标人名称或其它实际情况不符的，投标人应当提供相关证明文件。</w:t>
      </w:r>
    </w:p>
    <w:p w14:paraId="12133A5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12.2编排要求</w:t>
      </w:r>
    </w:p>
    <w:p w14:paraId="644D949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文件规格幅面（A4）；按照招标文件要求和编排顺序，统一编目、正序编排页码（投标文件中扫描件或影印件及彩色宣传资料等均须与投标文件正文一起逐页编排页码）。由于编排混乱导致投标文件被误读或查找不到，其责任应当由投标人承担。</w:t>
      </w:r>
    </w:p>
    <w:p w14:paraId="4EECC2A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12.3格式要求</w:t>
      </w:r>
    </w:p>
    <w:p w14:paraId="36DD807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本招标文件已提供“投标文件格式”的，应按照格式要求编制（投标人可以对所提供的格式进行扩展，但不得减少格式中要求的内容，否则投标无效），没有提供格式的，投标人自拟。</w:t>
      </w:r>
    </w:p>
    <w:p w14:paraId="70FA15B8">
      <w:pPr>
        <w:keepNext w:val="0"/>
        <w:keepLines w:val="0"/>
        <w:pageBreakBefore w:val="0"/>
        <w:widowControl w:val="0"/>
        <w:tabs>
          <w:tab w:val="left" w:pos="0"/>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12.4投标文件的份数、加密</w:t>
      </w:r>
    </w:p>
    <w:p w14:paraId="5C66A469">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12.4.1投标文件的份数</w:t>
      </w:r>
    </w:p>
    <w:p w14:paraId="62360CD5">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b/>
          <w:color w:val="auto"/>
          <w:kern w:val="0"/>
          <w:sz w:val="21"/>
          <w:szCs w:val="21"/>
          <w:highlight w:val="none"/>
          <w:u w:val="single"/>
        </w:rPr>
      </w:pPr>
      <w:r>
        <w:rPr>
          <w:rFonts w:hint="eastAsia" w:ascii="仿宋" w:hAnsi="仿宋" w:eastAsia="仿宋" w:cs="仿宋"/>
          <w:color w:val="auto"/>
          <w:kern w:val="0"/>
          <w:sz w:val="21"/>
          <w:szCs w:val="21"/>
          <w:highlight w:val="none"/>
        </w:rPr>
        <w:t>本次招标须递交的投标文件份数详见投标人须知前附表。</w:t>
      </w:r>
    </w:p>
    <w:p w14:paraId="665747D0">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12.4.2投标文件加密</w:t>
      </w:r>
    </w:p>
    <w:p w14:paraId="12864AC1">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系统中上传的电子投标文件须使用数字电子CA（单位、法人或个人）进行加密。</w:t>
      </w:r>
    </w:p>
    <w:p w14:paraId="0BD7512D">
      <w:pPr>
        <w:keepNext w:val="0"/>
        <w:keepLines w:val="0"/>
        <w:pageBreakBefore w:val="0"/>
        <w:widowControl w:val="0"/>
        <w:tabs>
          <w:tab w:val="left" w:pos="567"/>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12.5投标保证金</w:t>
      </w:r>
    </w:p>
    <w:p w14:paraId="2300A1A3">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12.5.1本项目是否需要提交投标保证金（详见投标人须知前附表第</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项）。如需提交，投标人应按投标人须知前附表第</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项规定的提交方式在规定时间内足额提交投标保证金，否则</w:t>
      </w:r>
      <w:r>
        <w:rPr>
          <w:rFonts w:hint="eastAsia" w:ascii="仿宋" w:hAnsi="仿宋" w:eastAsia="仿宋" w:cs="仿宋"/>
          <w:b/>
          <w:color w:val="auto"/>
          <w:kern w:val="0"/>
          <w:sz w:val="21"/>
          <w:szCs w:val="21"/>
          <w:highlight w:val="none"/>
        </w:rPr>
        <w:t>投标无效。</w:t>
      </w:r>
    </w:p>
    <w:p w14:paraId="19DE90F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bCs/>
          <w:color w:val="auto"/>
          <w:kern w:val="0"/>
          <w:sz w:val="21"/>
          <w:szCs w:val="21"/>
          <w:highlight w:val="none"/>
        </w:rPr>
        <w:t>12.5.2投标人在投标截止时间前撤回已提交的投标文件的，采购代理机构应当自收到投标人书面撤回通知之日起5个工作日内，退还已收取的投标保证金，但因投标人自身原因导致无法及时退还的除外。</w:t>
      </w:r>
    </w:p>
    <w:p w14:paraId="30AB65E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12.5.3采购代理机构应当自中标通知书发出</w:t>
      </w:r>
      <w:r>
        <w:rPr>
          <w:rFonts w:hint="eastAsia" w:ascii="仿宋" w:hAnsi="仿宋" w:eastAsia="仿宋" w:cs="仿宋"/>
          <w:bCs/>
          <w:color w:val="auto"/>
          <w:kern w:val="0"/>
          <w:sz w:val="21"/>
          <w:szCs w:val="21"/>
          <w:highlight w:val="none"/>
        </w:rPr>
        <w:t>之日起</w:t>
      </w:r>
      <w:r>
        <w:rPr>
          <w:rFonts w:hint="eastAsia" w:ascii="仿宋" w:hAnsi="仿宋" w:eastAsia="仿宋" w:cs="仿宋"/>
          <w:color w:val="auto"/>
          <w:kern w:val="0"/>
          <w:sz w:val="21"/>
          <w:szCs w:val="21"/>
          <w:highlight w:val="none"/>
        </w:rPr>
        <w:t>5个工作日内退还未中标人的投标保证金，自采购合同签订</w:t>
      </w:r>
      <w:r>
        <w:rPr>
          <w:rFonts w:hint="eastAsia" w:ascii="仿宋" w:hAnsi="仿宋" w:eastAsia="仿宋" w:cs="仿宋"/>
          <w:bCs/>
          <w:color w:val="auto"/>
          <w:kern w:val="0"/>
          <w:sz w:val="21"/>
          <w:szCs w:val="21"/>
          <w:highlight w:val="none"/>
        </w:rPr>
        <w:t>之日起</w:t>
      </w:r>
      <w:r>
        <w:rPr>
          <w:rFonts w:hint="eastAsia" w:ascii="仿宋" w:hAnsi="仿宋" w:eastAsia="仿宋" w:cs="仿宋"/>
          <w:color w:val="auto"/>
          <w:kern w:val="0"/>
          <w:sz w:val="21"/>
          <w:szCs w:val="21"/>
          <w:highlight w:val="none"/>
        </w:rPr>
        <w:t>5个工作日内退还中标人的投标保证金</w:t>
      </w:r>
      <w:r>
        <w:rPr>
          <w:rFonts w:hint="eastAsia" w:ascii="仿宋" w:hAnsi="仿宋" w:eastAsia="仿宋" w:cs="仿宋"/>
          <w:bCs/>
          <w:color w:val="auto"/>
          <w:kern w:val="0"/>
          <w:sz w:val="21"/>
          <w:szCs w:val="21"/>
          <w:highlight w:val="none"/>
        </w:rPr>
        <w:t>，但因投标人自身原因导致无法及时退还的除外。</w:t>
      </w:r>
    </w:p>
    <w:p w14:paraId="1C65C49C">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bCs/>
          <w:color w:val="auto"/>
          <w:kern w:val="0"/>
          <w:sz w:val="21"/>
          <w:szCs w:val="21"/>
          <w:highlight w:val="none"/>
        </w:rPr>
      </w:pPr>
      <w:r>
        <w:rPr>
          <w:rFonts w:hint="eastAsia" w:ascii="仿宋" w:hAnsi="仿宋" w:eastAsia="仿宋" w:cs="仿宋"/>
          <w:color w:val="auto"/>
          <w:kern w:val="0"/>
          <w:sz w:val="21"/>
          <w:szCs w:val="21"/>
          <w:highlight w:val="none"/>
        </w:rPr>
        <w:t>12.5.4</w:t>
      </w:r>
      <w:r>
        <w:rPr>
          <w:rFonts w:hint="eastAsia" w:ascii="仿宋" w:hAnsi="仿宋" w:eastAsia="仿宋" w:cs="仿宋"/>
          <w:bCs/>
          <w:color w:val="auto"/>
          <w:kern w:val="0"/>
          <w:sz w:val="21"/>
          <w:szCs w:val="21"/>
          <w:highlight w:val="none"/>
        </w:rPr>
        <w:t>有下列情形之一的，投标保证金不予退还：</w:t>
      </w:r>
    </w:p>
    <w:p w14:paraId="79364B21">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12.5.4.1</w:t>
      </w:r>
      <w:r>
        <w:rPr>
          <w:rFonts w:hint="eastAsia" w:ascii="仿宋" w:hAnsi="仿宋" w:eastAsia="仿宋" w:cs="仿宋"/>
          <w:color w:val="auto"/>
          <w:kern w:val="0"/>
          <w:sz w:val="21"/>
          <w:szCs w:val="21"/>
          <w:highlight w:val="none"/>
        </w:rPr>
        <w:t>投标人在投标文件中提供虚假材料的；</w:t>
      </w:r>
    </w:p>
    <w:p w14:paraId="2E3AD332">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12.5.4.2除因不可抗力或招标文件认可的情形外，中标人不与采购人签订合同的；</w:t>
      </w:r>
    </w:p>
    <w:p w14:paraId="648CDF3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12.5.4.3投标人与采购人、其他投标人或者采购代理机构恶意串通的；</w:t>
      </w:r>
    </w:p>
    <w:p w14:paraId="5B7427E2">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12.5.4.4投标有效期内撤回投标文件的；</w:t>
      </w:r>
    </w:p>
    <w:p w14:paraId="77876CC0">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12.5.4.5招标文件规定的其他情形。</w:t>
      </w:r>
    </w:p>
    <w:p w14:paraId="7AE2AA7B">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12.6投标报价</w:t>
      </w:r>
    </w:p>
    <w:p w14:paraId="59BDA3EB">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12.6.1所有投标报价均以人民币“元”为单位（保留两位小数）。只要投报了一个确定数额的总价，无论分项价格是否全部填报了相应的金额或免费字样，报价应被视为已经包含了但并不限于货物价格、将中标货物送到采购人指定地点所发生的运费及验收、技术培训、保险、售后服务以及相关税费等所有费用。由于分项报价填报不完整、不清楚或存在其它任何失误，所导致的任何不利后果均应当由投标人自行承担。</w:t>
      </w:r>
    </w:p>
    <w:p w14:paraId="409090E5">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12.6.2投标人应按报价要求的内容及其他事项认真填报开标一览表。</w:t>
      </w:r>
    </w:p>
    <w:p w14:paraId="389EE084">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12.6.3投标人投报多包的，应对每包内容分别填报，不得拆包分项投标。</w:t>
      </w:r>
    </w:p>
    <w:p w14:paraId="7C0D289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12.6.4本次招标不接受可选择或可调整的投标和报价。</w:t>
      </w:r>
    </w:p>
    <w:p w14:paraId="42AFA06B">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12.6.5本项目采用综合评分法，最低报价不能作为中标的保证。</w:t>
      </w:r>
    </w:p>
    <w:p w14:paraId="463EF184">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12.6.6进口货物在进口过程中，若需向海关提交报关等手续，采购人负责提供相关材料。</w:t>
      </w:r>
    </w:p>
    <w:p w14:paraId="431802C7">
      <w:pPr>
        <w:keepNext w:val="0"/>
        <w:keepLines w:val="0"/>
        <w:pageBreakBefore w:val="0"/>
        <w:widowControl w:val="0"/>
        <w:tabs>
          <w:tab w:val="left" w:pos="0"/>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 xml:space="preserve">13.投标内容填写说明 </w:t>
      </w:r>
    </w:p>
    <w:p w14:paraId="3D309A7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13.1投标人应详细阅读招标文件的全部内容，投标文件应对本招标文件中的内容做出实质性和完整性的响应。</w:t>
      </w:r>
    </w:p>
    <w:p w14:paraId="3109912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13.2投标文件应按招标文件提供的统一格式逐项填写；</w:t>
      </w:r>
      <w:r>
        <w:rPr>
          <w:rFonts w:hint="eastAsia" w:ascii="仿宋" w:hAnsi="仿宋" w:eastAsia="仿宋" w:cs="仿宋"/>
          <w:color w:val="auto"/>
          <w:sz w:val="21"/>
          <w:szCs w:val="21"/>
          <w:highlight w:val="none"/>
        </w:rPr>
        <w:t>不准有空项、缺项；</w:t>
      </w:r>
      <w:r>
        <w:rPr>
          <w:rFonts w:hint="eastAsia" w:ascii="仿宋" w:hAnsi="仿宋" w:eastAsia="仿宋" w:cs="仿宋"/>
          <w:color w:val="auto"/>
          <w:kern w:val="0"/>
          <w:sz w:val="21"/>
          <w:szCs w:val="21"/>
          <w:highlight w:val="none"/>
        </w:rPr>
        <w:t>无相应内容可填的项，填写“无”、“未测试”、“没有相应指标”、“/”等明确的回答。</w:t>
      </w:r>
      <w:r>
        <w:rPr>
          <w:rFonts w:hint="eastAsia" w:ascii="仿宋" w:hAnsi="仿宋" w:eastAsia="仿宋" w:cs="仿宋"/>
          <w:color w:val="auto"/>
          <w:sz w:val="21"/>
          <w:szCs w:val="21"/>
          <w:highlight w:val="none"/>
        </w:rPr>
        <w:t>投标文件未按规定提交或留有空项，将被视为不完整响应的投标文件，其投标文件有可能被拒绝。</w:t>
      </w:r>
    </w:p>
    <w:p w14:paraId="2D0EF53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13.3开标一览表为在开标仪式上唱标的内容，要求统一填写，除不得自行增减表头内容外，可根据填报情况变换表格格式（指横排或竖排）和增减行。</w:t>
      </w:r>
    </w:p>
    <w:p w14:paraId="2721309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13.4投标人必须保证投标文件所提供的全部资料真实有效，并接受评标委员会对其中任何资料进一步审查的要求，且承担相应的法律责任。</w:t>
      </w:r>
    </w:p>
    <w:p w14:paraId="2F78467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13.5因投标文件字迹潦草、提交资料不清晰或表达不清楚所引起的不利后果由投标人承担。</w:t>
      </w:r>
    </w:p>
    <w:p w14:paraId="645579B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13.6为提倡诚实信用的投标行为，特别要求投标人应本着诚信原则，在本次投标文件的偏离表中（若本次招标文件中没有提供偏离表或其它偏离文件样本，投标人亦应当自制偏离表并附于本次投标文件中，并应当在总目录及分目录上清楚表明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49A7825A">
      <w:pPr>
        <w:keepNext w:val="0"/>
        <w:keepLines w:val="0"/>
        <w:pageBreakBefore w:val="0"/>
        <w:widowControl w:val="0"/>
        <w:tabs>
          <w:tab w:val="left" w:pos="0"/>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14.投标文件的有效期</w:t>
      </w:r>
    </w:p>
    <w:p w14:paraId="73F77E3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14.1本项目投标文件的有效期见投标人须知前附表第</w:t>
      </w:r>
      <w:r>
        <w:rPr>
          <w:rFonts w:hint="eastAsia" w:ascii="仿宋" w:hAnsi="仿宋" w:eastAsia="仿宋" w:cs="仿宋"/>
          <w:color w:val="auto"/>
          <w:kern w:val="0"/>
          <w:sz w:val="21"/>
          <w:szCs w:val="21"/>
          <w:highlight w:val="none"/>
          <w:lang w:val="en-US" w:eastAsia="zh-CN"/>
        </w:rPr>
        <w:t>9</w:t>
      </w:r>
      <w:r>
        <w:rPr>
          <w:rFonts w:hint="eastAsia" w:ascii="仿宋" w:hAnsi="仿宋" w:eastAsia="仿宋" w:cs="仿宋"/>
          <w:color w:val="auto"/>
          <w:kern w:val="0"/>
          <w:sz w:val="21"/>
          <w:szCs w:val="21"/>
          <w:highlight w:val="none"/>
        </w:rPr>
        <w:t>项。有效期短于该规定期限的投标文件投标无效。</w:t>
      </w:r>
    </w:p>
    <w:p w14:paraId="626CF2D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14.2投标有效期从提交投标文件的截止之日起算。</w:t>
      </w:r>
    </w:p>
    <w:p w14:paraId="609076A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14.3如果出现特殊情况，采购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04405E00">
      <w:pPr>
        <w:keepNext w:val="0"/>
        <w:keepLines w:val="0"/>
        <w:pageBreakBefore w:val="0"/>
        <w:widowControl w:val="0"/>
        <w:tabs>
          <w:tab w:val="left" w:pos="0"/>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15. 投标文件的签署及规定</w:t>
      </w:r>
    </w:p>
    <w:p w14:paraId="56318C9B">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15.1组成投标文件的各项文件均应遵守本条规定。</w:t>
      </w:r>
    </w:p>
    <w:p w14:paraId="3A563C5D">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15.2投标人在投标文件及相关文件的签订、履行、通知等事项的书面文件中的“单位盖章”、“印章”、“公章”等处均仅指与投标人名称全称相一致的</w:t>
      </w:r>
      <w:r>
        <w:rPr>
          <w:rFonts w:hint="eastAsia" w:ascii="仿宋" w:hAnsi="仿宋" w:eastAsia="仿宋" w:cs="仿宋"/>
          <w:color w:val="auto"/>
          <w:sz w:val="21"/>
          <w:szCs w:val="21"/>
          <w:highlight w:val="none"/>
        </w:rPr>
        <w:t>电子CA章</w:t>
      </w:r>
      <w:r>
        <w:rPr>
          <w:rFonts w:hint="eastAsia" w:ascii="仿宋" w:hAnsi="仿宋" w:eastAsia="仿宋" w:cs="仿宋"/>
          <w:color w:val="auto"/>
          <w:kern w:val="0"/>
          <w:sz w:val="21"/>
          <w:szCs w:val="21"/>
          <w:highlight w:val="none"/>
        </w:rPr>
        <w:t>，不得使用其它（如带有“专用章”等字样）的印章，否则按无效投标处理。</w:t>
      </w:r>
    </w:p>
    <w:p w14:paraId="6561A790">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15.3投标人应在投标文件中按照招标文件要求，在指定的位置进行签署，否则作为无效投标处理。</w:t>
      </w:r>
    </w:p>
    <w:p w14:paraId="075B460C">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15.4投标文件应字迹清楚、内容齐全、不得涂改或增删。如有修改和增删，必须加盖投标人</w:t>
      </w:r>
      <w:r>
        <w:rPr>
          <w:rFonts w:hint="eastAsia" w:ascii="仿宋" w:hAnsi="仿宋" w:eastAsia="仿宋" w:cs="仿宋"/>
          <w:color w:val="auto"/>
          <w:sz w:val="21"/>
          <w:szCs w:val="21"/>
          <w:highlight w:val="none"/>
        </w:rPr>
        <w:t>电子CA章或法定代表人或其授权的投标人授权代表签署</w:t>
      </w:r>
      <w:r>
        <w:rPr>
          <w:rFonts w:hint="eastAsia" w:ascii="仿宋" w:hAnsi="仿宋" w:eastAsia="仿宋" w:cs="仿宋"/>
          <w:color w:val="auto"/>
          <w:kern w:val="0"/>
          <w:sz w:val="21"/>
          <w:szCs w:val="21"/>
          <w:highlight w:val="none"/>
        </w:rPr>
        <w:t>。</w:t>
      </w:r>
    </w:p>
    <w:p w14:paraId="2EC4F4BA">
      <w:pPr>
        <w:keepNext w:val="0"/>
        <w:keepLines w:val="0"/>
        <w:pageBreakBefore w:val="0"/>
        <w:widowControl w:val="0"/>
        <w:kinsoku/>
        <w:wordWrap/>
        <w:overflowPunct/>
        <w:topLinePunct w:val="0"/>
        <w:autoSpaceDE/>
        <w:autoSpaceDN/>
        <w:bidi w:val="0"/>
        <w:snapToGrid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15.5因投标文件字迹潦草或表达不清所引起的不利后果由投标人承担。</w:t>
      </w:r>
    </w:p>
    <w:p w14:paraId="284FA0F3">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outlineLvl w:val="1"/>
        <w:rPr>
          <w:rFonts w:hint="eastAsia" w:ascii="仿宋" w:hAnsi="仿宋" w:eastAsia="仿宋" w:cs="仿宋"/>
          <w:b/>
          <w:color w:val="auto"/>
          <w:kern w:val="0"/>
          <w:sz w:val="21"/>
          <w:szCs w:val="21"/>
          <w:highlight w:val="none"/>
        </w:rPr>
      </w:pPr>
      <w:bookmarkStart w:id="14" w:name="_Toc117270083"/>
      <w:bookmarkStart w:id="15" w:name="_Toc16148"/>
      <w:r>
        <w:rPr>
          <w:rFonts w:hint="eastAsia" w:ascii="仿宋" w:hAnsi="仿宋" w:eastAsia="仿宋" w:cs="仿宋"/>
          <w:b/>
          <w:color w:val="auto"/>
          <w:kern w:val="0"/>
          <w:sz w:val="21"/>
          <w:szCs w:val="21"/>
          <w:highlight w:val="none"/>
        </w:rPr>
        <w:t>四、投标文件上传截止时间、解密及其他</w:t>
      </w:r>
      <w:bookmarkEnd w:id="14"/>
      <w:bookmarkEnd w:id="15"/>
    </w:p>
    <w:p w14:paraId="0F73E49F">
      <w:pPr>
        <w:keepNext w:val="0"/>
        <w:keepLines w:val="0"/>
        <w:pageBreakBefore w:val="0"/>
        <w:widowControl w:val="0"/>
        <w:tabs>
          <w:tab w:val="left" w:pos="0"/>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16.投标文件上传截止时间</w:t>
      </w:r>
    </w:p>
    <w:p w14:paraId="3473BD93">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bCs/>
          <w:color w:val="auto"/>
          <w:kern w:val="0"/>
          <w:sz w:val="21"/>
          <w:szCs w:val="21"/>
          <w:highlight w:val="none"/>
        </w:rPr>
        <w:t>16.1投标</w:t>
      </w:r>
      <w:r>
        <w:rPr>
          <w:rFonts w:hint="eastAsia" w:ascii="仿宋" w:hAnsi="仿宋" w:eastAsia="仿宋" w:cs="仿宋"/>
          <w:color w:val="auto"/>
          <w:kern w:val="0"/>
          <w:sz w:val="21"/>
          <w:szCs w:val="21"/>
          <w:highlight w:val="none"/>
        </w:rPr>
        <w:t>人应当在招标文件要求上传投标文件的截止时间前（详见投标人须知前附表），将加密电子投标文件及补充修改文件（如有的话）在“</w:t>
      </w:r>
      <w:r>
        <w:rPr>
          <w:rFonts w:hint="eastAsia" w:ascii="仿宋" w:hAnsi="仿宋" w:eastAsia="仿宋" w:cs="仿宋"/>
          <w:color w:val="auto"/>
          <w:sz w:val="21"/>
          <w:szCs w:val="21"/>
          <w:highlight w:val="none"/>
        </w:rPr>
        <w:t>政采云系统</w:t>
      </w:r>
      <w:r>
        <w:rPr>
          <w:rFonts w:hint="eastAsia" w:ascii="仿宋" w:hAnsi="仿宋" w:eastAsia="仿宋" w:cs="仿宋"/>
          <w:color w:val="auto"/>
          <w:kern w:val="0"/>
          <w:sz w:val="21"/>
          <w:szCs w:val="21"/>
          <w:highlight w:val="none"/>
        </w:rPr>
        <w:t>”完成上传。任何单位和个人不得在开标前解密投标文件。</w:t>
      </w:r>
    </w:p>
    <w:p w14:paraId="7B2F17DA">
      <w:pPr>
        <w:keepNext w:val="0"/>
        <w:keepLines w:val="0"/>
        <w:pageBreakBefore w:val="0"/>
        <w:widowControl w:val="0"/>
        <w:tabs>
          <w:tab w:val="left" w:pos="0"/>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17.投标文件解密及其他</w:t>
      </w:r>
    </w:p>
    <w:p w14:paraId="67D6418F">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17.1采购代理机构在解密开始时间发出解密指令，投标人接到解密信息后，在规定的解密时间内使用加密电子文件时的电子CA进行</w:t>
      </w:r>
      <w:r>
        <w:rPr>
          <w:rFonts w:hint="eastAsia" w:ascii="仿宋" w:hAnsi="仿宋" w:eastAsia="仿宋" w:cs="仿宋"/>
          <w:bCs/>
          <w:color w:val="auto"/>
          <w:kern w:val="0"/>
          <w:sz w:val="21"/>
          <w:szCs w:val="21"/>
          <w:highlight w:val="none"/>
        </w:rPr>
        <w:t>解密（可远程解密）。</w:t>
      </w:r>
    </w:p>
    <w:p w14:paraId="57EF46CC">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17.2由于投标人原因，未在规定时间内完成电子投标文件解密的，视为未递交投标文件，投标无效。</w:t>
      </w:r>
    </w:p>
    <w:p w14:paraId="5D144C0C">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17.3</w:t>
      </w:r>
      <w:r>
        <w:rPr>
          <w:rFonts w:hint="eastAsia" w:ascii="仿宋" w:hAnsi="仿宋" w:eastAsia="仿宋" w:cs="仿宋"/>
          <w:bCs/>
          <w:color w:val="auto"/>
          <w:kern w:val="0"/>
          <w:sz w:val="21"/>
          <w:szCs w:val="21"/>
          <w:highlight w:val="none"/>
        </w:rPr>
        <w:t>解密截止时间后，投标人将无法对投标文件进行解密。除特殊情形需请示财政部门采用其他方式外，采购代理机构不得以任何理由延长解密时间。</w:t>
      </w:r>
    </w:p>
    <w:p w14:paraId="204607B0">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17.4在投标文件解密截止时间，完成解密的投标人不足法定家数时，不得进行下一步评审程序。</w:t>
      </w:r>
    </w:p>
    <w:p w14:paraId="572BFF3C">
      <w:pPr>
        <w:keepNext w:val="0"/>
        <w:keepLines w:val="0"/>
        <w:pageBreakBefore w:val="0"/>
        <w:widowControl w:val="0"/>
        <w:tabs>
          <w:tab w:val="left" w:pos="0"/>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18. 投标文件的补充、修改和撤回</w:t>
      </w:r>
    </w:p>
    <w:p w14:paraId="5F397570">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18.1投标人在投标文件上传截止时间前，可以对投标文件进行补充、修改，补充、修改的内容作为投标文件的组成部分。补充、修改内容需在“</w:t>
      </w:r>
      <w:r>
        <w:rPr>
          <w:rFonts w:hint="eastAsia" w:ascii="仿宋" w:hAnsi="仿宋" w:eastAsia="仿宋" w:cs="仿宋"/>
          <w:color w:val="auto"/>
          <w:sz w:val="21"/>
          <w:szCs w:val="21"/>
          <w:highlight w:val="none"/>
        </w:rPr>
        <w:t>政采云系统</w:t>
      </w:r>
      <w:r>
        <w:rPr>
          <w:rFonts w:hint="eastAsia" w:ascii="仿宋" w:hAnsi="仿宋" w:eastAsia="仿宋" w:cs="仿宋"/>
          <w:color w:val="auto"/>
          <w:kern w:val="0"/>
          <w:sz w:val="21"/>
          <w:szCs w:val="21"/>
          <w:highlight w:val="none"/>
        </w:rPr>
        <w:t>”中加密上传，未进行上传的补充、修改内容无效。</w:t>
      </w:r>
    </w:p>
    <w:p w14:paraId="570DD686">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18.2补充、修改的内容应当按照招标文件要求签署、盖章，否则，按无效处理。</w:t>
      </w:r>
    </w:p>
    <w:p w14:paraId="6928DF02">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18.3在投标文件上传截止时间之后，投标人不得对其递交的投标文件（含补充、修改文件）进行撤回。</w:t>
      </w:r>
    </w:p>
    <w:p w14:paraId="2AB2FB1C">
      <w:pPr>
        <w:keepNext w:val="0"/>
        <w:keepLines w:val="0"/>
        <w:pageBreakBefore w:val="0"/>
        <w:widowControl w:val="0"/>
        <w:tabs>
          <w:tab w:val="left" w:pos="0"/>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19.开标及其有关事项</w:t>
      </w:r>
    </w:p>
    <w:p w14:paraId="13A19011">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19.1上传投标文件截止时间后，由采购代理机构发出解密指令，</w:t>
      </w:r>
      <w:r>
        <w:rPr>
          <w:rFonts w:hint="eastAsia" w:ascii="仿宋" w:hAnsi="仿宋" w:eastAsia="仿宋" w:cs="仿宋"/>
          <w:bCs/>
          <w:color w:val="auto"/>
          <w:kern w:val="0"/>
          <w:sz w:val="21"/>
          <w:szCs w:val="21"/>
          <w:highlight w:val="none"/>
        </w:rPr>
        <w:t>并且对开标现场活动进行全程录音录像。录音录像应当清晰可辨，音像资料作为采购文件一并存档。</w:t>
      </w:r>
    </w:p>
    <w:p w14:paraId="5BDE9DAB">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bCs/>
          <w:color w:val="auto"/>
          <w:kern w:val="0"/>
          <w:sz w:val="21"/>
          <w:szCs w:val="21"/>
          <w:highlight w:val="none"/>
        </w:rPr>
      </w:pPr>
      <w:r>
        <w:rPr>
          <w:rFonts w:hint="eastAsia" w:ascii="仿宋" w:hAnsi="仿宋" w:eastAsia="仿宋" w:cs="仿宋"/>
          <w:color w:val="auto"/>
          <w:kern w:val="0"/>
          <w:sz w:val="21"/>
          <w:szCs w:val="21"/>
          <w:highlight w:val="none"/>
        </w:rPr>
        <w:t>19.2</w:t>
      </w:r>
      <w:r>
        <w:rPr>
          <w:rFonts w:hint="eastAsia" w:ascii="仿宋" w:hAnsi="仿宋" w:eastAsia="仿宋" w:cs="仿宋"/>
          <w:bCs/>
          <w:color w:val="auto"/>
          <w:kern w:val="0"/>
          <w:sz w:val="21"/>
          <w:szCs w:val="21"/>
          <w:highlight w:val="none"/>
        </w:rPr>
        <w:t>评标委员会成员和参与评标的采购人代表不得参加开标活动。</w:t>
      </w:r>
    </w:p>
    <w:p w14:paraId="27A648B6">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19.3</w:t>
      </w:r>
      <w:r>
        <w:rPr>
          <w:rFonts w:hint="eastAsia" w:ascii="仿宋" w:hAnsi="仿宋" w:eastAsia="仿宋" w:cs="仿宋"/>
          <w:color w:val="auto"/>
          <w:kern w:val="0"/>
          <w:sz w:val="21"/>
          <w:szCs w:val="21"/>
          <w:highlight w:val="none"/>
        </w:rPr>
        <w:t>参加开标活动的授权代表必须在投标人签到表上签到以证明其出席（如有）。</w:t>
      </w:r>
    </w:p>
    <w:p w14:paraId="447AE09C">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bCs/>
          <w:color w:val="auto"/>
          <w:kern w:val="0"/>
          <w:sz w:val="21"/>
          <w:szCs w:val="21"/>
          <w:highlight w:val="none"/>
        </w:rPr>
        <w:t>19.4</w:t>
      </w:r>
      <w:r>
        <w:rPr>
          <w:rFonts w:hint="eastAsia" w:ascii="仿宋" w:hAnsi="仿宋" w:eastAsia="仿宋" w:cs="仿宋"/>
          <w:color w:val="auto"/>
          <w:kern w:val="0"/>
          <w:sz w:val="21"/>
          <w:szCs w:val="21"/>
          <w:highlight w:val="none"/>
        </w:rPr>
        <w:t>解密结束后，投标人在“政采云”系统中对其报价进行确认，采购代理机构打印报价结果。</w:t>
      </w:r>
    </w:p>
    <w:p w14:paraId="2E6F484C">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19.5</w:t>
      </w:r>
      <w:r>
        <w:rPr>
          <w:rFonts w:hint="eastAsia" w:ascii="仿宋" w:hAnsi="仿宋" w:eastAsia="仿宋" w:cs="仿宋"/>
          <w:bCs/>
          <w:color w:val="auto"/>
          <w:kern w:val="0"/>
          <w:sz w:val="21"/>
          <w:szCs w:val="21"/>
          <w:highlight w:val="none"/>
        </w:rPr>
        <w:t>“开标一览表”中内容存在空白的；未按招标文件格式要求进行填报的；存在缺项、漏项的；存在投标报价超过本包最高限价的；存在报价标的与采购标的不一致的等情形，均将导致投标无效。</w:t>
      </w:r>
    </w:p>
    <w:p w14:paraId="394342E2">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bCs/>
          <w:color w:val="auto"/>
          <w:kern w:val="0"/>
          <w:sz w:val="21"/>
          <w:szCs w:val="21"/>
          <w:highlight w:val="none"/>
        </w:rPr>
        <w:t>19.6投标人未对投标报价进行确认的，视同认可开标结果。</w:t>
      </w:r>
    </w:p>
    <w:p w14:paraId="276DAF7F">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19.7“报价结果”</w:t>
      </w:r>
      <w:r>
        <w:rPr>
          <w:rFonts w:hint="eastAsia" w:ascii="仿宋" w:hAnsi="仿宋" w:eastAsia="仿宋" w:cs="仿宋"/>
          <w:color w:val="auto"/>
          <w:kern w:val="0"/>
          <w:sz w:val="21"/>
          <w:szCs w:val="21"/>
          <w:highlight w:val="none"/>
        </w:rPr>
        <w:t>随采购文件一并存档。</w:t>
      </w:r>
    </w:p>
    <w:p w14:paraId="480A7C1E">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outlineLvl w:val="1"/>
        <w:rPr>
          <w:rFonts w:hint="eastAsia" w:ascii="仿宋" w:hAnsi="仿宋" w:eastAsia="仿宋" w:cs="仿宋"/>
          <w:b/>
          <w:bCs/>
          <w:color w:val="auto"/>
          <w:kern w:val="0"/>
          <w:sz w:val="21"/>
          <w:szCs w:val="21"/>
          <w:highlight w:val="none"/>
        </w:rPr>
      </w:pPr>
      <w:bookmarkStart w:id="16" w:name="_Toc117270084"/>
      <w:bookmarkStart w:id="17" w:name="_Toc2122"/>
      <w:r>
        <w:rPr>
          <w:rFonts w:hint="eastAsia" w:ascii="仿宋" w:hAnsi="仿宋" w:eastAsia="仿宋" w:cs="仿宋"/>
          <w:b/>
          <w:color w:val="auto"/>
          <w:kern w:val="0"/>
          <w:sz w:val="21"/>
          <w:szCs w:val="21"/>
          <w:highlight w:val="none"/>
        </w:rPr>
        <w:t>五、资格审查小组、评标委员会组成与职责</w:t>
      </w:r>
      <w:bookmarkEnd w:id="16"/>
      <w:bookmarkEnd w:id="17"/>
    </w:p>
    <w:p w14:paraId="72BA6DE8">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20.资格审查小组和</w:t>
      </w:r>
      <w:r>
        <w:rPr>
          <w:rFonts w:hint="eastAsia" w:ascii="仿宋" w:hAnsi="仿宋" w:eastAsia="仿宋" w:cs="仿宋"/>
          <w:color w:val="auto"/>
          <w:kern w:val="0"/>
          <w:sz w:val="21"/>
          <w:szCs w:val="21"/>
          <w:highlight w:val="none"/>
        </w:rPr>
        <w:t>评标委员会组成</w:t>
      </w:r>
    </w:p>
    <w:p w14:paraId="6806B69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20.1资格审查小组组成</w:t>
      </w:r>
    </w:p>
    <w:p w14:paraId="3D53AB1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bCs/>
          <w:color w:val="auto"/>
          <w:kern w:val="0"/>
          <w:sz w:val="21"/>
          <w:szCs w:val="21"/>
          <w:highlight w:val="none"/>
        </w:rPr>
        <w:t>20.1.1资格审查小组由采购人或采购代理机构人员组成。</w:t>
      </w:r>
    </w:p>
    <w:p w14:paraId="16D691DC">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20.2评标委员会组成</w:t>
      </w:r>
    </w:p>
    <w:p w14:paraId="379800FD">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20.2.1采购代理机构根据相关法律法规和本招标文件的规定，结合本招标项目的特点组建评标委员会，评标委员会由采购人代表和评审专家共五人以上单数组成，其中评审专家不得少于成员总数的三分之二。</w:t>
      </w:r>
    </w:p>
    <w:p w14:paraId="3E2EF932">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20.2.2评审专家对本单位的采购项目只能作为采购人代表参与评标，法律规定的情形除外。</w:t>
      </w:r>
    </w:p>
    <w:p w14:paraId="65BA556F">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20.2.3采购代理机构工作人员不得参加由本机构代理的政府采购项目的评标。</w:t>
      </w:r>
    </w:p>
    <w:p w14:paraId="45826F77">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20.2.4评标委员会成员名单在评标结果公告前应当保密。</w:t>
      </w:r>
    </w:p>
    <w:p w14:paraId="71BAAAF9">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bCs/>
          <w:color w:val="auto"/>
          <w:kern w:val="0"/>
          <w:sz w:val="21"/>
          <w:szCs w:val="21"/>
          <w:highlight w:val="none"/>
        </w:rPr>
      </w:pPr>
      <w:r>
        <w:rPr>
          <w:rFonts w:hint="eastAsia" w:ascii="仿宋" w:hAnsi="仿宋" w:eastAsia="仿宋" w:cs="仿宋"/>
          <w:color w:val="auto"/>
          <w:kern w:val="0"/>
          <w:sz w:val="21"/>
          <w:szCs w:val="21"/>
          <w:highlight w:val="none"/>
        </w:rPr>
        <w:t>20.2.5评审专家由采购代理机构从</w:t>
      </w:r>
      <w:r>
        <w:rPr>
          <w:rFonts w:hint="eastAsia" w:ascii="仿宋" w:hAnsi="仿宋" w:eastAsia="仿宋" w:cs="仿宋"/>
          <w:color w:val="auto"/>
          <w:kern w:val="0"/>
          <w:sz w:val="21"/>
          <w:szCs w:val="21"/>
          <w:highlight w:val="none"/>
          <w:u w:val="single"/>
        </w:rPr>
        <w:t>山西省财政厅专家库管理系统</w:t>
      </w:r>
      <w:r>
        <w:rPr>
          <w:rFonts w:hint="eastAsia" w:ascii="仿宋" w:hAnsi="仿宋" w:eastAsia="仿宋" w:cs="仿宋"/>
          <w:color w:val="auto"/>
          <w:kern w:val="0"/>
          <w:sz w:val="21"/>
          <w:szCs w:val="21"/>
          <w:highlight w:val="none"/>
        </w:rPr>
        <w:t>中，通过随机方式抽取。对技术复杂、专业性强的采购项目，通过随机方式难以确定合适评审专家的，</w:t>
      </w:r>
      <w:r>
        <w:rPr>
          <w:rFonts w:hint="eastAsia" w:ascii="仿宋" w:hAnsi="仿宋" w:eastAsia="仿宋" w:cs="仿宋"/>
          <w:bCs/>
          <w:color w:val="auto"/>
          <w:kern w:val="0"/>
          <w:sz w:val="21"/>
          <w:szCs w:val="21"/>
          <w:highlight w:val="none"/>
        </w:rPr>
        <w:t>经主管预算单位同意，采购人可以自行选定相应专业领域的评审专家。</w:t>
      </w:r>
    </w:p>
    <w:p w14:paraId="3A325482">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20.2.6评标中因评标委员会成员缺席、回避或者健康等特殊原因导致评标委员会组成不符合相关法律规定的，采购代理机构应当依法补足后继续评标。被更换的评标委员会成员所作出的评标意见无效。</w:t>
      </w:r>
    </w:p>
    <w:p w14:paraId="5834BE73">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20.2.7无法及时补足评标委员会成员的，采购代理机构应当停止评标活动，封存所有投标文件和开标、评标资料，依法重新组建评标委员会进行评标。原评标委员会所作出的评标意见无效。</w:t>
      </w:r>
    </w:p>
    <w:p w14:paraId="66C76122">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20.2.8采购代理机构应当将变更、重新组建评标委员会的情况予以记录，并随招标资料一并存档。</w:t>
      </w:r>
    </w:p>
    <w:p w14:paraId="60B4CC06">
      <w:pPr>
        <w:keepNext w:val="0"/>
        <w:keepLines w:val="0"/>
        <w:pageBreakBefore w:val="0"/>
        <w:widowControl w:val="0"/>
        <w:tabs>
          <w:tab w:val="left" w:pos="0"/>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20.3审查小组和评审委员会职责</w:t>
      </w:r>
    </w:p>
    <w:p w14:paraId="07D9F95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20.3.1资格审查小组按照本项目的“评审方法与评审标准”对投标人的资格证明文件的有效性、符合性进行审核。</w:t>
      </w:r>
    </w:p>
    <w:p w14:paraId="4E6FAB71">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Cs/>
          <w:color w:val="auto"/>
          <w:kern w:val="0"/>
          <w:sz w:val="21"/>
          <w:szCs w:val="21"/>
          <w:highlight w:val="none"/>
        </w:rPr>
        <w:t>20.3.2评标委员会对3家及以上资格性审查合格投标人的商务技术文件按照本项目的“评审方法与评审标准”进行符合性审查，并对符合性审查合格的3家及以上投标人的商务技术文件，按照招标文件中规定的评标标准和评标办法进行评估和比较。</w:t>
      </w:r>
    </w:p>
    <w:p w14:paraId="3850E82F">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firstLine="422" w:firstLineChars="200"/>
        <w:jc w:val="left"/>
        <w:textAlignment w:val="auto"/>
        <w:outlineLvl w:val="1"/>
        <w:rPr>
          <w:rFonts w:hint="eastAsia" w:ascii="仿宋" w:hAnsi="仿宋" w:eastAsia="仿宋" w:cs="仿宋"/>
          <w:b/>
          <w:color w:val="auto"/>
          <w:kern w:val="0"/>
          <w:sz w:val="21"/>
          <w:szCs w:val="21"/>
          <w:highlight w:val="none"/>
        </w:rPr>
      </w:pPr>
      <w:bookmarkStart w:id="18" w:name="_Toc5453"/>
      <w:bookmarkStart w:id="19" w:name="_Toc30458"/>
      <w:bookmarkStart w:id="20" w:name="_Toc117270085"/>
      <w:r>
        <w:rPr>
          <w:rFonts w:hint="eastAsia" w:ascii="仿宋" w:hAnsi="仿宋" w:eastAsia="仿宋" w:cs="仿宋"/>
          <w:b/>
          <w:color w:val="auto"/>
          <w:kern w:val="0"/>
          <w:sz w:val="21"/>
          <w:szCs w:val="21"/>
          <w:highlight w:val="none"/>
        </w:rPr>
        <w:t>六、资格、商务技术评审</w:t>
      </w:r>
      <w:bookmarkEnd w:id="18"/>
      <w:bookmarkEnd w:id="19"/>
      <w:bookmarkEnd w:id="20"/>
    </w:p>
    <w:p w14:paraId="0D2494C4">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评标委员会对招标文件内容进行合法性、规范性、公平性审查，发现招标文件存在歧义、重大缺陷导致评标工作无法进行，或者招标文件内容存在违反国家有关强制性规定的，或者存在有歧视性、限定性条款的，应当停止评标工作，与采购人或者采购代理机构沟通并作书面记录。采购代理机构确认后，应当修改招标文件，重新组织采购活动。</w:t>
      </w:r>
    </w:p>
    <w:p w14:paraId="450254D0">
      <w:pPr>
        <w:keepNext w:val="0"/>
        <w:keepLines w:val="0"/>
        <w:pageBreakBefore w:val="0"/>
        <w:widowControl w:val="0"/>
        <w:tabs>
          <w:tab w:val="left" w:pos="0"/>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21.1资格证明文件的评审</w:t>
      </w:r>
    </w:p>
    <w:p w14:paraId="3DD43C70">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bCs/>
          <w:color w:val="auto"/>
          <w:kern w:val="0"/>
          <w:sz w:val="21"/>
          <w:szCs w:val="21"/>
          <w:highlight w:val="none"/>
        </w:rPr>
        <w:t>21.1.1</w:t>
      </w:r>
      <w:r>
        <w:rPr>
          <w:rFonts w:hint="eastAsia" w:ascii="仿宋" w:hAnsi="仿宋" w:eastAsia="仿宋" w:cs="仿宋"/>
          <w:color w:val="auto"/>
          <w:kern w:val="0"/>
          <w:sz w:val="21"/>
          <w:szCs w:val="21"/>
          <w:highlight w:val="none"/>
        </w:rPr>
        <w:t>解密结束后，</w:t>
      </w:r>
      <w:r>
        <w:rPr>
          <w:rFonts w:hint="eastAsia" w:ascii="仿宋" w:hAnsi="仿宋" w:eastAsia="仿宋" w:cs="仿宋"/>
          <w:color w:val="auto"/>
          <w:kern w:val="0"/>
          <w:sz w:val="21"/>
          <w:szCs w:val="21"/>
          <w:highlight w:val="none"/>
          <w:lang w:val="en-US" w:eastAsia="zh-CN"/>
        </w:rPr>
        <w:t>资格审查小组</w:t>
      </w:r>
      <w:r>
        <w:rPr>
          <w:rFonts w:hint="eastAsia" w:ascii="仿宋" w:hAnsi="仿宋" w:eastAsia="仿宋" w:cs="仿宋"/>
          <w:color w:val="auto"/>
          <w:kern w:val="0"/>
          <w:sz w:val="21"/>
          <w:szCs w:val="21"/>
          <w:highlight w:val="none"/>
        </w:rPr>
        <w:t>依法按照招标文件中规定的“评审标准和评审办法”对投标人的资格证明文件的有效性、符合性进行审查，以确定各投标人是否是符合招标文件要求的合格投标人。合格投标人不足3家的，不得进入商务技术评审。</w:t>
      </w:r>
    </w:p>
    <w:p w14:paraId="12ED6EA9">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21.1.2资格审查人员对投标文件的判定，只依据投标人的资格性证明文件内容本身（需要进行网上查询核实的证明材料除外）。</w:t>
      </w:r>
    </w:p>
    <w:p w14:paraId="2359AB1E">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21.1.3对投标人须知前附表第</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项中有资格证明文件不合格的或未对其要求做出明确响应的，</w:t>
      </w:r>
      <w:r>
        <w:rPr>
          <w:rFonts w:hint="eastAsia" w:ascii="仿宋" w:hAnsi="仿宋" w:eastAsia="仿宋" w:cs="仿宋"/>
          <w:b/>
          <w:color w:val="auto"/>
          <w:kern w:val="0"/>
          <w:sz w:val="21"/>
          <w:szCs w:val="21"/>
          <w:highlight w:val="none"/>
        </w:rPr>
        <w:t>将作无效投标处理。</w:t>
      </w:r>
    </w:p>
    <w:p w14:paraId="2302E321">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21.1.4为保证投标的公开、公正、公平，投标人资格证明文件若有缺失或不符，开标后不允许补正或修正，且投标无效。</w:t>
      </w:r>
    </w:p>
    <w:p w14:paraId="30E1F18C">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21.1.5对模糊不清的或存在疑问的资格性证明文件，在不影响投标有效性的前提下，须经投标人进行澄清或说明。</w:t>
      </w:r>
    </w:p>
    <w:p w14:paraId="5EB57E9A">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21.1.6评审结束，审查结果意见不一致时，遵循少数服从多数的原则，确定各投标人是否具备投标资格。未实质上响应招标文件要求的投标文件按响应无效处理，审查小组应当告知有关投标人。</w:t>
      </w:r>
    </w:p>
    <w:p w14:paraId="22FC5460">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21.1.7</w:t>
      </w:r>
      <w:r>
        <w:rPr>
          <w:rFonts w:hint="eastAsia" w:ascii="仿宋" w:hAnsi="仿宋" w:eastAsia="仿宋" w:cs="仿宋"/>
          <w:color w:val="auto"/>
          <w:kern w:val="0"/>
          <w:sz w:val="21"/>
          <w:szCs w:val="21"/>
          <w:highlight w:val="none"/>
          <w:lang w:val="en-US" w:eastAsia="zh-CN"/>
        </w:rPr>
        <w:t>资格审查小组</w:t>
      </w:r>
      <w:r>
        <w:rPr>
          <w:rFonts w:hint="eastAsia" w:ascii="仿宋" w:hAnsi="仿宋" w:eastAsia="仿宋" w:cs="仿宋"/>
          <w:color w:val="auto"/>
          <w:kern w:val="0"/>
          <w:sz w:val="21"/>
          <w:szCs w:val="21"/>
          <w:highlight w:val="none"/>
        </w:rPr>
        <w:t>对投标人的资格证明文件进行审查、编写资格证明文件审查报告，并签字确认，与招标资料一并存档。</w:t>
      </w:r>
    </w:p>
    <w:p w14:paraId="08F1BF13">
      <w:pPr>
        <w:keepNext w:val="0"/>
        <w:keepLines w:val="0"/>
        <w:pageBreakBefore w:val="0"/>
        <w:widowControl w:val="0"/>
        <w:tabs>
          <w:tab w:val="left" w:pos="567"/>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21.2商务技术文件的评审</w:t>
      </w:r>
    </w:p>
    <w:p w14:paraId="765FB2B0">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21.2.1评标委员会对投标人商务技术文件的符合性审查，除项目要求需对投标文件中无法用文字表述的其他特殊要求（如需对样品或演示内容等）作为实质性审查内容外，只依据投标人在“政采云系统”中提交的电子投标文件。</w:t>
      </w:r>
    </w:p>
    <w:p w14:paraId="15A4C98E">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21.2.2评标委员会应当各自对3家及以上资格性审查合格投标人的商务技术文件，依据招标文件确定的“评审标准和评审办法”进行符合性审查，审查投标人商务技术文件（含项目需要对样品或演示内容进行符合性审查的情形）是否对招标文件的商务技术文件做出实质性响应。是否对政策性因素做出了实质性响应。</w:t>
      </w:r>
    </w:p>
    <w:p w14:paraId="764892D2">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21.2.3合格的商务技术文件：指投标人的商务技术文件中的签署、盖章、商务技术响应、与招标文件的要求相符，并对政策性要求做出了完整性响应，经评标委员会认定没有重大偏离或保留的商务技术文件。</w:t>
      </w:r>
    </w:p>
    <w:p w14:paraId="098B6EB2">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21.2.4重大偏离系指商务技术文件：指商务技术文件中的签署、盖章、商务技术响应内容与招标文件要求不一致或未对政策性要求作出实质性响应等明显不能满足招标文件要求，而且限制了采购人的权利或投标人的义务，纠正这些偏离将对其他实质上响应招标要求的投标人的竞争地位产生不公正的影响。包括但不限于：</w:t>
      </w:r>
    </w:p>
    <w:p w14:paraId="396A11B3">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A．对“投标人须知前附表”</w:t>
      </w:r>
      <w:r>
        <w:rPr>
          <w:rFonts w:hint="eastAsia" w:ascii="仿宋" w:hAnsi="仿宋" w:eastAsia="仿宋" w:cs="仿宋"/>
          <w:color w:val="auto"/>
          <w:kern w:val="0"/>
          <w:sz w:val="21"/>
          <w:szCs w:val="21"/>
          <w:highlight w:val="none"/>
          <w:lang w:val="en-US" w:eastAsia="zh-CN"/>
        </w:rPr>
        <w:t>资格证明文件</w:t>
      </w:r>
      <w:r>
        <w:rPr>
          <w:rFonts w:hint="eastAsia" w:ascii="仿宋" w:hAnsi="仿宋" w:eastAsia="仿宋" w:cs="仿宋"/>
          <w:color w:val="auto"/>
          <w:kern w:val="0"/>
          <w:sz w:val="21"/>
          <w:szCs w:val="21"/>
          <w:highlight w:val="none"/>
        </w:rPr>
        <w:t>及商务、技术要求中商务技术指标未实质性响应的；</w:t>
      </w:r>
    </w:p>
    <w:p w14:paraId="1403233E">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B．未按招标文件的规定签署、盖章的；</w:t>
      </w:r>
    </w:p>
    <w:p w14:paraId="0CEFEE52">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C．未按照招标文件规定报价的；报价超过招标文件中规定的最高限价的；</w:t>
      </w:r>
    </w:p>
    <w:p w14:paraId="5AAF8C6C">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D．执行标准、合同履行期限、交货地点、款项支付方式、履约保证金及验收标准等不满足招标文件中的相关要求或技术指标超出采购人可接受的负偏差范围的；</w:t>
      </w:r>
    </w:p>
    <w:p w14:paraId="11E6C084">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E．不符合招标文件中有关分包、转包规定的；</w:t>
      </w:r>
    </w:p>
    <w:p w14:paraId="5918A72B">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F．投标文件含有采购人不能接受的附加条件的；</w:t>
      </w:r>
    </w:p>
    <w:p w14:paraId="65C27ECB">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G．投标文件有效期不足的；</w:t>
      </w:r>
    </w:p>
    <w:p w14:paraId="3F69E711">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H.不符合招标文件中规定的其他实质性要求。</w:t>
      </w:r>
    </w:p>
    <w:p w14:paraId="657C88F1">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21.2.5重大偏离不允许在开标后修正。</w:t>
      </w:r>
    </w:p>
    <w:p w14:paraId="74D5DE39">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21.2.6如果投标人的商务技术文件没有实质上响应招标文件的要求，评标委员会将作无效投标处理，投标人不得再对其进行任何修正从而使其投标成为实质上响应的投标。</w:t>
      </w:r>
    </w:p>
    <w:p w14:paraId="4D857E74">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21.2.7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1C6795EA">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21.2.8采用最低评标价法评标时，除了算术修正外，不能对投标人的投标价格进行任何调整。</w:t>
      </w:r>
    </w:p>
    <w:p w14:paraId="2A34B4EF">
      <w:pPr>
        <w:keepNext w:val="0"/>
        <w:keepLines w:val="0"/>
        <w:pageBreakBefore w:val="0"/>
        <w:widowControl w:val="0"/>
        <w:tabs>
          <w:tab w:val="left" w:pos="567"/>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sz w:val="21"/>
          <w:szCs w:val="21"/>
          <w:highlight w:val="none"/>
        </w:rPr>
        <w:t>21.3澄清或者说明</w:t>
      </w:r>
      <w:r>
        <w:rPr>
          <w:rFonts w:hint="eastAsia" w:ascii="仿宋" w:hAnsi="仿宋" w:eastAsia="仿宋" w:cs="仿宋"/>
          <w:color w:val="auto"/>
          <w:kern w:val="0"/>
          <w:sz w:val="21"/>
          <w:szCs w:val="21"/>
          <w:highlight w:val="none"/>
        </w:rPr>
        <w:t>。</w:t>
      </w:r>
    </w:p>
    <w:p w14:paraId="66A55E4C">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21.3.1对于投标人商务技术文件中含义不明确、同类问题表述不一致或者有明显文字和计算错误的内容，评标委员会应当</w:t>
      </w:r>
      <w:r>
        <w:rPr>
          <w:rFonts w:hint="eastAsia" w:ascii="仿宋" w:hAnsi="仿宋" w:eastAsia="仿宋" w:cs="仿宋"/>
          <w:color w:val="auto"/>
          <w:sz w:val="21"/>
          <w:szCs w:val="21"/>
          <w:highlight w:val="none"/>
        </w:rPr>
        <w:t>通过“政采云系统”给投标人发出询标函</w:t>
      </w:r>
      <w:r>
        <w:rPr>
          <w:rFonts w:hint="eastAsia" w:ascii="仿宋" w:hAnsi="仿宋" w:eastAsia="仿宋" w:cs="仿宋"/>
          <w:color w:val="auto"/>
          <w:kern w:val="0"/>
          <w:sz w:val="21"/>
          <w:szCs w:val="21"/>
          <w:highlight w:val="none"/>
        </w:rPr>
        <w:t>。</w:t>
      </w:r>
    </w:p>
    <w:p w14:paraId="24D2AD2E">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21.3.2投标人的澄清、说明或者补正应当</w:t>
      </w:r>
      <w:r>
        <w:rPr>
          <w:rFonts w:hint="eastAsia" w:ascii="仿宋" w:hAnsi="仿宋" w:eastAsia="仿宋" w:cs="仿宋"/>
          <w:color w:val="auto"/>
          <w:sz w:val="21"/>
          <w:szCs w:val="21"/>
          <w:highlight w:val="none"/>
        </w:rPr>
        <w:t>通过“政采云系统”在规定时间内提交加盖投标人电子CA章的对询标函所有内容作出的询标回复函</w:t>
      </w:r>
      <w:r>
        <w:rPr>
          <w:rFonts w:hint="eastAsia" w:ascii="仿宋" w:hAnsi="仿宋" w:eastAsia="仿宋" w:cs="仿宋"/>
          <w:color w:val="auto"/>
          <w:kern w:val="0"/>
          <w:sz w:val="21"/>
          <w:szCs w:val="21"/>
          <w:highlight w:val="none"/>
        </w:rPr>
        <w:t>。投标人的澄清、说明或者补正不得超出其的投标范围或者改变其商务技术文件的实质性内容。</w:t>
      </w:r>
    </w:p>
    <w:p w14:paraId="51E646E2">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21.3.3评标委员会将允许投标人澄清、说明或者补正商务技术文件中不构成重大偏离、微小的、非正规、不一致或不规则的地方，但这些修改不能影响其他投标人的名次排列。</w:t>
      </w:r>
    </w:p>
    <w:p w14:paraId="420B22B9">
      <w:pPr>
        <w:keepNext w:val="0"/>
        <w:keepLines w:val="0"/>
        <w:pageBreakBefore w:val="0"/>
        <w:widowControl w:val="0"/>
        <w:kinsoku/>
        <w:wordWrap/>
        <w:overflowPunct/>
        <w:topLinePunct w:val="0"/>
        <w:autoSpaceDE/>
        <w:autoSpaceDN/>
        <w:bidi w:val="0"/>
        <w:spacing w:line="360" w:lineRule="auto"/>
        <w:ind w:firstLine="422"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sz w:val="21"/>
          <w:szCs w:val="21"/>
          <w:highlight w:val="none"/>
        </w:rPr>
        <w:t>21.4报价审核</w:t>
      </w:r>
    </w:p>
    <w:p w14:paraId="7E535E7D">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21.4.1根据本文件“评审方法和评审标准”对投标报价进行符合性审查。</w:t>
      </w:r>
    </w:p>
    <w:p w14:paraId="466258AA">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21.4.2投标报价出现前后不一致的，按照下列规定修正：</w:t>
      </w:r>
    </w:p>
    <w:p w14:paraId="19E4AEE4">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（1）投标文件中开标一览表内容与投标文件中相应内容不一致的，以开标一览表为准；</w:t>
      </w:r>
    </w:p>
    <w:p w14:paraId="5B68D2C6">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（2）大写金额和小写金额不一致的，以大写金额为准；</w:t>
      </w:r>
    </w:p>
    <w:p w14:paraId="659E3CD7">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（3）单价金额小数点或者百分比有明显错位的，以开标一览表的总价为准，并修改单价；</w:t>
      </w:r>
    </w:p>
    <w:p w14:paraId="56BE3A2E">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（4）总价金额与按单价汇总金额不一致的，以单价金额计算结果为准。</w:t>
      </w:r>
    </w:p>
    <w:p w14:paraId="60BF285C">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同时出现两种以上不一致的，按照前款规定的顺序修正。修正后的报价经投标人确认后产生约束力，投标人不确认的，其投标无效。</w:t>
      </w:r>
    </w:p>
    <w:p w14:paraId="19CE5582">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21.4.3经审查，合格投标人数量符合法定投标人家数时，对符合政策性要求优惠的各投标人的投标报价，按照21.5进行政策性因素价格扣除后，形成各投标人最终评标价格。</w:t>
      </w:r>
    </w:p>
    <w:p w14:paraId="4A9CE202">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21.4.4采用最低评标价法评标时，除了算术修正和按照21.5落实政府采购政策需进行的价格扣除外，不能对投标人的投标价格进行任何调整。</w:t>
      </w:r>
    </w:p>
    <w:p w14:paraId="4DB312C0">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color w:val="auto"/>
          <w:sz w:val="21"/>
          <w:szCs w:val="21"/>
          <w:highlight w:val="none"/>
        </w:rPr>
        <w:t>21.5</w:t>
      </w:r>
      <w:r>
        <w:rPr>
          <w:rFonts w:hint="eastAsia" w:ascii="仿宋" w:hAnsi="仿宋" w:eastAsia="仿宋" w:cs="仿宋"/>
          <w:b/>
          <w:bCs/>
          <w:color w:val="auto"/>
          <w:sz w:val="21"/>
          <w:szCs w:val="21"/>
          <w:highlight w:val="none"/>
        </w:rPr>
        <w:t>政策性因素价格扣除</w:t>
      </w:r>
    </w:p>
    <w:p w14:paraId="3D95D9F0">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21.5.1依据政府采购的相关规定，如果投标人或所提供的货物满足下述要求并经评标委员会全体成员集体认定通过，予以考虑执行。</w:t>
      </w:r>
    </w:p>
    <w:p w14:paraId="08DCB55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21.5.2中小微企业参加本项目：</w:t>
      </w:r>
    </w:p>
    <w:p w14:paraId="0F0005B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598B375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关于进一步加大政府采购支持中小企业力度的通知》(财库〔2022〕19号）及《山西省财政厅关于进一步加大政府采购支持中小企业力度助力扎实稳住经济的通知》（晋财购〔2022〕6号）报价给予15%的扣除，用扣除后的价格参加评审。</w:t>
      </w:r>
    </w:p>
    <w:p w14:paraId="3E84E5E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21.5.3残疾人福利单位参加本项目：</w:t>
      </w:r>
    </w:p>
    <w:p w14:paraId="5C75290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报价给予15%的扣除，用扣除后的价格参加评审。</w:t>
      </w:r>
    </w:p>
    <w:p w14:paraId="28A92A4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21.5.4监狱企业参加本项目：</w:t>
      </w:r>
    </w:p>
    <w:p w14:paraId="29B070A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依据《财政部司法部关于政府采购支持监狱企业发展有关问题的通知》(财库〔2014〕68号)规定，监狱企业视同小型、微型企业，享受预留份额、评审中价格扣除等政府采购促进中小企业发展的政府采购政策。报价给予15%的扣除，用扣除后的价格参加评审。</w:t>
      </w:r>
    </w:p>
    <w:p w14:paraId="60648AE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21.5.5联合体参加本项目：</w:t>
      </w:r>
    </w:p>
    <w:p w14:paraId="37846AB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按照《关于进一步加大政府采购支持中小企业力度的通知》(财库〔2022〕19号）给予5%的扣除，用扣除后的价格参加评审。</w:t>
      </w:r>
    </w:p>
    <w:p w14:paraId="159E637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21.5.6</w:t>
      </w:r>
      <w:r>
        <w:rPr>
          <w:rFonts w:hint="eastAsia" w:ascii="仿宋" w:hAnsi="仿宋" w:eastAsia="仿宋" w:cs="仿宋"/>
          <w:color w:val="auto"/>
          <w:sz w:val="21"/>
          <w:szCs w:val="21"/>
          <w:highlight w:val="none"/>
        </w:rPr>
        <w:t>创新产品参加本项目</w:t>
      </w:r>
    </w:p>
    <w:p w14:paraId="63CA601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政府采购支持创新产品和服务实施细则》（晋财购【2019】19号）第十三条规定，对符合创新要求的货物或服务的报价给予6%的扣除，用扣除后的价格参加评审；投标人投报创新产品或创新服务的，需在投标文件中提供《山西省创新产品和服务推荐清单》，并填写《创新产品或创新服务明细表》；创新产品或创新服务的价格折扣政策可与其他政府采购政策叠加。</w:t>
      </w:r>
    </w:p>
    <w:p w14:paraId="73D3F2FE">
      <w:pPr>
        <w:keepNext w:val="0"/>
        <w:keepLines w:val="0"/>
        <w:pageBreakBefore w:val="0"/>
        <w:widowControl w:val="0"/>
        <w:kinsoku/>
        <w:wordWrap/>
        <w:overflowPunct/>
        <w:topLinePunct w:val="0"/>
        <w:autoSpaceDE/>
        <w:autoSpaceDN/>
        <w:bidi w:val="0"/>
        <w:snapToGrid w:val="0"/>
        <w:spacing w:line="360" w:lineRule="auto"/>
        <w:ind w:firstLine="422" w:firstLineChars="200"/>
        <w:jc w:val="left"/>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21.6存在下列情况之一者将视为投标无效：</w:t>
      </w:r>
    </w:p>
    <w:p w14:paraId="7B68A1A9">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（1）未在开标一览表中按照招标文件要求签章的；</w:t>
      </w:r>
    </w:p>
    <w:p w14:paraId="48ACCD75">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（2）未按招标文件进行签署的；</w:t>
      </w:r>
    </w:p>
    <w:p w14:paraId="46F864F8">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（3）未按招标文件要求进行填报或报价表填报不完整，存在可空项、漏项、缺项的；</w:t>
      </w:r>
    </w:p>
    <w:p w14:paraId="2330EF2A">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评标委员会一致认为投标人的报价明显低于其他通过符合性审查投标人的报价，有可能影响产品质量或者不能诚信履约的，应当要求其在合理的时间内通过“政采云系统”提供书面说明，必要时提交相关证明材料；投标人不能证明其报价合理性的，评标委员会应当将其作为无效投标处理。</w:t>
      </w:r>
    </w:p>
    <w:p w14:paraId="0AACC27B">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21.7经审查，合格投标人数量不符合法定投标人家数时，需依法重新组织招标活动。</w:t>
      </w:r>
    </w:p>
    <w:p w14:paraId="08807593">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21.8</w:t>
      </w:r>
      <w:r>
        <w:rPr>
          <w:rFonts w:hint="eastAsia" w:ascii="仿宋" w:hAnsi="仿宋" w:eastAsia="仿宋" w:cs="仿宋"/>
          <w:b/>
          <w:bCs/>
          <w:color w:val="auto"/>
          <w:kern w:val="0"/>
          <w:sz w:val="21"/>
          <w:szCs w:val="21"/>
          <w:highlight w:val="none"/>
        </w:rPr>
        <w:t>对投标人的商务技术文件进行比较和评价</w:t>
      </w:r>
    </w:p>
    <w:p w14:paraId="09C12888">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21.8.1本项目采用综合评分法，</w:t>
      </w:r>
      <w:r>
        <w:rPr>
          <w:rFonts w:hint="eastAsia" w:ascii="仿宋" w:hAnsi="仿宋" w:eastAsia="仿宋" w:cs="仿宋"/>
          <w:color w:val="auto"/>
          <w:sz w:val="21"/>
          <w:szCs w:val="21"/>
          <w:highlight w:val="none"/>
        </w:rPr>
        <w:t>对各包投标人商务技术文件符合性审查后，合格投标人数量符合法定数量的，</w:t>
      </w:r>
      <w:r>
        <w:rPr>
          <w:rFonts w:hint="eastAsia" w:ascii="仿宋" w:hAnsi="仿宋" w:eastAsia="仿宋" w:cs="仿宋"/>
          <w:color w:val="auto"/>
          <w:kern w:val="0"/>
          <w:sz w:val="21"/>
          <w:szCs w:val="21"/>
          <w:highlight w:val="none"/>
        </w:rPr>
        <w:t>评标委员会应当按照招标文件中规定的“评分细则”，对合格投标人的投标文件进行商务和技术评估，综合比较与评价。</w:t>
      </w:r>
    </w:p>
    <w:p w14:paraId="2BF6BB86">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21.8.2评标委员会对投标文件的比较和评价，除项目需对投标文件中无法用文字表述须采用提交的样品或演示等内容进行比较和评判的特殊要求外，只依据投标人的商务技术文件内容本身，不依据任何外来证明。</w:t>
      </w:r>
    </w:p>
    <w:p w14:paraId="3238C0C6">
      <w:pPr>
        <w:keepNext w:val="0"/>
        <w:keepLines w:val="0"/>
        <w:pageBreakBefore w:val="0"/>
        <w:widowControl w:val="0"/>
        <w:tabs>
          <w:tab w:val="left" w:pos="0"/>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22. 评审复核</w:t>
      </w:r>
    </w:p>
    <w:p w14:paraId="0A0215E9">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22.1评标结果汇总完成后，除下列情形外，任何人不得修改评标结果：</w:t>
      </w:r>
    </w:p>
    <w:p w14:paraId="0B675BA8">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（一）分值汇总计算错误的；</w:t>
      </w:r>
    </w:p>
    <w:p w14:paraId="10B5348E">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（二）分项评分超出评分标准范围的；</w:t>
      </w:r>
    </w:p>
    <w:p w14:paraId="5D6A4B81">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（三）评标委员会成员对客观评审因素评分不一致的；</w:t>
      </w:r>
    </w:p>
    <w:p w14:paraId="791F454E">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（四）经评标委员会认定评分畸高、畸低的。</w:t>
      </w:r>
    </w:p>
    <w:p w14:paraId="09C8432B">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22.2评标报告签署前，经复核发现存在以上情形之一的，评标委员会应当当场修改评标结果，并在评标报告中记载；评标报告签署后，采购代理机构发现存在以上情形之一的，应当组织原评标委员会进行重新评审，重新评审改变评标结果的，书面报告本级财政部门。</w:t>
      </w:r>
    </w:p>
    <w:p w14:paraId="02A1EE64">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22.3投标人对本条第一款情形提出质疑的，采购代理机构可以组织原评标委员会进行重新评审，重新评审改变评标结果的，应当书面报告本级财政部门。</w:t>
      </w:r>
    </w:p>
    <w:p w14:paraId="07496A3E">
      <w:pPr>
        <w:keepNext w:val="0"/>
        <w:keepLines w:val="0"/>
        <w:pageBreakBefore w:val="0"/>
        <w:widowControl w:val="0"/>
        <w:tabs>
          <w:tab w:val="left" w:pos="0"/>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23.推荐中标候选人</w:t>
      </w:r>
    </w:p>
    <w:p w14:paraId="20B61E1E">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w:t>
      </w:r>
      <w:r>
        <w:rPr>
          <w:rFonts w:hint="eastAsia" w:ascii="仿宋" w:hAnsi="仿宋" w:eastAsia="仿宋" w:cs="仿宋"/>
          <w:color w:val="auto"/>
          <w:sz w:val="21"/>
          <w:szCs w:val="21"/>
          <w:highlight w:val="none"/>
        </w:rPr>
        <w:t>推荐中标候选人顺序须</w:t>
      </w:r>
      <w:r>
        <w:rPr>
          <w:rFonts w:hint="eastAsia" w:ascii="仿宋" w:hAnsi="仿宋" w:eastAsia="仿宋" w:cs="仿宋"/>
          <w:color w:val="auto"/>
          <w:kern w:val="0"/>
          <w:sz w:val="21"/>
          <w:szCs w:val="21"/>
          <w:highlight w:val="none"/>
        </w:rPr>
        <w:t>遵循下列原则：</w:t>
      </w:r>
    </w:p>
    <w:p w14:paraId="6BDDA02A">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23.1.1采用综合评分法的，遵循下列原则：</w:t>
      </w:r>
    </w:p>
    <w:p w14:paraId="1302E39F">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23.1.1.1</w:t>
      </w:r>
      <w:r>
        <w:rPr>
          <w:rFonts w:hint="eastAsia" w:ascii="仿宋" w:hAnsi="仿宋" w:eastAsia="仿宋" w:cs="仿宋"/>
          <w:b/>
          <w:bCs/>
          <w:color w:val="auto"/>
          <w:kern w:val="0"/>
          <w:sz w:val="21"/>
          <w:szCs w:val="21"/>
          <w:highlight w:val="none"/>
        </w:rPr>
        <w:t>按评审后投标人的综合得分由高到低顺序排列。</w:t>
      </w:r>
    </w:p>
    <w:p w14:paraId="556BDFDB">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23.1.1.2综合得分相同的，按投标报价由低到高顺序排列。</w:t>
      </w:r>
    </w:p>
    <w:p w14:paraId="3C2711FE">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23.1.1.3综合得分且投标报价相同的按照技术、服务等因素得分较高顺序排列。</w:t>
      </w:r>
    </w:p>
    <w:p w14:paraId="5A0D150A">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23.1.1.4对于提供相同品牌产品的投标人，在推荐中标候选人时需遵循以下原则：</w:t>
      </w:r>
    </w:p>
    <w:p w14:paraId="06B6859E">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23.1.1.4.1对于单一产品采购项目，投标人提供相同品牌产品且通过符合性审查的不同投标人参加同一合同项下投标的，按一家投标人计算投标人数量。评审后得分最高的同品牌投标人获得中标候选人推荐资格；评审得分相同的，由评标委员会主任当众采取随机抽取方式确定一个投标人获得中标候选人推荐资格，其他同品牌投标人的投标无效。</w:t>
      </w:r>
    </w:p>
    <w:p w14:paraId="00B6124A">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b/>
          <w:bCs/>
          <w:color w:val="auto"/>
          <w:kern w:val="0"/>
          <w:sz w:val="21"/>
          <w:szCs w:val="21"/>
          <w:highlight w:val="none"/>
        </w:rPr>
      </w:pPr>
      <w:r>
        <w:rPr>
          <w:rFonts w:hint="eastAsia" w:ascii="仿宋" w:hAnsi="仿宋" w:eastAsia="仿宋" w:cs="仿宋"/>
          <w:color w:val="auto"/>
          <w:kern w:val="0"/>
          <w:sz w:val="21"/>
          <w:szCs w:val="21"/>
          <w:highlight w:val="none"/>
        </w:rPr>
        <w:t>23.1.1.4.2对于非单一产品采购项目，采购人在采购项目中依据技术构成、产品价格比重等合理确定核心产品（技术指标中标注为核心产品的或加“*”的产品），多家投标人提供的核心产品品牌相同，推荐中标候选人时按23.1.1.4.1规定处理。</w:t>
      </w:r>
    </w:p>
    <w:p w14:paraId="7292AE65">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23.1.1.5评标委员会应当根据综合得分情况，按照综合得分由高到低的顺序推荐3名中标候选人。</w:t>
      </w:r>
    </w:p>
    <w:p w14:paraId="2BF7BA47">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23.1.1.6评审得分最高的投标人为第一的中标候选人。</w:t>
      </w:r>
    </w:p>
    <w:p w14:paraId="4759399F">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23.1.2采用最低评标价法的，遵循下列原则：</w:t>
      </w:r>
    </w:p>
    <w:p w14:paraId="7103DC3D">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23.1.2.1</w:t>
      </w:r>
      <w:r>
        <w:rPr>
          <w:rFonts w:hint="eastAsia" w:ascii="仿宋" w:hAnsi="仿宋" w:eastAsia="仿宋" w:cs="仿宋"/>
          <w:b/>
          <w:bCs/>
          <w:color w:val="auto"/>
          <w:kern w:val="0"/>
          <w:sz w:val="21"/>
          <w:szCs w:val="21"/>
          <w:highlight w:val="none"/>
        </w:rPr>
        <w:t>按评审后</w:t>
      </w:r>
      <w:r>
        <w:rPr>
          <w:rFonts w:hint="eastAsia" w:ascii="仿宋" w:hAnsi="仿宋" w:eastAsia="仿宋" w:cs="仿宋"/>
          <w:color w:val="auto"/>
          <w:kern w:val="0"/>
          <w:sz w:val="21"/>
          <w:szCs w:val="21"/>
          <w:highlight w:val="none"/>
        </w:rPr>
        <w:t>按投标报价由低到高顺序排列。</w:t>
      </w:r>
    </w:p>
    <w:p w14:paraId="37AC4E56">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23.1.2.2投标报价相同的，按照技术、服务等因素的优劣进行排列。</w:t>
      </w:r>
    </w:p>
    <w:p w14:paraId="32C13D02">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23.1.2.3对于提供相同品牌产品的投标人，在推荐中标候选人时需遵循以下原则：</w:t>
      </w:r>
    </w:p>
    <w:p w14:paraId="271F4927">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23.1.2.3.1对于单一产品采购项目，投标人提供相同品牌产品且通过符合性审查的不同投标人参加同一合同项下投标的，按一家投标人计算投标人数量。评审后报价最低的同品牌投标人获得中标候选人推荐资格；报价相同的，由评标委员会主任当众采取随机抽取方式确定一个投标人获得中标候选人推荐资格，其他同品牌投标人的投标无效。</w:t>
      </w:r>
    </w:p>
    <w:p w14:paraId="2AC2940A">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b/>
          <w:bCs/>
          <w:color w:val="auto"/>
          <w:kern w:val="0"/>
          <w:sz w:val="21"/>
          <w:szCs w:val="21"/>
          <w:highlight w:val="none"/>
        </w:rPr>
      </w:pPr>
      <w:r>
        <w:rPr>
          <w:rFonts w:hint="eastAsia" w:ascii="仿宋" w:hAnsi="仿宋" w:eastAsia="仿宋" w:cs="仿宋"/>
          <w:color w:val="auto"/>
          <w:kern w:val="0"/>
          <w:sz w:val="21"/>
          <w:szCs w:val="21"/>
          <w:highlight w:val="none"/>
        </w:rPr>
        <w:t>23.1.2.3.2对于非单一产品采购项目，多家投标人提供的投标文件用“*”标明的采购人在采购项目中依据技术构成、产品价格比重等合理确定的核心产品为相同品牌的，推荐中标候选人时按21.1.2.3.1规定处理。</w:t>
      </w:r>
    </w:p>
    <w:p w14:paraId="565E99FB">
      <w:pPr>
        <w:keepNext w:val="0"/>
        <w:keepLines w:val="0"/>
        <w:pageBreakBefore w:val="0"/>
        <w:widowControl w:val="0"/>
        <w:tabs>
          <w:tab w:val="left" w:pos="0"/>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24.确定中标人</w:t>
      </w:r>
    </w:p>
    <w:p w14:paraId="24823D11">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color w:val="auto"/>
          <w:kern w:val="0"/>
          <w:sz w:val="21"/>
          <w:szCs w:val="21"/>
          <w:highlight w:val="none"/>
        </w:rPr>
        <w:t>本次招标，授权评标委员会按照中标候选人排序，优先直接确定排名第一的投标人为中标人。</w:t>
      </w:r>
    </w:p>
    <w:p w14:paraId="68100C88">
      <w:pPr>
        <w:keepNext w:val="0"/>
        <w:keepLines w:val="0"/>
        <w:pageBreakBefore w:val="0"/>
        <w:widowControl w:val="0"/>
        <w:tabs>
          <w:tab w:val="left" w:pos="0"/>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25. 编写评标报告</w:t>
      </w:r>
    </w:p>
    <w:p w14:paraId="35C8077F">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25.1评标委员会根据全体成员签字的原始评标记录和评标结果编写商务技术文件评标报告。评标报告应当包括以下内容：</w:t>
      </w:r>
    </w:p>
    <w:p w14:paraId="6D7C9704">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（一）招标公告刊登的媒体名称、开标日期和地点；</w:t>
      </w:r>
    </w:p>
    <w:p w14:paraId="684A51C4">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（二）</w:t>
      </w:r>
      <w:r>
        <w:rPr>
          <w:rFonts w:hint="eastAsia" w:ascii="仿宋" w:hAnsi="仿宋" w:eastAsia="仿宋" w:cs="仿宋"/>
          <w:bCs/>
          <w:color w:val="auto"/>
          <w:kern w:val="0"/>
          <w:sz w:val="21"/>
          <w:szCs w:val="21"/>
          <w:highlight w:val="none"/>
        </w:rPr>
        <w:t>投标人名单</w:t>
      </w:r>
      <w:r>
        <w:rPr>
          <w:rFonts w:hint="eastAsia" w:ascii="仿宋" w:hAnsi="仿宋" w:eastAsia="仿宋" w:cs="仿宋"/>
          <w:color w:val="auto"/>
          <w:kern w:val="0"/>
          <w:sz w:val="21"/>
          <w:szCs w:val="21"/>
          <w:highlight w:val="none"/>
        </w:rPr>
        <w:t>和评标委员会成员名单；</w:t>
      </w:r>
    </w:p>
    <w:p w14:paraId="000B5CAA">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（三）评标方法和标准；</w:t>
      </w:r>
    </w:p>
    <w:p w14:paraId="5AE11CC6">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（四）开标记录和评标情况及说明，包括无效投标人名单及原因；</w:t>
      </w:r>
    </w:p>
    <w:p w14:paraId="71017110">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（五）评标结果，</w:t>
      </w:r>
      <w:r>
        <w:rPr>
          <w:rFonts w:hint="eastAsia" w:ascii="仿宋" w:hAnsi="仿宋" w:eastAsia="仿宋" w:cs="仿宋"/>
          <w:bCs/>
          <w:color w:val="auto"/>
          <w:kern w:val="0"/>
          <w:sz w:val="21"/>
          <w:szCs w:val="21"/>
          <w:highlight w:val="none"/>
        </w:rPr>
        <w:t>确定的中标候选人名单、经采购人委托直接确定的中标人；</w:t>
      </w:r>
    </w:p>
    <w:p w14:paraId="15E381FF">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bCs/>
          <w:color w:val="auto"/>
          <w:kern w:val="0"/>
          <w:sz w:val="21"/>
          <w:szCs w:val="21"/>
          <w:highlight w:val="none"/>
        </w:rPr>
        <w:t xml:space="preserve">（六）其他需要说明的情况，包括评标过程中投标人根据评标委员会要求进行的澄清、说明或者补正，评标委员会成员的更换等。 </w:t>
      </w:r>
    </w:p>
    <w:p w14:paraId="4EA9CD5D">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25.2评标委员会成员对需要共同认定的事项存在争议的，应当按照少数服从多数的原则作出结论。持不同意见的评标委员会成员应当在评标报告上签署不同意见及理由，否则视为同意评标报告。</w:t>
      </w:r>
    </w:p>
    <w:p w14:paraId="1C557E66">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25.3评标报告应当由全体评标成员共同签字确认。</w:t>
      </w:r>
    </w:p>
    <w:p w14:paraId="71B3E499">
      <w:pPr>
        <w:keepNext w:val="0"/>
        <w:keepLines w:val="0"/>
        <w:pageBreakBefore w:val="0"/>
        <w:widowControl w:val="0"/>
        <w:tabs>
          <w:tab w:val="left" w:pos="0"/>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26. 评标过程保密</w:t>
      </w:r>
    </w:p>
    <w:p w14:paraId="17AB2086">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26.1采购人、采购代理机构应当采取必要措施，保证评标在严格保密的情况下进行。除采购人代表、评标现场组织人员，采购人的其他工作人员以及与评标工作无关的人员不得进入评标现场。</w:t>
      </w:r>
    </w:p>
    <w:p w14:paraId="348DF0A6">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26.2开标之后，直到授予中标人合同止，凡是属于审查、澄清、评价和比较投标的有关资料以及授标意向等，均不得向投标人或其他与评标无关的人员透露。</w:t>
      </w:r>
      <w:r>
        <w:rPr>
          <w:rFonts w:hint="eastAsia" w:ascii="仿宋" w:hAnsi="仿宋" w:eastAsia="仿宋" w:cs="仿宋"/>
          <w:b/>
          <w:bCs/>
          <w:color w:val="auto"/>
          <w:kern w:val="0"/>
          <w:sz w:val="21"/>
          <w:szCs w:val="21"/>
          <w:highlight w:val="none"/>
        </w:rPr>
        <w:t>有关人员对评标情况以及在评标过程中获悉的国家秘密、商业秘密负有保密责任。</w:t>
      </w:r>
    </w:p>
    <w:p w14:paraId="383734BA">
      <w:pPr>
        <w:keepNext w:val="0"/>
        <w:keepLines w:val="0"/>
        <w:pageBreakBefore w:val="0"/>
        <w:widowControl w:val="0"/>
        <w:tabs>
          <w:tab w:val="left" w:pos="0"/>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27. 关于投标人非实质性响应滞后发现的处理规则</w:t>
      </w:r>
    </w:p>
    <w:p w14:paraId="25D8DFDF">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无论基于何种原因，各项本应做拒绝投标处理的情形，即便未被及时发现而使该投标人进入评审或其它后续程序，包括已经签约的情形。一旦被发现存在上述情形，采购人或采购代理机构均有权依法决定取消该投标人的此前评议结果，或决定对该投标予以拒绝，并有权采取相应的补救及纠正措施。</w:t>
      </w:r>
    </w:p>
    <w:p w14:paraId="25543507">
      <w:pPr>
        <w:keepNext w:val="0"/>
        <w:keepLines w:val="0"/>
        <w:pageBreakBefore w:val="0"/>
        <w:widowControl w:val="0"/>
        <w:tabs>
          <w:tab w:val="left" w:pos="0"/>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28. 无效投标与无效评标</w:t>
      </w:r>
    </w:p>
    <w:p w14:paraId="7F0D8777">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28.1投标人存在下列情况之一的，投标无效:</w:t>
      </w:r>
    </w:p>
    <w:p w14:paraId="1B807D16">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（一）未按照招标文件的规定提交投标保证金的；</w:t>
      </w:r>
    </w:p>
    <w:p w14:paraId="6A761949">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（二）投标文件未按招标文件要求签署、盖章的；</w:t>
      </w:r>
    </w:p>
    <w:p w14:paraId="785F3B80">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（三）不具备招标文件中规定的资格要求的；</w:t>
      </w:r>
    </w:p>
    <w:p w14:paraId="5DA3FCAD">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（四）报价超过招标文件中规定的预算金额或者最高限价的；</w:t>
      </w:r>
    </w:p>
    <w:p w14:paraId="069A4CB3">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（五）投标文件含有采购人不能接受的附加条件的;</w:t>
      </w:r>
    </w:p>
    <w:p w14:paraId="2DD9083D">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（六）法律、法规和招标文件规定的其他无效情形。</w:t>
      </w:r>
    </w:p>
    <w:p w14:paraId="0F495649">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28.2有下列情形之一的，视为投标人串通投标，其投标无效：</w:t>
      </w:r>
    </w:p>
    <w:p w14:paraId="0E7E9D3D">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（一）不同投标人的投标文件由同一单位或者个人编制；</w:t>
      </w:r>
    </w:p>
    <w:p w14:paraId="2E3D98CA">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（二）不同投标人委托同一单位或者个人办理投标事宜；</w:t>
      </w:r>
    </w:p>
    <w:p w14:paraId="431FE512">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（三）不同投标人的投标文件载明的项目管理成员或者联系人员为同一人；</w:t>
      </w:r>
    </w:p>
    <w:p w14:paraId="43BB300D">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（四）不同投标人的投标文件异常一致或者投标报价呈规律性差异；</w:t>
      </w:r>
    </w:p>
    <w:p w14:paraId="10D910BD">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（五）不同投标人的投标文件相互混装；</w:t>
      </w:r>
    </w:p>
    <w:p w14:paraId="5B5C0354">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（六）不同投标人的投标保证金从同一单位或者个人的账户转出。</w:t>
      </w:r>
    </w:p>
    <w:p w14:paraId="0CEC0B66">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28.3评标委员会或者其成员存在下列情形导致评标结果无效的，采购人、采购代理机构可以重新组建评标委员会进行评标，并书面报告本级财政部门，但采购合同已经履行的除外：</w:t>
      </w:r>
    </w:p>
    <w:p w14:paraId="1601956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（一）评标委员会组成不符合《政府采购货物和服务招标投标管理办法》规定的；</w:t>
      </w:r>
    </w:p>
    <w:p w14:paraId="38331B3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（二）有《政府采购货物和服务招标投标管理办法》第六十二条第一至五项情形的；</w:t>
      </w:r>
    </w:p>
    <w:p w14:paraId="6D6F86AF">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（三）评标委员会及其成员独立评标受到非法干预的；</w:t>
      </w:r>
    </w:p>
    <w:p w14:paraId="71EC6466">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（四）有《中华人民共和国政府采购法实施条例》第七十五条规定的违法行为的。</w:t>
      </w:r>
    </w:p>
    <w:p w14:paraId="02186C12">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有违法违规行为的原评标委员会成员不得参加重新组建的评标委员会。</w:t>
      </w:r>
    </w:p>
    <w:p w14:paraId="01DCC9F4">
      <w:pPr>
        <w:keepNext w:val="0"/>
        <w:keepLines w:val="0"/>
        <w:pageBreakBefore w:val="0"/>
        <w:widowControl w:val="0"/>
        <w:tabs>
          <w:tab w:val="left" w:pos="567"/>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29．采购项目终止与处理</w:t>
      </w:r>
    </w:p>
    <w:p w14:paraId="09900166">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29.1采购人、采购代理机构在发布招标公告、资格预审公告或者发出投标邀请书后，除因重大变故采购任务取消情况外，不得擅自终止招标活动。</w:t>
      </w:r>
    </w:p>
    <w:p w14:paraId="57D27CD9">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终止招标的，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78CC2D03">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29.2公开招标数额标准以上的采购项目（如分包按包计），投标截止后投标人不足3家或者通过资格审查或符合性审查的投标人不足3家的，除采购任务取消情形外，按照以下方式处理：</w:t>
      </w:r>
    </w:p>
    <w:p w14:paraId="007489CF">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（一）招标文件存在不合理条款或者招标程序不符合规定的，采购人、采购代理机构改正后依法重新招标；</w:t>
      </w:r>
    </w:p>
    <w:p w14:paraId="158749DF">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（二）招标文件没有不合理条款、招标程序符合规定，需要采用其他采购方式采购的，采购人应当依法报财政部门批准。</w:t>
      </w:r>
    </w:p>
    <w:p w14:paraId="7FD8582E">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采购项目（按包计）终止后，评标委员会应做出书面报告；采购代理机构应当将废标原因通知所有投标人，并依法重新组织采购活动。</w:t>
      </w:r>
    </w:p>
    <w:p w14:paraId="65ED172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29.3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334B4BBB">
      <w:pPr>
        <w:keepNext w:val="0"/>
        <w:keepLines w:val="0"/>
        <w:pageBreakBefore w:val="0"/>
        <w:widowControl w:val="0"/>
        <w:tabs>
          <w:tab w:val="left" w:pos="0"/>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30. 中标结果公告与中标通知</w:t>
      </w:r>
    </w:p>
    <w:p w14:paraId="52BA73E5">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30.1采购代理机构应当自中标人确定之日起2个工作日内，在</w:t>
      </w:r>
      <w:r>
        <w:rPr>
          <w:rFonts w:hint="eastAsia" w:ascii="仿宋" w:hAnsi="仿宋" w:eastAsia="仿宋" w:cs="仿宋"/>
          <w:b/>
          <w:bCs/>
          <w:color w:val="auto"/>
          <w:kern w:val="0"/>
          <w:sz w:val="21"/>
          <w:szCs w:val="21"/>
          <w:highlight w:val="none"/>
        </w:rPr>
        <w:t>中国政府采购网山西分网</w:t>
      </w:r>
      <w:r>
        <w:rPr>
          <w:rFonts w:hint="eastAsia" w:ascii="仿宋" w:hAnsi="仿宋" w:eastAsia="仿宋" w:cs="仿宋"/>
          <w:color w:val="auto"/>
          <w:kern w:val="0"/>
          <w:sz w:val="21"/>
          <w:szCs w:val="21"/>
          <w:highlight w:val="none"/>
        </w:rPr>
        <w:t>公告中标结果，招标文件应当随中标结果同时公告。</w:t>
      </w:r>
    </w:p>
    <w:p w14:paraId="4AE0CB02">
      <w:pPr>
        <w:keepNext w:val="0"/>
        <w:keepLines w:val="0"/>
        <w:pageBreakBefore w:val="0"/>
        <w:widowControl w:val="0"/>
        <w:tabs>
          <w:tab w:val="left" w:pos="0"/>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中标结果公告内容应当包括采购人及其委托的采购代理机构的名称、地址、联系方式，项目名称和项目编号，中标人名称、地址和中标金额，主要中标标的的名称、规格型号、数量、单价，中标公告期限以及评审专家名单。</w:t>
      </w:r>
    </w:p>
    <w:p w14:paraId="783A6D5F">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30.3中标公告期限为1个工作日。</w:t>
      </w:r>
    </w:p>
    <w:p w14:paraId="30D3AEF0">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30.4在公告中标结果的同时，采购代理机构应当向中标人发出中标通知书；对未通过资格审查的投标人，应当告知其未通过的原因；采用综合评分法评审的，还应当告知未中标人本人的评审得分与排序。</w:t>
      </w:r>
    </w:p>
    <w:p w14:paraId="04B353B9">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30.5中标通知书发出后，采购人不得违法改变中标结果，中标人无正当理由不得放弃中标。</w:t>
      </w:r>
    </w:p>
    <w:p w14:paraId="42EB8A24">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30.6中标通知书是合同的组成部分。</w:t>
      </w:r>
    </w:p>
    <w:p w14:paraId="77631A11">
      <w:pPr>
        <w:keepNext w:val="0"/>
        <w:keepLines w:val="0"/>
        <w:pageBreakBefore w:val="0"/>
        <w:widowControl w:val="0"/>
        <w:tabs>
          <w:tab w:val="left" w:pos="0"/>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31.中标服务费</w:t>
      </w:r>
    </w:p>
    <w:p w14:paraId="1BF066AF">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 收费标准</w:t>
      </w:r>
    </w:p>
    <w:p w14:paraId="7B6067D9">
      <w:pPr>
        <w:pStyle w:val="3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31.1参照国家计委[2002]1980号文件、国家发改委价格[2003]857号文件、《国家发展改革委关于降低部分建设项目收费标准规范行为等有关问题的通知》（发改价格[2011]534号）文件规定收取中标服务费。</w:t>
      </w:r>
    </w:p>
    <w:p w14:paraId="161DB31A">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outlineLvl w:val="1"/>
        <w:rPr>
          <w:rFonts w:hint="eastAsia" w:ascii="仿宋" w:hAnsi="仿宋" w:eastAsia="仿宋" w:cs="仿宋"/>
          <w:b/>
          <w:color w:val="auto"/>
          <w:kern w:val="0"/>
          <w:sz w:val="21"/>
          <w:szCs w:val="21"/>
          <w:highlight w:val="none"/>
        </w:rPr>
      </w:pPr>
      <w:bookmarkStart w:id="21" w:name="_Toc12453"/>
      <w:bookmarkStart w:id="22" w:name="_Toc117270086"/>
      <w:r>
        <w:rPr>
          <w:rFonts w:hint="eastAsia" w:ascii="仿宋" w:hAnsi="仿宋" w:eastAsia="仿宋" w:cs="仿宋"/>
          <w:b/>
          <w:color w:val="auto"/>
          <w:kern w:val="0"/>
          <w:sz w:val="21"/>
          <w:szCs w:val="21"/>
          <w:highlight w:val="none"/>
        </w:rPr>
        <w:t>七、签订合同</w:t>
      </w:r>
      <w:bookmarkEnd w:id="21"/>
      <w:bookmarkEnd w:id="22"/>
    </w:p>
    <w:p w14:paraId="4A7E0DFB">
      <w:pPr>
        <w:keepNext w:val="0"/>
        <w:keepLines w:val="0"/>
        <w:pageBreakBefore w:val="0"/>
        <w:widowControl w:val="0"/>
        <w:tabs>
          <w:tab w:val="left" w:pos="567"/>
        </w:tabs>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sz w:val="21"/>
          <w:szCs w:val="21"/>
          <w:highlight w:val="none"/>
        </w:rPr>
        <w:t>32.签订合同</w:t>
      </w:r>
    </w:p>
    <w:p w14:paraId="29344C5B">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32.1采购人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747D31CE">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32.2采购人不得向中标人提出任何不合理的要求作为签订合同的条件。</w:t>
      </w:r>
    </w:p>
    <w:p w14:paraId="76396FCE">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32.3在合同履行中，采购人如需追加与合同标的相同的货物，在不改变合同其他条款的前提下，采购人可与中标人协商签订补充合同，但所有补充合同的采购金额不得超过原合同金额的百分之十。 </w:t>
      </w:r>
    </w:p>
    <w:p w14:paraId="3DB5EC91">
      <w:pPr>
        <w:pStyle w:val="33"/>
        <w:keepNext w:val="0"/>
        <w:keepLines w:val="0"/>
        <w:pageBreakBefore w:val="0"/>
        <w:widowControl w:val="0"/>
        <w:kinsoku/>
        <w:wordWrap/>
        <w:overflowPunct/>
        <w:topLinePunct w:val="0"/>
        <w:autoSpaceDE/>
        <w:autoSpaceDN/>
        <w:bidi w:val="0"/>
        <w:snapToGrid w:val="0"/>
        <w:spacing w:line="360" w:lineRule="auto"/>
        <w:ind w:firstLine="420" w:firstLineChars="200"/>
        <w:jc w:val="both"/>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32.4投标人根据招标文件的规定和采购项目的实际情况，拟在中标后将中标项目的非主体、非关键性工作分包的，应当在投标文件中载明分包承担主体，分包承担主体应当具备相应资质条件且不得再次分包。</w:t>
      </w:r>
    </w:p>
    <w:p w14:paraId="2117E33A">
      <w:pPr>
        <w:pStyle w:val="33"/>
        <w:keepNext w:val="0"/>
        <w:keepLines w:val="0"/>
        <w:pageBreakBefore w:val="0"/>
        <w:widowControl w:val="0"/>
        <w:kinsoku/>
        <w:wordWrap/>
        <w:overflowPunct/>
        <w:topLinePunct w:val="0"/>
        <w:autoSpaceDE/>
        <w:autoSpaceDN/>
        <w:bidi w:val="0"/>
        <w:snapToGrid w:val="0"/>
        <w:spacing w:line="360" w:lineRule="auto"/>
        <w:ind w:firstLine="420" w:firstLineChars="200"/>
        <w:jc w:val="both"/>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32.5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 </w:t>
      </w:r>
    </w:p>
    <w:p w14:paraId="50A18A1B">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32.6采购人与中标人应当根据合同的约定依法履行合同义务。</w:t>
      </w:r>
    </w:p>
    <w:p w14:paraId="49ABDCB6">
      <w:pPr>
        <w:keepNext w:val="0"/>
        <w:keepLines w:val="0"/>
        <w:pageBreakBefore w:val="0"/>
        <w:widowControl w:val="0"/>
        <w:tabs>
          <w:tab w:val="left" w:pos="567"/>
        </w:tabs>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32.7中标人应当自合同或补充合同签订之日起5个工作日内，将合同副本一份报采购代理机构存档，采购人自合同签订之日起2个工作日内在</w:t>
      </w:r>
      <w:r>
        <w:rPr>
          <w:rFonts w:hint="eastAsia" w:ascii="仿宋" w:hAnsi="仿宋" w:eastAsia="仿宋" w:cs="仿宋"/>
          <w:b/>
          <w:color w:val="auto"/>
          <w:kern w:val="0"/>
          <w:sz w:val="21"/>
          <w:szCs w:val="21"/>
          <w:highlight w:val="none"/>
        </w:rPr>
        <w:t>中国政府采购网山西分网</w:t>
      </w:r>
      <w:r>
        <w:rPr>
          <w:rFonts w:hint="eastAsia" w:ascii="仿宋" w:hAnsi="仿宋" w:eastAsia="仿宋" w:cs="仿宋"/>
          <w:color w:val="auto"/>
          <w:kern w:val="0"/>
          <w:sz w:val="21"/>
          <w:szCs w:val="21"/>
          <w:highlight w:val="none"/>
        </w:rPr>
        <w:t>进行公示。</w:t>
      </w:r>
    </w:p>
    <w:p w14:paraId="2C340830">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outlineLvl w:val="1"/>
        <w:rPr>
          <w:rFonts w:hint="eastAsia" w:ascii="仿宋" w:hAnsi="仿宋" w:eastAsia="仿宋" w:cs="仿宋"/>
          <w:b/>
          <w:color w:val="auto"/>
          <w:kern w:val="0"/>
          <w:sz w:val="21"/>
          <w:szCs w:val="21"/>
          <w:highlight w:val="none"/>
        </w:rPr>
      </w:pPr>
      <w:bookmarkStart w:id="23" w:name="_Toc1122"/>
      <w:bookmarkStart w:id="24" w:name="_Toc117270087"/>
      <w:r>
        <w:rPr>
          <w:rFonts w:hint="eastAsia" w:ascii="仿宋" w:hAnsi="仿宋" w:eastAsia="仿宋" w:cs="仿宋"/>
          <w:b/>
          <w:color w:val="auto"/>
          <w:kern w:val="0"/>
          <w:sz w:val="21"/>
          <w:szCs w:val="21"/>
          <w:highlight w:val="none"/>
        </w:rPr>
        <w:t>八、保密和披露</w:t>
      </w:r>
      <w:bookmarkEnd w:id="23"/>
      <w:bookmarkEnd w:id="24"/>
    </w:p>
    <w:p w14:paraId="12FBD7A8">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33.保密</w:t>
      </w:r>
    </w:p>
    <w:p w14:paraId="5071BB77">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33.1潜在投标人自获取招标文件之日起，须承诺承担本招标项目项下保密义务，不得将因本次招标获得的信息向第三人外传。</w:t>
      </w:r>
    </w:p>
    <w:p w14:paraId="16DC3E9D">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bCs/>
          <w:color w:val="auto"/>
          <w:kern w:val="0"/>
          <w:sz w:val="21"/>
          <w:szCs w:val="21"/>
          <w:highlight w:val="none"/>
        </w:rPr>
        <w:t>33.2有关人员对评标情况以及在评标过程中获悉的国家秘密、商业秘密负有保密责任。</w:t>
      </w:r>
    </w:p>
    <w:p w14:paraId="19E9AC9E">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34.披露</w:t>
      </w:r>
    </w:p>
    <w:p w14:paraId="309FAB12">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34.1采购人或采购代理机构有权将投标人提供的所有资料向政府有关部门或评审标书的有关人员披露。</w:t>
      </w:r>
    </w:p>
    <w:p w14:paraId="50E71F12">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34.2在采购代理机构认为适当时、国家机关调查、审查、审计时以及其他符合法律规定的情形下，采购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481D22B2">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outlineLvl w:val="1"/>
        <w:rPr>
          <w:rFonts w:hint="eastAsia" w:ascii="仿宋" w:hAnsi="仿宋" w:eastAsia="仿宋" w:cs="仿宋"/>
          <w:b/>
          <w:color w:val="auto"/>
          <w:kern w:val="0"/>
          <w:sz w:val="21"/>
          <w:szCs w:val="21"/>
          <w:highlight w:val="none"/>
        </w:rPr>
      </w:pPr>
      <w:bookmarkStart w:id="25" w:name="_Toc117270088"/>
      <w:bookmarkStart w:id="26" w:name="_Toc4388"/>
      <w:r>
        <w:rPr>
          <w:rFonts w:hint="eastAsia" w:ascii="仿宋" w:hAnsi="仿宋" w:eastAsia="仿宋" w:cs="仿宋"/>
          <w:b/>
          <w:color w:val="auto"/>
          <w:kern w:val="0"/>
          <w:sz w:val="21"/>
          <w:szCs w:val="21"/>
          <w:highlight w:val="none"/>
        </w:rPr>
        <w:t>九、询问和质疑</w:t>
      </w:r>
      <w:bookmarkEnd w:id="25"/>
      <w:bookmarkEnd w:id="26"/>
    </w:p>
    <w:p w14:paraId="0930D513">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35.投标人有权就招标事宜提出询问和质疑。</w:t>
      </w:r>
    </w:p>
    <w:p w14:paraId="3D6175EE">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35.1 招标程序受《中华人民共和国政府采购法》、《中华人民共和国政府采购法实施条例》、《政府采购货物和服务招标投标管理办法》和相关法律法规的约束，并受到严格的内部监督，以确保授予合同过程的公平公正。</w:t>
      </w:r>
    </w:p>
    <w:p w14:paraId="14AD49B6">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35.2 投标人对招标文件条款或商务、技术参数有异议的，应当在开标前通过澄清或修改程序提出。</w:t>
      </w:r>
    </w:p>
    <w:p w14:paraId="41491A9F">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35.3 投标人对采购文件在法定质疑期内一次性提出针对同一采购程序环节的质疑。</w:t>
      </w:r>
    </w:p>
    <w:p w14:paraId="7A786D58">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35.4 投标人认为采购文件、采购过程、中标或者成交结果使自己的权益受到损害的，可以在知道或者应知其权益受到损害之日起7个工作日内，以书面形式向采购人、采购代理机构提出质疑。</w:t>
      </w:r>
    </w:p>
    <w:p w14:paraId="3E8C227D">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35.5 潜在投标人已依法获取其可质疑的采购文件的，可以对采购文件提出质疑。对采购文件提出质疑的，在获取采购文件或者采购文件公告期限届满之日起7个工作日内提出。</w:t>
      </w:r>
    </w:p>
    <w:p w14:paraId="599F2439">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35.6质疑应当以书面形式向采购代理机构提出，经法定代表人（负责人）签字并加盖公章。</w:t>
      </w:r>
    </w:p>
    <w:p w14:paraId="4638740F">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35.7 投标人提出质疑应当提交质疑函和必要的证明材料。质疑函应当包括以下主要内容：</w:t>
      </w:r>
    </w:p>
    <w:p w14:paraId="1C1E3DCC">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35.7.1投标人的姓名或者名称、地址、邮编、联系人及联系电话；</w:t>
      </w:r>
    </w:p>
    <w:p w14:paraId="756AB125">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35.7.2质疑项目名称、编号、包号（若分包）；</w:t>
      </w:r>
    </w:p>
    <w:p w14:paraId="33456507">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35.7.3具体、明确的质疑事项和与质疑事项相关的请求；</w:t>
      </w:r>
    </w:p>
    <w:p w14:paraId="3CE3C37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35.7.4事实依据；</w:t>
      </w:r>
    </w:p>
    <w:p w14:paraId="3BE58A8B">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35.7.5必要的法律依据；</w:t>
      </w:r>
    </w:p>
    <w:p w14:paraId="7DBE59AF">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35.7.6提出质疑的日期。</w:t>
      </w:r>
    </w:p>
    <w:p w14:paraId="5D3AAF74">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投标人为自然人的，应当由本人签字；投标人为法人或者其他组织的，应当由法定代表人、主要负责人或者其授权代表签字或者盖章，并加盖公章。</w:t>
      </w:r>
    </w:p>
    <w:p w14:paraId="4DB9EB3F">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35.8 质疑书应当附相关证明材料，材料应为简体中文，一式二份。</w:t>
      </w:r>
    </w:p>
    <w:p w14:paraId="1B91756C">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35.9有下列情形之一的，属于无效质疑，采购代理机构可不予受理：</w:t>
      </w:r>
    </w:p>
    <w:p w14:paraId="77410AD9">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35.9.1未在有效期限内提出质疑的；</w:t>
      </w:r>
    </w:p>
    <w:p w14:paraId="2B1D1D8C">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35.9.2质疑未以书面形式提出的；</w:t>
      </w:r>
    </w:p>
    <w:p w14:paraId="2DEF2FF8">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35.9.3所提交材料未明示属于质疑材料的；</w:t>
      </w:r>
    </w:p>
    <w:p w14:paraId="2CEE7E35">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35.9.4质疑书没有法定代表人（负责人）签章并加盖单位公章的；质疑书由参加采购项目的授权代表签署本人姓名或印盖本人姓名章，但没有法定代表人（负责人）特别授权的；</w:t>
      </w:r>
    </w:p>
    <w:p w14:paraId="7E10B6C9">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35.9.5质疑书未提供有效联系人或联系方式的；</w:t>
      </w:r>
    </w:p>
    <w:p w14:paraId="1DB438CB">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35.9.6质疑事项已经进入投诉或者行政复议或者诉讼程序的；</w:t>
      </w:r>
    </w:p>
    <w:p w14:paraId="0105ABE2">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35.9.7质疑书未附相关证明材料，被视为无有效证据支持的；</w:t>
      </w:r>
    </w:p>
    <w:p w14:paraId="7988FCF2">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35.9.8投标人对招标文件条款或技术参数有异议，未在开标前通过澄清或修改程序提出，并且投标人已经参与投标，而于开标后对招标文件提出质疑的；</w:t>
      </w:r>
    </w:p>
    <w:p w14:paraId="53584AD5">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35.9.9其它不符合受理条件的情形。</w:t>
      </w:r>
    </w:p>
    <w:p w14:paraId="5CF96B12">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35.10采购人、采购代理机构不得拒收质疑投标人在法定质疑期内发出的质疑函，应当在收到质疑函后7个工作日内做出答复，并以书面形式通知质疑投标人和其他有关投标人。</w:t>
      </w:r>
    </w:p>
    <w:p w14:paraId="4F9F5AC0">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35.11投标人对评审过程、中标结果提出质疑的，采购人、采购代理机构可以组织原评标委员会协助答复质疑。</w:t>
      </w:r>
    </w:p>
    <w:p w14:paraId="55E7A87D">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35.12质疑答复应当包含以下内容：</w:t>
      </w:r>
    </w:p>
    <w:p w14:paraId="0940F080">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74225080">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35.13采购人、采购代理机构认为投标人质疑不成立，或者成立但未对中标结果构成影响的，继续开展采购活动；认为投标人质疑成立且影响或者可能影响中标结果的，按照下列情况处理：</w:t>
      </w:r>
    </w:p>
    <w:p w14:paraId="0B5A73B2">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35.13.1对招标文件提出的质疑，依法通过澄清或者修改可以继续开展招标活动；否则应当修改招标文件后重新开展活动。</w:t>
      </w:r>
    </w:p>
    <w:p w14:paraId="3D3A9F81">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35.13.2对招标过程、中标结果提出的质疑，合格投标人符合法定数量时，可以从合格的中标候选人中另行确定中标人的，应当依法另行确定中标人；否则应当重新开展招标活动。</w:t>
      </w:r>
    </w:p>
    <w:p w14:paraId="56EF3C4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质疑答复导致中标结果改变的，采购或者采购代理机构应当将有关情况书面报告本机财政部门。</w:t>
      </w:r>
    </w:p>
    <w:p w14:paraId="13C0FD98">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35.14质疑投标人对采购人、采购代理机构的答复不满意，或者采购代理机构未在规定的时间内做出答复的，可以在答复期满后15个工作日内向政府采购监管部门投诉。</w:t>
      </w:r>
    </w:p>
    <w:p w14:paraId="65822D1F">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bookmarkStart w:id="27" w:name="_Toc117270089"/>
      <w:bookmarkStart w:id="28" w:name="_Toc29792"/>
      <w:r>
        <w:rPr>
          <w:rFonts w:hint="eastAsia" w:ascii="仿宋" w:hAnsi="仿宋" w:eastAsia="仿宋" w:cs="仿宋"/>
          <w:color w:val="auto"/>
          <w:kern w:val="0"/>
          <w:sz w:val="21"/>
          <w:szCs w:val="21"/>
          <w:highlight w:val="none"/>
        </w:rPr>
        <w:t>3</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15投标人</w:t>
      </w:r>
      <w:r>
        <w:rPr>
          <w:rFonts w:hint="eastAsia" w:ascii="仿宋" w:hAnsi="仿宋" w:eastAsia="仿宋" w:cs="仿宋"/>
          <w:color w:val="auto"/>
          <w:kern w:val="0"/>
          <w:sz w:val="21"/>
          <w:szCs w:val="21"/>
          <w:highlight w:val="none"/>
        </w:rPr>
        <w:t>对</w:t>
      </w:r>
      <w:r>
        <w:rPr>
          <w:rFonts w:hint="eastAsia" w:ascii="仿宋" w:hAnsi="仿宋" w:eastAsia="仿宋" w:cs="仿宋"/>
          <w:color w:val="auto"/>
          <w:kern w:val="0"/>
          <w:sz w:val="21"/>
          <w:szCs w:val="21"/>
          <w:highlight w:val="none"/>
          <w:lang w:val="en-US" w:eastAsia="zh-CN"/>
        </w:rPr>
        <w:t>招标</w:t>
      </w:r>
      <w:r>
        <w:rPr>
          <w:rFonts w:hint="eastAsia" w:ascii="仿宋" w:hAnsi="仿宋" w:eastAsia="仿宋" w:cs="仿宋"/>
          <w:color w:val="auto"/>
          <w:kern w:val="0"/>
          <w:sz w:val="21"/>
          <w:szCs w:val="21"/>
          <w:highlight w:val="none"/>
        </w:rPr>
        <w:t>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345C0683">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16投标人</w:t>
      </w:r>
      <w:r>
        <w:rPr>
          <w:rFonts w:hint="eastAsia" w:ascii="仿宋" w:hAnsi="仿宋" w:eastAsia="仿宋" w:cs="仿宋"/>
          <w:color w:val="auto"/>
          <w:kern w:val="0"/>
          <w:sz w:val="21"/>
          <w:szCs w:val="21"/>
          <w:highlight w:val="none"/>
        </w:rPr>
        <w:t>对</w:t>
      </w:r>
      <w:r>
        <w:rPr>
          <w:rFonts w:hint="eastAsia" w:ascii="仿宋" w:hAnsi="仿宋" w:eastAsia="仿宋" w:cs="仿宋"/>
          <w:color w:val="auto"/>
          <w:kern w:val="0"/>
          <w:sz w:val="21"/>
          <w:szCs w:val="21"/>
          <w:highlight w:val="none"/>
          <w:lang w:val="en-US" w:eastAsia="zh-CN"/>
        </w:rPr>
        <w:t>采购</w:t>
      </w:r>
      <w:r>
        <w:rPr>
          <w:rFonts w:hint="eastAsia" w:ascii="仿宋" w:hAnsi="仿宋" w:eastAsia="仿宋" w:cs="仿宋"/>
          <w:color w:val="auto"/>
          <w:kern w:val="0"/>
          <w:sz w:val="21"/>
          <w:szCs w:val="21"/>
          <w:highlight w:val="none"/>
        </w:rPr>
        <w:t>程序进行书面询问或质疑的，须通过政府采购平台进入“项目质疑管理”，按照系统中询问列表、质疑列表填写相关内容，填写完成后在“被询问/质疑对象机构类型”中选择“代理机构”，向代理机构提交询问函或质疑函。</w:t>
      </w:r>
    </w:p>
    <w:p w14:paraId="5AFE5EE7">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十、相关政府采购政策要求</w:t>
      </w:r>
      <w:bookmarkEnd w:id="27"/>
      <w:bookmarkEnd w:id="28"/>
    </w:p>
    <w:p w14:paraId="28AB00A7">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36.进口货物及政策要求</w:t>
      </w:r>
    </w:p>
    <w:p w14:paraId="0519828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本招标文件涉及的采购货物及软件服务，</w:t>
      </w:r>
      <w:r>
        <w:rPr>
          <w:rFonts w:hint="eastAsia" w:ascii="仿宋" w:hAnsi="仿宋" w:eastAsia="仿宋" w:cs="仿宋"/>
          <w:color w:val="auto"/>
          <w:sz w:val="21"/>
          <w:szCs w:val="21"/>
          <w:highlight w:val="none"/>
        </w:rPr>
        <w:t>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投标人的进口产品，如果有能够满足采购需求的国产产品参与，应当按照公平竞争的原则进行评审。</w:t>
      </w:r>
    </w:p>
    <w:p w14:paraId="2B6C4854">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37.国家强制产品</w:t>
      </w:r>
    </w:p>
    <w:p w14:paraId="44478FD1">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提供获得国家确定的认证机构出具的处于有效期之内的节能产品认证证书。</w:t>
      </w:r>
    </w:p>
    <w:p w14:paraId="2ED7131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38.</w:t>
      </w:r>
      <w:r>
        <w:rPr>
          <w:rFonts w:hint="eastAsia" w:ascii="仿宋" w:hAnsi="仿宋" w:eastAsia="仿宋" w:cs="仿宋"/>
          <w:color w:val="auto"/>
          <w:sz w:val="21"/>
          <w:szCs w:val="21"/>
          <w:highlight w:val="none"/>
        </w:rPr>
        <w:t>投报环境标志产品政府采购品目清单中的产品，且提供所投产品获得国家确定的认证机构出具的、处于有效期之内的环境标志产品认证证书。</w:t>
      </w:r>
    </w:p>
    <w:p w14:paraId="7DD10C4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39.采购货物中如含有计算机，必须预装正版操作系统软件产品；项目中所采购的其它软件必须为正版软件。</w:t>
      </w:r>
    </w:p>
    <w:p w14:paraId="17772633">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40.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789DA1E3">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具备资格的机构是指列入《承担网络关键设备和网络安全专用产品安全认证和安全检测任务机构名录》的机构。</w:t>
      </w:r>
    </w:p>
    <w:p w14:paraId="2B25059E">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国家互联网信息办公室、工业和信息化部、公安部、国家认证认可监督管理委员会发布更新《网络关键设备和网络安全专用产品目录》、《承担网络关键设备和网络安全专用产品安全认证和安全检测任务机构名录》。</w:t>
      </w:r>
    </w:p>
    <w:p w14:paraId="2184C40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41.中小微企业参加本项目：</w:t>
      </w:r>
    </w:p>
    <w:p w14:paraId="3FD5FD3F">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463FE756">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42．残疾人福利单位参加本项目：</w:t>
      </w:r>
    </w:p>
    <w:p w14:paraId="7620979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依据《三部门联合发布关于促进残疾人就业政府采购政策的通知》（财库[2017]141号）第三条规定，需附残疾人福利性单位声明函。</w:t>
      </w:r>
    </w:p>
    <w:p w14:paraId="1BC66D74">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43．监狱企业参加本项目：</w:t>
      </w:r>
    </w:p>
    <w:p w14:paraId="1F7BFE67">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依据《财政部司法部关于政府采购支持监狱企业发展有关问题的通知》(财库〔2014〕68号)规定，须提供相关证明材料。</w:t>
      </w:r>
    </w:p>
    <w:p w14:paraId="2729036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44.联合体参加本项目：</w:t>
      </w:r>
    </w:p>
    <w:p w14:paraId="0B9901E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如本项目为接受大中型企业与小微企业组成联合体或者允许大中型企业向一家或者多家小微企业分包的采购项目，需附《联合体投标协议书》。</w:t>
      </w:r>
    </w:p>
    <w:p w14:paraId="68796A0D">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45.环保节能产品参加的项目：</w:t>
      </w:r>
    </w:p>
    <w:p w14:paraId="021D4037">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投报节能产品政府采购品目清单中强制性采购产品以外的其它节能产品，且提供所投产品获得国家确定的认证机构出具的、处于有效期之内的节能产品认证证书。</w:t>
      </w:r>
    </w:p>
    <w:p w14:paraId="3817AAFC">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投报环境标志产品政府采购品目清单中的产品，且提供所投产品获得国家确定的认证机构出具的、处于有效期之内的环境标志产品认证证书。</w:t>
      </w:r>
    </w:p>
    <w:p w14:paraId="01647D25">
      <w:pPr>
        <w:pStyle w:val="18"/>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46.创新产品参加的项目</w:t>
      </w:r>
    </w:p>
    <w:p w14:paraId="48B3243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根据《政府采购支持创新产品和服务实施细则》（晋财购【2019】19号），需在</w:t>
      </w:r>
      <w:r>
        <w:rPr>
          <w:rFonts w:hint="eastAsia" w:ascii="仿宋" w:hAnsi="仿宋" w:eastAsia="仿宋" w:cs="仿宋"/>
          <w:color w:val="auto"/>
          <w:kern w:val="0"/>
          <w:sz w:val="21"/>
          <w:szCs w:val="21"/>
          <w:highlight w:val="none"/>
          <w:lang w:eastAsia="zh-CN"/>
        </w:rPr>
        <w:t>投标文件</w:t>
      </w:r>
      <w:r>
        <w:rPr>
          <w:rFonts w:hint="eastAsia" w:ascii="仿宋" w:hAnsi="仿宋" w:eastAsia="仿宋" w:cs="仿宋"/>
          <w:color w:val="auto"/>
          <w:kern w:val="0"/>
          <w:sz w:val="21"/>
          <w:szCs w:val="21"/>
          <w:highlight w:val="none"/>
        </w:rPr>
        <w:t>中提供《山西省创新产品和服务推荐清单》，并填写《创新产品或创新服务明细表》。</w:t>
      </w:r>
    </w:p>
    <w:p w14:paraId="4E39F560">
      <w:pPr>
        <w:pStyle w:val="18"/>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47.商品包装和快递包装</w:t>
      </w:r>
    </w:p>
    <w:p w14:paraId="76EA4086">
      <w:pPr>
        <w:pStyle w:val="18"/>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本文件列出商品包装和快递包装要求的，投标人需填写商品包装和快递包装承诺函，承诺商品包装符合《商品包装政府采购需求标准（试行）》，快递包装符合《快递包装政府采购需求标准（试行）》。</w:t>
      </w:r>
    </w:p>
    <w:p w14:paraId="2FC36F58">
      <w:pPr>
        <w:pStyle w:val="18"/>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.未尽事宜以《中华人民共和国政府采购法》‌和《政府采购货物和服务招标投标管理办法》（财政部令第87号）执行。</w:t>
      </w:r>
    </w:p>
    <w:p w14:paraId="7E2E8231">
      <w:pPr>
        <w:pStyle w:val="18"/>
        <w:keepNext w:val="0"/>
        <w:keepLines w:val="0"/>
        <w:pageBreakBefore w:val="0"/>
        <w:widowControl w:val="0"/>
        <w:kinsoku/>
        <w:wordWrap/>
        <w:overflowPunct/>
        <w:topLinePunct w:val="0"/>
        <w:autoSpaceDE/>
        <w:autoSpaceDN/>
        <w:bidi w:val="0"/>
        <w:spacing w:line="360" w:lineRule="auto"/>
        <w:ind w:firstLine="723" w:firstLineChars="200"/>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14:paraId="6EE1BD85">
      <w:pPr>
        <w:pStyle w:val="18"/>
        <w:widowControl w:val="0"/>
        <w:spacing w:before="120" w:beforeLines="50" w:after="120" w:afterLines="50" w:line="440" w:lineRule="exact"/>
        <w:jc w:val="center"/>
        <w:outlineLvl w:val="0"/>
        <w:rPr>
          <w:rFonts w:hint="eastAsia" w:ascii="仿宋" w:hAnsi="仿宋" w:eastAsia="仿宋" w:cs="仿宋"/>
          <w:b/>
          <w:color w:val="auto"/>
          <w:sz w:val="32"/>
          <w:szCs w:val="32"/>
          <w:highlight w:val="none"/>
        </w:rPr>
      </w:pPr>
      <w:bookmarkStart w:id="29" w:name="_Toc14585"/>
      <w:bookmarkStart w:id="30" w:name="_Toc117270091"/>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val="en-US" w:eastAsia="zh-CN"/>
        </w:rPr>
        <w:t>四</w:t>
      </w:r>
      <w:r>
        <w:rPr>
          <w:rFonts w:hint="eastAsia" w:ascii="仿宋" w:hAnsi="仿宋" w:eastAsia="仿宋" w:cs="仿宋"/>
          <w:b/>
          <w:color w:val="auto"/>
          <w:sz w:val="32"/>
          <w:szCs w:val="32"/>
          <w:highlight w:val="none"/>
        </w:rPr>
        <w:t>部分  商务、技术要求</w:t>
      </w:r>
      <w:bookmarkEnd w:id="29"/>
      <w:bookmarkEnd w:id="30"/>
    </w:p>
    <w:p w14:paraId="652FCB3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szCs w:val="21"/>
          <w:highlight w:val="none"/>
          <w:lang w:val="en-US" w:eastAsia="zh-CN"/>
        </w:rPr>
      </w:pPr>
      <w:bookmarkStart w:id="31" w:name="_Toc326248004"/>
      <w:r>
        <w:rPr>
          <w:rFonts w:hint="eastAsia" w:ascii="仿宋" w:hAnsi="仿宋" w:eastAsia="仿宋" w:cs="仿宋"/>
          <w:b/>
          <w:bCs/>
          <w:color w:val="auto"/>
          <w:szCs w:val="21"/>
          <w:highlight w:val="none"/>
          <w:lang w:val="en-US" w:eastAsia="zh-CN"/>
        </w:rPr>
        <w:t>一、项目概括</w:t>
      </w:r>
    </w:p>
    <w:p w14:paraId="1FD945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为深入贯彻落实党的二十大精神和习近平总书记视察山西重要讲话精神，深入推进我县农业供给侧结构性改革，持续夯实现代农业基础，提高农业质量效益和竞争力，全面推动我县富硒功能农业产业化发展，巩固提升农业特色产业扶贫成果，根据2026年县委、县政府关于特色产业发展等有关工作安排，特实施本项目。</w:t>
      </w:r>
    </w:p>
    <w:p w14:paraId="4DD3AC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本项目需实现的目标：通过“龙头企业+合作社+基地+农户”的产业发展模式，订单式链接合作社和项目区域农户，进一步巩固提升、持续壮大我县富硒杂粮产业，提高富硒谷子生产标准化水平，构建河曲县富硒谷子全产业链发展体系，持续提升河曲自己的富硒小米品牌竞争力。有效巩固拓展脱贫攻坚成果，持续推进河曲县乡村振兴产业发展壮大。</w:t>
      </w:r>
    </w:p>
    <w:p w14:paraId="246FA0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项目建设规模与服务内容：</w:t>
      </w:r>
    </w:p>
    <w:p w14:paraId="277D01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1、以中标人提供硒肥和富硒谷子种植、回收、加工、销售、检测为主，项目实施所在地乡镇政府和项目实施村配合，实施完成全部项目内容。2026 年在全县 6 个乡镇实现≥36975.57亩的富硒谷子种植面积，年初由中标人与农户直接签订谷子回收合同；</w:t>
      </w:r>
    </w:p>
    <w:p w14:paraId="0DD206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2、肥料由中标人研发并统一免费提供；</w:t>
      </w:r>
    </w:p>
    <w:p w14:paraId="4A31F7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3、项目实施过程中要求统一规划、统一技术指导、统一标准要求、统一收购，中标人自主加工和销售；</w:t>
      </w:r>
    </w:p>
    <w:p w14:paraId="790BD1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4、项目实施完毕，由中标人统一回收订单内合格的富硒谷子，回收价格要高于同期市场非富硒同类谷子价格的15%--20%，无不可抗力或农户惜售等原因合格品回收率要达到80% 以上；</w:t>
      </w:r>
    </w:p>
    <w:p w14:paraId="6CE79A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5、项目实施完成后中标人提供实施过程中的所有材料及佐证资料和由第三方出具的项目绩效评价报告；</w:t>
      </w:r>
    </w:p>
    <w:p w14:paraId="62ED4F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6、由供应商提供项目区域谷子硒含量检测报告。（服务内容详见服务需求书）</w:t>
      </w:r>
    </w:p>
    <w:p w14:paraId="2E1C02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河曲县2026年六乡镇富硒谷子产业奖补项目种植规模</w:t>
      </w:r>
    </w:p>
    <w:tbl>
      <w:tblPr>
        <w:tblStyle w:val="41"/>
        <w:tblW w:w="8292" w:type="dxa"/>
        <w:tblInd w:w="3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606"/>
        <w:gridCol w:w="1521"/>
        <w:gridCol w:w="2152"/>
        <w:gridCol w:w="2157"/>
      </w:tblGrid>
      <w:tr w14:paraId="28DB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56" w:type="dxa"/>
            <w:vAlign w:val="top"/>
          </w:tcPr>
          <w:p w14:paraId="22E48D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序号</w:t>
            </w:r>
          </w:p>
        </w:tc>
        <w:tc>
          <w:tcPr>
            <w:tcW w:w="1606" w:type="dxa"/>
            <w:vAlign w:val="top"/>
          </w:tcPr>
          <w:p w14:paraId="6B5D485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乡镇</w:t>
            </w:r>
          </w:p>
        </w:tc>
        <w:tc>
          <w:tcPr>
            <w:tcW w:w="1521" w:type="dxa"/>
            <w:vAlign w:val="top"/>
          </w:tcPr>
          <w:p w14:paraId="7234C9E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种植亩数</w:t>
            </w:r>
          </w:p>
        </w:tc>
        <w:tc>
          <w:tcPr>
            <w:tcW w:w="2152" w:type="dxa"/>
            <w:vAlign w:val="top"/>
          </w:tcPr>
          <w:p w14:paraId="5AD089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预算金额（元）</w:t>
            </w:r>
          </w:p>
        </w:tc>
        <w:tc>
          <w:tcPr>
            <w:tcW w:w="2157" w:type="dxa"/>
            <w:vAlign w:val="top"/>
          </w:tcPr>
          <w:p w14:paraId="5241716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最高限价（元）</w:t>
            </w:r>
          </w:p>
        </w:tc>
      </w:tr>
      <w:tr w14:paraId="00E96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856" w:type="dxa"/>
            <w:vAlign w:val="top"/>
          </w:tcPr>
          <w:p w14:paraId="1CE4E2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w:t>
            </w:r>
          </w:p>
        </w:tc>
        <w:tc>
          <w:tcPr>
            <w:tcW w:w="1606" w:type="dxa"/>
            <w:shd w:val="clear" w:color="auto" w:fill="auto"/>
            <w:vAlign w:val="center"/>
          </w:tcPr>
          <w:p w14:paraId="6E7674E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鹿固乡</w:t>
            </w:r>
          </w:p>
        </w:tc>
        <w:tc>
          <w:tcPr>
            <w:tcW w:w="1521" w:type="dxa"/>
            <w:shd w:val="clear" w:color="auto" w:fill="auto"/>
            <w:vAlign w:val="center"/>
          </w:tcPr>
          <w:p w14:paraId="3BAB3D5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8208.59</w:t>
            </w:r>
          </w:p>
        </w:tc>
        <w:tc>
          <w:tcPr>
            <w:tcW w:w="2152" w:type="dxa"/>
            <w:shd w:val="clear" w:color="auto" w:fill="auto"/>
            <w:vAlign w:val="center"/>
          </w:tcPr>
          <w:p w14:paraId="077FA1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2667791.75</w:t>
            </w:r>
          </w:p>
        </w:tc>
        <w:tc>
          <w:tcPr>
            <w:tcW w:w="2157" w:type="dxa"/>
            <w:shd w:val="clear" w:color="auto" w:fill="auto"/>
            <w:vAlign w:val="center"/>
          </w:tcPr>
          <w:p w14:paraId="338E46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2667791.75</w:t>
            </w:r>
          </w:p>
        </w:tc>
      </w:tr>
      <w:tr w14:paraId="28AC2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56" w:type="dxa"/>
            <w:vAlign w:val="top"/>
          </w:tcPr>
          <w:p w14:paraId="58DCDE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w:t>
            </w:r>
          </w:p>
        </w:tc>
        <w:tc>
          <w:tcPr>
            <w:tcW w:w="1606" w:type="dxa"/>
            <w:shd w:val="clear" w:color="auto" w:fill="auto"/>
            <w:vAlign w:val="center"/>
          </w:tcPr>
          <w:p w14:paraId="119217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沙坪乡</w:t>
            </w:r>
          </w:p>
        </w:tc>
        <w:tc>
          <w:tcPr>
            <w:tcW w:w="1521" w:type="dxa"/>
            <w:shd w:val="clear" w:color="auto" w:fill="auto"/>
            <w:vAlign w:val="center"/>
          </w:tcPr>
          <w:p w14:paraId="6F6718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1001</w:t>
            </w:r>
          </w:p>
        </w:tc>
        <w:tc>
          <w:tcPr>
            <w:tcW w:w="2152" w:type="dxa"/>
            <w:vAlign w:val="center"/>
          </w:tcPr>
          <w:p w14:paraId="1F9883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325325</w:t>
            </w:r>
          </w:p>
        </w:tc>
        <w:tc>
          <w:tcPr>
            <w:tcW w:w="2157" w:type="dxa"/>
            <w:vAlign w:val="center"/>
          </w:tcPr>
          <w:p w14:paraId="514E86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325325</w:t>
            </w:r>
          </w:p>
        </w:tc>
      </w:tr>
      <w:tr w14:paraId="27E69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856" w:type="dxa"/>
            <w:vAlign w:val="top"/>
          </w:tcPr>
          <w:p w14:paraId="5715AB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w:t>
            </w:r>
          </w:p>
        </w:tc>
        <w:tc>
          <w:tcPr>
            <w:tcW w:w="1606" w:type="dxa"/>
            <w:vAlign w:val="center"/>
          </w:tcPr>
          <w:p w14:paraId="3D6BF0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土沟乡</w:t>
            </w:r>
          </w:p>
        </w:tc>
        <w:tc>
          <w:tcPr>
            <w:tcW w:w="1521" w:type="dxa"/>
            <w:vAlign w:val="center"/>
          </w:tcPr>
          <w:p w14:paraId="49F861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9900</w:t>
            </w:r>
          </w:p>
        </w:tc>
        <w:tc>
          <w:tcPr>
            <w:tcW w:w="2152" w:type="dxa"/>
            <w:vAlign w:val="center"/>
          </w:tcPr>
          <w:p w14:paraId="659A87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3217500</w:t>
            </w:r>
          </w:p>
        </w:tc>
        <w:tc>
          <w:tcPr>
            <w:tcW w:w="2157" w:type="dxa"/>
            <w:vAlign w:val="center"/>
          </w:tcPr>
          <w:p w14:paraId="018049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3217500</w:t>
            </w:r>
          </w:p>
        </w:tc>
      </w:tr>
      <w:tr w14:paraId="17484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56" w:type="dxa"/>
            <w:vAlign w:val="top"/>
          </w:tcPr>
          <w:p w14:paraId="659A6B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w:t>
            </w:r>
          </w:p>
        </w:tc>
        <w:tc>
          <w:tcPr>
            <w:tcW w:w="1606" w:type="dxa"/>
            <w:vAlign w:val="center"/>
          </w:tcPr>
          <w:p w14:paraId="54D58B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社梁乡</w:t>
            </w:r>
          </w:p>
        </w:tc>
        <w:tc>
          <w:tcPr>
            <w:tcW w:w="1521" w:type="dxa"/>
            <w:vAlign w:val="center"/>
          </w:tcPr>
          <w:p w14:paraId="014CA58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6845</w:t>
            </w:r>
          </w:p>
        </w:tc>
        <w:tc>
          <w:tcPr>
            <w:tcW w:w="2152" w:type="dxa"/>
            <w:shd w:val="clear" w:color="auto" w:fill="auto"/>
            <w:vAlign w:val="center"/>
          </w:tcPr>
          <w:p w14:paraId="26EADA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2224625</w:t>
            </w:r>
          </w:p>
        </w:tc>
        <w:tc>
          <w:tcPr>
            <w:tcW w:w="2157" w:type="dxa"/>
            <w:shd w:val="clear" w:color="auto" w:fill="auto"/>
            <w:vAlign w:val="center"/>
          </w:tcPr>
          <w:p w14:paraId="38BB3E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2224625</w:t>
            </w:r>
          </w:p>
        </w:tc>
      </w:tr>
      <w:tr w14:paraId="5A585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856" w:type="dxa"/>
            <w:vAlign w:val="top"/>
          </w:tcPr>
          <w:p w14:paraId="0F967C6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w:t>
            </w:r>
          </w:p>
        </w:tc>
        <w:tc>
          <w:tcPr>
            <w:tcW w:w="1606" w:type="dxa"/>
            <w:vAlign w:val="center"/>
          </w:tcPr>
          <w:p w14:paraId="35AD91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沙泉镇</w:t>
            </w:r>
          </w:p>
        </w:tc>
        <w:tc>
          <w:tcPr>
            <w:tcW w:w="1521" w:type="dxa"/>
            <w:vAlign w:val="center"/>
          </w:tcPr>
          <w:p w14:paraId="08F74C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6097</w:t>
            </w:r>
          </w:p>
        </w:tc>
        <w:tc>
          <w:tcPr>
            <w:tcW w:w="2152" w:type="dxa"/>
            <w:vAlign w:val="center"/>
          </w:tcPr>
          <w:p w14:paraId="2EF410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1981525</w:t>
            </w:r>
          </w:p>
        </w:tc>
        <w:tc>
          <w:tcPr>
            <w:tcW w:w="2157" w:type="dxa"/>
            <w:vAlign w:val="center"/>
          </w:tcPr>
          <w:p w14:paraId="7677DF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1981525</w:t>
            </w:r>
          </w:p>
        </w:tc>
      </w:tr>
      <w:tr w14:paraId="02500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856" w:type="dxa"/>
            <w:vAlign w:val="top"/>
          </w:tcPr>
          <w:p w14:paraId="2262696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6</w:t>
            </w:r>
          </w:p>
        </w:tc>
        <w:tc>
          <w:tcPr>
            <w:tcW w:w="1606" w:type="dxa"/>
            <w:vAlign w:val="center"/>
          </w:tcPr>
          <w:p w14:paraId="41E909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刘家塔镇</w:t>
            </w:r>
          </w:p>
        </w:tc>
        <w:tc>
          <w:tcPr>
            <w:tcW w:w="1521" w:type="dxa"/>
            <w:vAlign w:val="center"/>
          </w:tcPr>
          <w:p w14:paraId="4FC874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4923.98</w:t>
            </w:r>
          </w:p>
        </w:tc>
        <w:tc>
          <w:tcPr>
            <w:tcW w:w="2152" w:type="dxa"/>
            <w:vAlign w:val="center"/>
          </w:tcPr>
          <w:p w14:paraId="1F36EE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1600293.5</w:t>
            </w:r>
          </w:p>
        </w:tc>
        <w:tc>
          <w:tcPr>
            <w:tcW w:w="2157" w:type="dxa"/>
            <w:vAlign w:val="center"/>
          </w:tcPr>
          <w:p w14:paraId="5A40EC8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1600293.5</w:t>
            </w:r>
          </w:p>
        </w:tc>
      </w:tr>
      <w:tr w14:paraId="523D3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856" w:type="dxa"/>
            <w:vAlign w:val="top"/>
          </w:tcPr>
          <w:p w14:paraId="76A687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合计</w:t>
            </w:r>
          </w:p>
        </w:tc>
        <w:tc>
          <w:tcPr>
            <w:tcW w:w="1606" w:type="dxa"/>
            <w:vAlign w:val="top"/>
          </w:tcPr>
          <w:p w14:paraId="36A4E1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tc>
        <w:tc>
          <w:tcPr>
            <w:tcW w:w="1521" w:type="dxa"/>
            <w:shd w:val="clear" w:color="auto" w:fill="auto"/>
            <w:vAlign w:val="center"/>
          </w:tcPr>
          <w:p w14:paraId="16C083D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36975.57</w:t>
            </w:r>
          </w:p>
        </w:tc>
        <w:tc>
          <w:tcPr>
            <w:tcW w:w="2152" w:type="dxa"/>
            <w:shd w:val="clear" w:color="auto" w:fill="auto"/>
            <w:vAlign w:val="center"/>
          </w:tcPr>
          <w:p w14:paraId="3F9C525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12017060.25</w:t>
            </w:r>
          </w:p>
        </w:tc>
        <w:tc>
          <w:tcPr>
            <w:tcW w:w="2157" w:type="dxa"/>
            <w:vAlign w:val="center"/>
          </w:tcPr>
          <w:p w14:paraId="203B79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12017060.25</w:t>
            </w:r>
          </w:p>
        </w:tc>
      </w:tr>
    </w:tbl>
    <w:p w14:paraId="7BE0EC3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szCs w:val="21"/>
          <w:highlight w:val="none"/>
          <w:lang w:val="en-US" w:eastAsia="zh-CN"/>
        </w:rPr>
      </w:pPr>
    </w:p>
    <w:p w14:paraId="407CAE4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szCs w:val="21"/>
          <w:highlight w:val="none"/>
          <w:lang w:val="en-US" w:eastAsia="zh-CN"/>
        </w:rPr>
      </w:pPr>
    </w:p>
    <w:p w14:paraId="77BC5F9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szCs w:val="21"/>
          <w:highlight w:val="none"/>
          <w:lang w:val="en-US" w:eastAsia="zh-CN"/>
        </w:rPr>
      </w:pPr>
    </w:p>
    <w:p w14:paraId="1A83824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szCs w:val="21"/>
          <w:highlight w:val="none"/>
          <w:lang w:val="en-US" w:eastAsia="zh-CN"/>
        </w:rPr>
      </w:pPr>
    </w:p>
    <w:p w14:paraId="54B0B71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二、商务要求</w:t>
      </w:r>
    </w:p>
    <w:p w14:paraId="091892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1、服务时间：种植和技术指导内容要求2026年年内完成，后续订单收购按照市场规律动态执行，无不可抗和农户惜售等原因应不晚于2027年6月30日执行完毕。</w:t>
      </w:r>
    </w:p>
    <w:p w14:paraId="4E05F6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2、服务地点：河曲县鹿固乡、沙坪乡、土沟乡、社梁乡、沙泉镇、刘家塔镇6个乡镇。</w:t>
      </w:r>
    </w:p>
    <w:p w14:paraId="29D6DE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3、付款方式：涉及乡镇分期独立支付，共分3期：合同签订后7日内支付70%，硒肥发放完毕、订单签订完成支付20%，完成面积验收后支付10%。</w:t>
      </w:r>
    </w:p>
    <w:p w14:paraId="074549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4、报价类型： □单价（元）、☑总价（元）、 □费率（%）</w:t>
      </w:r>
    </w:p>
    <w:p w14:paraId="703062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5、履约保证金： □不要求       ☑要求 </w:t>
      </w:r>
    </w:p>
    <w:p w14:paraId="4BED9D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鹿固乡   130000元</w:t>
      </w:r>
    </w:p>
    <w:p w14:paraId="310C0C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保证金总金额为：壹拾叁万元整</w:t>
      </w:r>
    </w:p>
    <w:p w14:paraId="0C9944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保证金的形式：银行转账或电汇</w:t>
      </w:r>
    </w:p>
    <w:p w14:paraId="49C8F4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单位名称：河曲县鹿固乡人民政府</w:t>
      </w:r>
    </w:p>
    <w:p w14:paraId="7CBBD8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开户银行：山西河曲农商行巡镇支行</w:t>
      </w:r>
    </w:p>
    <w:p w14:paraId="375609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 账    号：312131010300000000692</w:t>
      </w:r>
    </w:p>
    <w:p w14:paraId="37EB4B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递交时间：合同签订后 5 个工作日内收取，待订单回收完成并通过验收后，一次性 全部退还履约保证金。</w:t>
      </w:r>
    </w:p>
    <w:p w14:paraId="738026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土沟乡  160000元</w:t>
      </w:r>
    </w:p>
    <w:p w14:paraId="71358B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保证金总金额为：壹拾陆万元整</w:t>
      </w:r>
    </w:p>
    <w:p w14:paraId="272468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保证金的形式：银行转账或电汇</w:t>
      </w:r>
    </w:p>
    <w:p w14:paraId="67754D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sectPr>
          <w:footerReference r:id="rId5" w:type="default"/>
          <w:pgSz w:w="11906" w:h="16839"/>
          <w:pgMar w:top="1201" w:right="1360" w:bottom="1156" w:left="1540" w:header="0" w:footer="994" w:gutter="0"/>
          <w:pgNumType w:fmt="decimal" w:start="1"/>
          <w:cols w:space="720" w:num="1"/>
        </w:sectPr>
      </w:pPr>
    </w:p>
    <w:p w14:paraId="1B2204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单位名称：河曲县土沟乡人民政府</w:t>
      </w:r>
    </w:p>
    <w:p w14:paraId="7278FA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开户银行：山西河曲农商行土沟支行 </w:t>
      </w:r>
    </w:p>
    <w:p w14:paraId="777414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账    号：312171010300000000262</w:t>
      </w:r>
    </w:p>
    <w:p w14:paraId="734E37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递交时间：合同签订后 5 个工作日内收取，待订单回收完成并通过验收后，一次性 全部退还履约保证金。</w:t>
      </w:r>
    </w:p>
    <w:p w14:paraId="71A0FC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社梁乡   110000元</w:t>
      </w:r>
    </w:p>
    <w:p w14:paraId="2084C9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保证金总金额为：壹拾壹万元整</w:t>
      </w:r>
    </w:p>
    <w:p w14:paraId="587B1D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保证金的形式：银行转账或电汇</w:t>
      </w:r>
    </w:p>
    <w:p w14:paraId="14F420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单位名称：河曲县社梁乡人民政府</w:t>
      </w:r>
    </w:p>
    <w:p w14:paraId="2D0933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开户银行：山西河曲农商行旧县支行 </w:t>
      </w:r>
    </w:p>
    <w:p w14:paraId="75254F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账    号：312191010300000001485</w:t>
      </w:r>
    </w:p>
    <w:p w14:paraId="30B59C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递交时间及退还时间：合同签订后 5 个工作日内收取，待订单回收完成并通过验收后，一次性全部退还履约保证金。</w:t>
      </w:r>
    </w:p>
    <w:p w14:paraId="2DF09E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沙泉镇    95000元</w:t>
      </w:r>
    </w:p>
    <w:p w14:paraId="2C0221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保证金总金额为：玖万伍仟元整</w:t>
      </w:r>
    </w:p>
    <w:p w14:paraId="23B745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保证金的形式：银行转账或电汇</w:t>
      </w:r>
    </w:p>
    <w:p w14:paraId="634FE4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单位名称：河曲县沙泉镇人民政府</w:t>
      </w:r>
    </w:p>
    <w:p w14:paraId="75D7B5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开户银行：山西河曲农村商业银行股份有限公司沙泉支行 </w:t>
      </w:r>
    </w:p>
    <w:p w14:paraId="678DBA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账    号：312231010300000001803</w:t>
      </w:r>
    </w:p>
    <w:p w14:paraId="70308B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递交时间：合同签订后 5 个工作日内收取，待订单回收完成并通过验收后，一次性 全部退还履约保证金。</w:t>
      </w:r>
    </w:p>
    <w:p w14:paraId="253D52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刘家塔镇 80000元</w:t>
      </w:r>
    </w:p>
    <w:p w14:paraId="72E6C4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保证金总金额为：捌万元整</w:t>
      </w:r>
    </w:p>
    <w:p w14:paraId="597166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保证金的形式：银行转账或电汇</w:t>
      </w:r>
    </w:p>
    <w:p w14:paraId="0D0D19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单位名称：河曲县刘家塔镇人民政府 开户银行：河曲县刘家塔信用社</w:t>
      </w:r>
    </w:p>
    <w:p w14:paraId="0355BA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账    号：312121010300000000988</w:t>
      </w:r>
    </w:p>
    <w:p w14:paraId="71C943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递交时间：合同签订后 5 个工作日内收取，待订单回收完成并通过验收后，一次性 全部退还履约保证金。</w:t>
      </w:r>
    </w:p>
    <w:p w14:paraId="343B09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沙坪乡    16000元</w:t>
      </w:r>
    </w:p>
    <w:p w14:paraId="0E48F4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保证金总金额为：壹万陆仟元整</w:t>
      </w:r>
    </w:p>
    <w:p w14:paraId="48950A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保证金的形式：银行转账或电汇</w:t>
      </w:r>
    </w:p>
    <w:p w14:paraId="6A879B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单位名称：河曲县沙坪乡人民政府</w:t>
      </w:r>
    </w:p>
    <w:p w14:paraId="1A0E05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开户银行：山西河曲农村商业银行股份有限公司沙坪支行 </w:t>
      </w:r>
    </w:p>
    <w:p w14:paraId="5FAD60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账    号：312211010300000000203</w:t>
      </w:r>
    </w:p>
    <w:p w14:paraId="702D9B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递交时间：合同签订后 5 个工作日内收取，待订单回收完成并通过验收后，一次性 全部退还履约保证金。</w:t>
      </w:r>
    </w:p>
    <w:p w14:paraId="1FB634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4D9E9172">
      <w:pPr>
        <w:bidi w:val="0"/>
        <w:rPr>
          <w:rFonts w:hint="eastAsia" w:ascii="Calibri" w:hAnsi="Calibri" w:eastAsia="宋体" w:cs="Times New Roman"/>
          <w:kern w:val="2"/>
          <w:sz w:val="21"/>
          <w:szCs w:val="24"/>
          <w:lang w:val="en-US" w:eastAsia="zh-CN" w:bidi="ar-SA"/>
        </w:rPr>
      </w:pPr>
    </w:p>
    <w:p w14:paraId="5A391F93">
      <w:pPr>
        <w:bidi w:val="0"/>
        <w:rPr>
          <w:rFonts w:hint="eastAsia"/>
          <w:lang w:val="en-US" w:eastAsia="zh-CN"/>
        </w:rPr>
      </w:pPr>
    </w:p>
    <w:p w14:paraId="7029AA1A">
      <w:pPr>
        <w:bidi w:val="0"/>
        <w:rPr>
          <w:rFonts w:hint="eastAsia"/>
          <w:lang w:val="en-US" w:eastAsia="zh-CN"/>
        </w:rPr>
      </w:pPr>
    </w:p>
    <w:p w14:paraId="355B8D45">
      <w:pPr>
        <w:bidi w:val="0"/>
        <w:rPr>
          <w:rFonts w:hint="eastAsia"/>
          <w:lang w:val="en-US" w:eastAsia="zh-CN"/>
        </w:rPr>
      </w:pPr>
    </w:p>
    <w:p w14:paraId="2548AB3B">
      <w:pPr>
        <w:bidi w:val="0"/>
        <w:rPr>
          <w:rFonts w:hint="eastAsia"/>
          <w:lang w:val="en-US" w:eastAsia="zh-CN"/>
        </w:rPr>
      </w:pPr>
    </w:p>
    <w:p w14:paraId="1799D25E">
      <w:pPr>
        <w:bidi w:val="0"/>
        <w:rPr>
          <w:rFonts w:hint="eastAsia"/>
          <w:lang w:val="en-US" w:eastAsia="zh-CN"/>
        </w:rPr>
      </w:pPr>
    </w:p>
    <w:p w14:paraId="41476937">
      <w:pPr>
        <w:bidi w:val="0"/>
        <w:rPr>
          <w:rFonts w:hint="eastAsia"/>
          <w:lang w:val="en-US" w:eastAsia="zh-CN"/>
        </w:rPr>
      </w:pPr>
    </w:p>
    <w:p w14:paraId="2A8851BE">
      <w:pPr>
        <w:bidi w:val="0"/>
        <w:rPr>
          <w:rFonts w:hint="eastAsia"/>
          <w:lang w:val="en-US" w:eastAsia="zh-CN"/>
        </w:rPr>
      </w:pPr>
    </w:p>
    <w:p w14:paraId="01BF10F6">
      <w:pPr>
        <w:bidi w:val="0"/>
        <w:rPr>
          <w:rFonts w:hint="eastAsia"/>
          <w:lang w:val="en-US" w:eastAsia="zh-CN"/>
        </w:rPr>
      </w:pPr>
    </w:p>
    <w:p w14:paraId="48D7689C">
      <w:pPr>
        <w:bidi w:val="0"/>
        <w:rPr>
          <w:rFonts w:hint="eastAsia"/>
          <w:lang w:val="en-US" w:eastAsia="zh-CN"/>
        </w:rPr>
      </w:pPr>
    </w:p>
    <w:p w14:paraId="559E99F7">
      <w:pPr>
        <w:bidi w:val="0"/>
        <w:rPr>
          <w:rFonts w:hint="eastAsia"/>
          <w:lang w:val="en-US" w:eastAsia="zh-CN"/>
        </w:rPr>
      </w:pPr>
    </w:p>
    <w:p w14:paraId="503B7BF5">
      <w:pPr>
        <w:bidi w:val="0"/>
        <w:rPr>
          <w:rFonts w:hint="eastAsia"/>
          <w:lang w:val="en-US" w:eastAsia="zh-CN"/>
        </w:rPr>
      </w:pPr>
    </w:p>
    <w:p w14:paraId="10F45CC0">
      <w:pPr>
        <w:bidi w:val="0"/>
        <w:rPr>
          <w:rFonts w:hint="eastAsia"/>
          <w:lang w:val="en-US" w:eastAsia="zh-CN"/>
        </w:rPr>
      </w:pPr>
    </w:p>
    <w:p w14:paraId="0422D2AC">
      <w:pPr>
        <w:tabs>
          <w:tab w:val="left" w:pos="1225"/>
        </w:tabs>
        <w:bidi w:val="0"/>
        <w:jc w:val="left"/>
        <w:rPr>
          <w:rFonts w:hint="eastAsia"/>
          <w:lang w:val="en-US" w:eastAsia="zh-CN"/>
        </w:rPr>
        <w:sectPr>
          <w:type w:val="continuous"/>
          <w:pgSz w:w="11906" w:h="16839"/>
          <w:pgMar w:top="1201" w:right="1280" w:bottom="1156" w:left="1538" w:header="0" w:footer="994" w:gutter="0"/>
          <w:pgNumType w:fmt="decimal"/>
          <w:cols w:equalWidth="0" w:num="1">
            <w:col w:w="9088"/>
          </w:cols>
        </w:sectPr>
      </w:pPr>
    </w:p>
    <w:p w14:paraId="728872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三、实质性要求</w:t>
      </w:r>
    </w:p>
    <w:p w14:paraId="2795B2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1、项目实施后，合格的富硒谷子产品硒含量检测结果应符合GB28050《预包装食品营养标签通则》中关于硒含量的要求；</w:t>
      </w:r>
    </w:p>
    <w:p w14:paraId="386A7C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2、富硒肥料由供应商统一免费发放到农户，要求使用适合一次性根施或追施的富硒有机肥；</w:t>
      </w:r>
    </w:p>
    <w:p w14:paraId="5329C2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3、项目实施完毕，由中标人统一回收订单内合格的富硒谷子，回收价格要高于同期市场非富硒同类谷子价格的15%--20%，合格品回收率要达到80%以上；</w:t>
      </w:r>
    </w:p>
    <w:p w14:paraId="267CA0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4、中标人需申报忻州市或山西省富硒小米地方标准。</w:t>
      </w:r>
    </w:p>
    <w:p w14:paraId="7A62C2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5、承诺严格按项目要求独立完成本项目。</w:t>
      </w:r>
    </w:p>
    <w:p w14:paraId="4938683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四、非实质性要求</w:t>
      </w:r>
    </w:p>
    <w:p w14:paraId="000F0C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1、为实现我县富硒谷子产业发展目标，投标人需在富硒谷子产业领域具有国内领先地位，其产品富硒小米具有较高的市场成熟度和品牌知名度；</w:t>
      </w:r>
    </w:p>
    <w:p w14:paraId="46356E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2、投标人需具有富硒谷子的种植、回收、生产、加工、仓储、销售、检测、品牌 建设能力；</w:t>
      </w:r>
    </w:p>
    <w:p w14:paraId="3AA2D1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3、供应商应连续 2年有自己的富硒谷子种植基地；</w:t>
      </w:r>
    </w:p>
    <w:p w14:paraId="08DC9A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4、有完成本项目必需的技术支撑；</w:t>
      </w:r>
    </w:p>
    <w:p w14:paraId="7B01EB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5、投标人组织管理机构健全、合理，团队人员构成和专业性较好，相关经验较丰富，符合项目需求；</w:t>
      </w:r>
    </w:p>
    <w:p w14:paraId="2C4EEE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6、有明确的工作进度计划安排；</w:t>
      </w:r>
    </w:p>
    <w:p w14:paraId="141EE5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7、能够准确提供长期服务本项目的总负责人及主要技术人员的姓名、职务、详细 的联系方式；</w:t>
      </w:r>
    </w:p>
    <w:p w14:paraId="241C26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8、由于本项目服务周期较长，需中标人在项目所在区域内设立固定的服务场所；</w:t>
      </w:r>
    </w:p>
    <w:p w14:paraId="7E168B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9、须具有很强的本地化服务能力，包括但不限于：与政府的协调配合能力，与农户的沟通组织能力等，为顺利实现目标任务提供保障。</w:t>
      </w:r>
    </w:p>
    <w:p w14:paraId="68F63C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10、中标人自合同签订之日起应派专人常驻项目所在地以方便沟通协调；</w:t>
      </w:r>
    </w:p>
    <w:p w14:paraId="2232FC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11、种植期间、施肥期间应派技术人员常住项目实施地以便对农户进行精确的技术指导与服务；</w:t>
      </w:r>
    </w:p>
    <w:p w14:paraId="365C6E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12、承诺投标文件所提供的全部资料均真实可靠,如果所提供的资料有欺诈或失实, 一经查实，严格按照政府采购相关法律法规进行处理；</w:t>
      </w:r>
    </w:p>
    <w:p w14:paraId="1A77F2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13、供应商须确保与河曲县富硒谷子产业前期发展保持连续性，以实现我县富硒谷子产业的巩固提升目标；</w:t>
      </w:r>
    </w:p>
    <w:p w14:paraId="40859D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14、供应商须提供近三年内 2 项同类项目（指富硒谷子产业全链条）业绩。</w:t>
      </w:r>
    </w:p>
    <w:p w14:paraId="4DFBED3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五、验收标准</w:t>
      </w:r>
    </w:p>
    <w:p w14:paraId="067B0E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按招标文件服务要求及投标文件的服务承诺和政府采购合同进行验收。</w:t>
      </w:r>
    </w:p>
    <w:p w14:paraId="058BEED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六、服务要求</w:t>
      </w:r>
    </w:p>
    <w:p w14:paraId="60C5A6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（一）、服务需求（详见本部分服务需求书）</w:t>
      </w:r>
    </w:p>
    <w:p w14:paraId="4BB223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（二）、投标人应按照《服务需求书》的要求编制并提交服务响应文件，对招标人的服务需求全面完整地做出响应并编制实施方案，以证明其投标的服务符合招标文件规定。</w:t>
      </w:r>
    </w:p>
    <w:p w14:paraId="389AAF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（三）、投标人根据自身专业的理解和认识，紧密结合本项目实际编制下列实施方案，至少包含下列内容：</w:t>
      </w:r>
    </w:p>
    <w:p w14:paraId="0C1900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A 总体实施方案：根据本项目的实际情况及特点，针对招标文件中所载明的本项目服务的具体内容和要求，一一对应地提出详细并具可操作性的实施方案，以及投标人认为需要提供的其它服务方案。服务方案应包括针对本项目特点、重点和难点的分析及解决措施。</w:t>
      </w:r>
    </w:p>
    <w:p w14:paraId="6F38DD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B 服务的应急预案：按照要求制订发生突发事件（包括发生暴风、暴雨、旱灾、火 灾等灾害性天气，群体性事件以及其他突发事件）时的应急预案及相应的措施。</w:t>
      </w:r>
    </w:p>
    <w:p w14:paraId="3906E0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C 项目管理组织架构及管理制度：项目管理机构及其工作方法与流程，项目经理的管理职责，内部管理的职责分工，日常管理制度（工作制度、岗位制度等），以及公司对于项目的监管控制和服务支持。</w:t>
      </w:r>
    </w:p>
    <w:p w14:paraId="022121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D 新技术、新方法的应用：在保证合理服务质量的条件下，要充分运用节能、环保的新方法和新技术，制定有效降低服务运行中各类能耗和环境污染的措施。</w:t>
      </w:r>
    </w:p>
    <w:p w14:paraId="4BC54C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E 服务质量保证措施：投标人保证服务质量的各种措施；服务质量检查、验收的方法和标准等。</w:t>
      </w:r>
    </w:p>
    <w:p w14:paraId="23FFA4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F 项目人员配置：拟投入本项目的总人数，人员来源或用工机制，项目经理、管理和专业人员设置及岗位职责，项目经理及主要管理和专业人员简况，服务人员岗位设置具体安排等。提供项目经理及主要管理和专业人员的学历证书、岗位资格证书、职业资格证书、培训证书和获奖荣誉证书复印件。</w:t>
      </w:r>
    </w:p>
    <w:p w14:paraId="7D8A05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G 拟投入本项目的主要设备、工具、耗材。提供拟配置的设备、工具清单。</w:t>
      </w:r>
    </w:p>
    <w:p w14:paraId="379D25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H 按照项目服务采购需求要求提供的其他服务性资料以及投标人需要说明的其他事项。</w:t>
      </w:r>
    </w:p>
    <w:p w14:paraId="2513CA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I 服务响应文件可以是文字资料、表格、图纸和数据等各项资料，其内容应包括但不限于人力、物力等资源的投入以及服务内容、方式、手段、措施、质量保证及建议等。</w:t>
      </w:r>
    </w:p>
    <w:p w14:paraId="62F608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（四）服务响应文件的作用：投标人所提供的服务响应文件是评标委员会及其成员评定投标标的物是否实质性响应招标文件服务要求以及综合比较与评价的依据 </w:t>
      </w:r>
    </w:p>
    <w:p w14:paraId="473299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5415E2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13F353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533300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Cs w:val="21"/>
          <w:highlight w:val="none"/>
          <w:lang w:val="en-US" w:eastAsia="zh-CN"/>
        </w:rPr>
      </w:pPr>
    </w:p>
    <w:p w14:paraId="18D0D2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服务需求书</w:t>
      </w:r>
    </w:p>
    <w:tbl>
      <w:tblPr>
        <w:tblStyle w:val="23"/>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1418"/>
        <w:gridCol w:w="3792"/>
        <w:gridCol w:w="846"/>
        <w:gridCol w:w="1476"/>
      </w:tblGrid>
      <w:tr w14:paraId="1B51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46" w:type="dxa"/>
            <w:vAlign w:val="top"/>
          </w:tcPr>
          <w:p w14:paraId="275B6B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序号</w:t>
            </w:r>
          </w:p>
        </w:tc>
        <w:tc>
          <w:tcPr>
            <w:tcW w:w="1508" w:type="dxa"/>
            <w:vAlign w:val="top"/>
          </w:tcPr>
          <w:p w14:paraId="03DA2E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服务名称</w:t>
            </w:r>
          </w:p>
        </w:tc>
        <w:tc>
          <w:tcPr>
            <w:tcW w:w="4106" w:type="dxa"/>
            <w:vAlign w:val="top"/>
          </w:tcPr>
          <w:p w14:paraId="5DDDB8B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需求描述</w:t>
            </w:r>
          </w:p>
        </w:tc>
        <w:tc>
          <w:tcPr>
            <w:tcW w:w="746" w:type="dxa"/>
            <w:vAlign w:val="top"/>
          </w:tcPr>
          <w:p w14:paraId="15ABBA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单位</w:t>
            </w:r>
          </w:p>
        </w:tc>
        <w:tc>
          <w:tcPr>
            <w:tcW w:w="1151" w:type="dxa"/>
            <w:vAlign w:val="top"/>
          </w:tcPr>
          <w:p w14:paraId="35CA772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数量</w:t>
            </w:r>
          </w:p>
        </w:tc>
      </w:tr>
      <w:tr w14:paraId="67D7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3" w:hRule="atLeast"/>
          <w:jc w:val="center"/>
        </w:trPr>
        <w:tc>
          <w:tcPr>
            <w:tcW w:w="946" w:type="dxa"/>
          </w:tcPr>
          <w:p w14:paraId="128D4F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760388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5A4CAC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70AB2E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3E755A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16F05C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7BF53B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716102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345AF7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6C886A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1A87D0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3E4677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0BFAE2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6B4476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w:t>
            </w:r>
          </w:p>
        </w:tc>
        <w:tc>
          <w:tcPr>
            <w:tcW w:w="1508" w:type="dxa"/>
          </w:tcPr>
          <w:p w14:paraId="2DE196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45E204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40D97D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02EBAD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24B03C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227469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025C2F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60DE41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6816A4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648D82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6864BD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71AE8E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10E03A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51CB6CE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河曲县2026年六乡镇富硒谷子产业奖补项目</w:t>
            </w:r>
          </w:p>
          <w:p w14:paraId="65F4A4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tc>
        <w:tc>
          <w:tcPr>
            <w:tcW w:w="4106" w:type="dxa"/>
          </w:tcPr>
          <w:p w14:paraId="33DF96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1、中标人在项目实施前应充分与采购人与项目所涉乡、村、户进行沟通，适当调整工作实施方案，以便精准实施本项目；</w:t>
            </w:r>
          </w:p>
          <w:p w14:paraId="18FEF4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★2、由项目实施所在地乡镇政府配合，中标人主动与项目实施地的村、户沟通、协调落实好不少于36975.57亩的种植地块；</w:t>
            </w:r>
          </w:p>
          <w:p w14:paraId="297239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3、项目区域乡镇政府协助供应商与村集体经济组织签订种 植、农产品回收订单合同；</w:t>
            </w:r>
          </w:p>
          <w:p w14:paraId="773FFE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★4、富硒肥料由供应商统一免费提供，要求使用适合一次性根施或追施的富硒有机肥，项目区域村集体经济组织协助发放到户；</w:t>
            </w:r>
          </w:p>
          <w:p w14:paraId="2FEF94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5、在种植、施肥期间中标人应派专业技术人员进行统一的 技术指导和服务；</w:t>
            </w:r>
          </w:p>
          <w:p w14:paraId="266592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★6、项目实施完毕，由中标人统一回收订单内合格的富硒谷子，回收价格要高于同期市场非富硒同类谷子价格的15%--20%以上，合格品回收率要达到80%以上</w:t>
            </w:r>
          </w:p>
          <w:p w14:paraId="31D5E0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★7、项目实施完成后中标人提供实施过程中完整的材料及佐证资料，配合乡镇政府完成项目绩效评价；</w:t>
            </w:r>
          </w:p>
          <w:p w14:paraId="05B6E9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★8、中标人提供农产品硒含量检测报告。</w:t>
            </w:r>
          </w:p>
          <w:p w14:paraId="16E131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9、中标人在项目实施期间应定期向项目实施乡镇政府汇报工作进展情况，在实施过程中遇到不可预见的或不可克服的 问题时应及时反馈项目实施乡镇政府；</w:t>
            </w:r>
          </w:p>
          <w:p w14:paraId="3A66A4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★10、中标人在项目实施期间应积极配合上级相关领导与部门的检查与指导；</w:t>
            </w:r>
          </w:p>
          <w:p w14:paraId="46C593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★11、中标人在在实施过程中对各种纸质资料、影像资料应妥善保管，项目完成后移交项目实施乡镇政府；</w:t>
            </w:r>
          </w:p>
          <w:p w14:paraId="3D3F97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★12、中标人需申报忻州市或山西省富硒小米地方标准。</w:t>
            </w:r>
          </w:p>
          <w:p w14:paraId="515538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13、中标人在项目实施过程中遵循以下要求：</w:t>
            </w:r>
          </w:p>
          <w:p w14:paraId="567300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（1）严格遵循诚实信用的原则，不得损害国家利益、社会 公共利益和农民的合法权益；</w:t>
            </w:r>
          </w:p>
          <w:p w14:paraId="10150B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（2）严格遵守有关规定，不得泄露工作中知悉的国家秘密、 商业秘密和内部情况，不得擅自将工作中取得的材料和信息 透露给任何第三方；</w:t>
            </w:r>
          </w:p>
          <w:p w14:paraId="1ACFA2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（3）服从项目实施乡镇政府统一指挥和安排，按时保质保 量地完成任务；</w:t>
            </w:r>
          </w:p>
          <w:p w14:paraId="470EB8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（4）所做的工作底稿及工作过程中形成的其他资料应如实 反映有关情况，做到客观、真实、准确、结论清楚；</w:t>
            </w:r>
          </w:p>
          <w:p w14:paraId="202E9D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★14、积极配合项目实施乡镇政府完成本项目的总结验收。</w:t>
            </w:r>
          </w:p>
        </w:tc>
        <w:tc>
          <w:tcPr>
            <w:tcW w:w="746" w:type="dxa"/>
          </w:tcPr>
          <w:p w14:paraId="6D4863D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093AA0F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0D76A6C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06E21EB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3A687C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007BC3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1A2841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617E72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030949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46C620B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31C0AA3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212F60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00FAACE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5FC22D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亩</w:t>
            </w:r>
          </w:p>
        </w:tc>
        <w:tc>
          <w:tcPr>
            <w:tcW w:w="1151" w:type="dxa"/>
          </w:tcPr>
          <w:p w14:paraId="3053F0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78CD6FD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68C06EA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1FFB06F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66BAC9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7F2F3F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1FC80B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4B9446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7894A3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11CA4D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6C701B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7C3011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4EDEA4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p>
          <w:p w14:paraId="4D54CF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36955.57</w:t>
            </w:r>
          </w:p>
        </w:tc>
      </w:tr>
    </w:tbl>
    <w:p w14:paraId="31F463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29DA66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4802F9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说明：</w:t>
      </w:r>
    </w:p>
    <w:p w14:paraId="6C8196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需求描述前加★号的指标为要求服务实质性响应的主要内容,投标人所供的服务须满足或优于这些指标。未加★号的指标为一般性服务要求，投标人所报的服务应满足这些指标要求，这些指标如存在负偏离，由评标委员会进行评定，若影响服务质量或不能满足服务要求的，投标文件将可能被作无效处理。</w:t>
      </w:r>
    </w:p>
    <w:p w14:paraId="23D647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2、合格标准：①杂质≤5%；②水份≤13%；③无霉变；④颗粒破损率≤5%；⑤硒含量（粮食）≥0.15mg/kg；⑥农药、化肥、重金属等有害物残留率合格；⑦</w:t>
      </w:r>
      <m:oMath>
        <m:f>
          <m:fPr>
            <m:ctrlPr>
              <w:rPr>
                <w:rFonts w:hint="eastAsia" w:ascii="Cambria Math" w:hAnsi="Cambria Math" w:eastAsia="仿宋" w:cs="仿宋"/>
                <w:b w:val="0"/>
                <w:bCs w:val="0"/>
                <w:color w:val="auto"/>
                <w:szCs w:val="21"/>
                <w:highlight w:val="none"/>
                <w:lang w:val="en-US" w:eastAsia="zh-CN"/>
              </w:rPr>
            </m:ctrlPr>
          </m:fPr>
          <m:num>
            <m:r>
              <m:rPr>
                <m:sty m:val="p"/>
              </m:rPr>
              <w:rPr>
                <w:rFonts w:hint="eastAsia" w:ascii="Cambria Math" w:hAnsi="Cambria Math" w:eastAsia="仿宋" w:cs="仿宋"/>
                <w:color w:val="auto"/>
                <w:szCs w:val="21"/>
                <w:highlight w:val="none"/>
                <w:lang w:val="en-US" w:eastAsia="zh-CN"/>
              </w:rPr>
              <m:t>a</m:t>
            </m:r>
            <m:ctrlPr>
              <w:rPr>
                <w:rFonts w:hint="eastAsia" w:ascii="Cambria Math" w:hAnsi="Cambria Math" w:eastAsia="仿宋" w:cs="仿宋"/>
                <w:b w:val="0"/>
                <w:bCs w:val="0"/>
                <w:color w:val="auto"/>
                <w:szCs w:val="21"/>
                <w:highlight w:val="none"/>
                <w:lang w:val="en-US" w:eastAsia="zh-CN"/>
              </w:rPr>
            </m:ctrlPr>
          </m:num>
          <m:den>
            <m:r>
              <m:rPr>
                <m:sty m:val="p"/>
              </m:rPr>
              <w:rPr>
                <w:rFonts w:hint="eastAsia" w:ascii="Cambria Math" w:hAnsi="Cambria Math" w:eastAsia="仿宋" w:cs="仿宋"/>
                <w:color w:val="auto"/>
                <w:szCs w:val="21"/>
                <w:highlight w:val="none"/>
                <w:lang w:val="en-US" w:eastAsia="zh-CN"/>
              </w:rPr>
              <m:t>b∗c</m:t>
            </m:r>
            <m:ctrlPr>
              <w:rPr>
                <w:rFonts w:hint="eastAsia" w:ascii="Cambria Math" w:hAnsi="Cambria Math" w:eastAsia="仿宋" w:cs="仿宋"/>
                <w:b w:val="0"/>
                <w:bCs w:val="0"/>
                <w:color w:val="auto"/>
                <w:szCs w:val="21"/>
                <w:highlight w:val="none"/>
                <w:lang w:val="en-US" w:eastAsia="zh-CN"/>
              </w:rPr>
            </m:ctrlPr>
          </m:den>
        </m:f>
        <m:r>
          <m:rPr>
            <m:sty m:val="p"/>
          </m:rPr>
          <w:rPr>
            <w:rFonts w:hint="eastAsia" w:ascii="Cambria Math" w:hAnsi="Cambria Math" w:eastAsia="仿宋" w:cs="仿宋"/>
            <w:color w:val="auto"/>
            <w:szCs w:val="21"/>
            <w:highlight w:val="none"/>
            <w:lang w:val="en-US" w:eastAsia="zh-CN"/>
          </w:rPr>
          <m:t>≤1.3</m:t>
        </m:r>
      </m:oMath>
      <w:r>
        <w:rPr>
          <w:rFonts w:hint="eastAsia" w:ascii="仿宋" w:hAnsi="仿宋" w:eastAsia="仿宋" w:cs="仿宋"/>
          <w:b w:val="0"/>
          <w:bCs w:val="0"/>
          <w:color w:val="auto"/>
          <w:szCs w:val="21"/>
          <w:highlight w:val="none"/>
          <w:lang w:val="en-US" w:eastAsia="zh-CN"/>
        </w:rPr>
        <w:t>（a：所运粮食总重量；b：乙方所种亩数；c：该地区当年最大亩产量）〉回收价格要高于同期非富硒同类同等级谷子市场价格的 15%--20%，无不可抗和农户惜售等原因，合格品回收率达到80%以上。</w:t>
      </w:r>
    </w:p>
    <w:p w14:paraId="34B907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p>
    <w:p w14:paraId="2BDA3F47">
      <w:pPr>
        <w:spacing w:line="360" w:lineRule="auto"/>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br w:type="page"/>
      </w:r>
    </w:p>
    <w:p w14:paraId="68362B36">
      <w:pPr>
        <w:pStyle w:val="18"/>
        <w:widowControl w:val="0"/>
        <w:spacing w:before="120" w:beforeLines="50" w:after="120" w:afterLines="50" w:line="440" w:lineRule="exact"/>
        <w:jc w:val="center"/>
        <w:outlineLvl w:val="0"/>
        <w:rPr>
          <w:rFonts w:hint="eastAsia" w:ascii="仿宋" w:hAnsi="仿宋" w:eastAsia="仿宋" w:cs="仿宋"/>
          <w:b/>
          <w:color w:val="auto"/>
          <w:sz w:val="32"/>
          <w:szCs w:val="32"/>
          <w:highlight w:val="none"/>
        </w:rPr>
        <w:sectPr>
          <w:footerReference r:id="rId6"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2" w:name="_Toc5694"/>
      <w:bookmarkStart w:id="33" w:name="_Toc117270092"/>
    </w:p>
    <w:p w14:paraId="5CAF6D46">
      <w:pPr>
        <w:pStyle w:val="18"/>
        <w:widowControl w:val="0"/>
        <w:spacing w:before="120" w:beforeLines="50" w:after="120" w:afterLines="50" w:line="440" w:lineRule="exact"/>
        <w:jc w:val="center"/>
        <w:outlineLvl w:val="0"/>
        <w:rPr>
          <w:rFonts w:hint="eastAsia" w:ascii="仿宋" w:hAnsi="仿宋" w:eastAsia="仿宋" w:cs="仿宋"/>
          <w:b/>
          <w:color w:val="auto"/>
          <w:sz w:val="32"/>
          <w:szCs w:val="32"/>
          <w:highlight w:val="none"/>
        </w:rPr>
      </w:pPr>
      <w:bookmarkStart w:id="34" w:name="_Toc117270090"/>
      <w:bookmarkStart w:id="35" w:name="_Toc2514"/>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val="en-US" w:eastAsia="zh-CN"/>
        </w:rPr>
        <w:t>五</w:t>
      </w:r>
      <w:r>
        <w:rPr>
          <w:rFonts w:hint="eastAsia" w:ascii="仿宋" w:hAnsi="仿宋" w:eastAsia="仿宋" w:cs="仿宋"/>
          <w:b/>
          <w:color w:val="auto"/>
          <w:sz w:val="32"/>
          <w:szCs w:val="32"/>
          <w:highlight w:val="none"/>
        </w:rPr>
        <w:t>部分  评标标准和评标方法</w:t>
      </w:r>
      <w:bookmarkEnd w:id="34"/>
      <w:bookmarkEnd w:id="35"/>
    </w:p>
    <w:p w14:paraId="19BF969F">
      <w:pPr>
        <w:snapToGrid w:val="0"/>
        <w:spacing w:line="360" w:lineRule="auto"/>
        <w:ind w:firstLine="241" w:firstLineChars="100"/>
        <w:jc w:val="left"/>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一、资格性审查的内容及标准</w:t>
      </w:r>
    </w:p>
    <w:tbl>
      <w:tblPr>
        <w:tblStyle w:val="22"/>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60"/>
        <w:gridCol w:w="2983"/>
        <w:gridCol w:w="5345"/>
      </w:tblGrid>
      <w:tr w14:paraId="67886E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517" w:type="pct"/>
            <w:tcBorders>
              <w:top w:val="single" w:color="auto" w:sz="2" w:space="0"/>
              <w:left w:val="single" w:color="auto" w:sz="2" w:space="0"/>
              <w:bottom w:val="single" w:color="auto" w:sz="2" w:space="0"/>
              <w:right w:val="single" w:color="auto" w:sz="2" w:space="0"/>
            </w:tcBorders>
            <w:noWrap w:val="0"/>
            <w:vAlign w:val="center"/>
          </w:tcPr>
          <w:p w14:paraId="516E31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序号</w:t>
            </w:r>
          </w:p>
        </w:tc>
        <w:tc>
          <w:tcPr>
            <w:tcW w:w="1605" w:type="pct"/>
            <w:tcBorders>
              <w:top w:val="single" w:color="auto" w:sz="2" w:space="0"/>
              <w:left w:val="single" w:color="auto" w:sz="2" w:space="0"/>
              <w:bottom w:val="single" w:color="auto" w:sz="2" w:space="0"/>
              <w:right w:val="single" w:color="auto" w:sz="2" w:space="0"/>
            </w:tcBorders>
            <w:noWrap w:val="0"/>
            <w:vAlign w:val="center"/>
          </w:tcPr>
          <w:p w14:paraId="5E5377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内容</w:t>
            </w:r>
          </w:p>
        </w:tc>
        <w:tc>
          <w:tcPr>
            <w:tcW w:w="2876" w:type="pct"/>
            <w:tcBorders>
              <w:top w:val="single" w:color="auto" w:sz="2" w:space="0"/>
              <w:left w:val="single" w:color="auto" w:sz="2" w:space="0"/>
              <w:bottom w:val="single" w:color="auto" w:sz="2" w:space="0"/>
              <w:right w:val="single" w:color="auto" w:sz="2" w:space="0"/>
            </w:tcBorders>
            <w:noWrap w:val="0"/>
            <w:vAlign w:val="center"/>
          </w:tcPr>
          <w:p w14:paraId="3E442B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标准</w:t>
            </w:r>
          </w:p>
        </w:tc>
      </w:tr>
      <w:tr w14:paraId="71CC6D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17" w:type="pct"/>
            <w:tcBorders>
              <w:top w:val="single" w:color="auto" w:sz="2" w:space="0"/>
              <w:left w:val="single" w:color="auto" w:sz="2" w:space="0"/>
              <w:bottom w:val="single" w:color="auto" w:sz="2" w:space="0"/>
              <w:right w:val="single" w:color="auto" w:sz="2" w:space="0"/>
            </w:tcBorders>
            <w:noWrap w:val="0"/>
            <w:vAlign w:val="center"/>
          </w:tcPr>
          <w:p w14:paraId="325EC6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w:t>
            </w:r>
          </w:p>
        </w:tc>
        <w:tc>
          <w:tcPr>
            <w:tcW w:w="1605" w:type="pct"/>
            <w:tcBorders>
              <w:top w:val="single" w:color="auto" w:sz="2" w:space="0"/>
              <w:left w:val="single" w:color="auto" w:sz="2" w:space="0"/>
              <w:bottom w:val="single" w:color="auto" w:sz="2" w:space="0"/>
              <w:right w:val="single" w:color="auto" w:sz="2" w:space="0"/>
            </w:tcBorders>
            <w:noWrap w:val="0"/>
            <w:vAlign w:val="center"/>
          </w:tcPr>
          <w:p w14:paraId="79F6F6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highlight w:val="none"/>
              </w:rPr>
            </w:pPr>
            <w:bookmarkStart w:id="36" w:name="OLE_LINK8"/>
            <w:r>
              <w:rPr>
                <w:rFonts w:hint="eastAsia" w:ascii="仿宋" w:hAnsi="仿宋" w:eastAsia="仿宋" w:cs="仿宋"/>
                <w:color w:val="auto"/>
                <w:sz w:val="22"/>
                <w:szCs w:val="22"/>
                <w:highlight w:val="none"/>
                <w:lang w:val="en-US" w:eastAsia="zh-CN"/>
              </w:rPr>
              <w:t>投标人</w:t>
            </w:r>
            <w:r>
              <w:rPr>
                <w:rFonts w:hint="eastAsia" w:ascii="仿宋" w:hAnsi="仿宋" w:eastAsia="仿宋" w:cs="仿宋"/>
                <w:color w:val="auto"/>
                <w:sz w:val="22"/>
                <w:szCs w:val="22"/>
                <w:highlight w:val="none"/>
              </w:rPr>
              <w:t>代表证明</w:t>
            </w:r>
            <w:bookmarkEnd w:id="36"/>
          </w:p>
        </w:tc>
        <w:tc>
          <w:tcPr>
            <w:tcW w:w="2876" w:type="pct"/>
            <w:tcBorders>
              <w:top w:val="single" w:color="auto" w:sz="2" w:space="0"/>
              <w:left w:val="single" w:color="auto" w:sz="2" w:space="0"/>
              <w:bottom w:val="single" w:color="auto" w:sz="2" w:space="0"/>
              <w:right w:val="single" w:color="auto" w:sz="2" w:space="0"/>
            </w:tcBorders>
            <w:noWrap w:val="0"/>
            <w:vAlign w:val="center"/>
          </w:tcPr>
          <w:p w14:paraId="1982879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（1）法定代表人（负责人）参加</w:t>
            </w:r>
            <w:r>
              <w:rPr>
                <w:rFonts w:hint="eastAsia" w:ascii="仿宋" w:hAnsi="仿宋" w:eastAsia="仿宋" w:cs="仿宋"/>
                <w:color w:val="auto"/>
                <w:sz w:val="22"/>
                <w:szCs w:val="22"/>
                <w:highlight w:val="none"/>
                <w:lang w:val="en-US" w:eastAsia="zh-CN"/>
              </w:rPr>
              <w:t>投标</w:t>
            </w:r>
            <w:r>
              <w:rPr>
                <w:rFonts w:hint="eastAsia" w:ascii="仿宋" w:hAnsi="仿宋" w:eastAsia="仿宋" w:cs="仿宋"/>
                <w:color w:val="auto"/>
                <w:sz w:val="22"/>
                <w:szCs w:val="22"/>
                <w:highlight w:val="none"/>
              </w:rPr>
              <w:t>的，提供“法定代表人（负责人）证明书”</w:t>
            </w:r>
          </w:p>
          <w:p w14:paraId="3DF8505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（2）委托代理人参加</w:t>
            </w:r>
            <w:r>
              <w:rPr>
                <w:rFonts w:hint="eastAsia" w:ascii="仿宋" w:hAnsi="仿宋" w:eastAsia="仿宋" w:cs="仿宋"/>
                <w:color w:val="auto"/>
                <w:sz w:val="22"/>
                <w:szCs w:val="22"/>
                <w:highlight w:val="none"/>
                <w:lang w:val="en-US" w:eastAsia="zh-CN"/>
              </w:rPr>
              <w:t>投标</w:t>
            </w:r>
            <w:r>
              <w:rPr>
                <w:rFonts w:hint="eastAsia" w:ascii="仿宋" w:hAnsi="仿宋" w:eastAsia="仿宋" w:cs="仿宋"/>
                <w:color w:val="auto"/>
                <w:sz w:val="22"/>
                <w:szCs w:val="22"/>
                <w:highlight w:val="none"/>
              </w:rPr>
              <w:t>的，提供“法定代表人（负责人）授权委托书”</w:t>
            </w:r>
          </w:p>
          <w:p w14:paraId="4A85E3C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（3）自然人参加</w:t>
            </w:r>
            <w:r>
              <w:rPr>
                <w:rFonts w:hint="eastAsia" w:ascii="仿宋" w:hAnsi="仿宋" w:eastAsia="仿宋" w:cs="仿宋"/>
                <w:color w:val="auto"/>
                <w:sz w:val="22"/>
                <w:szCs w:val="22"/>
                <w:highlight w:val="none"/>
                <w:lang w:val="en-US" w:eastAsia="zh-CN"/>
              </w:rPr>
              <w:t>投标</w:t>
            </w:r>
            <w:r>
              <w:rPr>
                <w:rFonts w:hint="eastAsia" w:ascii="仿宋" w:hAnsi="仿宋" w:eastAsia="仿宋" w:cs="仿宋"/>
                <w:color w:val="auto"/>
                <w:sz w:val="22"/>
                <w:szCs w:val="22"/>
                <w:highlight w:val="none"/>
              </w:rPr>
              <w:t>的，提供个人身份证明扫描件</w:t>
            </w:r>
          </w:p>
          <w:p w14:paraId="219CF89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内容齐全，电子签章符合要求。</w:t>
            </w:r>
          </w:p>
        </w:tc>
      </w:tr>
      <w:tr w14:paraId="1CE6A0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517" w:type="pct"/>
            <w:tcBorders>
              <w:top w:val="single" w:color="auto" w:sz="2" w:space="0"/>
              <w:left w:val="single" w:color="auto" w:sz="2" w:space="0"/>
              <w:bottom w:val="single" w:color="auto" w:sz="2" w:space="0"/>
              <w:right w:val="single" w:color="auto" w:sz="2" w:space="0"/>
            </w:tcBorders>
            <w:noWrap w:val="0"/>
            <w:vAlign w:val="center"/>
          </w:tcPr>
          <w:p w14:paraId="12B12A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2</w:t>
            </w:r>
          </w:p>
        </w:tc>
        <w:tc>
          <w:tcPr>
            <w:tcW w:w="1605" w:type="pct"/>
            <w:tcBorders>
              <w:top w:val="single" w:color="auto" w:sz="2" w:space="0"/>
              <w:left w:val="single" w:color="auto" w:sz="2" w:space="0"/>
              <w:bottom w:val="single" w:color="auto" w:sz="2" w:space="0"/>
              <w:right w:val="single" w:color="auto" w:sz="2" w:space="0"/>
            </w:tcBorders>
            <w:noWrap w:val="0"/>
            <w:vAlign w:val="center"/>
          </w:tcPr>
          <w:p w14:paraId="47A3F8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投标</w:t>
            </w:r>
            <w:r>
              <w:rPr>
                <w:rFonts w:hint="eastAsia" w:ascii="仿宋" w:hAnsi="仿宋" w:eastAsia="仿宋" w:cs="仿宋"/>
                <w:color w:val="auto"/>
                <w:sz w:val="22"/>
                <w:szCs w:val="22"/>
                <w:highlight w:val="none"/>
              </w:rPr>
              <w:t>函</w:t>
            </w:r>
          </w:p>
        </w:tc>
        <w:tc>
          <w:tcPr>
            <w:tcW w:w="2876" w:type="pct"/>
            <w:tcBorders>
              <w:top w:val="single" w:color="auto" w:sz="2" w:space="0"/>
              <w:left w:val="single" w:color="auto" w:sz="2" w:space="0"/>
              <w:bottom w:val="single" w:color="auto" w:sz="2" w:space="0"/>
              <w:right w:val="single" w:color="auto" w:sz="2" w:space="0"/>
            </w:tcBorders>
            <w:noWrap w:val="0"/>
            <w:vAlign w:val="center"/>
          </w:tcPr>
          <w:p w14:paraId="4D37580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内容齐全，电子签章符合要求。</w:t>
            </w:r>
          </w:p>
        </w:tc>
      </w:tr>
      <w:tr w14:paraId="136E5B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17" w:type="pct"/>
            <w:tcBorders>
              <w:top w:val="single" w:color="auto" w:sz="2" w:space="0"/>
              <w:left w:val="single" w:color="auto" w:sz="2" w:space="0"/>
              <w:bottom w:val="single" w:color="auto" w:sz="2" w:space="0"/>
              <w:right w:val="single" w:color="auto" w:sz="2" w:space="0"/>
            </w:tcBorders>
            <w:noWrap w:val="0"/>
            <w:vAlign w:val="center"/>
          </w:tcPr>
          <w:p w14:paraId="18FA71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p>
        </w:tc>
        <w:tc>
          <w:tcPr>
            <w:tcW w:w="1605" w:type="pct"/>
            <w:tcBorders>
              <w:top w:val="single" w:color="auto" w:sz="2" w:space="0"/>
              <w:left w:val="single" w:color="auto" w:sz="2" w:space="0"/>
              <w:bottom w:val="single" w:color="auto" w:sz="2" w:space="0"/>
              <w:right w:val="single" w:color="auto" w:sz="2" w:space="0"/>
            </w:tcBorders>
            <w:noWrap w:val="0"/>
            <w:vAlign w:val="center"/>
          </w:tcPr>
          <w:p w14:paraId="0D455F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highlight w:val="none"/>
              </w:rPr>
            </w:pPr>
          </w:p>
          <w:p w14:paraId="11A4CF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具有独立承担民事责任的能力</w:t>
            </w:r>
          </w:p>
        </w:tc>
        <w:tc>
          <w:tcPr>
            <w:tcW w:w="2876" w:type="pct"/>
            <w:tcBorders>
              <w:top w:val="single" w:color="auto" w:sz="2" w:space="0"/>
              <w:left w:val="single" w:color="auto" w:sz="2" w:space="0"/>
              <w:bottom w:val="single" w:color="auto" w:sz="2" w:space="0"/>
              <w:right w:val="single" w:color="auto" w:sz="2" w:space="0"/>
            </w:tcBorders>
            <w:noWrap w:val="0"/>
            <w:vAlign w:val="center"/>
          </w:tcPr>
          <w:p w14:paraId="6CD94B3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提供</w:t>
            </w:r>
            <w:r>
              <w:rPr>
                <w:rFonts w:hint="eastAsia" w:ascii="仿宋" w:hAnsi="仿宋" w:eastAsia="仿宋" w:cs="仿宋"/>
                <w:color w:val="auto"/>
                <w:sz w:val="22"/>
                <w:szCs w:val="22"/>
                <w:highlight w:val="none"/>
                <w:lang w:val="en-US" w:eastAsia="zh-CN"/>
              </w:rPr>
              <w:t>投标人</w:t>
            </w:r>
            <w:r>
              <w:rPr>
                <w:rFonts w:hint="eastAsia" w:ascii="仿宋" w:hAnsi="仿宋" w:eastAsia="仿宋" w:cs="仿宋"/>
                <w:color w:val="auto"/>
                <w:sz w:val="22"/>
                <w:szCs w:val="22"/>
                <w:highlight w:val="none"/>
              </w:rPr>
              <w:t>信用承诺书。</w:t>
            </w:r>
          </w:p>
          <w:p w14:paraId="78771E3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以上证明材料须符合要求、有效、完整。否则，响应无效。</w:t>
            </w:r>
          </w:p>
        </w:tc>
      </w:tr>
      <w:tr w14:paraId="44EC11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8" w:hRule="atLeast"/>
          <w:jc w:val="center"/>
        </w:trPr>
        <w:tc>
          <w:tcPr>
            <w:tcW w:w="517" w:type="pct"/>
            <w:tcBorders>
              <w:top w:val="single" w:color="auto" w:sz="2" w:space="0"/>
              <w:left w:val="single" w:color="auto" w:sz="2" w:space="0"/>
              <w:bottom w:val="single" w:color="auto" w:sz="2" w:space="0"/>
              <w:right w:val="single" w:color="auto" w:sz="2" w:space="0"/>
            </w:tcBorders>
            <w:noWrap w:val="0"/>
            <w:vAlign w:val="center"/>
          </w:tcPr>
          <w:p w14:paraId="52F765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1605" w:type="pct"/>
            <w:tcBorders>
              <w:top w:val="single" w:color="auto" w:sz="2" w:space="0"/>
              <w:left w:val="single" w:color="auto" w:sz="2" w:space="0"/>
              <w:bottom w:val="single" w:color="auto" w:sz="2" w:space="0"/>
              <w:right w:val="single" w:color="auto" w:sz="2" w:space="0"/>
            </w:tcBorders>
            <w:noWrap w:val="0"/>
            <w:vAlign w:val="center"/>
          </w:tcPr>
          <w:p w14:paraId="79803B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具有良好的商业信誉和健全的财务会计制度</w:t>
            </w:r>
          </w:p>
        </w:tc>
        <w:tc>
          <w:tcPr>
            <w:tcW w:w="2876" w:type="pct"/>
            <w:tcBorders>
              <w:top w:val="single" w:color="auto" w:sz="2" w:space="0"/>
              <w:left w:val="single" w:color="auto" w:sz="2" w:space="0"/>
              <w:right w:val="single" w:color="auto" w:sz="2" w:space="0"/>
            </w:tcBorders>
            <w:noWrap w:val="0"/>
            <w:vAlign w:val="center"/>
          </w:tcPr>
          <w:p w14:paraId="5617BEF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提供</w:t>
            </w:r>
            <w:r>
              <w:rPr>
                <w:rFonts w:hint="eastAsia" w:ascii="仿宋" w:hAnsi="仿宋" w:eastAsia="仿宋" w:cs="仿宋"/>
                <w:color w:val="auto"/>
                <w:sz w:val="22"/>
                <w:szCs w:val="22"/>
                <w:highlight w:val="none"/>
                <w:lang w:val="en-US" w:eastAsia="zh-CN"/>
              </w:rPr>
              <w:t>投标人</w:t>
            </w:r>
            <w:r>
              <w:rPr>
                <w:rFonts w:hint="eastAsia" w:ascii="仿宋" w:hAnsi="仿宋" w:eastAsia="仿宋" w:cs="仿宋"/>
                <w:color w:val="auto"/>
                <w:sz w:val="22"/>
                <w:szCs w:val="22"/>
                <w:highlight w:val="none"/>
              </w:rPr>
              <w:t>信用承诺书。</w:t>
            </w:r>
          </w:p>
          <w:p w14:paraId="5756827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以上证明材料须符合要求、有效、完整。否则，响应无效。</w:t>
            </w:r>
          </w:p>
        </w:tc>
      </w:tr>
      <w:tr w14:paraId="2DEC7A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8" w:hRule="atLeast"/>
          <w:jc w:val="center"/>
        </w:trPr>
        <w:tc>
          <w:tcPr>
            <w:tcW w:w="517" w:type="pct"/>
            <w:tcBorders>
              <w:top w:val="single" w:color="auto" w:sz="2" w:space="0"/>
              <w:left w:val="single" w:color="auto" w:sz="2" w:space="0"/>
              <w:bottom w:val="single" w:color="auto" w:sz="2" w:space="0"/>
              <w:right w:val="single" w:color="auto" w:sz="2" w:space="0"/>
            </w:tcBorders>
            <w:noWrap w:val="0"/>
            <w:vAlign w:val="center"/>
          </w:tcPr>
          <w:p w14:paraId="069F88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p>
        </w:tc>
        <w:tc>
          <w:tcPr>
            <w:tcW w:w="1605" w:type="pct"/>
            <w:tcBorders>
              <w:top w:val="single" w:color="auto" w:sz="2" w:space="0"/>
              <w:left w:val="single" w:color="auto" w:sz="2" w:space="0"/>
              <w:bottom w:val="single" w:color="auto" w:sz="2" w:space="0"/>
              <w:right w:val="single" w:color="auto" w:sz="2" w:space="0"/>
            </w:tcBorders>
            <w:noWrap w:val="0"/>
            <w:vAlign w:val="center"/>
          </w:tcPr>
          <w:p w14:paraId="4CF4B5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有依法缴纳税收和社会保障资金的良好记录</w:t>
            </w:r>
          </w:p>
        </w:tc>
        <w:tc>
          <w:tcPr>
            <w:tcW w:w="2876" w:type="pct"/>
            <w:tcBorders>
              <w:left w:val="single" w:color="auto" w:sz="2" w:space="0"/>
              <w:right w:val="single" w:color="auto" w:sz="2" w:space="0"/>
            </w:tcBorders>
            <w:noWrap w:val="0"/>
            <w:vAlign w:val="center"/>
          </w:tcPr>
          <w:p w14:paraId="40A9B3D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提供</w:t>
            </w:r>
            <w:r>
              <w:rPr>
                <w:rFonts w:hint="eastAsia" w:ascii="仿宋" w:hAnsi="仿宋" w:eastAsia="仿宋" w:cs="仿宋"/>
                <w:color w:val="auto"/>
                <w:sz w:val="22"/>
                <w:szCs w:val="22"/>
                <w:highlight w:val="none"/>
                <w:lang w:val="en-US" w:eastAsia="zh-CN"/>
              </w:rPr>
              <w:t>投标人</w:t>
            </w:r>
            <w:r>
              <w:rPr>
                <w:rFonts w:hint="eastAsia" w:ascii="仿宋" w:hAnsi="仿宋" w:eastAsia="仿宋" w:cs="仿宋"/>
                <w:color w:val="auto"/>
                <w:sz w:val="22"/>
                <w:szCs w:val="22"/>
                <w:highlight w:val="none"/>
              </w:rPr>
              <w:t>信用承诺书。</w:t>
            </w:r>
          </w:p>
          <w:p w14:paraId="381971C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以上证明材料须符合要求、有效、完整。否则，响应无效。</w:t>
            </w:r>
          </w:p>
        </w:tc>
      </w:tr>
      <w:tr w14:paraId="7507C9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3" w:hRule="atLeast"/>
          <w:jc w:val="center"/>
        </w:trPr>
        <w:tc>
          <w:tcPr>
            <w:tcW w:w="517" w:type="pct"/>
            <w:tcBorders>
              <w:top w:val="single" w:color="auto" w:sz="2" w:space="0"/>
              <w:left w:val="single" w:color="auto" w:sz="2" w:space="0"/>
              <w:bottom w:val="single" w:color="auto" w:sz="2" w:space="0"/>
              <w:right w:val="single" w:color="auto" w:sz="2" w:space="0"/>
            </w:tcBorders>
            <w:noWrap w:val="0"/>
            <w:vAlign w:val="center"/>
          </w:tcPr>
          <w:p w14:paraId="087F94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p>
        </w:tc>
        <w:tc>
          <w:tcPr>
            <w:tcW w:w="1605" w:type="pct"/>
            <w:tcBorders>
              <w:top w:val="single" w:color="auto" w:sz="2" w:space="0"/>
              <w:left w:val="single" w:color="auto" w:sz="2" w:space="0"/>
              <w:bottom w:val="single" w:color="auto" w:sz="2" w:space="0"/>
              <w:right w:val="single" w:color="auto" w:sz="2" w:space="0"/>
            </w:tcBorders>
            <w:noWrap w:val="0"/>
            <w:vAlign w:val="center"/>
          </w:tcPr>
          <w:p w14:paraId="4FF5DA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具有履行合同所必需的设备和专业技术能力</w:t>
            </w:r>
          </w:p>
        </w:tc>
        <w:tc>
          <w:tcPr>
            <w:tcW w:w="2876" w:type="pct"/>
            <w:tcBorders>
              <w:left w:val="single" w:color="auto" w:sz="2" w:space="0"/>
              <w:right w:val="single" w:color="auto" w:sz="2" w:space="0"/>
            </w:tcBorders>
            <w:noWrap w:val="0"/>
            <w:vAlign w:val="center"/>
          </w:tcPr>
          <w:p w14:paraId="447A661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提供</w:t>
            </w:r>
            <w:r>
              <w:rPr>
                <w:rFonts w:hint="eastAsia" w:ascii="仿宋" w:hAnsi="仿宋" w:eastAsia="仿宋" w:cs="仿宋"/>
                <w:color w:val="auto"/>
                <w:sz w:val="22"/>
                <w:szCs w:val="22"/>
                <w:highlight w:val="none"/>
                <w:lang w:val="en-US" w:eastAsia="zh-CN"/>
              </w:rPr>
              <w:t>投标人</w:t>
            </w:r>
            <w:r>
              <w:rPr>
                <w:rFonts w:hint="eastAsia" w:ascii="仿宋" w:hAnsi="仿宋" w:eastAsia="仿宋" w:cs="仿宋"/>
                <w:color w:val="auto"/>
                <w:sz w:val="22"/>
                <w:szCs w:val="22"/>
                <w:highlight w:val="none"/>
              </w:rPr>
              <w:t>信用承诺书。</w:t>
            </w:r>
          </w:p>
          <w:p w14:paraId="627EE97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以上证明材料须符合要求、有效、完整。否则，响应无效。</w:t>
            </w:r>
          </w:p>
        </w:tc>
      </w:tr>
      <w:tr w14:paraId="2C245D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17" w:type="pct"/>
            <w:tcBorders>
              <w:top w:val="single" w:color="auto" w:sz="2" w:space="0"/>
              <w:left w:val="single" w:color="auto" w:sz="2" w:space="0"/>
              <w:bottom w:val="single" w:color="auto" w:sz="2" w:space="0"/>
              <w:right w:val="single" w:color="auto" w:sz="2" w:space="0"/>
            </w:tcBorders>
            <w:noWrap w:val="0"/>
            <w:vAlign w:val="center"/>
          </w:tcPr>
          <w:p w14:paraId="678C5A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7</w:t>
            </w:r>
          </w:p>
        </w:tc>
        <w:tc>
          <w:tcPr>
            <w:tcW w:w="1605" w:type="pct"/>
            <w:tcBorders>
              <w:top w:val="single" w:color="auto" w:sz="2" w:space="0"/>
              <w:left w:val="single" w:color="auto" w:sz="2" w:space="0"/>
              <w:bottom w:val="single" w:color="auto" w:sz="2" w:space="0"/>
              <w:right w:val="single" w:color="auto" w:sz="2" w:space="0"/>
            </w:tcBorders>
            <w:noWrap w:val="0"/>
            <w:vAlign w:val="center"/>
          </w:tcPr>
          <w:p w14:paraId="0ED483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参加政府采购活动前三年内，在经营活动中没有重大违法记录</w:t>
            </w:r>
          </w:p>
        </w:tc>
        <w:tc>
          <w:tcPr>
            <w:tcW w:w="2876" w:type="pct"/>
            <w:tcBorders>
              <w:left w:val="single" w:color="auto" w:sz="2" w:space="0"/>
              <w:bottom w:val="single" w:color="auto" w:sz="2" w:space="0"/>
              <w:right w:val="single" w:color="auto" w:sz="2" w:space="0"/>
            </w:tcBorders>
            <w:noWrap w:val="0"/>
            <w:vAlign w:val="center"/>
          </w:tcPr>
          <w:p w14:paraId="1220784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提供</w:t>
            </w:r>
            <w:r>
              <w:rPr>
                <w:rFonts w:hint="eastAsia" w:ascii="仿宋" w:hAnsi="仿宋" w:eastAsia="仿宋" w:cs="仿宋"/>
                <w:color w:val="auto"/>
                <w:sz w:val="22"/>
                <w:szCs w:val="22"/>
                <w:highlight w:val="none"/>
                <w:lang w:val="en-US" w:eastAsia="zh-CN"/>
              </w:rPr>
              <w:t>投标人</w:t>
            </w:r>
            <w:r>
              <w:rPr>
                <w:rFonts w:hint="eastAsia" w:ascii="仿宋" w:hAnsi="仿宋" w:eastAsia="仿宋" w:cs="仿宋"/>
                <w:color w:val="auto"/>
                <w:sz w:val="22"/>
                <w:szCs w:val="22"/>
                <w:highlight w:val="none"/>
              </w:rPr>
              <w:t>信用承诺书。</w:t>
            </w:r>
          </w:p>
          <w:p w14:paraId="6F4528C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以上证明材料须符合要求、有效、完整。否则，响应无效。</w:t>
            </w:r>
          </w:p>
        </w:tc>
      </w:tr>
      <w:tr w14:paraId="7D4504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17" w:type="pct"/>
            <w:tcBorders>
              <w:top w:val="single" w:color="auto" w:sz="2" w:space="0"/>
              <w:left w:val="single" w:color="auto" w:sz="2" w:space="0"/>
              <w:bottom w:val="single" w:color="auto" w:sz="2" w:space="0"/>
              <w:right w:val="single" w:color="auto" w:sz="2" w:space="0"/>
            </w:tcBorders>
            <w:noWrap w:val="0"/>
            <w:vAlign w:val="center"/>
          </w:tcPr>
          <w:p w14:paraId="1A9AF4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1605" w:type="pct"/>
            <w:tcBorders>
              <w:top w:val="single" w:color="auto" w:sz="2" w:space="0"/>
              <w:left w:val="single" w:color="auto" w:sz="2" w:space="0"/>
              <w:bottom w:val="single" w:color="auto" w:sz="2" w:space="0"/>
              <w:right w:val="single" w:color="auto" w:sz="2" w:space="0"/>
            </w:tcBorders>
            <w:noWrap w:val="0"/>
            <w:vAlign w:val="center"/>
          </w:tcPr>
          <w:p w14:paraId="102571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保证金的交纳及开户许可证</w:t>
            </w:r>
          </w:p>
        </w:tc>
        <w:tc>
          <w:tcPr>
            <w:tcW w:w="2876" w:type="pct"/>
            <w:tcBorders>
              <w:top w:val="single" w:color="auto" w:sz="2" w:space="0"/>
              <w:left w:val="single" w:color="auto" w:sz="2" w:space="0"/>
              <w:bottom w:val="single" w:color="auto" w:sz="2" w:space="0"/>
              <w:right w:val="single" w:color="auto" w:sz="2" w:space="0"/>
            </w:tcBorders>
            <w:noWrap w:val="0"/>
            <w:vAlign w:val="center"/>
          </w:tcPr>
          <w:p w14:paraId="77894D9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2"/>
                <w:szCs w:val="22"/>
                <w:highlight w:val="none"/>
                <w:lang w:val="en-US" w:eastAsia="zh-CN"/>
              </w:rPr>
            </w:pPr>
            <w:bookmarkStart w:id="37" w:name="OLE_LINK9"/>
            <w:r>
              <w:rPr>
                <w:rFonts w:hint="eastAsia" w:ascii="仿宋" w:hAnsi="仿宋" w:eastAsia="仿宋" w:cs="仿宋"/>
                <w:color w:val="auto"/>
                <w:sz w:val="22"/>
                <w:szCs w:val="22"/>
                <w:highlight w:val="none"/>
                <w:lang w:val="en-US" w:eastAsia="zh-CN"/>
              </w:rPr>
              <w:t>提供保证金交纳证明扫描件或保函扫描件；</w:t>
            </w:r>
          </w:p>
          <w:p w14:paraId="6C7608C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提供投标人基本存款账户开户许可证或基本存款账户信息函扫描件。</w:t>
            </w:r>
            <w:bookmarkEnd w:id="37"/>
          </w:p>
        </w:tc>
      </w:tr>
      <w:tr w14:paraId="2A7066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517" w:type="pct"/>
            <w:tcBorders>
              <w:top w:val="single" w:color="auto" w:sz="2" w:space="0"/>
              <w:left w:val="single" w:color="auto" w:sz="2" w:space="0"/>
              <w:bottom w:val="single" w:color="auto" w:sz="2" w:space="0"/>
              <w:right w:val="single" w:color="auto" w:sz="2" w:space="0"/>
            </w:tcBorders>
            <w:noWrap w:val="0"/>
            <w:vAlign w:val="center"/>
          </w:tcPr>
          <w:p w14:paraId="622BC7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1605" w:type="pct"/>
            <w:tcBorders>
              <w:top w:val="single" w:color="auto" w:sz="2" w:space="0"/>
              <w:left w:val="single" w:color="auto" w:sz="2" w:space="0"/>
              <w:bottom w:val="single" w:color="auto" w:sz="2" w:space="0"/>
              <w:right w:val="single" w:color="auto" w:sz="2" w:space="0"/>
            </w:tcBorders>
            <w:noWrap w:val="0"/>
            <w:vAlign w:val="center"/>
          </w:tcPr>
          <w:p w14:paraId="69CAFA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采购政策</w:t>
            </w:r>
          </w:p>
        </w:tc>
        <w:tc>
          <w:tcPr>
            <w:tcW w:w="2876" w:type="pct"/>
            <w:tcBorders>
              <w:top w:val="single" w:color="auto" w:sz="2" w:space="0"/>
              <w:left w:val="single" w:color="auto" w:sz="2" w:space="0"/>
              <w:bottom w:val="single" w:color="auto" w:sz="2" w:space="0"/>
              <w:right w:val="single" w:color="auto" w:sz="2" w:space="0"/>
            </w:tcBorders>
            <w:noWrap w:val="0"/>
            <w:vAlign w:val="center"/>
          </w:tcPr>
          <w:p w14:paraId="33DA43C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中小企业声明函</w:t>
            </w:r>
            <w:r>
              <w:rPr>
                <w:rFonts w:hint="eastAsia" w:ascii="仿宋" w:hAnsi="仿宋" w:eastAsia="仿宋" w:cs="仿宋"/>
                <w:color w:val="auto"/>
                <w:sz w:val="22"/>
                <w:szCs w:val="22"/>
                <w:highlight w:val="none"/>
                <w:lang w:eastAsia="zh-CN"/>
              </w:rPr>
              <w:t>。</w:t>
            </w:r>
          </w:p>
        </w:tc>
      </w:tr>
      <w:tr w14:paraId="2C3EB6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517" w:type="pct"/>
            <w:tcBorders>
              <w:top w:val="single" w:color="auto" w:sz="2" w:space="0"/>
              <w:left w:val="single" w:color="auto" w:sz="2" w:space="0"/>
              <w:bottom w:val="single" w:color="auto" w:sz="2" w:space="0"/>
              <w:right w:val="single" w:color="auto" w:sz="2" w:space="0"/>
            </w:tcBorders>
            <w:noWrap w:val="0"/>
            <w:vAlign w:val="center"/>
          </w:tcPr>
          <w:p w14:paraId="1AE48F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1605" w:type="pct"/>
            <w:tcBorders>
              <w:top w:val="single" w:color="auto" w:sz="2" w:space="0"/>
              <w:left w:val="single" w:color="auto" w:sz="2" w:space="0"/>
              <w:bottom w:val="single" w:color="auto" w:sz="2" w:space="0"/>
              <w:right w:val="single" w:color="auto" w:sz="2" w:space="0"/>
            </w:tcBorders>
            <w:noWrap w:val="0"/>
            <w:vAlign w:val="center"/>
          </w:tcPr>
          <w:p w14:paraId="3FA563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highlight w:val="none"/>
                <w:lang w:eastAsia="zh-CN"/>
              </w:rPr>
            </w:pPr>
            <w:r>
              <w:rPr>
                <w:rFonts w:hint="eastAsia" w:ascii="仿宋" w:hAnsi="仿宋" w:eastAsia="仿宋" w:cs="仿宋"/>
                <w:b w:val="0"/>
                <w:bCs w:val="0"/>
                <w:color w:val="auto"/>
                <w:sz w:val="21"/>
                <w:szCs w:val="21"/>
                <w:highlight w:val="none"/>
              </w:rPr>
              <w:t>本项目的特定资格要求</w:t>
            </w:r>
          </w:p>
        </w:tc>
        <w:tc>
          <w:tcPr>
            <w:tcW w:w="2876" w:type="pct"/>
            <w:tcBorders>
              <w:top w:val="single" w:color="auto" w:sz="2" w:space="0"/>
              <w:left w:val="single" w:color="auto" w:sz="2" w:space="0"/>
              <w:bottom w:val="single" w:color="auto" w:sz="2" w:space="0"/>
              <w:right w:val="single" w:color="auto" w:sz="2" w:space="0"/>
            </w:tcBorders>
            <w:noWrap w:val="0"/>
            <w:vAlign w:val="center"/>
          </w:tcPr>
          <w:p w14:paraId="33209E5E">
            <w:pPr>
              <w:tabs>
                <w:tab w:val="left" w:pos="567"/>
              </w:tabs>
              <w:spacing w:line="240" w:lineRule="auto"/>
              <w:rPr>
                <w:rFonts w:hint="eastAsia" w:ascii="仿宋" w:hAnsi="仿宋" w:eastAsia="仿宋" w:cs="仿宋"/>
                <w:color w:val="auto"/>
                <w:sz w:val="22"/>
                <w:szCs w:val="22"/>
                <w:highlight w:val="none"/>
              </w:rPr>
            </w:pPr>
            <w:r>
              <w:rPr>
                <w:rFonts w:hint="eastAsia" w:ascii="仿宋" w:hAnsi="仿宋" w:eastAsia="仿宋" w:cs="仿宋"/>
                <w:b w:val="0"/>
                <w:bCs w:val="0"/>
                <w:color w:val="auto"/>
                <w:sz w:val="21"/>
                <w:szCs w:val="21"/>
                <w:highlight w:val="none"/>
                <w:lang w:val="en-US" w:eastAsia="zh-CN"/>
              </w:rPr>
              <w:t>/。</w:t>
            </w:r>
          </w:p>
        </w:tc>
      </w:tr>
    </w:tbl>
    <w:p w14:paraId="09D6F438">
      <w:pPr>
        <w:pStyle w:val="12"/>
        <w:jc w:val="center"/>
        <w:rPr>
          <w:rFonts w:hint="eastAsia" w:ascii="仿宋" w:hAnsi="仿宋" w:eastAsia="仿宋" w:cs="仿宋"/>
          <w:color w:val="auto"/>
          <w:highlight w:val="none"/>
          <w:lang w:val="en-US" w:eastAsia="zh-CN"/>
        </w:rPr>
      </w:pPr>
    </w:p>
    <w:p w14:paraId="796C0E64">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说明：除上述内容外，投标人提供的其他材料，不作为资格审查的内容。</w:t>
      </w:r>
    </w:p>
    <w:p w14:paraId="26FF8CCE">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32A3CCBC">
      <w:pPr>
        <w:snapToGrid w:val="0"/>
        <w:spacing w:line="360" w:lineRule="auto"/>
        <w:ind w:firstLine="241" w:firstLineChars="1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二、符合性审查的内容及标准</w:t>
      </w:r>
    </w:p>
    <w:tbl>
      <w:tblPr>
        <w:tblStyle w:val="22"/>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16"/>
        <w:gridCol w:w="1769"/>
        <w:gridCol w:w="5241"/>
      </w:tblGrid>
      <w:tr w14:paraId="7C86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1" w:type="dxa"/>
            <w:vAlign w:val="center"/>
          </w:tcPr>
          <w:p w14:paraId="43BA3F43">
            <w:pPr>
              <w:adjustRightInd w:val="0"/>
              <w:snapToGrid w:val="0"/>
              <w:ind w:left="-42" w:leftChars="-20" w:right="-42" w:rightChars="-2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1316" w:type="dxa"/>
            <w:vAlign w:val="center"/>
          </w:tcPr>
          <w:p w14:paraId="7F432861">
            <w:pPr>
              <w:adjustRightInd w:val="0"/>
              <w:snapToGrid w:val="0"/>
              <w:ind w:left="-42" w:leftChars="-20" w:right="-42" w:rightChars="-2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类型</w:t>
            </w:r>
          </w:p>
        </w:tc>
        <w:tc>
          <w:tcPr>
            <w:tcW w:w="1769" w:type="dxa"/>
            <w:vAlign w:val="center"/>
          </w:tcPr>
          <w:p w14:paraId="5872345C">
            <w:pPr>
              <w:adjustRightInd w:val="0"/>
              <w:snapToGrid w:val="0"/>
              <w:ind w:left="-42" w:leftChars="-20" w:right="-42" w:rightChars="-2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要求</w:t>
            </w:r>
          </w:p>
        </w:tc>
        <w:tc>
          <w:tcPr>
            <w:tcW w:w="5241" w:type="dxa"/>
            <w:vAlign w:val="center"/>
          </w:tcPr>
          <w:p w14:paraId="1B3DA2A2">
            <w:pPr>
              <w:adjustRightInd w:val="0"/>
              <w:snapToGrid w:val="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要求说明</w:t>
            </w:r>
          </w:p>
        </w:tc>
      </w:tr>
      <w:tr w14:paraId="1C9C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16CE16BB">
            <w:pPr>
              <w:ind w:left="-63" w:leftChars="-30" w:right="-63" w:rightChars="-3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16" w:type="dxa"/>
            <w:vAlign w:val="center"/>
          </w:tcPr>
          <w:p w14:paraId="1767411A">
            <w:pPr>
              <w:ind w:left="-63" w:leftChars="-30" w:right="-63" w:rightChars="-3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报价</w:t>
            </w:r>
          </w:p>
        </w:tc>
        <w:tc>
          <w:tcPr>
            <w:tcW w:w="1769" w:type="dxa"/>
            <w:vAlign w:val="top"/>
          </w:tcPr>
          <w:p w14:paraId="73095537">
            <w:pPr>
              <w:spacing w:line="248" w:lineRule="auto"/>
              <w:rPr>
                <w:rFonts w:hint="eastAsia" w:ascii="仿宋" w:hAnsi="仿宋" w:eastAsia="仿宋" w:cs="仿宋"/>
                <w:color w:val="auto"/>
                <w:kern w:val="2"/>
                <w:sz w:val="21"/>
                <w:szCs w:val="21"/>
                <w:highlight w:val="none"/>
                <w:lang w:val="en-US" w:eastAsia="zh-CN" w:bidi="ar-SA"/>
              </w:rPr>
            </w:pPr>
          </w:p>
          <w:p w14:paraId="7B6AB5C7">
            <w:pPr>
              <w:spacing w:line="248" w:lineRule="auto"/>
              <w:rPr>
                <w:rFonts w:hint="eastAsia" w:ascii="仿宋" w:hAnsi="仿宋" w:eastAsia="仿宋" w:cs="仿宋"/>
                <w:color w:val="auto"/>
                <w:kern w:val="2"/>
                <w:sz w:val="21"/>
                <w:szCs w:val="21"/>
                <w:highlight w:val="none"/>
                <w:lang w:val="en-US" w:eastAsia="zh-CN" w:bidi="ar-SA"/>
              </w:rPr>
            </w:pPr>
          </w:p>
          <w:p w14:paraId="08D97DE0">
            <w:pPr>
              <w:spacing w:line="248" w:lineRule="auto"/>
              <w:rPr>
                <w:rFonts w:hint="eastAsia" w:ascii="仿宋" w:hAnsi="仿宋" w:eastAsia="仿宋" w:cs="仿宋"/>
                <w:color w:val="auto"/>
                <w:kern w:val="2"/>
                <w:sz w:val="21"/>
                <w:szCs w:val="21"/>
                <w:highlight w:val="none"/>
                <w:lang w:val="en-US" w:eastAsia="zh-CN" w:bidi="ar-SA"/>
              </w:rPr>
            </w:pPr>
          </w:p>
          <w:p w14:paraId="4F668BC9">
            <w:pPr>
              <w:pStyle w:val="40"/>
              <w:spacing w:before="65" w:line="226"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投标文件的报价</w:t>
            </w:r>
          </w:p>
        </w:tc>
        <w:tc>
          <w:tcPr>
            <w:tcW w:w="5241" w:type="dxa"/>
            <w:vAlign w:val="top"/>
          </w:tcPr>
          <w:p w14:paraId="3B2D2724">
            <w:pPr>
              <w:pStyle w:val="40"/>
              <w:spacing w:before="127" w:line="226"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1、所有投标报价均以人民币/元为计算单位。</w:t>
            </w:r>
          </w:p>
          <w:p w14:paraId="4002756E">
            <w:pPr>
              <w:pStyle w:val="40"/>
              <w:spacing w:before="223" w:line="226"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2、不接受可选择或可调整的投标和报价。</w:t>
            </w:r>
          </w:p>
          <w:p w14:paraId="7E28714C">
            <w:pPr>
              <w:pStyle w:val="40"/>
              <w:spacing w:before="223" w:line="226"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3、不接受超出本项目预算金额或最高限价的报价。</w:t>
            </w:r>
          </w:p>
          <w:p w14:paraId="7C60736F">
            <w:pPr>
              <w:pStyle w:val="40"/>
              <w:spacing w:before="223" w:line="226"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4、对投标报价是否存在恶意竞争进行符合性审查，审查标准对照本文件第三部分规定执行。</w:t>
            </w:r>
          </w:p>
        </w:tc>
      </w:tr>
      <w:tr w14:paraId="77F4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6F972C3F">
            <w:pPr>
              <w:ind w:left="-63" w:leftChars="-30" w:right="-63" w:rightChars="-3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w:t>
            </w:r>
          </w:p>
        </w:tc>
        <w:tc>
          <w:tcPr>
            <w:tcW w:w="1316" w:type="dxa"/>
            <w:vAlign w:val="center"/>
          </w:tcPr>
          <w:p w14:paraId="5C9CD3FD">
            <w:pPr>
              <w:ind w:left="-63" w:leftChars="-30" w:right="-63" w:rightChars="-3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商务</w:t>
            </w:r>
          </w:p>
        </w:tc>
        <w:tc>
          <w:tcPr>
            <w:tcW w:w="1769" w:type="dxa"/>
            <w:vAlign w:val="top"/>
          </w:tcPr>
          <w:p w14:paraId="652E4A61">
            <w:pPr>
              <w:spacing w:line="297" w:lineRule="auto"/>
              <w:rPr>
                <w:rFonts w:hint="eastAsia" w:ascii="仿宋" w:hAnsi="仿宋" w:eastAsia="仿宋" w:cs="仿宋"/>
                <w:color w:val="auto"/>
                <w:kern w:val="2"/>
                <w:sz w:val="21"/>
                <w:szCs w:val="21"/>
                <w:highlight w:val="none"/>
                <w:lang w:val="en-US" w:eastAsia="zh-CN" w:bidi="ar-SA"/>
              </w:rPr>
            </w:pPr>
          </w:p>
          <w:p w14:paraId="185C5C68">
            <w:pPr>
              <w:pStyle w:val="40"/>
              <w:spacing w:before="65" w:line="228"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商务要求响应内容</w:t>
            </w:r>
          </w:p>
        </w:tc>
        <w:tc>
          <w:tcPr>
            <w:tcW w:w="5241" w:type="dxa"/>
            <w:vAlign w:val="top"/>
          </w:tcPr>
          <w:p w14:paraId="33A258FD">
            <w:pPr>
              <w:pStyle w:val="40"/>
              <w:spacing w:before="129" w:line="367" w:lineRule="auto"/>
              <w:ind w:right="106"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对照本文件第四部分中“商务要求 ”内容和投标文件的响应内容进行审查，没有做出实质性响应的做无效投标处理。</w:t>
            </w:r>
          </w:p>
        </w:tc>
      </w:tr>
      <w:tr w14:paraId="69E3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4A5B61F4">
            <w:pPr>
              <w:ind w:left="-63" w:leftChars="-30" w:right="-63" w:rightChars="-3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c>
          <w:tcPr>
            <w:tcW w:w="1316" w:type="dxa"/>
            <w:vAlign w:val="center"/>
          </w:tcPr>
          <w:p w14:paraId="6E72AC14">
            <w:pPr>
              <w:ind w:left="-63" w:leftChars="-30" w:right="-63" w:rightChars="-3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商务</w:t>
            </w:r>
          </w:p>
        </w:tc>
        <w:tc>
          <w:tcPr>
            <w:tcW w:w="1769" w:type="dxa"/>
            <w:vAlign w:val="top"/>
          </w:tcPr>
          <w:p w14:paraId="25FE3766">
            <w:pPr>
              <w:spacing w:line="298" w:lineRule="auto"/>
              <w:rPr>
                <w:rFonts w:hint="eastAsia" w:ascii="仿宋" w:hAnsi="仿宋" w:eastAsia="仿宋" w:cs="仿宋"/>
                <w:color w:val="auto"/>
                <w:kern w:val="2"/>
                <w:sz w:val="21"/>
                <w:szCs w:val="21"/>
                <w:highlight w:val="none"/>
                <w:lang w:val="en-US" w:eastAsia="zh-CN" w:bidi="ar-SA"/>
              </w:rPr>
            </w:pPr>
          </w:p>
          <w:p w14:paraId="247E4CFA">
            <w:pPr>
              <w:pStyle w:val="40"/>
              <w:spacing w:before="65" w:line="228"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实质性要求响应内容</w:t>
            </w:r>
          </w:p>
        </w:tc>
        <w:tc>
          <w:tcPr>
            <w:tcW w:w="5241" w:type="dxa"/>
            <w:vAlign w:val="top"/>
          </w:tcPr>
          <w:p w14:paraId="22C01A21">
            <w:pPr>
              <w:pStyle w:val="40"/>
              <w:spacing w:before="129" w:line="367" w:lineRule="auto"/>
              <w:ind w:right="106"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对照本文件第四部分中“实质性要求 ”内容和投标文件的响应内容进行审查，没有做出实质性响应的做无效投标处理。</w:t>
            </w:r>
          </w:p>
        </w:tc>
      </w:tr>
      <w:tr w14:paraId="0492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25F00F09">
            <w:pPr>
              <w:ind w:left="-63" w:leftChars="-30" w:right="-63" w:rightChars="-3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4</w:t>
            </w:r>
          </w:p>
        </w:tc>
        <w:tc>
          <w:tcPr>
            <w:tcW w:w="1316" w:type="dxa"/>
            <w:vAlign w:val="center"/>
          </w:tcPr>
          <w:p w14:paraId="06A4C591">
            <w:pPr>
              <w:ind w:left="-63" w:leftChars="-30" w:right="-63" w:rightChars="-3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技术</w:t>
            </w:r>
          </w:p>
        </w:tc>
        <w:tc>
          <w:tcPr>
            <w:tcW w:w="1769" w:type="dxa"/>
            <w:vAlign w:val="top"/>
          </w:tcPr>
          <w:p w14:paraId="1204C07F">
            <w:pPr>
              <w:spacing w:line="298" w:lineRule="auto"/>
              <w:rPr>
                <w:rFonts w:hint="eastAsia" w:ascii="仿宋" w:hAnsi="仿宋" w:eastAsia="仿宋" w:cs="仿宋"/>
                <w:color w:val="auto"/>
                <w:kern w:val="2"/>
                <w:sz w:val="21"/>
                <w:szCs w:val="21"/>
                <w:highlight w:val="none"/>
                <w:lang w:val="en-US" w:eastAsia="zh-CN" w:bidi="ar-SA"/>
              </w:rPr>
            </w:pPr>
          </w:p>
          <w:p w14:paraId="2B760015">
            <w:pPr>
              <w:pStyle w:val="40"/>
              <w:spacing w:before="65" w:line="228"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服务要求响应内容</w:t>
            </w:r>
          </w:p>
        </w:tc>
        <w:tc>
          <w:tcPr>
            <w:tcW w:w="5241" w:type="dxa"/>
            <w:vAlign w:val="top"/>
          </w:tcPr>
          <w:p w14:paraId="1FD662F0">
            <w:pPr>
              <w:pStyle w:val="40"/>
              <w:spacing w:before="129" w:line="367" w:lineRule="auto"/>
              <w:ind w:right="106"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对照本文件第四部分服务要求及服务需求书中的内容和投标文件的响应内容进行审查，没有做出实质性响应的做无效投标处理。</w:t>
            </w:r>
          </w:p>
        </w:tc>
      </w:tr>
      <w:tr w14:paraId="17E9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11865C80">
            <w:pPr>
              <w:ind w:left="-63" w:leftChars="-30" w:right="-63" w:rightChars="-3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1316" w:type="dxa"/>
            <w:vAlign w:val="center"/>
          </w:tcPr>
          <w:p w14:paraId="0B512360">
            <w:pPr>
              <w:ind w:left="-63" w:leftChars="-30" w:right="-63" w:rightChars="-3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商务</w:t>
            </w:r>
          </w:p>
        </w:tc>
        <w:tc>
          <w:tcPr>
            <w:tcW w:w="1769" w:type="dxa"/>
            <w:vAlign w:val="top"/>
          </w:tcPr>
          <w:p w14:paraId="0DAD6095">
            <w:pPr>
              <w:pStyle w:val="40"/>
              <w:spacing w:before="222" w:line="330" w:lineRule="auto"/>
              <w:ind w:left="115" w:leftChars="0" w:right="106" w:rightChars="0" w:hanging="2"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其他</w:t>
            </w:r>
          </w:p>
        </w:tc>
        <w:tc>
          <w:tcPr>
            <w:tcW w:w="5241" w:type="dxa"/>
            <w:vAlign w:val="top"/>
          </w:tcPr>
          <w:p w14:paraId="42092BD4">
            <w:pPr>
              <w:pStyle w:val="40"/>
              <w:spacing w:before="131" w:line="227"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投标文件未附有招标文件不能接受的条件</w:t>
            </w:r>
          </w:p>
        </w:tc>
      </w:tr>
    </w:tbl>
    <w:p w14:paraId="6E95CFB2">
      <w:pPr>
        <w:pStyle w:val="33"/>
        <w:snapToGrid w:val="0"/>
        <w:spacing w:line="360" w:lineRule="auto"/>
        <w:ind w:left="1080" w:hanging="945" w:hangingChars="45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w:t>
      </w:r>
    </w:p>
    <w:p w14:paraId="0AFD0A89">
      <w:pPr>
        <w:pStyle w:val="33"/>
        <w:snapToGrid w:val="0"/>
        <w:spacing w:line="360" w:lineRule="auto"/>
        <w:ind w:left="2" w:firstLine="367" w:firstLineChars="175"/>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1.符合性审查的内容，经评标委员会共同认定没有做出实质性、符合性响应的，将导致投标无效。</w:t>
      </w:r>
    </w:p>
    <w:p w14:paraId="60B24F5A">
      <w:pPr>
        <w:pStyle w:val="33"/>
        <w:snapToGrid w:val="0"/>
        <w:spacing w:line="360" w:lineRule="auto"/>
        <w:ind w:left="2" w:firstLine="367" w:firstLineChars="175"/>
        <w:jc w:val="left"/>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2．审查时，存在投标人须知</w:t>
      </w:r>
      <w:r>
        <w:rPr>
          <w:rFonts w:hint="eastAsia" w:ascii="仿宋" w:hAnsi="仿宋" w:eastAsia="仿宋" w:cs="仿宋"/>
          <w:color w:val="auto"/>
          <w:sz w:val="21"/>
          <w:szCs w:val="21"/>
          <w:highlight w:val="none"/>
          <w:lang w:val="en-US" w:eastAsia="zh-CN"/>
        </w:rPr>
        <w:t>规定的</w:t>
      </w:r>
      <w:r>
        <w:rPr>
          <w:rFonts w:hint="eastAsia" w:ascii="仿宋" w:hAnsi="仿宋" w:eastAsia="仿宋" w:cs="仿宋"/>
          <w:color w:val="auto"/>
          <w:sz w:val="21"/>
          <w:szCs w:val="21"/>
          <w:highlight w:val="none"/>
        </w:rPr>
        <w:t>无效投标的情形的，按无效投标处理。</w:t>
      </w:r>
    </w:p>
    <w:p w14:paraId="17424705">
      <w:pPr>
        <w:rPr>
          <w:rFonts w:hint="eastAsia" w:ascii="仿宋" w:hAnsi="仿宋" w:eastAsia="仿宋" w:cs="仿宋"/>
          <w:b/>
          <w:color w:val="auto"/>
          <w:sz w:val="21"/>
          <w:szCs w:val="21"/>
          <w:highlight w:val="none"/>
        </w:rPr>
      </w:pPr>
    </w:p>
    <w:p w14:paraId="5F2E2DC3">
      <w:pPr>
        <w:pStyle w:val="33"/>
        <w:snapToGrid w:val="0"/>
        <w:spacing w:line="360" w:lineRule="auto"/>
        <w:ind w:firstLine="422" w:firstLineChars="20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三、落实政府采购政策性要求的评审内容及标准</w:t>
      </w:r>
    </w:p>
    <w:p w14:paraId="52CF67E7">
      <w:pPr>
        <w:snapToGrid w:val="0"/>
        <w:spacing w:line="360" w:lineRule="auto"/>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1.进口货物评审标准</w:t>
      </w:r>
    </w:p>
    <w:p w14:paraId="111A1DC5">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投标人的进口产品，如果有能够满足采购需求的国产产品参与，应当按照公平竞争的原则进行评审。</w:t>
      </w:r>
    </w:p>
    <w:p w14:paraId="66C52D17">
      <w:pPr>
        <w:snapToGrid w:val="0"/>
        <w:spacing w:line="360" w:lineRule="auto"/>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2.国家强制产品评审标准</w:t>
      </w:r>
    </w:p>
    <w:p w14:paraId="7A01F7DF">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2.1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否则，投标无效。</w:t>
      </w:r>
    </w:p>
    <w:p w14:paraId="176CD377">
      <w:pPr>
        <w:snapToGrid w:val="0"/>
        <w:spacing w:line="360" w:lineRule="auto"/>
        <w:ind w:firstLine="420" w:firstLineChars="200"/>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2.2本项目所采购的货物中如包含计算机，必须预装正版操作系统软件产品；所采购的其它软件必须为正版软件。需提供正版软件承诺书，否则，投标无效。</w:t>
      </w:r>
    </w:p>
    <w:p w14:paraId="11C029A1">
      <w:pPr>
        <w:snapToGrid w:val="0"/>
        <w:spacing w:line="360" w:lineRule="auto"/>
        <w:ind w:firstLine="420" w:firstLineChars="200"/>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2.3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735A4837">
      <w:pPr>
        <w:snapToGrid w:val="0"/>
        <w:spacing w:line="360" w:lineRule="auto"/>
        <w:ind w:firstLine="420" w:firstLineChars="200"/>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具备资格的机构是指列入《承担网络关键设备和网络安全专用产品安全认证和安全检测任务机构名录》的机构。</w:t>
      </w:r>
    </w:p>
    <w:p w14:paraId="778AC655">
      <w:pPr>
        <w:snapToGrid w:val="0"/>
        <w:spacing w:line="360" w:lineRule="auto"/>
        <w:ind w:firstLine="420" w:firstLineChars="200"/>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国家互联网信息办公室、工业和信息化部、公安部、国家认证认可监督管理委员会发布更新《网络关键设备和网络安全专用产品目录》、《承担网络关键设备和网络安全专用产品安全认证和安全检测任务机构名录》。</w:t>
      </w:r>
    </w:p>
    <w:p w14:paraId="60641BD7">
      <w:pPr>
        <w:snapToGrid w:val="0"/>
        <w:spacing w:line="360" w:lineRule="auto"/>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3.企业性质评审标准</w:t>
      </w:r>
    </w:p>
    <w:p w14:paraId="352B11E2">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依据政府采购的相关规定，如果投标人或所提供的货物满足下述要求并经评标委员会全体成员集体认定通过，予以考虑执行。</w:t>
      </w:r>
    </w:p>
    <w:p w14:paraId="1399B676">
      <w:pPr>
        <w:snapToGrid w:val="0"/>
        <w:spacing w:line="360" w:lineRule="auto"/>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3.1中小微企业参加本项目的评审标准</w:t>
      </w:r>
    </w:p>
    <w:p w14:paraId="26BCF60B">
      <w:pPr>
        <w:pStyle w:val="33"/>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须按照财政部、工业和信息化部发布的《关于印发&lt;政府采购促进中小企业发展管理办法&gt;的通知》(财库〔2020〕46号），并依据工信部联【2011】300号《中小企业划型标准规定》的标准，如实填写《中小企业声明函》。否则，不予认可。</w:t>
      </w:r>
    </w:p>
    <w:p w14:paraId="0DBA13E7">
      <w:pPr>
        <w:pStyle w:val="33"/>
        <w:snapToGrid w:val="0"/>
        <w:spacing w:line="360" w:lineRule="auto"/>
        <w:ind w:firstLine="422" w:firstLineChars="200"/>
        <w:jc w:val="both"/>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3.2残疾人福利性单位参加本项目的评审标准</w:t>
      </w:r>
    </w:p>
    <w:p w14:paraId="450BE4CE">
      <w:pPr>
        <w:pStyle w:val="33"/>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须根据财库【2017】141号《关于促进残疾人就业政府采购政策的通知》的要求，如实填写残疾人福利性单位声明函（格式见第七部分），否则，不予认可。</w:t>
      </w:r>
    </w:p>
    <w:p w14:paraId="0A63A0B3">
      <w:pPr>
        <w:pStyle w:val="33"/>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3.2.1享受政府采购支持政策的残疾人福利性单位应当同时满足以下条件：</w:t>
      </w:r>
    </w:p>
    <w:p w14:paraId="5BEEAC40">
      <w:pPr>
        <w:pStyle w:val="33"/>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A.安置的残疾人占本单位在职职工人数的比例不低于25%（含25%），并且安置的残疾人人数不少于10人（含10人）；</w:t>
      </w:r>
    </w:p>
    <w:p w14:paraId="6AD3E95D">
      <w:pPr>
        <w:pStyle w:val="33"/>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B.依法与安置的每位残疾人签订了一年以上（含一年）的劳动合同或服务协议；</w:t>
      </w:r>
    </w:p>
    <w:p w14:paraId="20675ECC">
      <w:pPr>
        <w:pStyle w:val="33"/>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C.为安置的每位残疾人按月足额缴纳了基本养老保险、基本医疗保险、失业保险、工伤保险和生育保险等社会保险费；</w:t>
      </w:r>
    </w:p>
    <w:p w14:paraId="2972FCD0">
      <w:pPr>
        <w:pStyle w:val="33"/>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D.通过银行等金融机构向安置的每位残疾人，按月支付了不低于单位所在区县适用的经省级人民政府批准的月最低工资标准的工资；</w:t>
      </w:r>
    </w:p>
    <w:p w14:paraId="00DE2C2A">
      <w:pPr>
        <w:pStyle w:val="33"/>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E．提供本单位制造的货物、承担的工程或者服务（以下简称产品），或者提供其他残疾人福利性单位制造的货物（不包括使用非残疾人福利性单位注册商标的货物）。</w:t>
      </w:r>
    </w:p>
    <w:p w14:paraId="3B38E723">
      <w:pPr>
        <w:pStyle w:val="33"/>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113ACBD">
      <w:pPr>
        <w:pStyle w:val="33"/>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3.2.2投标人提供的《残疾人福利性单位声明函》与事实不符的，依照《政府采购法》第七十七条第一款的规定追究法律责任。</w:t>
      </w:r>
    </w:p>
    <w:p w14:paraId="419C560D">
      <w:pPr>
        <w:pStyle w:val="33"/>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3.2.3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B28C80F">
      <w:pPr>
        <w:pStyle w:val="33"/>
        <w:snapToGrid w:val="0"/>
        <w:spacing w:line="360" w:lineRule="auto"/>
        <w:ind w:firstLine="422" w:firstLineChars="200"/>
        <w:jc w:val="both"/>
        <w:rPr>
          <w:rFonts w:hint="eastAsia" w:ascii="仿宋" w:hAnsi="仿宋" w:eastAsia="仿宋" w:cs="仿宋"/>
          <w:color w:val="auto"/>
          <w:sz w:val="21"/>
          <w:szCs w:val="21"/>
          <w:highlight w:val="none"/>
        </w:rPr>
      </w:pPr>
      <w:r>
        <w:rPr>
          <w:rFonts w:hint="eastAsia" w:ascii="仿宋" w:hAnsi="仿宋" w:eastAsia="仿宋" w:cs="仿宋"/>
          <w:b/>
          <w:bCs/>
          <w:color w:val="auto"/>
          <w:kern w:val="0"/>
          <w:sz w:val="21"/>
          <w:szCs w:val="21"/>
          <w:highlight w:val="none"/>
        </w:rPr>
        <w:t>3.3监狱企业参加本项目的评审标准</w:t>
      </w:r>
    </w:p>
    <w:p w14:paraId="4C320DB7">
      <w:pPr>
        <w:pStyle w:val="33"/>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监狱企业参加投标视同小微企业，提供由省级以上监狱管理局、戒毒管理局出具的属于监狱企业的证明文件。否则，不予认可。</w:t>
      </w:r>
    </w:p>
    <w:p w14:paraId="4A8741DA">
      <w:pPr>
        <w:snapToGrid w:val="0"/>
        <w:spacing w:line="360" w:lineRule="auto"/>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3.4联合体企业参加本项目的评审标准</w:t>
      </w:r>
    </w:p>
    <w:p w14:paraId="3118E3F6">
      <w:pPr>
        <w:pStyle w:val="33"/>
        <w:snapToGrid w:val="0"/>
        <w:spacing w:line="360" w:lineRule="auto"/>
        <w:ind w:firstLine="420" w:firstLineChars="200"/>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如本项目为接受大中型企业与小微企业组成联合体或者允许大中型企业向一家或者多家小微企业分包的采购项目，需提供联合体投标协议书，否则，投标无效。</w:t>
      </w:r>
    </w:p>
    <w:p w14:paraId="61D90BAA">
      <w:pPr>
        <w:snapToGrid w:val="0"/>
        <w:spacing w:line="360" w:lineRule="auto"/>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4环保节能产品参加本项目的评审标准</w:t>
      </w:r>
    </w:p>
    <w:p w14:paraId="0B0DC474">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4.1投报节能产品政府采购品目清单中强制性采购产品以外的其它节能产品，且提供所投产品获得国家确定的认证机构出具的、处于有效期之内的节能产品认证证书。</w:t>
      </w:r>
    </w:p>
    <w:p w14:paraId="1DFED233">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4.2投报环境标志产品政府采购品目清单中的产品，且提供所投产品获得国家确定的认证机构出具的、处于有效期之内的环境标志产品认证证书。</w:t>
      </w:r>
    </w:p>
    <w:p w14:paraId="769A1FF1">
      <w:pPr>
        <w:snapToGrid w:val="0"/>
        <w:spacing w:line="360" w:lineRule="auto"/>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5创新产品参加本项目的评审标准</w:t>
      </w:r>
    </w:p>
    <w:p w14:paraId="332373FA">
      <w:pPr>
        <w:pStyle w:val="33"/>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根据《政府采购支持创新产品和服务实施细则》（晋财购【2019】19号），需在</w:t>
      </w:r>
      <w:r>
        <w:rPr>
          <w:rFonts w:hint="eastAsia" w:ascii="仿宋" w:hAnsi="仿宋" w:eastAsia="仿宋" w:cs="仿宋"/>
          <w:color w:val="auto"/>
          <w:sz w:val="21"/>
          <w:szCs w:val="21"/>
          <w:highlight w:val="none"/>
          <w:lang w:eastAsia="zh-CN"/>
        </w:rPr>
        <w:t>投标文件</w:t>
      </w:r>
      <w:r>
        <w:rPr>
          <w:rFonts w:hint="eastAsia" w:ascii="仿宋" w:hAnsi="仿宋" w:eastAsia="仿宋" w:cs="仿宋"/>
          <w:color w:val="auto"/>
          <w:sz w:val="21"/>
          <w:szCs w:val="21"/>
          <w:highlight w:val="none"/>
        </w:rPr>
        <w:t>中提供《山西省创新产品和服务推荐清单》，并填写《创新产品或创新服务明细表》。否则，不予认可。</w:t>
      </w:r>
    </w:p>
    <w:p w14:paraId="07551E40">
      <w:pPr>
        <w:pStyle w:val="33"/>
        <w:snapToGrid w:val="0"/>
        <w:spacing w:line="360" w:lineRule="auto"/>
        <w:ind w:firstLine="422" w:firstLineChars="200"/>
        <w:jc w:val="both"/>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6本项目（包）如属于专门面向中小企业采购的采购包，不再执行价格评审优惠的扶持政策。</w:t>
      </w:r>
    </w:p>
    <w:p w14:paraId="632CAFBF">
      <w:pPr>
        <w:pStyle w:val="33"/>
        <w:snapToGrid w:val="0"/>
        <w:spacing w:line="360" w:lineRule="auto"/>
        <w:ind w:firstLine="422" w:firstLineChars="200"/>
        <w:jc w:val="lef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四、无效投标的情形</w:t>
      </w:r>
    </w:p>
    <w:p w14:paraId="1F2DB053">
      <w:pPr>
        <w:pStyle w:val="33"/>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未通过资格性、符合性审查的投标文件为无效投标。</w:t>
      </w:r>
    </w:p>
    <w:p w14:paraId="5CC943BF">
      <w:pPr>
        <w:pStyle w:val="33"/>
        <w:snapToGrid w:val="0"/>
        <w:spacing w:line="360" w:lineRule="auto"/>
        <w:ind w:firstLine="420" w:firstLineChars="200"/>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五、</w:t>
      </w:r>
      <w:r>
        <w:rPr>
          <w:rFonts w:hint="eastAsia" w:ascii="仿宋" w:hAnsi="仿宋" w:eastAsia="仿宋" w:cs="仿宋"/>
          <w:b w:val="0"/>
          <w:bCs/>
          <w:color w:val="auto"/>
          <w:sz w:val="21"/>
          <w:szCs w:val="21"/>
          <w:highlight w:val="none"/>
        </w:rPr>
        <w:t>未尽事宜以《中华人民共和国政府采购法》‌和《政府采购货物和服务招标投标管理办法》（财政部令第87号）执行。</w:t>
      </w:r>
    </w:p>
    <w:p w14:paraId="4F65795B">
      <w:pPr>
        <w:pStyle w:val="33"/>
        <w:snapToGrid w:val="0"/>
        <w:spacing w:line="360" w:lineRule="auto"/>
        <w:ind w:firstLine="420" w:firstLineChars="200"/>
        <w:jc w:val="left"/>
        <w:rPr>
          <w:rFonts w:hint="eastAsia" w:ascii="仿宋" w:hAnsi="仿宋" w:eastAsia="仿宋" w:cs="仿宋"/>
          <w:color w:val="auto"/>
          <w:sz w:val="21"/>
          <w:szCs w:val="21"/>
          <w:highlight w:val="none"/>
        </w:rPr>
      </w:pPr>
    </w:p>
    <w:p w14:paraId="29634756">
      <w:pP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14:paraId="1C60675A">
      <w:pPr>
        <w:snapToGrid w:val="0"/>
        <w:spacing w:line="360" w:lineRule="auto"/>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color w:val="auto"/>
          <w:sz w:val="21"/>
          <w:szCs w:val="21"/>
          <w:highlight w:val="none"/>
        </w:rPr>
        <w:t>五、</w:t>
      </w:r>
      <w:r>
        <w:rPr>
          <w:rFonts w:hint="eastAsia" w:ascii="仿宋" w:hAnsi="仿宋" w:eastAsia="仿宋" w:cs="仿宋"/>
          <w:b/>
          <w:bCs/>
          <w:color w:val="auto"/>
          <w:kern w:val="0"/>
          <w:sz w:val="21"/>
          <w:szCs w:val="21"/>
          <w:highlight w:val="none"/>
        </w:rPr>
        <w:t>评分细则</w:t>
      </w:r>
    </w:p>
    <w:p w14:paraId="2E70F6F9">
      <w:pPr>
        <w:pStyle w:val="33"/>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本次评标采用综合评分法，投标文件满足招标文件全部实质性要求，且按照评分细则的量化指标进行评审（具体评分见综合评分法评分细则），得分最高的投标人为中标人或中标第一候选人。</w:t>
      </w:r>
    </w:p>
    <w:tbl>
      <w:tblPr>
        <w:tblStyle w:val="22"/>
        <w:tblW w:w="50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
        <w:gridCol w:w="1609"/>
        <w:gridCol w:w="7313"/>
      </w:tblGrid>
      <w:tr w14:paraId="7172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248" w:type="pct"/>
            <w:vAlign w:val="center"/>
          </w:tcPr>
          <w:p w14:paraId="0F7D0CE3">
            <w:pPr>
              <w:bidi w:val="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序号</w:t>
            </w:r>
          </w:p>
        </w:tc>
        <w:tc>
          <w:tcPr>
            <w:tcW w:w="857" w:type="pct"/>
            <w:vAlign w:val="center"/>
          </w:tcPr>
          <w:p w14:paraId="09D90894">
            <w:pPr>
              <w:bidi w:val="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类型</w:t>
            </w:r>
          </w:p>
        </w:tc>
        <w:tc>
          <w:tcPr>
            <w:tcW w:w="3894" w:type="pct"/>
            <w:vAlign w:val="center"/>
          </w:tcPr>
          <w:p w14:paraId="74FF8B8F">
            <w:pPr>
              <w:bidi w:val="0"/>
              <w:jc w:val="center"/>
              <w:rPr>
                <w:rFonts w:hint="eastAsia" w:ascii="仿宋" w:hAnsi="仿宋" w:eastAsia="仿宋" w:cs="仿宋"/>
                <w:color w:val="auto"/>
                <w:highlight w:val="none"/>
                <w:lang w:val="en-US"/>
              </w:rPr>
            </w:pPr>
            <w:r>
              <w:rPr>
                <w:rFonts w:hint="eastAsia" w:ascii="仿宋" w:hAnsi="仿宋" w:eastAsia="仿宋" w:cs="仿宋"/>
                <w:color w:val="auto"/>
                <w:kern w:val="0"/>
                <w:szCs w:val="21"/>
                <w:highlight w:val="none"/>
              </w:rPr>
              <w:t>评定内容及标准</w:t>
            </w:r>
          </w:p>
        </w:tc>
      </w:tr>
      <w:tr w14:paraId="336D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5000" w:type="pct"/>
            <w:gridSpan w:val="3"/>
            <w:vAlign w:val="center"/>
          </w:tcPr>
          <w:p w14:paraId="26C4798E">
            <w:pPr>
              <w:bidi w:val="0"/>
              <w:jc w:val="center"/>
              <w:rPr>
                <w:rFonts w:hint="eastAsia" w:ascii="仿宋" w:hAnsi="仿宋" w:eastAsia="仿宋" w:cs="仿宋"/>
                <w:color w:val="auto"/>
                <w:kern w:val="0"/>
                <w:szCs w:val="21"/>
                <w:highlight w:val="none"/>
              </w:rPr>
            </w:pPr>
            <w:r>
              <w:rPr>
                <w:rFonts w:hint="eastAsia" w:ascii="仿宋" w:hAnsi="仿宋" w:eastAsia="仿宋" w:cs="仿宋"/>
                <w:b/>
                <w:bCs/>
                <w:color w:val="auto"/>
                <w:kern w:val="0"/>
                <w:szCs w:val="21"/>
                <w:highlight w:val="none"/>
                <w:lang w:val="en-US" w:eastAsia="zh-CN"/>
              </w:rPr>
              <w:t>商务部分（16分）</w:t>
            </w:r>
          </w:p>
        </w:tc>
      </w:tr>
      <w:tr w14:paraId="1B69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248" w:type="pct"/>
            <w:vAlign w:val="center"/>
          </w:tcPr>
          <w:p w14:paraId="44A79FC1">
            <w:pPr>
              <w:bidi w:val="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w:t>
            </w:r>
          </w:p>
        </w:tc>
        <w:tc>
          <w:tcPr>
            <w:tcW w:w="857" w:type="pct"/>
            <w:vAlign w:val="center"/>
          </w:tcPr>
          <w:p w14:paraId="69A4D07F">
            <w:pPr>
              <w:bidi w:val="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投标人近</w:t>
            </w:r>
            <w:r>
              <w:rPr>
                <w:rFonts w:hint="eastAsia" w:ascii="仿宋" w:hAnsi="仿宋" w:eastAsia="仿宋" w:cs="仿宋"/>
                <w:color w:val="auto"/>
                <w:highlight w:val="none"/>
                <w:lang w:val="en-US" w:eastAsia="zh-CN"/>
              </w:rPr>
              <w:t>二</w:t>
            </w:r>
            <w:r>
              <w:rPr>
                <w:rFonts w:hint="eastAsia" w:ascii="仿宋" w:hAnsi="仿宋" w:eastAsia="仿宋" w:cs="仿宋"/>
                <w:color w:val="auto"/>
                <w:highlight w:val="none"/>
              </w:rPr>
              <w:t>年内承担过的业绩（</w:t>
            </w:r>
            <w:r>
              <w:rPr>
                <w:rFonts w:hint="eastAsia" w:ascii="仿宋" w:hAnsi="仿宋" w:eastAsia="仿宋" w:cs="仿宋"/>
                <w:color w:val="auto"/>
                <w:highlight w:val="none"/>
                <w:lang w:val="en-US" w:eastAsia="zh-CN"/>
              </w:rPr>
              <w:t>16</w:t>
            </w:r>
            <w:r>
              <w:rPr>
                <w:rFonts w:hint="eastAsia" w:ascii="仿宋" w:hAnsi="仿宋" w:eastAsia="仿宋" w:cs="仿宋"/>
                <w:color w:val="auto"/>
                <w:highlight w:val="none"/>
              </w:rPr>
              <w:t>分）</w:t>
            </w:r>
          </w:p>
        </w:tc>
        <w:tc>
          <w:tcPr>
            <w:tcW w:w="3894" w:type="pct"/>
            <w:vAlign w:val="center"/>
          </w:tcPr>
          <w:p w14:paraId="63E5A41B">
            <w:pPr>
              <w:bidi w:val="0"/>
              <w:rPr>
                <w:rFonts w:hint="eastAsia" w:ascii="仿宋" w:hAnsi="仿宋" w:eastAsia="仿宋" w:cs="仿宋"/>
                <w:color w:val="auto"/>
                <w:highlight w:val="none"/>
                <w:lang w:eastAsia="zh-CN"/>
              </w:rPr>
            </w:pPr>
            <w:r>
              <w:rPr>
                <w:rFonts w:hint="eastAsia" w:ascii="仿宋" w:hAnsi="仿宋" w:eastAsia="仿宋" w:cs="仿宋"/>
                <w:color w:val="auto"/>
                <w:highlight w:val="none"/>
              </w:rPr>
              <w:t>合同案例是以提供的投标人自身合同为准，要求必须提供与最终用户签订的合 同首页、合同金额所在页、签字盖章页、项目结算凭证复印件作为证明，每提供一个在投标截止日期</w:t>
            </w:r>
            <w:r>
              <w:rPr>
                <w:rFonts w:hint="eastAsia" w:ascii="仿宋" w:hAnsi="仿宋" w:eastAsia="仿宋" w:cs="仿宋"/>
                <w:color w:val="auto"/>
                <w:highlight w:val="none"/>
                <w:lang w:val="en-US" w:eastAsia="zh-CN"/>
              </w:rPr>
              <w:t>二</w:t>
            </w:r>
            <w:r>
              <w:rPr>
                <w:rFonts w:hint="eastAsia" w:ascii="仿宋" w:hAnsi="仿宋" w:eastAsia="仿宋" w:cs="仿宋"/>
                <w:color w:val="auto"/>
                <w:highlight w:val="none"/>
              </w:rPr>
              <w:t>个年度内签署的同类项目（指富硒谷子产业全链条服务）合同案例得</w:t>
            </w:r>
            <w:r>
              <w:rPr>
                <w:rFonts w:hint="eastAsia" w:ascii="仿宋" w:hAnsi="仿宋" w:eastAsia="仿宋" w:cs="仿宋"/>
                <w:color w:val="auto"/>
                <w:highlight w:val="none"/>
                <w:lang w:val="en-US" w:eastAsia="zh-CN"/>
              </w:rPr>
              <w:t>每一项得4</w:t>
            </w:r>
            <w:r>
              <w:rPr>
                <w:rFonts w:hint="eastAsia" w:ascii="仿宋" w:hAnsi="仿宋" w:eastAsia="仿宋" w:cs="仿宋"/>
                <w:color w:val="auto"/>
                <w:highlight w:val="none"/>
              </w:rPr>
              <w:t>分，最高得</w:t>
            </w:r>
            <w:r>
              <w:rPr>
                <w:rFonts w:hint="eastAsia" w:ascii="仿宋" w:hAnsi="仿宋" w:eastAsia="仿宋" w:cs="仿宋"/>
                <w:color w:val="auto"/>
                <w:highlight w:val="none"/>
                <w:lang w:val="en-US" w:eastAsia="zh-CN"/>
              </w:rPr>
              <w:t>16</w:t>
            </w:r>
            <w:r>
              <w:rPr>
                <w:rFonts w:hint="eastAsia" w:ascii="仿宋" w:hAnsi="仿宋" w:eastAsia="仿宋" w:cs="仿宋"/>
                <w:color w:val="auto"/>
                <w:highlight w:val="none"/>
              </w:rPr>
              <w:t>分</w:t>
            </w:r>
            <w:r>
              <w:rPr>
                <w:rFonts w:hint="eastAsia" w:ascii="仿宋" w:hAnsi="仿宋" w:eastAsia="仿宋" w:cs="仿宋"/>
                <w:color w:val="auto"/>
                <w:highlight w:val="none"/>
                <w:lang w:eastAsia="zh-CN"/>
              </w:rPr>
              <w:t>。</w:t>
            </w:r>
          </w:p>
        </w:tc>
      </w:tr>
      <w:tr w14:paraId="5B30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3"/>
            <w:vAlign w:val="center"/>
          </w:tcPr>
          <w:p w14:paraId="557A9967">
            <w:pPr>
              <w:bidi w:val="0"/>
              <w:jc w:val="center"/>
              <w:rPr>
                <w:rFonts w:hint="eastAsia" w:ascii="仿宋" w:hAnsi="仿宋" w:eastAsia="仿宋" w:cs="仿宋"/>
                <w:color w:val="auto"/>
                <w:highlight w:val="none"/>
              </w:rPr>
            </w:pPr>
            <w:r>
              <w:rPr>
                <w:rFonts w:hint="eastAsia" w:ascii="仿宋" w:hAnsi="仿宋" w:eastAsia="仿宋" w:cs="仿宋"/>
                <w:b/>
                <w:bCs/>
                <w:color w:val="auto"/>
                <w:kern w:val="0"/>
                <w:szCs w:val="21"/>
                <w:highlight w:val="none"/>
                <w:lang w:val="en-US" w:eastAsia="zh-CN"/>
              </w:rPr>
              <w:t>技术部分（54分）</w:t>
            </w:r>
          </w:p>
        </w:tc>
      </w:tr>
      <w:tr w14:paraId="2F80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248" w:type="pct"/>
            <w:shd w:val="clear" w:color="auto" w:fill="auto"/>
            <w:vAlign w:val="center"/>
          </w:tcPr>
          <w:p w14:paraId="2F625C20">
            <w:pPr>
              <w:bidi w:val="0"/>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lang w:val="en-US" w:eastAsia="zh-CN"/>
              </w:rPr>
              <w:t>2</w:t>
            </w:r>
          </w:p>
        </w:tc>
        <w:tc>
          <w:tcPr>
            <w:tcW w:w="857" w:type="pct"/>
            <w:shd w:val="clear" w:color="auto" w:fill="auto"/>
            <w:vAlign w:val="center"/>
          </w:tcPr>
          <w:p w14:paraId="77C3B9B4">
            <w:pPr>
              <w:bidi w:val="0"/>
              <w:jc w:val="center"/>
              <w:rPr>
                <w:rFonts w:hint="eastAsia" w:ascii="仿宋" w:hAnsi="仿宋" w:eastAsia="仿宋" w:cs="仿宋"/>
                <w:color w:val="auto"/>
                <w:kern w:val="2"/>
                <w:sz w:val="21"/>
                <w:szCs w:val="24"/>
                <w:highlight w:val="none"/>
                <w:lang w:val="en-US" w:eastAsia="zh-CN" w:bidi="ar-SA"/>
              </w:rPr>
            </w:pPr>
            <w:bookmarkStart w:id="38" w:name="OLE_LINK11"/>
            <w:r>
              <w:rPr>
                <w:rFonts w:hint="eastAsia" w:ascii="仿宋" w:hAnsi="仿宋" w:eastAsia="仿宋" w:cs="仿宋"/>
                <w:b w:val="0"/>
                <w:bCs/>
                <w:color w:val="auto"/>
                <w:sz w:val="21"/>
                <w:szCs w:val="21"/>
                <w:highlight w:val="none"/>
                <w:lang w:val="en-US" w:eastAsia="zh-CN"/>
              </w:rPr>
              <w:t>投标人所具有的富硒谷子全链条服务能力(8分)</w:t>
            </w:r>
            <w:bookmarkEnd w:id="38"/>
          </w:p>
        </w:tc>
        <w:tc>
          <w:tcPr>
            <w:tcW w:w="3894" w:type="pct"/>
            <w:shd w:val="clear" w:color="auto" w:fill="auto"/>
            <w:vAlign w:val="center"/>
          </w:tcPr>
          <w:p w14:paraId="101BAE7E">
            <w:pPr>
              <w:bidi w:val="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b w:val="0"/>
                <w:bCs w:val="0"/>
                <w:color w:val="auto"/>
                <w:kern w:val="2"/>
                <w:sz w:val="21"/>
                <w:szCs w:val="24"/>
                <w:highlight w:val="none"/>
                <w:lang w:val="en-US" w:eastAsia="zh-CN" w:bidi="ar-SA"/>
              </w:rPr>
              <w:t>全链条服务能力包括富硒谷子的种植、回收、生产、加工、仓储、销售、检测、品牌建设等</w:t>
            </w:r>
          </w:p>
        </w:tc>
      </w:tr>
      <w:tr w14:paraId="7888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8" w:type="pct"/>
            <w:shd w:val="clear" w:color="auto" w:fill="auto"/>
            <w:vAlign w:val="center"/>
          </w:tcPr>
          <w:p w14:paraId="251E75D4">
            <w:pPr>
              <w:bidi w:val="0"/>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lang w:val="en-US" w:eastAsia="zh-CN"/>
              </w:rPr>
              <w:t>3</w:t>
            </w:r>
          </w:p>
        </w:tc>
        <w:tc>
          <w:tcPr>
            <w:tcW w:w="857" w:type="pct"/>
            <w:shd w:val="clear" w:color="auto" w:fill="auto"/>
            <w:vAlign w:val="center"/>
          </w:tcPr>
          <w:p w14:paraId="79F0043D">
            <w:pPr>
              <w:bidi w:val="0"/>
              <w:jc w:val="center"/>
              <w:rPr>
                <w:rFonts w:hint="eastAsia" w:ascii="仿宋" w:hAnsi="仿宋" w:eastAsia="仿宋" w:cs="仿宋"/>
                <w:color w:val="auto"/>
                <w:kern w:val="2"/>
                <w:sz w:val="21"/>
                <w:szCs w:val="24"/>
                <w:highlight w:val="none"/>
                <w:lang w:val="en-US" w:eastAsia="zh-CN" w:bidi="ar-SA"/>
              </w:rPr>
            </w:pPr>
            <w:bookmarkStart w:id="39" w:name="OLE_LINK13"/>
            <w:r>
              <w:rPr>
                <w:rFonts w:hint="eastAsia" w:ascii="仿宋" w:hAnsi="仿宋" w:eastAsia="仿宋" w:cs="仿宋"/>
                <w:b w:val="0"/>
                <w:bCs/>
                <w:color w:val="auto"/>
                <w:sz w:val="21"/>
                <w:szCs w:val="21"/>
                <w:highlight w:val="none"/>
                <w:lang w:val="en-US" w:eastAsia="zh-CN"/>
              </w:rPr>
              <w:t>项目的总负责人及主要技术人员情况（7分）</w:t>
            </w:r>
            <w:bookmarkEnd w:id="39"/>
          </w:p>
        </w:tc>
        <w:tc>
          <w:tcPr>
            <w:tcW w:w="3894" w:type="pct"/>
            <w:shd w:val="clear" w:color="auto" w:fill="auto"/>
            <w:vAlign w:val="center"/>
          </w:tcPr>
          <w:p w14:paraId="1FC95B98">
            <w:pPr>
              <w:bidi w:val="0"/>
              <w:jc w:val="left"/>
              <w:rPr>
                <w:rFonts w:hint="eastAsia" w:ascii="仿宋" w:hAnsi="仿宋" w:eastAsia="仿宋" w:cs="仿宋"/>
                <w:b w:val="0"/>
                <w:bCs w:val="0"/>
                <w:color w:val="auto"/>
                <w:kern w:val="2"/>
                <w:sz w:val="21"/>
                <w:szCs w:val="24"/>
                <w:highlight w:val="none"/>
                <w:lang w:val="en-US" w:eastAsia="zh-CN" w:bidi="ar-SA"/>
              </w:rPr>
            </w:pPr>
            <w:bookmarkStart w:id="40" w:name="OLE_LINK12"/>
            <w:r>
              <w:rPr>
                <w:rFonts w:hint="eastAsia" w:ascii="仿宋" w:hAnsi="仿宋" w:eastAsia="仿宋" w:cs="仿宋"/>
                <w:b w:val="0"/>
                <w:bCs w:val="0"/>
                <w:color w:val="auto"/>
                <w:kern w:val="2"/>
                <w:sz w:val="21"/>
                <w:szCs w:val="24"/>
                <w:highlight w:val="none"/>
                <w:lang w:val="en-US" w:eastAsia="zh-CN" w:bidi="ar-SA"/>
              </w:rPr>
              <w:t>A、能准确提供实施项目的总负责人及主要技术人员姓名、职务、详细的联系方式； 得1分，不提供不得分</w:t>
            </w:r>
          </w:p>
          <w:p w14:paraId="1307142D">
            <w:pPr>
              <w:bidi w:val="0"/>
              <w:jc w:val="left"/>
              <w:rPr>
                <w:rFonts w:hint="eastAsia" w:ascii="仿宋" w:hAnsi="仿宋" w:eastAsia="仿宋" w:cs="仿宋"/>
                <w:b w:val="0"/>
                <w:bCs w:val="0"/>
                <w:color w:val="auto"/>
                <w:kern w:val="2"/>
                <w:sz w:val="21"/>
                <w:szCs w:val="24"/>
                <w:highlight w:val="none"/>
                <w:lang w:val="en-US" w:eastAsia="zh-CN" w:bidi="ar-SA"/>
              </w:rPr>
            </w:pPr>
            <w:r>
              <w:rPr>
                <w:rFonts w:hint="eastAsia" w:ascii="仿宋" w:hAnsi="仿宋" w:eastAsia="仿宋" w:cs="仿宋"/>
                <w:b w:val="0"/>
                <w:bCs w:val="0"/>
                <w:color w:val="auto"/>
                <w:kern w:val="2"/>
                <w:sz w:val="21"/>
                <w:szCs w:val="24"/>
                <w:highlight w:val="none"/>
                <w:lang w:val="en-US" w:eastAsia="zh-CN" w:bidi="ar-SA"/>
              </w:rPr>
              <w:t>B、中标人提供常驻项目所在地人员姓名、职务、详细的联系方式的得 1 分，不提供不得分；</w:t>
            </w:r>
          </w:p>
          <w:p w14:paraId="711AF8B4">
            <w:pPr>
              <w:bidi w:val="0"/>
              <w:jc w:val="left"/>
              <w:rPr>
                <w:rFonts w:hint="eastAsia" w:ascii="仿宋" w:hAnsi="仿宋" w:eastAsia="仿宋" w:cs="仿宋"/>
                <w:b/>
                <w:bCs/>
                <w:color w:val="auto"/>
                <w:kern w:val="2"/>
                <w:sz w:val="21"/>
                <w:szCs w:val="24"/>
                <w:highlight w:val="none"/>
                <w:lang w:val="en-US" w:eastAsia="zh-CN" w:bidi="ar-SA"/>
              </w:rPr>
            </w:pPr>
            <w:r>
              <w:rPr>
                <w:rFonts w:hint="eastAsia" w:ascii="仿宋" w:hAnsi="仿宋" w:eastAsia="仿宋" w:cs="仿宋"/>
                <w:b w:val="0"/>
                <w:bCs w:val="0"/>
                <w:color w:val="auto"/>
                <w:kern w:val="2"/>
                <w:sz w:val="21"/>
                <w:szCs w:val="24"/>
                <w:highlight w:val="none"/>
                <w:lang w:val="en-US" w:eastAsia="zh-CN" w:bidi="ar-SA"/>
              </w:rPr>
              <w:t>C、技术人员数量达到 15 人以上，得 5 分，15 至 10 人得 3 分，10 至 5 人得 1 分， 5 人以下不得分。</w:t>
            </w:r>
            <w:bookmarkEnd w:id="40"/>
          </w:p>
        </w:tc>
      </w:tr>
      <w:tr w14:paraId="5C3A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8" w:type="pct"/>
            <w:shd w:val="clear" w:color="auto" w:fill="auto"/>
            <w:vAlign w:val="center"/>
          </w:tcPr>
          <w:p w14:paraId="5C2D519E">
            <w:pPr>
              <w:bidi w:val="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w:t>
            </w:r>
          </w:p>
        </w:tc>
        <w:tc>
          <w:tcPr>
            <w:tcW w:w="857" w:type="pct"/>
            <w:shd w:val="clear" w:color="auto" w:fill="auto"/>
            <w:vAlign w:val="center"/>
          </w:tcPr>
          <w:p w14:paraId="65A9D2D3">
            <w:pPr>
              <w:bidi w:val="0"/>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b w:val="0"/>
                <w:bCs/>
                <w:color w:val="auto"/>
                <w:sz w:val="21"/>
                <w:szCs w:val="21"/>
                <w:highlight w:val="none"/>
                <w:lang w:val="en-US" w:eastAsia="zh-CN"/>
              </w:rPr>
              <w:t>供应商应连续 2 年有自己的富硒谷子种植基地（3分）</w:t>
            </w:r>
          </w:p>
        </w:tc>
        <w:tc>
          <w:tcPr>
            <w:tcW w:w="3894" w:type="pct"/>
            <w:shd w:val="clear" w:color="auto" w:fill="auto"/>
            <w:vAlign w:val="center"/>
          </w:tcPr>
          <w:p w14:paraId="2466EF03">
            <w:pPr>
              <w:bidi w:val="0"/>
              <w:rPr>
                <w:rFonts w:hint="eastAsia" w:ascii="仿宋" w:hAnsi="仿宋" w:eastAsia="仿宋" w:cs="仿宋"/>
                <w:b/>
                <w:bCs/>
                <w:color w:val="auto"/>
                <w:kern w:val="2"/>
                <w:sz w:val="21"/>
                <w:szCs w:val="24"/>
                <w:highlight w:val="none"/>
                <w:lang w:val="en-US" w:eastAsia="zh-CN" w:bidi="ar-SA"/>
              </w:rPr>
            </w:pPr>
            <w:r>
              <w:rPr>
                <w:rFonts w:hint="eastAsia" w:ascii="仿宋" w:hAnsi="仿宋" w:eastAsia="仿宋" w:cs="仿宋"/>
                <w:b w:val="0"/>
                <w:bCs w:val="0"/>
                <w:color w:val="auto"/>
                <w:kern w:val="2"/>
                <w:sz w:val="21"/>
                <w:szCs w:val="24"/>
                <w:highlight w:val="none"/>
                <w:lang w:val="en-US" w:eastAsia="zh-CN" w:bidi="ar-SA"/>
              </w:rPr>
              <w:t>每年达到 3000 亩以上得 3 分，2000 至 3000 亩得 2 分，1000 至 2000 亩得 1 分，1000 亩以下不得分</w:t>
            </w:r>
          </w:p>
        </w:tc>
      </w:tr>
      <w:tr w14:paraId="45D4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jc w:val="center"/>
        </w:trPr>
        <w:tc>
          <w:tcPr>
            <w:tcW w:w="248" w:type="pct"/>
            <w:shd w:val="clear" w:color="auto" w:fill="auto"/>
            <w:vAlign w:val="center"/>
          </w:tcPr>
          <w:p w14:paraId="709F878E">
            <w:pPr>
              <w:bidi w:val="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w:t>
            </w:r>
          </w:p>
        </w:tc>
        <w:tc>
          <w:tcPr>
            <w:tcW w:w="857" w:type="pct"/>
            <w:shd w:val="clear" w:color="auto" w:fill="auto"/>
            <w:vAlign w:val="center"/>
          </w:tcPr>
          <w:p w14:paraId="488DB8EF">
            <w:pPr>
              <w:bidi w:val="0"/>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有完成本项目必需的技术支撑（ 2 分）</w:t>
            </w:r>
          </w:p>
        </w:tc>
        <w:tc>
          <w:tcPr>
            <w:tcW w:w="3894" w:type="pct"/>
            <w:shd w:val="clear" w:color="auto" w:fill="auto"/>
            <w:vAlign w:val="center"/>
          </w:tcPr>
          <w:p w14:paraId="2C6E2440">
            <w:pPr>
              <w:bidi w:val="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有相关的国家级或省级的科研机构、院校的技术支撑（如战略合作协议或形成的长 期合作关系），每提供一项得 1 分，总分 2 分</w:t>
            </w:r>
          </w:p>
        </w:tc>
      </w:tr>
      <w:tr w14:paraId="62A0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8" w:type="pct"/>
            <w:shd w:val="clear" w:color="auto" w:fill="auto"/>
            <w:vAlign w:val="center"/>
          </w:tcPr>
          <w:p w14:paraId="07931D3E">
            <w:pPr>
              <w:bidi w:val="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p>
        </w:tc>
        <w:tc>
          <w:tcPr>
            <w:tcW w:w="857" w:type="pct"/>
            <w:shd w:val="clear" w:color="auto" w:fill="auto"/>
            <w:vAlign w:val="center"/>
          </w:tcPr>
          <w:p w14:paraId="4DC14455">
            <w:pPr>
              <w:bidi w:val="0"/>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整体实施方案（15 分）</w:t>
            </w:r>
          </w:p>
        </w:tc>
        <w:tc>
          <w:tcPr>
            <w:tcW w:w="3894" w:type="pct"/>
            <w:shd w:val="clear" w:color="auto" w:fill="auto"/>
            <w:vAlign w:val="center"/>
          </w:tcPr>
          <w:p w14:paraId="0A7FF857">
            <w:pPr>
              <w:bidi w:val="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A、实施方案能够紧密结合实际情况，充分考虑到服务项目特征，针对性强，规范、 科学、全面，种植技术及农艺方案合理得当，得 15 分；</w:t>
            </w:r>
          </w:p>
          <w:p w14:paraId="0E0F85A2">
            <w:pPr>
              <w:bidi w:val="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B、服务方案能够基本结合实际情况，考虑到服务项目特征，有一定的针对性，较 为规范，全面，种植技术及农艺方案基本合理，得 10 分；</w:t>
            </w:r>
          </w:p>
          <w:p w14:paraId="41B2A976">
            <w:pPr>
              <w:bidi w:val="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C、服务方案对实际情况结合较少，或不能充分考虑到服务项目特征，针对性较弱， 仅做常规性的描述，种植技术及农艺方案合理性一般，得 6 分；</w:t>
            </w:r>
          </w:p>
          <w:p w14:paraId="6ABE89CB">
            <w:pPr>
              <w:bidi w:val="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D、服务方案对实际情况结合较少，未充分考虑到服务项目特征，针对性较弱，规 范性或完整性有欠缺，种植技术及农艺方案合理性较弱，得 2 分；</w:t>
            </w:r>
          </w:p>
          <w:p w14:paraId="66F0956C">
            <w:pPr>
              <w:bidi w:val="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E、未提供的不得分。</w:t>
            </w:r>
          </w:p>
        </w:tc>
      </w:tr>
      <w:tr w14:paraId="7A9E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8" w:type="pct"/>
            <w:shd w:val="clear" w:color="auto" w:fill="auto"/>
            <w:vAlign w:val="center"/>
          </w:tcPr>
          <w:p w14:paraId="435075E2">
            <w:pPr>
              <w:bidi w:val="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w:t>
            </w:r>
          </w:p>
        </w:tc>
        <w:tc>
          <w:tcPr>
            <w:tcW w:w="857" w:type="pct"/>
            <w:shd w:val="clear" w:color="auto" w:fill="auto"/>
            <w:vAlign w:val="center"/>
          </w:tcPr>
          <w:p w14:paraId="34908D55">
            <w:pPr>
              <w:bidi w:val="0"/>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本项目的重点、难点分析及解决思路和相应对策（8分）</w:t>
            </w:r>
          </w:p>
        </w:tc>
        <w:tc>
          <w:tcPr>
            <w:tcW w:w="3894" w:type="pct"/>
            <w:shd w:val="clear" w:color="auto" w:fill="auto"/>
            <w:vAlign w:val="center"/>
          </w:tcPr>
          <w:p w14:paraId="777816E8">
            <w:pPr>
              <w:bidi w:val="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（1）投标人针对本项目的重点、难点分析准确，提出相应对策、解决思路内容全 面得 5 分；</w:t>
            </w:r>
          </w:p>
          <w:p w14:paraId="01373B87">
            <w:pPr>
              <w:bidi w:val="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（2）投标人针对本项目的重点、难点分析较准确，相应对策、解决思路内容比较 全面得 3 分；</w:t>
            </w:r>
          </w:p>
          <w:p w14:paraId="61C34785">
            <w:pPr>
              <w:bidi w:val="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（3）投标人针对本项目的重点、难点分析存在偏差，相应对策、解决思路内容一 般得 1 分；</w:t>
            </w:r>
          </w:p>
          <w:p w14:paraId="1C952177">
            <w:pPr>
              <w:bidi w:val="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（4）不提供不得分；</w:t>
            </w:r>
          </w:p>
        </w:tc>
      </w:tr>
      <w:tr w14:paraId="6036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8" w:type="pct"/>
            <w:shd w:val="clear" w:color="auto" w:fill="auto"/>
            <w:vAlign w:val="center"/>
          </w:tcPr>
          <w:p w14:paraId="73C38541">
            <w:pPr>
              <w:bidi w:val="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w:t>
            </w:r>
          </w:p>
        </w:tc>
        <w:tc>
          <w:tcPr>
            <w:tcW w:w="857" w:type="pct"/>
            <w:shd w:val="clear" w:color="auto" w:fill="auto"/>
            <w:vAlign w:val="center"/>
          </w:tcPr>
          <w:p w14:paraId="5209E66F">
            <w:pPr>
              <w:bidi w:val="0"/>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项目管理组织架构、人员配置、管理制度、工作流程（4分）</w:t>
            </w:r>
          </w:p>
        </w:tc>
        <w:tc>
          <w:tcPr>
            <w:tcW w:w="3894" w:type="pct"/>
            <w:shd w:val="clear" w:color="auto" w:fill="auto"/>
            <w:vAlign w:val="center"/>
          </w:tcPr>
          <w:p w14:paraId="4B9297A5">
            <w:pPr>
              <w:bidi w:val="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（1）投标人组织架构科学合理、人员配置齐全、管理制度健全、工作流程规范可 行得 4 分，</w:t>
            </w:r>
          </w:p>
          <w:p w14:paraId="4A0B58A1">
            <w:pPr>
              <w:bidi w:val="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（2）本条四项内容中其中有一项不合理、或不齐全、或不健全、或不规范扣 0.5 分，</w:t>
            </w:r>
          </w:p>
          <w:p w14:paraId="5F485A92">
            <w:pPr>
              <w:bidi w:val="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（3）短缺一项扣 1 分，扣完为止</w:t>
            </w:r>
          </w:p>
        </w:tc>
      </w:tr>
      <w:tr w14:paraId="6FB3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8" w:type="pct"/>
            <w:shd w:val="clear" w:color="auto" w:fill="auto"/>
            <w:vAlign w:val="center"/>
          </w:tcPr>
          <w:p w14:paraId="0F51CD25">
            <w:pPr>
              <w:bidi w:val="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9</w:t>
            </w:r>
          </w:p>
        </w:tc>
        <w:tc>
          <w:tcPr>
            <w:tcW w:w="857" w:type="pct"/>
            <w:shd w:val="clear" w:color="auto" w:fill="auto"/>
            <w:vAlign w:val="center"/>
          </w:tcPr>
          <w:p w14:paraId="1702477C">
            <w:pPr>
              <w:bidi w:val="0"/>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项目实施进度方案（5分）</w:t>
            </w:r>
          </w:p>
        </w:tc>
        <w:tc>
          <w:tcPr>
            <w:tcW w:w="3894" w:type="pct"/>
            <w:shd w:val="clear" w:color="auto" w:fill="auto"/>
            <w:vAlign w:val="center"/>
          </w:tcPr>
          <w:p w14:paraId="7C23764E">
            <w:pPr>
              <w:bidi w:val="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（1）项目进度计划及时间节点、实施进度保障措施明确内容全面得 5 分；</w:t>
            </w:r>
          </w:p>
          <w:p w14:paraId="60145743">
            <w:pPr>
              <w:bidi w:val="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（2）项目进度计划及时间节点、实施进度保障措施内容较明确全面得 3 分，</w:t>
            </w:r>
          </w:p>
          <w:p w14:paraId="71EDF965">
            <w:pPr>
              <w:bidi w:val="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（3）项目进度计划及时间节点、实施进度保障措施内容一般得 2 分，</w:t>
            </w:r>
          </w:p>
          <w:p w14:paraId="15656893">
            <w:pPr>
              <w:bidi w:val="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（4）不提供不得分</w:t>
            </w:r>
          </w:p>
        </w:tc>
      </w:tr>
      <w:tr w14:paraId="7098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8" w:type="pct"/>
            <w:shd w:val="clear" w:color="auto" w:fill="auto"/>
            <w:vAlign w:val="center"/>
          </w:tcPr>
          <w:p w14:paraId="5540601B">
            <w:pPr>
              <w:bidi w:val="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w:t>
            </w:r>
          </w:p>
        </w:tc>
        <w:tc>
          <w:tcPr>
            <w:tcW w:w="857" w:type="pct"/>
            <w:shd w:val="clear" w:color="auto" w:fill="auto"/>
            <w:vAlign w:val="center"/>
          </w:tcPr>
          <w:p w14:paraId="404048B8">
            <w:pPr>
              <w:bidi w:val="0"/>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服务承诺（2分）</w:t>
            </w:r>
          </w:p>
        </w:tc>
        <w:tc>
          <w:tcPr>
            <w:tcW w:w="3894" w:type="pct"/>
            <w:shd w:val="clear" w:color="auto" w:fill="auto"/>
            <w:vAlign w:val="center"/>
          </w:tcPr>
          <w:p w14:paraId="379312B6">
            <w:pPr>
              <w:bidi w:val="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承诺投标文件所提供的全部资料均真实可靠,如果所提供的资料有欺诈或失实, 一经查实，严格按照政府采购相关法律法规进行处理；提供承诺得2分，不提供不得分</w:t>
            </w:r>
          </w:p>
        </w:tc>
      </w:tr>
      <w:tr w14:paraId="32EB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248" w:type="pct"/>
            <w:shd w:val="clear" w:color="auto" w:fill="auto"/>
            <w:vAlign w:val="center"/>
          </w:tcPr>
          <w:p w14:paraId="29EB8E99">
            <w:pPr>
              <w:bidi w:val="0"/>
              <w:jc w:val="center"/>
              <w:rPr>
                <w:rFonts w:hint="default"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11</w:t>
            </w:r>
          </w:p>
        </w:tc>
        <w:tc>
          <w:tcPr>
            <w:tcW w:w="857" w:type="pct"/>
            <w:shd w:val="clear" w:color="auto" w:fill="auto"/>
            <w:vAlign w:val="center"/>
          </w:tcPr>
          <w:p w14:paraId="2F93C678">
            <w:pPr>
              <w:bidi w:val="0"/>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lang w:val="en-US" w:eastAsia="zh-CN"/>
              </w:rPr>
              <w:t>报价</w:t>
            </w:r>
          </w:p>
        </w:tc>
        <w:tc>
          <w:tcPr>
            <w:tcW w:w="3894" w:type="pct"/>
            <w:shd w:val="clear" w:color="auto" w:fill="auto"/>
            <w:vAlign w:val="center"/>
          </w:tcPr>
          <w:p w14:paraId="3E22FB61">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满足采购文件要求且投标价格最低的投标报价为评标基准价，其价格分为满分。其他投标人的价格分统一按照下列公式计算：</w:t>
            </w:r>
          </w:p>
          <w:p w14:paraId="50749BE3">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投标报价得分=(评标基准价／投标报价)×30%×100</w:t>
            </w:r>
          </w:p>
          <w:p w14:paraId="1E232FEE">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本次报价分为6部分组成</w:t>
            </w:r>
          </w:p>
          <w:p w14:paraId="2F063CAD">
            <w:pPr>
              <w:bidi w:val="0"/>
              <w:rPr>
                <w:rFonts w:hint="default" w:ascii="仿宋" w:hAnsi="仿宋" w:eastAsia="仿宋" w:cs="仿宋"/>
                <w:color w:val="auto"/>
                <w:highlight w:val="none"/>
                <w:lang w:val="en-US" w:eastAsia="zh-CN"/>
              </w:rPr>
            </w:pPr>
            <w:r>
              <w:rPr>
                <w:rFonts w:hint="default" w:ascii="仿宋" w:hAnsi="仿宋" w:eastAsia="仿宋" w:cs="仿宋"/>
                <w:color w:val="auto"/>
                <w:highlight w:val="none"/>
                <w:lang w:val="en-US" w:eastAsia="zh-CN"/>
              </w:rPr>
              <w:t>鹿固乡</w:t>
            </w:r>
            <w:r>
              <w:rPr>
                <w:rFonts w:hint="eastAsia" w:ascii="仿宋" w:hAnsi="仿宋" w:eastAsia="仿宋" w:cs="仿宋"/>
                <w:color w:val="auto"/>
                <w:highlight w:val="none"/>
                <w:lang w:val="en-US" w:eastAsia="zh-CN"/>
              </w:rPr>
              <w:t>：</w:t>
            </w:r>
            <w:r>
              <w:rPr>
                <w:rFonts w:hint="default" w:ascii="仿宋" w:hAnsi="仿宋" w:eastAsia="仿宋" w:cs="仿宋"/>
                <w:color w:val="auto"/>
                <w:highlight w:val="none"/>
                <w:lang w:val="en-US" w:eastAsia="zh-CN"/>
              </w:rPr>
              <w:t>投标报价得分=(评标基准价／投标报价)×</w:t>
            </w:r>
            <w:r>
              <w:rPr>
                <w:rFonts w:hint="eastAsia" w:ascii="仿宋" w:hAnsi="仿宋" w:eastAsia="仿宋" w:cs="仿宋"/>
                <w:color w:val="auto"/>
                <w:highlight w:val="none"/>
                <w:lang w:val="en-US" w:eastAsia="zh-CN"/>
              </w:rPr>
              <w:t>5</w:t>
            </w:r>
            <w:r>
              <w:rPr>
                <w:rFonts w:hint="default" w:ascii="仿宋" w:hAnsi="仿宋" w:eastAsia="仿宋" w:cs="仿宋"/>
                <w:color w:val="auto"/>
                <w:highlight w:val="none"/>
                <w:lang w:val="en-US" w:eastAsia="zh-CN"/>
              </w:rPr>
              <w:t>%×100</w:t>
            </w:r>
          </w:p>
          <w:p w14:paraId="5BD66E8D">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沙坪乡：</w:t>
            </w:r>
            <w:r>
              <w:rPr>
                <w:rFonts w:hint="default" w:ascii="仿宋" w:hAnsi="仿宋" w:eastAsia="仿宋" w:cs="仿宋"/>
                <w:color w:val="auto"/>
                <w:highlight w:val="none"/>
                <w:lang w:val="en-US" w:eastAsia="zh-CN"/>
              </w:rPr>
              <w:t>投标报价得分=(评标基准价／投标报价)×</w:t>
            </w:r>
            <w:r>
              <w:rPr>
                <w:rFonts w:hint="eastAsia" w:ascii="仿宋" w:hAnsi="仿宋" w:eastAsia="仿宋" w:cs="仿宋"/>
                <w:color w:val="auto"/>
                <w:highlight w:val="none"/>
                <w:lang w:val="en-US" w:eastAsia="zh-CN"/>
              </w:rPr>
              <w:t>5</w:t>
            </w:r>
            <w:r>
              <w:rPr>
                <w:rFonts w:hint="default" w:ascii="仿宋" w:hAnsi="仿宋" w:eastAsia="仿宋" w:cs="仿宋"/>
                <w:color w:val="auto"/>
                <w:highlight w:val="none"/>
                <w:lang w:val="en-US" w:eastAsia="zh-CN"/>
              </w:rPr>
              <w:t>%×100</w:t>
            </w:r>
          </w:p>
          <w:p w14:paraId="44D525F3">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土沟乡：</w:t>
            </w:r>
            <w:r>
              <w:rPr>
                <w:rFonts w:hint="default" w:ascii="仿宋" w:hAnsi="仿宋" w:eastAsia="仿宋" w:cs="仿宋"/>
                <w:color w:val="auto"/>
                <w:highlight w:val="none"/>
                <w:lang w:val="en-US" w:eastAsia="zh-CN"/>
              </w:rPr>
              <w:t>投标报价得分=(评标基准价／投标报价)×</w:t>
            </w:r>
            <w:r>
              <w:rPr>
                <w:rFonts w:hint="eastAsia" w:ascii="仿宋" w:hAnsi="仿宋" w:eastAsia="仿宋" w:cs="仿宋"/>
                <w:color w:val="auto"/>
                <w:highlight w:val="none"/>
                <w:lang w:val="en-US" w:eastAsia="zh-CN"/>
              </w:rPr>
              <w:t>5</w:t>
            </w:r>
            <w:r>
              <w:rPr>
                <w:rFonts w:hint="default" w:ascii="仿宋" w:hAnsi="仿宋" w:eastAsia="仿宋" w:cs="仿宋"/>
                <w:color w:val="auto"/>
                <w:highlight w:val="none"/>
                <w:lang w:val="en-US" w:eastAsia="zh-CN"/>
              </w:rPr>
              <w:t>%×100</w:t>
            </w:r>
          </w:p>
          <w:p w14:paraId="33004826">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社梁乡：</w:t>
            </w:r>
            <w:r>
              <w:rPr>
                <w:rFonts w:hint="default" w:ascii="仿宋" w:hAnsi="仿宋" w:eastAsia="仿宋" w:cs="仿宋"/>
                <w:color w:val="auto"/>
                <w:highlight w:val="none"/>
                <w:lang w:val="en-US" w:eastAsia="zh-CN"/>
              </w:rPr>
              <w:t>投标报价得分=(评标基准价／投标报价)×</w:t>
            </w:r>
            <w:r>
              <w:rPr>
                <w:rFonts w:hint="eastAsia" w:ascii="仿宋" w:hAnsi="仿宋" w:eastAsia="仿宋" w:cs="仿宋"/>
                <w:color w:val="auto"/>
                <w:highlight w:val="none"/>
                <w:lang w:val="en-US" w:eastAsia="zh-CN"/>
              </w:rPr>
              <w:t>5</w:t>
            </w:r>
            <w:r>
              <w:rPr>
                <w:rFonts w:hint="default" w:ascii="仿宋" w:hAnsi="仿宋" w:eastAsia="仿宋" w:cs="仿宋"/>
                <w:color w:val="auto"/>
                <w:highlight w:val="none"/>
                <w:lang w:val="en-US" w:eastAsia="zh-CN"/>
              </w:rPr>
              <w:t>%×100</w:t>
            </w:r>
          </w:p>
          <w:p w14:paraId="6A100FDD">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沙泉镇：</w:t>
            </w:r>
            <w:r>
              <w:rPr>
                <w:rFonts w:hint="default" w:ascii="仿宋" w:hAnsi="仿宋" w:eastAsia="仿宋" w:cs="仿宋"/>
                <w:color w:val="auto"/>
                <w:highlight w:val="none"/>
                <w:lang w:val="en-US" w:eastAsia="zh-CN"/>
              </w:rPr>
              <w:t>投标报价得分=(评标基准价／投标报价)×</w:t>
            </w:r>
            <w:r>
              <w:rPr>
                <w:rFonts w:hint="eastAsia" w:ascii="仿宋" w:hAnsi="仿宋" w:eastAsia="仿宋" w:cs="仿宋"/>
                <w:color w:val="auto"/>
                <w:highlight w:val="none"/>
                <w:lang w:val="en-US" w:eastAsia="zh-CN"/>
              </w:rPr>
              <w:t>5</w:t>
            </w:r>
            <w:r>
              <w:rPr>
                <w:rFonts w:hint="default" w:ascii="仿宋" w:hAnsi="仿宋" w:eastAsia="仿宋" w:cs="仿宋"/>
                <w:color w:val="auto"/>
                <w:highlight w:val="none"/>
                <w:lang w:val="en-US" w:eastAsia="zh-CN"/>
              </w:rPr>
              <w:t>%×100</w:t>
            </w:r>
          </w:p>
          <w:p w14:paraId="77DD4757">
            <w:pPr>
              <w:bidi w:val="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刘家塔镇：</w:t>
            </w:r>
            <w:r>
              <w:rPr>
                <w:rFonts w:hint="default" w:ascii="仿宋" w:hAnsi="仿宋" w:eastAsia="仿宋" w:cs="仿宋"/>
                <w:color w:val="auto"/>
                <w:highlight w:val="none"/>
                <w:lang w:val="en-US" w:eastAsia="zh-CN"/>
              </w:rPr>
              <w:t>投标报价得分=(评标基准价／投标报价)×</w:t>
            </w:r>
            <w:r>
              <w:rPr>
                <w:rFonts w:hint="eastAsia" w:ascii="仿宋" w:hAnsi="仿宋" w:eastAsia="仿宋" w:cs="仿宋"/>
                <w:color w:val="auto"/>
                <w:highlight w:val="none"/>
                <w:lang w:val="en-US" w:eastAsia="zh-CN"/>
              </w:rPr>
              <w:t>5</w:t>
            </w:r>
            <w:r>
              <w:rPr>
                <w:rFonts w:hint="default" w:ascii="仿宋" w:hAnsi="仿宋" w:eastAsia="仿宋" w:cs="仿宋"/>
                <w:color w:val="auto"/>
                <w:highlight w:val="none"/>
                <w:lang w:val="en-US" w:eastAsia="zh-CN"/>
              </w:rPr>
              <w:t>%×100</w:t>
            </w:r>
          </w:p>
          <w:p w14:paraId="40B65A51">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根据《关于推动解决政府采购异常低价问题的通知》（财库〔2026〕2号）文件要求，政府采购评审中出现下列情形之一的，评审委员会应当启动异常低价投标（响应）审查程序：</w:t>
            </w:r>
          </w:p>
          <w:p w14:paraId="1F574018">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①投标（响应）报价低于全部通过符合性审查投标人投标（响应）报价平均值50%的，即投标（响应）报价&lt;全部通过符合性审查投标人投标（响应）报价平均值×50%；</w:t>
            </w:r>
          </w:p>
          <w:p w14:paraId="2CCF3C02">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②投标（响应）报价低于通过符合性审查的次低报价投标人投标（响应）报价50%的，即投标（响应）报价&lt;通过符合性审查的次低报价投标人投标（响应）报价×50%；</w:t>
            </w:r>
          </w:p>
          <w:p w14:paraId="0308BD3C">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③投标（响应）报价低于采购项目最高限价45%的，即投标（响应）报价&lt;采购项目最高限价×45%；</w:t>
            </w:r>
          </w:p>
          <w:p w14:paraId="4D407F45">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④评审委员会基于专业判断，认为投标人报价过低，有可能影响产品质量或者不能诚信履约的其他情形。</w:t>
            </w:r>
          </w:p>
          <w:p w14:paraId="1D13721D">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评审委员会启动异常低价投标审查后，属于前述第①项至第④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③项情形，投标人已随投标（响应）文件一并提交相关书面说明及必要的证明材料的，在评审现场可不再重复提交。</w:t>
            </w:r>
          </w:p>
          <w:p w14:paraId="5B278448">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响应）处理。</w:t>
            </w:r>
          </w:p>
          <w:p w14:paraId="1843C8A3">
            <w:pPr>
              <w:bidi w:val="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lang w:val="en-US" w:eastAsia="zh-CN"/>
              </w:rPr>
              <w:t>(根据财政部、工业和信息化部关于印发意见“财库〔2020〕46号”关于印发《政府采购促进中小企业发展暂行办法》的通知规定及山西省财政厅关于进一步加大政府采购支持中小企业力度助力扎实稳住经济的通知，对投标货物制造商属于小型、微型企业的报价给予评审加分：小型企业和微型企业给予15%的价格扣除；用扣除后的报价参与评审。)投标报价不得超过预算价，超过预算价按无效投标处理。</w:t>
            </w:r>
          </w:p>
        </w:tc>
      </w:tr>
    </w:tbl>
    <w:p w14:paraId="7E3C3E46">
      <w:pPr>
        <w:pStyle w:val="18"/>
        <w:widowControl w:val="0"/>
        <w:spacing w:before="120" w:beforeLines="50" w:after="120" w:afterLines="50" w:line="440" w:lineRule="exact"/>
        <w:jc w:val="center"/>
        <w:outlineLvl w:val="0"/>
        <w:rPr>
          <w:rFonts w:hint="eastAsia" w:ascii="仿宋" w:hAnsi="仿宋" w:eastAsia="仿宋" w:cs="仿宋"/>
          <w:b/>
          <w:color w:val="auto"/>
          <w:sz w:val="32"/>
          <w:szCs w:val="32"/>
          <w:highlight w:val="none"/>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 w:hAnsi="仿宋" w:eastAsia="仿宋" w:cs="仿宋"/>
          <w:color w:val="auto"/>
          <w:sz w:val="21"/>
          <w:szCs w:val="21"/>
          <w:highlight w:val="none"/>
        </w:rPr>
        <w:t>注：招标文件内没有规定的评标标准不得作为评审的依据</w:t>
      </w:r>
      <w:r>
        <w:rPr>
          <w:rFonts w:hint="eastAsia" w:ascii="仿宋" w:hAnsi="仿宋" w:eastAsia="仿宋" w:cs="仿宋"/>
          <w:color w:val="auto"/>
          <w:sz w:val="21"/>
          <w:szCs w:val="21"/>
          <w:highlight w:val="none"/>
          <w:lang w:eastAsia="zh-CN"/>
        </w:rPr>
        <w:t>。</w:t>
      </w:r>
    </w:p>
    <w:p w14:paraId="2D3B9AD5">
      <w:pPr>
        <w:pStyle w:val="18"/>
        <w:widowControl w:val="0"/>
        <w:numPr>
          <w:ilvl w:val="0"/>
          <w:numId w:val="1"/>
        </w:numPr>
        <w:spacing w:before="120" w:beforeLines="50" w:after="120" w:afterLines="50" w:line="440" w:lineRule="exact"/>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w:t>
      </w:r>
      <w:bookmarkEnd w:id="31"/>
      <w:r>
        <w:rPr>
          <w:rFonts w:hint="eastAsia" w:ascii="仿宋" w:hAnsi="仿宋" w:eastAsia="仿宋" w:cs="仿宋"/>
          <w:b/>
          <w:color w:val="auto"/>
          <w:sz w:val="32"/>
          <w:szCs w:val="32"/>
          <w:highlight w:val="none"/>
        </w:rPr>
        <w:t>拟签订的合同文本</w:t>
      </w:r>
      <w:bookmarkEnd w:id="32"/>
      <w:bookmarkEnd w:id="33"/>
    </w:p>
    <w:p w14:paraId="10884877">
      <w:pPr>
        <w:numPr>
          <w:ilvl w:val="0"/>
          <w:numId w:val="0"/>
        </w:numPr>
        <w:jc w:val="center"/>
        <w:rPr>
          <w:rFonts w:hint="eastAsia"/>
          <w:color w:val="auto"/>
          <w:highlight w:val="none"/>
        </w:rPr>
      </w:pPr>
      <w:r>
        <w:rPr>
          <w:rFonts w:hint="eastAsia"/>
          <w:color w:val="auto"/>
          <w:sz w:val="24"/>
          <w:szCs w:val="24"/>
          <w:highlight w:val="none"/>
          <w:lang w:val="en-US" w:eastAsia="zh-CN"/>
        </w:rPr>
        <w:t>（以实际签订合同为准）</w:t>
      </w:r>
    </w:p>
    <w:p w14:paraId="42E4FA5C">
      <w:pPr>
        <w:spacing w:line="206" w:lineRule="exact"/>
        <w:rPr>
          <w:color w:val="auto"/>
          <w:highlight w:val="none"/>
        </w:rPr>
      </w:pPr>
      <w:bookmarkStart w:id="41" w:name="_Toc3995"/>
    </w:p>
    <w:p w14:paraId="3C04EABE">
      <w:pPr>
        <w:spacing w:line="360" w:lineRule="auto"/>
        <w:rPr>
          <w:rFonts w:ascii="宋体" w:hAnsi="宋体"/>
          <w:color w:val="auto"/>
          <w:highlight w:val="none"/>
        </w:rPr>
      </w:pPr>
    </w:p>
    <w:p w14:paraId="7CC6275B">
      <w:pPr>
        <w:tabs>
          <w:tab w:val="left" w:pos="2604"/>
        </w:tabs>
        <w:spacing w:line="360" w:lineRule="auto"/>
        <w:rPr>
          <w:rFonts w:hint="eastAsia" w:ascii="宋体" w:hAnsi="宋体"/>
          <w:color w:val="auto"/>
          <w:highlight w:val="none"/>
        </w:rPr>
      </w:pPr>
      <w:r>
        <w:rPr>
          <w:rFonts w:ascii="宋体" w:hAnsi="宋体"/>
          <w:color w:val="auto"/>
          <w:highlight w:val="none"/>
        </w:rPr>
        <w:tab/>
      </w:r>
    </w:p>
    <w:p w14:paraId="2E96C7F6">
      <w:pPr>
        <w:tabs>
          <w:tab w:val="left" w:pos="2604"/>
        </w:tabs>
        <w:spacing w:line="360" w:lineRule="auto"/>
        <w:ind w:firstLine="1680" w:firstLineChars="800"/>
        <w:rPr>
          <w:rFonts w:hint="eastAsia" w:ascii="宋体" w:hAnsi="宋体"/>
          <w:color w:val="auto"/>
          <w:highlight w:val="none"/>
        </w:rPr>
      </w:pPr>
    </w:p>
    <w:p w14:paraId="781129A9">
      <w:pPr>
        <w:tabs>
          <w:tab w:val="left" w:pos="1395"/>
          <w:tab w:val="left" w:pos="2604"/>
          <w:tab w:val="center" w:pos="4153"/>
        </w:tabs>
        <w:spacing w:line="360" w:lineRule="auto"/>
        <w:jc w:val="center"/>
        <w:rPr>
          <w:rFonts w:hint="eastAsia" w:ascii="宋体" w:hAnsi="宋体"/>
          <w:b/>
          <w:color w:val="auto"/>
          <w:sz w:val="84"/>
          <w:szCs w:val="84"/>
          <w:highlight w:val="none"/>
        </w:rPr>
      </w:pPr>
    </w:p>
    <w:p w14:paraId="0E21C64D">
      <w:pPr>
        <w:tabs>
          <w:tab w:val="left" w:pos="1395"/>
          <w:tab w:val="left" w:pos="2604"/>
          <w:tab w:val="center" w:pos="4153"/>
        </w:tabs>
        <w:spacing w:line="360" w:lineRule="auto"/>
        <w:jc w:val="center"/>
        <w:rPr>
          <w:rFonts w:ascii="宋体" w:hAnsi="宋体"/>
          <w:b/>
          <w:color w:val="auto"/>
          <w:sz w:val="84"/>
          <w:szCs w:val="84"/>
          <w:highlight w:val="none"/>
        </w:rPr>
      </w:pPr>
      <w:r>
        <w:rPr>
          <w:rFonts w:hint="eastAsia" w:ascii="宋体" w:hAnsi="宋体"/>
          <w:b/>
          <w:color w:val="auto"/>
          <w:sz w:val="84"/>
          <w:szCs w:val="84"/>
          <w:highlight w:val="none"/>
        </w:rPr>
        <w:t>采 购 合 同</w:t>
      </w:r>
    </w:p>
    <w:p w14:paraId="1ED11803">
      <w:pPr>
        <w:spacing w:line="360" w:lineRule="auto"/>
        <w:rPr>
          <w:rFonts w:ascii="宋体" w:hAnsi="宋体"/>
          <w:color w:val="auto"/>
          <w:sz w:val="72"/>
          <w:szCs w:val="72"/>
          <w:highlight w:val="none"/>
        </w:rPr>
      </w:pPr>
    </w:p>
    <w:p w14:paraId="78164542">
      <w:pPr>
        <w:tabs>
          <w:tab w:val="left" w:pos="3300"/>
        </w:tabs>
        <w:spacing w:line="360" w:lineRule="auto"/>
        <w:rPr>
          <w:rFonts w:ascii="宋体" w:hAnsi="宋体"/>
          <w:color w:val="auto"/>
          <w:sz w:val="72"/>
          <w:szCs w:val="72"/>
          <w:highlight w:val="none"/>
        </w:rPr>
      </w:pPr>
      <w:r>
        <w:rPr>
          <w:rFonts w:ascii="宋体" w:hAnsi="宋体"/>
          <w:color w:val="auto"/>
          <w:sz w:val="72"/>
          <w:szCs w:val="72"/>
          <w:highlight w:val="none"/>
        </w:rPr>
        <w:tab/>
      </w:r>
    </w:p>
    <w:p w14:paraId="19DBC52B">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jc w:val="center"/>
        <w:rPr>
          <w:rFonts w:hint="eastAsia" w:ascii="宋体" w:hAnsi="宋体" w:eastAsia="宋体" w:cs="Times New Roman"/>
          <w:b/>
          <w:color w:val="auto"/>
          <w:sz w:val="28"/>
          <w:szCs w:val="28"/>
          <w:highlight w:val="none"/>
          <w:lang w:val="en-US" w:eastAsia="zh-CN"/>
        </w:rPr>
      </w:pPr>
      <w:r>
        <w:rPr>
          <w:rFonts w:hint="eastAsia" w:ascii="宋体" w:hAnsi="宋体"/>
          <w:b/>
          <w:color w:val="auto"/>
          <w:sz w:val="28"/>
          <w:szCs w:val="28"/>
          <w:highlight w:val="none"/>
        </w:rPr>
        <w:t>项目名称：</w:t>
      </w:r>
    </w:p>
    <w:p w14:paraId="3741FEE6">
      <w:pPr>
        <w:tabs>
          <w:tab w:val="left" w:pos="3300"/>
        </w:tabs>
        <w:spacing w:line="360" w:lineRule="auto"/>
        <w:jc w:val="center"/>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rPr>
        <w:t>项目编号：</w:t>
      </w:r>
    </w:p>
    <w:p w14:paraId="032ED817">
      <w:pPr>
        <w:tabs>
          <w:tab w:val="left" w:pos="3300"/>
        </w:tabs>
        <w:spacing w:line="360" w:lineRule="auto"/>
        <w:jc w:val="center"/>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rPr>
        <w:t>需    方：</w:t>
      </w:r>
    </w:p>
    <w:p w14:paraId="2691FAF7">
      <w:pPr>
        <w:tabs>
          <w:tab w:val="left" w:pos="3300"/>
        </w:tabs>
        <w:spacing w:line="360" w:lineRule="auto"/>
        <w:jc w:val="center"/>
        <w:rPr>
          <w:rFonts w:ascii="宋体" w:hAnsi="宋体"/>
          <w:b/>
          <w:bCs/>
          <w:color w:val="auto"/>
          <w:sz w:val="28"/>
          <w:highlight w:val="none"/>
        </w:rPr>
      </w:pPr>
      <w:r>
        <w:rPr>
          <w:rFonts w:hint="eastAsia" w:ascii="宋体" w:hAnsi="宋体"/>
          <w:b/>
          <w:bCs/>
          <w:color w:val="auto"/>
          <w:sz w:val="28"/>
          <w:szCs w:val="28"/>
          <w:highlight w:val="none"/>
        </w:rPr>
        <w:t>供    方：</w:t>
      </w:r>
    </w:p>
    <w:p w14:paraId="05B3C3DC">
      <w:pPr>
        <w:tabs>
          <w:tab w:val="left" w:pos="5940"/>
        </w:tabs>
        <w:spacing w:line="360" w:lineRule="auto"/>
        <w:ind w:firstLine="1827" w:firstLineChars="650"/>
        <w:rPr>
          <w:rFonts w:hint="eastAsia" w:ascii="宋体" w:hAnsi="宋体"/>
          <w:b/>
          <w:bCs/>
          <w:color w:val="auto"/>
          <w:sz w:val="28"/>
          <w:szCs w:val="28"/>
          <w:highlight w:val="none"/>
        </w:rPr>
      </w:pPr>
    </w:p>
    <w:p w14:paraId="6254C96E">
      <w:pPr>
        <w:pStyle w:val="6"/>
        <w:rPr>
          <w:rFonts w:hint="eastAsia"/>
          <w:color w:val="auto"/>
          <w:highlight w:val="none"/>
        </w:rPr>
      </w:pPr>
    </w:p>
    <w:p w14:paraId="22EAA434">
      <w:pPr>
        <w:tabs>
          <w:tab w:val="left" w:pos="5940"/>
        </w:tabs>
        <w:spacing w:line="360" w:lineRule="auto"/>
        <w:jc w:val="center"/>
        <w:rPr>
          <w:rFonts w:hint="eastAsia" w:ascii="宋体" w:hAnsi="宋体"/>
          <w:b/>
          <w:bCs/>
          <w:color w:val="auto"/>
          <w:sz w:val="28"/>
          <w:szCs w:val="28"/>
          <w:highlight w:val="none"/>
        </w:rPr>
      </w:pPr>
      <w:r>
        <w:rPr>
          <w:rFonts w:hint="eastAsia" w:ascii="宋体" w:hAnsi="宋体" w:eastAsia="宋体"/>
          <w:b/>
          <w:bCs/>
          <w:color w:val="auto"/>
          <w:sz w:val="28"/>
          <w:szCs w:val="28"/>
          <w:highlight w:val="none"/>
          <w:lang w:val="en-US" w:eastAsia="zh-CN"/>
        </w:rPr>
        <w:t xml:space="preserve">   </w:t>
      </w:r>
      <w:r>
        <w:rPr>
          <w:rFonts w:hint="eastAsia" w:ascii="宋体" w:hAnsi="宋体"/>
          <w:b/>
          <w:bCs/>
          <w:color w:val="auto"/>
          <w:sz w:val="28"/>
          <w:szCs w:val="28"/>
          <w:highlight w:val="none"/>
        </w:rPr>
        <w:t>年</w:t>
      </w:r>
      <w:r>
        <w:rPr>
          <w:rFonts w:hint="eastAsia" w:ascii="宋体" w:hAnsi="宋体"/>
          <w:b/>
          <w:bCs/>
          <w:color w:val="auto"/>
          <w:sz w:val="28"/>
          <w:szCs w:val="28"/>
          <w:highlight w:val="none"/>
          <w:lang w:val="en-US" w:eastAsia="zh-CN"/>
        </w:rPr>
        <w:t xml:space="preserve">   </w:t>
      </w:r>
      <w:r>
        <w:rPr>
          <w:rFonts w:hint="eastAsia" w:ascii="宋体" w:hAnsi="宋体"/>
          <w:b/>
          <w:bCs/>
          <w:color w:val="auto"/>
          <w:sz w:val="28"/>
          <w:szCs w:val="28"/>
          <w:highlight w:val="none"/>
        </w:rPr>
        <w:t>月</w:t>
      </w:r>
      <w:r>
        <w:rPr>
          <w:rFonts w:hint="eastAsia" w:ascii="宋体" w:hAnsi="宋体"/>
          <w:b/>
          <w:bCs/>
          <w:color w:val="auto"/>
          <w:sz w:val="28"/>
          <w:szCs w:val="28"/>
          <w:highlight w:val="none"/>
          <w:lang w:val="en-US" w:eastAsia="zh-CN"/>
        </w:rPr>
        <w:t xml:space="preserve">   </w:t>
      </w:r>
      <w:r>
        <w:rPr>
          <w:rFonts w:hint="eastAsia" w:ascii="宋体" w:hAnsi="宋体"/>
          <w:b/>
          <w:bCs/>
          <w:color w:val="auto"/>
          <w:sz w:val="28"/>
          <w:szCs w:val="28"/>
          <w:highlight w:val="none"/>
        </w:rPr>
        <w:t>日</w:t>
      </w:r>
    </w:p>
    <w:p w14:paraId="44A37799">
      <w:pPr>
        <w:pStyle w:val="6"/>
        <w:rPr>
          <w:rFonts w:hint="eastAsia" w:ascii="宋体" w:hAnsi="宋体"/>
          <w:b/>
          <w:bCs/>
          <w:color w:val="auto"/>
          <w:sz w:val="28"/>
          <w:szCs w:val="28"/>
          <w:highlight w:val="none"/>
        </w:rPr>
      </w:pPr>
    </w:p>
    <w:p w14:paraId="7709ADF6">
      <w:pPr>
        <w:pStyle w:val="6"/>
        <w:ind w:left="0" w:leftChars="0" w:firstLine="0" w:firstLineChars="0"/>
        <w:rPr>
          <w:color w:val="auto"/>
          <w:highlight w:val="none"/>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B8A6C9E">
      <w:pPr>
        <w:spacing w:before="78" w:line="220" w:lineRule="auto"/>
        <w:ind w:left="490"/>
        <w:rPr>
          <w:rFonts w:ascii="宋体" w:hAnsi="宋体" w:eastAsia="宋体" w:cs="宋体"/>
          <w:sz w:val="24"/>
          <w:szCs w:val="24"/>
        </w:rPr>
      </w:pPr>
      <w:r>
        <w:rPr>
          <w:rFonts w:ascii="宋体" w:hAnsi="宋体" w:eastAsia="宋体" w:cs="宋体"/>
          <w:b/>
          <w:bCs/>
          <w:spacing w:val="-14"/>
          <w:sz w:val="24"/>
          <w:szCs w:val="24"/>
        </w:rPr>
        <w:t>买</w:t>
      </w:r>
      <w:r>
        <w:rPr>
          <w:rFonts w:ascii="宋体" w:hAnsi="宋体" w:eastAsia="宋体" w:cs="宋体"/>
          <w:spacing w:val="15"/>
          <w:sz w:val="24"/>
          <w:szCs w:val="24"/>
        </w:rPr>
        <w:t xml:space="preserve"> </w:t>
      </w:r>
      <w:r>
        <w:rPr>
          <w:rFonts w:ascii="宋体" w:hAnsi="宋体" w:eastAsia="宋体" w:cs="宋体"/>
          <w:b/>
          <w:bCs/>
          <w:spacing w:val="-14"/>
          <w:sz w:val="24"/>
          <w:szCs w:val="24"/>
        </w:rPr>
        <w:t>方：</w:t>
      </w:r>
      <w:r>
        <w:rPr>
          <w:rFonts w:ascii="宋体" w:hAnsi="宋体" w:eastAsia="宋体" w:cs="宋体"/>
          <w:sz w:val="24"/>
          <w:szCs w:val="24"/>
          <w:u w:val="single" w:color="auto"/>
        </w:rPr>
        <w:t xml:space="preserve">                                </w:t>
      </w:r>
      <w:r>
        <w:rPr>
          <w:rFonts w:ascii="宋体" w:hAnsi="宋体" w:eastAsia="宋体" w:cs="宋体"/>
          <w:spacing w:val="27"/>
          <w:sz w:val="24"/>
          <w:szCs w:val="24"/>
        </w:rPr>
        <w:t xml:space="preserve">  </w:t>
      </w:r>
      <w:r>
        <w:rPr>
          <w:rFonts w:ascii="宋体" w:hAnsi="宋体" w:eastAsia="宋体" w:cs="宋体"/>
          <w:b/>
          <w:bCs/>
          <w:spacing w:val="-14"/>
          <w:sz w:val="24"/>
          <w:szCs w:val="24"/>
        </w:rPr>
        <w:t>电话：</w:t>
      </w:r>
      <w:r>
        <w:rPr>
          <w:rFonts w:ascii="宋体" w:hAnsi="宋体" w:eastAsia="宋体" w:cs="宋体"/>
          <w:sz w:val="24"/>
          <w:szCs w:val="24"/>
          <w:u w:val="single" w:color="auto"/>
        </w:rPr>
        <w:t xml:space="preserve">                 </w:t>
      </w:r>
    </w:p>
    <w:p w14:paraId="5EEA9D31">
      <w:pPr>
        <w:pStyle w:val="8"/>
        <w:spacing w:line="258" w:lineRule="auto"/>
      </w:pPr>
    </w:p>
    <w:p w14:paraId="68B1E284">
      <w:pPr>
        <w:spacing w:before="78" w:line="220" w:lineRule="auto"/>
        <w:ind w:left="480"/>
        <w:rPr>
          <w:rFonts w:ascii="宋体" w:hAnsi="宋体" w:eastAsia="宋体" w:cs="宋体"/>
          <w:sz w:val="24"/>
          <w:szCs w:val="24"/>
        </w:rPr>
      </w:pPr>
      <w:r>
        <w:rPr>
          <w:rFonts w:ascii="宋体" w:hAnsi="宋体" w:eastAsia="宋体" w:cs="宋体"/>
          <w:b/>
          <w:bCs/>
          <w:spacing w:val="-5"/>
          <w:sz w:val="24"/>
          <w:szCs w:val="24"/>
        </w:rPr>
        <w:t>卖</w:t>
      </w:r>
      <w:r>
        <w:rPr>
          <w:rFonts w:ascii="宋体" w:hAnsi="宋体" w:eastAsia="宋体" w:cs="宋体"/>
          <w:spacing w:val="10"/>
          <w:sz w:val="24"/>
          <w:szCs w:val="24"/>
        </w:rPr>
        <w:t xml:space="preserve"> </w:t>
      </w:r>
      <w:r>
        <w:rPr>
          <w:rFonts w:ascii="宋体" w:hAnsi="宋体" w:eastAsia="宋体" w:cs="宋体"/>
          <w:b/>
          <w:bCs/>
          <w:spacing w:val="-5"/>
          <w:sz w:val="24"/>
          <w:szCs w:val="24"/>
        </w:rPr>
        <w:t>方：</w:t>
      </w:r>
      <w:r>
        <w:rPr>
          <w:rFonts w:ascii="宋体" w:hAnsi="宋体" w:eastAsia="宋体" w:cs="宋体"/>
          <w:spacing w:val="-5"/>
          <w:sz w:val="24"/>
          <w:szCs w:val="24"/>
          <w:u w:val="single" w:color="auto"/>
        </w:rPr>
        <w:t xml:space="preserve">                                 </w:t>
      </w:r>
      <w:r>
        <w:rPr>
          <w:rFonts w:ascii="宋体" w:hAnsi="宋体" w:eastAsia="宋体" w:cs="宋体"/>
          <w:spacing w:val="20"/>
          <w:sz w:val="24"/>
          <w:szCs w:val="24"/>
        </w:rPr>
        <w:t xml:space="preserve">  </w:t>
      </w:r>
      <w:r>
        <w:rPr>
          <w:rFonts w:ascii="宋体" w:hAnsi="宋体" w:eastAsia="宋体" w:cs="宋体"/>
          <w:b/>
          <w:bCs/>
          <w:spacing w:val="-5"/>
          <w:sz w:val="24"/>
          <w:szCs w:val="24"/>
        </w:rPr>
        <w:t>电话：</w:t>
      </w:r>
      <w:r>
        <w:rPr>
          <w:rFonts w:ascii="宋体" w:hAnsi="宋体" w:eastAsia="宋体" w:cs="宋体"/>
          <w:spacing w:val="-5"/>
          <w:sz w:val="24"/>
          <w:szCs w:val="24"/>
          <w:u w:val="single" w:color="auto"/>
        </w:rPr>
        <w:t xml:space="preserve">          </w:t>
      </w:r>
      <w:r>
        <w:rPr>
          <w:rFonts w:ascii="宋体" w:hAnsi="宋体" w:eastAsia="宋体" w:cs="宋体"/>
          <w:spacing w:val="-6"/>
          <w:sz w:val="24"/>
          <w:szCs w:val="24"/>
          <w:u w:val="single" w:color="auto"/>
        </w:rPr>
        <w:t xml:space="preserve">       </w:t>
      </w:r>
    </w:p>
    <w:p w14:paraId="5E7A44E4">
      <w:pPr>
        <w:pStyle w:val="8"/>
        <w:spacing w:line="309" w:lineRule="auto"/>
      </w:pPr>
    </w:p>
    <w:p w14:paraId="24F8402C">
      <w:pPr>
        <w:spacing w:before="78" w:line="391" w:lineRule="auto"/>
        <w:ind w:firstLine="490"/>
        <w:jc w:val="both"/>
        <w:rPr>
          <w:rFonts w:ascii="宋体" w:hAnsi="宋体" w:eastAsia="宋体" w:cs="宋体"/>
          <w:sz w:val="24"/>
          <w:szCs w:val="24"/>
        </w:rPr>
      </w:pPr>
      <w:r>
        <w:rPr>
          <w:rFonts w:ascii="宋体" w:hAnsi="宋体" w:eastAsia="宋体" w:cs="宋体"/>
          <w:spacing w:val="-4"/>
          <w:sz w:val="24"/>
          <w:szCs w:val="24"/>
        </w:rPr>
        <w:t>买方通过见证方组织的采购活动，经评审委员会的认真评审决定将本项目采购合同</w:t>
      </w:r>
      <w:r>
        <w:rPr>
          <w:rFonts w:ascii="宋体" w:hAnsi="宋体" w:eastAsia="宋体" w:cs="宋体"/>
          <w:spacing w:val="18"/>
          <w:sz w:val="24"/>
          <w:szCs w:val="24"/>
        </w:rPr>
        <w:t xml:space="preserve"> </w:t>
      </w:r>
      <w:r>
        <w:rPr>
          <w:rFonts w:ascii="宋体" w:hAnsi="宋体" w:eastAsia="宋体" w:cs="宋体"/>
          <w:spacing w:val="-3"/>
          <w:sz w:val="24"/>
          <w:szCs w:val="24"/>
        </w:rPr>
        <w:t>授予卖方。为进一步明确双方的责任，确保合同的顺利履行，买卖双方商定同意按如下</w:t>
      </w:r>
      <w:r>
        <w:rPr>
          <w:rFonts w:ascii="宋体" w:hAnsi="宋体" w:eastAsia="宋体" w:cs="宋体"/>
          <w:sz w:val="24"/>
          <w:szCs w:val="24"/>
        </w:rPr>
        <w:t xml:space="preserve"> </w:t>
      </w:r>
      <w:r>
        <w:rPr>
          <w:rFonts w:ascii="宋体" w:hAnsi="宋体" w:eastAsia="宋体" w:cs="宋体"/>
          <w:spacing w:val="-1"/>
          <w:sz w:val="24"/>
          <w:szCs w:val="24"/>
        </w:rPr>
        <w:t>条款和条件签订本合同：</w:t>
      </w:r>
    </w:p>
    <w:p w14:paraId="34D582AA">
      <w:pPr>
        <w:spacing w:before="37" w:line="220" w:lineRule="auto"/>
        <w:ind w:left="498"/>
        <w:rPr>
          <w:rFonts w:ascii="宋体" w:hAnsi="宋体" w:eastAsia="宋体" w:cs="宋体"/>
          <w:sz w:val="24"/>
          <w:szCs w:val="24"/>
        </w:rPr>
      </w:pPr>
      <w:r>
        <w:rPr>
          <w:rFonts w:ascii="宋体" w:hAnsi="宋体" w:eastAsia="宋体" w:cs="宋体"/>
          <w:b/>
          <w:bCs/>
          <w:spacing w:val="-10"/>
          <w:sz w:val="24"/>
          <w:szCs w:val="24"/>
        </w:rPr>
        <w:t>1、定义</w:t>
      </w:r>
    </w:p>
    <w:p w14:paraId="33B23BBA">
      <w:pPr>
        <w:spacing w:before="236" w:line="309" w:lineRule="auto"/>
        <w:ind w:left="2" w:firstLine="520"/>
        <w:rPr>
          <w:rFonts w:ascii="宋体" w:hAnsi="宋体" w:eastAsia="宋体" w:cs="宋体"/>
          <w:sz w:val="24"/>
          <w:szCs w:val="24"/>
        </w:rPr>
      </w:pPr>
      <w:r>
        <w:rPr>
          <w:rFonts w:ascii="宋体" w:hAnsi="宋体" w:eastAsia="宋体" w:cs="宋体"/>
          <w:spacing w:val="-15"/>
          <w:sz w:val="24"/>
          <w:szCs w:val="24"/>
        </w:rPr>
        <w:t>(1)合同价：指</w:t>
      </w:r>
      <w:r>
        <w:rPr>
          <w:rFonts w:ascii="宋体" w:hAnsi="宋体" w:eastAsia="宋体" w:cs="宋体"/>
          <w:spacing w:val="12"/>
          <w:sz w:val="24"/>
          <w:szCs w:val="24"/>
          <w:u w:val="single" w:color="auto"/>
        </w:rPr>
        <w:t xml:space="preserve">          </w:t>
      </w:r>
      <w:r>
        <w:rPr>
          <w:rFonts w:ascii="宋体" w:hAnsi="宋体" w:eastAsia="宋体" w:cs="宋体"/>
          <w:spacing w:val="-15"/>
          <w:sz w:val="24"/>
          <w:szCs w:val="24"/>
        </w:rPr>
        <w:t>（项目编号）号项目经过公开招标后的中标价，为</w:t>
      </w:r>
      <w:r>
        <w:rPr>
          <w:rFonts w:ascii="宋体" w:hAnsi="宋体" w:eastAsia="宋体" w:cs="宋体"/>
          <w:spacing w:val="-15"/>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15"/>
          <w:sz w:val="24"/>
          <w:szCs w:val="24"/>
        </w:rPr>
        <w:t>万</w:t>
      </w:r>
      <w:r>
        <w:rPr>
          <w:rFonts w:ascii="宋体" w:hAnsi="宋体" w:eastAsia="宋体" w:cs="宋体"/>
          <w:sz w:val="24"/>
          <w:szCs w:val="24"/>
        </w:rPr>
        <w:t xml:space="preserve"> </w:t>
      </w:r>
      <w:r>
        <w:rPr>
          <w:rFonts w:ascii="宋体" w:hAnsi="宋体" w:eastAsia="宋体" w:cs="宋体"/>
          <w:spacing w:val="-6"/>
          <w:sz w:val="24"/>
          <w:szCs w:val="24"/>
        </w:rPr>
        <w:t>元。</w:t>
      </w:r>
    </w:p>
    <w:p w14:paraId="40B0894C">
      <w:pPr>
        <w:spacing w:before="235" w:line="307" w:lineRule="auto"/>
        <w:ind w:left="20" w:firstLine="502"/>
        <w:rPr>
          <w:rFonts w:ascii="宋体" w:hAnsi="宋体" w:eastAsia="宋体" w:cs="宋体"/>
          <w:sz w:val="24"/>
          <w:szCs w:val="24"/>
        </w:rPr>
      </w:pPr>
      <w:r>
        <w:rPr>
          <w:rFonts w:ascii="宋体" w:hAnsi="宋体" w:eastAsia="宋体" w:cs="宋体"/>
          <w:spacing w:val="-1"/>
          <w:sz w:val="24"/>
          <w:szCs w:val="24"/>
        </w:rPr>
        <w:t>(2)货物：指供应商按招标文件的规定及投标文件的承诺，由卖方实施项目所</w:t>
      </w:r>
      <w:r>
        <w:rPr>
          <w:rFonts w:ascii="宋体" w:hAnsi="宋体" w:eastAsia="宋体" w:cs="宋体"/>
          <w:spacing w:val="-2"/>
          <w:sz w:val="24"/>
          <w:szCs w:val="24"/>
        </w:rPr>
        <w:t>涉及</w:t>
      </w:r>
      <w:r>
        <w:rPr>
          <w:rFonts w:ascii="宋体" w:hAnsi="宋体" w:eastAsia="宋体" w:cs="宋体"/>
          <w:sz w:val="24"/>
          <w:szCs w:val="24"/>
        </w:rPr>
        <w:t xml:space="preserve"> </w:t>
      </w:r>
      <w:r>
        <w:rPr>
          <w:rFonts w:ascii="宋体" w:hAnsi="宋体" w:eastAsia="宋体" w:cs="宋体"/>
          <w:spacing w:val="-2"/>
          <w:sz w:val="24"/>
          <w:szCs w:val="24"/>
        </w:rPr>
        <w:t>的农户免费提供富硒有机肥，按6kg/亩施用。</w:t>
      </w:r>
    </w:p>
    <w:p w14:paraId="40D9C1A8">
      <w:pPr>
        <w:spacing w:before="246" w:line="377" w:lineRule="auto"/>
        <w:ind w:firstLine="522"/>
        <w:rPr>
          <w:rFonts w:ascii="宋体" w:hAnsi="宋体" w:eastAsia="宋体" w:cs="宋体"/>
          <w:sz w:val="24"/>
          <w:szCs w:val="24"/>
        </w:rPr>
      </w:pPr>
      <w:r>
        <w:rPr>
          <w:rFonts w:ascii="宋体" w:hAnsi="宋体" w:eastAsia="宋体" w:cs="宋体"/>
          <w:spacing w:val="-9"/>
          <w:sz w:val="24"/>
          <w:szCs w:val="24"/>
        </w:rPr>
        <w:t>(3)服务：项目实施中卖方与项目所在地的乡（镇）及村、户沟通、协调落实好</w:t>
      </w:r>
      <w:r>
        <w:rPr>
          <w:rFonts w:hint="eastAsia" w:ascii="宋体" w:hAnsi="宋体" w:cs="宋体"/>
          <w:spacing w:val="-9"/>
          <w:sz w:val="24"/>
          <w:szCs w:val="24"/>
          <w:u w:val="single"/>
          <w:lang w:val="en-US" w:eastAsia="zh-CN"/>
        </w:rPr>
        <w:t xml:space="preserve">      </w:t>
      </w:r>
      <w:r>
        <w:rPr>
          <w:rFonts w:ascii="宋体" w:hAnsi="宋体" w:eastAsia="宋体" w:cs="宋体"/>
          <w:spacing w:val="-3"/>
          <w:sz w:val="24"/>
          <w:szCs w:val="24"/>
        </w:rPr>
        <w:t>亩的种植地块，卖方与农户签订种植、农产品回收合同；卖方在种植和施肥期间派</w:t>
      </w:r>
      <w:r>
        <w:rPr>
          <w:rFonts w:ascii="宋体" w:hAnsi="宋体" w:eastAsia="宋体" w:cs="宋体"/>
          <w:spacing w:val="-4"/>
          <w:sz w:val="24"/>
          <w:szCs w:val="24"/>
        </w:rPr>
        <w:t>专业</w:t>
      </w:r>
      <w:r>
        <w:rPr>
          <w:rFonts w:ascii="宋体" w:hAnsi="宋体" w:eastAsia="宋体" w:cs="宋体"/>
          <w:sz w:val="24"/>
          <w:szCs w:val="24"/>
        </w:rPr>
        <w:t xml:space="preserve"> </w:t>
      </w:r>
      <w:r>
        <w:rPr>
          <w:rFonts w:ascii="宋体" w:hAnsi="宋体" w:eastAsia="宋体" w:cs="宋体"/>
          <w:spacing w:val="-3"/>
          <w:sz w:val="24"/>
          <w:szCs w:val="24"/>
        </w:rPr>
        <w:t>技术人员进行统一的技术指导和服务；收获后，卖方统一回收富硒谷子，回收价格</w:t>
      </w:r>
      <w:r>
        <w:rPr>
          <w:rFonts w:ascii="宋体" w:hAnsi="宋体" w:eastAsia="宋体" w:cs="宋体"/>
          <w:spacing w:val="-4"/>
          <w:sz w:val="24"/>
          <w:szCs w:val="24"/>
        </w:rPr>
        <w:t>要高</w:t>
      </w:r>
      <w:r>
        <w:rPr>
          <w:rFonts w:ascii="宋体" w:hAnsi="宋体" w:eastAsia="宋体" w:cs="宋体"/>
          <w:sz w:val="24"/>
          <w:szCs w:val="24"/>
        </w:rPr>
        <w:t xml:space="preserve"> </w:t>
      </w:r>
      <w:r>
        <w:rPr>
          <w:rFonts w:ascii="宋体" w:hAnsi="宋体" w:eastAsia="宋体" w:cs="宋体"/>
          <w:spacing w:val="1"/>
          <w:sz w:val="24"/>
          <w:szCs w:val="24"/>
        </w:rPr>
        <w:t>于同期非富硒同类同等级谷子市场价格的</w:t>
      </w:r>
      <w:r>
        <w:rPr>
          <w:rFonts w:ascii="宋体" w:hAnsi="宋体" w:eastAsia="宋体" w:cs="宋体"/>
          <w:spacing w:val="-30"/>
          <w:sz w:val="24"/>
          <w:szCs w:val="24"/>
        </w:rPr>
        <w:t xml:space="preserve"> </w:t>
      </w:r>
      <w:r>
        <w:rPr>
          <w:rFonts w:ascii="宋体" w:hAnsi="宋体" w:eastAsia="宋体" w:cs="宋体"/>
          <w:spacing w:val="1"/>
          <w:sz w:val="24"/>
          <w:szCs w:val="24"/>
        </w:rPr>
        <w:t>15%--20%，无不可抗</w:t>
      </w:r>
      <w:r>
        <w:rPr>
          <w:rFonts w:ascii="宋体" w:hAnsi="宋体" w:eastAsia="宋体" w:cs="宋体"/>
          <w:sz w:val="24"/>
          <w:szCs w:val="24"/>
        </w:rPr>
        <w:t>和农户惜售等原因，合 格品回收率达到80%以上；并统一仓储、加工、包装；项目实施过程中，卖方定期向买</w:t>
      </w:r>
      <w:r>
        <w:rPr>
          <w:rFonts w:ascii="宋体" w:hAnsi="宋体" w:eastAsia="宋体" w:cs="宋体"/>
          <w:spacing w:val="1"/>
          <w:sz w:val="24"/>
          <w:szCs w:val="24"/>
        </w:rPr>
        <w:t xml:space="preserve"> </w:t>
      </w:r>
      <w:r>
        <w:rPr>
          <w:rFonts w:ascii="宋体" w:hAnsi="宋体" w:eastAsia="宋体" w:cs="宋体"/>
          <w:spacing w:val="-3"/>
          <w:sz w:val="24"/>
          <w:szCs w:val="24"/>
        </w:rPr>
        <w:t>方汇报工作进展情况，在实施过程中遇到不可预见的或不可克服的问题的时应及时</w:t>
      </w:r>
      <w:r>
        <w:rPr>
          <w:rFonts w:ascii="宋体" w:hAnsi="宋体" w:eastAsia="宋体" w:cs="宋体"/>
          <w:spacing w:val="-4"/>
          <w:sz w:val="24"/>
          <w:szCs w:val="24"/>
        </w:rPr>
        <w:t>反馈</w:t>
      </w:r>
      <w:r>
        <w:rPr>
          <w:rFonts w:ascii="宋体" w:hAnsi="宋体" w:eastAsia="宋体" w:cs="宋体"/>
          <w:sz w:val="24"/>
          <w:szCs w:val="24"/>
        </w:rPr>
        <w:t xml:space="preserve"> </w:t>
      </w:r>
      <w:r>
        <w:rPr>
          <w:rFonts w:ascii="宋体" w:hAnsi="宋体" w:eastAsia="宋体" w:cs="宋体"/>
          <w:spacing w:val="-3"/>
          <w:sz w:val="24"/>
          <w:szCs w:val="24"/>
        </w:rPr>
        <w:t>买方；积极配合上级相关领导与部门的检查与指导；实施过程中及时收集留存各种</w:t>
      </w:r>
      <w:r>
        <w:rPr>
          <w:rFonts w:ascii="宋体" w:hAnsi="宋体" w:eastAsia="宋体" w:cs="宋体"/>
          <w:spacing w:val="-4"/>
          <w:sz w:val="24"/>
          <w:szCs w:val="24"/>
        </w:rPr>
        <w:t>纸质</w:t>
      </w:r>
      <w:r>
        <w:rPr>
          <w:rFonts w:ascii="宋体" w:hAnsi="宋体" w:eastAsia="宋体" w:cs="宋体"/>
          <w:sz w:val="24"/>
          <w:szCs w:val="24"/>
        </w:rPr>
        <w:t xml:space="preserve"> </w:t>
      </w:r>
      <w:r>
        <w:rPr>
          <w:rFonts w:ascii="宋体" w:hAnsi="宋体" w:eastAsia="宋体" w:cs="宋体"/>
          <w:spacing w:val="-2"/>
          <w:sz w:val="24"/>
          <w:szCs w:val="24"/>
        </w:rPr>
        <w:t>资料、影像资料。</w:t>
      </w:r>
    </w:p>
    <w:p w14:paraId="50C07EA5">
      <w:pPr>
        <w:spacing w:before="235" w:line="219" w:lineRule="auto"/>
        <w:ind w:left="483"/>
        <w:rPr>
          <w:rFonts w:ascii="宋体" w:hAnsi="宋体" w:eastAsia="宋体" w:cs="宋体"/>
          <w:sz w:val="24"/>
          <w:szCs w:val="24"/>
        </w:rPr>
      </w:pPr>
      <w:r>
        <w:rPr>
          <w:rFonts w:ascii="宋体" w:hAnsi="宋体" w:eastAsia="宋体" w:cs="宋体"/>
          <w:b/>
          <w:bCs/>
          <w:spacing w:val="-6"/>
          <w:sz w:val="24"/>
          <w:szCs w:val="24"/>
        </w:rPr>
        <w:t>2.</w:t>
      </w:r>
      <w:r>
        <w:rPr>
          <w:rFonts w:ascii="宋体" w:hAnsi="宋体" w:eastAsia="宋体" w:cs="宋体"/>
          <w:spacing w:val="21"/>
          <w:sz w:val="24"/>
          <w:szCs w:val="24"/>
        </w:rPr>
        <w:t xml:space="preserve"> </w:t>
      </w:r>
      <w:r>
        <w:rPr>
          <w:rFonts w:ascii="宋体" w:hAnsi="宋体" w:eastAsia="宋体" w:cs="宋体"/>
          <w:b/>
          <w:bCs/>
          <w:spacing w:val="-6"/>
          <w:sz w:val="24"/>
          <w:szCs w:val="24"/>
        </w:rPr>
        <w:t>货物技术规格</w:t>
      </w:r>
    </w:p>
    <w:p w14:paraId="1DCB7871">
      <w:pPr>
        <w:spacing w:before="235" w:line="387" w:lineRule="auto"/>
        <w:ind w:left="1" w:firstLine="481"/>
        <w:rPr>
          <w:rFonts w:ascii="宋体" w:hAnsi="宋体" w:eastAsia="宋体" w:cs="宋体"/>
          <w:sz w:val="24"/>
          <w:szCs w:val="24"/>
        </w:rPr>
      </w:pPr>
      <w:r>
        <w:rPr>
          <w:rFonts w:ascii="宋体" w:hAnsi="宋体" w:eastAsia="宋体" w:cs="宋体"/>
          <w:sz w:val="24"/>
          <w:szCs w:val="24"/>
        </w:rPr>
        <w:t>2.1卖方提供和交付的货物技术规格应与《采购文件》规定的技术要求以及所附的</w:t>
      </w:r>
      <w:r>
        <w:rPr>
          <w:rFonts w:ascii="宋体" w:hAnsi="宋体" w:eastAsia="宋体" w:cs="宋体"/>
          <w:spacing w:val="1"/>
          <w:sz w:val="24"/>
          <w:szCs w:val="24"/>
        </w:rPr>
        <w:t xml:space="preserve"> </w:t>
      </w:r>
      <w:r>
        <w:rPr>
          <w:rFonts w:ascii="宋体" w:hAnsi="宋体" w:eastAsia="宋体" w:cs="宋体"/>
          <w:spacing w:val="-1"/>
          <w:sz w:val="24"/>
          <w:szCs w:val="24"/>
        </w:rPr>
        <w:t>技术规格响应表相一致。</w:t>
      </w:r>
    </w:p>
    <w:p w14:paraId="1C562D32">
      <w:pPr>
        <w:spacing w:before="34" w:line="219" w:lineRule="auto"/>
        <w:ind w:left="485"/>
        <w:rPr>
          <w:rFonts w:ascii="宋体" w:hAnsi="宋体" w:eastAsia="宋体" w:cs="宋体"/>
          <w:sz w:val="24"/>
          <w:szCs w:val="24"/>
        </w:rPr>
      </w:pPr>
      <w:r>
        <w:rPr>
          <w:rFonts w:ascii="宋体" w:hAnsi="宋体" w:eastAsia="宋体" w:cs="宋体"/>
          <w:b/>
          <w:bCs/>
          <w:spacing w:val="-6"/>
          <w:sz w:val="24"/>
          <w:szCs w:val="24"/>
        </w:rPr>
        <w:t>3.</w:t>
      </w:r>
      <w:r>
        <w:rPr>
          <w:rFonts w:ascii="宋体" w:hAnsi="宋体" w:eastAsia="宋体" w:cs="宋体"/>
          <w:spacing w:val="16"/>
          <w:sz w:val="24"/>
          <w:szCs w:val="24"/>
        </w:rPr>
        <w:t xml:space="preserve"> </w:t>
      </w:r>
      <w:r>
        <w:rPr>
          <w:rFonts w:ascii="宋体" w:hAnsi="宋体" w:eastAsia="宋体" w:cs="宋体"/>
          <w:b/>
          <w:bCs/>
          <w:spacing w:val="-6"/>
          <w:sz w:val="24"/>
          <w:szCs w:val="24"/>
        </w:rPr>
        <w:t>货物专利权</w:t>
      </w:r>
    </w:p>
    <w:p w14:paraId="7C2ABBD7">
      <w:pPr>
        <w:spacing w:before="234" w:line="219" w:lineRule="auto"/>
        <w:jc w:val="right"/>
        <w:rPr>
          <w:rFonts w:ascii="宋体" w:hAnsi="宋体" w:eastAsia="宋体" w:cs="宋体"/>
          <w:sz w:val="24"/>
          <w:szCs w:val="24"/>
        </w:rPr>
      </w:pPr>
      <w:r>
        <w:rPr>
          <w:rFonts w:ascii="宋体" w:hAnsi="宋体" w:eastAsia="宋体" w:cs="宋体"/>
          <w:sz w:val="24"/>
          <w:szCs w:val="24"/>
        </w:rPr>
        <w:t>3.1卖方保证在此次提供使用富硒肥时，不受第三方提出侵犯其专利权、商标权和</w:t>
      </w:r>
    </w:p>
    <w:p w14:paraId="5D23E979">
      <w:pPr>
        <w:spacing w:line="219" w:lineRule="auto"/>
        <w:rPr>
          <w:rFonts w:ascii="宋体" w:hAnsi="宋体" w:eastAsia="宋体" w:cs="宋体"/>
          <w:sz w:val="24"/>
          <w:szCs w:val="24"/>
        </w:rPr>
        <w:sectPr>
          <w:footerReference r:id="rId13" w:type="default"/>
          <w:type w:val="continuous"/>
          <w:pgSz w:w="11906" w:h="16839"/>
          <w:pgMar w:top="1223" w:right="1360" w:bottom="1156" w:left="1539" w:header="0" w:footer="994" w:gutter="0"/>
          <w:pgNumType w:fmt="decimal"/>
          <w:cols w:space="720" w:num="1"/>
        </w:sectPr>
      </w:pPr>
    </w:p>
    <w:p w14:paraId="54BB7512">
      <w:pPr>
        <w:spacing w:before="48" w:line="219" w:lineRule="auto"/>
        <w:ind w:left="2"/>
        <w:rPr>
          <w:rFonts w:ascii="宋体" w:hAnsi="宋体" w:eastAsia="宋体" w:cs="宋体"/>
          <w:sz w:val="24"/>
          <w:szCs w:val="24"/>
        </w:rPr>
      </w:pPr>
      <w:r>
        <w:rPr>
          <w:rFonts w:ascii="宋体" w:hAnsi="宋体" w:eastAsia="宋体" w:cs="宋体"/>
          <w:spacing w:val="-2"/>
          <w:sz w:val="24"/>
          <w:szCs w:val="24"/>
        </w:rPr>
        <w:t>工业设计权的起诉。</w:t>
      </w:r>
    </w:p>
    <w:p w14:paraId="284F0C1E">
      <w:pPr>
        <w:spacing w:before="235" w:line="219" w:lineRule="auto"/>
        <w:ind w:left="479"/>
        <w:rPr>
          <w:rFonts w:ascii="宋体" w:hAnsi="宋体" w:eastAsia="宋体" w:cs="宋体"/>
          <w:sz w:val="24"/>
          <w:szCs w:val="24"/>
        </w:rPr>
      </w:pPr>
      <w:r>
        <w:rPr>
          <w:rFonts w:ascii="宋体" w:hAnsi="宋体" w:eastAsia="宋体" w:cs="宋体"/>
          <w:b/>
          <w:bCs/>
          <w:spacing w:val="-5"/>
          <w:sz w:val="24"/>
          <w:szCs w:val="24"/>
        </w:rPr>
        <w:t>4.</w:t>
      </w:r>
      <w:r>
        <w:rPr>
          <w:rFonts w:ascii="宋体" w:hAnsi="宋体" w:eastAsia="宋体" w:cs="宋体"/>
          <w:spacing w:val="17"/>
          <w:sz w:val="24"/>
          <w:szCs w:val="24"/>
        </w:rPr>
        <w:t xml:space="preserve"> </w:t>
      </w:r>
      <w:r>
        <w:rPr>
          <w:rFonts w:ascii="宋体" w:hAnsi="宋体" w:eastAsia="宋体" w:cs="宋体"/>
          <w:b/>
          <w:bCs/>
          <w:spacing w:val="-5"/>
          <w:sz w:val="24"/>
          <w:szCs w:val="24"/>
        </w:rPr>
        <w:t>货物包装要求</w:t>
      </w:r>
    </w:p>
    <w:p w14:paraId="433DC5F8">
      <w:pPr>
        <w:spacing w:before="234" w:line="392" w:lineRule="auto"/>
        <w:ind w:firstLine="479"/>
        <w:jc w:val="both"/>
        <w:rPr>
          <w:rFonts w:ascii="宋体" w:hAnsi="宋体" w:eastAsia="宋体" w:cs="宋体"/>
          <w:sz w:val="24"/>
          <w:szCs w:val="24"/>
        </w:rPr>
      </w:pPr>
      <w:r>
        <w:rPr>
          <w:rFonts w:ascii="宋体" w:hAnsi="宋体" w:eastAsia="宋体" w:cs="宋体"/>
          <w:sz w:val="24"/>
          <w:szCs w:val="24"/>
        </w:rPr>
        <w:t>4.1卖方供应的全部货物要进行包装，该包装应适应远距离运输、防潮、和防野蛮</w:t>
      </w:r>
      <w:r>
        <w:rPr>
          <w:rFonts w:ascii="宋体" w:hAnsi="宋体" w:eastAsia="宋体" w:cs="宋体"/>
          <w:spacing w:val="4"/>
          <w:sz w:val="24"/>
          <w:szCs w:val="24"/>
        </w:rPr>
        <w:t xml:space="preserve"> </w:t>
      </w:r>
      <w:r>
        <w:rPr>
          <w:rFonts w:ascii="宋体" w:hAnsi="宋体" w:eastAsia="宋体" w:cs="宋体"/>
          <w:spacing w:val="-3"/>
          <w:sz w:val="24"/>
          <w:szCs w:val="24"/>
        </w:rPr>
        <w:t>装卸，确保货物安全无损运抵现场。由于包装不善所引起的货物损坏和损失均由卖</w:t>
      </w:r>
      <w:r>
        <w:rPr>
          <w:rFonts w:ascii="宋体" w:hAnsi="宋体" w:eastAsia="宋体" w:cs="宋体"/>
          <w:spacing w:val="-4"/>
          <w:sz w:val="24"/>
          <w:szCs w:val="24"/>
        </w:rPr>
        <w:t>方承</w:t>
      </w:r>
      <w:r>
        <w:rPr>
          <w:rFonts w:ascii="宋体" w:hAnsi="宋体" w:eastAsia="宋体" w:cs="宋体"/>
          <w:sz w:val="24"/>
          <w:szCs w:val="24"/>
        </w:rPr>
        <w:t xml:space="preserve"> </w:t>
      </w:r>
      <w:r>
        <w:rPr>
          <w:rFonts w:ascii="宋体" w:hAnsi="宋体" w:eastAsia="宋体" w:cs="宋体"/>
          <w:spacing w:val="-5"/>
          <w:sz w:val="24"/>
          <w:szCs w:val="24"/>
        </w:rPr>
        <w:t>担。</w:t>
      </w:r>
    </w:p>
    <w:p w14:paraId="6C176F2E">
      <w:pPr>
        <w:spacing w:before="30" w:line="219" w:lineRule="auto"/>
        <w:ind w:left="479"/>
        <w:rPr>
          <w:rFonts w:ascii="宋体" w:hAnsi="宋体" w:eastAsia="宋体" w:cs="宋体"/>
          <w:sz w:val="24"/>
          <w:szCs w:val="24"/>
        </w:rPr>
      </w:pPr>
      <w:r>
        <w:rPr>
          <w:rFonts w:ascii="宋体" w:hAnsi="宋体" w:eastAsia="宋体" w:cs="宋体"/>
          <w:sz w:val="24"/>
          <w:szCs w:val="24"/>
        </w:rPr>
        <w:t>4.2货物应附一份卖方出具的送货单和富硒肥厂家的产</w:t>
      </w:r>
      <w:r>
        <w:rPr>
          <w:rFonts w:ascii="宋体" w:hAnsi="宋体" w:eastAsia="宋体" w:cs="宋体"/>
          <w:spacing w:val="-1"/>
          <w:sz w:val="24"/>
          <w:szCs w:val="24"/>
        </w:rPr>
        <w:t>品质量合格证明资料。</w:t>
      </w:r>
    </w:p>
    <w:p w14:paraId="1D40E187">
      <w:pPr>
        <w:spacing w:before="236" w:line="219" w:lineRule="auto"/>
        <w:ind w:left="484"/>
        <w:rPr>
          <w:rFonts w:ascii="宋体" w:hAnsi="宋体" w:eastAsia="宋体" w:cs="宋体"/>
          <w:sz w:val="24"/>
          <w:szCs w:val="24"/>
        </w:rPr>
      </w:pPr>
      <w:r>
        <w:rPr>
          <w:rFonts w:ascii="宋体" w:hAnsi="宋体" w:eastAsia="宋体" w:cs="宋体"/>
          <w:b/>
          <w:bCs/>
          <w:spacing w:val="-3"/>
          <w:sz w:val="24"/>
          <w:szCs w:val="24"/>
        </w:rPr>
        <w:t>5.</w:t>
      </w:r>
      <w:r>
        <w:rPr>
          <w:rFonts w:ascii="宋体" w:hAnsi="宋体" w:eastAsia="宋体" w:cs="宋体"/>
          <w:spacing w:val="-3"/>
          <w:sz w:val="24"/>
          <w:szCs w:val="24"/>
        </w:rPr>
        <w:t xml:space="preserve"> </w:t>
      </w:r>
      <w:r>
        <w:rPr>
          <w:rFonts w:ascii="宋体" w:hAnsi="宋体" w:eastAsia="宋体" w:cs="宋体"/>
          <w:b/>
          <w:bCs/>
          <w:spacing w:val="-3"/>
          <w:sz w:val="24"/>
          <w:szCs w:val="24"/>
        </w:rPr>
        <w:t>货物装运条件：</w:t>
      </w:r>
    </w:p>
    <w:p w14:paraId="0B9B6BBC">
      <w:pPr>
        <w:spacing w:before="237" w:line="219" w:lineRule="auto"/>
        <w:ind w:left="484"/>
        <w:rPr>
          <w:rFonts w:ascii="宋体" w:hAnsi="宋体" w:eastAsia="宋体" w:cs="宋体"/>
          <w:sz w:val="24"/>
          <w:szCs w:val="24"/>
        </w:rPr>
      </w:pPr>
      <w:r>
        <w:rPr>
          <w:rFonts w:ascii="宋体" w:hAnsi="宋体" w:eastAsia="宋体" w:cs="宋体"/>
          <w:spacing w:val="-1"/>
          <w:sz w:val="24"/>
          <w:szCs w:val="24"/>
        </w:rPr>
        <w:t>5.1 卖方负责安排运输，运输费由卖方承担。</w:t>
      </w:r>
    </w:p>
    <w:p w14:paraId="11D370FE">
      <w:pPr>
        <w:spacing w:before="233" w:line="310" w:lineRule="auto"/>
        <w:ind w:firstLine="483"/>
        <w:rPr>
          <w:rFonts w:ascii="宋体" w:hAnsi="宋体" w:eastAsia="宋体" w:cs="宋体"/>
          <w:sz w:val="24"/>
          <w:szCs w:val="24"/>
        </w:rPr>
      </w:pPr>
      <w:r>
        <w:rPr>
          <w:rFonts w:ascii="宋体" w:hAnsi="宋体" w:eastAsia="宋体" w:cs="宋体"/>
          <w:spacing w:val="-3"/>
          <w:sz w:val="24"/>
          <w:szCs w:val="24"/>
        </w:rPr>
        <w:t>5.2 卖方装运的货物不应少于合同规定的数量或重量，否则，卖方</w:t>
      </w:r>
      <w:r>
        <w:rPr>
          <w:rFonts w:ascii="宋体" w:hAnsi="宋体" w:eastAsia="宋体" w:cs="宋体"/>
          <w:spacing w:val="-4"/>
          <w:sz w:val="24"/>
          <w:szCs w:val="24"/>
        </w:rPr>
        <w:t>应对短缺数量或</w:t>
      </w:r>
      <w:r>
        <w:rPr>
          <w:rFonts w:ascii="宋体" w:hAnsi="宋体" w:eastAsia="宋体" w:cs="宋体"/>
          <w:sz w:val="24"/>
          <w:szCs w:val="24"/>
        </w:rPr>
        <w:t xml:space="preserve"> </w:t>
      </w:r>
      <w:r>
        <w:rPr>
          <w:rFonts w:ascii="宋体" w:hAnsi="宋体" w:eastAsia="宋体" w:cs="宋体"/>
          <w:spacing w:val="-1"/>
          <w:sz w:val="24"/>
          <w:szCs w:val="24"/>
        </w:rPr>
        <w:t>重量而产生的一切后果负责。</w:t>
      </w:r>
    </w:p>
    <w:p w14:paraId="79D9033D">
      <w:pPr>
        <w:spacing w:before="235" w:line="219" w:lineRule="auto"/>
        <w:ind w:left="484"/>
        <w:rPr>
          <w:rFonts w:ascii="宋体" w:hAnsi="宋体" w:eastAsia="宋体" w:cs="宋体"/>
          <w:sz w:val="24"/>
          <w:szCs w:val="24"/>
        </w:rPr>
      </w:pPr>
      <w:r>
        <w:rPr>
          <w:rFonts w:ascii="宋体" w:hAnsi="宋体" w:eastAsia="宋体" w:cs="宋体"/>
          <w:spacing w:val="-8"/>
          <w:sz w:val="24"/>
          <w:szCs w:val="24"/>
        </w:rPr>
        <w:t>5.3 交货期：</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8"/>
          <w:sz w:val="24"/>
          <w:szCs w:val="24"/>
        </w:rPr>
        <w:t>年</w:t>
      </w:r>
      <w:r>
        <w:rPr>
          <w:rFonts w:ascii="宋体" w:hAnsi="宋体" w:eastAsia="宋体" w:cs="宋体"/>
          <w:spacing w:val="39"/>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8"/>
          <w:sz w:val="24"/>
          <w:szCs w:val="24"/>
        </w:rPr>
        <w:t>月</w:t>
      </w:r>
      <w:r>
        <w:rPr>
          <w:rFonts w:ascii="宋体" w:hAnsi="宋体" w:eastAsia="宋体" w:cs="宋体"/>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8"/>
          <w:sz w:val="24"/>
          <w:szCs w:val="24"/>
        </w:rPr>
        <w:t>日。</w:t>
      </w:r>
    </w:p>
    <w:p w14:paraId="7C107242">
      <w:pPr>
        <w:spacing w:before="233" w:line="219" w:lineRule="auto"/>
        <w:ind w:left="964"/>
        <w:rPr>
          <w:rFonts w:ascii="宋体" w:hAnsi="宋体" w:eastAsia="宋体" w:cs="宋体"/>
          <w:sz w:val="24"/>
          <w:szCs w:val="24"/>
        </w:rPr>
      </w:pPr>
      <w:r>
        <w:rPr>
          <w:rFonts w:ascii="宋体" w:hAnsi="宋体" w:eastAsia="宋体" w:cs="宋体"/>
          <w:sz w:val="24"/>
          <w:szCs w:val="24"/>
        </w:rPr>
        <w:t>交货地点：</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08162234">
      <w:pPr>
        <w:spacing w:before="237" w:line="219" w:lineRule="auto"/>
        <w:ind w:left="481"/>
        <w:rPr>
          <w:rFonts w:ascii="宋体" w:hAnsi="宋体" w:eastAsia="宋体" w:cs="宋体"/>
          <w:sz w:val="24"/>
          <w:szCs w:val="24"/>
        </w:rPr>
      </w:pPr>
      <w:r>
        <w:rPr>
          <w:rFonts w:ascii="宋体" w:hAnsi="宋体" w:eastAsia="宋体" w:cs="宋体"/>
          <w:b/>
          <w:bCs/>
          <w:spacing w:val="-3"/>
          <w:sz w:val="24"/>
          <w:szCs w:val="24"/>
        </w:rPr>
        <w:t>6.</w:t>
      </w:r>
      <w:r>
        <w:rPr>
          <w:rFonts w:ascii="宋体" w:hAnsi="宋体" w:eastAsia="宋体" w:cs="宋体"/>
          <w:spacing w:val="-3"/>
          <w:sz w:val="24"/>
          <w:szCs w:val="24"/>
        </w:rPr>
        <w:t xml:space="preserve"> </w:t>
      </w:r>
      <w:r>
        <w:rPr>
          <w:rFonts w:ascii="宋体" w:hAnsi="宋体" w:eastAsia="宋体" w:cs="宋体"/>
          <w:b/>
          <w:bCs/>
          <w:spacing w:val="-3"/>
          <w:sz w:val="24"/>
          <w:szCs w:val="24"/>
        </w:rPr>
        <w:t>合同款的支付</w:t>
      </w:r>
    </w:p>
    <w:p w14:paraId="788B6430">
      <w:pPr>
        <w:spacing w:before="236" w:line="384" w:lineRule="auto"/>
        <w:ind w:left="521" w:right="1214" w:hanging="40"/>
        <w:rPr>
          <w:rFonts w:ascii="宋体" w:hAnsi="宋体" w:eastAsia="宋体" w:cs="宋体"/>
          <w:sz w:val="24"/>
          <w:szCs w:val="24"/>
        </w:rPr>
      </w:pPr>
      <w:r>
        <w:rPr>
          <w:rFonts w:ascii="宋体" w:hAnsi="宋体" w:eastAsia="宋体" w:cs="宋体"/>
          <w:spacing w:val="-1"/>
          <w:sz w:val="24"/>
          <w:szCs w:val="24"/>
        </w:rPr>
        <w:t>6.1根据《招标文件》的要求和卖方承诺,本合同的总金额为</w:t>
      </w:r>
      <w:r>
        <w:rPr>
          <w:rFonts w:ascii="宋体" w:hAnsi="宋体" w:eastAsia="宋体" w:cs="宋体"/>
          <w:spacing w:val="-1"/>
          <w:sz w:val="24"/>
          <w:szCs w:val="24"/>
          <w:u w:val="single" w:color="auto"/>
        </w:rPr>
        <w:t xml:space="preserve">       </w:t>
      </w:r>
      <w:r>
        <w:rPr>
          <w:rFonts w:ascii="宋体" w:hAnsi="宋体" w:eastAsia="宋体" w:cs="宋体"/>
          <w:spacing w:val="-97"/>
          <w:sz w:val="24"/>
          <w:szCs w:val="24"/>
        </w:rPr>
        <w:t xml:space="preserve"> </w:t>
      </w:r>
      <w:r>
        <w:rPr>
          <w:rFonts w:ascii="宋体" w:hAnsi="宋体" w:eastAsia="宋体" w:cs="宋体"/>
          <w:spacing w:val="-1"/>
          <w:sz w:val="24"/>
          <w:szCs w:val="24"/>
        </w:rPr>
        <w:t>元</w:t>
      </w:r>
      <w:r>
        <w:rPr>
          <w:rFonts w:ascii="宋体" w:hAnsi="宋体" w:eastAsia="宋体" w:cs="宋体"/>
          <w:sz w:val="24"/>
          <w:szCs w:val="24"/>
        </w:rPr>
        <w:t xml:space="preserve"> </w:t>
      </w:r>
      <w:r>
        <w:rPr>
          <w:rFonts w:ascii="宋体" w:hAnsi="宋体" w:eastAsia="宋体" w:cs="宋体"/>
          <w:spacing w:val="-4"/>
          <w:sz w:val="24"/>
          <w:szCs w:val="24"/>
        </w:rPr>
        <w:t>(人民币大写：</w:t>
      </w:r>
      <w:r>
        <w:rPr>
          <w:rFonts w:ascii="宋体" w:hAnsi="宋体" w:eastAsia="宋体" w:cs="宋体"/>
          <w:spacing w:val="-4"/>
          <w:sz w:val="24"/>
          <w:szCs w:val="24"/>
          <w:u w:val="single" w:color="auto"/>
        </w:rPr>
        <w:t xml:space="preserve">        </w:t>
      </w:r>
      <w:r>
        <w:rPr>
          <w:rFonts w:ascii="宋体" w:hAnsi="宋体" w:eastAsia="宋体" w:cs="宋体"/>
          <w:spacing w:val="-97"/>
          <w:sz w:val="24"/>
          <w:szCs w:val="24"/>
        </w:rPr>
        <w:t xml:space="preserve"> </w:t>
      </w:r>
      <w:r>
        <w:rPr>
          <w:rFonts w:ascii="宋体" w:hAnsi="宋体" w:eastAsia="宋体" w:cs="宋体"/>
          <w:spacing w:val="-4"/>
          <w:sz w:val="24"/>
          <w:szCs w:val="24"/>
        </w:rPr>
        <w:t>元整),</w:t>
      </w:r>
    </w:p>
    <w:p w14:paraId="65A0B7FD">
      <w:pPr>
        <w:spacing w:before="40" w:line="219" w:lineRule="auto"/>
        <w:ind w:left="481"/>
        <w:rPr>
          <w:rFonts w:ascii="宋体" w:hAnsi="宋体" w:eastAsia="宋体" w:cs="宋体"/>
          <w:sz w:val="24"/>
          <w:szCs w:val="24"/>
        </w:rPr>
      </w:pPr>
      <w:r>
        <w:rPr>
          <w:rFonts w:ascii="宋体" w:hAnsi="宋体" w:eastAsia="宋体" w:cs="宋体"/>
          <w:sz w:val="24"/>
          <w:szCs w:val="24"/>
        </w:rPr>
        <w:t>6.2 卖方应按农时及时组织货物。货到后</w:t>
      </w:r>
      <w:r>
        <w:rPr>
          <w:rFonts w:ascii="宋体" w:hAnsi="宋体" w:eastAsia="宋体" w:cs="宋体"/>
          <w:spacing w:val="-1"/>
          <w:sz w:val="24"/>
          <w:szCs w:val="24"/>
        </w:rPr>
        <w:t>卖方应向买方提供下列单据，</w:t>
      </w:r>
    </w:p>
    <w:p w14:paraId="12BD360B">
      <w:pPr>
        <w:spacing w:before="236" w:line="309" w:lineRule="auto"/>
        <w:ind w:right="2" w:firstLine="491"/>
        <w:rPr>
          <w:rFonts w:ascii="宋体" w:hAnsi="宋体" w:eastAsia="宋体" w:cs="宋体"/>
          <w:sz w:val="24"/>
          <w:szCs w:val="24"/>
        </w:rPr>
      </w:pPr>
      <w:r>
        <w:rPr>
          <w:rFonts w:ascii="宋体" w:hAnsi="宋体" w:eastAsia="宋体" w:cs="宋体"/>
          <w:spacing w:val="2"/>
          <w:sz w:val="24"/>
          <w:szCs w:val="24"/>
        </w:rPr>
        <w:t>（1）运输凭证</w:t>
      </w:r>
      <w:r>
        <w:rPr>
          <w:rFonts w:ascii="宋体" w:hAnsi="宋体" w:eastAsia="宋体" w:cs="宋体"/>
          <w:spacing w:val="-16"/>
          <w:sz w:val="24"/>
          <w:szCs w:val="24"/>
        </w:rPr>
        <w:t>；（</w:t>
      </w:r>
      <w:r>
        <w:rPr>
          <w:rFonts w:ascii="宋体" w:hAnsi="宋体" w:eastAsia="宋体" w:cs="宋体"/>
          <w:spacing w:val="2"/>
          <w:sz w:val="24"/>
          <w:szCs w:val="24"/>
        </w:rPr>
        <w:t>2）发票</w:t>
      </w:r>
      <w:r>
        <w:rPr>
          <w:rFonts w:ascii="宋体" w:hAnsi="宋体" w:eastAsia="宋体" w:cs="宋体"/>
          <w:spacing w:val="-16"/>
          <w:sz w:val="24"/>
          <w:szCs w:val="24"/>
        </w:rPr>
        <w:t>；（</w:t>
      </w:r>
      <w:r>
        <w:rPr>
          <w:rFonts w:ascii="宋体" w:hAnsi="宋体" w:eastAsia="宋体" w:cs="宋体"/>
          <w:spacing w:val="2"/>
          <w:sz w:val="24"/>
          <w:szCs w:val="24"/>
        </w:rPr>
        <w:t>3）</w:t>
      </w:r>
      <w:r>
        <w:rPr>
          <w:rFonts w:ascii="宋体" w:hAnsi="宋体" w:eastAsia="宋体" w:cs="宋体"/>
          <w:spacing w:val="1"/>
          <w:sz w:val="24"/>
          <w:szCs w:val="24"/>
        </w:rPr>
        <w:t>质量检验证书和数</w:t>
      </w:r>
      <w:r>
        <w:rPr>
          <w:rFonts w:ascii="宋体" w:hAnsi="宋体" w:eastAsia="宋体" w:cs="宋体"/>
          <w:spacing w:val="3"/>
          <w:sz w:val="24"/>
          <w:szCs w:val="24"/>
        </w:rPr>
        <w:t>量证明书</w:t>
      </w:r>
      <w:r>
        <w:rPr>
          <w:rFonts w:ascii="宋体" w:hAnsi="宋体" w:eastAsia="宋体" w:cs="宋体"/>
          <w:spacing w:val="-15"/>
          <w:sz w:val="24"/>
          <w:szCs w:val="24"/>
        </w:rPr>
        <w:t>；（</w:t>
      </w:r>
      <w:r>
        <w:rPr>
          <w:rFonts w:ascii="宋体" w:hAnsi="宋体" w:eastAsia="宋体" w:cs="宋体"/>
          <w:spacing w:val="3"/>
          <w:sz w:val="24"/>
          <w:szCs w:val="24"/>
        </w:rPr>
        <w:t>4）装车单</w:t>
      </w:r>
      <w:r>
        <w:rPr>
          <w:rFonts w:ascii="宋体" w:hAnsi="宋体" w:eastAsia="宋体" w:cs="宋体"/>
          <w:spacing w:val="-15"/>
          <w:sz w:val="24"/>
          <w:szCs w:val="24"/>
        </w:rPr>
        <w:t>；（</w:t>
      </w:r>
      <w:r>
        <w:rPr>
          <w:rFonts w:ascii="宋体" w:hAnsi="宋体" w:eastAsia="宋体" w:cs="宋体"/>
          <w:spacing w:val="3"/>
          <w:sz w:val="24"/>
          <w:szCs w:val="24"/>
        </w:rPr>
        <w:t>5）验收证书。</w:t>
      </w:r>
    </w:p>
    <w:p w14:paraId="23EAC2C6">
      <w:pPr>
        <w:spacing w:before="236" w:line="309" w:lineRule="auto"/>
        <w:ind w:right="2" w:firstLine="491"/>
        <w:rPr>
          <w:rFonts w:ascii="宋体" w:hAnsi="宋体" w:eastAsia="宋体" w:cs="宋体"/>
          <w:sz w:val="24"/>
          <w:szCs w:val="24"/>
        </w:rPr>
      </w:pPr>
      <w:r>
        <w:rPr>
          <w:rFonts w:ascii="宋体" w:hAnsi="宋体" w:eastAsia="宋体" w:cs="宋体"/>
          <w:spacing w:val="2"/>
          <w:sz w:val="24"/>
          <w:szCs w:val="24"/>
        </w:rPr>
        <w:t xml:space="preserve">6.3 </w:t>
      </w:r>
      <w:r>
        <w:rPr>
          <w:rFonts w:hint="eastAsia" w:ascii="宋体" w:hAnsi="宋体" w:eastAsia="宋体" w:cs="宋体"/>
          <w:spacing w:val="2"/>
          <w:sz w:val="24"/>
          <w:szCs w:val="24"/>
          <w:lang w:val="en-US" w:eastAsia="zh-CN"/>
        </w:rPr>
        <w:t>涉及乡镇分期独立支付，共分3期：合同签订后7日内支付70%，硒肥发放完毕、订单签订完成支付20%，完成面积验收后支付10%。</w:t>
      </w:r>
    </w:p>
    <w:p w14:paraId="6354312C">
      <w:pPr>
        <w:spacing w:before="233" w:line="388" w:lineRule="auto"/>
        <w:ind w:left="480" w:right="614"/>
        <w:jc w:val="left"/>
        <w:rPr>
          <w:rFonts w:ascii="宋体" w:hAnsi="宋体" w:eastAsia="宋体" w:cs="宋体"/>
          <w:sz w:val="24"/>
          <w:szCs w:val="24"/>
        </w:rPr>
      </w:pPr>
      <w:r>
        <w:rPr>
          <w:rFonts w:ascii="宋体" w:hAnsi="宋体" w:eastAsia="宋体" w:cs="宋体"/>
          <w:sz w:val="24"/>
          <w:szCs w:val="24"/>
        </w:rPr>
        <w:t>6.4卖方单位名称：</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4"/>
          <w:sz w:val="24"/>
          <w:szCs w:val="24"/>
        </w:rPr>
        <w:t>开户银行：</w:t>
      </w:r>
      <w:r>
        <w:rPr>
          <w:rFonts w:ascii="宋体" w:hAnsi="宋体" w:eastAsia="宋体" w:cs="宋体"/>
          <w:spacing w:val="5"/>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10"/>
          <w:sz w:val="24"/>
          <w:szCs w:val="24"/>
        </w:rPr>
        <w:t xml:space="preserve">  </w:t>
      </w:r>
      <w:r>
        <w:rPr>
          <w:rFonts w:ascii="宋体" w:hAnsi="宋体" w:eastAsia="宋体" w:cs="宋体"/>
          <w:spacing w:val="-4"/>
          <w:sz w:val="24"/>
          <w:szCs w:val="24"/>
        </w:rPr>
        <w:t>帐号：</w:t>
      </w:r>
      <w:r>
        <w:rPr>
          <w:rFonts w:ascii="宋体" w:hAnsi="宋体" w:eastAsia="宋体" w:cs="宋体"/>
          <w:sz w:val="24"/>
          <w:szCs w:val="24"/>
          <w:u w:val="single" w:color="auto"/>
        </w:rPr>
        <w:t xml:space="preserve">                      </w:t>
      </w:r>
    </w:p>
    <w:p w14:paraId="49C7113B">
      <w:pPr>
        <w:spacing w:before="33" w:line="219" w:lineRule="auto"/>
        <w:ind w:left="485"/>
        <w:rPr>
          <w:rFonts w:ascii="宋体" w:hAnsi="宋体" w:eastAsia="宋体" w:cs="宋体"/>
          <w:sz w:val="24"/>
          <w:szCs w:val="24"/>
        </w:rPr>
      </w:pPr>
      <w:r>
        <w:rPr>
          <w:rFonts w:ascii="宋体" w:hAnsi="宋体" w:eastAsia="宋体" w:cs="宋体"/>
          <w:b/>
          <w:bCs/>
          <w:spacing w:val="-4"/>
          <w:sz w:val="24"/>
          <w:szCs w:val="24"/>
        </w:rPr>
        <w:t>7、货物质量保证</w:t>
      </w:r>
    </w:p>
    <w:p w14:paraId="3B6CA478">
      <w:pPr>
        <w:spacing w:before="234" w:line="388" w:lineRule="auto"/>
        <w:ind w:firstLine="484"/>
        <w:rPr>
          <w:rFonts w:ascii="宋体" w:hAnsi="宋体" w:eastAsia="宋体" w:cs="宋体"/>
          <w:sz w:val="24"/>
          <w:szCs w:val="24"/>
        </w:rPr>
      </w:pPr>
      <w:r>
        <w:rPr>
          <w:rFonts w:ascii="宋体" w:hAnsi="宋体" w:eastAsia="宋体" w:cs="宋体"/>
          <w:sz w:val="24"/>
          <w:szCs w:val="24"/>
        </w:rPr>
        <w:t>7.1卖方保证货物是全新、未使用过的，并完全符合合同规定的质量、规格和</w:t>
      </w:r>
      <w:r>
        <w:rPr>
          <w:rFonts w:ascii="宋体" w:hAnsi="宋体" w:eastAsia="宋体" w:cs="宋体"/>
          <w:spacing w:val="-1"/>
          <w:sz w:val="24"/>
          <w:szCs w:val="24"/>
        </w:rPr>
        <w:t>性能</w:t>
      </w:r>
      <w:r>
        <w:rPr>
          <w:rFonts w:ascii="宋体" w:hAnsi="宋体" w:eastAsia="宋体" w:cs="宋体"/>
          <w:sz w:val="24"/>
          <w:szCs w:val="24"/>
        </w:rPr>
        <w:t xml:space="preserve"> </w:t>
      </w:r>
      <w:r>
        <w:rPr>
          <w:rFonts w:ascii="宋体" w:hAnsi="宋体" w:eastAsia="宋体" w:cs="宋体"/>
          <w:spacing w:val="-2"/>
          <w:sz w:val="24"/>
          <w:szCs w:val="24"/>
        </w:rPr>
        <w:t>要求的正品。</w:t>
      </w:r>
    </w:p>
    <w:p w14:paraId="69295E9A">
      <w:pPr>
        <w:spacing w:before="33" w:line="219" w:lineRule="auto"/>
        <w:ind w:left="480"/>
        <w:rPr>
          <w:rFonts w:ascii="宋体" w:hAnsi="宋体" w:eastAsia="宋体" w:cs="宋体"/>
          <w:sz w:val="24"/>
          <w:szCs w:val="24"/>
        </w:rPr>
      </w:pPr>
      <w:r>
        <w:rPr>
          <w:rFonts w:ascii="宋体" w:hAnsi="宋体" w:eastAsia="宋体" w:cs="宋体"/>
          <w:b/>
          <w:bCs/>
          <w:spacing w:val="-5"/>
          <w:sz w:val="24"/>
          <w:szCs w:val="24"/>
        </w:rPr>
        <w:t>8、检验</w:t>
      </w:r>
    </w:p>
    <w:p w14:paraId="2EEFA0FC">
      <w:pPr>
        <w:spacing w:before="233" w:line="219" w:lineRule="auto"/>
        <w:jc w:val="right"/>
        <w:rPr>
          <w:rFonts w:ascii="宋体" w:hAnsi="宋体" w:eastAsia="宋体" w:cs="宋体"/>
          <w:sz w:val="24"/>
          <w:szCs w:val="24"/>
        </w:rPr>
      </w:pPr>
      <w:r>
        <w:rPr>
          <w:rFonts w:ascii="宋体" w:hAnsi="宋体" w:eastAsia="宋体" w:cs="宋体"/>
          <w:sz w:val="24"/>
          <w:szCs w:val="24"/>
        </w:rPr>
        <w:t>8.1在发货前，卖方对货物的质量、规格、性能、数量和重量等进行准确而全面的</w:t>
      </w:r>
    </w:p>
    <w:p w14:paraId="01E39677">
      <w:pPr>
        <w:spacing w:line="219" w:lineRule="auto"/>
        <w:rPr>
          <w:rFonts w:ascii="宋体" w:hAnsi="宋体" w:eastAsia="宋体" w:cs="宋体"/>
          <w:sz w:val="24"/>
          <w:szCs w:val="24"/>
        </w:rPr>
        <w:sectPr>
          <w:footerReference r:id="rId14" w:type="default"/>
          <w:pgSz w:w="11906" w:h="16839"/>
          <w:pgMar w:top="1330" w:right="1360" w:bottom="1156" w:left="1540" w:header="0" w:footer="994" w:gutter="0"/>
          <w:pgNumType w:fmt="decimal"/>
          <w:cols w:space="720" w:num="1"/>
        </w:sectPr>
      </w:pPr>
    </w:p>
    <w:p w14:paraId="39EA0492">
      <w:pPr>
        <w:spacing w:before="48" w:line="387" w:lineRule="auto"/>
        <w:ind w:right="47" w:firstLine="38"/>
        <w:rPr>
          <w:rFonts w:ascii="宋体" w:hAnsi="宋体" w:eastAsia="宋体" w:cs="宋体"/>
          <w:sz w:val="24"/>
          <w:szCs w:val="24"/>
        </w:rPr>
      </w:pPr>
      <w:r>
        <w:rPr>
          <w:rFonts w:ascii="宋体" w:hAnsi="宋体" w:eastAsia="宋体" w:cs="宋体"/>
          <w:spacing w:val="-4"/>
          <w:sz w:val="24"/>
          <w:szCs w:val="24"/>
        </w:rPr>
        <w:t>自我检验，并出具一份证明货物符合合同规定的自我检验报告。该报告作为卖</w:t>
      </w:r>
      <w:r>
        <w:rPr>
          <w:rFonts w:ascii="宋体" w:hAnsi="宋体" w:eastAsia="宋体" w:cs="宋体"/>
          <w:spacing w:val="-5"/>
          <w:sz w:val="24"/>
          <w:szCs w:val="24"/>
        </w:rPr>
        <w:t>方向买方</w:t>
      </w:r>
      <w:r>
        <w:rPr>
          <w:rFonts w:ascii="宋体" w:hAnsi="宋体" w:eastAsia="宋体" w:cs="宋体"/>
          <w:sz w:val="24"/>
          <w:szCs w:val="24"/>
        </w:rPr>
        <w:t xml:space="preserve"> </w:t>
      </w:r>
      <w:r>
        <w:rPr>
          <w:rFonts w:ascii="宋体" w:hAnsi="宋体" w:eastAsia="宋体" w:cs="宋体"/>
          <w:spacing w:val="-1"/>
          <w:sz w:val="24"/>
          <w:szCs w:val="24"/>
        </w:rPr>
        <w:t>要求付款时提交的付款单据之一。</w:t>
      </w:r>
    </w:p>
    <w:p w14:paraId="6E64AB26">
      <w:pPr>
        <w:spacing w:before="32" w:line="219" w:lineRule="auto"/>
        <w:ind w:left="480"/>
        <w:rPr>
          <w:rFonts w:ascii="宋体" w:hAnsi="宋体" w:eastAsia="宋体" w:cs="宋体"/>
          <w:sz w:val="24"/>
          <w:szCs w:val="24"/>
        </w:rPr>
      </w:pPr>
      <w:r>
        <w:rPr>
          <w:rFonts w:ascii="宋体" w:hAnsi="宋体" w:eastAsia="宋体" w:cs="宋体"/>
          <w:b/>
          <w:bCs/>
          <w:spacing w:val="-3"/>
          <w:sz w:val="24"/>
          <w:szCs w:val="24"/>
        </w:rPr>
        <w:t>9、项目完工时间及卖方责任</w:t>
      </w:r>
    </w:p>
    <w:p w14:paraId="34DA2CFE">
      <w:pPr>
        <w:spacing w:before="234" w:line="340" w:lineRule="auto"/>
        <w:ind w:right="47" w:firstLine="480"/>
        <w:rPr>
          <w:rFonts w:ascii="宋体" w:hAnsi="宋体" w:eastAsia="宋体" w:cs="宋体"/>
          <w:sz w:val="24"/>
          <w:szCs w:val="24"/>
        </w:rPr>
      </w:pPr>
      <w:r>
        <w:rPr>
          <w:rFonts w:ascii="宋体" w:hAnsi="宋体" w:eastAsia="宋体" w:cs="宋体"/>
          <w:spacing w:val="-6"/>
          <w:sz w:val="24"/>
          <w:szCs w:val="24"/>
        </w:rPr>
        <w:t>9.1 卖方承担的项目须严格按照其在报价函中确定的完工日期完工。其中：</w:t>
      </w:r>
      <w:r>
        <w:rPr>
          <w:rFonts w:ascii="宋体" w:hAnsi="宋体" w:eastAsia="宋体" w:cs="宋体"/>
          <w:spacing w:val="-6"/>
          <w:sz w:val="24"/>
          <w:szCs w:val="24"/>
          <w:u w:val="single" w:color="auto"/>
        </w:rPr>
        <w:t xml:space="preserve">    </w:t>
      </w:r>
      <w:r>
        <w:rPr>
          <w:rFonts w:ascii="宋体" w:hAnsi="宋体" w:eastAsia="宋体" w:cs="宋体"/>
          <w:spacing w:val="-7"/>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7"/>
          <w:sz w:val="24"/>
          <w:szCs w:val="24"/>
        </w:rPr>
        <w:t>年</w:t>
      </w:r>
      <w:r>
        <w:rPr>
          <w:rFonts w:ascii="宋体" w:hAnsi="宋体" w:eastAsia="宋体" w:cs="宋体"/>
          <w:sz w:val="24"/>
          <w:szCs w:val="24"/>
        </w:rPr>
        <w:t xml:space="preserve"> </w:t>
      </w:r>
      <w:r>
        <w:rPr>
          <w:rFonts w:ascii="宋体" w:hAnsi="宋体" w:eastAsia="宋体" w:cs="宋体"/>
          <w:spacing w:val="-1"/>
          <w:sz w:val="24"/>
          <w:szCs w:val="24"/>
        </w:rPr>
        <w:t>月</w:t>
      </w:r>
      <w:r>
        <w:rPr>
          <w:rFonts w:ascii="宋体" w:hAnsi="宋体" w:eastAsia="宋体" w:cs="宋体"/>
          <w:spacing w:val="-1"/>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
          <w:sz w:val="24"/>
          <w:szCs w:val="24"/>
        </w:rPr>
        <w:t>日前完成富硒肥发放及农户订单回收签订，并经规定</w:t>
      </w:r>
      <w:r>
        <w:rPr>
          <w:rFonts w:ascii="宋体" w:hAnsi="宋体" w:eastAsia="宋体" w:cs="宋体"/>
          <w:spacing w:val="-2"/>
          <w:sz w:val="24"/>
          <w:szCs w:val="24"/>
        </w:rPr>
        <w:t>的各方验收合格后交付买</w:t>
      </w:r>
      <w:r>
        <w:rPr>
          <w:rFonts w:ascii="宋体" w:hAnsi="宋体" w:eastAsia="宋体" w:cs="宋体"/>
          <w:sz w:val="24"/>
          <w:szCs w:val="24"/>
        </w:rPr>
        <w:t xml:space="preserve"> </w:t>
      </w:r>
      <w:r>
        <w:rPr>
          <w:rFonts w:ascii="宋体" w:hAnsi="宋体" w:eastAsia="宋体" w:cs="宋体"/>
          <w:spacing w:val="-4"/>
          <w:sz w:val="24"/>
          <w:szCs w:val="24"/>
        </w:rPr>
        <w:t>方；</w:t>
      </w:r>
      <w:r>
        <w:rPr>
          <w:rFonts w:ascii="宋体" w:hAnsi="宋体" w:eastAsia="宋体" w:cs="宋体"/>
          <w:spacing w:val="-4"/>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4"/>
          <w:sz w:val="24"/>
          <w:szCs w:val="24"/>
        </w:rPr>
        <w:t>月</w:t>
      </w:r>
      <w:r>
        <w:rPr>
          <w:rFonts w:ascii="宋体" w:hAnsi="宋体" w:eastAsia="宋体" w:cs="宋体"/>
          <w:spacing w:val="29"/>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4"/>
          <w:sz w:val="24"/>
          <w:szCs w:val="24"/>
        </w:rPr>
        <w:t>日前完成订单回收。</w:t>
      </w:r>
    </w:p>
    <w:p w14:paraId="67A7EE2B">
      <w:pPr>
        <w:spacing w:before="237" w:line="355" w:lineRule="auto"/>
        <w:ind w:firstLine="480"/>
        <w:rPr>
          <w:rFonts w:ascii="宋体" w:hAnsi="宋体" w:eastAsia="宋体" w:cs="宋体"/>
          <w:sz w:val="24"/>
          <w:szCs w:val="24"/>
        </w:rPr>
      </w:pPr>
      <w:r>
        <w:rPr>
          <w:rFonts w:ascii="宋体" w:hAnsi="宋体" w:eastAsia="宋体" w:cs="宋体"/>
          <w:spacing w:val="-3"/>
          <w:sz w:val="24"/>
          <w:szCs w:val="24"/>
        </w:rPr>
        <w:t>9.2 卖方在履行合同过程中，如果遇到不能按时交货和提供服务的情况，应</w:t>
      </w:r>
      <w:r>
        <w:rPr>
          <w:rFonts w:ascii="宋体" w:hAnsi="宋体" w:eastAsia="宋体" w:cs="宋体"/>
          <w:spacing w:val="-4"/>
          <w:sz w:val="24"/>
          <w:szCs w:val="24"/>
        </w:rPr>
        <w:t>及时以</w:t>
      </w:r>
      <w:r>
        <w:rPr>
          <w:rFonts w:ascii="宋体" w:hAnsi="宋体" w:eastAsia="宋体" w:cs="宋体"/>
          <w:sz w:val="24"/>
          <w:szCs w:val="24"/>
        </w:rPr>
        <w:t xml:space="preserve"> </w:t>
      </w:r>
      <w:r>
        <w:rPr>
          <w:rFonts w:ascii="宋体" w:hAnsi="宋体" w:eastAsia="宋体" w:cs="宋体"/>
          <w:spacing w:val="-2"/>
          <w:sz w:val="24"/>
          <w:szCs w:val="24"/>
        </w:rPr>
        <w:t>书面形式将不能按期履行合同的理由、延误的时间通知买方。买方在收到卖方通知后，</w:t>
      </w:r>
      <w:r>
        <w:rPr>
          <w:rFonts w:ascii="宋体" w:hAnsi="宋体" w:eastAsia="宋体" w:cs="宋体"/>
          <w:spacing w:val="7"/>
          <w:sz w:val="24"/>
          <w:szCs w:val="24"/>
        </w:rPr>
        <w:t xml:space="preserve"> </w:t>
      </w:r>
      <w:r>
        <w:rPr>
          <w:rFonts w:ascii="宋体" w:hAnsi="宋体" w:eastAsia="宋体" w:cs="宋体"/>
          <w:spacing w:val="-3"/>
          <w:sz w:val="24"/>
          <w:szCs w:val="24"/>
        </w:rPr>
        <w:t>应对情况进行分析、研究，以决定是否修改合同、酌情延长合同的履行时间，或终</w:t>
      </w:r>
      <w:r>
        <w:rPr>
          <w:rFonts w:ascii="宋体" w:hAnsi="宋体" w:eastAsia="宋体" w:cs="宋体"/>
          <w:spacing w:val="-4"/>
          <w:sz w:val="24"/>
          <w:szCs w:val="24"/>
        </w:rPr>
        <w:t>止合</w:t>
      </w:r>
      <w:r>
        <w:rPr>
          <w:rFonts w:ascii="宋体" w:hAnsi="宋体" w:eastAsia="宋体" w:cs="宋体"/>
          <w:sz w:val="24"/>
          <w:szCs w:val="24"/>
        </w:rPr>
        <w:t xml:space="preserve"> </w:t>
      </w:r>
      <w:r>
        <w:rPr>
          <w:rFonts w:ascii="宋体" w:hAnsi="宋体" w:eastAsia="宋体" w:cs="宋体"/>
          <w:spacing w:val="-5"/>
          <w:sz w:val="24"/>
          <w:szCs w:val="24"/>
        </w:rPr>
        <w:t>同。</w:t>
      </w:r>
    </w:p>
    <w:p w14:paraId="63F6B286">
      <w:pPr>
        <w:spacing w:before="232" w:line="219" w:lineRule="auto"/>
        <w:ind w:left="480"/>
        <w:rPr>
          <w:rFonts w:ascii="宋体" w:hAnsi="宋体" w:eastAsia="宋体" w:cs="宋体"/>
          <w:sz w:val="24"/>
          <w:szCs w:val="24"/>
        </w:rPr>
      </w:pPr>
      <w:r>
        <w:rPr>
          <w:rFonts w:ascii="宋体" w:hAnsi="宋体" w:eastAsia="宋体" w:cs="宋体"/>
          <w:spacing w:val="-1"/>
          <w:sz w:val="24"/>
          <w:szCs w:val="24"/>
        </w:rPr>
        <w:t>9.3 本项目按照不超过合同金额</w:t>
      </w:r>
      <w:r>
        <w:rPr>
          <w:rFonts w:hint="eastAsia" w:ascii="宋体" w:hAnsi="宋体" w:cs="宋体"/>
          <w:spacing w:val="-1"/>
          <w:sz w:val="24"/>
          <w:szCs w:val="24"/>
          <w:lang w:val="en-US" w:eastAsia="zh-CN"/>
        </w:rPr>
        <w:t>5</w:t>
      </w:r>
      <w:r>
        <w:rPr>
          <w:rFonts w:ascii="宋体" w:hAnsi="宋体" w:eastAsia="宋体" w:cs="宋体"/>
          <w:spacing w:val="-1"/>
          <w:sz w:val="24"/>
          <w:szCs w:val="24"/>
        </w:rPr>
        <w:t>%收取履约保证金</w:t>
      </w:r>
      <w:r>
        <w:rPr>
          <w:rFonts w:ascii="宋体" w:hAnsi="宋体" w:eastAsia="宋体" w:cs="宋体"/>
          <w:spacing w:val="-1"/>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1"/>
          <w:sz w:val="24"/>
          <w:szCs w:val="24"/>
        </w:rPr>
        <w:t>元。</w:t>
      </w:r>
    </w:p>
    <w:p w14:paraId="24D30668">
      <w:pPr>
        <w:spacing w:before="234" w:line="220" w:lineRule="auto"/>
        <w:ind w:left="497"/>
        <w:rPr>
          <w:rFonts w:ascii="宋体" w:hAnsi="宋体" w:eastAsia="宋体" w:cs="宋体"/>
          <w:sz w:val="24"/>
          <w:szCs w:val="24"/>
        </w:rPr>
      </w:pPr>
      <w:r>
        <w:rPr>
          <w:rFonts w:ascii="宋体" w:hAnsi="宋体" w:eastAsia="宋体" w:cs="宋体"/>
          <w:b/>
          <w:bCs/>
          <w:spacing w:val="-8"/>
          <w:sz w:val="24"/>
          <w:szCs w:val="24"/>
        </w:rPr>
        <w:t>10、税费</w:t>
      </w:r>
    </w:p>
    <w:p w14:paraId="563ABCE6">
      <w:pPr>
        <w:spacing w:before="235" w:line="218" w:lineRule="auto"/>
        <w:ind w:left="497"/>
        <w:rPr>
          <w:rFonts w:ascii="宋体" w:hAnsi="宋体" w:eastAsia="宋体" w:cs="宋体"/>
          <w:sz w:val="24"/>
          <w:szCs w:val="24"/>
        </w:rPr>
      </w:pPr>
      <w:r>
        <w:rPr>
          <w:rFonts w:ascii="宋体" w:hAnsi="宋体" w:eastAsia="宋体" w:cs="宋体"/>
          <w:spacing w:val="-1"/>
          <w:sz w:val="24"/>
          <w:szCs w:val="24"/>
        </w:rPr>
        <w:t>10.1 卖方的价格中包含国家规定应交</w:t>
      </w:r>
      <w:r>
        <w:rPr>
          <w:rFonts w:ascii="宋体" w:hAnsi="宋体" w:eastAsia="宋体" w:cs="宋体"/>
          <w:spacing w:val="-2"/>
          <w:sz w:val="24"/>
          <w:szCs w:val="24"/>
        </w:rPr>
        <w:t>纳的税费。</w:t>
      </w:r>
    </w:p>
    <w:p w14:paraId="2ADA9939">
      <w:pPr>
        <w:spacing w:before="238" w:line="219" w:lineRule="auto"/>
        <w:ind w:left="497"/>
        <w:rPr>
          <w:rFonts w:ascii="宋体" w:hAnsi="宋体" w:eastAsia="宋体" w:cs="宋体"/>
          <w:sz w:val="24"/>
          <w:szCs w:val="24"/>
        </w:rPr>
      </w:pPr>
      <w:r>
        <w:rPr>
          <w:rFonts w:ascii="宋体" w:hAnsi="宋体" w:eastAsia="宋体" w:cs="宋体"/>
          <w:b/>
          <w:bCs/>
          <w:spacing w:val="-6"/>
          <w:sz w:val="24"/>
          <w:szCs w:val="24"/>
        </w:rPr>
        <w:t>11、买方责任</w:t>
      </w:r>
    </w:p>
    <w:p w14:paraId="4856EE71">
      <w:pPr>
        <w:spacing w:before="232" w:line="392" w:lineRule="auto"/>
        <w:ind w:right="47" w:firstLine="496"/>
        <w:jc w:val="both"/>
        <w:rPr>
          <w:rFonts w:ascii="宋体" w:hAnsi="宋体" w:eastAsia="宋体" w:cs="宋体"/>
          <w:sz w:val="24"/>
          <w:szCs w:val="24"/>
        </w:rPr>
      </w:pPr>
      <w:r>
        <w:rPr>
          <w:rFonts w:ascii="宋体" w:hAnsi="宋体" w:eastAsia="宋体" w:cs="宋体"/>
          <w:sz w:val="24"/>
          <w:szCs w:val="24"/>
        </w:rPr>
        <w:t>11.1 在合同实施期间，买方应指派专人配合卖方</w:t>
      </w:r>
      <w:r>
        <w:rPr>
          <w:rFonts w:ascii="宋体" w:hAnsi="宋体" w:eastAsia="宋体" w:cs="宋体"/>
          <w:spacing w:val="-1"/>
          <w:sz w:val="24"/>
          <w:szCs w:val="24"/>
        </w:rPr>
        <w:t>工作，并为卖方履行合同提供必</w:t>
      </w:r>
      <w:r>
        <w:rPr>
          <w:rFonts w:ascii="宋体" w:hAnsi="宋体" w:eastAsia="宋体" w:cs="宋体"/>
          <w:sz w:val="24"/>
          <w:szCs w:val="24"/>
        </w:rPr>
        <w:t xml:space="preserve"> </w:t>
      </w:r>
      <w:r>
        <w:rPr>
          <w:rFonts w:ascii="宋体" w:hAnsi="宋体" w:eastAsia="宋体" w:cs="宋体"/>
          <w:spacing w:val="-3"/>
          <w:sz w:val="24"/>
          <w:szCs w:val="24"/>
        </w:rPr>
        <w:t>要的场地、资料、人员上的帮助。如因买方的原因致使合同无法如期履行，买方</w:t>
      </w:r>
      <w:r>
        <w:rPr>
          <w:rFonts w:ascii="宋体" w:hAnsi="宋体" w:eastAsia="宋体" w:cs="宋体"/>
          <w:spacing w:val="-4"/>
          <w:sz w:val="24"/>
          <w:szCs w:val="24"/>
        </w:rPr>
        <w:t>须对因</w:t>
      </w:r>
      <w:r>
        <w:rPr>
          <w:rFonts w:ascii="宋体" w:hAnsi="宋体" w:eastAsia="宋体" w:cs="宋体"/>
          <w:sz w:val="24"/>
          <w:szCs w:val="24"/>
        </w:rPr>
        <w:t xml:space="preserve"> 此造成的后果负责；给卖方造成损失的，卖</w:t>
      </w:r>
      <w:r>
        <w:rPr>
          <w:rFonts w:ascii="宋体" w:hAnsi="宋体" w:eastAsia="宋体" w:cs="宋体"/>
          <w:spacing w:val="-1"/>
          <w:sz w:val="24"/>
          <w:szCs w:val="24"/>
        </w:rPr>
        <w:t>方有权要求从买方获得赔偿</w:t>
      </w:r>
    </w:p>
    <w:p w14:paraId="41F976F9">
      <w:pPr>
        <w:spacing w:before="33" w:line="387" w:lineRule="auto"/>
        <w:ind w:left="19" w:right="47" w:firstLine="478"/>
        <w:jc w:val="both"/>
        <w:rPr>
          <w:rFonts w:ascii="宋体" w:hAnsi="宋体" w:eastAsia="宋体" w:cs="宋体"/>
          <w:sz w:val="24"/>
          <w:szCs w:val="24"/>
        </w:rPr>
      </w:pPr>
      <w:r>
        <w:rPr>
          <w:rFonts w:ascii="宋体" w:hAnsi="宋体" w:eastAsia="宋体" w:cs="宋体"/>
          <w:spacing w:val="-4"/>
          <w:sz w:val="24"/>
          <w:szCs w:val="24"/>
        </w:rPr>
        <w:t>11.2买方不得强迫卖方接受合同以外的无理要求。在此情况下，卖方可以拒绝买方</w:t>
      </w:r>
      <w:r>
        <w:rPr>
          <w:rFonts w:ascii="宋体" w:hAnsi="宋体" w:eastAsia="宋体" w:cs="宋体"/>
          <w:spacing w:val="18"/>
          <w:sz w:val="24"/>
          <w:szCs w:val="24"/>
        </w:rPr>
        <w:t xml:space="preserve"> </w:t>
      </w:r>
      <w:r>
        <w:rPr>
          <w:rFonts w:ascii="宋体" w:hAnsi="宋体" w:eastAsia="宋体" w:cs="宋体"/>
          <w:spacing w:val="-3"/>
          <w:sz w:val="24"/>
          <w:szCs w:val="24"/>
        </w:rPr>
        <w:t>的此类要求而不被视为违约。</w:t>
      </w:r>
    </w:p>
    <w:p w14:paraId="5CDA83F1">
      <w:pPr>
        <w:spacing w:before="33" w:line="340" w:lineRule="auto"/>
        <w:ind w:right="47" w:firstLine="497"/>
        <w:rPr>
          <w:rFonts w:ascii="宋体" w:hAnsi="宋体" w:eastAsia="宋体" w:cs="宋体"/>
          <w:sz w:val="24"/>
          <w:szCs w:val="24"/>
        </w:rPr>
      </w:pPr>
      <w:r>
        <w:rPr>
          <w:rFonts w:ascii="宋体" w:hAnsi="宋体" w:eastAsia="宋体" w:cs="宋体"/>
          <w:sz w:val="24"/>
          <w:szCs w:val="24"/>
        </w:rPr>
        <w:t>11.3 在合同实施期间，买卖双方可在交易中心的</w:t>
      </w:r>
      <w:r>
        <w:rPr>
          <w:rFonts w:ascii="宋体" w:hAnsi="宋体" w:eastAsia="宋体" w:cs="宋体"/>
          <w:spacing w:val="-1"/>
          <w:sz w:val="24"/>
          <w:szCs w:val="24"/>
        </w:rPr>
        <w:t>参与下就合同的未尽事宜签订补</w:t>
      </w:r>
      <w:r>
        <w:rPr>
          <w:rFonts w:ascii="宋体" w:hAnsi="宋体" w:eastAsia="宋体" w:cs="宋体"/>
          <w:sz w:val="24"/>
          <w:szCs w:val="24"/>
        </w:rPr>
        <w:t xml:space="preserve"> </w:t>
      </w:r>
      <w:r>
        <w:rPr>
          <w:rFonts w:ascii="宋体" w:hAnsi="宋体" w:eastAsia="宋体" w:cs="宋体"/>
          <w:spacing w:val="-3"/>
          <w:sz w:val="24"/>
          <w:szCs w:val="24"/>
        </w:rPr>
        <w:t>充协议，但不得签订背离原合同实质内容的协议；合同履行期间的重大问题，买卖</w:t>
      </w:r>
      <w:r>
        <w:rPr>
          <w:rFonts w:ascii="宋体" w:hAnsi="宋体" w:eastAsia="宋体" w:cs="宋体"/>
          <w:spacing w:val="-4"/>
          <w:sz w:val="24"/>
          <w:szCs w:val="24"/>
        </w:rPr>
        <w:t>双方</w:t>
      </w:r>
      <w:r>
        <w:rPr>
          <w:rFonts w:ascii="宋体" w:hAnsi="宋体" w:eastAsia="宋体" w:cs="宋体"/>
          <w:sz w:val="24"/>
          <w:szCs w:val="24"/>
        </w:rPr>
        <w:t xml:space="preserve"> </w:t>
      </w:r>
      <w:r>
        <w:rPr>
          <w:rFonts w:ascii="宋体" w:hAnsi="宋体" w:eastAsia="宋体" w:cs="宋体"/>
          <w:spacing w:val="-1"/>
          <w:sz w:val="24"/>
          <w:szCs w:val="24"/>
        </w:rPr>
        <w:t>应及时向交易中心通报。</w:t>
      </w:r>
    </w:p>
    <w:p w14:paraId="0414C394">
      <w:pPr>
        <w:spacing w:before="234" w:line="340" w:lineRule="auto"/>
        <w:ind w:right="47" w:firstLine="497"/>
        <w:rPr>
          <w:rFonts w:ascii="宋体" w:hAnsi="宋体" w:eastAsia="宋体" w:cs="宋体"/>
          <w:sz w:val="24"/>
          <w:szCs w:val="24"/>
        </w:rPr>
      </w:pPr>
      <w:r>
        <w:rPr>
          <w:rFonts w:ascii="宋体" w:hAnsi="宋体" w:eastAsia="宋体" w:cs="宋体"/>
          <w:sz w:val="24"/>
          <w:szCs w:val="24"/>
        </w:rPr>
        <w:t>11.4 在由买方直接支付货款的情况下，当卖方忠</w:t>
      </w:r>
      <w:r>
        <w:rPr>
          <w:rFonts w:ascii="宋体" w:hAnsi="宋体" w:eastAsia="宋体" w:cs="宋体"/>
          <w:spacing w:val="-1"/>
          <w:sz w:val="24"/>
          <w:szCs w:val="24"/>
        </w:rPr>
        <w:t>实地履行了合同，向买方提交了</w:t>
      </w:r>
      <w:r>
        <w:rPr>
          <w:rFonts w:ascii="宋体" w:hAnsi="宋体" w:eastAsia="宋体" w:cs="宋体"/>
          <w:sz w:val="24"/>
          <w:szCs w:val="24"/>
        </w:rPr>
        <w:t xml:space="preserve"> </w:t>
      </w:r>
      <w:r>
        <w:rPr>
          <w:rFonts w:ascii="宋体" w:hAnsi="宋体" w:eastAsia="宋体" w:cs="宋体"/>
          <w:spacing w:val="-3"/>
          <w:sz w:val="24"/>
          <w:szCs w:val="24"/>
        </w:rPr>
        <w:t>付款所必须的凭证和相关文件并经买方审查合格后，买方应按合同条款前附表中规</w:t>
      </w:r>
      <w:r>
        <w:rPr>
          <w:rFonts w:ascii="宋体" w:hAnsi="宋体" w:eastAsia="宋体" w:cs="宋体"/>
          <w:spacing w:val="-4"/>
          <w:sz w:val="24"/>
          <w:szCs w:val="24"/>
        </w:rPr>
        <w:t>定的</w:t>
      </w:r>
      <w:r>
        <w:rPr>
          <w:rFonts w:ascii="宋体" w:hAnsi="宋体" w:eastAsia="宋体" w:cs="宋体"/>
          <w:sz w:val="24"/>
          <w:szCs w:val="24"/>
        </w:rPr>
        <w:t xml:space="preserve"> </w:t>
      </w:r>
      <w:r>
        <w:rPr>
          <w:rFonts w:ascii="宋体" w:hAnsi="宋体" w:eastAsia="宋体" w:cs="宋体"/>
          <w:spacing w:val="-1"/>
          <w:sz w:val="24"/>
          <w:szCs w:val="24"/>
        </w:rPr>
        <w:t>条件付款，不得无故拖延。</w:t>
      </w:r>
    </w:p>
    <w:p w14:paraId="7C0D710B">
      <w:pPr>
        <w:spacing w:before="236" w:line="219" w:lineRule="auto"/>
        <w:ind w:left="497"/>
        <w:rPr>
          <w:rFonts w:ascii="宋体" w:hAnsi="宋体" w:eastAsia="宋体" w:cs="宋体"/>
          <w:sz w:val="24"/>
          <w:szCs w:val="24"/>
        </w:rPr>
      </w:pPr>
      <w:r>
        <w:rPr>
          <w:rFonts w:ascii="宋体" w:hAnsi="宋体" w:eastAsia="宋体" w:cs="宋体"/>
          <w:b/>
          <w:bCs/>
          <w:spacing w:val="-5"/>
          <w:sz w:val="24"/>
          <w:szCs w:val="24"/>
        </w:rPr>
        <w:t>12、交易中心的责任</w:t>
      </w:r>
    </w:p>
    <w:p w14:paraId="349AD928">
      <w:pPr>
        <w:spacing w:before="234" w:line="219" w:lineRule="auto"/>
        <w:ind w:left="497"/>
        <w:rPr>
          <w:rFonts w:ascii="宋体" w:hAnsi="宋体" w:eastAsia="宋体" w:cs="宋体"/>
          <w:sz w:val="24"/>
          <w:szCs w:val="24"/>
        </w:rPr>
      </w:pPr>
      <w:r>
        <w:rPr>
          <w:rFonts w:ascii="宋体" w:hAnsi="宋体" w:eastAsia="宋体" w:cs="宋体"/>
          <w:sz w:val="24"/>
          <w:szCs w:val="24"/>
        </w:rPr>
        <w:t>12.1 在整个合同履行期间，交易中心应严格按公</w:t>
      </w:r>
      <w:r>
        <w:rPr>
          <w:rFonts w:ascii="宋体" w:hAnsi="宋体" w:eastAsia="宋体" w:cs="宋体"/>
          <w:spacing w:val="-1"/>
          <w:sz w:val="24"/>
          <w:szCs w:val="24"/>
        </w:rPr>
        <w:t>平、公正的原则，维护买卖双方</w:t>
      </w:r>
    </w:p>
    <w:p w14:paraId="4941D651">
      <w:pPr>
        <w:spacing w:line="219" w:lineRule="auto"/>
        <w:rPr>
          <w:rFonts w:ascii="宋体" w:hAnsi="宋体" w:eastAsia="宋体" w:cs="宋体"/>
          <w:sz w:val="24"/>
          <w:szCs w:val="24"/>
        </w:rPr>
        <w:sectPr>
          <w:footerReference r:id="rId15" w:type="default"/>
          <w:pgSz w:w="11906" w:h="16839"/>
          <w:pgMar w:top="1330" w:right="1313" w:bottom="1156" w:left="1540" w:header="0" w:footer="994" w:gutter="0"/>
          <w:pgNumType w:fmt="decimal"/>
          <w:cols w:space="720" w:num="1"/>
        </w:sectPr>
      </w:pPr>
    </w:p>
    <w:p w14:paraId="29041FFE">
      <w:pPr>
        <w:spacing w:before="48" w:line="219" w:lineRule="auto"/>
        <w:ind w:left="18"/>
        <w:rPr>
          <w:rFonts w:ascii="宋体" w:hAnsi="宋体" w:eastAsia="宋体" w:cs="宋体"/>
          <w:sz w:val="24"/>
          <w:szCs w:val="24"/>
        </w:rPr>
      </w:pPr>
      <w:r>
        <w:rPr>
          <w:rFonts w:ascii="宋体" w:hAnsi="宋体" w:eastAsia="宋体" w:cs="宋体"/>
          <w:spacing w:val="-5"/>
          <w:sz w:val="24"/>
          <w:szCs w:val="24"/>
        </w:rPr>
        <w:t>的合法权益。</w:t>
      </w:r>
    </w:p>
    <w:p w14:paraId="08ED408B">
      <w:pPr>
        <w:spacing w:before="235" w:line="391" w:lineRule="auto"/>
        <w:ind w:firstLine="496"/>
        <w:rPr>
          <w:rFonts w:ascii="宋体" w:hAnsi="宋体" w:eastAsia="宋体" w:cs="宋体"/>
          <w:sz w:val="24"/>
          <w:szCs w:val="24"/>
        </w:rPr>
      </w:pPr>
      <w:r>
        <w:rPr>
          <w:rFonts w:ascii="宋体" w:hAnsi="宋体" w:eastAsia="宋体" w:cs="宋体"/>
          <w:sz w:val="24"/>
          <w:szCs w:val="24"/>
        </w:rPr>
        <w:t>12.2 在由交易中心直接支付货款的情况下，当卖</w:t>
      </w:r>
      <w:r>
        <w:rPr>
          <w:rFonts w:ascii="宋体" w:hAnsi="宋体" w:eastAsia="宋体" w:cs="宋体"/>
          <w:spacing w:val="-1"/>
          <w:sz w:val="24"/>
          <w:szCs w:val="24"/>
        </w:rPr>
        <w:t>方忠实地履行了合同，并向买方</w:t>
      </w:r>
      <w:r>
        <w:rPr>
          <w:rFonts w:ascii="宋体" w:hAnsi="宋体" w:eastAsia="宋体" w:cs="宋体"/>
          <w:sz w:val="24"/>
          <w:szCs w:val="24"/>
        </w:rPr>
        <w:t xml:space="preserve"> </w:t>
      </w:r>
      <w:r>
        <w:rPr>
          <w:rFonts w:ascii="宋体" w:hAnsi="宋体" w:eastAsia="宋体" w:cs="宋体"/>
          <w:spacing w:val="-1"/>
          <w:sz w:val="24"/>
          <w:szCs w:val="24"/>
        </w:rPr>
        <w:t>提交了付款所必须的凭证和相关文件后,应按“合同条款前附表</w:t>
      </w:r>
      <w:r>
        <w:rPr>
          <w:rFonts w:ascii="宋体" w:hAnsi="宋体" w:eastAsia="宋体" w:cs="宋体"/>
          <w:spacing w:val="-79"/>
          <w:sz w:val="24"/>
          <w:szCs w:val="24"/>
        </w:rPr>
        <w:t xml:space="preserve"> </w:t>
      </w:r>
      <w:r>
        <w:rPr>
          <w:rFonts w:ascii="宋体" w:hAnsi="宋体" w:eastAsia="宋体" w:cs="宋体"/>
          <w:spacing w:val="-1"/>
          <w:sz w:val="24"/>
          <w:szCs w:val="24"/>
        </w:rPr>
        <w:t>”中规定的条件付款，</w:t>
      </w:r>
      <w:r>
        <w:rPr>
          <w:rFonts w:ascii="宋体" w:hAnsi="宋体" w:eastAsia="宋体" w:cs="宋体"/>
          <w:sz w:val="24"/>
          <w:szCs w:val="24"/>
        </w:rPr>
        <w:t xml:space="preserve"> </w:t>
      </w:r>
      <w:r>
        <w:rPr>
          <w:rFonts w:ascii="宋体" w:hAnsi="宋体" w:eastAsia="宋体" w:cs="宋体"/>
          <w:spacing w:val="-3"/>
          <w:sz w:val="24"/>
          <w:szCs w:val="24"/>
        </w:rPr>
        <w:t>不得拖延。</w:t>
      </w:r>
    </w:p>
    <w:p w14:paraId="7D3D1E04">
      <w:pPr>
        <w:spacing w:before="36" w:line="219" w:lineRule="auto"/>
        <w:ind w:left="496"/>
        <w:rPr>
          <w:rFonts w:ascii="宋体" w:hAnsi="宋体" w:eastAsia="宋体" w:cs="宋体"/>
          <w:sz w:val="24"/>
          <w:szCs w:val="24"/>
        </w:rPr>
      </w:pPr>
      <w:r>
        <w:rPr>
          <w:rFonts w:ascii="宋体" w:hAnsi="宋体" w:eastAsia="宋体" w:cs="宋体"/>
          <w:b/>
          <w:bCs/>
          <w:spacing w:val="-8"/>
          <w:sz w:val="24"/>
          <w:szCs w:val="24"/>
        </w:rPr>
        <w:t>13、仲裁</w:t>
      </w:r>
    </w:p>
    <w:p w14:paraId="31B5E87A">
      <w:pPr>
        <w:spacing w:before="232" w:line="392" w:lineRule="auto"/>
        <w:ind w:left="1" w:firstLine="494"/>
        <w:jc w:val="both"/>
        <w:rPr>
          <w:rFonts w:ascii="宋体" w:hAnsi="宋体" w:eastAsia="宋体" w:cs="宋体"/>
          <w:sz w:val="24"/>
          <w:szCs w:val="24"/>
        </w:rPr>
      </w:pPr>
      <w:r>
        <w:rPr>
          <w:rFonts w:ascii="宋体" w:hAnsi="宋体" w:eastAsia="宋体" w:cs="宋体"/>
          <w:sz w:val="24"/>
          <w:szCs w:val="24"/>
        </w:rPr>
        <w:t>13.1 在本合同执行中所发生的一切争端，买卖双</w:t>
      </w:r>
      <w:r>
        <w:rPr>
          <w:rFonts w:ascii="宋体" w:hAnsi="宋体" w:eastAsia="宋体" w:cs="宋体"/>
          <w:spacing w:val="-1"/>
          <w:sz w:val="24"/>
          <w:szCs w:val="24"/>
        </w:rPr>
        <w:t>方应通过友好协商的办法加以解</w:t>
      </w:r>
      <w:r>
        <w:rPr>
          <w:rFonts w:ascii="宋体" w:hAnsi="宋体" w:eastAsia="宋体" w:cs="宋体"/>
          <w:sz w:val="24"/>
          <w:szCs w:val="24"/>
        </w:rPr>
        <w:t xml:space="preserve"> </w:t>
      </w:r>
      <w:r>
        <w:rPr>
          <w:rFonts w:ascii="宋体" w:hAnsi="宋体" w:eastAsia="宋体" w:cs="宋体"/>
          <w:spacing w:val="-3"/>
          <w:sz w:val="24"/>
          <w:szCs w:val="24"/>
        </w:rPr>
        <w:t>决。如从协商开始的30天内仍得不到解决，双方应将争端提交有关省、市招标采购</w:t>
      </w:r>
      <w:r>
        <w:rPr>
          <w:rFonts w:ascii="宋体" w:hAnsi="宋体" w:eastAsia="宋体" w:cs="宋体"/>
          <w:spacing w:val="-4"/>
          <w:sz w:val="24"/>
          <w:szCs w:val="24"/>
        </w:rPr>
        <w:t>主管</w:t>
      </w:r>
      <w:r>
        <w:rPr>
          <w:rFonts w:ascii="宋体" w:hAnsi="宋体" w:eastAsia="宋体" w:cs="宋体"/>
          <w:sz w:val="24"/>
          <w:szCs w:val="24"/>
        </w:rPr>
        <w:t xml:space="preserve"> </w:t>
      </w:r>
      <w:r>
        <w:rPr>
          <w:rFonts w:ascii="宋体" w:hAnsi="宋体" w:eastAsia="宋体" w:cs="宋体"/>
          <w:spacing w:val="-1"/>
          <w:sz w:val="24"/>
          <w:szCs w:val="24"/>
        </w:rPr>
        <w:t>部门寻求解决的办法。如仍得不到解决，则应申请仲裁。</w:t>
      </w:r>
    </w:p>
    <w:p w14:paraId="3E6C5D2C">
      <w:pPr>
        <w:spacing w:before="33" w:line="387" w:lineRule="auto"/>
        <w:ind w:left="30" w:firstLine="466"/>
        <w:rPr>
          <w:rFonts w:ascii="宋体" w:hAnsi="宋体" w:eastAsia="宋体" w:cs="宋体"/>
          <w:sz w:val="24"/>
          <w:szCs w:val="24"/>
        </w:rPr>
      </w:pPr>
      <w:r>
        <w:rPr>
          <w:rFonts w:ascii="宋体" w:hAnsi="宋体" w:eastAsia="宋体" w:cs="宋体"/>
          <w:sz w:val="24"/>
          <w:szCs w:val="24"/>
        </w:rPr>
        <w:t>13.2 仲裁应根据《中华人民共和国仲裁法》的规</w:t>
      </w:r>
      <w:r>
        <w:rPr>
          <w:rFonts w:ascii="宋体" w:hAnsi="宋体" w:eastAsia="宋体" w:cs="宋体"/>
          <w:spacing w:val="-1"/>
          <w:sz w:val="24"/>
          <w:szCs w:val="24"/>
        </w:rPr>
        <w:t>定，向当地有管辖权的仲裁机构</w:t>
      </w:r>
      <w:r>
        <w:rPr>
          <w:rFonts w:ascii="宋体" w:hAnsi="宋体" w:eastAsia="宋体" w:cs="宋体"/>
          <w:sz w:val="24"/>
          <w:szCs w:val="24"/>
        </w:rPr>
        <w:t xml:space="preserve"> </w:t>
      </w:r>
      <w:r>
        <w:rPr>
          <w:rFonts w:ascii="宋体" w:hAnsi="宋体" w:eastAsia="宋体" w:cs="宋体"/>
          <w:spacing w:val="-2"/>
          <w:sz w:val="24"/>
          <w:szCs w:val="24"/>
        </w:rPr>
        <w:t>申请仲裁。仲裁裁决为终局裁决，对双方均有约束力。</w:t>
      </w:r>
    </w:p>
    <w:p w14:paraId="7249F5F0">
      <w:pPr>
        <w:spacing w:before="34" w:line="220" w:lineRule="auto"/>
        <w:ind w:left="496"/>
        <w:rPr>
          <w:rFonts w:ascii="宋体" w:hAnsi="宋体" w:eastAsia="宋体" w:cs="宋体"/>
          <w:sz w:val="24"/>
          <w:szCs w:val="24"/>
        </w:rPr>
      </w:pPr>
      <w:r>
        <w:rPr>
          <w:rFonts w:ascii="宋体" w:hAnsi="宋体" w:eastAsia="宋体" w:cs="宋体"/>
          <w:b/>
          <w:bCs/>
          <w:spacing w:val="-5"/>
          <w:sz w:val="24"/>
          <w:szCs w:val="24"/>
        </w:rPr>
        <w:t>14、合同生效及其它</w:t>
      </w:r>
    </w:p>
    <w:p w14:paraId="2A6991D3">
      <w:pPr>
        <w:spacing w:before="231" w:line="219" w:lineRule="auto"/>
        <w:ind w:left="496"/>
        <w:rPr>
          <w:rFonts w:ascii="宋体" w:hAnsi="宋体" w:eastAsia="宋体" w:cs="宋体"/>
          <w:sz w:val="24"/>
          <w:szCs w:val="24"/>
        </w:rPr>
      </w:pPr>
      <w:r>
        <w:rPr>
          <w:rFonts w:ascii="宋体" w:hAnsi="宋体" w:eastAsia="宋体" w:cs="宋体"/>
          <w:spacing w:val="-1"/>
          <w:sz w:val="24"/>
          <w:szCs w:val="24"/>
        </w:rPr>
        <w:t>14.1 本合同一式肆份，买方、卖方和见证方各执壹份，送出资方留存壹份。</w:t>
      </w:r>
    </w:p>
    <w:p w14:paraId="728D5C2D">
      <w:pPr>
        <w:spacing w:before="236" w:line="219" w:lineRule="auto"/>
        <w:ind w:left="496"/>
        <w:rPr>
          <w:rFonts w:ascii="宋体" w:hAnsi="宋体" w:eastAsia="宋体" w:cs="宋体"/>
          <w:sz w:val="24"/>
          <w:szCs w:val="24"/>
        </w:rPr>
      </w:pPr>
      <w:r>
        <w:rPr>
          <w:rFonts w:ascii="宋体" w:hAnsi="宋体" w:eastAsia="宋体" w:cs="宋体"/>
          <w:spacing w:val="-1"/>
          <w:sz w:val="24"/>
          <w:szCs w:val="24"/>
        </w:rPr>
        <w:t>14.2 合同应在买卖双方和交易中心签字、盖章后即开始生效。</w:t>
      </w:r>
    </w:p>
    <w:p w14:paraId="3E0B00BB">
      <w:pPr>
        <w:pStyle w:val="8"/>
        <w:spacing w:line="335" w:lineRule="auto"/>
      </w:pPr>
    </w:p>
    <w:p w14:paraId="29219621">
      <w:pPr>
        <w:pStyle w:val="8"/>
        <w:spacing w:line="336" w:lineRule="auto"/>
      </w:pPr>
    </w:p>
    <w:p w14:paraId="5063796B">
      <w:pPr>
        <w:spacing w:before="79" w:line="392" w:lineRule="auto"/>
        <w:ind w:left="480" w:right="4574" w:firstLine="8"/>
        <w:rPr>
          <w:rFonts w:ascii="宋体" w:hAnsi="宋体" w:eastAsia="宋体" w:cs="宋体"/>
          <w:sz w:val="24"/>
          <w:szCs w:val="24"/>
        </w:rPr>
      </w:pPr>
      <w:r>
        <w:rPr>
          <w:rFonts w:ascii="宋体" w:hAnsi="宋体" w:eastAsia="宋体" w:cs="宋体"/>
          <w:spacing w:val="-20"/>
          <w:sz w:val="24"/>
          <w:szCs w:val="24"/>
        </w:rPr>
        <w:t>买</w:t>
      </w:r>
      <w:r>
        <w:rPr>
          <w:rFonts w:ascii="宋体" w:hAnsi="宋体" w:eastAsia="宋体" w:cs="宋体"/>
          <w:spacing w:val="2"/>
          <w:sz w:val="24"/>
          <w:szCs w:val="24"/>
        </w:rPr>
        <w:t xml:space="preserve">    </w:t>
      </w:r>
      <w:r>
        <w:rPr>
          <w:rFonts w:ascii="宋体" w:hAnsi="宋体" w:eastAsia="宋体" w:cs="宋体"/>
          <w:spacing w:val="-20"/>
          <w:sz w:val="24"/>
          <w:szCs w:val="24"/>
        </w:rPr>
        <w:t>方</w:t>
      </w:r>
      <w:r>
        <w:rPr>
          <w:rFonts w:ascii="宋体" w:hAnsi="宋体" w:eastAsia="宋体" w:cs="宋体"/>
          <w:spacing w:val="-88"/>
          <w:sz w:val="24"/>
          <w:szCs w:val="24"/>
        </w:rPr>
        <w:t xml:space="preserve"> </w:t>
      </w:r>
      <w:r>
        <w:rPr>
          <w:rFonts w:ascii="宋体" w:hAnsi="宋体" w:eastAsia="宋体" w:cs="宋体"/>
          <w:spacing w:val="-20"/>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7"/>
          <w:sz w:val="24"/>
          <w:szCs w:val="24"/>
        </w:rPr>
        <w:t xml:space="preserve">  </w:t>
      </w:r>
      <w:r>
        <w:rPr>
          <w:rFonts w:ascii="宋体" w:hAnsi="宋体" w:eastAsia="宋体" w:cs="宋体"/>
          <w:spacing w:val="-1"/>
          <w:sz w:val="24"/>
          <w:szCs w:val="24"/>
        </w:rPr>
        <w:t>单位盖章：</w:t>
      </w:r>
      <w:r>
        <w:rPr>
          <w:rFonts w:ascii="宋体" w:hAnsi="宋体" w:eastAsia="宋体" w:cs="宋体"/>
          <w:spacing w:val="-1"/>
          <w:sz w:val="24"/>
          <w:szCs w:val="24"/>
          <w:u w:val="single" w:color="auto"/>
        </w:rPr>
        <w:t xml:space="preserve">                      </w:t>
      </w:r>
      <w:r>
        <w:rPr>
          <w:rFonts w:ascii="宋体" w:hAnsi="宋体" w:eastAsia="宋体" w:cs="宋体"/>
          <w:spacing w:val="7"/>
          <w:sz w:val="24"/>
          <w:szCs w:val="24"/>
        </w:rPr>
        <w:t xml:space="preserve">  </w:t>
      </w:r>
      <w:r>
        <w:rPr>
          <w:rFonts w:ascii="宋体" w:hAnsi="宋体" w:eastAsia="宋体" w:cs="宋体"/>
          <w:spacing w:val="-3"/>
          <w:sz w:val="24"/>
          <w:szCs w:val="24"/>
        </w:rPr>
        <w:t>法人签字：</w:t>
      </w:r>
      <w:r>
        <w:rPr>
          <w:rFonts w:ascii="宋体" w:hAnsi="宋体" w:eastAsia="宋体" w:cs="宋体"/>
          <w:sz w:val="24"/>
          <w:szCs w:val="24"/>
          <w:u w:val="single" w:color="auto"/>
        </w:rPr>
        <w:t xml:space="preserve">                       </w:t>
      </w:r>
    </w:p>
    <w:p w14:paraId="4AD88FDA">
      <w:pPr>
        <w:pStyle w:val="8"/>
        <w:spacing w:line="471" w:lineRule="auto"/>
      </w:pPr>
    </w:p>
    <w:p w14:paraId="63E3C4B8">
      <w:pPr>
        <w:spacing w:before="79" w:line="387" w:lineRule="auto"/>
        <w:ind w:left="480" w:right="4574" w:hanging="1"/>
        <w:rPr>
          <w:rFonts w:ascii="宋体" w:hAnsi="宋体" w:eastAsia="宋体" w:cs="宋体"/>
          <w:sz w:val="24"/>
          <w:szCs w:val="24"/>
        </w:rPr>
      </w:pPr>
      <w:r>
        <w:rPr>
          <w:rFonts w:ascii="宋体" w:hAnsi="宋体" w:eastAsia="宋体" w:cs="宋体"/>
          <w:spacing w:val="-17"/>
          <w:sz w:val="24"/>
          <w:szCs w:val="24"/>
        </w:rPr>
        <w:t>卖</w:t>
      </w:r>
      <w:r>
        <w:rPr>
          <w:rFonts w:ascii="宋体" w:hAnsi="宋体" w:eastAsia="宋体" w:cs="宋体"/>
          <w:spacing w:val="3"/>
          <w:sz w:val="24"/>
          <w:szCs w:val="24"/>
        </w:rPr>
        <w:t xml:space="preserve">   </w:t>
      </w:r>
      <w:r>
        <w:rPr>
          <w:rFonts w:ascii="宋体" w:hAnsi="宋体" w:eastAsia="宋体" w:cs="宋体"/>
          <w:spacing w:val="-17"/>
          <w:sz w:val="24"/>
          <w:szCs w:val="24"/>
        </w:rPr>
        <w:t>方</w:t>
      </w:r>
      <w:r>
        <w:rPr>
          <w:rFonts w:ascii="宋体" w:hAnsi="宋体" w:eastAsia="宋体" w:cs="宋体"/>
          <w:spacing w:val="-89"/>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3"/>
          <w:sz w:val="24"/>
          <w:szCs w:val="24"/>
        </w:rPr>
        <w:t>单位盖章：</w:t>
      </w:r>
      <w:r>
        <w:rPr>
          <w:rFonts w:ascii="宋体" w:hAnsi="宋体" w:eastAsia="宋体" w:cs="宋体"/>
          <w:sz w:val="24"/>
          <w:szCs w:val="24"/>
          <w:u w:val="single" w:color="auto"/>
        </w:rPr>
        <w:t xml:space="preserve">                      </w:t>
      </w:r>
    </w:p>
    <w:p w14:paraId="2B1D93F7">
      <w:pPr>
        <w:spacing w:before="33" w:line="219" w:lineRule="auto"/>
        <w:ind w:left="480"/>
        <w:rPr>
          <w:rFonts w:ascii="宋体" w:hAnsi="宋体" w:eastAsia="宋体" w:cs="宋体"/>
          <w:sz w:val="24"/>
          <w:szCs w:val="24"/>
        </w:rPr>
      </w:pPr>
      <w:r>
        <w:rPr>
          <w:rFonts w:ascii="宋体" w:hAnsi="宋体" w:eastAsia="宋体" w:cs="宋体"/>
          <w:spacing w:val="-3"/>
          <w:sz w:val="24"/>
          <w:szCs w:val="24"/>
        </w:rPr>
        <w:t>法人签字：</w:t>
      </w:r>
      <w:r>
        <w:rPr>
          <w:rFonts w:ascii="宋体" w:hAnsi="宋体" w:eastAsia="宋体" w:cs="宋体"/>
          <w:sz w:val="24"/>
          <w:szCs w:val="24"/>
          <w:u w:val="single" w:color="auto"/>
        </w:rPr>
        <w:t xml:space="preserve">                      </w:t>
      </w:r>
    </w:p>
    <w:p w14:paraId="1F42E9BD">
      <w:pPr>
        <w:pStyle w:val="8"/>
        <w:spacing w:line="337" w:lineRule="auto"/>
      </w:pPr>
    </w:p>
    <w:p w14:paraId="79E82551">
      <w:pPr>
        <w:pStyle w:val="8"/>
        <w:spacing w:line="337" w:lineRule="auto"/>
      </w:pPr>
    </w:p>
    <w:p w14:paraId="189539A7">
      <w:pPr>
        <w:keepNext w:val="0"/>
        <w:keepLines w:val="0"/>
        <w:pageBreakBefore w:val="0"/>
        <w:wordWrap/>
        <w:overflowPunct/>
        <w:topLinePunct w:val="0"/>
        <w:bidi w:val="0"/>
        <w:snapToGrid/>
        <w:spacing w:after="0" w:afterLines="50" w:line="360" w:lineRule="auto"/>
        <w:ind w:left="1680" w:firstLine="420"/>
        <w:rPr>
          <w:rFonts w:hint="eastAsia" w:ascii="宋体" w:hAnsi="宋体"/>
          <w:b/>
          <w:bCs/>
          <w:color w:val="auto"/>
          <w:sz w:val="28"/>
          <w:szCs w:val="28"/>
          <w:highlight w:val="none"/>
        </w:rPr>
      </w:pPr>
      <w:r>
        <w:rPr>
          <w:rFonts w:ascii="宋体" w:hAnsi="宋体" w:eastAsia="宋体" w:cs="宋体"/>
          <w:spacing w:val="-5"/>
          <w:sz w:val="24"/>
          <w:szCs w:val="24"/>
        </w:rPr>
        <w:t>签订日期：</w:t>
      </w:r>
      <w:r>
        <w:rPr>
          <w:rFonts w:ascii="宋体" w:hAnsi="宋体" w:eastAsia="宋体" w:cs="宋体"/>
          <w:spacing w:val="1"/>
          <w:sz w:val="24"/>
          <w:szCs w:val="24"/>
        </w:rPr>
        <w:t xml:space="preserve">        </w:t>
      </w:r>
      <w:r>
        <w:rPr>
          <w:rFonts w:ascii="宋体" w:hAnsi="宋体" w:eastAsia="宋体" w:cs="宋体"/>
          <w:spacing w:val="-5"/>
          <w:sz w:val="24"/>
          <w:szCs w:val="24"/>
        </w:rPr>
        <w:t>年</w:t>
      </w:r>
      <w:r>
        <w:rPr>
          <w:rFonts w:ascii="宋体" w:hAnsi="宋体" w:eastAsia="宋体" w:cs="宋体"/>
          <w:spacing w:val="7"/>
          <w:sz w:val="24"/>
          <w:szCs w:val="24"/>
        </w:rPr>
        <w:t xml:space="preserve">   </w:t>
      </w:r>
      <w:r>
        <w:rPr>
          <w:rFonts w:ascii="宋体" w:hAnsi="宋体" w:eastAsia="宋体" w:cs="宋体"/>
          <w:spacing w:val="-5"/>
          <w:sz w:val="24"/>
          <w:szCs w:val="24"/>
        </w:rPr>
        <w:t>月</w:t>
      </w:r>
      <w:r>
        <w:rPr>
          <w:rFonts w:ascii="宋体" w:hAnsi="宋体" w:eastAsia="宋体" w:cs="宋体"/>
          <w:spacing w:val="12"/>
          <w:sz w:val="24"/>
          <w:szCs w:val="24"/>
        </w:rPr>
        <w:t xml:space="preserve">    </w:t>
      </w:r>
      <w:r>
        <w:rPr>
          <w:rFonts w:ascii="宋体" w:hAnsi="宋体" w:eastAsia="宋体" w:cs="宋体"/>
          <w:spacing w:val="-5"/>
          <w:sz w:val="24"/>
          <w:szCs w:val="24"/>
        </w:rPr>
        <w:t>日</w:t>
      </w:r>
    </w:p>
    <w:p w14:paraId="10447985">
      <w:pPr>
        <w:keepNext w:val="0"/>
        <w:keepLines w:val="0"/>
        <w:pageBreakBefore w:val="0"/>
        <w:wordWrap/>
        <w:overflowPunct/>
        <w:topLinePunct w:val="0"/>
        <w:bidi w:val="0"/>
        <w:snapToGrid/>
        <w:spacing w:after="0" w:afterLines="50" w:line="360" w:lineRule="auto"/>
        <w:ind w:left="1680" w:firstLine="420"/>
        <w:rPr>
          <w:rFonts w:ascii="Times New Roman" w:hAnsi="Times New Roman"/>
          <w:color w:val="auto"/>
          <w:sz w:val="28"/>
          <w:szCs w:val="28"/>
          <w:highlight w:val="none"/>
        </w:rPr>
      </w:pPr>
      <w:r>
        <w:rPr>
          <w:rFonts w:hint="eastAsia" w:ascii="宋体" w:hAnsi="宋体"/>
          <w:b/>
          <w:bCs/>
          <w:color w:val="auto"/>
          <w:sz w:val="28"/>
          <w:szCs w:val="28"/>
          <w:highlight w:val="none"/>
        </w:rPr>
        <w:t>合同签订地点：</w:t>
      </w:r>
      <w:r>
        <w:rPr>
          <w:rFonts w:hint="eastAsia" w:ascii="宋体" w:hAnsi="宋体" w:cs="Arial"/>
          <w:b/>
          <w:bCs/>
          <w:color w:val="auto"/>
          <w:sz w:val="28"/>
          <w:szCs w:val="28"/>
          <w:highlight w:val="none"/>
        </w:rPr>
        <w:t>网上签约</w:t>
      </w:r>
      <w:r>
        <w:rPr>
          <w:rFonts w:hint="eastAsia" w:ascii="宋体" w:hAnsi="宋体"/>
          <w:b/>
          <w:bCs/>
          <w:color w:val="auto"/>
          <w:sz w:val="28"/>
          <w:szCs w:val="28"/>
          <w:highlight w:val="none"/>
        </w:rPr>
        <w:t xml:space="preserve"> </w:t>
      </w:r>
    </w:p>
    <w:p w14:paraId="06EFA105">
      <w:pPr>
        <w:spacing w:line="206" w:lineRule="exact"/>
        <w:rPr>
          <w:color w:val="auto"/>
          <w:highlight w:val="none"/>
        </w:rPr>
        <w:sectPr>
          <w:headerReference r:id="rId16" w:type="default"/>
          <w:footerReference r:id="rId17" w:type="default"/>
          <w:type w:val="continuous"/>
          <w:pgSz w:w="11906" w:h="16838"/>
          <w:pgMar w:top="1417" w:right="1417" w:bottom="1417" w:left="1417" w:header="896" w:footer="1196" w:gutter="0"/>
          <w:pgBorders>
            <w:top w:val="none" w:sz="0" w:space="0"/>
            <w:left w:val="none" w:sz="0" w:space="0"/>
            <w:bottom w:val="none" w:sz="0" w:space="0"/>
            <w:right w:val="none" w:sz="0" w:space="0"/>
          </w:pgBorders>
          <w:pgNumType w:fmt="decimal"/>
          <w:cols w:space="0" w:num="1"/>
          <w:rtlGutter w:val="0"/>
          <w:docGrid w:linePitch="0" w:charSpace="0"/>
        </w:sectPr>
      </w:pPr>
    </w:p>
    <w:bookmarkEnd w:id="41"/>
    <w:p w14:paraId="3CDB9A43">
      <w:pPr>
        <w:pStyle w:val="18"/>
        <w:widowControl w:val="0"/>
        <w:spacing w:before="120" w:beforeLines="50" w:after="120" w:afterLines="50" w:line="440" w:lineRule="exact"/>
        <w:jc w:val="center"/>
        <w:outlineLvl w:val="0"/>
        <w:rPr>
          <w:rFonts w:hint="eastAsia" w:ascii="仿宋" w:hAnsi="仿宋" w:eastAsia="仿宋" w:cs="仿宋"/>
          <w:b/>
          <w:color w:val="auto"/>
          <w:sz w:val="32"/>
          <w:szCs w:val="32"/>
          <w:highlight w:val="none"/>
        </w:rPr>
      </w:pPr>
      <w:bookmarkStart w:id="42" w:name="_Toc117270093"/>
      <w:bookmarkStart w:id="43" w:name="_Toc21169"/>
      <w:r>
        <w:rPr>
          <w:rFonts w:hint="eastAsia" w:ascii="仿宋" w:hAnsi="仿宋" w:eastAsia="仿宋" w:cs="仿宋"/>
          <w:b/>
          <w:color w:val="auto"/>
          <w:sz w:val="32"/>
          <w:szCs w:val="32"/>
          <w:highlight w:val="none"/>
        </w:rPr>
        <w:t>第七部分  投标文件格式</w:t>
      </w:r>
      <w:bookmarkEnd w:id="42"/>
      <w:bookmarkEnd w:id="43"/>
    </w:p>
    <w:p w14:paraId="713AE143">
      <w:pPr>
        <w:snapToGrid w:val="0"/>
        <w:spacing w:line="360" w:lineRule="auto"/>
        <w:jc w:val="left"/>
        <w:rPr>
          <w:rFonts w:hint="eastAsia" w:ascii="仿宋" w:hAnsi="仿宋" w:eastAsia="仿宋" w:cs="仿宋"/>
          <w:color w:val="auto"/>
          <w:kern w:val="0"/>
          <w:sz w:val="28"/>
          <w:highlight w:val="none"/>
        </w:rPr>
      </w:pPr>
    </w:p>
    <w:p w14:paraId="5D61ADFE">
      <w:pPr>
        <w:tabs>
          <w:tab w:val="left" w:pos="-737"/>
        </w:tabs>
        <w:snapToGrid w:val="0"/>
        <w:spacing w:line="360" w:lineRule="auto"/>
        <w:ind w:firstLine="180"/>
        <w:jc w:val="left"/>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一、投标人提交投标文件须知</w:t>
      </w:r>
    </w:p>
    <w:p w14:paraId="36B1BD1C">
      <w:pPr>
        <w:tabs>
          <w:tab w:val="left" w:pos="0"/>
        </w:tabs>
        <w:snapToGrid w:val="0"/>
        <w:spacing w:line="360" w:lineRule="auto"/>
        <w:ind w:firstLine="624"/>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1.投标人应严格按照以下顺序填写和提交下述规定的全部格式文件以及其他有关资料，混乱的编排导致投标文件被误读或查找不到，后果由投标人承担。</w:t>
      </w:r>
    </w:p>
    <w:p w14:paraId="5702F367">
      <w:pPr>
        <w:tabs>
          <w:tab w:val="left" w:pos="0"/>
        </w:tabs>
        <w:snapToGrid w:val="0"/>
        <w:spacing w:line="360" w:lineRule="auto"/>
        <w:ind w:firstLine="624"/>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2.所附表格中要求回答的全部问题和信息都必须正面回答。</w:t>
      </w:r>
    </w:p>
    <w:p w14:paraId="4AD8E077">
      <w:pPr>
        <w:tabs>
          <w:tab w:val="left" w:pos="0"/>
        </w:tabs>
        <w:snapToGrid w:val="0"/>
        <w:spacing w:line="360" w:lineRule="auto"/>
        <w:ind w:firstLine="624"/>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3.资格声明的签字人应保证全部声明和问题的回答是真实的和准确的。</w:t>
      </w:r>
    </w:p>
    <w:p w14:paraId="2926C797">
      <w:pPr>
        <w:tabs>
          <w:tab w:val="left" w:pos="0"/>
        </w:tabs>
        <w:snapToGrid w:val="0"/>
        <w:spacing w:line="360" w:lineRule="auto"/>
        <w:ind w:firstLine="624"/>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4.评标委员会将应用投标人提交的资料并根据自己的判断，决定投标人履行合同的合格性及能力。</w:t>
      </w:r>
    </w:p>
    <w:p w14:paraId="7F28C535">
      <w:pPr>
        <w:tabs>
          <w:tab w:val="left" w:pos="0"/>
        </w:tabs>
        <w:snapToGrid w:val="0"/>
        <w:spacing w:line="360" w:lineRule="auto"/>
        <w:ind w:firstLine="624"/>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5.投标人提交的材料将被妥善保存，但不退还。</w:t>
      </w:r>
    </w:p>
    <w:p w14:paraId="14EDF823">
      <w:pPr>
        <w:tabs>
          <w:tab w:val="left" w:pos="0"/>
        </w:tabs>
        <w:snapToGrid w:val="0"/>
        <w:spacing w:line="360" w:lineRule="auto"/>
        <w:ind w:firstLine="624"/>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6.全部文件应按投标人须知中规定的语言和份数提交。</w:t>
      </w:r>
    </w:p>
    <w:p w14:paraId="253D4EE3">
      <w:pPr>
        <w:snapToGrid w:val="0"/>
        <w:spacing w:line="360" w:lineRule="auto"/>
        <w:rPr>
          <w:rFonts w:hint="eastAsia" w:ascii="仿宋" w:hAnsi="仿宋" w:eastAsia="仿宋" w:cs="仿宋"/>
          <w:color w:val="auto"/>
          <w:kern w:val="0"/>
          <w:sz w:val="24"/>
          <w:highlight w:val="none"/>
        </w:rPr>
      </w:pPr>
    </w:p>
    <w:p w14:paraId="7D5804AC">
      <w:pPr>
        <w:snapToGrid w:val="0"/>
        <w:spacing w:line="360" w:lineRule="auto"/>
        <w:rPr>
          <w:rFonts w:hint="eastAsia" w:ascii="仿宋" w:hAnsi="仿宋" w:eastAsia="仿宋" w:cs="仿宋"/>
          <w:color w:val="auto"/>
          <w:kern w:val="0"/>
          <w:sz w:val="28"/>
          <w:szCs w:val="28"/>
          <w:highlight w:val="none"/>
        </w:rPr>
      </w:pPr>
    </w:p>
    <w:p w14:paraId="2B22E8AE">
      <w:pPr>
        <w:snapToGrid w:val="0"/>
        <w:spacing w:line="360" w:lineRule="auto"/>
        <w:rPr>
          <w:rFonts w:hint="eastAsia" w:ascii="仿宋" w:hAnsi="仿宋" w:eastAsia="仿宋" w:cs="仿宋"/>
          <w:color w:val="auto"/>
          <w:kern w:val="0"/>
          <w:sz w:val="28"/>
          <w:szCs w:val="28"/>
          <w:highlight w:val="none"/>
        </w:rPr>
      </w:pPr>
    </w:p>
    <w:p w14:paraId="5F4D3FC3">
      <w:pPr>
        <w:snapToGrid w:val="0"/>
        <w:spacing w:line="360" w:lineRule="auto"/>
        <w:rPr>
          <w:rFonts w:hint="eastAsia" w:ascii="仿宋" w:hAnsi="仿宋" w:eastAsia="仿宋" w:cs="仿宋"/>
          <w:color w:val="auto"/>
          <w:kern w:val="0"/>
          <w:sz w:val="28"/>
          <w:szCs w:val="28"/>
          <w:highlight w:val="none"/>
        </w:rPr>
      </w:pPr>
    </w:p>
    <w:p w14:paraId="6A536DFC">
      <w:pPr>
        <w:snapToGrid w:val="0"/>
        <w:spacing w:line="360" w:lineRule="auto"/>
        <w:rPr>
          <w:rFonts w:hint="eastAsia" w:ascii="仿宋" w:hAnsi="仿宋" w:eastAsia="仿宋" w:cs="仿宋"/>
          <w:color w:val="auto"/>
          <w:kern w:val="0"/>
          <w:sz w:val="28"/>
          <w:szCs w:val="28"/>
          <w:highlight w:val="none"/>
        </w:rPr>
      </w:pPr>
    </w:p>
    <w:p w14:paraId="4E4023C9">
      <w:pPr>
        <w:snapToGrid w:val="0"/>
        <w:spacing w:line="360" w:lineRule="auto"/>
        <w:rPr>
          <w:rFonts w:hint="eastAsia" w:ascii="仿宋" w:hAnsi="仿宋" w:eastAsia="仿宋" w:cs="仿宋"/>
          <w:color w:val="auto"/>
          <w:kern w:val="0"/>
          <w:sz w:val="28"/>
          <w:szCs w:val="28"/>
          <w:highlight w:val="none"/>
        </w:rPr>
      </w:pPr>
    </w:p>
    <w:p w14:paraId="0BB7FD34">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D0AAC44">
      <w:pPr>
        <w:keepNext w:val="0"/>
        <w:keepLines w:val="0"/>
        <w:pageBreakBefore w:val="0"/>
        <w:widowControl/>
        <w:wordWrap/>
        <w:bidi w:val="0"/>
        <w:snapToGrid w:val="0"/>
        <w:spacing w:line="360" w:lineRule="auto"/>
        <w:jc w:val="center"/>
        <w:rPr>
          <w:rFonts w:hint="eastAsia" w:ascii="仿宋" w:hAnsi="仿宋" w:eastAsia="仿宋" w:cs="仿宋"/>
          <w:b/>
          <w:color w:val="auto"/>
          <w:sz w:val="44"/>
          <w:szCs w:val="44"/>
          <w:highlight w:val="none"/>
          <w:lang w:val="en-US" w:eastAsia="zh-CN"/>
        </w:rPr>
      </w:pPr>
    </w:p>
    <w:p w14:paraId="4DFAF778">
      <w:pPr>
        <w:keepNext w:val="0"/>
        <w:keepLines w:val="0"/>
        <w:pageBreakBefore w:val="0"/>
        <w:widowControl/>
        <w:wordWrap/>
        <w:bidi w:val="0"/>
        <w:snapToGrid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b/>
          <w:color w:val="auto"/>
          <w:sz w:val="44"/>
          <w:szCs w:val="44"/>
          <w:highlight w:val="none"/>
          <w:lang w:val="en-US" w:eastAsia="zh-CN"/>
        </w:rPr>
        <w:t>（项目名称）</w:t>
      </w:r>
    </w:p>
    <w:p w14:paraId="02D0321D">
      <w:pPr>
        <w:keepNext w:val="0"/>
        <w:keepLines w:val="0"/>
        <w:pageBreakBefore w:val="0"/>
        <w:widowControl/>
        <w:wordWrap/>
        <w:bidi w:val="0"/>
        <w:snapToGrid w:val="0"/>
        <w:spacing w:line="360" w:lineRule="auto"/>
        <w:jc w:val="center"/>
        <w:rPr>
          <w:rFonts w:hint="eastAsia" w:ascii="仿宋" w:hAnsi="仿宋" w:eastAsia="仿宋" w:cs="仿宋"/>
          <w:color w:val="auto"/>
          <w:spacing w:val="0"/>
          <w:kern w:val="0"/>
          <w:sz w:val="32"/>
          <w:szCs w:val="32"/>
          <w:highlight w:val="none"/>
        </w:rPr>
      </w:pPr>
      <w:r>
        <w:rPr>
          <w:rFonts w:hint="eastAsia" w:ascii="仿宋" w:hAnsi="仿宋" w:eastAsia="仿宋" w:cs="仿宋"/>
          <w:color w:val="auto"/>
          <w:spacing w:val="0"/>
          <w:kern w:val="0"/>
          <w:sz w:val="32"/>
          <w:szCs w:val="32"/>
          <w:highlight w:val="none"/>
          <w:lang w:val="en-US" w:eastAsia="zh-CN"/>
        </w:rPr>
        <w:t>资格证明文件</w:t>
      </w:r>
    </w:p>
    <w:p w14:paraId="13531502">
      <w:pPr>
        <w:spacing w:line="300" w:lineRule="auto"/>
        <w:rPr>
          <w:rFonts w:hint="eastAsia" w:ascii="仿宋" w:hAnsi="仿宋" w:eastAsia="仿宋" w:cs="仿宋"/>
          <w:color w:val="auto"/>
          <w:sz w:val="28"/>
          <w:szCs w:val="28"/>
          <w:highlight w:val="none"/>
        </w:rPr>
      </w:pPr>
    </w:p>
    <w:p w14:paraId="7F5711B9">
      <w:pPr>
        <w:spacing w:line="300" w:lineRule="auto"/>
        <w:rPr>
          <w:rFonts w:hint="eastAsia" w:ascii="仿宋" w:hAnsi="仿宋" w:eastAsia="仿宋" w:cs="仿宋"/>
          <w:color w:val="auto"/>
          <w:szCs w:val="21"/>
          <w:highlight w:val="none"/>
        </w:rPr>
      </w:pPr>
    </w:p>
    <w:p w14:paraId="5041551D">
      <w:pPr>
        <w:spacing w:line="300" w:lineRule="auto"/>
        <w:rPr>
          <w:rFonts w:hint="eastAsia" w:ascii="仿宋" w:hAnsi="仿宋" w:eastAsia="仿宋" w:cs="仿宋"/>
          <w:color w:val="auto"/>
          <w:szCs w:val="21"/>
          <w:highlight w:val="none"/>
        </w:rPr>
      </w:pPr>
    </w:p>
    <w:p w14:paraId="0C79422D">
      <w:pPr>
        <w:spacing w:line="300" w:lineRule="auto"/>
        <w:rPr>
          <w:rFonts w:hint="eastAsia" w:ascii="仿宋" w:hAnsi="仿宋" w:eastAsia="仿宋" w:cs="仿宋"/>
          <w:color w:val="auto"/>
          <w:szCs w:val="21"/>
          <w:highlight w:val="none"/>
        </w:rPr>
      </w:pPr>
    </w:p>
    <w:p w14:paraId="5F86233A">
      <w:pPr>
        <w:spacing w:line="300" w:lineRule="auto"/>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投 标 文 件</w:t>
      </w:r>
    </w:p>
    <w:p w14:paraId="7ADFA8CF">
      <w:pPr>
        <w:spacing w:line="48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color w:val="auto"/>
          <w:sz w:val="28"/>
          <w:szCs w:val="28"/>
          <w:highlight w:val="none"/>
          <w:lang w:val="en-US" w:eastAsia="zh-CN"/>
        </w:rPr>
        <w:t>项目</w:t>
      </w:r>
      <w:r>
        <w:rPr>
          <w:rFonts w:hint="eastAsia" w:ascii="仿宋" w:hAnsi="仿宋" w:eastAsia="仿宋" w:cs="仿宋"/>
          <w:b/>
          <w:color w:val="auto"/>
          <w:sz w:val="28"/>
          <w:szCs w:val="28"/>
          <w:highlight w:val="none"/>
        </w:rPr>
        <w:t xml:space="preserve">编号： </w:t>
      </w:r>
    </w:p>
    <w:p w14:paraId="0DDCAA54">
      <w:pPr>
        <w:spacing w:line="420" w:lineRule="exact"/>
        <w:jc w:val="center"/>
        <w:rPr>
          <w:rFonts w:hint="eastAsia" w:ascii="仿宋" w:hAnsi="仿宋" w:eastAsia="仿宋" w:cs="仿宋"/>
          <w:b/>
          <w:color w:val="auto"/>
          <w:sz w:val="32"/>
          <w:szCs w:val="32"/>
          <w:highlight w:val="none"/>
          <w:u w:val="single"/>
        </w:rPr>
      </w:pPr>
    </w:p>
    <w:p w14:paraId="723E5741">
      <w:pPr>
        <w:spacing w:line="300" w:lineRule="auto"/>
        <w:rPr>
          <w:rFonts w:hint="eastAsia" w:ascii="仿宋" w:hAnsi="仿宋" w:eastAsia="仿宋" w:cs="仿宋"/>
          <w:b/>
          <w:bCs/>
          <w:color w:val="auto"/>
          <w:sz w:val="32"/>
          <w:szCs w:val="32"/>
          <w:highlight w:val="none"/>
        </w:rPr>
      </w:pPr>
    </w:p>
    <w:p w14:paraId="60B7A70E">
      <w:pPr>
        <w:spacing w:line="300" w:lineRule="auto"/>
        <w:ind w:left="1260" w:leftChars="600"/>
        <w:jc w:val="center"/>
        <w:rPr>
          <w:rFonts w:hint="eastAsia" w:ascii="仿宋" w:hAnsi="仿宋" w:eastAsia="仿宋" w:cs="仿宋"/>
          <w:b/>
          <w:bCs/>
          <w:color w:val="auto"/>
          <w:sz w:val="32"/>
          <w:szCs w:val="32"/>
          <w:highlight w:val="none"/>
        </w:rPr>
      </w:pPr>
    </w:p>
    <w:p w14:paraId="40DC6A56">
      <w:pPr>
        <w:spacing w:line="300" w:lineRule="auto"/>
        <w:ind w:left="1260" w:leftChars="600"/>
        <w:jc w:val="center"/>
        <w:rPr>
          <w:rFonts w:hint="eastAsia" w:ascii="仿宋" w:hAnsi="仿宋" w:eastAsia="仿宋" w:cs="仿宋"/>
          <w:b/>
          <w:bCs/>
          <w:color w:val="auto"/>
          <w:sz w:val="32"/>
          <w:szCs w:val="32"/>
          <w:highlight w:val="none"/>
        </w:rPr>
      </w:pPr>
    </w:p>
    <w:p w14:paraId="3E6C9113">
      <w:pPr>
        <w:spacing w:line="300" w:lineRule="auto"/>
        <w:ind w:left="1260" w:leftChars="600"/>
        <w:jc w:val="center"/>
        <w:rPr>
          <w:rFonts w:hint="eastAsia" w:ascii="仿宋" w:hAnsi="仿宋" w:eastAsia="仿宋" w:cs="仿宋"/>
          <w:b/>
          <w:bCs/>
          <w:color w:val="auto"/>
          <w:sz w:val="32"/>
          <w:szCs w:val="32"/>
          <w:highlight w:val="none"/>
        </w:rPr>
      </w:pPr>
    </w:p>
    <w:p w14:paraId="2A89B58D">
      <w:pPr>
        <w:spacing w:line="300" w:lineRule="auto"/>
        <w:ind w:left="1260" w:leftChars="600"/>
        <w:jc w:val="center"/>
        <w:rPr>
          <w:rFonts w:hint="eastAsia" w:ascii="仿宋" w:hAnsi="仿宋" w:eastAsia="仿宋" w:cs="仿宋"/>
          <w:b/>
          <w:bCs/>
          <w:color w:val="auto"/>
          <w:sz w:val="32"/>
          <w:szCs w:val="32"/>
          <w:highlight w:val="none"/>
        </w:rPr>
      </w:pPr>
    </w:p>
    <w:p w14:paraId="10CD155A">
      <w:pPr>
        <w:spacing w:line="300" w:lineRule="auto"/>
        <w:ind w:left="1260" w:leftChars="600"/>
        <w:jc w:val="center"/>
        <w:rPr>
          <w:rFonts w:hint="eastAsia" w:ascii="仿宋" w:hAnsi="仿宋" w:eastAsia="仿宋" w:cs="仿宋"/>
          <w:b/>
          <w:bCs/>
          <w:color w:val="auto"/>
          <w:sz w:val="32"/>
          <w:szCs w:val="32"/>
          <w:highlight w:val="none"/>
        </w:rPr>
      </w:pPr>
    </w:p>
    <w:p w14:paraId="66FCD730">
      <w:pPr>
        <w:spacing w:line="300" w:lineRule="auto"/>
        <w:jc w:val="left"/>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 xml:space="preserve">  </w:t>
      </w:r>
      <w:r>
        <w:rPr>
          <w:rFonts w:hint="eastAsia" w:ascii="仿宋" w:hAnsi="仿宋" w:eastAsia="仿宋" w:cs="仿宋"/>
          <w:b/>
          <w:bCs/>
          <w:color w:val="auto"/>
          <w:sz w:val="30"/>
          <w:szCs w:val="30"/>
          <w:highlight w:val="none"/>
          <w:lang w:eastAsia="zh-CN"/>
        </w:rPr>
        <w:t>供应商</w:t>
      </w:r>
      <w:r>
        <w:rPr>
          <w:rFonts w:hint="eastAsia" w:ascii="仿宋" w:hAnsi="仿宋" w:eastAsia="仿宋" w:cs="仿宋"/>
          <w:b/>
          <w:bCs/>
          <w:color w:val="auto"/>
          <w:sz w:val="30"/>
          <w:szCs w:val="30"/>
          <w:highlight w:val="none"/>
        </w:rPr>
        <w:t>：</w:t>
      </w: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rPr>
        <w:t>（</w:t>
      </w:r>
      <w:r>
        <w:rPr>
          <w:rFonts w:hint="eastAsia" w:ascii="仿宋" w:hAnsi="仿宋" w:eastAsia="仿宋" w:cs="仿宋"/>
          <w:b/>
          <w:bCs/>
          <w:color w:val="auto"/>
          <w:sz w:val="30"/>
          <w:szCs w:val="30"/>
          <w:highlight w:val="none"/>
          <w:lang w:val="en-US" w:eastAsia="zh-CN"/>
        </w:rPr>
        <w:t>全称并加盖电子签章</w:t>
      </w:r>
      <w:r>
        <w:rPr>
          <w:rFonts w:hint="eastAsia" w:ascii="仿宋" w:hAnsi="仿宋" w:eastAsia="仿宋" w:cs="仿宋"/>
          <w:b/>
          <w:bCs/>
          <w:color w:val="auto"/>
          <w:sz w:val="30"/>
          <w:szCs w:val="30"/>
          <w:highlight w:val="none"/>
        </w:rPr>
        <w:t>）</w:t>
      </w:r>
    </w:p>
    <w:p w14:paraId="5B584502">
      <w:pPr>
        <w:spacing w:line="300" w:lineRule="auto"/>
        <w:jc w:val="left"/>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 xml:space="preserve">  法定代表人或授权委托代理人：</w:t>
      </w: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rPr>
        <w:t>（</w:t>
      </w:r>
      <w:r>
        <w:rPr>
          <w:rFonts w:hint="eastAsia" w:ascii="仿宋" w:hAnsi="仿宋" w:eastAsia="仿宋" w:cs="仿宋"/>
          <w:b/>
          <w:bCs/>
          <w:color w:val="auto"/>
          <w:sz w:val="30"/>
          <w:szCs w:val="30"/>
          <w:highlight w:val="none"/>
          <w:lang w:val="en-US" w:eastAsia="zh-CN"/>
        </w:rPr>
        <w:t>签字或电子签章</w:t>
      </w:r>
      <w:r>
        <w:rPr>
          <w:rFonts w:hint="eastAsia" w:ascii="仿宋" w:hAnsi="仿宋" w:eastAsia="仿宋" w:cs="仿宋"/>
          <w:b/>
          <w:bCs/>
          <w:color w:val="auto"/>
          <w:sz w:val="30"/>
          <w:szCs w:val="30"/>
          <w:highlight w:val="none"/>
        </w:rPr>
        <w:t>）</w:t>
      </w:r>
    </w:p>
    <w:p w14:paraId="104EE15B">
      <w:pPr>
        <w:spacing w:line="300" w:lineRule="auto"/>
        <w:ind w:left="1260" w:leftChars="600"/>
        <w:jc w:val="center"/>
        <w:rPr>
          <w:rFonts w:hint="eastAsia" w:ascii="仿宋" w:hAnsi="仿宋" w:eastAsia="仿宋" w:cs="仿宋"/>
          <w:b/>
          <w:bCs/>
          <w:color w:val="auto"/>
          <w:sz w:val="32"/>
          <w:szCs w:val="32"/>
          <w:highlight w:val="none"/>
        </w:rPr>
      </w:pPr>
    </w:p>
    <w:p w14:paraId="67DC6F1E">
      <w:pPr>
        <w:spacing w:line="30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月</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日</w:t>
      </w:r>
    </w:p>
    <w:p w14:paraId="7382BB38">
      <w:pPr>
        <w:pStyle w:val="8"/>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pacing w:val="20"/>
          <w:kern w:val="0"/>
          <w:sz w:val="32"/>
          <w:szCs w:val="32"/>
          <w:highlight w:val="none"/>
        </w:rPr>
        <w:br w:type="page"/>
      </w:r>
      <w:r>
        <w:rPr>
          <w:rFonts w:hint="eastAsia" w:ascii="仿宋" w:hAnsi="仿宋" w:eastAsia="仿宋" w:cs="仿宋"/>
          <w:color w:val="auto"/>
          <w:sz w:val="21"/>
          <w:szCs w:val="21"/>
          <w:highlight w:val="none"/>
          <w:lang w:val="en-US" w:eastAsia="zh-CN"/>
        </w:rPr>
        <w:t>目  录</w:t>
      </w:r>
    </w:p>
    <w:p w14:paraId="493E141F">
      <w:pPr>
        <w:pStyle w:val="11"/>
        <w:rPr>
          <w:rFonts w:hint="eastAsia" w:ascii="仿宋" w:hAnsi="仿宋" w:eastAsia="仿宋" w:cs="仿宋"/>
          <w:color w:val="auto"/>
          <w:sz w:val="21"/>
          <w:szCs w:val="21"/>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auto"/>
          <w:sz w:val="21"/>
          <w:szCs w:val="21"/>
          <w:highlight w:val="none"/>
          <w:lang w:val="en-US" w:eastAsia="zh-CN"/>
        </w:rPr>
        <w:t>格式自拟</w:t>
      </w:r>
    </w:p>
    <w:p w14:paraId="4D70A2A7">
      <w:pPr>
        <w:pStyle w:val="11"/>
        <w:rPr>
          <w:rFonts w:hint="eastAsia" w:ascii="仿宋" w:hAnsi="仿宋" w:eastAsia="仿宋" w:cs="仿宋"/>
          <w:color w:val="auto"/>
          <w:sz w:val="21"/>
          <w:szCs w:val="21"/>
          <w:highlight w:val="none"/>
          <w:lang w:val="en-US" w:eastAsia="zh-CN"/>
        </w:rPr>
      </w:pPr>
    </w:p>
    <w:p w14:paraId="121A5038">
      <w:pPr>
        <w:tabs>
          <w:tab w:val="left" w:pos="567"/>
        </w:tabs>
        <w:spacing w:line="460" w:lineRule="exact"/>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1、投标人代表证明</w:t>
      </w:r>
    </w:p>
    <w:p w14:paraId="5C55A814">
      <w:pPr>
        <w:snapToGrid w:val="0"/>
        <w:spacing w:line="360" w:lineRule="auto"/>
        <w:ind w:left="480" w:hanging="502" w:hangingChars="200"/>
        <w:jc w:val="left"/>
        <w:rPr>
          <w:rFonts w:hint="eastAsia" w:ascii="仿宋" w:hAnsi="仿宋" w:eastAsia="仿宋" w:cs="仿宋"/>
          <w:bCs/>
          <w:color w:val="auto"/>
          <w:spacing w:val="6"/>
          <w:sz w:val="21"/>
          <w:szCs w:val="21"/>
          <w:highlight w:val="none"/>
        </w:rPr>
      </w:pPr>
      <w:r>
        <w:rPr>
          <w:rFonts w:hint="eastAsia" w:ascii="仿宋" w:hAnsi="仿宋" w:eastAsia="仿宋" w:cs="仿宋"/>
          <w:b/>
          <w:bCs/>
          <w:color w:val="auto"/>
          <w:spacing w:val="20"/>
          <w:sz w:val="21"/>
          <w:szCs w:val="21"/>
          <w:highlight w:val="none"/>
        </w:rPr>
        <w:t>法定代表人（负责人）身份证明书格式</w:t>
      </w:r>
    </w:p>
    <w:p w14:paraId="362D7133">
      <w:pPr>
        <w:snapToGrid w:val="0"/>
        <w:spacing w:line="360" w:lineRule="auto"/>
        <w:ind w:left="480" w:hanging="502" w:hangingChars="200"/>
        <w:jc w:val="center"/>
        <w:rPr>
          <w:rFonts w:hint="eastAsia" w:ascii="仿宋" w:hAnsi="仿宋" w:eastAsia="仿宋" w:cs="仿宋"/>
          <w:b/>
          <w:bCs/>
          <w:color w:val="auto"/>
          <w:spacing w:val="20"/>
          <w:sz w:val="21"/>
          <w:szCs w:val="21"/>
          <w:highlight w:val="none"/>
        </w:rPr>
      </w:pPr>
    </w:p>
    <w:p w14:paraId="183A2662">
      <w:pPr>
        <w:snapToGrid w:val="0"/>
        <w:spacing w:line="360" w:lineRule="auto"/>
        <w:ind w:left="480" w:hanging="502" w:hangingChars="200"/>
        <w:jc w:val="center"/>
        <w:rPr>
          <w:rFonts w:hint="eastAsia" w:ascii="仿宋" w:hAnsi="仿宋" w:eastAsia="仿宋" w:cs="仿宋"/>
          <w:bCs/>
          <w:color w:val="auto"/>
          <w:spacing w:val="6"/>
          <w:sz w:val="21"/>
          <w:szCs w:val="21"/>
          <w:highlight w:val="none"/>
        </w:rPr>
      </w:pPr>
      <w:r>
        <w:rPr>
          <w:rFonts w:hint="eastAsia" w:ascii="仿宋" w:hAnsi="仿宋" w:eastAsia="仿宋" w:cs="仿宋"/>
          <w:b/>
          <w:color w:val="auto"/>
          <w:spacing w:val="20"/>
          <w:sz w:val="21"/>
          <w:szCs w:val="21"/>
          <w:highlight w:val="none"/>
        </w:rPr>
        <w:t>法定代表人（负责人）身份证明书</w:t>
      </w:r>
    </w:p>
    <w:p w14:paraId="4D27C9B2">
      <w:pPr>
        <w:spacing w:line="360" w:lineRule="auto"/>
        <w:rPr>
          <w:rFonts w:hint="eastAsia" w:ascii="仿宋" w:hAnsi="仿宋" w:eastAsia="仿宋" w:cs="仿宋"/>
          <w:color w:val="auto"/>
          <w:spacing w:val="6"/>
          <w:sz w:val="21"/>
          <w:szCs w:val="21"/>
          <w:highlight w:val="none"/>
          <w:u w:val="single"/>
        </w:rPr>
      </w:pPr>
      <w:r>
        <w:rPr>
          <w:rFonts w:hint="eastAsia" w:ascii="仿宋" w:hAnsi="仿宋" w:eastAsia="仿宋" w:cs="仿宋"/>
          <w:color w:val="auto"/>
          <w:spacing w:val="6"/>
          <w:sz w:val="21"/>
          <w:szCs w:val="21"/>
          <w:highlight w:val="none"/>
        </w:rPr>
        <w:t>单位名称：</w:t>
      </w:r>
    </w:p>
    <w:p w14:paraId="57193E62">
      <w:pPr>
        <w:spacing w:line="360" w:lineRule="auto"/>
        <w:rPr>
          <w:rFonts w:hint="eastAsia" w:ascii="仿宋" w:hAnsi="仿宋" w:eastAsia="仿宋" w:cs="仿宋"/>
          <w:color w:val="auto"/>
          <w:spacing w:val="6"/>
          <w:sz w:val="21"/>
          <w:szCs w:val="21"/>
          <w:highlight w:val="none"/>
          <w:u w:val="single"/>
        </w:rPr>
      </w:pPr>
      <w:r>
        <w:rPr>
          <w:rFonts w:hint="eastAsia" w:ascii="仿宋" w:hAnsi="仿宋" w:eastAsia="仿宋" w:cs="仿宋"/>
          <w:color w:val="auto"/>
          <w:spacing w:val="6"/>
          <w:sz w:val="21"/>
          <w:szCs w:val="21"/>
          <w:highlight w:val="none"/>
        </w:rPr>
        <w:t>单位性质：</w:t>
      </w:r>
    </w:p>
    <w:p w14:paraId="41F1E8AE">
      <w:pPr>
        <w:spacing w:line="360" w:lineRule="auto"/>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地    址：</w:t>
      </w:r>
    </w:p>
    <w:p w14:paraId="1F194A6A">
      <w:pPr>
        <w:spacing w:line="360" w:lineRule="auto"/>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成立时间：      年    月    日</w:t>
      </w:r>
    </w:p>
    <w:p w14:paraId="27115F4D">
      <w:pPr>
        <w:spacing w:line="360" w:lineRule="auto"/>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 xml:space="preserve">经营期限：    </w:t>
      </w:r>
    </w:p>
    <w:p w14:paraId="1DFD3CFB">
      <w:pPr>
        <w:spacing w:line="360" w:lineRule="auto"/>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 xml:space="preserve">姓    名：                      性  别：                 </w:t>
      </w:r>
    </w:p>
    <w:p w14:paraId="35564DCD">
      <w:pPr>
        <w:spacing w:line="360" w:lineRule="auto"/>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 xml:space="preserve">身份证号：                      职  务：         </w:t>
      </w:r>
    </w:p>
    <w:p w14:paraId="0CF02EED">
      <w:pPr>
        <w:spacing w:line="360" w:lineRule="auto"/>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 xml:space="preserve">系 </w:t>
      </w:r>
      <w:r>
        <w:rPr>
          <w:rFonts w:hint="eastAsia" w:ascii="仿宋" w:hAnsi="仿宋" w:eastAsia="仿宋" w:cs="仿宋"/>
          <w:color w:val="auto"/>
          <w:spacing w:val="6"/>
          <w:sz w:val="21"/>
          <w:szCs w:val="21"/>
          <w:highlight w:val="none"/>
          <w:u w:val="single"/>
        </w:rPr>
        <w:t xml:space="preserve">      （投标人名称）          </w:t>
      </w:r>
      <w:r>
        <w:rPr>
          <w:rFonts w:hint="eastAsia" w:ascii="仿宋" w:hAnsi="仿宋" w:eastAsia="仿宋" w:cs="仿宋"/>
          <w:color w:val="auto"/>
          <w:spacing w:val="6"/>
          <w:sz w:val="21"/>
          <w:szCs w:val="21"/>
          <w:highlight w:val="none"/>
        </w:rPr>
        <w:t xml:space="preserve">的法定代表人（负责人）。 </w:t>
      </w:r>
    </w:p>
    <w:p w14:paraId="0AF5CB37">
      <w:pPr>
        <w:spacing w:line="360" w:lineRule="auto"/>
        <w:ind w:firstLine="444" w:firstLineChars="200"/>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 xml:space="preserve">特此证明。   </w:t>
      </w:r>
    </w:p>
    <w:p w14:paraId="42F5DB8F">
      <w:pPr>
        <w:tabs>
          <w:tab w:val="left" w:pos="4000"/>
        </w:tabs>
        <w:snapToGrid w:val="0"/>
        <w:spacing w:line="360" w:lineRule="auto"/>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ab/>
      </w:r>
      <w:r>
        <w:rPr>
          <w:rFonts w:hint="eastAsia" w:ascii="仿宋" w:hAnsi="仿宋" w:eastAsia="仿宋" w:cs="仿宋"/>
          <w:color w:val="auto"/>
          <w:spacing w:val="20"/>
          <w:sz w:val="21"/>
          <w:szCs w:val="21"/>
          <w:highlight w:val="none"/>
        </w:rPr>
        <w:t>投标人：(法人电子签章)</w:t>
      </w:r>
    </w:p>
    <w:p w14:paraId="3D1A2BFF">
      <w:pPr>
        <w:tabs>
          <w:tab w:val="left" w:pos="4490"/>
        </w:tabs>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pacing w:val="20"/>
          <w:sz w:val="21"/>
          <w:szCs w:val="21"/>
          <w:highlight w:val="none"/>
        </w:rPr>
        <w:tab/>
      </w:r>
      <w:r>
        <w:rPr>
          <w:rFonts w:hint="eastAsia" w:ascii="仿宋" w:hAnsi="仿宋" w:eastAsia="仿宋" w:cs="仿宋"/>
          <w:color w:val="auto"/>
          <w:spacing w:val="20"/>
          <w:sz w:val="21"/>
          <w:szCs w:val="21"/>
          <w:highlight w:val="none"/>
        </w:rPr>
        <w:t>年   月   日</w:t>
      </w:r>
    </w:p>
    <w:p w14:paraId="18B912DA">
      <w:pPr>
        <w:spacing w:line="360" w:lineRule="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附法定代表人有效的身份证正反两面扫描件</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E9F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8" w:hRule="atLeast"/>
        </w:trPr>
        <w:tc>
          <w:tcPr>
            <w:tcW w:w="2500" w:type="pct"/>
            <w:tcBorders>
              <w:top w:val="single" w:color="auto" w:sz="4" w:space="0"/>
              <w:left w:val="single" w:color="auto" w:sz="4" w:space="0"/>
              <w:bottom w:val="single" w:color="auto" w:sz="4" w:space="0"/>
              <w:right w:val="single" w:color="auto" w:sz="4" w:space="0"/>
            </w:tcBorders>
            <w:noWrap w:val="0"/>
            <w:vAlign w:val="top"/>
          </w:tcPr>
          <w:p w14:paraId="6972F262">
            <w:pPr>
              <w:spacing w:line="276" w:lineRule="auto"/>
              <w:rPr>
                <w:rFonts w:hint="eastAsia" w:ascii="仿宋" w:hAnsi="仿宋" w:eastAsia="仿宋" w:cs="仿宋"/>
                <w:b/>
                <w:color w:val="auto"/>
                <w:sz w:val="21"/>
                <w:szCs w:val="21"/>
                <w:highlight w:val="none"/>
              </w:rPr>
            </w:pPr>
          </w:p>
        </w:tc>
        <w:tc>
          <w:tcPr>
            <w:tcW w:w="2500" w:type="pct"/>
            <w:tcBorders>
              <w:top w:val="single" w:color="auto" w:sz="4" w:space="0"/>
              <w:left w:val="single" w:color="auto" w:sz="4" w:space="0"/>
              <w:bottom w:val="single" w:color="auto" w:sz="4" w:space="0"/>
              <w:right w:val="single" w:color="auto" w:sz="4" w:space="0"/>
            </w:tcBorders>
            <w:noWrap w:val="0"/>
            <w:vAlign w:val="top"/>
          </w:tcPr>
          <w:p w14:paraId="26664690">
            <w:pPr>
              <w:spacing w:line="276" w:lineRule="auto"/>
              <w:rPr>
                <w:rFonts w:hint="eastAsia" w:ascii="仿宋" w:hAnsi="仿宋" w:eastAsia="仿宋" w:cs="仿宋"/>
                <w:b/>
                <w:color w:val="auto"/>
                <w:sz w:val="21"/>
                <w:szCs w:val="21"/>
                <w:highlight w:val="none"/>
              </w:rPr>
            </w:pPr>
          </w:p>
        </w:tc>
      </w:tr>
    </w:tbl>
    <w:p w14:paraId="05E47A9B">
      <w:pPr>
        <w:pStyle w:val="17"/>
        <w:jc w:val="both"/>
        <w:rPr>
          <w:rFonts w:hint="eastAsia" w:ascii="仿宋" w:hAnsi="仿宋" w:eastAsia="仿宋" w:cs="仿宋"/>
          <w:b/>
          <w:bCs/>
          <w:color w:val="auto"/>
          <w:sz w:val="21"/>
          <w:szCs w:val="21"/>
          <w:highlight w:val="none"/>
        </w:rPr>
      </w:pPr>
    </w:p>
    <w:p w14:paraId="5252BF03">
      <w:pPr>
        <w:pStyle w:val="17"/>
        <w:rPr>
          <w:rFonts w:hint="eastAsia" w:ascii="仿宋" w:hAnsi="仿宋" w:eastAsia="仿宋" w:cs="仿宋"/>
          <w:b/>
          <w:bCs/>
          <w:color w:val="auto"/>
          <w:sz w:val="21"/>
          <w:szCs w:val="21"/>
          <w:highlight w:val="none"/>
        </w:rPr>
      </w:pPr>
    </w:p>
    <w:p w14:paraId="35E57129">
      <w:pPr>
        <w:snapToGrid w:val="0"/>
        <w:spacing w:line="360" w:lineRule="auto"/>
        <w:rPr>
          <w:rFonts w:hint="eastAsia" w:ascii="仿宋" w:hAnsi="仿宋" w:eastAsia="仿宋" w:cs="仿宋"/>
          <w:b/>
          <w:color w:val="auto"/>
          <w:sz w:val="21"/>
          <w:szCs w:val="21"/>
          <w:highlight w:val="none"/>
        </w:rPr>
      </w:pPr>
    </w:p>
    <w:p w14:paraId="63778FA5">
      <w:pPr>
        <w:snapToGrid w:val="0"/>
        <w:spacing w:line="360" w:lineRule="auto"/>
        <w:rPr>
          <w:rFonts w:hint="eastAsia" w:ascii="仿宋" w:hAnsi="仿宋" w:eastAsia="仿宋" w:cs="仿宋"/>
          <w:b/>
          <w:color w:val="auto"/>
          <w:sz w:val="21"/>
          <w:szCs w:val="21"/>
          <w:highlight w:val="none"/>
        </w:rPr>
      </w:pPr>
    </w:p>
    <w:p w14:paraId="5EA3AF40">
      <w:pPr>
        <w:snapToGrid w:val="0"/>
        <w:spacing w:line="360" w:lineRule="auto"/>
        <w:rPr>
          <w:rFonts w:hint="eastAsia" w:ascii="仿宋" w:hAnsi="仿宋" w:eastAsia="仿宋" w:cs="仿宋"/>
          <w:b/>
          <w:color w:val="auto"/>
          <w:sz w:val="21"/>
          <w:szCs w:val="21"/>
          <w:highlight w:val="none"/>
        </w:rPr>
      </w:pPr>
    </w:p>
    <w:p w14:paraId="260F0599">
      <w:pPr>
        <w:snapToGrid w:val="0"/>
        <w:spacing w:line="360" w:lineRule="auto"/>
        <w:rPr>
          <w:rFonts w:hint="eastAsia" w:ascii="仿宋" w:hAnsi="仿宋" w:eastAsia="仿宋" w:cs="仿宋"/>
          <w:b/>
          <w:color w:val="auto"/>
          <w:sz w:val="21"/>
          <w:szCs w:val="21"/>
          <w:highlight w:val="none"/>
        </w:rPr>
      </w:pPr>
    </w:p>
    <w:p w14:paraId="0E98C546">
      <w:pPr>
        <w:snapToGrid w:val="0"/>
        <w:spacing w:line="360" w:lineRule="auto"/>
        <w:rPr>
          <w:rFonts w:hint="eastAsia" w:ascii="仿宋" w:hAnsi="仿宋" w:eastAsia="仿宋" w:cs="仿宋"/>
          <w:b/>
          <w:color w:val="auto"/>
          <w:sz w:val="21"/>
          <w:szCs w:val="21"/>
          <w:highlight w:val="none"/>
        </w:rPr>
      </w:pPr>
    </w:p>
    <w:p w14:paraId="79C78DEB">
      <w:pPr>
        <w:snapToGrid w:val="0"/>
        <w:spacing w:line="360" w:lineRule="auto"/>
        <w:rPr>
          <w:rFonts w:hint="eastAsia" w:ascii="仿宋" w:hAnsi="仿宋" w:eastAsia="仿宋" w:cs="仿宋"/>
          <w:b/>
          <w:color w:val="auto"/>
          <w:sz w:val="21"/>
          <w:szCs w:val="21"/>
          <w:highlight w:val="none"/>
        </w:rPr>
        <w:sectPr>
          <w:pgSz w:w="11906" w:h="16838"/>
          <w:pgMar w:top="1440" w:right="1800" w:bottom="1440" w:left="1800" w:header="851" w:footer="992" w:gutter="0"/>
          <w:pgNumType w:fmt="decimal"/>
          <w:cols w:space="425" w:num="1"/>
          <w:docGrid w:type="lines" w:linePitch="312" w:charSpace="0"/>
        </w:sectPr>
      </w:pPr>
    </w:p>
    <w:p w14:paraId="0FB4E001">
      <w:pPr>
        <w:snapToGrid w:val="0"/>
        <w:spacing w:line="360" w:lineRule="auto"/>
        <w:rPr>
          <w:rFonts w:hint="eastAsia" w:ascii="仿宋" w:hAnsi="仿宋" w:eastAsia="仿宋" w:cs="仿宋"/>
          <w:b/>
          <w:bCs/>
          <w:color w:val="auto"/>
          <w:sz w:val="21"/>
          <w:szCs w:val="21"/>
          <w:highlight w:val="none"/>
        </w:rPr>
      </w:pPr>
      <w:r>
        <w:rPr>
          <w:rFonts w:hint="eastAsia" w:ascii="仿宋" w:hAnsi="仿宋" w:eastAsia="仿宋" w:cs="仿宋"/>
          <w:b/>
          <w:color w:val="auto"/>
          <w:sz w:val="21"/>
          <w:szCs w:val="21"/>
          <w:highlight w:val="none"/>
        </w:rPr>
        <w:t>法定代表人（负责人）授权委托书格式</w:t>
      </w:r>
    </w:p>
    <w:p w14:paraId="611427E5">
      <w:pPr>
        <w:snapToGrid w:val="0"/>
        <w:spacing w:line="360" w:lineRule="auto"/>
        <w:ind w:left="480" w:hanging="422" w:hangingChars="20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 xml:space="preserve"> 法定代表人（负责人）授权委托书   </w:t>
      </w:r>
    </w:p>
    <w:p w14:paraId="7B27F443">
      <w:pPr>
        <w:snapToGrid w:val="0"/>
        <w:spacing w:line="360" w:lineRule="auto"/>
        <w:rPr>
          <w:rFonts w:hint="eastAsia" w:ascii="仿宋" w:hAnsi="仿宋" w:eastAsia="仿宋" w:cs="仿宋"/>
          <w:color w:val="auto"/>
          <w:sz w:val="21"/>
          <w:szCs w:val="21"/>
          <w:highlight w:val="none"/>
        </w:rPr>
      </w:pPr>
    </w:p>
    <w:p w14:paraId="79244EA2">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本授权委托书声明：注册于（投标人住址）的（投标人名称）法定代表人（法定代表人姓名、职务、身份证号）代表本公司授权（投标人代表姓名、职务、身份证号）为本公司的合法代理人，就贵方组织</w:t>
      </w:r>
      <w:r>
        <w:rPr>
          <w:rFonts w:hint="eastAsia" w:ascii="仿宋" w:hAnsi="仿宋" w:eastAsia="仿宋" w:cs="仿宋"/>
          <w:color w:val="auto"/>
          <w:spacing w:val="6"/>
          <w:sz w:val="21"/>
          <w:szCs w:val="21"/>
          <w:highlight w:val="none"/>
          <w:u w:val="single"/>
        </w:rPr>
        <w:t xml:space="preserve">           </w:t>
      </w:r>
      <w:r>
        <w:rPr>
          <w:rFonts w:hint="eastAsia" w:ascii="仿宋" w:hAnsi="仿宋" w:eastAsia="仿宋" w:cs="仿宋"/>
          <w:color w:val="auto"/>
          <w:sz w:val="21"/>
          <w:szCs w:val="21"/>
          <w:highlight w:val="none"/>
        </w:rPr>
        <w:t>项目，项目编号：</w:t>
      </w:r>
      <w:r>
        <w:rPr>
          <w:rFonts w:hint="eastAsia" w:ascii="仿宋" w:hAnsi="仿宋" w:eastAsia="仿宋" w:cs="仿宋"/>
          <w:color w:val="auto"/>
          <w:spacing w:val="6"/>
          <w:sz w:val="21"/>
          <w:szCs w:val="21"/>
          <w:highlight w:val="none"/>
          <w:u w:val="single"/>
        </w:rPr>
        <w:t xml:space="preserve">           </w:t>
      </w:r>
      <w:r>
        <w:rPr>
          <w:rFonts w:hint="eastAsia" w:ascii="仿宋" w:hAnsi="仿宋" w:eastAsia="仿宋" w:cs="仿宋"/>
          <w:color w:val="auto"/>
          <w:sz w:val="21"/>
          <w:szCs w:val="21"/>
          <w:highlight w:val="none"/>
        </w:rPr>
        <w:t>，以本公司名义处理一切与之有关的事务。</w:t>
      </w:r>
    </w:p>
    <w:p w14:paraId="0ECE6A98">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本授权书于    年  月  日生效，特此声明。                                  </w:t>
      </w:r>
    </w:p>
    <w:p w14:paraId="05BC3C94">
      <w:pPr>
        <w:snapToGrid w:val="0"/>
        <w:spacing w:line="360" w:lineRule="auto"/>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w:t>
      </w:r>
      <w:r>
        <w:rPr>
          <w:rFonts w:hint="eastAsia" w:ascii="仿宋" w:hAnsi="仿宋" w:eastAsia="仿宋" w:cs="仿宋"/>
          <w:color w:val="auto"/>
          <w:spacing w:val="20"/>
          <w:sz w:val="21"/>
          <w:szCs w:val="21"/>
          <w:highlight w:val="none"/>
        </w:rPr>
        <w:t>法人电子签章</w:t>
      </w:r>
      <w:r>
        <w:rPr>
          <w:rFonts w:hint="eastAsia" w:ascii="仿宋" w:hAnsi="仿宋" w:eastAsia="仿宋" w:cs="仿宋"/>
          <w:color w:val="auto"/>
          <w:sz w:val="21"/>
          <w:szCs w:val="21"/>
          <w:highlight w:val="none"/>
        </w:rPr>
        <w:t>）</w:t>
      </w:r>
    </w:p>
    <w:p w14:paraId="2FB0466E">
      <w:pPr>
        <w:snapToGrid w:val="0"/>
        <w:spacing w:line="360" w:lineRule="auto"/>
        <w:ind w:left="5250" w:leftChars="200" w:hanging="4830" w:hangingChars="2300"/>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法定代表人（负责人）：（法定代表人电子签章） </w:t>
      </w:r>
    </w:p>
    <w:p w14:paraId="337896D8">
      <w:pPr>
        <w:snapToGrid w:val="0"/>
        <w:spacing w:line="360" w:lineRule="auto"/>
        <w:ind w:left="5250" w:leftChars="200" w:hanging="4830" w:hangingChars="2300"/>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代理人：（代理人电子签章）                                                                              年  月  日</w:t>
      </w:r>
    </w:p>
    <w:p w14:paraId="117FF2A5">
      <w:pPr>
        <w:spacing w:line="360" w:lineRule="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附投标人代表有效的身份证正反两面扫描件</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12B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trPr>
        <w:tc>
          <w:tcPr>
            <w:tcW w:w="2500" w:type="pct"/>
            <w:tcBorders>
              <w:top w:val="single" w:color="auto" w:sz="4" w:space="0"/>
              <w:left w:val="single" w:color="auto" w:sz="4" w:space="0"/>
              <w:bottom w:val="single" w:color="auto" w:sz="4" w:space="0"/>
              <w:right w:val="single" w:color="auto" w:sz="4" w:space="0"/>
            </w:tcBorders>
            <w:noWrap w:val="0"/>
            <w:vAlign w:val="top"/>
          </w:tcPr>
          <w:p w14:paraId="789CB8CD">
            <w:pPr>
              <w:spacing w:line="276" w:lineRule="auto"/>
              <w:rPr>
                <w:rFonts w:hint="eastAsia" w:ascii="仿宋" w:hAnsi="仿宋" w:eastAsia="仿宋" w:cs="仿宋"/>
                <w:b/>
                <w:color w:val="auto"/>
                <w:sz w:val="21"/>
                <w:szCs w:val="21"/>
                <w:highlight w:val="none"/>
              </w:rPr>
            </w:pPr>
          </w:p>
        </w:tc>
        <w:tc>
          <w:tcPr>
            <w:tcW w:w="2500" w:type="pct"/>
            <w:tcBorders>
              <w:top w:val="single" w:color="auto" w:sz="4" w:space="0"/>
              <w:left w:val="single" w:color="auto" w:sz="4" w:space="0"/>
              <w:bottom w:val="single" w:color="auto" w:sz="4" w:space="0"/>
              <w:right w:val="single" w:color="auto" w:sz="4" w:space="0"/>
            </w:tcBorders>
            <w:noWrap w:val="0"/>
            <w:vAlign w:val="top"/>
          </w:tcPr>
          <w:p w14:paraId="3541A8D7">
            <w:pPr>
              <w:spacing w:line="276" w:lineRule="auto"/>
              <w:rPr>
                <w:rFonts w:hint="eastAsia" w:ascii="仿宋" w:hAnsi="仿宋" w:eastAsia="仿宋" w:cs="仿宋"/>
                <w:b/>
                <w:color w:val="auto"/>
                <w:sz w:val="21"/>
                <w:szCs w:val="21"/>
                <w:highlight w:val="none"/>
              </w:rPr>
            </w:pPr>
          </w:p>
        </w:tc>
      </w:tr>
    </w:tbl>
    <w:p w14:paraId="1D56421C">
      <w:pPr>
        <w:spacing w:line="360" w:lineRule="auto"/>
        <w:rPr>
          <w:rFonts w:hint="eastAsia" w:ascii="仿宋" w:hAnsi="仿宋" w:eastAsia="仿宋" w:cs="仿宋"/>
          <w:b/>
          <w:color w:val="auto"/>
          <w:sz w:val="21"/>
          <w:szCs w:val="21"/>
          <w:highlight w:val="none"/>
          <w:lang w:val="en-US" w:eastAsia="zh-CN"/>
        </w:rPr>
      </w:pPr>
    </w:p>
    <w:p w14:paraId="45F6C457">
      <w:pPr>
        <w:spacing w:line="480" w:lineRule="exact"/>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color w:val="auto"/>
          <w:sz w:val="21"/>
          <w:szCs w:val="21"/>
          <w:highlight w:val="none"/>
        </w:rPr>
        <w:t>注：法定代表人（负责人）参加，不用此委托书。</w:t>
      </w:r>
      <w:r>
        <w:rPr>
          <w:rFonts w:hint="eastAsia" w:ascii="仿宋" w:hAnsi="仿宋" w:eastAsia="仿宋" w:cs="仿宋"/>
          <w:b/>
          <w:color w:val="auto"/>
          <w:sz w:val="21"/>
          <w:szCs w:val="21"/>
          <w:highlight w:val="none"/>
        </w:rPr>
        <w:br w:type="page"/>
      </w:r>
      <w:r>
        <w:rPr>
          <w:rFonts w:hint="eastAsia" w:ascii="仿宋" w:hAnsi="仿宋" w:eastAsia="仿宋" w:cs="仿宋"/>
          <w:b/>
          <w:bCs/>
          <w:color w:val="auto"/>
          <w:sz w:val="21"/>
          <w:szCs w:val="21"/>
          <w:highlight w:val="none"/>
          <w:lang w:val="en-US" w:eastAsia="zh-CN"/>
        </w:rPr>
        <w:t>2、投标函</w:t>
      </w:r>
    </w:p>
    <w:p w14:paraId="0E308C68">
      <w:pPr>
        <w:spacing w:line="480" w:lineRule="exact"/>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投  标  函</w:t>
      </w:r>
    </w:p>
    <w:p w14:paraId="73C84900">
      <w:pPr>
        <w:tabs>
          <w:tab w:val="left" w:pos="4860"/>
        </w:tabs>
        <w:snapToGrid w:val="0"/>
        <w:spacing w:line="360" w:lineRule="auto"/>
        <w:rPr>
          <w:rFonts w:hint="eastAsia" w:ascii="仿宋" w:hAnsi="仿宋" w:eastAsia="仿宋" w:cs="仿宋"/>
          <w:color w:val="auto"/>
          <w:kern w:val="0"/>
          <w:sz w:val="21"/>
          <w:szCs w:val="21"/>
          <w:highlight w:val="none"/>
          <w:u w:val="single"/>
        </w:rPr>
      </w:pPr>
    </w:p>
    <w:p w14:paraId="3C13C397">
      <w:pPr>
        <w:snapToGrid w:val="0"/>
        <w:spacing w:line="48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bidi="ar"/>
        </w:rPr>
        <w:t>（</w:t>
      </w:r>
      <w:r>
        <w:rPr>
          <w:rFonts w:hint="eastAsia" w:ascii="仿宋" w:hAnsi="仿宋" w:eastAsia="仿宋" w:cs="仿宋"/>
          <w:color w:val="auto"/>
          <w:kern w:val="0"/>
          <w:sz w:val="21"/>
          <w:szCs w:val="21"/>
          <w:highlight w:val="none"/>
          <w:u w:val="single"/>
          <w:lang w:val="en-US" w:eastAsia="zh-CN" w:bidi="ar"/>
        </w:rPr>
        <w:t>采购人名称或</w:t>
      </w:r>
      <w:r>
        <w:rPr>
          <w:rFonts w:hint="eastAsia" w:ascii="仿宋" w:hAnsi="仿宋" w:eastAsia="仿宋" w:cs="仿宋"/>
          <w:color w:val="auto"/>
          <w:kern w:val="0"/>
          <w:sz w:val="21"/>
          <w:szCs w:val="21"/>
          <w:highlight w:val="none"/>
          <w:u w:val="single"/>
        </w:rPr>
        <w:t>采购代理机构名称</w:t>
      </w:r>
      <w:r>
        <w:rPr>
          <w:rFonts w:hint="eastAsia" w:ascii="仿宋" w:hAnsi="仿宋" w:eastAsia="仿宋" w:cs="仿宋"/>
          <w:color w:val="auto"/>
          <w:kern w:val="0"/>
          <w:sz w:val="21"/>
          <w:szCs w:val="21"/>
          <w:highlight w:val="none"/>
          <w:lang w:val="en-US" w:eastAsia="zh-CN" w:bidi="ar"/>
        </w:rPr>
        <w:t>）</w:t>
      </w:r>
      <w:r>
        <w:rPr>
          <w:rFonts w:hint="eastAsia" w:ascii="仿宋" w:hAnsi="仿宋" w:eastAsia="仿宋" w:cs="仿宋"/>
          <w:color w:val="auto"/>
          <w:kern w:val="0"/>
          <w:sz w:val="21"/>
          <w:szCs w:val="21"/>
          <w:highlight w:val="none"/>
        </w:rPr>
        <w:t>：</w:t>
      </w:r>
    </w:p>
    <w:p w14:paraId="5C52CDAE">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u w:val="single"/>
        </w:rPr>
        <w:t xml:space="preserve">                     （投标人全称）</w:t>
      </w:r>
      <w:r>
        <w:rPr>
          <w:rFonts w:hint="eastAsia" w:ascii="仿宋" w:hAnsi="仿宋" w:eastAsia="仿宋" w:cs="仿宋"/>
          <w:color w:val="auto"/>
          <w:kern w:val="0"/>
          <w:sz w:val="21"/>
          <w:szCs w:val="21"/>
          <w:highlight w:val="none"/>
        </w:rPr>
        <w:t>授权</w:t>
      </w:r>
      <w:r>
        <w:rPr>
          <w:rFonts w:hint="eastAsia" w:ascii="仿宋" w:hAnsi="仿宋" w:eastAsia="仿宋" w:cs="仿宋"/>
          <w:color w:val="auto"/>
          <w:kern w:val="0"/>
          <w:sz w:val="21"/>
          <w:szCs w:val="21"/>
          <w:highlight w:val="none"/>
          <w:u w:val="single"/>
        </w:rPr>
        <w:t xml:space="preserve">            （投标人授权代表姓名、职务)</w:t>
      </w:r>
      <w:r>
        <w:rPr>
          <w:rFonts w:hint="eastAsia" w:ascii="仿宋" w:hAnsi="仿宋" w:eastAsia="仿宋" w:cs="仿宋"/>
          <w:color w:val="auto"/>
          <w:kern w:val="0"/>
          <w:sz w:val="21"/>
          <w:szCs w:val="21"/>
          <w:highlight w:val="none"/>
        </w:rPr>
        <w:t>为我方代表，参加贵方组织的</w:t>
      </w:r>
      <w:r>
        <w:rPr>
          <w:rFonts w:hint="eastAsia" w:ascii="仿宋" w:hAnsi="仿宋" w:eastAsia="仿宋" w:cs="仿宋"/>
          <w:color w:val="auto"/>
          <w:kern w:val="0"/>
          <w:sz w:val="21"/>
          <w:szCs w:val="21"/>
          <w:highlight w:val="none"/>
          <w:u w:val="single"/>
        </w:rPr>
        <w:t xml:space="preserve">       （项目名称）      （项目编号）</w:t>
      </w:r>
      <w:r>
        <w:rPr>
          <w:rFonts w:hint="eastAsia" w:ascii="仿宋" w:hAnsi="仿宋" w:eastAsia="仿宋" w:cs="仿宋"/>
          <w:color w:val="auto"/>
          <w:kern w:val="0"/>
          <w:sz w:val="21"/>
          <w:szCs w:val="21"/>
          <w:highlight w:val="none"/>
        </w:rPr>
        <w:t>投标的有关活动，并对此项目进行报价。为此：</w:t>
      </w:r>
    </w:p>
    <w:p w14:paraId="1344A5AE">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1．我方同意在本项目投标文件中规定的投标文件提交截止之日起</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个日历天内遵守本投标文件中的承诺且在此期限期满之前均具有约束力。</w:t>
      </w:r>
    </w:p>
    <w:p w14:paraId="11ECBFDF">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2．我方承诺已经具备本项目中规定的参加采购活动的投标人应当具备的全部条件。</w:t>
      </w:r>
    </w:p>
    <w:p w14:paraId="324F308A">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3．提供投标人须知规定的全部投标文件，包括投标文件正本、副本。</w:t>
      </w:r>
    </w:p>
    <w:p w14:paraId="448A725C">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4．按投标文件要求提供和交付的货物和服务的报价详见</w:t>
      </w:r>
      <w:r>
        <w:rPr>
          <w:rFonts w:hint="eastAsia" w:ascii="仿宋" w:hAnsi="仿宋" w:eastAsia="仿宋" w:cs="仿宋"/>
          <w:color w:val="auto"/>
          <w:kern w:val="0"/>
          <w:sz w:val="21"/>
          <w:szCs w:val="21"/>
          <w:highlight w:val="none"/>
          <w:lang w:eastAsia="zh-CN"/>
        </w:rPr>
        <w:t>开标一览表</w:t>
      </w:r>
      <w:r>
        <w:rPr>
          <w:rFonts w:hint="eastAsia" w:ascii="仿宋" w:hAnsi="仿宋" w:eastAsia="仿宋" w:cs="仿宋"/>
          <w:color w:val="auto"/>
          <w:kern w:val="0"/>
          <w:sz w:val="21"/>
          <w:szCs w:val="21"/>
          <w:highlight w:val="none"/>
        </w:rPr>
        <w:t>。</w:t>
      </w:r>
    </w:p>
    <w:p w14:paraId="01C2ABDA">
      <w:pPr>
        <w:tabs>
          <w:tab w:val="left" w:pos="1680"/>
        </w:tabs>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5．保证忠实地执行双方所签订的合同，并承担合同规定的责任和义务。</w:t>
      </w:r>
    </w:p>
    <w:p w14:paraId="7FA8998E">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6．承诺完全满足和响应招标文件中的各项商务和技术要求，若有偏差，已在投标文件商务和技术条款偏离表中予以明确特别说明。</w:t>
      </w:r>
    </w:p>
    <w:p w14:paraId="6E7E1CCA">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7．保证遵守招标文件的规定。</w:t>
      </w:r>
    </w:p>
    <w:p w14:paraId="49672CC3">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8．如果在规定的投标文件有效期内撤回投标文件，我方的投标保证金可被贵方没收。</w:t>
      </w:r>
    </w:p>
    <w:p w14:paraId="6D6FFE56">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9．我方完全理解贵方不接受可选择性报价。</w:t>
      </w:r>
    </w:p>
    <w:p w14:paraId="2F3F52FE">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10．我方愿意向贵方提供任何与本项投标有关的数据、情况和技术资料。若贵方需要，我方愿意提供我方做出的一切承诺的证明材料。</w:t>
      </w:r>
    </w:p>
    <w:p w14:paraId="65778D93">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11．我方已详细审核全部投标文件，包括投标文件修改书（如有的话）、参考资料及有关附件，确认无误。</w:t>
      </w:r>
    </w:p>
    <w:p w14:paraId="4AE2D3E3">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12．我方承诺：采购人若需追加采购本项目投标文件所列货物及相关服务的，在不改变合同其他实质性条款的前提下，按相同或更优惠的折扣并保证供货质量。</w:t>
      </w:r>
    </w:p>
    <w:p w14:paraId="6265E74B">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．我方将严格遵守本项目的有关规定，若有下列情形之一的，将接受采购人的处罚，在</w:t>
      </w:r>
      <w:r>
        <w:rPr>
          <w:rFonts w:hint="eastAsia" w:ascii="仿宋" w:hAnsi="仿宋" w:eastAsia="仿宋" w:cs="仿宋"/>
          <w:color w:val="auto"/>
          <w:kern w:val="0"/>
          <w:sz w:val="21"/>
          <w:szCs w:val="21"/>
          <w:highlight w:val="none"/>
          <w:lang w:val="en-US" w:eastAsia="zh-CN"/>
        </w:rPr>
        <w:t>一</w:t>
      </w:r>
      <w:r>
        <w:rPr>
          <w:rFonts w:hint="eastAsia" w:ascii="仿宋" w:hAnsi="仿宋" w:eastAsia="仿宋" w:cs="仿宋"/>
          <w:color w:val="auto"/>
          <w:kern w:val="0"/>
          <w:sz w:val="21"/>
          <w:szCs w:val="21"/>
          <w:highlight w:val="none"/>
        </w:rPr>
        <w:t>至三年内禁止参加采购人非政府采购项目的采购活动。情节严重的，有采购人上报上级部门进行处理：</w:t>
      </w:r>
    </w:p>
    <w:p w14:paraId="6E7C2622">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（1）提供虚假材料谋取</w:t>
      </w:r>
      <w:r>
        <w:rPr>
          <w:rFonts w:hint="eastAsia" w:ascii="仿宋" w:hAnsi="仿宋" w:eastAsia="仿宋" w:cs="仿宋"/>
          <w:color w:val="auto"/>
          <w:kern w:val="0"/>
          <w:sz w:val="21"/>
          <w:szCs w:val="21"/>
          <w:highlight w:val="none"/>
          <w:lang w:val="en-US" w:eastAsia="zh-CN"/>
        </w:rPr>
        <w:t>中标</w:t>
      </w:r>
      <w:r>
        <w:rPr>
          <w:rFonts w:hint="eastAsia" w:ascii="仿宋" w:hAnsi="仿宋" w:eastAsia="仿宋" w:cs="仿宋"/>
          <w:color w:val="auto"/>
          <w:kern w:val="0"/>
          <w:sz w:val="21"/>
          <w:szCs w:val="21"/>
          <w:highlight w:val="none"/>
        </w:rPr>
        <w:t>的；</w:t>
      </w:r>
    </w:p>
    <w:p w14:paraId="1A415DB5">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（2）采取不正当手段诋毁、排挤其他投标人的；</w:t>
      </w:r>
    </w:p>
    <w:p w14:paraId="34D0C540">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（3）与采购人、其它投标人或者采购代理机构工作人员恶意串通的；</w:t>
      </w:r>
    </w:p>
    <w:p w14:paraId="4D11C7F4">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（4）向采购人、采购代理机构工作人员行贿或者提供其他不正当利益的；</w:t>
      </w:r>
    </w:p>
    <w:p w14:paraId="2D5C2E13">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（5）投标文件提交截止时间后撤回投标文件的；</w:t>
      </w:r>
    </w:p>
    <w:p w14:paraId="4450DB4D">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（6）在投标期间，影响采购代理机构或评标委员会正常履行职责的；</w:t>
      </w:r>
    </w:p>
    <w:p w14:paraId="2BE3BC38">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（7）未经采购代理机构同意，在采购过程中与采购人进行协商投标的；</w:t>
      </w:r>
    </w:p>
    <w:p w14:paraId="38C80E00">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（8）成交后未按招标文件、投标文件及相关承诺规定签约或与采购人订立背离合同实质性内容的其它协议的；</w:t>
      </w:r>
    </w:p>
    <w:p w14:paraId="42F576DB">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（9）未按招标文件规定和合同约定履行义务的；</w:t>
      </w:r>
    </w:p>
    <w:p w14:paraId="17278037">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（10）拒绝有关部门监督检查或提供虚假情况的；</w:t>
      </w:r>
    </w:p>
    <w:p w14:paraId="03047FA0">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（11）存在法定代表人或单位负责人为同一个人或者存在直接控股、管理关系的不同投标人，同时参加同一项目或同一子项目的招标活动的。</w:t>
      </w:r>
    </w:p>
    <w:p w14:paraId="7FEAE42E">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（12）违犯采购人规定的其他行为。</w:t>
      </w:r>
    </w:p>
    <w:p w14:paraId="2E31ED1E">
      <w:pPr>
        <w:snapToGrid w:val="0"/>
        <w:spacing w:line="360" w:lineRule="auto"/>
        <w:jc w:val="left"/>
        <w:rPr>
          <w:rFonts w:hint="eastAsia" w:ascii="仿宋" w:hAnsi="仿宋" w:eastAsia="仿宋" w:cs="仿宋"/>
          <w:color w:val="auto"/>
          <w:kern w:val="0"/>
          <w:sz w:val="21"/>
          <w:szCs w:val="21"/>
          <w:highlight w:val="none"/>
        </w:rPr>
      </w:pPr>
    </w:p>
    <w:p w14:paraId="054860CC">
      <w:pPr>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所有有关本投标项目的一切往来联系方式为：</w:t>
      </w:r>
    </w:p>
    <w:p w14:paraId="0B6B49B6">
      <w:pPr>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地址：                            邮编：</w:t>
      </w:r>
    </w:p>
    <w:p w14:paraId="205E5860">
      <w:pPr>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电话：                            传真：</w:t>
      </w:r>
    </w:p>
    <w:p w14:paraId="427AFAD8">
      <w:pPr>
        <w:tabs>
          <w:tab w:val="left" w:pos="480"/>
        </w:tabs>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投标人授权代表姓名：</w:t>
      </w:r>
    </w:p>
    <w:p w14:paraId="2666073C">
      <w:pPr>
        <w:tabs>
          <w:tab w:val="left" w:pos="480"/>
        </w:tabs>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投标人授权代表联系电话：           （办公）           （移动）</w:t>
      </w:r>
    </w:p>
    <w:p w14:paraId="61CF41AF">
      <w:pPr>
        <w:tabs>
          <w:tab w:val="left" w:pos="480"/>
        </w:tabs>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E-mail:</w:t>
      </w:r>
    </w:p>
    <w:p w14:paraId="50C17384">
      <w:pPr>
        <w:tabs>
          <w:tab w:val="left" w:pos="4000"/>
        </w:tabs>
        <w:snapToGrid w:val="0"/>
        <w:spacing w:line="480" w:lineRule="auto"/>
        <w:ind w:firstLine="2310" w:firstLineChars="1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投标人名称：</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(盖章)</w:t>
      </w:r>
    </w:p>
    <w:p w14:paraId="7C81B126">
      <w:pPr>
        <w:tabs>
          <w:tab w:val="left" w:pos="4000"/>
        </w:tabs>
        <w:snapToGrid w:val="0"/>
        <w:spacing w:line="480" w:lineRule="auto"/>
        <w:ind w:firstLine="2310" w:firstLineChars="1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投标人授权代表：</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(签字或盖章)</w:t>
      </w:r>
    </w:p>
    <w:p w14:paraId="56F2B771">
      <w:pPr>
        <w:tabs>
          <w:tab w:val="left" w:pos="4000"/>
        </w:tabs>
        <w:snapToGrid w:val="0"/>
        <w:spacing w:line="480" w:lineRule="auto"/>
        <w:ind w:firstLine="2310" w:firstLineChars="1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日      期：</w:t>
      </w:r>
    </w:p>
    <w:p w14:paraId="357FA085">
      <w:pPr>
        <w:snapToGrid w:val="0"/>
        <w:spacing w:line="360" w:lineRule="auto"/>
        <w:jc w:val="left"/>
        <w:rPr>
          <w:rFonts w:hint="eastAsia" w:ascii="仿宋" w:hAnsi="仿宋" w:eastAsia="仿宋" w:cs="仿宋"/>
          <w:b/>
          <w:bCs/>
          <w:color w:val="auto"/>
          <w:kern w:val="0"/>
          <w:sz w:val="21"/>
          <w:szCs w:val="21"/>
          <w:highlight w:val="none"/>
        </w:rPr>
      </w:pPr>
    </w:p>
    <w:p w14:paraId="4F8022CC">
      <w:pPr>
        <w:rPr>
          <w:rFonts w:hint="eastAsia" w:ascii="仿宋" w:hAnsi="仿宋" w:eastAsia="仿宋" w:cs="仿宋"/>
          <w:b/>
          <w:bCs/>
          <w:color w:val="auto"/>
          <w:kern w:val="0"/>
          <w:sz w:val="21"/>
          <w:szCs w:val="21"/>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bCs/>
          <w:color w:val="auto"/>
          <w:kern w:val="0"/>
          <w:sz w:val="21"/>
          <w:szCs w:val="21"/>
          <w:highlight w:val="none"/>
        </w:rPr>
        <w:t>注：除可填报项目外，对本投标函内容的修改将被视为非实质性响应，从而导致该投标文件无效。</w:t>
      </w:r>
    </w:p>
    <w:p w14:paraId="2462B2E1">
      <w:pPr>
        <w:tabs>
          <w:tab w:val="left" w:pos="567"/>
        </w:tabs>
        <w:spacing w:line="460" w:lineRule="exact"/>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3、具有独立承担民事责任的能力</w:t>
      </w:r>
    </w:p>
    <w:p w14:paraId="6CAE311C">
      <w:pPr>
        <w:spacing w:line="360" w:lineRule="auto"/>
        <w:jc w:val="center"/>
        <w:rPr>
          <w:rFonts w:hint="eastAsia" w:ascii="仿宋" w:hAnsi="仿宋" w:eastAsia="仿宋" w:cs="仿宋"/>
          <w:b/>
          <w:color w:val="auto"/>
          <w:sz w:val="21"/>
          <w:szCs w:val="21"/>
          <w:highlight w:val="none"/>
          <w:lang w:val="en-US" w:eastAsia="zh-CN"/>
        </w:rPr>
      </w:pPr>
    </w:p>
    <w:p w14:paraId="1DCCC6F0">
      <w:pPr>
        <w:spacing w:line="360" w:lineRule="auto"/>
        <w:jc w:val="center"/>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val="en-US" w:eastAsia="zh-CN"/>
        </w:rPr>
        <w:t>投标人</w:t>
      </w:r>
      <w:r>
        <w:rPr>
          <w:rFonts w:hint="eastAsia" w:ascii="仿宋" w:hAnsi="仿宋" w:eastAsia="仿宋" w:cs="仿宋"/>
          <w:b/>
          <w:color w:val="auto"/>
          <w:sz w:val="21"/>
          <w:szCs w:val="21"/>
          <w:highlight w:val="none"/>
        </w:rPr>
        <w:t>具有独立承担民事责任的能力的承诺</w:t>
      </w:r>
      <w:r>
        <w:rPr>
          <w:rFonts w:hint="eastAsia" w:ascii="仿宋" w:hAnsi="仿宋" w:eastAsia="仿宋" w:cs="仿宋"/>
          <w:b/>
          <w:color w:val="auto"/>
          <w:sz w:val="21"/>
          <w:szCs w:val="21"/>
          <w:highlight w:val="none"/>
          <w:lang w:val="en-US" w:eastAsia="zh-CN"/>
        </w:rPr>
        <w:t>书</w:t>
      </w:r>
    </w:p>
    <w:p w14:paraId="4D0DF4B2">
      <w:pPr>
        <w:rPr>
          <w:rFonts w:hint="eastAsia" w:ascii="仿宋" w:hAnsi="仿宋" w:eastAsia="仿宋" w:cs="仿宋"/>
          <w:color w:val="auto"/>
          <w:sz w:val="21"/>
          <w:szCs w:val="21"/>
          <w:highlight w:val="none"/>
          <w:u w:val="single"/>
        </w:rPr>
      </w:pPr>
    </w:p>
    <w:p w14:paraId="702086A6">
      <w:pPr>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招标人</w:t>
      </w:r>
      <w:r>
        <w:rPr>
          <w:rFonts w:hint="eastAsia" w:ascii="仿宋" w:hAnsi="仿宋" w:eastAsia="仿宋" w:cs="仿宋"/>
          <w:color w:val="auto"/>
          <w:sz w:val="21"/>
          <w:szCs w:val="21"/>
          <w:highlight w:val="none"/>
          <w:u w:val="single"/>
        </w:rPr>
        <w:t xml:space="preserve">  ：</w:t>
      </w:r>
    </w:p>
    <w:p w14:paraId="716FD07C">
      <w:pPr>
        <w:widowControl/>
        <w:snapToGrid w:val="0"/>
        <w:spacing w:line="360" w:lineRule="auto"/>
        <w:ind w:firstLine="420" w:firstLineChars="200"/>
        <w:rPr>
          <w:rFonts w:hint="eastAsia" w:ascii="仿宋" w:hAnsi="仿宋" w:eastAsia="仿宋" w:cs="仿宋"/>
          <w:color w:val="auto"/>
          <w:sz w:val="21"/>
          <w:szCs w:val="21"/>
          <w:highlight w:val="none"/>
        </w:rPr>
      </w:pPr>
    </w:p>
    <w:p w14:paraId="4A3BAAAA">
      <w:pPr>
        <w:widowControl/>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w:t>
      </w: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现参与</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项目（项目编号：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）的采购活动。依据</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rPr>
        <w:t>文件相关规定，现郑重承诺：我方具有有效的营业执照或事业单位法人证书或自然人身份证明或其他非企业组织证明文件及有效的开户许可证，能独立承担民事责任的能力。</w:t>
      </w:r>
    </w:p>
    <w:p w14:paraId="406186F3">
      <w:pPr>
        <w:widowControl/>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基本信息如下：</w:t>
      </w:r>
    </w:p>
    <w:p w14:paraId="3142650F">
      <w:pPr>
        <w:widowControl/>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，统一社会信用代码为：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；法定代表人（负责人）为：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；营业期限为: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；基本开户银行为：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；账号为：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74D5EC29">
      <w:pPr>
        <w:widowControl/>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以上承诺信息如有虚假或隐瞒，我方愿意承担一切后果，并不再寻求任何旨在减轻或免除法律责任的辩解。 </w:t>
      </w:r>
    </w:p>
    <w:p w14:paraId="567217A0">
      <w:pPr>
        <w:widowControl/>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特此承诺。</w:t>
      </w:r>
    </w:p>
    <w:p w14:paraId="74D7538A">
      <w:pPr>
        <w:widowControl/>
        <w:snapToGrid w:val="0"/>
        <w:spacing w:line="360" w:lineRule="auto"/>
        <w:ind w:firstLine="420" w:firstLineChars="200"/>
        <w:rPr>
          <w:rFonts w:hint="eastAsia" w:ascii="仿宋" w:hAnsi="仿宋" w:eastAsia="仿宋" w:cs="仿宋"/>
          <w:color w:val="auto"/>
          <w:sz w:val="21"/>
          <w:szCs w:val="21"/>
          <w:highlight w:val="none"/>
        </w:rPr>
      </w:pPr>
    </w:p>
    <w:p w14:paraId="57553640">
      <w:pPr>
        <w:widowControl/>
        <w:snapToGrid w:val="0"/>
        <w:spacing w:line="360" w:lineRule="auto"/>
        <w:ind w:firstLine="420" w:firstLineChars="200"/>
        <w:rPr>
          <w:rFonts w:hint="eastAsia" w:ascii="仿宋" w:hAnsi="仿宋" w:eastAsia="仿宋" w:cs="仿宋"/>
          <w:color w:val="auto"/>
          <w:sz w:val="21"/>
          <w:szCs w:val="21"/>
          <w:highlight w:val="none"/>
        </w:rPr>
      </w:pPr>
    </w:p>
    <w:p w14:paraId="46536686">
      <w:pPr>
        <w:snapToGrid w:val="0"/>
        <w:spacing w:line="360" w:lineRule="auto"/>
        <w:ind w:firstLine="3675" w:firstLineChars="17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pacing w:val="20"/>
          <w:sz w:val="21"/>
          <w:szCs w:val="21"/>
          <w:highlight w:val="none"/>
          <w:lang w:eastAsia="zh-CN"/>
        </w:rPr>
        <w:t>（</w:t>
      </w:r>
      <w:r>
        <w:rPr>
          <w:rFonts w:hint="eastAsia" w:ascii="仿宋" w:hAnsi="仿宋" w:eastAsia="仿宋" w:cs="仿宋"/>
          <w:color w:val="auto"/>
          <w:spacing w:val="20"/>
          <w:sz w:val="21"/>
          <w:szCs w:val="21"/>
          <w:highlight w:val="none"/>
          <w:lang w:val="en-US" w:eastAsia="zh-CN"/>
        </w:rPr>
        <w:t>加盖公章</w:t>
      </w:r>
      <w:r>
        <w:rPr>
          <w:rFonts w:hint="eastAsia" w:ascii="仿宋" w:hAnsi="仿宋" w:eastAsia="仿宋" w:cs="仿宋"/>
          <w:color w:val="auto"/>
          <w:spacing w:val="20"/>
          <w:sz w:val="21"/>
          <w:szCs w:val="21"/>
          <w:highlight w:val="none"/>
          <w:lang w:eastAsia="zh-CN"/>
        </w:rPr>
        <w:t>）</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p>
    <w:p w14:paraId="65C77837">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年  月  日</w:t>
      </w:r>
    </w:p>
    <w:p w14:paraId="2CE3DA74">
      <w:pPr>
        <w:pStyle w:val="8"/>
        <w:rPr>
          <w:rFonts w:hint="eastAsia" w:ascii="仿宋" w:hAnsi="仿宋" w:eastAsia="仿宋" w:cs="仿宋"/>
          <w:color w:val="auto"/>
          <w:sz w:val="21"/>
          <w:szCs w:val="21"/>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auto"/>
          <w:sz w:val="21"/>
          <w:szCs w:val="21"/>
          <w:highlight w:val="none"/>
        </w:rPr>
        <w:t>提供投标人有效的营业执照，或事业单位法人证书，或自然人身份证明，或其他非企业组织证明独立承担民事责任能力的文件扫描件；</w:t>
      </w:r>
    </w:p>
    <w:p w14:paraId="74E6E50C">
      <w:pPr>
        <w:tabs>
          <w:tab w:val="left" w:pos="567"/>
        </w:tabs>
        <w:spacing w:line="460" w:lineRule="exact"/>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4、具有良好的商业信誉和健全的财务会计制度</w:t>
      </w:r>
    </w:p>
    <w:p w14:paraId="7569205D">
      <w:pPr>
        <w:spacing w:line="360" w:lineRule="auto"/>
        <w:jc w:val="center"/>
        <w:rPr>
          <w:rFonts w:hint="eastAsia" w:ascii="仿宋" w:hAnsi="仿宋" w:eastAsia="仿宋" w:cs="仿宋"/>
          <w:b/>
          <w:color w:val="auto"/>
          <w:sz w:val="21"/>
          <w:szCs w:val="21"/>
          <w:highlight w:val="none"/>
          <w:lang w:val="en-US" w:eastAsia="zh-CN"/>
        </w:rPr>
      </w:pPr>
    </w:p>
    <w:p w14:paraId="4AB10608">
      <w:pPr>
        <w:spacing w:line="360" w:lineRule="auto"/>
        <w:jc w:val="center"/>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val="en-US" w:eastAsia="zh-CN"/>
        </w:rPr>
        <w:t>投标人</w:t>
      </w:r>
      <w:r>
        <w:rPr>
          <w:rFonts w:hint="eastAsia" w:ascii="仿宋" w:hAnsi="仿宋" w:eastAsia="仿宋" w:cs="仿宋"/>
          <w:b/>
          <w:color w:val="auto"/>
          <w:sz w:val="21"/>
          <w:szCs w:val="21"/>
          <w:highlight w:val="none"/>
        </w:rPr>
        <w:t>具有良好的商业信誉和健全的财务会计制度的承诺</w:t>
      </w:r>
      <w:r>
        <w:rPr>
          <w:rFonts w:hint="eastAsia" w:ascii="仿宋" w:hAnsi="仿宋" w:eastAsia="仿宋" w:cs="仿宋"/>
          <w:b/>
          <w:color w:val="auto"/>
          <w:sz w:val="21"/>
          <w:szCs w:val="21"/>
          <w:highlight w:val="none"/>
          <w:lang w:val="en-US" w:eastAsia="zh-CN"/>
        </w:rPr>
        <w:t>书</w:t>
      </w:r>
    </w:p>
    <w:p w14:paraId="7E70E64F">
      <w:pPr>
        <w:rPr>
          <w:rFonts w:hint="eastAsia" w:ascii="仿宋" w:hAnsi="仿宋" w:eastAsia="仿宋" w:cs="仿宋"/>
          <w:color w:val="auto"/>
          <w:sz w:val="21"/>
          <w:szCs w:val="21"/>
          <w:highlight w:val="none"/>
          <w:u w:val="single"/>
        </w:rPr>
      </w:pPr>
    </w:p>
    <w:p w14:paraId="48FE8C3E">
      <w:pPr>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招标人</w:t>
      </w:r>
      <w:r>
        <w:rPr>
          <w:rFonts w:hint="eastAsia" w:ascii="仿宋" w:hAnsi="仿宋" w:eastAsia="仿宋" w:cs="仿宋"/>
          <w:color w:val="auto"/>
          <w:sz w:val="21"/>
          <w:szCs w:val="21"/>
          <w:highlight w:val="none"/>
          <w:u w:val="single"/>
        </w:rPr>
        <w:t xml:space="preserve">  ：</w:t>
      </w:r>
    </w:p>
    <w:p w14:paraId="5447CD58">
      <w:pPr>
        <w:widowControl/>
        <w:snapToGrid w:val="0"/>
        <w:spacing w:line="360" w:lineRule="auto"/>
        <w:ind w:firstLine="420" w:firstLineChars="200"/>
        <w:rPr>
          <w:rFonts w:hint="eastAsia" w:ascii="仿宋" w:hAnsi="仿宋" w:eastAsia="仿宋" w:cs="仿宋"/>
          <w:color w:val="auto"/>
          <w:sz w:val="21"/>
          <w:szCs w:val="21"/>
          <w:highlight w:val="none"/>
        </w:rPr>
      </w:pPr>
    </w:p>
    <w:p w14:paraId="06997ED4">
      <w:pPr>
        <w:widowControl/>
        <w:snapToGrid w:val="0"/>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本</w:t>
      </w: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现参与</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项目（项目编号：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）的采购活动。依据</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rPr>
        <w:t>文件相关规定，现郑重承诺：我公司具有有效的具备审计资格的第三方出具的202</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年度合格的财务审计报告或基本户开户银行出具的无不良记录的资信证明等文件，具有良好的商业信誉和健全的财务会计制度</w:t>
      </w:r>
      <w:r>
        <w:rPr>
          <w:rFonts w:hint="eastAsia" w:ascii="仿宋" w:hAnsi="仿宋" w:eastAsia="仿宋" w:cs="仿宋"/>
          <w:color w:val="auto"/>
          <w:sz w:val="21"/>
          <w:szCs w:val="21"/>
          <w:highlight w:val="none"/>
          <w:lang w:eastAsia="zh-CN"/>
        </w:rPr>
        <w:t>。</w:t>
      </w:r>
    </w:p>
    <w:p w14:paraId="5FFA7B61">
      <w:pPr>
        <w:widowControl/>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以上承诺信息如有虚假或隐瞒，我方愿意承担一切后果，并不再寻求任何旨在减轻或免除法律责任的辩解。 </w:t>
      </w:r>
    </w:p>
    <w:p w14:paraId="54075ACE">
      <w:pPr>
        <w:widowControl/>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特此承诺。</w:t>
      </w:r>
    </w:p>
    <w:p w14:paraId="3CBD98BA">
      <w:pPr>
        <w:snapToGrid w:val="0"/>
        <w:spacing w:line="360" w:lineRule="auto"/>
        <w:ind w:firstLine="3675" w:firstLineChars="1750"/>
        <w:rPr>
          <w:rFonts w:hint="eastAsia" w:ascii="仿宋" w:hAnsi="仿宋" w:eastAsia="仿宋" w:cs="仿宋"/>
          <w:color w:val="auto"/>
          <w:sz w:val="21"/>
          <w:szCs w:val="21"/>
          <w:highlight w:val="none"/>
        </w:rPr>
      </w:pPr>
    </w:p>
    <w:p w14:paraId="55B85040">
      <w:pPr>
        <w:snapToGrid w:val="0"/>
        <w:spacing w:line="360" w:lineRule="auto"/>
        <w:ind w:firstLine="3675" w:firstLineChars="17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pacing w:val="20"/>
          <w:sz w:val="21"/>
          <w:szCs w:val="21"/>
          <w:highlight w:val="none"/>
          <w:lang w:eastAsia="zh-CN"/>
        </w:rPr>
        <w:t>（</w:t>
      </w:r>
      <w:r>
        <w:rPr>
          <w:rFonts w:hint="eastAsia" w:ascii="仿宋" w:hAnsi="仿宋" w:eastAsia="仿宋" w:cs="仿宋"/>
          <w:color w:val="auto"/>
          <w:spacing w:val="20"/>
          <w:sz w:val="21"/>
          <w:szCs w:val="21"/>
          <w:highlight w:val="none"/>
          <w:lang w:val="en-US" w:eastAsia="zh-CN"/>
        </w:rPr>
        <w:t>加盖公章</w:t>
      </w:r>
      <w:r>
        <w:rPr>
          <w:rFonts w:hint="eastAsia" w:ascii="仿宋" w:hAnsi="仿宋" w:eastAsia="仿宋" w:cs="仿宋"/>
          <w:color w:val="auto"/>
          <w:spacing w:val="20"/>
          <w:sz w:val="21"/>
          <w:szCs w:val="21"/>
          <w:highlight w:val="none"/>
          <w:lang w:eastAsia="zh-CN"/>
        </w:rPr>
        <w:t>）</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p>
    <w:p w14:paraId="3291F4CF">
      <w:pPr>
        <w:tabs>
          <w:tab w:val="left" w:pos="567"/>
        </w:tabs>
        <w:spacing w:line="460" w:lineRule="exact"/>
        <w:rPr>
          <w:rFonts w:hint="eastAsia" w:ascii="仿宋" w:hAnsi="仿宋" w:eastAsia="仿宋" w:cs="仿宋"/>
          <w:b w:val="0"/>
          <w:bCs w:val="0"/>
          <w:color w:val="auto"/>
          <w:sz w:val="21"/>
          <w:szCs w:val="21"/>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auto"/>
          <w:sz w:val="21"/>
          <w:szCs w:val="21"/>
          <w:highlight w:val="none"/>
        </w:rPr>
        <w:t xml:space="preserve">                                               年  月  日</w:t>
      </w:r>
    </w:p>
    <w:p w14:paraId="704DD502">
      <w:pPr>
        <w:tabs>
          <w:tab w:val="left" w:pos="567"/>
        </w:tabs>
        <w:spacing w:line="460" w:lineRule="exact"/>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5、具有依法缴纳税收和社会保障资金的良好记录</w:t>
      </w:r>
    </w:p>
    <w:p w14:paraId="0F2B0AC4">
      <w:pPr>
        <w:jc w:val="center"/>
        <w:rPr>
          <w:rFonts w:hint="eastAsia" w:ascii="仿宋" w:hAnsi="仿宋" w:eastAsia="仿宋" w:cs="仿宋"/>
          <w:b/>
          <w:color w:val="auto"/>
          <w:sz w:val="21"/>
          <w:szCs w:val="21"/>
          <w:highlight w:val="none"/>
          <w:lang w:val="en-US" w:eastAsia="zh-CN"/>
        </w:rPr>
      </w:pPr>
    </w:p>
    <w:p w14:paraId="4FD72BCE">
      <w:pPr>
        <w:jc w:val="center"/>
        <w:rPr>
          <w:rFonts w:hint="eastAsia" w:ascii="仿宋" w:hAnsi="仿宋" w:eastAsia="仿宋" w:cs="仿宋"/>
          <w:b/>
          <w:color w:val="auto"/>
          <w:sz w:val="21"/>
          <w:szCs w:val="21"/>
          <w:highlight w:val="none"/>
          <w:lang w:val="en-US" w:eastAsia="zh-CN"/>
        </w:rPr>
      </w:pPr>
    </w:p>
    <w:p w14:paraId="395CD8D7">
      <w:pPr>
        <w:jc w:val="center"/>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val="en-US" w:eastAsia="zh-CN"/>
        </w:rPr>
        <w:t>投标人</w:t>
      </w:r>
      <w:r>
        <w:rPr>
          <w:rFonts w:hint="eastAsia" w:ascii="仿宋" w:hAnsi="仿宋" w:eastAsia="仿宋" w:cs="仿宋"/>
          <w:b/>
          <w:color w:val="auto"/>
          <w:sz w:val="21"/>
          <w:szCs w:val="21"/>
          <w:highlight w:val="none"/>
        </w:rPr>
        <w:t>依法缴纳税收和社会保障资金的承诺</w:t>
      </w:r>
      <w:r>
        <w:rPr>
          <w:rFonts w:hint="eastAsia" w:ascii="仿宋" w:hAnsi="仿宋" w:eastAsia="仿宋" w:cs="仿宋"/>
          <w:b/>
          <w:color w:val="auto"/>
          <w:sz w:val="21"/>
          <w:szCs w:val="21"/>
          <w:highlight w:val="none"/>
          <w:lang w:val="en-US" w:eastAsia="zh-CN"/>
        </w:rPr>
        <w:t>书</w:t>
      </w:r>
    </w:p>
    <w:p w14:paraId="04FD2961">
      <w:pPr>
        <w:rPr>
          <w:rFonts w:hint="eastAsia" w:ascii="仿宋" w:hAnsi="仿宋" w:eastAsia="仿宋" w:cs="仿宋"/>
          <w:color w:val="auto"/>
          <w:sz w:val="21"/>
          <w:szCs w:val="21"/>
          <w:highlight w:val="none"/>
        </w:rPr>
      </w:pPr>
    </w:p>
    <w:p w14:paraId="45604BD6">
      <w:pPr>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招标人</w:t>
      </w:r>
      <w:r>
        <w:rPr>
          <w:rFonts w:hint="eastAsia" w:ascii="仿宋" w:hAnsi="仿宋" w:eastAsia="仿宋" w:cs="仿宋"/>
          <w:color w:val="auto"/>
          <w:sz w:val="21"/>
          <w:szCs w:val="21"/>
          <w:highlight w:val="none"/>
          <w:u w:val="single"/>
        </w:rPr>
        <w:t xml:space="preserve"> ：</w:t>
      </w:r>
    </w:p>
    <w:p w14:paraId="751D8646">
      <w:pPr>
        <w:widowControl/>
        <w:snapToGrid w:val="0"/>
        <w:spacing w:line="360" w:lineRule="auto"/>
        <w:ind w:firstLine="420" w:firstLineChars="200"/>
        <w:rPr>
          <w:rFonts w:hint="eastAsia" w:ascii="仿宋" w:hAnsi="仿宋" w:eastAsia="仿宋" w:cs="仿宋"/>
          <w:color w:val="auto"/>
          <w:sz w:val="21"/>
          <w:szCs w:val="21"/>
          <w:highlight w:val="none"/>
        </w:rPr>
      </w:pPr>
    </w:p>
    <w:p w14:paraId="5B3D4BC3">
      <w:pPr>
        <w:widowControl/>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w:t>
      </w: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现参与</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项目（项目编号：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）的采购活动。依据</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rPr>
        <w:t>文件相关规定，现郑重承诺：我方在参加本次采购活动前一年内严格依法缴纳税收或依法享受国家免税优惠政策，并依法给单位职工缴纳社会保障金或依法不需要缴纳社会保障资金的证明文件。</w:t>
      </w:r>
    </w:p>
    <w:p w14:paraId="16E61205">
      <w:pPr>
        <w:widowControl/>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以上承诺信息如有虚假或隐瞒，我方愿意承担一切后果，并不再寻求任何旨在减轻或免除法律责任的辩解。 </w:t>
      </w:r>
    </w:p>
    <w:p w14:paraId="2A3085B4">
      <w:pPr>
        <w:widowControl/>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特此承诺。</w:t>
      </w:r>
    </w:p>
    <w:p w14:paraId="4DF07E3A">
      <w:pPr>
        <w:pStyle w:val="37"/>
        <w:rPr>
          <w:rFonts w:hint="eastAsia" w:ascii="仿宋" w:hAnsi="仿宋" w:eastAsia="仿宋" w:cs="仿宋"/>
          <w:color w:val="auto"/>
          <w:sz w:val="21"/>
          <w:szCs w:val="21"/>
          <w:highlight w:val="none"/>
          <w:lang w:val="en-US" w:eastAsia="zh-CN"/>
        </w:rPr>
      </w:pPr>
    </w:p>
    <w:p w14:paraId="1B361888">
      <w:pPr>
        <w:snapToGrid w:val="0"/>
        <w:spacing w:line="360" w:lineRule="auto"/>
        <w:ind w:firstLine="3675" w:firstLineChars="17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pacing w:val="20"/>
          <w:sz w:val="21"/>
          <w:szCs w:val="21"/>
          <w:highlight w:val="none"/>
          <w:lang w:eastAsia="zh-CN"/>
        </w:rPr>
        <w:t>（</w:t>
      </w:r>
      <w:r>
        <w:rPr>
          <w:rFonts w:hint="eastAsia" w:ascii="仿宋" w:hAnsi="仿宋" w:eastAsia="仿宋" w:cs="仿宋"/>
          <w:color w:val="auto"/>
          <w:spacing w:val="20"/>
          <w:sz w:val="21"/>
          <w:szCs w:val="21"/>
          <w:highlight w:val="none"/>
          <w:lang w:val="en-US" w:eastAsia="zh-CN"/>
        </w:rPr>
        <w:t>加盖公章</w:t>
      </w:r>
      <w:r>
        <w:rPr>
          <w:rFonts w:hint="eastAsia" w:ascii="仿宋" w:hAnsi="仿宋" w:eastAsia="仿宋" w:cs="仿宋"/>
          <w:color w:val="auto"/>
          <w:spacing w:val="20"/>
          <w:sz w:val="21"/>
          <w:szCs w:val="21"/>
          <w:highlight w:val="none"/>
          <w:lang w:eastAsia="zh-CN"/>
        </w:rPr>
        <w:t>）</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p>
    <w:p w14:paraId="562074CB">
      <w:pPr>
        <w:tabs>
          <w:tab w:val="left" w:pos="567"/>
        </w:tabs>
        <w:spacing w:line="460" w:lineRule="exact"/>
        <w:rPr>
          <w:rFonts w:hint="eastAsia" w:ascii="仿宋" w:hAnsi="仿宋" w:eastAsia="仿宋" w:cs="仿宋"/>
          <w:b w:val="0"/>
          <w:bCs w:val="0"/>
          <w:color w:val="auto"/>
          <w:sz w:val="21"/>
          <w:szCs w:val="21"/>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auto"/>
          <w:sz w:val="21"/>
          <w:szCs w:val="21"/>
          <w:highlight w:val="none"/>
        </w:rPr>
        <w:t xml:space="preserve">                                               年  月  日</w:t>
      </w:r>
    </w:p>
    <w:p w14:paraId="31042712">
      <w:pPr>
        <w:tabs>
          <w:tab w:val="left" w:pos="567"/>
        </w:tabs>
        <w:spacing w:line="460" w:lineRule="exact"/>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6、具有履行合同所必需的设备和专业技术能力</w:t>
      </w:r>
    </w:p>
    <w:p w14:paraId="2C7A268B">
      <w:pPr>
        <w:jc w:val="center"/>
        <w:rPr>
          <w:rFonts w:hint="eastAsia" w:ascii="仿宋" w:hAnsi="仿宋" w:eastAsia="仿宋" w:cs="仿宋"/>
          <w:b/>
          <w:color w:val="auto"/>
          <w:sz w:val="21"/>
          <w:szCs w:val="21"/>
          <w:highlight w:val="none"/>
          <w:lang w:val="en-US" w:eastAsia="zh-CN"/>
        </w:rPr>
      </w:pPr>
    </w:p>
    <w:p w14:paraId="26D341FD">
      <w:pPr>
        <w:jc w:val="center"/>
        <w:rPr>
          <w:rFonts w:hint="eastAsia" w:ascii="仿宋" w:hAnsi="仿宋" w:eastAsia="仿宋" w:cs="仿宋"/>
          <w:b/>
          <w:color w:val="auto"/>
          <w:sz w:val="21"/>
          <w:szCs w:val="21"/>
          <w:highlight w:val="none"/>
          <w:lang w:val="en-US" w:eastAsia="zh-CN"/>
        </w:rPr>
      </w:pPr>
    </w:p>
    <w:p w14:paraId="5B5CDB46">
      <w:pPr>
        <w:jc w:val="center"/>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val="en-US" w:eastAsia="zh-CN"/>
        </w:rPr>
        <w:t>投标人</w:t>
      </w:r>
      <w:r>
        <w:rPr>
          <w:rFonts w:hint="eastAsia" w:ascii="仿宋" w:hAnsi="仿宋" w:eastAsia="仿宋" w:cs="仿宋"/>
          <w:b/>
          <w:bCs/>
          <w:color w:val="auto"/>
          <w:sz w:val="21"/>
          <w:szCs w:val="21"/>
          <w:highlight w:val="none"/>
          <w:lang w:val="en-US" w:eastAsia="zh-CN"/>
        </w:rPr>
        <w:t>履行合同所必需的设备和专业技术能力</w:t>
      </w:r>
      <w:r>
        <w:rPr>
          <w:rFonts w:hint="eastAsia" w:ascii="仿宋" w:hAnsi="仿宋" w:eastAsia="仿宋" w:cs="仿宋"/>
          <w:b/>
          <w:color w:val="auto"/>
          <w:sz w:val="21"/>
          <w:szCs w:val="21"/>
          <w:highlight w:val="none"/>
        </w:rPr>
        <w:t>承诺</w:t>
      </w:r>
      <w:r>
        <w:rPr>
          <w:rFonts w:hint="eastAsia" w:ascii="仿宋" w:hAnsi="仿宋" w:eastAsia="仿宋" w:cs="仿宋"/>
          <w:b/>
          <w:color w:val="auto"/>
          <w:sz w:val="21"/>
          <w:szCs w:val="21"/>
          <w:highlight w:val="none"/>
          <w:lang w:val="en-US" w:eastAsia="zh-CN"/>
        </w:rPr>
        <w:t>书</w:t>
      </w:r>
    </w:p>
    <w:p w14:paraId="74A3D933">
      <w:pPr>
        <w:keepNext/>
        <w:rPr>
          <w:rFonts w:hint="eastAsia" w:ascii="仿宋" w:hAnsi="仿宋" w:eastAsia="仿宋" w:cs="仿宋"/>
          <w:color w:val="auto"/>
          <w:sz w:val="21"/>
          <w:szCs w:val="21"/>
          <w:highlight w:val="none"/>
        </w:rPr>
      </w:pPr>
    </w:p>
    <w:p w14:paraId="04EC5459">
      <w:pPr>
        <w:pStyle w:val="18"/>
        <w:keepNext/>
        <w:widowControl w:val="0"/>
        <w:rPr>
          <w:rFonts w:hint="eastAsia" w:ascii="仿宋" w:hAnsi="仿宋" w:eastAsia="仿宋" w:cs="仿宋"/>
          <w:color w:val="auto"/>
          <w:sz w:val="21"/>
          <w:szCs w:val="21"/>
          <w:highlight w:val="none"/>
        </w:rPr>
      </w:pPr>
    </w:p>
    <w:p w14:paraId="229B59BE">
      <w:pPr>
        <w:keepNex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招标人</w:t>
      </w:r>
      <w:r>
        <w:rPr>
          <w:rFonts w:hint="eastAsia" w:ascii="仿宋" w:hAnsi="仿宋" w:eastAsia="仿宋" w:cs="仿宋"/>
          <w:color w:val="auto"/>
          <w:sz w:val="21"/>
          <w:szCs w:val="21"/>
          <w:highlight w:val="none"/>
          <w:u w:val="single"/>
        </w:rPr>
        <w:t xml:space="preserve">  ：</w:t>
      </w:r>
    </w:p>
    <w:p w14:paraId="29D9CB10">
      <w:pPr>
        <w:pStyle w:val="18"/>
        <w:keepNext/>
        <w:widowControl w:val="0"/>
        <w:rPr>
          <w:rFonts w:hint="eastAsia" w:ascii="仿宋" w:hAnsi="仿宋" w:eastAsia="仿宋" w:cs="仿宋"/>
          <w:color w:val="auto"/>
          <w:sz w:val="21"/>
          <w:szCs w:val="21"/>
          <w:highlight w:val="none"/>
        </w:rPr>
      </w:pPr>
    </w:p>
    <w:p w14:paraId="484CE619">
      <w:pPr>
        <w:keepNext/>
        <w:snapToGrid w:val="0"/>
        <w:spacing w:line="48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w:t>
      </w: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现参与</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项目（项目编号：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）的采购活动。依据</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rPr>
        <w:t>文件相关规定，现郑重承诺：我方具备履行合同所必需的专业技术能力。</w:t>
      </w:r>
    </w:p>
    <w:p w14:paraId="32CCAB6B">
      <w:pPr>
        <w:keepNext/>
        <w:snapToGrid w:val="0"/>
        <w:spacing w:line="48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以上承诺信息如有虚假或隐瞒，我方愿意承担一切后果，并不再寻求任何旨在减轻或免除法律责任的辩解。</w:t>
      </w:r>
    </w:p>
    <w:p w14:paraId="6CFC8C81">
      <w:pPr>
        <w:keepNext/>
        <w:snapToGrid w:val="0"/>
        <w:spacing w:line="48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特此承诺</w:t>
      </w:r>
    </w:p>
    <w:p w14:paraId="24C408F3">
      <w:pPr>
        <w:pStyle w:val="37"/>
        <w:rPr>
          <w:rFonts w:hint="eastAsia" w:ascii="仿宋" w:hAnsi="仿宋" w:eastAsia="仿宋" w:cs="仿宋"/>
          <w:color w:val="auto"/>
          <w:sz w:val="21"/>
          <w:szCs w:val="21"/>
          <w:highlight w:val="none"/>
          <w:lang w:val="en-US" w:eastAsia="zh-CN"/>
        </w:rPr>
      </w:pPr>
    </w:p>
    <w:p w14:paraId="0654D6BC">
      <w:pPr>
        <w:pStyle w:val="37"/>
        <w:rPr>
          <w:rFonts w:hint="eastAsia" w:ascii="仿宋" w:hAnsi="仿宋" w:eastAsia="仿宋" w:cs="仿宋"/>
          <w:color w:val="auto"/>
          <w:sz w:val="21"/>
          <w:szCs w:val="21"/>
          <w:highlight w:val="none"/>
          <w:lang w:val="en-US" w:eastAsia="zh-CN"/>
        </w:rPr>
      </w:pPr>
    </w:p>
    <w:p w14:paraId="36E56154">
      <w:pPr>
        <w:snapToGrid w:val="0"/>
        <w:spacing w:line="360" w:lineRule="auto"/>
        <w:ind w:firstLine="3675" w:firstLineChars="17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pacing w:val="20"/>
          <w:sz w:val="21"/>
          <w:szCs w:val="21"/>
          <w:highlight w:val="none"/>
          <w:lang w:eastAsia="zh-CN"/>
        </w:rPr>
        <w:t>（</w:t>
      </w:r>
      <w:r>
        <w:rPr>
          <w:rFonts w:hint="eastAsia" w:ascii="仿宋" w:hAnsi="仿宋" w:eastAsia="仿宋" w:cs="仿宋"/>
          <w:color w:val="auto"/>
          <w:spacing w:val="20"/>
          <w:sz w:val="21"/>
          <w:szCs w:val="21"/>
          <w:highlight w:val="none"/>
          <w:lang w:val="en-US" w:eastAsia="zh-CN"/>
        </w:rPr>
        <w:t>加盖公章</w:t>
      </w:r>
      <w:r>
        <w:rPr>
          <w:rFonts w:hint="eastAsia" w:ascii="仿宋" w:hAnsi="仿宋" w:eastAsia="仿宋" w:cs="仿宋"/>
          <w:color w:val="auto"/>
          <w:spacing w:val="20"/>
          <w:sz w:val="21"/>
          <w:szCs w:val="21"/>
          <w:highlight w:val="none"/>
          <w:lang w:eastAsia="zh-CN"/>
        </w:rPr>
        <w:t>）</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p>
    <w:p w14:paraId="731DEF81">
      <w:pPr>
        <w:pStyle w:val="11"/>
        <w:rPr>
          <w:rFonts w:hint="eastAsia" w:ascii="仿宋" w:hAnsi="仿宋" w:eastAsia="仿宋" w:cs="仿宋"/>
          <w:b w:val="0"/>
          <w:bCs w:val="0"/>
          <w:color w:val="auto"/>
          <w:sz w:val="21"/>
          <w:szCs w:val="21"/>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auto"/>
          <w:sz w:val="21"/>
          <w:szCs w:val="21"/>
          <w:highlight w:val="none"/>
        </w:rPr>
        <w:t xml:space="preserve">                                               年  月  日</w:t>
      </w:r>
    </w:p>
    <w:p w14:paraId="0E2D129E">
      <w:pPr>
        <w:spacing w:line="360" w:lineRule="auto"/>
        <w:jc w:val="both"/>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7、参加政府采购活动前三年，在经营活动中没有重大违法记录</w:t>
      </w:r>
    </w:p>
    <w:p w14:paraId="19627963">
      <w:pPr>
        <w:spacing w:line="360" w:lineRule="auto"/>
        <w:jc w:val="center"/>
        <w:rPr>
          <w:rFonts w:hint="eastAsia" w:ascii="仿宋" w:hAnsi="仿宋" w:eastAsia="仿宋" w:cs="仿宋"/>
          <w:b/>
          <w:color w:val="auto"/>
          <w:sz w:val="21"/>
          <w:szCs w:val="21"/>
          <w:highlight w:val="none"/>
          <w:lang w:val="en-US" w:eastAsia="zh-CN"/>
        </w:rPr>
      </w:pPr>
    </w:p>
    <w:p w14:paraId="1864858F">
      <w:pPr>
        <w:spacing w:line="360" w:lineRule="auto"/>
        <w:jc w:val="center"/>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val="en-US" w:eastAsia="zh-CN"/>
        </w:rPr>
        <w:t>投标人</w:t>
      </w:r>
      <w:r>
        <w:rPr>
          <w:rFonts w:hint="eastAsia" w:ascii="仿宋" w:hAnsi="仿宋" w:eastAsia="仿宋" w:cs="仿宋"/>
          <w:b/>
          <w:color w:val="auto"/>
          <w:sz w:val="21"/>
          <w:szCs w:val="21"/>
          <w:highlight w:val="none"/>
        </w:rPr>
        <w:t>近三年无重大违法记录的承诺</w:t>
      </w:r>
      <w:r>
        <w:rPr>
          <w:rFonts w:hint="eastAsia" w:ascii="仿宋" w:hAnsi="仿宋" w:eastAsia="仿宋" w:cs="仿宋"/>
          <w:b/>
          <w:color w:val="auto"/>
          <w:sz w:val="21"/>
          <w:szCs w:val="21"/>
          <w:highlight w:val="none"/>
          <w:lang w:val="en-US" w:eastAsia="zh-CN"/>
        </w:rPr>
        <w:t>书</w:t>
      </w:r>
    </w:p>
    <w:p w14:paraId="55B89728">
      <w:pPr>
        <w:pStyle w:val="18"/>
        <w:keepNext/>
        <w:widowControl w:val="0"/>
        <w:rPr>
          <w:rFonts w:hint="eastAsia" w:ascii="仿宋" w:hAnsi="仿宋" w:eastAsia="仿宋" w:cs="仿宋"/>
          <w:color w:val="auto"/>
          <w:sz w:val="21"/>
          <w:szCs w:val="21"/>
          <w:highlight w:val="none"/>
        </w:rPr>
      </w:pPr>
    </w:p>
    <w:p w14:paraId="4107EB1E">
      <w:pPr>
        <w:keepNex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招标人  </w:t>
      </w:r>
      <w:r>
        <w:rPr>
          <w:rFonts w:hint="eastAsia" w:ascii="仿宋" w:hAnsi="仿宋" w:eastAsia="仿宋" w:cs="仿宋"/>
          <w:color w:val="auto"/>
          <w:sz w:val="21"/>
          <w:szCs w:val="21"/>
          <w:highlight w:val="none"/>
          <w:u w:val="single"/>
        </w:rPr>
        <w:t xml:space="preserve">  ：</w:t>
      </w:r>
    </w:p>
    <w:p w14:paraId="0BEADF67">
      <w:pPr>
        <w:pStyle w:val="37"/>
        <w:rPr>
          <w:rFonts w:hint="eastAsia" w:ascii="仿宋" w:hAnsi="仿宋" w:eastAsia="仿宋" w:cs="仿宋"/>
          <w:color w:val="auto"/>
          <w:sz w:val="21"/>
          <w:szCs w:val="21"/>
          <w:highlight w:val="none"/>
        </w:rPr>
      </w:pPr>
    </w:p>
    <w:p w14:paraId="20343406">
      <w:pPr>
        <w:snapToGrid w:val="0"/>
        <w:spacing w:line="360" w:lineRule="auto"/>
        <w:ind w:firstLine="420" w:firstLineChars="200"/>
        <w:rPr>
          <w:rFonts w:hint="eastAsia" w:ascii="仿宋" w:hAnsi="仿宋" w:eastAsia="仿宋" w:cs="仿宋"/>
          <w:b/>
          <w:color w:val="auto"/>
          <w:kern w:val="0"/>
          <w:sz w:val="21"/>
          <w:szCs w:val="21"/>
          <w:highlight w:val="none"/>
        </w:rPr>
      </w:pPr>
      <w:r>
        <w:rPr>
          <w:rFonts w:hint="eastAsia" w:ascii="仿宋" w:hAnsi="仿宋" w:eastAsia="仿宋" w:cs="仿宋"/>
          <w:color w:val="auto"/>
          <w:sz w:val="21"/>
          <w:szCs w:val="21"/>
          <w:highlight w:val="none"/>
        </w:rPr>
        <w:t>本</w:t>
      </w: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现参与</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项目（项目编号：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）的采购活动。依据</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rPr>
        <w:t>文件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失信被执行人、重大税收违法案件当事人名单均为0记录；在中国政府采购网（http://www.ccgp.gov.cn）中的政府采购严重违法失信行为信息记录也为0记录</w:t>
      </w:r>
      <w:r>
        <w:rPr>
          <w:rFonts w:hint="eastAsia" w:ascii="仿宋" w:hAnsi="仿宋" w:eastAsia="仿宋" w:cs="仿宋"/>
          <w:color w:val="auto"/>
          <w:sz w:val="21"/>
          <w:szCs w:val="21"/>
          <w:highlight w:val="none"/>
          <w:u w:val="none"/>
        </w:rPr>
        <w:t>。</w:t>
      </w:r>
    </w:p>
    <w:p w14:paraId="227108D2">
      <w:pPr>
        <w:snapToGrid w:val="0"/>
        <w:spacing w:line="360" w:lineRule="auto"/>
        <w:ind w:firstLine="420" w:firstLineChars="200"/>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以上承诺信息如有虚假或隐瞒，我方愿意承担一切后果，并不再寻求任何旨在减轻或免除法律责任的辩解。</w:t>
      </w:r>
    </w:p>
    <w:p w14:paraId="07707CDB">
      <w:pPr>
        <w:pStyle w:val="37"/>
        <w:ind w:left="0" w:leftChars="0" w:firstLine="0" w:firstLineChars="0"/>
        <w:rPr>
          <w:rFonts w:hint="eastAsia" w:ascii="仿宋" w:hAnsi="仿宋" w:eastAsia="仿宋" w:cs="仿宋"/>
          <w:b/>
          <w:color w:val="auto"/>
          <w:sz w:val="21"/>
          <w:szCs w:val="21"/>
          <w:highlight w:val="none"/>
        </w:rPr>
      </w:pPr>
    </w:p>
    <w:p w14:paraId="442E96EE">
      <w:pPr>
        <w:spacing w:line="360" w:lineRule="auto"/>
        <w:ind w:firstLine="4620" w:firstLineChars="2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w:t>
      </w:r>
      <w:r>
        <w:rPr>
          <w:rFonts w:hint="eastAsia" w:ascii="仿宋" w:hAnsi="仿宋" w:eastAsia="仿宋" w:cs="仿宋"/>
          <w:color w:val="auto"/>
          <w:spacing w:val="20"/>
          <w:sz w:val="21"/>
          <w:szCs w:val="21"/>
          <w:highlight w:val="none"/>
        </w:rPr>
        <w:t>法人电子签章</w:t>
      </w:r>
      <w:r>
        <w:rPr>
          <w:rFonts w:hint="eastAsia" w:ascii="仿宋" w:hAnsi="仿宋" w:eastAsia="仿宋" w:cs="仿宋"/>
          <w:color w:val="auto"/>
          <w:sz w:val="21"/>
          <w:szCs w:val="21"/>
          <w:highlight w:val="none"/>
        </w:rPr>
        <w:t>）</w:t>
      </w:r>
    </w:p>
    <w:p w14:paraId="121A0135">
      <w:pPr>
        <w:pStyle w:val="11"/>
        <w:jc w:val="right"/>
        <w:rPr>
          <w:rFonts w:hint="eastAsia" w:ascii="仿宋" w:hAnsi="仿宋" w:eastAsia="仿宋" w:cs="仿宋"/>
          <w:color w:val="auto"/>
          <w:sz w:val="21"/>
          <w:szCs w:val="21"/>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auto"/>
          <w:sz w:val="21"/>
          <w:szCs w:val="21"/>
          <w:highlight w:val="none"/>
        </w:rPr>
        <w:t>年 月  日</w:t>
      </w:r>
    </w:p>
    <w:p w14:paraId="30457AD9">
      <w:pPr>
        <w:tabs>
          <w:tab w:val="left" w:pos="567"/>
        </w:tabs>
        <w:spacing w:line="460" w:lineRule="exact"/>
        <w:rPr>
          <w:rFonts w:hint="eastAsia" w:ascii="仿宋" w:hAnsi="仿宋" w:eastAsia="仿宋" w:cs="仿宋"/>
          <w:color w:val="auto"/>
          <w:sz w:val="21"/>
          <w:szCs w:val="21"/>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bCs/>
          <w:color w:val="auto"/>
          <w:sz w:val="21"/>
          <w:szCs w:val="21"/>
          <w:highlight w:val="none"/>
          <w:lang w:val="en-US" w:eastAsia="zh-CN"/>
        </w:rPr>
        <w:t>8、本项目要求的特定资格条件（如有）</w:t>
      </w:r>
    </w:p>
    <w:p w14:paraId="56415C86">
      <w:pPr>
        <w:tabs>
          <w:tab w:val="left" w:pos="567"/>
        </w:tabs>
        <w:spacing w:line="460" w:lineRule="exact"/>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9、投标保证金的交纳情况及开户许可证</w:t>
      </w:r>
    </w:p>
    <w:p w14:paraId="1F86733B">
      <w:pPr>
        <w:tabs>
          <w:tab w:val="left" w:pos="567"/>
        </w:tabs>
        <w:spacing w:line="460" w:lineRule="exac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（1）提供投标保证金交纳证明扫描件或保函扫描件；</w:t>
      </w:r>
    </w:p>
    <w:p w14:paraId="6F991DD1">
      <w:pPr>
        <w:tabs>
          <w:tab w:val="left" w:pos="567"/>
        </w:tabs>
        <w:spacing w:line="460" w:lineRule="exac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（2）提供投标人基本存款账户开户许可证或基本存款账户信息函扫描件。</w:t>
      </w:r>
    </w:p>
    <w:p w14:paraId="26C31331">
      <w:pPr>
        <w:pStyle w:val="8"/>
        <w:rPr>
          <w:rFonts w:hint="eastAsia" w:ascii="仿宋" w:hAnsi="仿宋" w:eastAsia="仿宋" w:cs="仿宋"/>
          <w:color w:val="auto"/>
          <w:sz w:val="21"/>
          <w:szCs w:val="21"/>
          <w:highlight w:val="none"/>
        </w:rPr>
        <w:sectPr>
          <w:pgSz w:w="11906" w:h="16838"/>
          <w:pgMar w:top="1440" w:right="1800" w:bottom="1440" w:left="1800" w:header="851" w:footer="992" w:gutter="0"/>
          <w:pgNumType w:fmt="decimal"/>
          <w:cols w:space="425" w:num="1"/>
          <w:docGrid w:type="lines" w:linePitch="312" w:charSpace="0"/>
        </w:sectPr>
      </w:pPr>
    </w:p>
    <w:p w14:paraId="669A52D6">
      <w:pPr>
        <w:tabs>
          <w:tab w:val="left" w:pos="567"/>
        </w:tabs>
        <w:spacing w:line="460" w:lineRule="exact"/>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10、采购政策</w:t>
      </w:r>
    </w:p>
    <w:p w14:paraId="161CA1E9">
      <w:pPr>
        <w:tabs>
          <w:tab w:val="left" w:pos="567"/>
        </w:tabs>
        <w:spacing w:line="460" w:lineRule="exac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本项目专门面向中小企业；</w:t>
      </w:r>
    </w:p>
    <w:p w14:paraId="7D87D05A">
      <w:pPr>
        <w:tabs>
          <w:tab w:val="left" w:pos="1680"/>
        </w:tabs>
        <w:snapToGrid w:val="0"/>
        <w:spacing w:line="360" w:lineRule="auto"/>
        <w:jc w:val="center"/>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rPr>
        <w:t>中小企业声明函</w:t>
      </w: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lang w:val="en-US" w:eastAsia="zh-CN"/>
        </w:rPr>
        <w:t>货物</w:t>
      </w:r>
      <w:r>
        <w:rPr>
          <w:rFonts w:hint="eastAsia" w:ascii="仿宋" w:hAnsi="仿宋" w:eastAsia="仿宋" w:cs="仿宋"/>
          <w:b/>
          <w:color w:val="auto"/>
          <w:sz w:val="21"/>
          <w:szCs w:val="21"/>
          <w:highlight w:val="none"/>
          <w:lang w:eastAsia="zh-CN"/>
        </w:rPr>
        <w:t>）</w:t>
      </w:r>
    </w:p>
    <w:p w14:paraId="08C329ED">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本公司（联合体）郑重声明，根据《政府采购促进中小企业发展管理办法》（财库﹝2020﹞46 号）的规定，本公司（联合体）参加</w:t>
      </w:r>
      <w:r>
        <w:rPr>
          <w:rFonts w:hint="eastAsia" w:ascii="仿宋" w:hAnsi="仿宋" w:eastAsia="仿宋" w:cs="仿宋"/>
          <w:color w:val="auto"/>
          <w:sz w:val="21"/>
          <w:szCs w:val="21"/>
          <w:highlight w:val="none"/>
          <w:u w:val="single"/>
        </w:rPr>
        <w:t>（单位名称）</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u w:val="single"/>
        </w:rPr>
        <w:t>（项目名称）</w:t>
      </w:r>
      <w:r>
        <w:rPr>
          <w:rFonts w:hint="eastAsia" w:ascii="仿宋" w:hAnsi="仿宋" w:eastAsia="仿宋" w:cs="仿宋"/>
          <w:color w:val="auto"/>
          <w:sz w:val="21"/>
          <w:szCs w:val="21"/>
          <w:highlight w:val="none"/>
        </w:rPr>
        <w:t xml:space="preserve">采购活动，提  供的货物全部由符合政策要求的中小企业制造。相关企业  （含联合体中的中小企业、签订分包意向协议的中小企业）  的具体情况如下： </w:t>
      </w:r>
    </w:p>
    <w:p w14:paraId="6FAEE9BD">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Chars="0" w:right="0" w:rightChars="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none"/>
          <w:lang w:val="en-US" w:eastAsia="zh-CN"/>
        </w:rPr>
        <w:t>1.</w:t>
      </w:r>
      <w:r>
        <w:rPr>
          <w:rFonts w:hint="eastAsia" w:ascii="仿宋" w:hAnsi="仿宋" w:eastAsia="仿宋" w:cs="仿宋"/>
          <w:color w:val="auto"/>
          <w:sz w:val="21"/>
          <w:szCs w:val="21"/>
          <w:highlight w:val="none"/>
          <w:u w:val="single"/>
        </w:rPr>
        <w:t xml:space="preserve">（标的名称） </w:t>
      </w:r>
      <w:r>
        <w:rPr>
          <w:rFonts w:hint="eastAsia" w:ascii="仿宋" w:hAnsi="仿宋" w:eastAsia="仿宋" w:cs="仿宋"/>
          <w:color w:val="auto"/>
          <w:sz w:val="21"/>
          <w:szCs w:val="21"/>
          <w:highlight w:val="none"/>
        </w:rPr>
        <w:t>，属于</w:t>
      </w:r>
      <w:r>
        <w:rPr>
          <w:rFonts w:hint="eastAsia" w:ascii="仿宋" w:hAnsi="仿宋" w:eastAsia="仿宋" w:cs="仿宋"/>
          <w:color w:val="auto"/>
          <w:sz w:val="21"/>
          <w:szCs w:val="21"/>
          <w:highlight w:val="none"/>
          <w:u w:val="single"/>
        </w:rPr>
        <w:t xml:space="preserve">（采购文件中明确的所属行业）  </w:t>
      </w:r>
      <w:r>
        <w:rPr>
          <w:rFonts w:hint="eastAsia" w:ascii="仿宋" w:hAnsi="仿宋" w:eastAsia="仿宋" w:cs="仿宋"/>
          <w:color w:val="auto"/>
          <w:sz w:val="21"/>
          <w:szCs w:val="21"/>
          <w:highlight w:val="none"/>
        </w:rPr>
        <w:t>行业；制造商为</w:t>
      </w:r>
      <w:r>
        <w:rPr>
          <w:rFonts w:hint="eastAsia" w:ascii="仿宋" w:hAnsi="仿宋" w:eastAsia="仿宋" w:cs="仿宋"/>
          <w:color w:val="auto"/>
          <w:sz w:val="21"/>
          <w:szCs w:val="21"/>
          <w:highlight w:val="none"/>
          <w:u w:val="single"/>
        </w:rPr>
        <w:t>（企业名称）</w:t>
      </w:r>
      <w:r>
        <w:rPr>
          <w:rFonts w:hint="eastAsia" w:ascii="仿宋" w:hAnsi="仿宋" w:eastAsia="仿宋" w:cs="仿宋"/>
          <w:color w:val="auto"/>
          <w:sz w:val="21"/>
          <w:szCs w:val="21"/>
          <w:highlight w:val="none"/>
        </w:rPr>
        <w:t>，从业人员</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人，营业收入为</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万元，资产总额为万元</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 xml:space="preserve"> ，属于（</w:t>
      </w:r>
      <w:r>
        <w:rPr>
          <w:rFonts w:hint="eastAsia" w:ascii="仿宋" w:hAnsi="仿宋" w:eastAsia="仿宋" w:cs="仿宋"/>
          <w:color w:val="auto"/>
          <w:sz w:val="21"/>
          <w:szCs w:val="21"/>
          <w:highlight w:val="none"/>
          <w:u w:val="single"/>
        </w:rPr>
        <w:t>中型企业、小  型企业、微型企业</w:t>
      </w:r>
      <w:r>
        <w:rPr>
          <w:rFonts w:hint="eastAsia" w:ascii="仿宋" w:hAnsi="仿宋" w:eastAsia="仿宋" w:cs="仿宋"/>
          <w:color w:val="auto"/>
          <w:sz w:val="21"/>
          <w:szCs w:val="21"/>
          <w:highlight w:val="none"/>
        </w:rPr>
        <w:t xml:space="preserve">）；  </w:t>
      </w:r>
    </w:p>
    <w:p w14:paraId="5DC134AD">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Chars="0" w:right="0" w:rightChars="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u w:val="single"/>
        </w:rPr>
        <w:t xml:space="preserve"> （标的名称） </w:t>
      </w:r>
      <w:r>
        <w:rPr>
          <w:rFonts w:hint="eastAsia" w:ascii="仿宋" w:hAnsi="仿宋" w:eastAsia="仿宋" w:cs="仿宋"/>
          <w:color w:val="auto"/>
          <w:sz w:val="21"/>
          <w:szCs w:val="21"/>
          <w:highlight w:val="none"/>
        </w:rPr>
        <w:t>，属于</w:t>
      </w:r>
      <w:r>
        <w:rPr>
          <w:rFonts w:hint="eastAsia" w:ascii="仿宋" w:hAnsi="仿宋" w:eastAsia="仿宋" w:cs="仿宋"/>
          <w:color w:val="auto"/>
          <w:sz w:val="21"/>
          <w:szCs w:val="21"/>
          <w:highlight w:val="none"/>
          <w:u w:val="single"/>
        </w:rPr>
        <w:t xml:space="preserve">（采购文件中明确的所属行业） </w:t>
      </w:r>
      <w:r>
        <w:rPr>
          <w:rFonts w:hint="eastAsia" w:ascii="仿宋" w:hAnsi="仿宋" w:eastAsia="仿宋" w:cs="仿宋"/>
          <w:color w:val="auto"/>
          <w:sz w:val="21"/>
          <w:szCs w:val="21"/>
          <w:highlight w:val="none"/>
        </w:rPr>
        <w:t>行业；制造商为</w:t>
      </w:r>
      <w:r>
        <w:rPr>
          <w:rFonts w:hint="eastAsia" w:ascii="仿宋" w:hAnsi="仿宋" w:eastAsia="仿宋" w:cs="仿宋"/>
          <w:color w:val="auto"/>
          <w:sz w:val="21"/>
          <w:szCs w:val="21"/>
          <w:highlight w:val="none"/>
          <w:u w:val="single"/>
        </w:rPr>
        <w:t>（企业名称）</w:t>
      </w:r>
      <w:r>
        <w:rPr>
          <w:rFonts w:hint="eastAsia" w:ascii="仿宋" w:hAnsi="仿宋" w:eastAsia="仿宋" w:cs="仿宋"/>
          <w:color w:val="auto"/>
          <w:sz w:val="21"/>
          <w:szCs w:val="21"/>
          <w:highlight w:val="none"/>
        </w:rPr>
        <w:t>，从业人员</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人，营业收入为</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万元，资产总额为</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 xml:space="preserve"> 万元，属于（</w:t>
      </w:r>
      <w:r>
        <w:rPr>
          <w:rFonts w:hint="eastAsia" w:ascii="仿宋" w:hAnsi="仿宋" w:eastAsia="仿宋" w:cs="仿宋"/>
          <w:color w:val="auto"/>
          <w:sz w:val="21"/>
          <w:szCs w:val="21"/>
          <w:highlight w:val="none"/>
          <w:u w:val="single"/>
        </w:rPr>
        <w:t>中型企业、小型  企业、微型企业</w:t>
      </w:r>
      <w:r>
        <w:rPr>
          <w:rFonts w:hint="eastAsia" w:ascii="仿宋" w:hAnsi="仿宋" w:eastAsia="仿宋" w:cs="仿宋"/>
          <w:color w:val="auto"/>
          <w:sz w:val="21"/>
          <w:szCs w:val="21"/>
          <w:highlight w:val="none"/>
        </w:rPr>
        <w:t xml:space="preserve">）；  </w:t>
      </w:r>
    </w:p>
    <w:p w14:paraId="6AF14FB0">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Chars="0" w:right="0" w:rightChars="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14:paraId="3879958E">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Chars="0" w:right="0" w:rightChars="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以上企业，不属于大企业的分支机构，不存在控股股东为大企业的情形，也不存在与大企业的负责人为同一人的情形。 本企业对上述声明内容的真实性负责。如有虚假，将依法承担相应责任。   　　                                            </w:t>
      </w:r>
    </w:p>
    <w:p w14:paraId="5402CC5B">
      <w:pPr>
        <w:pStyle w:val="19"/>
        <w:widowControl w:val="0"/>
        <w:adjustRightInd w:val="0"/>
        <w:snapToGrid w:val="0"/>
        <w:spacing w:before="0" w:beforeAutospacing="0" w:after="0" w:afterAutospacing="0" w:line="360" w:lineRule="auto"/>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p>
    <w:p w14:paraId="0BEE2A7E">
      <w:pPr>
        <w:pStyle w:val="19"/>
        <w:widowControl w:val="0"/>
        <w:adjustRightInd w:val="0"/>
        <w:snapToGrid w:val="0"/>
        <w:spacing w:before="0" w:beforeAutospacing="0" w:after="0" w:afterAutospacing="0" w:line="360" w:lineRule="auto"/>
        <w:ind w:firstLine="5040" w:firstLineChars="24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企业名称（</w:t>
      </w:r>
      <w:r>
        <w:rPr>
          <w:rFonts w:hint="eastAsia" w:ascii="仿宋" w:hAnsi="仿宋" w:eastAsia="仿宋" w:cs="仿宋"/>
          <w:color w:val="auto"/>
          <w:spacing w:val="20"/>
          <w:sz w:val="21"/>
          <w:szCs w:val="21"/>
          <w:highlight w:val="none"/>
        </w:rPr>
        <w:t>法人电子签章</w:t>
      </w:r>
      <w:r>
        <w:rPr>
          <w:rFonts w:hint="eastAsia" w:ascii="仿宋" w:hAnsi="仿宋" w:eastAsia="仿宋" w:cs="仿宋"/>
          <w:color w:val="auto"/>
          <w:sz w:val="21"/>
          <w:szCs w:val="21"/>
          <w:highlight w:val="none"/>
        </w:rPr>
        <w:t>）：</w:t>
      </w:r>
    </w:p>
    <w:p w14:paraId="2C8BD036">
      <w:pPr>
        <w:pStyle w:val="19"/>
        <w:widowControl w:val="0"/>
        <w:adjustRightInd w:val="0"/>
        <w:snapToGrid w:val="0"/>
        <w:spacing w:before="0" w:beforeAutospacing="0" w:after="0" w:afterAutospacing="0" w:line="360" w:lineRule="auto"/>
        <w:ind w:firstLine="5040" w:firstLineChars="2400"/>
        <w:jc w:val="both"/>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 xml:space="preserve">日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期：</w:t>
      </w:r>
    </w:p>
    <w:p w14:paraId="09E612F0">
      <w:pPr>
        <w:spacing w:line="360" w:lineRule="auto"/>
        <w:jc w:val="left"/>
        <w:outlineLvl w:val="9"/>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注：</w:t>
      </w:r>
    </w:p>
    <w:p w14:paraId="19A9B281">
      <w:pPr>
        <w:spacing w:line="360" w:lineRule="auto"/>
        <w:jc w:val="left"/>
        <w:outlineLvl w:val="9"/>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lang w:val="en-US" w:eastAsia="zh-CN"/>
        </w:rPr>
        <w:t>1、</w:t>
      </w:r>
      <w:r>
        <w:rPr>
          <w:rFonts w:hint="eastAsia" w:ascii="仿宋" w:hAnsi="仿宋" w:eastAsia="仿宋" w:cs="仿宋"/>
          <w:b/>
          <w:color w:val="auto"/>
          <w:sz w:val="21"/>
          <w:szCs w:val="21"/>
          <w:highlight w:val="none"/>
        </w:rPr>
        <w:t>从业人员、营业收入、资产总额填报上一年度数据，无上一年度数据的新成立企业可不填报。</w:t>
      </w:r>
    </w:p>
    <w:p w14:paraId="3D6D1706">
      <w:pPr>
        <w:pStyle w:val="11"/>
        <w:rPr>
          <w:rFonts w:hint="eastAsia" w:ascii="仿宋" w:hAnsi="仿宋" w:eastAsia="仿宋" w:cs="仿宋"/>
          <w:color w:val="auto"/>
          <w:sz w:val="21"/>
          <w:szCs w:val="21"/>
          <w:highlight w:val="none"/>
        </w:rPr>
        <w:sectPr>
          <w:pgSz w:w="11906" w:h="16838"/>
          <w:pgMar w:top="1440" w:right="1800" w:bottom="1440" w:left="1800" w:header="851" w:footer="992" w:gutter="0"/>
          <w:pgNumType w:fmt="decimal"/>
          <w:cols w:space="425" w:num="1"/>
          <w:docGrid w:type="lines" w:linePitch="312" w:charSpace="0"/>
        </w:sectPr>
      </w:pPr>
    </w:p>
    <w:p w14:paraId="1A1B1962">
      <w:pPr>
        <w:pStyle w:val="19"/>
        <w:widowControl w:val="0"/>
        <w:adjustRightInd w:val="0"/>
        <w:snapToGrid w:val="0"/>
        <w:spacing w:before="0" w:beforeAutospacing="0" w:after="0" w:afterAutospacing="0" w:line="360" w:lineRule="auto"/>
        <w:ind w:firstLine="422" w:firstLineChars="200"/>
        <w:jc w:val="both"/>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监狱企业证明文件</w:t>
      </w:r>
    </w:p>
    <w:p w14:paraId="3EF91195">
      <w:pPr>
        <w:spacing w:line="360" w:lineRule="auto"/>
        <w:ind w:firstLine="420" w:firstLineChars="200"/>
        <w:jc w:val="left"/>
        <w:rPr>
          <w:rFonts w:hint="eastAsia" w:ascii="仿宋" w:hAnsi="仿宋" w:eastAsia="仿宋" w:cs="仿宋"/>
          <w:b/>
          <w:color w:val="auto"/>
          <w:spacing w:val="6"/>
          <w:sz w:val="21"/>
          <w:szCs w:val="21"/>
          <w:highlight w:val="none"/>
        </w:rPr>
      </w:pPr>
      <w:r>
        <w:rPr>
          <w:rFonts w:hint="eastAsia" w:ascii="仿宋" w:hAnsi="仿宋" w:eastAsia="仿宋" w:cs="仿宋"/>
          <w:color w:val="auto"/>
          <w:sz w:val="21"/>
          <w:szCs w:val="21"/>
          <w:highlight w:val="none"/>
        </w:rPr>
        <w:t>监狱企业参加投标视同小微企业，提供由省级以上监狱管理局、戒毒管理局出具的属于监狱企业的证明文件。</w:t>
      </w:r>
    </w:p>
    <w:p w14:paraId="23D9674C">
      <w:pPr>
        <w:spacing w:line="360" w:lineRule="auto"/>
        <w:ind w:firstLine="446" w:firstLineChars="200"/>
        <w:jc w:val="left"/>
        <w:rPr>
          <w:rFonts w:hint="eastAsia" w:ascii="仿宋" w:hAnsi="仿宋" w:eastAsia="仿宋" w:cs="仿宋"/>
          <w:b/>
          <w:color w:val="auto"/>
          <w:spacing w:val="6"/>
          <w:sz w:val="21"/>
          <w:szCs w:val="21"/>
          <w:highlight w:val="none"/>
        </w:rPr>
      </w:pPr>
      <w:r>
        <w:rPr>
          <w:rFonts w:hint="eastAsia" w:ascii="仿宋" w:hAnsi="仿宋" w:eastAsia="仿宋" w:cs="仿宋"/>
          <w:b/>
          <w:color w:val="auto"/>
          <w:spacing w:val="6"/>
          <w:sz w:val="21"/>
          <w:szCs w:val="21"/>
          <w:highlight w:val="none"/>
        </w:rPr>
        <w:t>残疾人福利性单位声明函</w:t>
      </w:r>
      <w:r>
        <w:rPr>
          <w:rFonts w:hint="eastAsia" w:ascii="仿宋" w:hAnsi="仿宋" w:eastAsia="仿宋" w:cs="仿宋"/>
          <w:b/>
          <w:color w:val="auto"/>
          <w:sz w:val="21"/>
          <w:szCs w:val="21"/>
          <w:highlight w:val="none"/>
        </w:rPr>
        <w:t>格式（若有的话，以包为单位分别填写）</w:t>
      </w:r>
    </w:p>
    <w:p w14:paraId="4232864E">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pacing w:val="6"/>
          <w:sz w:val="21"/>
          <w:szCs w:val="21"/>
          <w:highlight w:val="none"/>
        </w:rPr>
        <w:t>残疾人福利性单位声明函</w:t>
      </w:r>
    </w:p>
    <w:p w14:paraId="23927F28">
      <w:pPr>
        <w:spacing w:line="360" w:lineRule="auto"/>
        <w:ind w:firstLine="444" w:firstLineChars="200"/>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本单位郑重声明，根据《财政部 民政部 中国残疾人联合会关于促进残疾人就业政府采购政策的通知》（财库</w:t>
      </w:r>
      <w:r>
        <w:rPr>
          <w:rFonts w:hint="eastAsia" w:ascii="仿宋" w:hAnsi="仿宋" w:eastAsia="仿宋" w:cs="仿宋"/>
          <w:color w:val="auto"/>
          <w:sz w:val="21"/>
          <w:szCs w:val="21"/>
          <w:highlight w:val="none"/>
        </w:rPr>
        <w:t>〔2017〕 141</w:t>
      </w:r>
      <w:r>
        <w:rPr>
          <w:rFonts w:hint="eastAsia" w:ascii="仿宋" w:hAnsi="仿宋" w:eastAsia="仿宋" w:cs="仿宋"/>
          <w:color w:val="auto"/>
          <w:spacing w:val="6"/>
          <w:sz w:val="21"/>
          <w:szCs w:val="21"/>
          <w:highlight w:val="none"/>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3D530587">
      <w:pPr>
        <w:spacing w:line="360" w:lineRule="auto"/>
        <w:ind w:firstLine="444" w:firstLineChars="200"/>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本单位对上述声明的真实性负责。如有虚假，将依法承担相应责任。</w:t>
      </w:r>
    </w:p>
    <w:p w14:paraId="32A1F134">
      <w:pPr>
        <w:tabs>
          <w:tab w:val="left" w:pos="4860"/>
        </w:tabs>
        <w:spacing w:line="360" w:lineRule="auto"/>
        <w:ind w:firstLine="444" w:firstLineChars="200"/>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　　　　　　　　　　　　 单位名称（</w:t>
      </w:r>
      <w:r>
        <w:rPr>
          <w:rFonts w:hint="eastAsia" w:ascii="仿宋" w:hAnsi="仿宋" w:eastAsia="仿宋" w:cs="仿宋"/>
          <w:color w:val="auto"/>
          <w:spacing w:val="20"/>
          <w:sz w:val="21"/>
          <w:szCs w:val="21"/>
          <w:highlight w:val="none"/>
        </w:rPr>
        <w:t>法人电子签章</w:t>
      </w:r>
      <w:r>
        <w:rPr>
          <w:rFonts w:hint="eastAsia" w:ascii="仿宋" w:hAnsi="仿宋" w:eastAsia="仿宋" w:cs="仿宋"/>
          <w:color w:val="auto"/>
          <w:spacing w:val="6"/>
          <w:sz w:val="21"/>
          <w:szCs w:val="21"/>
          <w:highlight w:val="none"/>
        </w:rPr>
        <w:t>）：</w:t>
      </w:r>
    </w:p>
    <w:p w14:paraId="39BB2C6C">
      <w:pPr>
        <w:tabs>
          <w:tab w:val="left" w:pos="4860"/>
        </w:tabs>
        <w:spacing w:line="360" w:lineRule="auto"/>
        <w:ind w:firstLine="444" w:firstLineChars="200"/>
        <w:jc w:val="center"/>
        <w:rPr>
          <w:rFonts w:hint="eastAsia" w:ascii="仿宋" w:hAnsi="仿宋" w:eastAsia="仿宋" w:cs="仿宋"/>
          <w:b/>
          <w:color w:val="auto"/>
          <w:sz w:val="21"/>
          <w:szCs w:val="21"/>
          <w:highlight w:val="none"/>
        </w:rPr>
      </w:pPr>
      <w:r>
        <w:rPr>
          <w:rFonts w:hint="eastAsia" w:ascii="仿宋" w:hAnsi="仿宋" w:eastAsia="仿宋" w:cs="仿宋"/>
          <w:color w:val="auto"/>
          <w:spacing w:val="6"/>
          <w:sz w:val="21"/>
          <w:szCs w:val="21"/>
          <w:highlight w:val="none"/>
        </w:rPr>
        <w:t>　　　　　　　　　　　　　　　　　 日  期：</w:t>
      </w:r>
    </w:p>
    <w:p w14:paraId="0C5DEDB7">
      <w:pPr>
        <w:spacing w:line="360" w:lineRule="auto"/>
        <w:ind w:firstLine="422" w:firstLineChars="200"/>
        <w:rPr>
          <w:rFonts w:hint="eastAsia" w:ascii="仿宋" w:hAnsi="仿宋" w:eastAsia="仿宋" w:cs="仿宋"/>
          <w:b/>
          <w:color w:val="auto"/>
          <w:sz w:val="21"/>
          <w:szCs w:val="21"/>
          <w:highlight w:val="none"/>
          <w:lang w:bidi="ar"/>
        </w:rPr>
      </w:pPr>
      <w:r>
        <w:rPr>
          <w:rFonts w:hint="eastAsia" w:ascii="仿宋" w:hAnsi="仿宋" w:eastAsia="仿宋" w:cs="仿宋"/>
          <w:b/>
          <w:color w:val="auto"/>
          <w:sz w:val="21"/>
          <w:szCs w:val="21"/>
          <w:highlight w:val="none"/>
        </w:rPr>
        <w:t>注：中标供应商为残疾人福利性单位的，采购代理机构随中标结果同时公告其《残疾人福利性单位声明函》</w:t>
      </w:r>
    </w:p>
    <w:p w14:paraId="1496956E">
      <w:pPr>
        <w:rPr>
          <w:rFonts w:hint="eastAsia" w:ascii="仿宋" w:hAnsi="仿宋" w:eastAsia="仿宋" w:cs="仿宋"/>
          <w:color w:val="auto"/>
          <w:sz w:val="21"/>
          <w:szCs w:val="21"/>
          <w:highlight w:val="none"/>
        </w:rPr>
      </w:pPr>
    </w:p>
    <w:p w14:paraId="4530CFCB">
      <w:pPr>
        <w:rPr>
          <w:rFonts w:hint="eastAsia" w:ascii="仿宋" w:hAnsi="仿宋" w:eastAsia="仿宋" w:cs="仿宋"/>
          <w:color w:val="auto"/>
          <w:sz w:val="21"/>
          <w:szCs w:val="21"/>
          <w:highlight w:val="none"/>
        </w:rPr>
        <w:sectPr>
          <w:pgSz w:w="11906" w:h="16838"/>
          <w:pgMar w:top="1440" w:right="1800" w:bottom="1440" w:left="1800" w:header="851" w:footer="992" w:gutter="0"/>
          <w:pgNumType w:fmt="decimal"/>
          <w:cols w:space="425" w:num="1"/>
          <w:docGrid w:type="lines" w:linePitch="312" w:charSpace="0"/>
        </w:sectPr>
      </w:pPr>
    </w:p>
    <w:p w14:paraId="1ADD8135">
      <w:pPr>
        <w:spacing w:line="460" w:lineRule="exact"/>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商务、技术文件</w:t>
      </w:r>
    </w:p>
    <w:p w14:paraId="093620A5">
      <w:pPr>
        <w:spacing w:line="460" w:lineRule="exac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1</w:t>
      </w:r>
      <w:r>
        <w:rPr>
          <w:rFonts w:hint="eastAsia" w:ascii="仿宋" w:hAnsi="仿宋" w:eastAsia="仿宋" w:cs="仿宋"/>
          <w:b/>
          <w:bCs/>
          <w:color w:val="auto"/>
          <w:sz w:val="21"/>
          <w:szCs w:val="21"/>
          <w:highlight w:val="none"/>
        </w:rPr>
        <w:t>、报价一览表</w:t>
      </w:r>
    </w:p>
    <w:p w14:paraId="443A5D0C">
      <w:pPr>
        <w:spacing w:line="460" w:lineRule="exact"/>
        <w:rPr>
          <w:rFonts w:hint="eastAsia" w:ascii="仿宋" w:hAnsi="仿宋" w:eastAsia="仿宋" w:cs="仿宋"/>
          <w:snapToGrid w:val="0"/>
          <w:color w:val="auto"/>
          <w:sz w:val="21"/>
          <w:szCs w:val="21"/>
          <w:highlight w:val="none"/>
        </w:rPr>
      </w:pPr>
    </w:p>
    <w:p w14:paraId="08E8E65A">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项目名称：</w:t>
      </w:r>
      <w:r>
        <w:rPr>
          <w:rFonts w:hint="eastAsia" w:ascii="仿宋" w:hAnsi="仿宋" w:eastAsia="仿宋" w:cs="仿宋"/>
          <w:snapToGrid w:val="0"/>
          <w:color w:val="auto"/>
          <w:sz w:val="21"/>
          <w:szCs w:val="21"/>
          <w:highlight w:val="none"/>
          <w:u w:val="single"/>
        </w:rPr>
        <w:t xml:space="preserve">                                     </w:t>
      </w:r>
      <w:r>
        <w:rPr>
          <w:rFonts w:hint="eastAsia" w:ascii="仿宋" w:hAnsi="仿宋" w:eastAsia="仿宋" w:cs="仿宋"/>
          <w:snapToGrid w:val="0"/>
          <w:color w:val="auto"/>
          <w:sz w:val="21"/>
          <w:szCs w:val="21"/>
          <w:highlight w:val="none"/>
        </w:rPr>
        <w:t xml:space="preserve"> </w:t>
      </w:r>
    </w:p>
    <w:p w14:paraId="33FE27DF">
      <w:pPr>
        <w:spacing w:line="460" w:lineRule="exact"/>
        <w:rPr>
          <w:rFonts w:hint="eastAsia" w:ascii="仿宋" w:hAnsi="仿宋" w:eastAsia="仿宋" w:cs="仿宋"/>
          <w:snapToGrid w:val="0"/>
          <w:color w:val="auto"/>
          <w:sz w:val="21"/>
          <w:szCs w:val="21"/>
          <w:highlight w:val="none"/>
          <w:u w:val="single"/>
        </w:rPr>
      </w:pPr>
      <w:r>
        <w:rPr>
          <w:rFonts w:hint="eastAsia" w:ascii="仿宋" w:hAnsi="仿宋" w:eastAsia="仿宋" w:cs="仿宋"/>
          <w:snapToGrid w:val="0"/>
          <w:color w:val="auto"/>
          <w:sz w:val="21"/>
          <w:szCs w:val="21"/>
          <w:highlight w:val="none"/>
        </w:rPr>
        <w:t>项目编号：</w:t>
      </w:r>
      <w:r>
        <w:rPr>
          <w:rFonts w:hint="eastAsia" w:ascii="仿宋" w:hAnsi="仿宋" w:eastAsia="仿宋" w:cs="仿宋"/>
          <w:snapToGrid w:val="0"/>
          <w:color w:val="auto"/>
          <w:sz w:val="21"/>
          <w:szCs w:val="21"/>
          <w:highlight w:val="none"/>
          <w:u w:val="single"/>
        </w:rPr>
        <w:t xml:space="preserve">                                       </w:t>
      </w:r>
    </w:p>
    <w:p w14:paraId="6C08A6BD">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货币：人民币/元</w:t>
      </w:r>
    </w:p>
    <w:p w14:paraId="5D6515AE">
      <w:pPr>
        <w:spacing w:line="460" w:lineRule="exact"/>
        <w:rPr>
          <w:rFonts w:hint="eastAsia" w:ascii="仿宋" w:hAnsi="仿宋" w:eastAsia="仿宋" w:cs="仿宋"/>
          <w:snapToGrid w:val="0"/>
          <w:color w:val="auto"/>
          <w:sz w:val="21"/>
          <w:szCs w:val="21"/>
          <w:highlight w:val="none"/>
        </w:rPr>
      </w:pPr>
    </w:p>
    <w:tbl>
      <w:tblPr>
        <w:tblStyle w:val="41"/>
        <w:tblW w:w="85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7"/>
        <w:gridCol w:w="1699"/>
        <w:gridCol w:w="1515"/>
        <w:gridCol w:w="1153"/>
        <w:gridCol w:w="1575"/>
        <w:gridCol w:w="1577"/>
      </w:tblGrid>
      <w:tr w14:paraId="7D53B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87" w:type="dxa"/>
            <w:vAlign w:val="top"/>
          </w:tcPr>
          <w:p w14:paraId="622D1741">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包号</w:t>
            </w:r>
          </w:p>
        </w:tc>
        <w:tc>
          <w:tcPr>
            <w:tcW w:w="1699" w:type="dxa"/>
            <w:vAlign w:val="top"/>
          </w:tcPr>
          <w:p w14:paraId="3C34CBD3">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服务项目名称</w:t>
            </w:r>
          </w:p>
        </w:tc>
        <w:tc>
          <w:tcPr>
            <w:tcW w:w="1515" w:type="dxa"/>
            <w:vAlign w:val="top"/>
          </w:tcPr>
          <w:p w14:paraId="034D0E7B">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分项内容</w:t>
            </w:r>
          </w:p>
        </w:tc>
        <w:tc>
          <w:tcPr>
            <w:tcW w:w="1153" w:type="dxa"/>
            <w:vAlign w:val="top"/>
          </w:tcPr>
          <w:p w14:paraId="010821F2">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单价</w:t>
            </w:r>
          </w:p>
        </w:tc>
        <w:tc>
          <w:tcPr>
            <w:tcW w:w="1575" w:type="dxa"/>
            <w:vAlign w:val="top"/>
          </w:tcPr>
          <w:p w14:paraId="56E1A616">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数量</w:t>
            </w:r>
          </w:p>
        </w:tc>
        <w:tc>
          <w:tcPr>
            <w:tcW w:w="1577" w:type="dxa"/>
            <w:vAlign w:val="top"/>
          </w:tcPr>
          <w:p w14:paraId="2FF8C259">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金额（元）</w:t>
            </w:r>
          </w:p>
        </w:tc>
      </w:tr>
      <w:tr w14:paraId="60CB6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87" w:type="dxa"/>
            <w:vMerge w:val="restart"/>
            <w:tcBorders>
              <w:bottom w:val="nil"/>
            </w:tcBorders>
            <w:vAlign w:val="top"/>
          </w:tcPr>
          <w:p w14:paraId="24995598">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1</w:t>
            </w:r>
          </w:p>
        </w:tc>
        <w:tc>
          <w:tcPr>
            <w:tcW w:w="1699" w:type="dxa"/>
            <w:vMerge w:val="restart"/>
            <w:tcBorders>
              <w:bottom w:val="nil"/>
            </w:tcBorders>
            <w:vAlign w:val="top"/>
          </w:tcPr>
          <w:p w14:paraId="1E97901B">
            <w:pPr>
              <w:spacing w:line="460" w:lineRule="exact"/>
              <w:jc w:val="lef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河曲县</w:t>
            </w:r>
            <w:r>
              <w:rPr>
                <w:rFonts w:hint="eastAsia" w:ascii="仿宋" w:hAnsi="仿宋" w:eastAsia="仿宋" w:cs="仿宋"/>
                <w:snapToGrid w:val="0"/>
                <w:color w:val="auto"/>
                <w:sz w:val="21"/>
                <w:szCs w:val="21"/>
                <w:highlight w:val="none"/>
                <w:lang w:val="en-US" w:eastAsia="zh-CN"/>
              </w:rPr>
              <w:t>鹿固乡</w:t>
            </w:r>
            <w:r>
              <w:rPr>
                <w:rFonts w:hint="eastAsia" w:ascii="仿宋" w:hAnsi="仿宋" w:eastAsia="仿宋" w:cs="仿宋"/>
                <w:snapToGrid w:val="0"/>
                <w:color w:val="auto"/>
                <w:sz w:val="21"/>
                <w:szCs w:val="21"/>
                <w:highlight w:val="none"/>
              </w:rPr>
              <w:t>人 民政府</w:t>
            </w:r>
          </w:p>
        </w:tc>
        <w:tc>
          <w:tcPr>
            <w:tcW w:w="1515" w:type="dxa"/>
            <w:vAlign w:val="top"/>
          </w:tcPr>
          <w:p w14:paraId="5C9833E9">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肥料</w:t>
            </w:r>
          </w:p>
        </w:tc>
        <w:tc>
          <w:tcPr>
            <w:tcW w:w="1153" w:type="dxa"/>
            <w:vAlign w:val="top"/>
          </w:tcPr>
          <w:p w14:paraId="4AA8B6A3">
            <w:pPr>
              <w:spacing w:line="460" w:lineRule="exact"/>
              <w:rPr>
                <w:rFonts w:hint="eastAsia" w:ascii="仿宋" w:hAnsi="仿宋" w:eastAsia="仿宋" w:cs="仿宋"/>
                <w:snapToGrid w:val="0"/>
                <w:color w:val="auto"/>
                <w:sz w:val="21"/>
                <w:szCs w:val="21"/>
                <w:highlight w:val="none"/>
              </w:rPr>
            </w:pPr>
          </w:p>
        </w:tc>
        <w:tc>
          <w:tcPr>
            <w:tcW w:w="1575" w:type="dxa"/>
            <w:vAlign w:val="top"/>
          </w:tcPr>
          <w:p w14:paraId="0BA4B5F3">
            <w:pPr>
              <w:spacing w:line="460" w:lineRule="exact"/>
              <w:rPr>
                <w:rFonts w:hint="eastAsia" w:ascii="仿宋" w:hAnsi="仿宋" w:eastAsia="仿宋" w:cs="仿宋"/>
                <w:snapToGrid w:val="0"/>
                <w:color w:val="auto"/>
                <w:sz w:val="21"/>
                <w:szCs w:val="21"/>
                <w:highlight w:val="none"/>
              </w:rPr>
            </w:pPr>
          </w:p>
        </w:tc>
        <w:tc>
          <w:tcPr>
            <w:tcW w:w="1577" w:type="dxa"/>
            <w:vAlign w:val="top"/>
          </w:tcPr>
          <w:p w14:paraId="6D2F814C">
            <w:pPr>
              <w:spacing w:line="460" w:lineRule="exact"/>
              <w:rPr>
                <w:rFonts w:hint="eastAsia" w:ascii="仿宋" w:hAnsi="仿宋" w:eastAsia="仿宋" w:cs="仿宋"/>
                <w:snapToGrid w:val="0"/>
                <w:color w:val="auto"/>
                <w:sz w:val="21"/>
                <w:szCs w:val="21"/>
                <w:highlight w:val="none"/>
              </w:rPr>
            </w:pPr>
          </w:p>
        </w:tc>
      </w:tr>
      <w:tr w14:paraId="2B091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87" w:type="dxa"/>
            <w:vMerge w:val="continue"/>
            <w:tcBorders>
              <w:top w:val="nil"/>
              <w:bottom w:val="nil"/>
            </w:tcBorders>
            <w:vAlign w:val="top"/>
          </w:tcPr>
          <w:p w14:paraId="0684CA8B">
            <w:pPr>
              <w:spacing w:line="460" w:lineRule="exact"/>
              <w:rPr>
                <w:rFonts w:hint="eastAsia" w:ascii="仿宋" w:hAnsi="仿宋" w:eastAsia="仿宋" w:cs="仿宋"/>
                <w:snapToGrid w:val="0"/>
                <w:color w:val="auto"/>
                <w:sz w:val="21"/>
                <w:szCs w:val="21"/>
                <w:highlight w:val="none"/>
              </w:rPr>
            </w:pPr>
          </w:p>
        </w:tc>
        <w:tc>
          <w:tcPr>
            <w:tcW w:w="1699" w:type="dxa"/>
            <w:vMerge w:val="continue"/>
            <w:tcBorders>
              <w:top w:val="nil"/>
              <w:bottom w:val="nil"/>
            </w:tcBorders>
            <w:vAlign w:val="top"/>
          </w:tcPr>
          <w:p w14:paraId="7AABBCC3">
            <w:pPr>
              <w:spacing w:line="460" w:lineRule="exact"/>
              <w:rPr>
                <w:rFonts w:hint="eastAsia" w:ascii="仿宋" w:hAnsi="仿宋" w:eastAsia="仿宋" w:cs="仿宋"/>
                <w:snapToGrid w:val="0"/>
                <w:color w:val="auto"/>
                <w:sz w:val="21"/>
                <w:szCs w:val="21"/>
                <w:highlight w:val="none"/>
              </w:rPr>
            </w:pPr>
          </w:p>
        </w:tc>
        <w:tc>
          <w:tcPr>
            <w:tcW w:w="1515" w:type="dxa"/>
            <w:vAlign w:val="top"/>
          </w:tcPr>
          <w:p w14:paraId="5564718F">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人员工资</w:t>
            </w:r>
          </w:p>
        </w:tc>
        <w:tc>
          <w:tcPr>
            <w:tcW w:w="1153" w:type="dxa"/>
            <w:vAlign w:val="top"/>
          </w:tcPr>
          <w:p w14:paraId="61B7F0CC">
            <w:pPr>
              <w:spacing w:line="460" w:lineRule="exact"/>
              <w:rPr>
                <w:rFonts w:hint="eastAsia" w:ascii="仿宋" w:hAnsi="仿宋" w:eastAsia="仿宋" w:cs="仿宋"/>
                <w:snapToGrid w:val="0"/>
                <w:color w:val="auto"/>
                <w:sz w:val="21"/>
                <w:szCs w:val="21"/>
                <w:highlight w:val="none"/>
              </w:rPr>
            </w:pPr>
          </w:p>
        </w:tc>
        <w:tc>
          <w:tcPr>
            <w:tcW w:w="1575" w:type="dxa"/>
            <w:vAlign w:val="top"/>
          </w:tcPr>
          <w:p w14:paraId="74A0407A">
            <w:pPr>
              <w:spacing w:line="460" w:lineRule="exact"/>
              <w:rPr>
                <w:rFonts w:hint="eastAsia" w:ascii="仿宋" w:hAnsi="仿宋" w:eastAsia="仿宋" w:cs="仿宋"/>
                <w:snapToGrid w:val="0"/>
                <w:color w:val="auto"/>
                <w:sz w:val="21"/>
                <w:szCs w:val="21"/>
                <w:highlight w:val="none"/>
              </w:rPr>
            </w:pPr>
          </w:p>
        </w:tc>
        <w:tc>
          <w:tcPr>
            <w:tcW w:w="1577" w:type="dxa"/>
            <w:vAlign w:val="top"/>
          </w:tcPr>
          <w:p w14:paraId="06B1C713">
            <w:pPr>
              <w:spacing w:line="460" w:lineRule="exact"/>
              <w:rPr>
                <w:rFonts w:hint="eastAsia" w:ascii="仿宋" w:hAnsi="仿宋" w:eastAsia="仿宋" w:cs="仿宋"/>
                <w:snapToGrid w:val="0"/>
                <w:color w:val="auto"/>
                <w:sz w:val="21"/>
                <w:szCs w:val="21"/>
                <w:highlight w:val="none"/>
              </w:rPr>
            </w:pPr>
          </w:p>
        </w:tc>
      </w:tr>
      <w:tr w14:paraId="3645D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87" w:type="dxa"/>
            <w:vMerge w:val="continue"/>
            <w:tcBorders>
              <w:top w:val="nil"/>
              <w:bottom w:val="nil"/>
            </w:tcBorders>
            <w:vAlign w:val="top"/>
          </w:tcPr>
          <w:p w14:paraId="6310F80C">
            <w:pPr>
              <w:spacing w:line="460" w:lineRule="exact"/>
              <w:rPr>
                <w:rFonts w:hint="eastAsia" w:ascii="仿宋" w:hAnsi="仿宋" w:eastAsia="仿宋" w:cs="仿宋"/>
                <w:snapToGrid w:val="0"/>
                <w:color w:val="auto"/>
                <w:sz w:val="21"/>
                <w:szCs w:val="21"/>
                <w:highlight w:val="none"/>
              </w:rPr>
            </w:pPr>
          </w:p>
        </w:tc>
        <w:tc>
          <w:tcPr>
            <w:tcW w:w="1699" w:type="dxa"/>
            <w:vMerge w:val="continue"/>
            <w:tcBorders>
              <w:top w:val="nil"/>
              <w:bottom w:val="nil"/>
            </w:tcBorders>
            <w:vAlign w:val="top"/>
          </w:tcPr>
          <w:p w14:paraId="43B36581">
            <w:pPr>
              <w:spacing w:line="460" w:lineRule="exact"/>
              <w:rPr>
                <w:rFonts w:hint="eastAsia" w:ascii="仿宋" w:hAnsi="仿宋" w:eastAsia="仿宋" w:cs="仿宋"/>
                <w:snapToGrid w:val="0"/>
                <w:color w:val="auto"/>
                <w:sz w:val="21"/>
                <w:szCs w:val="21"/>
                <w:highlight w:val="none"/>
              </w:rPr>
            </w:pPr>
          </w:p>
        </w:tc>
        <w:tc>
          <w:tcPr>
            <w:tcW w:w="1515" w:type="dxa"/>
            <w:vAlign w:val="top"/>
          </w:tcPr>
          <w:p w14:paraId="0E54BAB6">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人员保险</w:t>
            </w:r>
          </w:p>
        </w:tc>
        <w:tc>
          <w:tcPr>
            <w:tcW w:w="1153" w:type="dxa"/>
            <w:vAlign w:val="top"/>
          </w:tcPr>
          <w:p w14:paraId="5942E761">
            <w:pPr>
              <w:spacing w:line="460" w:lineRule="exact"/>
              <w:rPr>
                <w:rFonts w:hint="eastAsia" w:ascii="仿宋" w:hAnsi="仿宋" w:eastAsia="仿宋" w:cs="仿宋"/>
                <w:snapToGrid w:val="0"/>
                <w:color w:val="auto"/>
                <w:sz w:val="21"/>
                <w:szCs w:val="21"/>
                <w:highlight w:val="none"/>
              </w:rPr>
            </w:pPr>
          </w:p>
        </w:tc>
        <w:tc>
          <w:tcPr>
            <w:tcW w:w="1575" w:type="dxa"/>
            <w:vAlign w:val="top"/>
          </w:tcPr>
          <w:p w14:paraId="14FFB6BD">
            <w:pPr>
              <w:spacing w:line="460" w:lineRule="exact"/>
              <w:rPr>
                <w:rFonts w:hint="eastAsia" w:ascii="仿宋" w:hAnsi="仿宋" w:eastAsia="仿宋" w:cs="仿宋"/>
                <w:snapToGrid w:val="0"/>
                <w:color w:val="auto"/>
                <w:sz w:val="21"/>
                <w:szCs w:val="21"/>
                <w:highlight w:val="none"/>
              </w:rPr>
            </w:pPr>
          </w:p>
        </w:tc>
        <w:tc>
          <w:tcPr>
            <w:tcW w:w="1577" w:type="dxa"/>
            <w:vAlign w:val="top"/>
          </w:tcPr>
          <w:p w14:paraId="5975E9CC">
            <w:pPr>
              <w:spacing w:line="460" w:lineRule="exact"/>
              <w:rPr>
                <w:rFonts w:hint="eastAsia" w:ascii="仿宋" w:hAnsi="仿宋" w:eastAsia="仿宋" w:cs="仿宋"/>
                <w:snapToGrid w:val="0"/>
                <w:color w:val="auto"/>
                <w:sz w:val="21"/>
                <w:szCs w:val="21"/>
                <w:highlight w:val="none"/>
              </w:rPr>
            </w:pPr>
          </w:p>
        </w:tc>
      </w:tr>
      <w:tr w14:paraId="79BA8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87" w:type="dxa"/>
            <w:vMerge w:val="continue"/>
            <w:tcBorders>
              <w:top w:val="nil"/>
              <w:bottom w:val="nil"/>
            </w:tcBorders>
            <w:vAlign w:val="top"/>
          </w:tcPr>
          <w:p w14:paraId="5A277FBB">
            <w:pPr>
              <w:spacing w:line="460" w:lineRule="exact"/>
              <w:rPr>
                <w:rFonts w:hint="eastAsia" w:ascii="仿宋" w:hAnsi="仿宋" w:eastAsia="仿宋" w:cs="仿宋"/>
                <w:snapToGrid w:val="0"/>
                <w:color w:val="auto"/>
                <w:sz w:val="21"/>
                <w:szCs w:val="21"/>
                <w:highlight w:val="none"/>
              </w:rPr>
            </w:pPr>
          </w:p>
        </w:tc>
        <w:tc>
          <w:tcPr>
            <w:tcW w:w="1699" w:type="dxa"/>
            <w:vMerge w:val="continue"/>
            <w:tcBorders>
              <w:top w:val="nil"/>
              <w:bottom w:val="nil"/>
            </w:tcBorders>
            <w:vAlign w:val="top"/>
          </w:tcPr>
          <w:p w14:paraId="5B9E605F">
            <w:pPr>
              <w:spacing w:line="460" w:lineRule="exact"/>
              <w:rPr>
                <w:rFonts w:hint="eastAsia" w:ascii="仿宋" w:hAnsi="仿宋" w:eastAsia="仿宋" w:cs="仿宋"/>
                <w:snapToGrid w:val="0"/>
                <w:color w:val="auto"/>
                <w:sz w:val="21"/>
                <w:szCs w:val="21"/>
                <w:highlight w:val="none"/>
              </w:rPr>
            </w:pPr>
          </w:p>
        </w:tc>
        <w:tc>
          <w:tcPr>
            <w:tcW w:w="1515" w:type="dxa"/>
            <w:vAlign w:val="top"/>
          </w:tcPr>
          <w:p w14:paraId="0B532465">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日常耗材</w:t>
            </w:r>
          </w:p>
        </w:tc>
        <w:tc>
          <w:tcPr>
            <w:tcW w:w="1153" w:type="dxa"/>
            <w:vAlign w:val="top"/>
          </w:tcPr>
          <w:p w14:paraId="6CE1F769">
            <w:pPr>
              <w:spacing w:line="460" w:lineRule="exact"/>
              <w:rPr>
                <w:rFonts w:hint="eastAsia" w:ascii="仿宋" w:hAnsi="仿宋" w:eastAsia="仿宋" w:cs="仿宋"/>
                <w:snapToGrid w:val="0"/>
                <w:color w:val="auto"/>
                <w:sz w:val="21"/>
                <w:szCs w:val="21"/>
                <w:highlight w:val="none"/>
              </w:rPr>
            </w:pPr>
          </w:p>
        </w:tc>
        <w:tc>
          <w:tcPr>
            <w:tcW w:w="1575" w:type="dxa"/>
            <w:vAlign w:val="top"/>
          </w:tcPr>
          <w:p w14:paraId="7D459D88">
            <w:pPr>
              <w:spacing w:line="460" w:lineRule="exact"/>
              <w:rPr>
                <w:rFonts w:hint="eastAsia" w:ascii="仿宋" w:hAnsi="仿宋" w:eastAsia="仿宋" w:cs="仿宋"/>
                <w:snapToGrid w:val="0"/>
                <w:color w:val="auto"/>
                <w:sz w:val="21"/>
                <w:szCs w:val="21"/>
                <w:highlight w:val="none"/>
              </w:rPr>
            </w:pPr>
          </w:p>
        </w:tc>
        <w:tc>
          <w:tcPr>
            <w:tcW w:w="1577" w:type="dxa"/>
            <w:vAlign w:val="top"/>
          </w:tcPr>
          <w:p w14:paraId="3F9CC118">
            <w:pPr>
              <w:spacing w:line="460" w:lineRule="exact"/>
              <w:rPr>
                <w:rFonts w:hint="eastAsia" w:ascii="仿宋" w:hAnsi="仿宋" w:eastAsia="仿宋" w:cs="仿宋"/>
                <w:snapToGrid w:val="0"/>
                <w:color w:val="auto"/>
                <w:sz w:val="21"/>
                <w:szCs w:val="21"/>
                <w:highlight w:val="none"/>
              </w:rPr>
            </w:pPr>
          </w:p>
        </w:tc>
      </w:tr>
      <w:tr w14:paraId="1E246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87" w:type="dxa"/>
            <w:vMerge w:val="continue"/>
            <w:tcBorders>
              <w:top w:val="nil"/>
              <w:bottom w:val="nil"/>
            </w:tcBorders>
            <w:vAlign w:val="top"/>
          </w:tcPr>
          <w:p w14:paraId="7143C449">
            <w:pPr>
              <w:spacing w:line="460" w:lineRule="exact"/>
              <w:rPr>
                <w:rFonts w:hint="eastAsia" w:ascii="仿宋" w:hAnsi="仿宋" w:eastAsia="仿宋" w:cs="仿宋"/>
                <w:snapToGrid w:val="0"/>
                <w:color w:val="auto"/>
                <w:sz w:val="21"/>
                <w:szCs w:val="21"/>
                <w:highlight w:val="none"/>
              </w:rPr>
            </w:pPr>
          </w:p>
        </w:tc>
        <w:tc>
          <w:tcPr>
            <w:tcW w:w="1699" w:type="dxa"/>
            <w:vMerge w:val="continue"/>
            <w:tcBorders>
              <w:top w:val="nil"/>
              <w:bottom w:val="nil"/>
            </w:tcBorders>
            <w:vAlign w:val="top"/>
          </w:tcPr>
          <w:p w14:paraId="2DCA61AE">
            <w:pPr>
              <w:spacing w:line="460" w:lineRule="exact"/>
              <w:rPr>
                <w:rFonts w:hint="eastAsia" w:ascii="仿宋" w:hAnsi="仿宋" w:eastAsia="仿宋" w:cs="仿宋"/>
                <w:snapToGrid w:val="0"/>
                <w:color w:val="auto"/>
                <w:sz w:val="21"/>
                <w:szCs w:val="21"/>
                <w:highlight w:val="none"/>
              </w:rPr>
            </w:pPr>
          </w:p>
        </w:tc>
        <w:tc>
          <w:tcPr>
            <w:tcW w:w="1515" w:type="dxa"/>
            <w:vAlign w:val="top"/>
          </w:tcPr>
          <w:p w14:paraId="56A2124B">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管理费</w:t>
            </w:r>
          </w:p>
        </w:tc>
        <w:tc>
          <w:tcPr>
            <w:tcW w:w="1153" w:type="dxa"/>
            <w:vAlign w:val="top"/>
          </w:tcPr>
          <w:p w14:paraId="265A675A">
            <w:pPr>
              <w:spacing w:line="460" w:lineRule="exact"/>
              <w:rPr>
                <w:rFonts w:hint="eastAsia" w:ascii="仿宋" w:hAnsi="仿宋" w:eastAsia="仿宋" w:cs="仿宋"/>
                <w:snapToGrid w:val="0"/>
                <w:color w:val="auto"/>
                <w:sz w:val="21"/>
                <w:szCs w:val="21"/>
                <w:highlight w:val="none"/>
              </w:rPr>
            </w:pPr>
          </w:p>
        </w:tc>
        <w:tc>
          <w:tcPr>
            <w:tcW w:w="1575" w:type="dxa"/>
            <w:vAlign w:val="top"/>
          </w:tcPr>
          <w:p w14:paraId="7AFA1965">
            <w:pPr>
              <w:spacing w:line="460" w:lineRule="exact"/>
              <w:rPr>
                <w:rFonts w:hint="eastAsia" w:ascii="仿宋" w:hAnsi="仿宋" w:eastAsia="仿宋" w:cs="仿宋"/>
                <w:snapToGrid w:val="0"/>
                <w:color w:val="auto"/>
                <w:sz w:val="21"/>
                <w:szCs w:val="21"/>
                <w:highlight w:val="none"/>
              </w:rPr>
            </w:pPr>
          </w:p>
        </w:tc>
        <w:tc>
          <w:tcPr>
            <w:tcW w:w="1577" w:type="dxa"/>
            <w:vAlign w:val="top"/>
          </w:tcPr>
          <w:p w14:paraId="7E6571FE">
            <w:pPr>
              <w:spacing w:line="460" w:lineRule="exact"/>
              <w:rPr>
                <w:rFonts w:hint="eastAsia" w:ascii="仿宋" w:hAnsi="仿宋" w:eastAsia="仿宋" w:cs="仿宋"/>
                <w:snapToGrid w:val="0"/>
                <w:color w:val="auto"/>
                <w:sz w:val="21"/>
                <w:szCs w:val="21"/>
                <w:highlight w:val="none"/>
              </w:rPr>
            </w:pPr>
          </w:p>
        </w:tc>
      </w:tr>
      <w:tr w14:paraId="0828B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87" w:type="dxa"/>
            <w:vMerge w:val="continue"/>
            <w:tcBorders>
              <w:top w:val="nil"/>
              <w:bottom w:val="nil"/>
            </w:tcBorders>
            <w:vAlign w:val="top"/>
          </w:tcPr>
          <w:p w14:paraId="6DC5809D">
            <w:pPr>
              <w:spacing w:line="460" w:lineRule="exact"/>
              <w:rPr>
                <w:rFonts w:hint="eastAsia" w:ascii="仿宋" w:hAnsi="仿宋" w:eastAsia="仿宋" w:cs="仿宋"/>
                <w:snapToGrid w:val="0"/>
                <w:color w:val="auto"/>
                <w:sz w:val="21"/>
                <w:szCs w:val="21"/>
                <w:highlight w:val="none"/>
              </w:rPr>
            </w:pPr>
          </w:p>
        </w:tc>
        <w:tc>
          <w:tcPr>
            <w:tcW w:w="1699" w:type="dxa"/>
            <w:vMerge w:val="continue"/>
            <w:tcBorders>
              <w:top w:val="nil"/>
              <w:bottom w:val="nil"/>
            </w:tcBorders>
            <w:vAlign w:val="top"/>
          </w:tcPr>
          <w:p w14:paraId="534531C1">
            <w:pPr>
              <w:spacing w:line="460" w:lineRule="exact"/>
              <w:rPr>
                <w:rFonts w:hint="eastAsia" w:ascii="仿宋" w:hAnsi="仿宋" w:eastAsia="仿宋" w:cs="仿宋"/>
                <w:snapToGrid w:val="0"/>
                <w:color w:val="auto"/>
                <w:sz w:val="21"/>
                <w:szCs w:val="21"/>
                <w:highlight w:val="none"/>
              </w:rPr>
            </w:pPr>
          </w:p>
        </w:tc>
        <w:tc>
          <w:tcPr>
            <w:tcW w:w="1515" w:type="dxa"/>
            <w:vAlign w:val="top"/>
          </w:tcPr>
          <w:p w14:paraId="620FB000">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税金</w:t>
            </w:r>
          </w:p>
        </w:tc>
        <w:tc>
          <w:tcPr>
            <w:tcW w:w="1153" w:type="dxa"/>
            <w:vAlign w:val="top"/>
          </w:tcPr>
          <w:p w14:paraId="7A0357F6">
            <w:pPr>
              <w:spacing w:line="460" w:lineRule="exact"/>
              <w:rPr>
                <w:rFonts w:hint="eastAsia" w:ascii="仿宋" w:hAnsi="仿宋" w:eastAsia="仿宋" w:cs="仿宋"/>
                <w:snapToGrid w:val="0"/>
                <w:color w:val="auto"/>
                <w:sz w:val="21"/>
                <w:szCs w:val="21"/>
                <w:highlight w:val="none"/>
              </w:rPr>
            </w:pPr>
          </w:p>
        </w:tc>
        <w:tc>
          <w:tcPr>
            <w:tcW w:w="1575" w:type="dxa"/>
            <w:vAlign w:val="top"/>
          </w:tcPr>
          <w:p w14:paraId="41C8EBBF">
            <w:pPr>
              <w:spacing w:line="460" w:lineRule="exact"/>
              <w:rPr>
                <w:rFonts w:hint="eastAsia" w:ascii="仿宋" w:hAnsi="仿宋" w:eastAsia="仿宋" w:cs="仿宋"/>
                <w:snapToGrid w:val="0"/>
                <w:color w:val="auto"/>
                <w:sz w:val="21"/>
                <w:szCs w:val="21"/>
                <w:highlight w:val="none"/>
              </w:rPr>
            </w:pPr>
          </w:p>
        </w:tc>
        <w:tc>
          <w:tcPr>
            <w:tcW w:w="1577" w:type="dxa"/>
            <w:vAlign w:val="top"/>
          </w:tcPr>
          <w:p w14:paraId="066FF0CA">
            <w:pPr>
              <w:spacing w:line="460" w:lineRule="exact"/>
              <w:rPr>
                <w:rFonts w:hint="eastAsia" w:ascii="仿宋" w:hAnsi="仿宋" w:eastAsia="仿宋" w:cs="仿宋"/>
                <w:snapToGrid w:val="0"/>
                <w:color w:val="auto"/>
                <w:sz w:val="21"/>
                <w:szCs w:val="21"/>
                <w:highlight w:val="none"/>
              </w:rPr>
            </w:pPr>
          </w:p>
        </w:tc>
      </w:tr>
      <w:tr w14:paraId="3D474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87" w:type="dxa"/>
            <w:vMerge w:val="continue"/>
            <w:tcBorders>
              <w:top w:val="nil"/>
              <w:bottom w:val="nil"/>
            </w:tcBorders>
            <w:vAlign w:val="top"/>
          </w:tcPr>
          <w:p w14:paraId="2AF914E7">
            <w:pPr>
              <w:spacing w:line="460" w:lineRule="exact"/>
              <w:rPr>
                <w:rFonts w:hint="eastAsia" w:ascii="仿宋" w:hAnsi="仿宋" w:eastAsia="仿宋" w:cs="仿宋"/>
                <w:snapToGrid w:val="0"/>
                <w:color w:val="auto"/>
                <w:sz w:val="21"/>
                <w:szCs w:val="21"/>
                <w:highlight w:val="none"/>
              </w:rPr>
            </w:pPr>
          </w:p>
        </w:tc>
        <w:tc>
          <w:tcPr>
            <w:tcW w:w="1699" w:type="dxa"/>
            <w:vMerge w:val="continue"/>
            <w:tcBorders>
              <w:top w:val="nil"/>
              <w:bottom w:val="nil"/>
            </w:tcBorders>
            <w:vAlign w:val="top"/>
          </w:tcPr>
          <w:p w14:paraId="4CC00C5E">
            <w:pPr>
              <w:spacing w:line="460" w:lineRule="exact"/>
              <w:rPr>
                <w:rFonts w:hint="eastAsia" w:ascii="仿宋" w:hAnsi="仿宋" w:eastAsia="仿宋" w:cs="仿宋"/>
                <w:snapToGrid w:val="0"/>
                <w:color w:val="auto"/>
                <w:sz w:val="21"/>
                <w:szCs w:val="21"/>
                <w:highlight w:val="none"/>
              </w:rPr>
            </w:pPr>
          </w:p>
        </w:tc>
        <w:tc>
          <w:tcPr>
            <w:tcW w:w="1515" w:type="dxa"/>
            <w:vAlign w:val="top"/>
          </w:tcPr>
          <w:p w14:paraId="3717AFCE">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其他费用</w:t>
            </w:r>
          </w:p>
        </w:tc>
        <w:tc>
          <w:tcPr>
            <w:tcW w:w="1153" w:type="dxa"/>
            <w:vAlign w:val="top"/>
          </w:tcPr>
          <w:p w14:paraId="2EE8A156">
            <w:pPr>
              <w:spacing w:line="460" w:lineRule="exact"/>
              <w:rPr>
                <w:rFonts w:hint="eastAsia" w:ascii="仿宋" w:hAnsi="仿宋" w:eastAsia="仿宋" w:cs="仿宋"/>
                <w:snapToGrid w:val="0"/>
                <w:color w:val="auto"/>
                <w:sz w:val="21"/>
                <w:szCs w:val="21"/>
                <w:highlight w:val="none"/>
              </w:rPr>
            </w:pPr>
          </w:p>
        </w:tc>
        <w:tc>
          <w:tcPr>
            <w:tcW w:w="1575" w:type="dxa"/>
            <w:vAlign w:val="top"/>
          </w:tcPr>
          <w:p w14:paraId="632FCED4">
            <w:pPr>
              <w:spacing w:line="460" w:lineRule="exact"/>
              <w:rPr>
                <w:rFonts w:hint="eastAsia" w:ascii="仿宋" w:hAnsi="仿宋" w:eastAsia="仿宋" w:cs="仿宋"/>
                <w:snapToGrid w:val="0"/>
                <w:color w:val="auto"/>
                <w:sz w:val="21"/>
                <w:szCs w:val="21"/>
                <w:highlight w:val="none"/>
              </w:rPr>
            </w:pPr>
          </w:p>
        </w:tc>
        <w:tc>
          <w:tcPr>
            <w:tcW w:w="1577" w:type="dxa"/>
            <w:vAlign w:val="top"/>
          </w:tcPr>
          <w:p w14:paraId="10628C68">
            <w:pPr>
              <w:spacing w:line="460" w:lineRule="exact"/>
              <w:rPr>
                <w:rFonts w:hint="eastAsia" w:ascii="仿宋" w:hAnsi="仿宋" w:eastAsia="仿宋" w:cs="仿宋"/>
                <w:snapToGrid w:val="0"/>
                <w:color w:val="auto"/>
                <w:sz w:val="21"/>
                <w:szCs w:val="21"/>
                <w:highlight w:val="none"/>
              </w:rPr>
            </w:pPr>
          </w:p>
        </w:tc>
      </w:tr>
      <w:tr w14:paraId="7B8AA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87" w:type="dxa"/>
            <w:vMerge w:val="continue"/>
            <w:tcBorders>
              <w:top w:val="nil"/>
            </w:tcBorders>
            <w:vAlign w:val="top"/>
          </w:tcPr>
          <w:p w14:paraId="531C1702">
            <w:pPr>
              <w:spacing w:line="460" w:lineRule="exact"/>
              <w:rPr>
                <w:rFonts w:hint="eastAsia" w:ascii="仿宋" w:hAnsi="仿宋" w:eastAsia="仿宋" w:cs="仿宋"/>
                <w:snapToGrid w:val="0"/>
                <w:color w:val="auto"/>
                <w:sz w:val="21"/>
                <w:szCs w:val="21"/>
                <w:highlight w:val="none"/>
              </w:rPr>
            </w:pPr>
          </w:p>
        </w:tc>
        <w:tc>
          <w:tcPr>
            <w:tcW w:w="1699" w:type="dxa"/>
            <w:vMerge w:val="continue"/>
            <w:tcBorders>
              <w:top w:val="nil"/>
            </w:tcBorders>
            <w:vAlign w:val="top"/>
          </w:tcPr>
          <w:p w14:paraId="4ED2F775">
            <w:pPr>
              <w:spacing w:line="460" w:lineRule="exact"/>
              <w:rPr>
                <w:rFonts w:hint="eastAsia" w:ascii="仿宋" w:hAnsi="仿宋" w:eastAsia="仿宋" w:cs="仿宋"/>
                <w:snapToGrid w:val="0"/>
                <w:color w:val="auto"/>
                <w:sz w:val="21"/>
                <w:szCs w:val="21"/>
                <w:highlight w:val="none"/>
              </w:rPr>
            </w:pPr>
          </w:p>
        </w:tc>
        <w:tc>
          <w:tcPr>
            <w:tcW w:w="1515" w:type="dxa"/>
            <w:vAlign w:val="top"/>
          </w:tcPr>
          <w:p w14:paraId="2434E49D">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w:t>
            </w:r>
          </w:p>
        </w:tc>
        <w:tc>
          <w:tcPr>
            <w:tcW w:w="1153" w:type="dxa"/>
            <w:vAlign w:val="top"/>
          </w:tcPr>
          <w:p w14:paraId="07CB44F7">
            <w:pPr>
              <w:spacing w:line="460" w:lineRule="exact"/>
              <w:rPr>
                <w:rFonts w:hint="eastAsia" w:ascii="仿宋" w:hAnsi="仿宋" w:eastAsia="仿宋" w:cs="仿宋"/>
                <w:snapToGrid w:val="0"/>
                <w:color w:val="auto"/>
                <w:sz w:val="21"/>
                <w:szCs w:val="21"/>
                <w:highlight w:val="none"/>
              </w:rPr>
            </w:pPr>
          </w:p>
        </w:tc>
        <w:tc>
          <w:tcPr>
            <w:tcW w:w="1575" w:type="dxa"/>
            <w:vAlign w:val="top"/>
          </w:tcPr>
          <w:p w14:paraId="59C42036">
            <w:pPr>
              <w:spacing w:line="460" w:lineRule="exact"/>
              <w:rPr>
                <w:rFonts w:hint="eastAsia" w:ascii="仿宋" w:hAnsi="仿宋" w:eastAsia="仿宋" w:cs="仿宋"/>
                <w:snapToGrid w:val="0"/>
                <w:color w:val="auto"/>
                <w:sz w:val="21"/>
                <w:szCs w:val="21"/>
                <w:highlight w:val="none"/>
              </w:rPr>
            </w:pPr>
          </w:p>
        </w:tc>
        <w:tc>
          <w:tcPr>
            <w:tcW w:w="1577" w:type="dxa"/>
            <w:vAlign w:val="top"/>
          </w:tcPr>
          <w:p w14:paraId="3D5FA2A4">
            <w:pPr>
              <w:spacing w:line="460" w:lineRule="exact"/>
              <w:rPr>
                <w:rFonts w:hint="eastAsia" w:ascii="仿宋" w:hAnsi="仿宋" w:eastAsia="仿宋" w:cs="仿宋"/>
                <w:snapToGrid w:val="0"/>
                <w:color w:val="auto"/>
                <w:sz w:val="21"/>
                <w:szCs w:val="21"/>
                <w:highlight w:val="none"/>
              </w:rPr>
            </w:pPr>
          </w:p>
        </w:tc>
      </w:tr>
      <w:tr w14:paraId="1C51D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506" w:type="dxa"/>
            <w:gridSpan w:val="6"/>
            <w:vAlign w:val="top"/>
          </w:tcPr>
          <w:p w14:paraId="7541AD07">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总报价(大写):                     ￥ :</w:t>
            </w:r>
          </w:p>
        </w:tc>
      </w:tr>
    </w:tbl>
    <w:p w14:paraId="200E0200">
      <w:pPr>
        <w:spacing w:line="460" w:lineRule="exact"/>
        <w:rPr>
          <w:rFonts w:hint="eastAsia" w:ascii="仿宋" w:hAnsi="仿宋" w:eastAsia="仿宋" w:cs="仿宋"/>
          <w:snapToGrid w:val="0"/>
          <w:color w:val="auto"/>
          <w:sz w:val="21"/>
          <w:szCs w:val="21"/>
          <w:highlight w:val="none"/>
        </w:rPr>
      </w:pPr>
    </w:p>
    <w:tbl>
      <w:tblPr>
        <w:tblStyle w:val="41"/>
        <w:tblW w:w="8422" w:type="dxa"/>
        <w:tblInd w:w="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2"/>
        <w:gridCol w:w="1656"/>
        <w:gridCol w:w="1259"/>
        <w:gridCol w:w="1153"/>
        <w:gridCol w:w="1575"/>
        <w:gridCol w:w="1577"/>
      </w:tblGrid>
      <w:tr w14:paraId="72D8C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2" w:hRule="atLeast"/>
        </w:trPr>
        <w:tc>
          <w:tcPr>
            <w:tcW w:w="1202" w:type="dxa"/>
            <w:vAlign w:val="top"/>
          </w:tcPr>
          <w:p w14:paraId="028ED0FF">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包号</w:t>
            </w:r>
          </w:p>
        </w:tc>
        <w:tc>
          <w:tcPr>
            <w:tcW w:w="1656" w:type="dxa"/>
            <w:vAlign w:val="top"/>
          </w:tcPr>
          <w:p w14:paraId="1927E906">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服务项目名称</w:t>
            </w:r>
          </w:p>
        </w:tc>
        <w:tc>
          <w:tcPr>
            <w:tcW w:w="1259" w:type="dxa"/>
            <w:vAlign w:val="top"/>
          </w:tcPr>
          <w:p w14:paraId="075F7CD0">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分项内容</w:t>
            </w:r>
          </w:p>
        </w:tc>
        <w:tc>
          <w:tcPr>
            <w:tcW w:w="1153" w:type="dxa"/>
            <w:vAlign w:val="top"/>
          </w:tcPr>
          <w:p w14:paraId="531B07FB">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单价</w:t>
            </w:r>
          </w:p>
        </w:tc>
        <w:tc>
          <w:tcPr>
            <w:tcW w:w="1575" w:type="dxa"/>
            <w:vAlign w:val="top"/>
          </w:tcPr>
          <w:p w14:paraId="2B0A444D">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数量</w:t>
            </w:r>
          </w:p>
        </w:tc>
        <w:tc>
          <w:tcPr>
            <w:tcW w:w="1577" w:type="dxa"/>
            <w:vAlign w:val="top"/>
          </w:tcPr>
          <w:p w14:paraId="7922AFD6">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金额（元）</w:t>
            </w:r>
          </w:p>
        </w:tc>
      </w:tr>
      <w:tr w14:paraId="70B7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202" w:type="dxa"/>
            <w:vMerge w:val="restart"/>
            <w:tcBorders>
              <w:bottom w:val="nil"/>
            </w:tcBorders>
            <w:vAlign w:val="top"/>
          </w:tcPr>
          <w:p w14:paraId="7C6D7445">
            <w:pPr>
              <w:spacing w:line="460" w:lineRule="exact"/>
              <w:rPr>
                <w:rFonts w:hint="eastAsia" w:ascii="仿宋" w:hAnsi="仿宋" w:eastAsia="仿宋" w:cs="仿宋"/>
                <w:snapToGrid w:val="0"/>
                <w:color w:val="auto"/>
                <w:sz w:val="21"/>
                <w:szCs w:val="21"/>
                <w:highlight w:val="none"/>
                <w:lang w:eastAsia="zh-CN"/>
              </w:rPr>
            </w:pPr>
            <w:r>
              <w:rPr>
                <w:rFonts w:hint="eastAsia" w:ascii="仿宋" w:hAnsi="仿宋" w:eastAsia="仿宋" w:cs="仿宋"/>
                <w:snapToGrid w:val="0"/>
                <w:color w:val="auto"/>
                <w:sz w:val="21"/>
                <w:szCs w:val="21"/>
                <w:highlight w:val="none"/>
                <w:lang w:val="en-US" w:eastAsia="zh-CN"/>
              </w:rPr>
              <w:t>2</w:t>
            </w:r>
          </w:p>
        </w:tc>
        <w:tc>
          <w:tcPr>
            <w:tcW w:w="1656" w:type="dxa"/>
            <w:vMerge w:val="restart"/>
            <w:tcBorders>
              <w:bottom w:val="nil"/>
            </w:tcBorders>
            <w:vAlign w:val="top"/>
          </w:tcPr>
          <w:p w14:paraId="7CCA9112">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河曲县</w:t>
            </w:r>
            <w:r>
              <w:rPr>
                <w:rFonts w:hint="eastAsia" w:ascii="仿宋" w:hAnsi="仿宋" w:eastAsia="仿宋" w:cs="仿宋"/>
                <w:snapToGrid w:val="0"/>
                <w:color w:val="auto"/>
                <w:sz w:val="21"/>
                <w:szCs w:val="21"/>
                <w:highlight w:val="none"/>
                <w:lang w:val="en-US" w:eastAsia="zh-CN"/>
              </w:rPr>
              <w:t>沙坪乡</w:t>
            </w:r>
            <w:r>
              <w:rPr>
                <w:rFonts w:hint="eastAsia" w:ascii="仿宋" w:hAnsi="仿宋" w:eastAsia="仿宋" w:cs="仿宋"/>
                <w:snapToGrid w:val="0"/>
                <w:color w:val="auto"/>
                <w:sz w:val="21"/>
                <w:szCs w:val="21"/>
                <w:highlight w:val="none"/>
              </w:rPr>
              <w:t>人民政府</w:t>
            </w:r>
          </w:p>
        </w:tc>
        <w:tc>
          <w:tcPr>
            <w:tcW w:w="1259" w:type="dxa"/>
            <w:vAlign w:val="top"/>
          </w:tcPr>
          <w:p w14:paraId="5D2DE1FC">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肥料</w:t>
            </w:r>
          </w:p>
        </w:tc>
        <w:tc>
          <w:tcPr>
            <w:tcW w:w="1153" w:type="dxa"/>
            <w:vAlign w:val="top"/>
          </w:tcPr>
          <w:p w14:paraId="6AA8E411">
            <w:pPr>
              <w:spacing w:line="460" w:lineRule="exact"/>
              <w:rPr>
                <w:rFonts w:hint="eastAsia" w:ascii="仿宋" w:hAnsi="仿宋" w:eastAsia="仿宋" w:cs="仿宋"/>
                <w:snapToGrid w:val="0"/>
                <w:color w:val="auto"/>
                <w:sz w:val="21"/>
                <w:szCs w:val="21"/>
                <w:highlight w:val="none"/>
              </w:rPr>
            </w:pPr>
          </w:p>
        </w:tc>
        <w:tc>
          <w:tcPr>
            <w:tcW w:w="1575" w:type="dxa"/>
            <w:vAlign w:val="top"/>
          </w:tcPr>
          <w:p w14:paraId="0E90E4BF">
            <w:pPr>
              <w:spacing w:line="460" w:lineRule="exact"/>
              <w:rPr>
                <w:rFonts w:hint="eastAsia" w:ascii="仿宋" w:hAnsi="仿宋" w:eastAsia="仿宋" w:cs="仿宋"/>
                <w:snapToGrid w:val="0"/>
                <w:color w:val="auto"/>
                <w:sz w:val="21"/>
                <w:szCs w:val="21"/>
                <w:highlight w:val="none"/>
              </w:rPr>
            </w:pPr>
          </w:p>
        </w:tc>
        <w:tc>
          <w:tcPr>
            <w:tcW w:w="1577" w:type="dxa"/>
            <w:vAlign w:val="top"/>
          </w:tcPr>
          <w:p w14:paraId="7D36B65C">
            <w:pPr>
              <w:spacing w:line="460" w:lineRule="exact"/>
              <w:rPr>
                <w:rFonts w:hint="eastAsia" w:ascii="仿宋" w:hAnsi="仿宋" w:eastAsia="仿宋" w:cs="仿宋"/>
                <w:snapToGrid w:val="0"/>
                <w:color w:val="auto"/>
                <w:sz w:val="21"/>
                <w:szCs w:val="21"/>
                <w:highlight w:val="none"/>
              </w:rPr>
            </w:pPr>
          </w:p>
        </w:tc>
      </w:tr>
      <w:tr w14:paraId="11219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202" w:type="dxa"/>
            <w:vMerge w:val="continue"/>
            <w:tcBorders>
              <w:top w:val="nil"/>
              <w:bottom w:val="nil"/>
            </w:tcBorders>
            <w:vAlign w:val="top"/>
          </w:tcPr>
          <w:p w14:paraId="18A33004">
            <w:pPr>
              <w:spacing w:line="460" w:lineRule="exact"/>
              <w:rPr>
                <w:rFonts w:hint="eastAsia" w:ascii="仿宋" w:hAnsi="仿宋" w:eastAsia="仿宋" w:cs="仿宋"/>
                <w:snapToGrid w:val="0"/>
                <w:color w:val="auto"/>
                <w:sz w:val="21"/>
                <w:szCs w:val="21"/>
                <w:highlight w:val="none"/>
              </w:rPr>
            </w:pPr>
          </w:p>
        </w:tc>
        <w:tc>
          <w:tcPr>
            <w:tcW w:w="1656" w:type="dxa"/>
            <w:vMerge w:val="continue"/>
            <w:tcBorders>
              <w:top w:val="nil"/>
              <w:bottom w:val="nil"/>
            </w:tcBorders>
            <w:vAlign w:val="top"/>
          </w:tcPr>
          <w:p w14:paraId="5636F3B6">
            <w:pPr>
              <w:spacing w:line="460" w:lineRule="exact"/>
              <w:rPr>
                <w:rFonts w:hint="eastAsia" w:ascii="仿宋" w:hAnsi="仿宋" w:eastAsia="仿宋" w:cs="仿宋"/>
                <w:snapToGrid w:val="0"/>
                <w:color w:val="auto"/>
                <w:sz w:val="21"/>
                <w:szCs w:val="21"/>
                <w:highlight w:val="none"/>
              </w:rPr>
            </w:pPr>
          </w:p>
        </w:tc>
        <w:tc>
          <w:tcPr>
            <w:tcW w:w="1259" w:type="dxa"/>
            <w:vAlign w:val="top"/>
          </w:tcPr>
          <w:p w14:paraId="0AA88871">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人员工资</w:t>
            </w:r>
          </w:p>
        </w:tc>
        <w:tc>
          <w:tcPr>
            <w:tcW w:w="1153" w:type="dxa"/>
            <w:vAlign w:val="top"/>
          </w:tcPr>
          <w:p w14:paraId="2F3C03BC">
            <w:pPr>
              <w:spacing w:line="460" w:lineRule="exact"/>
              <w:rPr>
                <w:rFonts w:hint="eastAsia" w:ascii="仿宋" w:hAnsi="仿宋" w:eastAsia="仿宋" w:cs="仿宋"/>
                <w:snapToGrid w:val="0"/>
                <w:color w:val="auto"/>
                <w:sz w:val="21"/>
                <w:szCs w:val="21"/>
                <w:highlight w:val="none"/>
              </w:rPr>
            </w:pPr>
          </w:p>
        </w:tc>
        <w:tc>
          <w:tcPr>
            <w:tcW w:w="1575" w:type="dxa"/>
            <w:vAlign w:val="top"/>
          </w:tcPr>
          <w:p w14:paraId="4F1D7DEE">
            <w:pPr>
              <w:spacing w:line="460" w:lineRule="exact"/>
              <w:rPr>
                <w:rFonts w:hint="eastAsia" w:ascii="仿宋" w:hAnsi="仿宋" w:eastAsia="仿宋" w:cs="仿宋"/>
                <w:snapToGrid w:val="0"/>
                <w:color w:val="auto"/>
                <w:sz w:val="21"/>
                <w:szCs w:val="21"/>
                <w:highlight w:val="none"/>
              </w:rPr>
            </w:pPr>
          </w:p>
        </w:tc>
        <w:tc>
          <w:tcPr>
            <w:tcW w:w="1577" w:type="dxa"/>
            <w:vAlign w:val="top"/>
          </w:tcPr>
          <w:p w14:paraId="39FD0904">
            <w:pPr>
              <w:spacing w:line="460" w:lineRule="exact"/>
              <w:rPr>
                <w:rFonts w:hint="eastAsia" w:ascii="仿宋" w:hAnsi="仿宋" w:eastAsia="仿宋" w:cs="仿宋"/>
                <w:snapToGrid w:val="0"/>
                <w:color w:val="auto"/>
                <w:sz w:val="21"/>
                <w:szCs w:val="21"/>
                <w:highlight w:val="none"/>
              </w:rPr>
            </w:pPr>
          </w:p>
        </w:tc>
      </w:tr>
      <w:tr w14:paraId="26C16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202" w:type="dxa"/>
            <w:vMerge w:val="continue"/>
            <w:tcBorders>
              <w:top w:val="nil"/>
              <w:bottom w:val="nil"/>
            </w:tcBorders>
            <w:vAlign w:val="top"/>
          </w:tcPr>
          <w:p w14:paraId="435BF9C8">
            <w:pPr>
              <w:spacing w:line="460" w:lineRule="exact"/>
              <w:rPr>
                <w:rFonts w:hint="eastAsia" w:ascii="仿宋" w:hAnsi="仿宋" w:eastAsia="仿宋" w:cs="仿宋"/>
                <w:snapToGrid w:val="0"/>
                <w:color w:val="auto"/>
                <w:sz w:val="21"/>
                <w:szCs w:val="21"/>
                <w:highlight w:val="none"/>
              </w:rPr>
            </w:pPr>
          </w:p>
        </w:tc>
        <w:tc>
          <w:tcPr>
            <w:tcW w:w="1656" w:type="dxa"/>
            <w:vMerge w:val="continue"/>
            <w:tcBorders>
              <w:top w:val="nil"/>
              <w:bottom w:val="nil"/>
            </w:tcBorders>
            <w:vAlign w:val="top"/>
          </w:tcPr>
          <w:p w14:paraId="7BB64E20">
            <w:pPr>
              <w:spacing w:line="460" w:lineRule="exact"/>
              <w:rPr>
                <w:rFonts w:hint="eastAsia" w:ascii="仿宋" w:hAnsi="仿宋" w:eastAsia="仿宋" w:cs="仿宋"/>
                <w:snapToGrid w:val="0"/>
                <w:color w:val="auto"/>
                <w:sz w:val="21"/>
                <w:szCs w:val="21"/>
                <w:highlight w:val="none"/>
              </w:rPr>
            </w:pPr>
          </w:p>
        </w:tc>
        <w:tc>
          <w:tcPr>
            <w:tcW w:w="1259" w:type="dxa"/>
            <w:vAlign w:val="top"/>
          </w:tcPr>
          <w:p w14:paraId="41720BFF">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人员保险</w:t>
            </w:r>
          </w:p>
        </w:tc>
        <w:tc>
          <w:tcPr>
            <w:tcW w:w="1153" w:type="dxa"/>
            <w:vAlign w:val="top"/>
          </w:tcPr>
          <w:p w14:paraId="3748416C">
            <w:pPr>
              <w:spacing w:line="460" w:lineRule="exact"/>
              <w:rPr>
                <w:rFonts w:hint="eastAsia" w:ascii="仿宋" w:hAnsi="仿宋" w:eastAsia="仿宋" w:cs="仿宋"/>
                <w:snapToGrid w:val="0"/>
                <w:color w:val="auto"/>
                <w:sz w:val="21"/>
                <w:szCs w:val="21"/>
                <w:highlight w:val="none"/>
              </w:rPr>
            </w:pPr>
          </w:p>
        </w:tc>
        <w:tc>
          <w:tcPr>
            <w:tcW w:w="1575" w:type="dxa"/>
            <w:vAlign w:val="top"/>
          </w:tcPr>
          <w:p w14:paraId="122D8D68">
            <w:pPr>
              <w:spacing w:line="460" w:lineRule="exact"/>
              <w:rPr>
                <w:rFonts w:hint="eastAsia" w:ascii="仿宋" w:hAnsi="仿宋" w:eastAsia="仿宋" w:cs="仿宋"/>
                <w:snapToGrid w:val="0"/>
                <w:color w:val="auto"/>
                <w:sz w:val="21"/>
                <w:szCs w:val="21"/>
                <w:highlight w:val="none"/>
              </w:rPr>
            </w:pPr>
          </w:p>
        </w:tc>
        <w:tc>
          <w:tcPr>
            <w:tcW w:w="1577" w:type="dxa"/>
            <w:vAlign w:val="top"/>
          </w:tcPr>
          <w:p w14:paraId="5D69800B">
            <w:pPr>
              <w:spacing w:line="460" w:lineRule="exact"/>
              <w:rPr>
                <w:rFonts w:hint="eastAsia" w:ascii="仿宋" w:hAnsi="仿宋" w:eastAsia="仿宋" w:cs="仿宋"/>
                <w:snapToGrid w:val="0"/>
                <w:color w:val="auto"/>
                <w:sz w:val="21"/>
                <w:szCs w:val="21"/>
                <w:highlight w:val="none"/>
              </w:rPr>
            </w:pPr>
          </w:p>
        </w:tc>
      </w:tr>
      <w:tr w14:paraId="2E62B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202" w:type="dxa"/>
            <w:vMerge w:val="continue"/>
            <w:tcBorders>
              <w:top w:val="nil"/>
              <w:bottom w:val="nil"/>
            </w:tcBorders>
            <w:vAlign w:val="top"/>
          </w:tcPr>
          <w:p w14:paraId="2B4C140F">
            <w:pPr>
              <w:spacing w:line="460" w:lineRule="exact"/>
              <w:rPr>
                <w:rFonts w:hint="eastAsia" w:ascii="仿宋" w:hAnsi="仿宋" w:eastAsia="仿宋" w:cs="仿宋"/>
                <w:snapToGrid w:val="0"/>
                <w:color w:val="auto"/>
                <w:sz w:val="21"/>
                <w:szCs w:val="21"/>
                <w:highlight w:val="none"/>
              </w:rPr>
            </w:pPr>
          </w:p>
        </w:tc>
        <w:tc>
          <w:tcPr>
            <w:tcW w:w="1656" w:type="dxa"/>
            <w:vMerge w:val="continue"/>
            <w:tcBorders>
              <w:top w:val="nil"/>
              <w:bottom w:val="nil"/>
            </w:tcBorders>
            <w:vAlign w:val="top"/>
          </w:tcPr>
          <w:p w14:paraId="4EA9A73F">
            <w:pPr>
              <w:spacing w:line="460" w:lineRule="exact"/>
              <w:rPr>
                <w:rFonts w:hint="eastAsia" w:ascii="仿宋" w:hAnsi="仿宋" w:eastAsia="仿宋" w:cs="仿宋"/>
                <w:snapToGrid w:val="0"/>
                <w:color w:val="auto"/>
                <w:sz w:val="21"/>
                <w:szCs w:val="21"/>
                <w:highlight w:val="none"/>
              </w:rPr>
            </w:pPr>
          </w:p>
        </w:tc>
        <w:tc>
          <w:tcPr>
            <w:tcW w:w="1259" w:type="dxa"/>
            <w:vAlign w:val="top"/>
          </w:tcPr>
          <w:p w14:paraId="1D41A310">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日常耗材</w:t>
            </w:r>
          </w:p>
        </w:tc>
        <w:tc>
          <w:tcPr>
            <w:tcW w:w="1153" w:type="dxa"/>
            <w:vAlign w:val="top"/>
          </w:tcPr>
          <w:p w14:paraId="3AE51051">
            <w:pPr>
              <w:spacing w:line="460" w:lineRule="exact"/>
              <w:rPr>
                <w:rFonts w:hint="eastAsia" w:ascii="仿宋" w:hAnsi="仿宋" w:eastAsia="仿宋" w:cs="仿宋"/>
                <w:snapToGrid w:val="0"/>
                <w:color w:val="auto"/>
                <w:sz w:val="21"/>
                <w:szCs w:val="21"/>
                <w:highlight w:val="none"/>
              </w:rPr>
            </w:pPr>
          </w:p>
        </w:tc>
        <w:tc>
          <w:tcPr>
            <w:tcW w:w="1575" w:type="dxa"/>
            <w:vAlign w:val="top"/>
          </w:tcPr>
          <w:p w14:paraId="5A03C957">
            <w:pPr>
              <w:spacing w:line="460" w:lineRule="exact"/>
              <w:rPr>
                <w:rFonts w:hint="eastAsia" w:ascii="仿宋" w:hAnsi="仿宋" w:eastAsia="仿宋" w:cs="仿宋"/>
                <w:snapToGrid w:val="0"/>
                <w:color w:val="auto"/>
                <w:sz w:val="21"/>
                <w:szCs w:val="21"/>
                <w:highlight w:val="none"/>
              </w:rPr>
            </w:pPr>
          </w:p>
        </w:tc>
        <w:tc>
          <w:tcPr>
            <w:tcW w:w="1577" w:type="dxa"/>
            <w:vAlign w:val="top"/>
          </w:tcPr>
          <w:p w14:paraId="0B9A1B66">
            <w:pPr>
              <w:spacing w:line="460" w:lineRule="exact"/>
              <w:rPr>
                <w:rFonts w:hint="eastAsia" w:ascii="仿宋" w:hAnsi="仿宋" w:eastAsia="仿宋" w:cs="仿宋"/>
                <w:snapToGrid w:val="0"/>
                <w:color w:val="auto"/>
                <w:sz w:val="21"/>
                <w:szCs w:val="21"/>
                <w:highlight w:val="none"/>
              </w:rPr>
            </w:pPr>
          </w:p>
        </w:tc>
      </w:tr>
      <w:tr w14:paraId="5F671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202" w:type="dxa"/>
            <w:vMerge w:val="continue"/>
            <w:tcBorders>
              <w:top w:val="nil"/>
              <w:bottom w:val="nil"/>
            </w:tcBorders>
            <w:vAlign w:val="top"/>
          </w:tcPr>
          <w:p w14:paraId="3F32C1AB">
            <w:pPr>
              <w:spacing w:line="460" w:lineRule="exact"/>
              <w:rPr>
                <w:rFonts w:hint="eastAsia" w:ascii="仿宋" w:hAnsi="仿宋" w:eastAsia="仿宋" w:cs="仿宋"/>
                <w:snapToGrid w:val="0"/>
                <w:color w:val="auto"/>
                <w:sz w:val="21"/>
                <w:szCs w:val="21"/>
                <w:highlight w:val="none"/>
              </w:rPr>
            </w:pPr>
          </w:p>
        </w:tc>
        <w:tc>
          <w:tcPr>
            <w:tcW w:w="1656" w:type="dxa"/>
            <w:vMerge w:val="continue"/>
            <w:tcBorders>
              <w:top w:val="nil"/>
              <w:bottom w:val="nil"/>
            </w:tcBorders>
            <w:vAlign w:val="top"/>
          </w:tcPr>
          <w:p w14:paraId="325C5734">
            <w:pPr>
              <w:spacing w:line="460" w:lineRule="exact"/>
              <w:rPr>
                <w:rFonts w:hint="eastAsia" w:ascii="仿宋" w:hAnsi="仿宋" w:eastAsia="仿宋" w:cs="仿宋"/>
                <w:snapToGrid w:val="0"/>
                <w:color w:val="auto"/>
                <w:sz w:val="21"/>
                <w:szCs w:val="21"/>
                <w:highlight w:val="none"/>
              </w:rPr>
            </w:pPr>
          </w:p>
        </w:tc>
        <w:tc>
          <w:tcPr>
            <w:tcW w:w="1259" w:type="dxa"/>
            <w:vAlign w:val="top"/>
          </w:tcPr>
          <w:p w14:paraId="0A0A9DDB">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管理费</w:t>
            </w:r>
          </w:p>
        </w:tc>
        <w:tc>
          <w:tcPr>
            <w:tcW w:w="1153" w:type="dxa"/>
            <w:vAlign w:val="top"/>
          </w:tcPr>
          <w:p w14:paraId="0C7C2429">
            <w:pPr>
              <w:spacing w:line="460" w:lineRule="exact"/>
              <w:rPr>
                <w:rFonts w:hint="eastAsia" w:ascii="仿宋" w:hAnsi="仿宋" w:eastAsia="仿宋" w:cs="仿宋"/>
                <w:snapToGrid w:val="0"/>
                <w:color w:val="auto"/>
                <w:sz w:val="21"/>
                <w:szCs w:val="21"/>
                <w:highlight w:val="none"/>
              </w:rPr>
            </w:pPr>
          </w:p>
        </w:tc>
        <w:tc>
          <w:tcPr>
            <w:tcW w:w="1575" w:type="dxa"/>
            <w:vAlign w:val="top"/>
          </w:tcPr>
          <w:p w14:paraId="1BA87BB9">
            <w:pPr>
              <w:spacing w:line="460" w:lineRule="exact"/>
              <w:rPr>
                <w:rFonts w:hint="eastAsia" w:ascii="仿宋" w:hAnsi="仿宋" w:eastAsia="仿宋" w:cs="仿宋"/>
                <w:snapToGrid w:val="0"/>
                <w:color w:val="auto"/>
                <w:sz w:val="21"/>
                <w:szCs w:val="21"/>
                <w:highlight w:val="none"/>
              </w:rPr>
            </w:pPr>
          </w:p>
        </w:tc>
        <w:tc>
          <w:tcPr>
            <w:tcW w:w="1577" w:type="dxa"/>
            <w:vAlign w:val="top"/>
          </w:tcPr>
          <w:p w14:paraId="04579C49">
            <w:pPr>
              <w:spacing w:line="460" w:lineRule="exact"/>
              <w:rPr>
                <w:rFonts w:hint="eastAsia" w:ascii="仿宋" w:hAnsi="仿宋" w:eastAsia="仿宋" w:cs="仿宋"/>
                <w:snapToGrid w:val="0"/>
                <w:color w:val="auto"/>
                <w:sz w:val="21"/>
                <w:szCs w:val="21"/>
                <w:highlight w:val="none"/>
              </w:rPr>
            </w:pPr>
          </w:p>
        </w:tc>
      </w:tr>
      <w:tr w14:paraId="2A048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202" w:type="dxa"/>
            <w:vMerge w:val="continue"/>
            <w:tcBorders>
              <w:top w:val="nil"/>
              <w:bottom w:val="nil"/>
            </w:tcBorders>
            <w:vAlign w:val="top"/>
          </w:tcPr>
          <w:p w14:paraId="43E5996D">
            <w:pPr>
              <w:spacing w:line="460" w:lineRule="exact"/>
              <w:rPr>
                <w:rFonts w:hint="eastAsia" w:ascii="仿宋" w:hAnsi="仿宋" w:eastAsia="仿宋" w:cs="仿宋"/>
                <w:snapToGrid w:val="0"/>
                <w:color w:val="auto"/>
                <w:sz w:val="21"/>
                <w:szCs w:val="21"/>
                <w:highlight w:val="none"/>
              </w:rPr>
            </w:pPr>
          </w:p>
        </w:tc>
        <w:tc>
          <w:tcPr>
            <w:tcW w:w="1656" w:type="dxa"/>
            <w:vMerge w:val="continue"/>
            <w:tcBorders>
              <w:top w:val="nil"/>
              <w:bottom w:val="nil"/>
            </w:tcBorders>
            <w:vAlign w:val="top"/>
          </w:tcPr>
          <w:p w14:paraId="7BA2F951">
            <w:pPr>
              <w:spacing w:line="460" w:lineRule="exact"/>
              <w:rPr>
                <w:rFonts w:hint="eastAsia" w:ascii="仿宋" w:hAnsi="仿宋" w:eastAsia="仿宋" w:cs="仿宋"/>
                <w:snapToGrid w:val="0"/>
                <w:color w:val="auto"/>
                <w:sz w:val="21"/>
                <w:szCs w:val="21"/>
                <w:highlight w:val="none"/>
              </w:rPr>
            </w:pPr>
          </w:p>
        </w:tc>
        <w:tc>
          <w:tcPr>
            <w:tcW w:w="1259" w:type="dxa"/>
            <w:vAlign w:val="top"/>
          </w:tcPr>
          <w:p w14:paraId="2461FF62">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税金</w:t>
            </w:r>
          </w:p>
        </w:tc>
        <w:tc>
          <w:tcPr>
            <w:tcW w:w="1153" w:type="dxa"/>
            <w:vAlign w:val="top"/>
          </w:tcPr>
          <w:p w14:paraId="298C23FA">
            <w:pPr>
              <w:spacing w:line="460" w:lineRule="exact"/>
              <w:rPr>
                <w:rFonts w:hint="eastAsia" w:ascii="仿宋" w:hAnsi="仿宋" w:eastAsia="仿宋" w:cs="仿宋"/>
                <w:snapToGrid w:val="0"/>
                <w:color w:val="auto"/>
                <w:sz w:val="21"/>
                <w:szCs w:val="21"/>
                <w:highlight w:val="none"/>
              </w:rPr>
            </w:pPr>
          </w:p>
        </w:tc>
        <w:tc>
          <w:tcPr>
            <w:tcW w:w="1575" w:type="dxa"/>
            <w:vAlign w:val="top"/>
          </w:tcPr>
          <w:p w14:paraId="165627D7">
            <w:pPr>
              <w:spacing w:line="460" w:lineRule="exact"/>
              <w:rPr>
                <w:rFonts w:hint="eastAsia" w:ascii="仿宋" w:hAnsi="仿宋" w:eastAsia="仿宋" w:cs="仿宋"/>
                <w:snapToGrid w:val="0"/>
                <w:color w:val="auto"/>
                <w:sz w:val="21"/>
                <w:szCs w:val="21"/>
                <w:highlight w:val="none"/>
              </w:rPr>
            </w:pPr>
          </w:p>
        </w:tc>
        <w:tc>
          <w:tcPr>
            <w:tcW w:w="1577" w:type="dxa"/>
            <w:vAlign w:val="top"/>
          </w:tcPr>
          <w:p w14:paraId="43A5B545">
            <w:pPr>
              <w:spacing w:line="460" w:lineRule="exact"/>
              <w:rPr>
                <w:rFonts w:hint="eastAsia" w:ascii="仿宋" w:hAnsi="仿宋" w:eastAsia="仿宋" w:cs="仿宋"/>
                <w:snapToGrid w:val="0"/>
                <w:color w:val="auto"/>
                <w:sz w:val="21"/>
                <w:szCs w:val="21"/>
                <w:highlight w:val="none"/>
              </w:rPr>
            </w:pPr>
          </w:p>
        </w:tc>
      </w:tr>
      <w:tr w14:paraId="340C1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202" w:type="dxa"/>
            <w:vMerge w:val="continue"/>
            <w:tcBorders>
              <w:top w:val="nil"/>
            </w:tcBorders>
            <w:vAlign w:val="top"/>
          </w:tcPr>
          <w:p w14:paraId="1D654DF9">
            <w:pPr>
              <w:spacing w:line="460" w:lineRule="exact"/>
              <w:rPr>
                <w:rFonts w:hint="eastAsia" w:ascii="仿宋" w:hAnsi="仿宋" w:eastAsia="仿宋" w:cs="仿宋"/>
                <w:snapToGrid w:val="0"/>
                <w:color w:val="auto"/>
                <w:sz w:val="21"/>
                <w:szCs w:val="21"/>
                <w:highlight w:val="none"/>
              </w:rPr>
            </w:pPr>
          </w:p>
        </w:tc>
        <w:tc>
          <w:tcPr>
            <w:tcW w:w="1656" w:type="dxa"/>
            <w:vMerge w:val="continue"/>
            <w:tcBorders>
              <w:top w:val="nil"/>
            </w:tcBorders>
            <w:vAlign w:val="top"/>
          </w:tcPr>
          <w:p w14:paraId="7E0D8664">
            <w:pPr>
              <w:spacing w:line="460" w:lineRule="exact"/>
              <w:rPr>
                <w:rFonts w:hint="eastAsia" w:ascii="仿宋" w:hAnsi="仿宋" w:eastAsia="仿宋" w:cs="仿宋"/>
                <w:snapToGrid w:val="0"/>
                <w:color w:val="auto"/>
                <w:sz w:val="21"/>
                <w:szCs w:val="21"/>
                <w:highlight w:val="none"/>
              </w:rPr>
            </w:pPr>
          </w:p>
        </w:tc>
        <w:tc>
          <w:tcPr>
            <w:tcW w:w="1259" w:type="dxa"/>
            <w:vAlign w:val="top"/>
          </w:tcPr>
          <w:p w14:paraId="4F5E1C9F">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其他费用</w:t>
            </w:r>
          </w:p>
        </w:tc>
        <w:tc>
          <w:tcPr>
            <w:tcW w:w="1153" w:type="dxa"/>
            <w:vAlign w:val="top"/>
          </w:tcPr>
          <w:p w14:paraId="1380AE06">
            <w:pPr>
              <w:spacing w:line="460" w:lineRule="exact"/>
              <w:rPr>
                <w:rFonts w:hint="eastAsia" w:ascii="仿宋" w:hAnsi="仿宋" w:eastAsia="仿宋" w:cs="仿宋"/>
                <w:snapToGrid w:val="0"/>
                <w:color w:val="auto"/>
                <w:sz w:val="21"/>
                <w:szCs w:val="21"/>
                <w:highlight w:val="none"/>
              </w:rPr>
            </w:pPr>
          </w:p>
        </w:tc>
        <w:tc>
          <w:tcPr>
            <w:tcW w:w="1575" w:type="dxa"/>
            <w:vAlign w:val="top"/>
          </w:tcPr>
          <w:p w14:paraId="05276041">
            <w:pPr>
              <w:spacing w:line="460" w:lineRule="exact"/>
              <w:rPr>
                <w:rFonts w:hint="eastAsia" w:ascii="仿宋" w:hAnsi="仿宋" w:eastAsia="仿宋" w:cs="仿宋"/>
                <w:snapToGrid w:val="0"/>
                <w:color w:val="auto"/>
                <w:sz w:val="21"/>
                <w:szCs w:val="21"/>
                <w:highlight w:val="none"/>
              </w:rPr>
            </w:pPr>
          </w:p>
        </w:tc>
        <w:tc>
          <w:tcPr>
            <w:tcW w:w="1577" w:type="dxa"/>
            <w:vAlign w:val="top"/>
          </w:tcPr>
          <w:p w14:paraId="462B8603">
            <w:pPr>
              <w:spacing w:line="460" w:lineRule="exact"/>
              <w:rPr>
                <w:rFonts w:hint="eastAsia" w:ascii="仿宋" w:hAnsi="仿宋" w:eastAsia="仿宋" w:cs="仿宋"/>
                <w:snapToGrid w:val="0"/>
                <w:color w:val="auto"/>
                <w:sz w:val="21"/>
                <w:szCs w:val="21"/>
                <w:highlight w:val="none"/>
              </w:rPr>
            </w:pPr>
          </w:p>
        </w:tc>
      </w:tr>
    </w:tbl>
    <w:p w14:paraId="7AA26515">
      <w:pPr>
        <w:spacing w:line="460" w:lineRule="exact"/>
        <w:rPr>
          <w:rFonts w:hint="eastAsia" w:ascii="仿宋" w:hAnsi="仿宋" w:eastAsia="仿宋" w:cs="仿宋"/>
          <w:snapToGrid w:val="0"/>
          <w:color w:val="auto"/>
          <w:sz w:val="21"/>
          <w:szCs w:val="21"/>
          <w:highlight w:val="none"/>
        </w:rPr>
      </w:pPr>
    </w:p>
    <w:p w14:paraId="7F3F2158">
      <w:pPr>
        <w:spacing w:line="460" w:lineRule="exact"/>
        <w:rPr>
          <w:rFonts w:hint="eastAsia" w:ascii="仿宋" w:hAnsi="仿宋" w:eastAsia="仿宋" w:cs="仿宋"/>
          <w:snapToGrid w:val="0"/>
          <w:color w:val="auto"/>
          <w:sz w:val="21"/>
          <w:szCs w:val="21"/>
          <w:highlight w:val="none"/>
        </w:rPr>
        <w:sectPr>
          <w:footerReference r:id="rId18" w:type="default"/>
          <w:pgSz w:w="11906" w:h="16839"/>
          <w:pgMar w:top="1431" w:right="1697" w:bottom="1156" w:left="1696" w:header="0" w:footer="994" w:gutter="0"/>
          <w:pgNumType w:fmt="decimal"/>
          <w:cols w:space="720" w:num="1"/>
        </w:sectPr>
      </w:pPr>
    </w:p>
    <w:p w14:paraId="70E47099">
      <w:pPr>
        <w:spacing w:line="460" w:lineRule="exact"/>
        <w:rPr>
          <w:rFonts w:hint="eastAsia" w:ascii="仿宋" w:hAnsi="仿宋" w:eastAsia="仿宋" w:cs="仿宋"/>
          <w:snapToGrid w:val="0"/>
          <w:color w:val="auto"/>
          <w:sz w:val="21"/>
          <w:szCs w:val="21"/>
          <w:highlight w:val="none"/>
        </w:rPr>
      </w:pPr>
    </w:p>
    <w:tbl>
      <w:tblPr>
        <w:tblStyle w:val="41"/>
        <w:tblW w:w="84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2"/>
        <w:gridCol w:w="1656"/>
        <w:gridCol w:w="1259"/>
        <w:gridCol w:w="1153"/>
        <w:gridCol w:w="1575"/>
        <w:gridCol w:w="1577"/>
      </w:tblGrid>
      <w:tr w14:paraId="6C68F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202" w:type="dxa"/>
            <w:vAlign w:val="top"/>
          </w:tcPr>
          <w:p w14:paraId="4E33BA0F">
            <w:pPr>
              <w:spacing w:line="460" w:lineRule="exact"/>
              <w:rPr>
                <w:rFonts w:hint="eastAsia" w:ascii="仿宋" w:hAnsi="仿宋" w:eastAsia="仿宋" w:cs="仿宋"/>
                <w:snapToGrid w:val="0"/>
                <w:color w:val="auto"/>
                <w:sz w:val="21"/>
                <w:szCs w:val="21"/>
                <w:highlight w:val="none"/>
              </w:rPr>
            </w:pPr>
          </w:p>
        </w:tc>
        <w:tc>
          <w:tcPr>
            <w:tcW w:w="1656" w:type="dxa"/>
            <w:vAlign w:val="top"/>
          </w:tcPr>
          <w:p w14:paraId="40B912C9">
            <w:pPr>
              <w:spacing w:line="460" w:lineRule="exact"/>
              <w:rPr>
                <w:rFonts w:hint="eastAsia" w:ascii="仿宋" w:hAnsi="仿宋" w:eastAsia="仿宋" w:cs="仿宋"/>
                <w:snapToGrid w:val="0"/>
                <w:color w:val="auto"/>
                <w:sz w:val="21"/>
                <w:szCs w:val="21"/>
                <w:highlight w:val="none"/>
              </w:rPr>
            </w:pPr>
          </w:p>
        </w:tc>
        <w:tc>
          <w:tcPr>
            <w:tcW w:w="1259" w:type="dxa"/>
            <w:vAlign w:val="top"/>
          </w:tcPr>
          <w:p w14:paraId="7CE4266F">
            <w:pPr>
              <w:spacing w:line="460" w:lineRule="exact"/>
              <w:rPr>
                <w:rFonts w:hint="eastAsia" w:ascii="仿宋" w:hAnsi="仿宋" w:eastAsia="仿宋" w:cs="仿宋"/>
                <w:snapToGrid w:val="0"/>
                <w:color w:val="auto"/>
                <w:sz w:val="21"/>
                <w:szCs w:val="21"/>
                <w:highlight w:val="none"/>
              </w:rPr>
            </w:pPr>
          </w:p>
          <w:p w14:paraId="60D89866">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w:t>
            </w:r>
          </w:p>
        </w:tc>
        <w:tc>
          <w:tcPr>
            <w:tcW w:w="1153" w:type="dxa"/>
            <w:vAlign w:val="top"/>
          </w:tcPr>
          <w:p w14:paraId="6306C239">
            <w:pPr>
              <w:spacing w:line="460" w:lineRule="exact"/>
              <w:rPr>
                <w:rFonts w:hint="eastAsia" w:ascii="仿宋" w:hAnsi="仿宋" w:eastAsia="仿宋" w:cs="仿宋"/>
                <w:snapToGrid w:val="0"/>
                <w:color w:val="auto"/>
                <w:sz w:val="21"/>
                <w:szCs w:val="21"/>
                <w:highlight w:val="none"/>
              </w:rPr>
            </w:pPr>
          </w:p>
        </w:tc>
        <w:tc>
          <w:tcPr>
            <w:tcW w:w="1575" w:type="dxa"/>
            <w:vAlign w:val="top"/>
          </w:tcPr>
          <w:p w14:paraId="11648802">
            <w:pPr>
              <w:spacing w:line="460" w:lineRule="exact"/>
              <w:rPr>
                <w:rFonts w:hint="eastAsia" w:ascii="仿宋" w:hAnsi="仿宋" w:eastAsia="仿宋" w:cs="仿宋"/>
                <w:snapToGrid w:val="0"/>
                <w:color w:val="auto"/>
                <w:sz w:val="21"/>
                <w:szCs w:val="21"/>
                <w:highlight w:val="none"/>
              </w:rPr>
            </w:pPr>
          </w:p>
        </w:tc>
        <w:tc>
          <w:tcPr>
            <w:tcW w:w="1577" w:type="dxa"/>
            <w:vAlign w:val="top"/>
          </w:tcPr>
          <w:p w14:paraId="267EB47C">
            <w:pPr>
              <w:spacing w:line="460" w:lineRule="exact"/>
              <w:rPr>
                <w:rFonts w:hint="eastAsia" w:ascii="仿宋" w:hAnsi="仿宋" w:eastAsia="仿宋" w:cs="仿宋"/>
                <w:snapToGrid w:val="0"/>
                <w:color w:val="auto"/>
                <w:sz w:val="21"/>
                <w:szCs w:val="21"/>
                <w:highlight w:val="none"/>
              </w:rPr>
            </w:pPr>
          </w:p>
        </w:tc>
      </w:tr>
      <w:tr w14:paraId="6EE96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422" w:type="dxa"/>
            <w:gridSpan w:val="6"/>
            <w:vAlign w:val="top"/>
          </w:tcPr>
          <w:p w14:paraId="21DE8F91">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总报价(大写):                     ￥ :</w:t>
            </w:r>
          </w:p>
        </w:tc>
      </w:tr>
    </w:tbl>
    <w:p w14:paraId="3C898664">
      <w:pPr>
        <w:spacing w:line="460" w:lineRule="exact"/>
        <w:rPr>
          <w:rFonts w:hint="eastAsia" w:ascii="仿宋" w:hAnsi="仿宋" w:eastAsia="仿宋" w:cs="仿宋"/>
          <w:snapToGrid w:val="0"/>
          <w:color w:val="auto"/>
          <w:sz w:val="21"/>
          <w:szCs w:val="21"/>
          <w:highlight w:val="none"/>
        </w:rPr>
      </w:pPr>
    </w:p>
    <w:tbl>
      <w:tblPr>
        <w:tblStyle w:val="41"/>
        <w:tblW w:w="8156" w:type="dxa"/>
        <w:tblInd w:w="1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4"/>
        <w:gridCol w:w="1518"/>
        <w:gridCol w:w="1259"/>
        <w:gridCol w:w="1153"/>
        <w:gridCol w:w="1575"/>
        <w:gridCol w:w="1577"/>
      </w:tblGrid>
      <w:tr w14:paraId="53929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074" w:type="dxa"/>
            <w:vAlign w:val="top"/>
          </w:tcPr>
          <w:p w14:paraId="26567C80">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包号</w:t>
            </w:r>
          </w:p>
        </w:tc>
        <w:tc>
          <w:tcPr>
            <w:tcW w:w="1518" w:type="dxa"/>
            <w:vAlign w:val="top"/>
          </w:tcPr>
          <w:p w14:paraId="5C3E15E5">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服务项目名称</w:t>
            </w:r>
          </w:p>
        </w:tc>
        <w:tc>
          <w:tcPr>
            <w:tcW w:w="1259" w:type="dxa"/>
            <w:vAlign w:val="top"/>
          </w:tcPr>
          <w:p w14:paraId="060D0AF5">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分项内容</w:t>
            </w:r>
          </w:p>
        </w:tc>
        <w:tc>
          <w:tcPr>
            <w:tcW w:w="1153" w:type="dxa"/>
            <w:vAlign w:val="top"/>
          </w:tcPr>
          <w:p w14:paraId="58C30129">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单价</w:t>
            </w:r>
          </w:p>
        </w:tc>
        <w:tc>
          <w:tcPr>
            <w:tcW w:w="1575" w:type="dxa"/>
            <w:vAlign w:val="top"/>
          </w:tcPr>
          <w:p w14:paraId="0408B1B1">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数量</w:t>
            </w:r>
          </w:p>
        </w:tc>
        <w:tc>
          <w:tcPr>
            <w:tcW w:w="1577" w:type="dxa"/>
            <w:vAlign w:val="top"/>
          </w:tcPr>
          <w:p w14:paraId="249E42F8">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金额（元）</w:t>
            </w:r>
          </w:p>
        </w:tc>
      </w:tr>
      <w:tr w14:paraId="453B7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074" w:type="dxa"/>
            <w:vMerge w:val="restart"/>
            <w:tcBorders>
              <w:bottom w:val="nil"/>
            </w:tcBorders>
            <w:vAlign w:val="top"/>
          </w:tcPr>
          <w:p w14:paraId="59E8E47D">
            <w:pPr>
              <w:spacing w:line="460" w:lineRule="exact"/>
              <w:rPr>
                <w:rFonts w:hint="eastAsia" w:ascii="仿宋" w:hAnsi="仿宋" w:eastAsia="仿宋" w:cs="仿宋"/>
                <w:snapToGrid w:val="0"/>
                <w:color w:val="auto"/>
                <w:sz w:val="21"/>
                <w:szCs w:val="21"/>
                <w:highlight w:val="none"/>
                <w:lang w:eastAsia="zh-CN"/>
              </w:rPr>
            </w:pPr>
            <w:r>
              <w:rPr>
                <w:rFonts w:hint="eastAsia" w:ascii="仿宋" w:hAnsi="仿宋" w:eastAsia="仿宋" w:cs="仿宋"/>
                <w:snapToGrid w:val="0"/>
                <w:color w:val="auto"/>
                <w:sz w:val="21"/>
                <w:szCs w:val="21"/>
                <w:highlight w:val="none"/>
                <w:lang w:val="en-US" w:eastAsia="zh-CN"/>
              </w:rPr>
              <w:t>3</w:t>
            </w:r>
          </w:p>
        </w:tc>
        <w:tc>
          <w:tcPr>
            <w:tcW w:w="1518" w:type="dxa"/>
            <w:vMerge w:val="restart"/>
            <w:tcBorders>
              <w:bottom w:val="nil"/>
            </w:tcBorders>
            <w:vAlign w:val="top"/>
          </w:tcPr>
          <w:p w14:paraId="27BD1440">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河曲县</w:t>
            </w:r>
            <w:r>
              <w:rPr>
                <w:rFonts w:hint="eastAsia" w:ascii="仿宋" w:hAnsi="仿宋" w:eastAsia="仿宋" w:cs="仿宋"/>
                <w:snapToGrid w:val="0"/>
                <w:color w:val="auto"/>
                <w:sz w:val="21"/>
                <w:szCs w:val="21"/>
                <w:highlight w:val="none"/>
                <w:lang w:val="en-US" w:eastAsia="zh-CN"/>
              </w:rPr>
              <w:t>土沟乡</w:t>
            </w:r>
            <w:r>
              <w:rPr>
                <w:rFonts w:hint="eastAsia" w:ascii="仿宋" w:hAnsi="仿宋" w:eastAsia="仿宋" w:cs="仿宋"/>
                <w:snapToGrid w:val="0"/>
                <w:color w:val="auto"/>
                <w:sz w:val="21"/>
                <w:szCs w:val="21"/>
                <w:highlight w:val="none"/>
              </w:rPr>
              <w:t xml:space="preserve"> 人民政府</w:t>
            </w:r>
          </w:p>
        </w:tc>
        <w:tc>
          <w:tcPr>
            <w:tcW w:w="1259" w:type="dxa"/>
            <w:vAlign w:val="top"/>
          </w:tcPr>
          <w:p w14:paraId="18552745">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肥料</w:t>
            </w:r>
          </w:p>
        </w:tc>
        <w:tc>
          <w:tcPr>
            <w:tcW w:w="1153" w:type="dxa"/>
            <w:vAlign w:val="top"/>
          </w:tcPr>
          <w:p w14:paraId="48136BDD">
            <w:pPr>
              <w:spacing w:line="460" w:lineRule="exact"/>
              <w:rPr>
                <w:rFonts w:hint="eastAsia" w:ascii="仿宋" w:hAnsi="仿宋" w:eastAsia="仿宋" w:cs="仿宋"/>
                <w:snapToGrid w:val="0"/>
                <w:color w:val="auto"/>
                <w:sz w:val="21"/>
                <w:szCs w:val="21"/>
                <w:highlight w:val="none"/>
              </w:rPr>
            </w:pPr>
          </w:p>
        </w:tc>
        <w:tc>
          <w:tcPr>
            <w:tcW w:w="1575" w:type="dxa"/>
            <w:vAlign w:val="top"/>
          </w:tcPr>
          <w:p w14:paraId="1E48CF27">
            <w:pPr>
              <w:spacing w:line="460" w:lineRule="exact"/>
              <w:rPr>
                <w:rFonts w:hint="eastAsia" w:ascii="仿宋" w:hAnsi="仿宋" w:eastAsia="仿宋" w:cs="仿宋"/>
                <w:snapToGrid w:val="0"/>
                <w:color w:val="auto"/>
                <w:sz w:val="21"/>
                <w:szCs w:val="21"/>
                <w:highlight w:val="none"/>
              </w:rPr>
            </w:pPr>
          </w:p>
        </w:tc>
        <w:tc>
          <w:tcPr>
            <w:tcW w:w="1577" w:type="dxa"/>
            <w:vAlign w:val="top"/>
          </w:tcPr>
          <w:p w14:paraId="29B05A42">
            <w:pPr>
              <w:spacing w:line="460" w:lineRule="exact"/>
              <w:rPr>
                <w:rFonts w:hint="eastAsia" w:ascii="仿宋" w:hAnsi="仿宋" w:eastAsia="仿宋" w:cs="仿宋"/>
                <w:snapToGrid w:val="0"/>
                <w:color w:val="auto"/>
                <w:sz w:val="21"/>
                <w:szCs w:val="21"/>
                <w:highlight w:val="none"/>
              </w:rPr>
            </w:pPr>
          </w:p>
        </w:tc>
      </w:tr>
      <w:tr w14:paraId="6B2D0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074" w:type="dxa"/>
            <w:vMerge w:val="continue"/>
            <w:tcBorders>
              <w:top w:val="nil"/>
              <w:bottom w:val="nil"/>
            </w:tcBorders>
            <w:vAlign w:val="top"/>
          </w:tcPr>
          <w:p w14:paraId="66388C1F">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bottom w:val="nil"/>
            </w:tcBorders>
            <w:vAlign w:val="top"/>
          </w:tcPr>
          <w:p w14:paraId="74B7A9FA">
            <w:pPr>
              <w:spacing w:line="460" w:lineRule="exact"/>
              <w:rPr>
                <w:rFonts w:hint="eastAsia" w:ascii="仿宋" w:hAnsi="仿宋" w:eastAsia="仿宋" w:cs="仿宋"/>
                <w:snapToGrid w:val="0"/>
                <w:color w:val="auto"/>
                <w:sz w:val="21"/>
                <w:szCs w:val="21"/>
                <w:highlight w:val="none"/>
              </w:rPr>
            </w:pPr>
          </w:p>
        </w:tc>
        <w:tc>
          <w:tcPr>
            <w:tcW w:w="1259" w:type="dxa"/>
            <w:vAlign w:val="top"/>
          </w:tcPr>
          <w:p w14:paraId="3D97EAC1">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人员工资</w:t>
            </w:r>
          </w:p>
        </w:tc>
        <w:tc>
          <w:tcPr>
            <w:tcW w:w="1153" w:type="dxa"/>
            <w:vAlign w:val="top"/>
          </w:tcPr>
          <w:p w14:paraId="32F69C9C">
            <w:pPr>
              <w:spacing w:line="460" w:lineRule="exact"/>
              <w:rPr>
                <w:rFonts w:hint="eastAsia" w:ascii="仿宋" w:hAnsi="仿宋" w:eastAsia="仿宋" w:cs="仿宋"/>
                <w:snapToGrid w:val="0"/>
                <w:color w:val="auto"/>
                <w:sz w:val="21"/>
                <w:szCs w:val="21"/>
                <w:highlight w:val="none"/>
              </w:rPr>
            </w:pPr>
          </w:p>
        </w:tc>
        <w:tc>
          <w:tcPr>
            <w:tcW w:w="1575" w:type="dxa"/>
            <w:vAlign w:val="top"/>
          </w:tcPr>
          <w:p w14:paraId="62DB20BA">
            <w:pPr>
              <w:spacing w:line="460" w:lineRule="exact"/>
              <w:rPr>
                <w:rFonts w:hint="eastAsia" w:ascii="仿宋" w:hAnsi="仿宋" w:eastAsia="仿宋" w:cs="仿宋"/>
                <w:snapToGrid w:val="0"/>
                <w:color w:val="auto"/>
                <w:sz w:val="21"/>
                <w:szCs w:val="21"/>
                <w:highlight w:val="none"/>
              </w:rPr>
            </w:pPr>
          </w:p>
        </w:tc>
        <w:tc>
          <w:tcPr>
            <w:tcW w:w="1577" w:type="dxa"/>
            <w:vAlign w:val="top"/>
          </w:tcPr>
          <w:p w14:paraId="256AB52D">
            <w:pPr>
              <w:spacing w:line="460" w:lineRule="exact"/>
              <w:rPr>
                <w:rFonts w:hint="eastAsia" w:ascii="仿宋" w:hAnsi="仿宋" w:eastAsia="仿宋" w:cs="仿宋"/>
                <w:snapToGrid w:val="0"/>
                <w:color w:val="auto"/>
                <w:sz w:val="21"/>
                <w:szCs w:val="21"/>
                <w:highlight w:val="none"/>
              </w:rPr>
            </w:pPr>
          </w:p>
        </w:tc>
      </w:tr>
      <w:tr w14:paraId="7F9B6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074" w:type="dxa"/>
            <w:vMerge w:val="continue"/>
            <w:tcBorders>
              <w:top w:val="nil"/>
              <w:bottom w:val="nil"/>
            </w:tcBorders>
            <w:vAlign w:val="top"/>
          </w:tcPr>
          <w:p w14:paraId="4510414A">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bottom w:val="nil"/>
            </w:tcBorders>
            <w:vAlign w:val="top"/>
          </w:tcPr>
          <w:p w14:paraId="79980DFE">
            <w:pPr>
              <w:spacing w:line="460" w:lineRule="exact"/>
              <w:rPr>
                <w:rFonts w:hint="eastAsia" w:ascii="仿宋" w:hAnsi="仿宋" w:eastAsia="仿宋" w:cs="仿宋"/>
                <w:snapToGrid w:val="0"/>
                <w:color w:val="auto"/>
                <w:sz w:val="21"/>
                <w:szCs w:val="21"/>
                <w:highlight w:val="none"/>
              </w:rPr>
            </w:pPr>
          </w:p>
        </w:tc>
        <w:tc>
          <w:tcPr>
            <w:tcW w:w="1259" w:type="dxa"/>
            <w:vAlign w:val="top"/>
          </w:tcPr>
          <w:p w14:paraId="086ABEEB">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人员保险</w:t>
            </w:r>
          </w:p>
        </w:tc>
        <w:tc>
          <w:tcPr>
            <w:tcW w:w="1153" w:type="dxa"/>
            <w:vAlign w:val="top"/>
          </w:tcPr>
          <w:p w14:paraId="28B61063">
            <w:pPr>
              <w:spacing w:line="460" w:lineRule="exact"/>
              <w:rPr>
                <w:rFonts w:hint="eastAsia" w:ascii="仿宋" w:hAnsi="仿宋" w:eastAsia="仿宋" w:cs="仿宋"/>
                <w:snapToGrid w:val="0"/>
                <w:color w:val="auto"/>
                <w:sz w:val="21"/>
                <w:szCs w:val="21"/>
                <w:highlight w:val="none"/>
              </w:rPr>
            </w:pPr>
          </w:p>
        </w:tc>
        <w:tc>
          <w:tcPr>
            <w:tcW w:w="1575" w:type="dxa"/>
            <w:vAlign w:val="top"/>
          </w:tcPr>
          <w:p w14:paraId="1A0D7F6D">
            <w:pPr>
              <w:spacing w:line="460" w:lineRule="exact"/>
              <w:rPr>
                <w:rFonts w:hint="eastAsia" w:ascii="仿宋" w:hAnsi="仿宋" w:eastAsia="仿宋" w:cs="仿宋"/>
                <w:snapToGrid w:val="0"/>
                <w:color w:val="auto"/>
                <w:sz w:val="21"/>
                <w:szCs w:val="21"/>
                <w:highlight w:val="none"/>
              </w:rPr>
            </w:pPr>
          </w:p>
        </w:tc>
        <w:tc>
          <w:tcPr>
            <w:tcW w:w="1577" w:type="dxa"/>
            <w:vAlign w:val="top"/>
          </w:tcPr>
          <w:p w14:paraId="66A36300">
            <w:pPr>
              <w:spacing w:line="460" w:lineRule="exact"/>
              <w:rPr>
                <w:rFonts w:hint="eastAsia" w:ascii="仿宋" w:hAnsi="仿宋" w:eastAsia="仿宋" w:cs="仿宋"/>
                <w:snapToGrid w:val="0"/>
                <w:color w:val="auto"/>
                <w:sz w:val="21"/>
                <w:szCs w:val="21"/>
                <w:highlight w:val="none"/>
              </w:rPr>
            </w:pPr>
          </w:p>
        </w:tc>
      </w:tr>
      <w:tr w14:paraId="24C7F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074" w:type="dxa"/>
            <w:vMerge w:val="continue"/>
            <w:tcBorders>
              <w:top w:val="nil"/>
              <w:bottom w:val="nil"/>
            </w:tcBorders>
            <w:vAlign w:val="top"/>
          </w:tcPr>
          <w:p w14:paraId="071CFC48">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bottom w:val="nil"/>
            </w:tcBorders>
            <w:vAlign w:val="top"/>
          </w:tcPr>
          <w:p w14:paraId="0734E965">
            <w:pPr>
              <w:spacing w:line="460" w:lineRule="exact"/>
              <w:rPr>
                <w:rFonts w:hint="eastAsia" w:ascii="仿宋" w:hAnsi="仿宋" w:eastAsia="仿宋" w:cs="仿宋"/>
                <w:snapToGrid w:val="0"/>
                <w:color w:val="auto"/>
                <w:sz w:val="21"/>
                <w:szCs w:val="21"/>
                <w:highlight w:val="none"/>
              </w:rPr>
            </w:pPr>
          </w:p>
        </w:tc>
        <w:tc>
          <w:tcPr>
            <w:tcW w:w="1259" w:type="dxa"/>
            <w:vAlign w:val="top"/>
          </w:tcPr>
          <w:p w14:paraId="7036521A">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日常耗材</w:t>
            </w:r>
          </w:p>
        </w:tc>
        <w:tc>
          <w:tcPr>
            <w:tcW w:w="1153" w:type="dxa"/>
            <w:vAlign w:val="top"/>
          </w:tcPr>
          <w:p w14:paraId="75842316">
            <w:pPr>
              <w:spacing w:line="460" w:lineRule="exact"/>
              <w:rPr>
                <w:rFonts w:hint="eastAsia" w:ascii="仿宋" w:hAnsi="仿宋" w:eastAsia="仿宋" w:cs="仿宋"/>
                <w:snapToGrid w:val="0"/>
                <w:color w:val="auto"/>
                <w:sz w:val="21"/>
                <w:szCs w:val="21"/>
                <w:highlight w:val="none"/>
              </w:rPr>
            </w:pPr>
          </w:p>
        </w:tc>
        <w:tc>
          <w:tcPr>
            <w:tcW w:w="1575" w:type="dxa"/>
            <w:vAlign w:val="top"/>
          </w:tcPr>
          <w:p w14:paraId="71E5A748">
            <w:pPr>
              <w:spacing w:line="460" w:lineRule="exact"/>
              <w:rPr>
                <w:rFonts w:hint="eastAsia" w:ascii="仿宋" w:hAnsi="仿宋" w:eastAsia="仿宋" w:cs="仿宋"/>
                <w:snapToGrid w:val="0"/>
                <w:color w:val="auto"/>
                <w:sz w:val="21"/>
                <w:szCs w:val="21"/>
                <w:highlight w:val="none"/>
              </w:rPr>
            </w:pPr>
          </w:p>
        </w:tc>
        <w:tc>
          <w:tcPr>
            <w:tcW w:w="1577" w:type="dxa"/>
            <w:vAlign w:val="top"/>
          </w:tcPr>
          <w:p w14:paraId="2C8D9853">
            <w:pPr>
              <w:spacing w:line="460" w:lineRule="exact"/>
              <w:rPr>
                <w:rFonts w:hint="eastAsia" w:ascii="仿宋" w:hAnsi="仿宋" w:eastAsia="仿宋" w:cs="仿宋"/>
                <w:snapToGrid w:val="0"/>
                <w:color w:val="auto"/>
                <w:sz w:val="21"/>
                <w:szCs w:val="21"/>
                <w:highlight w:val="none"/>
              </w:rPr>
            </w:pPr>
          </w:p>
        </w:tc>
      </w:tr>
      <w:tr w14:paraId="68098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074" w:type="dxa"/>
            <w:vMerge w:val="continue"/>
            <w:tcBorders>
              <w:top w:val="nil"/>
              <w:bottom w:val="nil"/>
            </w:tcBorders>
            <w:vAlign w:val="top"/>
          </w:tcPr>
          <w:p w14:paraId="46D22123">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bottom w:val="nil"/>
            </w:tcBorders>
            <w:vAlign w:val="top"/>
          </w:tcPr>
          <w:p w14:paraId="1F6ACDFD">
            <w:pPr>
              <w:spacing w:line="460" w:lineRule="exact"/>
              <w:rPr>
                <w:rFonts w:hint="eastAsia" w:ascii="仿宋" w:hAnsi="仿宋" w:eastAsia="仿宋" w:cs="仿宋"/>
                <w:snapToGrid w:val="0"/>
                <w:color w:val="auto"/>
                <w:sz w:val="21"/>
                <w:szCs w:val="21"/>
                <w:highlight w:val="none"/>
              </w:rPr>
            </w:pPr>
          </w:p>
        </w:tc>
        <w:tc>
          <w:tcPr>
            <w:tcW w:w="1259" w:type="dxa"/>
            <w:vAlign w:val="top"/>
          </w:tcPr>
          <w:p w14:paraId="3BFAF728">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管理费</w:t>
            </w:r>
          </w:p>
        </w:tc>
        <w:tc>
          <w:tcPr>
            <w:tcW w:w="1153" w:type="dxa"/>
            <w:vAlign w:val="top"/>
          </w:tcPr>
          <w:p w14:paraId="1F8859CE">
            <w:pPr>
              <w:spacing w:line="460" w:lineRule="exact"/>
              <w:rPr>
                <w:rFonts w:hint="eastAsia" w:ascii="仿宋" w:hAnsi="仿宋" w:eastAsia="仿宋" w:cs="仿宋"/>
                <w:snapToGrid w:val="0"/>
                <w:color w:val="auto"/>
                <w:sz w:val="21"/>
                <w:szCs w:val="21"/>
                <w:highlight w:val="none"/>
              </w:rPr>
            </w:pPr>
          </w:p>
        </w:tc>
        <w:tc>
          <w:tcPr>
            <w:tcW w:w="1575" w:type="dxa"/>
            <w:vAlign w:val="top"/>
          </w:tcPr>
          <w:p w14:paraId="1BDB6DBB">
            <w:pPr>
              <w:spacing w:line="460" w:lineRule="exact"/>
              <w:rPr>
                <w:rFonts w:hint="eastAsia" w:ascii="仿宋" w:hAnsi="仿宋" w:eastAsia="仿宋" w:cs="仿宋"/>
                <w:snapToGrid w:val="0"/>
                <w:color w:val="auto"/>
                <w:sz w:val="21"/>
                <w:szCs w:val="21"/>
                <w:highlight w:val="none"/>
              </w:rPr>
            </w:pPr>
          </w:p>
        </w:tc>
        <w:tc>
          <w:tcPr>
            <w:tcW w:w="1577" w:type="dxa"/>
            <w:vAlign w:val="top"/>
          </w:tcPr>
          <w:p w14:paraId="146E1996">
            <w:pPr>
              <w:spacing w:line="460" w:lineRule="exact"/>
              <w:rPr>
                <w:rFonts w:hint="eastAsia" w:ascii="仿宋" w:hAnsi="仿宋" w:eastAsia="仿宋" w:cs="仿宋"/>
                <w:snapToGrid w:val="0"/>
                <w:color w:val="auto"/>
                <w:sz w:val="21"/>
                <w:szCs w:val="21"/>
                <w:highlight w:val="none"/>
              </w:rPr>
            </w:pPr>
          </w:p>
        </w:tc>
      </w:tr>
      <w:tr w14:paraId="5FC45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074" w:type="dxa"/>
            <w:vMerge w:val="continue"/>
            <w:tcBorders>
              <w:top w:val="nil"/>
              <w:bottom w:val="nil"/>
            </w:tcBorders>
            <w:vAlign w:val="top"/>
          </w:tcPr>
          <w:p w14:paraId="0A0C578A">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bottom w:val="nil"/>
            </w:tcBorders>
            <w:vAlign w:val="top"/>
          </w:tcPr>
          <w:p w14:paraId="509802A9">
            <w:pPr>
              <w:spacing w:line="460" w:lineRule="exact"/>
              <w:rPr>
                <w:rFonts w:hint="eastAsia" w:ascii="仿宋" w:hAnsi="仿宋" w:eastAsia="仿宋" w:cs="仿宋"/>
                <w:snapToGrid w:val="0"/>
                <w:color w:val="auto"/>
                <w:sz w:val="21"/>
                <w:szCs w:val="21"/>
                <w:highlight w:val="none"/>
              </w:rPr>
            </w:pPr>
          </w:p>
        </w:tc>
        <w:tc>
          <w:tcPr>
            <w:tcW w:w="1259" w:type="dxa"/>
            <w:vAlign w:val="top"/>
          </w:tcPr>
          <w:p w14:paraId="03115431">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税金</w:t>
            </w:r>
          </w:p>
        </w:tc>
        <w:tc>
          <w:tcPr>
            <w:tcW w:w="1153" w:type="dxa"/>
            <w:vAlign w:val="top"/>
          </w:tcPr>
          <w:p w14:paraId="28CC8AAB">
            <w:pPr>
              <w:spacing w:line="460" w:lineRule="exact"/>
              <w:rPr>
                <w:rFonts w:hint="eastAsia" w:ascii="仿宋" w:hAnsi="仿宋" w:eastAsia="仿宋" w:cs="仿宋"/>
                <w:snapToGrid w:val="0"/>
                <w:color w:val="auto"/>
                <w:sz w:val="21"/>
                <w:szCs w:val="21"/>
                <w:highlight w:val="none"/>
              </w:rPr>
            </w:pPr>
          </w:p>
        </w:tc>
        <w:tc>
          <w:tcPr>
            <w:tcW w:w="1575" w:type="dxa"/>
            <w:vAlign w:val="top"/>
          </w:tcPr>
          <w:p w14:paraId="21393F88">
            <w:pPr>
              <w:spacing w:line="460" w:lineRule="exact"/>
              <w:rPr>
                <w:rFonts w:hint="eastAsia" w:ascii="仿宋" w:hAnsi="仿宋" w:eastAsia="仿宋" w:cs="仿宋"/>
                <w:snapToGrid w:val="0"/>
                <w:color w:val="auto"/>
                <w:sz w:val="21"/>
                <w:szCs w:val="21"/>
                <w:highlight w:val="none"/>
              </w:rPr>
            </w:pPr>
          </w:p>
        </w:tc>
        <w:tc>
          <w:tcPr>
            <w:tcW w:w="1577" w:type="dxa"/>
            <w:vAlign w:val="top"/>
          </w:tcPr>
          <w:p w14:paraId="58BE9364">
            <w:pPr>
              <w:spacing w:line="460" w:lineRule="exact"/>
              <w:rPr>
                <w:rFonts w:hint="eastAsia" w:ascii="仿宋" w:hAnsi="仿宋" w:eastAsia="仿宋" w:cs="仿宋"/>
                <w:snapToGrid w:val="0"/>
                <w:color w:val="auto"/>
                <w:sz w:val="21"/>
                <w:szCs w:val="21"/>
                <w:highlight w:val="none"/>
              </w:rPr>
            </w:pPr>
          </w:p>
        </w:tc>
      </w:tr>
      <w:tr w14:paraId="5526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074" w:type="dxa"/>
            <w:vMerge w:val="continue"/>
            <w:tcBorders>
              <w:top w:val="nil"/>
              <w:bottom w:val="nil"/>
            </w:tcBorders>
            <w:vAlign w:val="top"/>
          </w:tcPr>
          <w:p w14:paraId="0B5E9D9B">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bottom w:val="nil"/>
            </w:tcBorders>
            <w:vAlign w:val="top"/>
          </w:tcPr>
          <w:p w14:paraId="1E259D99">
            <w:pPr>
              <w:spacing w:line="460" w:lineRule="exact"/>
              <w:rPr>
                <w:rFonts w:hint="eastAsia" w:ascii="仿宋" w:hAnsi="仿宋" w:eastAsia="仿宋" w:cs="仿宋"/>
                <w:snapToGrid w:val="0"/>
                <w:color w:val="auto"/>
                <w:sz w:val="21"/>
                <w:szCs w:val="21"/>
                <w:highlight w:val="none"/>
              </w:rPr>
            </w:pPr>
          </w:p>
        </w:tc>
        <w:tc>
          <w:tcPr>
            <w:tcW w:w="1259" w:type="dxa"/>
            <w:vAlign w:val="top"/>
          </w:tcPr>
          <w:p w14:paraId="29DB2C2F">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其他费用</w:t>
            </w:r>
          </w:p>
        </w:tc>
        <w:tc>
          <w:tcPr>
            <w:tcW w:w="1153" w:type="dxa"/>
            <w:vAlign w:val="top"/>
          </w:tcPr>
          <w:p w14:paraId="0DF8474E">
            <w:pPr>
              <w:spacing w:line="460" w:lineRule="exact"/>
              <w:rPr>
                <w:rFonts w:hint="eastAsia" w:ascii="仿宋" w:hAnsi="仿宋" w:eastAsia="仿宋" w:cs="仿宋"/>
                <w:snapToGrid w:val="0"/>
                <w:color w:val="auto"/>
                <w:sz w:val="21"/>
                <w:szCs w:val="21"/>
                <w:highlight w:val="none"/>
              </w:rPr>
            </w:pPr>
          </w:p>
        </w:tc>
        <w:tc>
          <w:tcPr>
            <w:tcW w:w="1575" w:type="dxa"/>
            <w:vAlign w:val="top"/>
          </w:tcPr>
          <w:p w14:paraId="60DED411">
            <w:pPr>
              <w:spacing w:line="460" w:lineRule="exact"/>
              <w:rPr>
                <w:rFonts w:hint="eastAsia" w:ascii="仿宋" w:hAnsi="仿宋" w:eastAsia="仿宋" w:cs="仿宋"/>
                <w:snapToGrid w:val="0"/>
                <w:color w:val="auto"/>
                <w:sz w:val="21"/>
                <w:szCs w:val="21"/>
                <w:highlight w:val="none"/>
              </w:rPr>
            </w:pPr>
          </w:p>
        </w:tc>
        <w:tc>
          <w:tcPr>
            <w:tcW w:w="1577" w:type="dxa"/>
            <w:vAlign w:val="top"/>
          </w:tcPr>
          <w:p w14:paraId="646BE5AA">
            <w:pPr>
              <w:spacing w:line="460" w:lineRule="exact"/>
              <w:rPr>
                <w:rFonts w:hint="eastAsia" w:ascii="仿宋" w:hAnsi="仿宋" w:eastAsia="仿宋" w:cs="仿宋"/>
                <w:snapToGrid w:val="0"/>
                <w:color w:val="auto"/>
                <w:sz w:val="21"/>
                <w:szCs w:val="21"/>
                <w:highlight w:val="none"/>
              </w:rPr>
            </w:pPr>
          </w:p>
        </w:tc>
      </w:tr>
      <w:tr w14:paraId="5DB1B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074" w:type="dxa"/>
            <w:vMerge w:val="continue"/>
            <w:tcBorders>
              <w:top w:val="nil"/>
            </w:tcBorders>
            <w:vAlign w:val="top"/>
          </w:tcPr>
          <w:p w14:paraId="77180EE6">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tcBorders>
            <w:vAlign w:val="top"/>
          </w:tcPr>
          <w:p w14:paraId="4AD6662E">
            <w:pPr>
              <w:spacing w:line="460" w:lineRule="exact"/>
              <w:rPr>
                <w:rFonts w:hint="eastAsia" w:ascii="仿宋" w:hAnsi="仿宋" w:eastAsia="仿宋" w:cs="仿宋"/>
                <w:snapToGrid w:val="0"/>
                <w:color w:val="auto"/>
                <w:sz w:val="21"/>
                <w:szCs w:val="21"/>
                <w:highlight w:val="none"/>
              </w:rPr>
            </w:pPr>
          </w:p>
        </w:tc>
        <w:tc>
          <w:tcPr>
            <w:tcW w:w="1259" w:type="dxa"/>
            <w:vAlign w:val="top"/>
          </w:tcPr>
          <w:p w14:paraId="7EB09725">
            <w:pPr>
              <w:spacing w:line="460" w:lineRule="exact"/>
              <w:rPr>
                <w:rFonts w:hint="eastAsia" w:ascii="仿宋" w:hAnsi="仿宋" w:eastAsia="仿宋" w:cs="仿宋"/>
                <w:snapToGrid w:val="0"/>
                <w:color w:val="auto"/>
                <w:sz w:val="21"/>
                <w:szCs w:val="21"/>
                <w:highlight w:val="none"/>
              </w:rPr>
            </w:pPr>
          </w:p>
          <w:p w14:paraId="0AF70ECF">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w:t>
            </w:r>
          </w:p>
        </w:tc>
        <w:tc>
          <w:tcPr>
            <w:tcW w:w="1153" w:type="dxa"/>
            <w:vAlign w:val="top"/>
          </w:tcPr>
          <w:p w14:paraId="5E108127">
            <w:pPr>
              <w:spacing w:line="460" w:lineRule="exact"/>
              <w:rPr>
                <w:rFonts w:hint="eastAsia" w:ascii="仿宋" w:hAnsi="仿宋" w:eastAsia="仿宋" w:cs="仿宋"/>
                <w:snapToGrid w:val="0"/>
                <w:color w:val="auto"/>
                <w:sz w:val="21"/>
                <w:szCs w:val="21"/>
                <w:highlight w:val="none"/>
              </w:rPr>
            </w:pPr>
          </w:p>
        </w:tc>
        <w:tc>
          <w:tcPr>
            <w:tcW w:w="1575" w:type="dxa"/>
            <w:vAlign w:val="top"/>
          </w:tcPr>
          <w:p w14:paraId="4D250211">
            <w:pPr>
              <w:spacing w:line="460" w:lineRule="exact"/>
              <w:rPr>
                <w:rFonts w:hint="eastAsia" w:ascii="仿宋" w:hAnsi="仿宋" w:eastAsia="仿宋" w:cs="仿宋"/>
                <w:snapToGrid w:val="0"/>
                <w:color w:val="auto"/>
                <w:sz w:val="21"/>
                <w:szCs w:val="21"/>
                <w:highlight w:val="none"/>
              </w:rPr>
            </w:pPr>
          </w:p>
        </w:tc>
        <w:tc>
          <w:tcPr>
            <w:tcW w:w="1577" w:type="dxa"/>
            <w:vAlign w:val="top"/>
          </w:tcPr>
          <w:p w14:paraId="4091AAC4">
            <w:pPr>
              <w:spacing w:line="460" w:lineRule="exact"/>
              <w:rPr>
                <w:rFonts w:hint="eastAsia" w:ascii="仿宋" w:hAnsi="仿宋" w:eastAsia="仿宋" w:cs="仿宋"/>
                <w:snapToGrid w:val="0"/>
                <w:color w:val="auto"/>
                <w:sz w:val="21"/>
                <w:szCs w:val="21"/>
                <w:highlight w:val="none"/>
              </w:rPr>
            </w:pPr>
          </w:p>
        </w:tc>
      </w:tr>
      <w:tr w14:paraId="7B6CE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156" w:type="dxa"/>
            <w:gridSpan w:val="6"/>
            <w:vAlign w:val="top"/>
          </w:tcPr>
          <w:p w14:paraId="3778AD03">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总报价(大写):                     ￥ :</w:t>
            </w:r>
          </w:p>
        </w:tc>
      </w:tr>
    </w:tbl>
    <w:p w14:paraId="51C758A8">
      <w:pPr>
        <w:spacing w:line="460" w:lineRule="exact"/>
        <w:rPr>
          <w:rFonts w:hint="eastAsia" w:ascii="仿宋" w:hAnsi="仿宋" w:eastAsia="仿宋" w:cs="仿宋"/>
          <w:snapToGrid w:val="0"/>
          <w:color w:val="auto"/>
          <w:sz w:val="21"/>
          <w:szCs w:val="21"/>
          <w:highlight w:val="none"/>
        </w:rPr>
      </w:pPr>
    </w:p>
    <w:tbl>
      <w:tblPr>
        <w:tblStyle w:val="41"/>
        <w:tblW w:w="8042" w:type="dxa"/>
        <w:tblInd w:w="1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1518"/>
        <w:gridCol w:w="1259"/>
        <w:gridCol w:w="1153"/>
        <w:gridCol w:w="1575"/>
        <w:gridCol w:w="1577"/>
      </w:tblGrid>
      <w:tr w14:paraId="0482C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60" w:type="dxa"/>
            <w:vAlign w:val="top"/>
          </w:tcPr>
          <w:p w14:paraId="0292D4BE">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包号</w:t>
            </w:r>
          </w:p>
        </w:tc>
        <w:tc>
          <w:tcPr>
            <w:tcW w:w="1518" w:type="dxa"/>
            <w:vAlign w:val="top"/>
          </w:tcPr>
          <w:p w14:paraId="776B20BB">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服务项目名称</w:t>
            </w:r>
          </w:p>
        </w:tc>
        <w:tc>
          <w:tcPr>
            <w:tcW w:w="1259" w:type="dxa"/>
            <w:vAlign w:val="top"/>
          </w:tcPr>
          <w:p w14:paraId="5F3A85FC">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分项内容</w:t>
            </w:r>
          </w:p>
        </w:tc>
        <w:tc>
          <w:tcPr>
            <w:tcW w:w="1153" w:type="dxa"/>
            <w:vAlign w:val="top"/>
          </w:tcPr>
          <w:p w14:paraId="5A8C0705">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单价</w:t>
            </w:r>
          </w:p>
        </w:tc>
        <w:tc>
          <w:tcPr>
            <w:tcW w:w="1575" w:type="dxa"/>
            <w:vAlign w:val="top"/>
          </w:tcPr>
          <w:p w14:paraId="618900F9">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数量</w:t>
            </w:r>
          </w:p>
        </w:tc>
        <w:tc>
          <w:tcPr>
            <w:tcW w:w="1577" w:type="dxa"/>
            <w:vAlign w:val="top"/>
          </w:tcPr>
          <w:p w14:paraId="4720A42D">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金额（元）</w:t>
            </w:r>
          </w:p>
        </w:tc>
      </w:tr>
      <w:tr w14:paraId="6A700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60" w:type="dxa"/>
            <w:vMerge w:val="restart"/>
            <w:tcBorders>
              <w:bottom w:val="nil"/>
            </w:tcBorders>
            <w:vAlign w:val="top"/>
          </w:tcPr>
          <w:p w14:paraId="575DE38E">
            <w:pPr>
              <w:spacing w:line="460" w:lineRule="exact"/>
              <w:rPr>
                <w:rFonts w:hint="eastAsia" w:ascii="仿宋" w:hAnsi="仿宋" w:eastAsia="仿宋" w:cs="仿宋"/>
                <w:snapToGrid w:val="0"/>
                <w:color w:val="auto"/>
                <w:sz w:val="21"/>
                <w:szCs w:val="21"/>
                <w:highlight w:val="none"/>
                <w:lang w:eastAsia="zh-CN"/>
              </w:rPr>
            </w:pPr>
            <w:r>
              <w:rPr>
                <w:rFonts w:hint="eastAsia" w:ascii="仿宋" w:hAnsi="仿宋" w:eastAsia="仿宋" w:cs="仿宋"/>
                <w:snapToGrid w:val="0"/>
                <w:color w:val="auto"/>
                <w:sz w:val="21"/>
                <w:szCs w:val="21"/>
                <w:highlight w:val="none"/>
                <w:lang w:val="en-US" w:eastAsia="zh-CN"/>
              </w:rPr>
              <w:t>4</w:t>
            </w:r>
          </w:p>
        </w:tc>
        <w:tc>
          <w:tcPr>
            <w:tcW w:w="1518" w:type="dxa"/>
            <w:vMerge w:val="restart"/>
            <w:tcBorders>
              <w:bottom w:val="nil"/>
            </w:tcBorders>
            <w:vAlign w:val="top"/>
          </w:tcPr>
          <w:p w14:paraId="77A45549">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河曲县</w:t>
            </w:r>
            <w:r>
              <w:rPr>
                <w:rFonts w:hint="eastAsia" w:ascii="仿宋" w:hAnsi="仿宋" w:eastAsia="仿宋" w:cs="仿宋"/>
                <w:snapToGrid w:val="0"/>
                <w:color w:val="auto"/>
                <w:sz w:val="21"/>
                <w:szCs w:val="21"/>
                <w:highlight w:val="none"/>
                <w:lang w:val="en-US" w:eastAsia="zh-CN"/>
              </w:rPr>
              <w:t>社梁乡</w:t>
            </w:r>
            <w:r>
              <w:rPr>
                <w:rFonts w:hint="eastAsia" w:ascii="仿宋" w:hAnsi="仿宋" w:eastAsia="仿宋" w:cs="仿宋"/>
                <w:snapToGrid w:val="0"/>
                <w:color w:val="auto"/>
                <w:sz w:val="21"/>
                <w:szCs w:val="21"/>
                <w:highlight w:val="none"/>
              </w:rPr>
              <w:t xml:space="preserve"> 人民政府</w:t>
            </w:r>
          </w:p>
        </w:tc>
        <w:tc>
          <w:tcPr>
            <w:tcW w:w="1259" w:type="dxa"/>
            <w:vAlign w:val="top"/>
          </w:tcPr>
          <w:p w14:paraId="6B95EAF3">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肥料</w:t>
            </w:r>
          </w:p>
        </w:tc>
        <w:tc>
          <w:tcPr>
            <w:tcW w:w="1153" w:type="dxa"/>
            <w:vAlign w:val="top"/>
          </w:tcPr>
          <w:p w14:paraId="6C3D11BD">
            <w:pPr>
              <w:spacing w:line="460" w:lineRule="exact"/>
              <w:rPr>
                <w:rFonts w:hint="eastAsia" w:ascii="仿宋" w:hAnsi="仿宋" w:eastAsia="仿宋" w:cs="仿宋"/>
                <w:snapToGrid w:val="0"/>
                <w:color w:val="auto"/>
                <w:sz w:val="21"/>
                <w:szCs w:val="21"/>
                <w:highlight w:val="none"/>
              </w:rPr>
            </w:pPr>
          </w:p>
        </w:tc>
        <w:tc>
          <w:tcPr>
            <w:tcW w:w="1575" w:type="dxa"/>
            <w:vAlign w:val="top"/>
          </w:tcPr>
          <w:p w14:paraId="7AC36853">
            <w:pPr>
              <w:spacing w:line="460" w:lineRule="exact"/>
              <w:rPr>
                <w:rFonts w:hint="eastAsia" w:ascii="仿宋" w:hAnsi="仿宋" w:eastAsia="仿宋" w:cs="仿宋"/>
                <w:snapToGrid w:val="0"/>
                <w:color w:val="auto"/>
                <w:sz w:val="21"/>
                <w:szCs w:val="21"/>
                <w:highlight w:val="none"/>
              </w:rPr>
            </w:pPr>
          </w:p>
        </w:tc>
        <w:tc>
          <w:tcPr>
            <w:tcW w:w="1577" w:type="dxa"/>
            <w:vAlign w:val="top"/>
          </w:tcPr>
          <w:p w14:paraId="0440A9D5">
            <w:pPr>
              <w:spacing w:line="460" w:lineRule="exact"/>
              <w:rPr>
                <w:rFonts w:hint="eastAsia" w:ascii="仿宋" w:hAnsi="仿宋" w:eastAsia="仿宋" w:cs="仿宋"/>
                <w:snapToGrid w:val="0"/>
                <w:color w:val="auto"/>
                <w:sz w:val="21"/>
                <w:szCs w:val="21"/>
                <w:highlight w:val="none"/>
              </w:rPr>
            </w:pPr>
          </w:p>
        </w:tc>
      </w:tr>
      <w:tr w14:paraId="47D14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60" w:type="dxa"/>
            <w:vMerge w:val="continue"/>
            <w:tcBorders>
              <w:top w:val="nil"/>
              <w:bottom w:val="nil"/>
            </w:tcBorders>
            <w:vAlign w:val="top"/>
          </w:tcPr>
          <w:p w14:paraId="379BD2C0">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bottom w:val="nil"/>
            </w:tcBorders>
            <w:vAlign w:val="top"/>
          </w:tcPr>
          <w:p w14:paraId="09CE37CB">
            <w:pPr>
              <w:spacing w:line="460" w:lineRule="exact"/>
              <w:rPr>
                <w:rFonts w:hint="eastAsia" w:ascii="仿宋" w:hAnsi="仿宋" w:eastAsia="仿宋" w:cs="仿宋"/>
                <w:snapToGrid w:val="0"/>
                <w:color w:val="auto"/>
                <w:sz w:val="21"/>
                <w:szCs w:val="21"/>
                <w:highlight w:val="none"/>
              </w:rPr>
            </w:pPr>
          </w:p>
        </w:tc>
        <w:tc>
          <w:tcPr>
            <w:tcW w:w="1259" w:type="dxa"/>
            <w:vAlign w:val="top"/>
          </w:tcPr>
          <w:p w14:paraId="7A0FDBB3">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人员工资</w:t>
            </w:r>
          </w:p>
        </w:tc>
        <w:tc>
          <w:tcPr>
            <w:tcW w:w="1153" w:type="dxa"/>
            <w:vAlign w:val="top"/>
          </w:tcPr>
          <w:p w14:paraId="66758213">
            <w:pPr>
              <w:spacing w:line="460" w:lineRule="exact"/>
              <w:rPr>
                <w:rFonts w:hint="eastAsia" w:ascii="仿宋" w:hAnsi="仿宋" w:eastAsia="仿宋" w:cs="仿宋"/>
                <w:snapToGrid w:val="0"/>
                <w:color w:val="auto"/>
                <w:sz w:val="21"/>
                <w:szCs w:val="21"/>
                <w:highlight w:val="none"/>
              </w:rPr>
            </w:pPr>
          </w:p>
        </w:tc>
        <w:tc>
          <w:tcPr>
            <w:tcW w:w="1575" w:type="dxa"/>
            <w:vAlign w:val="top"/>
          </w:tcPr>
          <w:p w14:paraId="15F16E8D">
            <w:pPr>
              <w:spacing w:line="460" w:lineRule="exact"/>
              <w:rPr>
                <w:rFonts w:hint="eastAsia" w:ascii="仿宋" w:hAnsi="仿宋" w:eastAsia="仿宋" w:cs="仿宋"/>
                <w:snapToGrid w:val="0"/>
                <w:color w:val="auto"/>
                <w:sz w:val="21"/>
                <w:szCs w:val="21"/>
                <w:highlight w:val="none"/>
              </w:rPr>
            </w:pPr>
          </w:p>
        </w:tc>
        <w:tc>
          <w:tcPr>
            <w:tcW w:w="1577" w:type="dxa"/>
            <w:vAlign w:val="top"/>
          </w:tcPr>
          <w:p w14:paraId="549A5E4D">
            <w:pPr>
              <w:spacing w:line="460" w:lineRule="exact"/>
              <w:rPr>
                <w:rFonts w:hint="eastAsia" w:ascii="仿宋" w:hAnsi="仿宋" w:eastAsia="仿宋" w:cs="仿宋"/>
                <w:snapToGrid w:val="0"/>
                <w:color w:val="auto"/>
                <w:sz w:val="21"/>
                <w:szCs w:val="21"/>
                <w:highlight w:val="none"/>
              </w:rPr>
            </w:pPr>
          </w:p>
        </w:tc>
      </w:tr>
      <w:tr w14:paraId="1561C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60" w:type="dxa"/>
            <w:vMerge w:val="continue"/>
            <w:tcBorders>
              <w:top w:val="nil"/>
              <w:bottom w:val="nil"/>
            </w:tcBorders>
            <w:vAlign w:val="top"/>
          </w:tcPr>
          <w:p w14:paraId="15311CC2">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bottom w:val="nil"/>
            </w:tcBorders>
            <w:vAlign w:val="top"/>
          </w:tcPr>
          <w:p w14:paraId="05B225CE">
            <w:pPr>
              <w:spacing w:line="460" w:lineRule="exact"/>
              <w:rPr>
                <w:rFonts w:hint="eastAsia" w:ascii="仿宋" w:hAnsi="仿宋" w:eastAsia="仿宋" w:cs="仿宋"/>
                <w:snapToGrid w:val="0"/>
                <w:color w:val="auto"/>
                <w:sz w:val="21"/>
                <w:szCs w:val="21"/>
                <w:highlight w:val="none"/>
              </w:rPr>
            </w:pPr>
          </w:p>
        </w:tc>
        <w:tc>
          <w:tcPr>
            <w:tcW w:w="1259" w:type="dxa"/>
            <w:vAlign w:val="top"/>
          </w:tcPr>
          <w:p w14:paraId="7A61EE4A">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人员保险</w:t>
            </w:r>
          </w:p>
        </w:tc>
        <w:tc>
          <w:tcPr>
            <w:tcW w:w="1153" w:type="dxa"/>
            <w:vAlign w:val="top"/>
          </w:tcPr>
          <w:p w14:paraId="2B16570A">
            <w:pPr>
              <w:spacing w:line="460" w:lineRule="exact"/>
              <w:rPr>
                <w:rFonts w:hint="eastAsia" w:ascii="仿宋" w:hAnsi="仿宋" w:eastAsia="仿宋" w:cs="仿宋"/>
                <w:snapToGrid w:val="0"/>
                <w:color w:val="auto"/>
                <w:sz w:val="21"/>
                <w:szCs w:val="21"/>
                <w:highlight w:val="none"/>
              </w:rPr>
            </w:pPr>
          </w:p>
        </w:tc>
        <w:tc>
          <w:tcPr>
            <w:tcW w:w="1575" w:type="dxa"/>
            <w:vAlign w:val="top"/>
          </w:tcPr>
          <w:p w14:paraId="4CA329EC">
            <w:pPr>
              <w:spacing w:line="460" w:lineRule="exact"/>
              <w:rPr>
                <w:rFonts w:hint="eastAsia" w:ascii="仿宋" w:hAnsi="仿宋" w:eastAsia="仿宋" w:cs="仿宋"/>
                <w:snapToGrid w:val="0"/>
                <w:color w:val="auto"/>
                <w:sz w:val="21"/>
                <w:szCs w:val="21"/>
                <w:highlight w:val="none"/>
              </w:rPr>
            </w:pPr>
          </w:p>
        </w:tc>
        <w:tc>
          <w:tcPr>
            <w:tcW w:w="1577" w:type="dxa"/>
            <w:vAlign w:val="top"/>
          </w:tcPr>
          <w:p w14:paraId="40290559">
            <w:pPr>
              <w:spacing w:line="460" w:lineRule="exact"/>
              <w:rPr>
                <w:rFonts w:hint="eastAsia" w:ascii="仿宋" w:hAnsi="仿宋" w:eastAsia="仿宋" w:cs="仿宋"/>
                <w:snapToGrid w:val="0"/>
                <w:color w:val="auto"/>
                <w:sz w:val="21"/>
                <w:szCs w:val="21"/>
                <w:highlight w:val="none"/>
              </w:rPr>
            </w:pPr>
          </w:p>
        </w:tc>
      </w:tr>
      <w:tr w14:paraId="4F6D0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60" w:type="dxa"/>
            <w:vMerge w:val="continue"/>
            <w:tcBorders>
              <w:top w:val="nil"/>
              <w:bottom w:val="nil"/>
            </w:tcBorders>
            <w:vAlign w:val="top"/>
          </w:tcPr>
          <w:p w14:paraId="1ACADF67">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bottom w:val="nil"/>
            </w:tcBorders>
            <w:vAlign w:val="top"/>
          </w:tcPr>
          <w:p w14:paraId="1E5E2259">
            <w:pPr>
              <w:spacing w:line="460" w:lineRule="exact"/>
              <w:rPr>
                <w:rFonts w:hint="eastAsia" w:ascii="仿宋" w:hAnsi="仿宋" w:eastAsia="仿宋" w:cs="仿宋"/>
                <w:snapToGrid w:val="0"/>
                <w:color w:val="auto"/>
                <w:sz w:val="21"/>
                <w:szCs w:val="21"/>
                <w:highlight w:val="none"/>
              </w:rPr>
            </w:pPr>
          </w:p>
        </w:tc>
        <w:tc>
          <w:tcPr>
            <w:tcW w:w="1259" w:type="dxa"/>
            <w:vAlign w:val="top"/>
          </w:tcPr>
          <w:p w14:paraId="25086FEA">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日常耗材</w:t>
            </w:r>
          </w:p>
        </w:tc>
        <w:tc>
          <w:tcPr>
            <w:tcW w:w="1153" w:type="dxa"/>
            <w:vAlign w:val="top"/>
          </w:tcPr>
          <w:p w14:paraId="7786AFF3">
            <w:pPr>
              <w:spacing w:line="460" w:lineRule="exact"/>
              <w:rPr>
                <w:rFonts w:hint="eastAsia" w:ascii="仿宋" w:hAnsi="仿宋" w:eastAsia="仿宋" w:cs="仿宋"/>
                <w:snapToGrid w:val="0"/>
                <w:color w:val="auto"/>
                <w:sz w:val="21"/>
                <w:szCs w:val="21"/>
                <w:highlight w:val="none"/>
              </w:rPr>
            </w:pPr>
          </w:p>
        </w:tc>
        <w:tc>
          <w:tcPr>
            <w:tcW w:w="1575" w:type="dxa"/>
            <w:vAlign w:val="top"/>
          </w:tcPr>
          <w:p w14:paraId="112A724A">
            <w:pPr>
              <w:spacing w:line="460" w:lineRule="exact"/>
              <w:rPr>
                <w:rFonts w:hint="eastAsia" w:ascii="仿宋" w:hAnsi="仿宋" w:eastAsia="仿宋" w:cs="仿宋"/>
                <w:snapToGrid w:val="0"/>
                <w:color w:val="auto"/>
                <w:sz w:val="21"/>
                <w:szCs w:val="21"/>
                <w:highlight w:val="none"/>
              </w:rPr>
            </w:pPr>
          </w:p>
        </w:tc>
        <w:tc>
          <w:tcPr>
            <w:tcW w:w="1577" w:type="dxa"/>
            <w:vAlign w:val="top"/>
          </w:tcPr>
          <w:p w14:paraId="6274322C">
            <w:pPr>
              <w:spacing w:line="460" w:lineRule="exact"/>
              <w:rPr>
                <w:rFonts w:hint="eastAsia" w:ascii="仿宋" w:hAnsi="仿宋" w:eastAsia="仿宋" w:cs="仿宋"/>
                <w:snapToGrid w:val="0"/>
                <w:color w:val="auto"/>
                <w:sz w:val="21"/>
                <w:szCs w:val="21"/>
                <w:highlight w:val="none"/>
              </w:rPr>
            </w:pPr>
          </w:p>
        </w:tc>
      </w:tr>
      <w:tr w14:paraId="52808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60" w:type="dxa"/>
            <w:vMerge w:val="continue"/>
            <w:tcBorders>
              <w:top w:val="nil"/>
              <w:bottom w:val="nil"/>
            </w:tcBorders>
            <w:vAlign w:val="top"/>
          </w:tcPr>
          <w:p w14:paraId="78659E03">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bottom w:val="nil"/>
            </w:tcBorders>
            <w:vAlign w:val="top"/>
          </w:tcPr>
          <w:p w14:paraId="0D1CA935">
            <w:pPr>
              <w:spacing w:line="460" w:lineRule="exact"/>
              <w:rPr>
                <w:rFonts w:hint="eastAsia" w:ascii="仿宋" w:hAnsi="仿宋" w:eastAsia="仿宋" w:cs="仿宋"/>
                <w:snapToGrid w:val="0"/>
                <w:color w:val="auto"/>
                <w:sz w:val="21"/>
                <w:szCs w:val="21"/>
                <w:highlight w:val="none"/>
              </w:rPr>
            </w:pPr>
          </w:p>
        </w:tc>
        <w:tc>
          <w:tcPr>
            <w:tcW w:w="1259" w:type="dxa"/>
            <w:vAlign w:val="top"/>
          </w:tcPr>
          <w:p w14:paraId="36640F85">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管理费</w:t>
            </w:r>
          </w:p>
        </w:tc>
        <w:tc>
          <w:tcPr>
            <w:tcW w:w="1153" w:type="dxa"/>
            <w:vAlign w:val="top"/>
          </w:tcPr>
          <w:p w14:paraId="37995EBE">
            <w:pPr>
              <w:spacing w:line="460" w:lineRule="exact"/>
              <w:rPr>
                <w:rFonts w:hint="eastAsia" w:ascii="仿宋" w:hAnsi="仿宋" w:eastAsia="仿宋" w:cs="仿宋"/>
                <w:snapToGrid w:val="0"/>
                <w:color w:val="auto"/>
                <w:sz w:val="21"/>
                <w:szCs w:val="21"/>
                <w:highlight w:val="none"/>
              </w:rPr>
            </w:pPr>
          </w:p>
        </w:tc>
        <w:tc>
          <w:tcPr>
            <w:tcW w:w="1575" w:type="dxa"/>
            <w:vAlign w:val="top"/>
          </w:tcPr>
          <w:p w14:paraId="6F0B8D7C">
            <w:pPr>
              <w:spacing w:line="460" w:lineRule="exact"/>
              <w:rPr>
                <w:rFonts w:hint="eastAsia" w:ascii="仿宋" w:hAnsi="仿宋" w:eastAsia="仿宋" w:cs="仿宋"/>
                <w:snapToGrid w:val="0"/>
                <w:color w:val="auto"/>
                <w:sz w:val="21"/>
                <w:szCs w:val="21"/>
                <w:highlight w:val="none"/>
              </w:rPr>
            </w:pPr>
          </w:p>
        </w:tc>
        <w:tc>
          <w:tcPr>
            <w:tcW w:w="1577" w:type="dxa"/>
            <w:vAlign w:val="top"/>
          </w:tcPr>
          <w:p w14:paraId="6F05FFAF">
            <w:pPr>
              <w:spacing w:line="460" w:lineRule="exact"/>
              <w:rPr>
                <w:rFonts w:hint="eastAsia" w:ascii="仿宋" w:hAnsi="仿宋" w:eastAsia="仿宋" w:cs="仿宋"/>
                <w:snapToGrid w:val="0"/>
                <w:color w:val="auto"/>
                <w:sz w:val="21"/>
                <w:szCs w:val="21"/>
                <w:highlight w:val="none"/>
              </w:rPr>
            </w:pPr>
          </w:p>
        </w:tc>
      </w:tr>
      <w:tr w14:paraId="54141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60" w:type="dxa"/>
            <w:vMerge w:val="continue"/>
            <w:tcBorders>
              <w:top w:val="nil"/>
              <w:bottom w:val="nil"/>
            </w:tcBorders>
            <w:vAlign w:val="top"/>
          </w:tcPr>
          <w:p w14:paraId="06784EBF">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bottom w:val="nil"/>
            </w:tcBorders>
            <w:vAlign w:val="top"/>
          </w:tcPr>
          <w:p w14:paraId="258E8795">
            <w:pPr>
              <w:spacing w:line="460" w:lineRule="exact"/>
              <w:rPr>
                <w:rFonts w:hint="eastAsia" w:ascii="仿宋" w:hAnsi="仿宋" w:eastAsia="仿宋" w:cs="仿宋"/>
                <w:snapToGrid w:val="0"/>
                <w:color w:val="auto"/>
                <w:sz w:val="21"/>
                <w:szCs w:val="21"/>
                <w:highlight w:val="none"/>
              </w:rPr>
            </w:pPr>
          </w:p>
        </w:tc>
        <w:tc>
          <w:tcPr>
            <w:tcW w:w="1259" w:type="dxa"/>
            <w:vAlign w:val="top"/>
          </w:tcPr>
          <w:p w14:paraId="4539ADE8">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税金</w:t>
            </w:r>
          </w:p>
        </w:tc>
        <w:tc>
          <w:tcPr>
            <w:tcW w:w="1153" w:type="dxa"/>
            <w:vAlign w:val="top"/>
          </w:tcPr>
          <w:p w14:paraId="206FCA52">
            <w:pPr>
              <w:spacing w:line="460" w:lineRule="exact"/>
              <w:rPr>
                <w:rFonts w:hint="eastAsia" w:ascii="仿宋" w:hAnsi="仿宋" w:eastAsia="仿宋" w:cs="仿宋"/>
                <w:snapToGrid w:val="0"/>
                <w:color w:val="auto"/>
                <w:sz w:val="21"/>
                <w:szCs w:val="21"/>
                <w:highlight w:val="none"/>
              </w:rPr>
            </w:pPr>
          </w:p>
        </w:tc>
        <w:tc>
          <w:tcPr>
            <w:tcW w:w="1575" w:type="dxa"/>
            <w:vAlign w:val="top"/>
          </w:tcPr>
          <w:p w14:paraId="49B5A01A">
            <w:pPr>
              <w:spacing w:line="460" w:lineRule="exact"/>
              <w:rPr>
                <w:rFonts w:hint="eastAsia" w:ascii="仿宋" w:hAnsi="仿宋" w:eastAsia="仿宋" w:cs="仿宋"/>
                <w:snapToGrid w:val="0"/>
                <w:color w:val="auto"/>
                <w:sz w:val="21"/>
                <w:szCs w:val="21"/>
                <w:highlight w:val="none"/>
              </w:rPr>
            </w:pPr>
          </w:p>
        </w:tc>
        <w:tc>
          <w:tcPr>
            <w:tcW w:w="1577" w:type="dxa"/>
            <w:vAlign w:val="top"/>
          </w:tcPr>
          <w:p w14:paraId="4A331786">
            <w:pPr>
              <w:spacing w:line="460" w:lineRule="exact"/>
              <w:rPr>
                <w:rFonts w:hint="eastAsia" w:ascii="仿宋" w:hAnsi="仿宋" w:eastAsia="仿宋" w:cs="仿宋"/>
                <w:snapToGrid w:val="0"/>
                <w:color w:val="auto"/>
                <w:sz w:val="21"/>
                <w:szCs w:val="21"/>
                <w:highlight w:val="none"/>
              </w:rPr>
            </w:pPr>
          </w:p>
        </w:tc>
      </w:tr>
      <w:tr w14:paraId="0A57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60" w:type="dxa"/>
            <w:vMerge w:val="continue"/>
            <w:tcBorders>
              <w:top w:val="nil"/>
              <w:bottom w:val="nil"/>
            </w:tcBorders>
            <w:vAlign w:val="top"/>
          </w:tcPr>
          <w:p w14:paraId="1FE6D259">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bottom w:val="nil"/>
            </w:tcBorders>
            <w:vAlign w:val="top"/>
          </w:tcPr>
          <w:p w14:paraId="3BA4EF63">
            <w:pPr>
              <w:spacing w:line="460" w:lineRule="exact"/>
              <w:rPr>
                <w:rFonts w:hint="eastAsia" w:ascii="仿宋" w:hAnsi="仿宋" w:eastAsia="仿宋" w:cs="仿宋"/>
                <w:snapToGrid w:val="0"/>
                <w:color w:val="auto"/>
                <w:sz w:val="21"/>
                <w:szCs w:val="21"/>
                <w:highlight w:val="none"/>
              </w:rPr>
            </w:pPr>
          </w:p>
        </w:tc>
        <w:tc>
          <w:tcPr>
            <w:tcW w:w="1259" w:type="dxa"/>
            <w:vAlign w:val="top"/>
          </w:tcPr>
          <w:p w14:paraId="21BFFA51">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其他费用</w:t>
            </w:r>
          </w:p>
        </w:tc>
        <w:tc>
          <w:tcPr>
            <w:tcW w:w="1153" w:type="dxa"/>
            <w:vAlign w:val="top"/>
          </w:tcPr>
          <w:p w14:paraId="76593BE5">
            <w:pPr>
              <w:spacing w:line="460" w:lineRule="exact"/>
              <w:rPr>
                <w:rFonts w:hint="eastAsia" w:ascii="仿宋" w:hAnsi="仿宋" w:eastAsia="仿宋" w:cs="仿宋"/>
                <w:snapToGrid w:val="0"/>
                <w:color w:val="auto"/>
                <w:sz w:val="21"/>
                <w:szCs w:val="21"/>
                <w:highlight w:val="none"/>
              </w:rPr>
            </w:pPr>
          </w:p>
        </w:tc>
        <w:tc>
          <w:tcPr>
            <w:tcW w:w="1575" w:type="dxa"/>
            <w:vAlign w:val="top"/>
          </w:tcPr>
          <w:p w14:paraId="0C7127BA">
            <w:pPr>
              <w:spacing w:line="460" w:lineRule="exact"/>
              <w:rPr>
                <w:rFonts w:hint="eastAsia" w:ascii="仿宋" w:hAnsi="仿宋" w:eastAsia="仿宋" w:cs="仿宋"/>
                <w:snapToGrid w:val="0"/>
                <w:color w:val="auto"/>
                <w:sz w:val="21"/>
                <w:szCs w:val="21"/>
                <w:highlight w:val="none"/>
              </w:rPr>
            </w:pPr>
          </w:p>
        </w:tc>
        <w:tc>
          <w:tcPr>
            <w:tcW w:w="1577" w:type="dxa"/>
            <w:vAlign w:val="top"/>
          </w:tcPr>
          <w:p w14:paraId="246C4F88">
            <w:pPr>
              <w:spacing w:line="460" w:lineRule="exact"/>
              <w:rPr>
                <w:rFonts w:hint="eastAsia" w:ascii="仿宋" w:hAnsi="仿宋" w:eastAsia="仿宋" w:cs="仿宋"/>
                <w:snapToGrid w:val="0"/>
                <w:color w:val="auto"/>
                <w:sz w:val="21"/>
                <w:szCs w:val="21"/>
                <w:highlight w:val="none"/>
              </w:rPr>
            </w:pPr>
          </w:p>
        </w:tc>
      </w:tr>
      <w:tr w14:paraId="19FD1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60" w:type="dxa"/>
            <w:vMerge w:val="continue"/>
            <w:tcBorders>
              <w:top w:val="nil"/>
            </w:tcBorders>
            <w:vAlign w:val="top"/>
          </w:tcPr>
          <w:p w14:paraId="0490ACDB">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tcBorders>
            <w:vAlign w:val="top"/>
          </w:tcPr>
          <w:p w14:paraId="47639C47">
            <w:pPr>
              <w:spacing w:line="460" w:lineRule="exact"/>
              <w:rPr>
                <w:rFonts w:hint="eastAsia" w:ascii="仿宋" w:hAnsi="仿宋" w:eastAsia="仿宋" w:cs="仿宋"/>
                <w:snapToGrid w:val="0"/>
                <w:color w:val="auto"/>
                <w:sz w:val="21"/>
                <w:szCs w:val="21"/>
                <w:highlight w:val="none"/>
              </w:rPr>
            </w:pPr>
          </w:p>
        </w:tc>
        <w:tc>
          <w:tcPr>
            <w:tcW w:w="1259" w:type="dxa"/>
            <w:vAlign w:val="top"/>
          </w:tcPr>
          <w:p w14:paraId="19C42AAE">
            <w:pPr>
              <w:spacing w:line="460" w:lineRule="exact"/>
              <w:rPr>
                <w:rFonts w:hint="eastAsia" w:ascii="仿宋" w:hAnsi="仿宋" w:eastAsia="仿宋" w:cs="仿宋"/>
                <w:snapToGrid w:val="0"/>
                <w:color w:val="auto"/>
                <w:sz w:val="21"/>
                <w:szCs w:val="21"/>
                <w:highlight w:val="none"/>
              </w:rPr>
            </w:pPr>
          </w:p>
          <w:p w14:paraId="55243D7B">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w:t>
            </w:r>
          </w:p>
        </w:tc>
        <w:tc>
          <w:tcPr>
            <w:tcW w:w="1153" w:type="dxa"/>
            <w:vAlign w:val="top"/>
          </w:tcPr>
          <w:p w14:paraId="30A335FD">
            <w:pPr>
              <w:spacing w:line="460" w:lineRule="exact"/>
              <w:rPr>
                <w:rFonts w:hint="eastAsia" w:ascii="仿宋" w:hAnsi="仿宋" w:eastAsia="仿宋" w:cs="仿宋"/>
                <w:snapToGrid w:val="0"/>
                <w:color w:val="auto"/>
                <w:sz w:val="21"/>
                <w:szCs w:val="21"/>
                <w:highlight w:val="none"/>
              </w:rPr>
            </w:pPr>
          </w:p>
        </w:tc>
        <w:tc>
          <w:tcPr>
            <w:tcW w:w="1575" w:type="dxa"/>
            <w:vAlign w:val="top"/>
          </w:tcPr>
          <w:p w14:paraId="666DCE96">
            <w:pPr>
              <w:spacing w:line="460" w:lineRule="exact"/>
              <w:rPr>
                <w:rFonts w:hint="eastAsia" w:ascii="仿宋" w:hAnsi="仿宋" w:eastAsia="仿宋" w:cs="仿宋"/>
                <w:snapToGrid w:val="0"/>
                <w:color w:val="auto"/>
                <w:sz w:val="21"/>
                <w:szCs w:val="21"/>
                <w:highlight w:val="none"/>
              </w:rPr>
            </w:pPr>
          </w:p>
        </w:tc>
        <w:tc>
          <w:tcPr>
            <w:tcW w:w="1577" w:type="dxa"/>
            <w:vAlign w:val="top"/>
          </w:tcPr>
          <w:p w14:paraId="5E3AB7CF">
            <w:pPr>
              <w:spacing w:line="460" w:lineRule="exact"/>
              <w:rPr>
                <w:rFonts w:hint="eastAsia" w:ascii="仿宋" w:hAnsi="仿宋" w:eastAsia="仿宋" w:cs="仿宋"/>
                <w:snapToGrid w:val="0"/>
                <w:color w:val="auto"/>
                <w:sz w:val="21"/>
                <w:szCs w:val="21"/>
                <w:highlight w:val="none"/>
              </w:rPr>
            </w:pPr>
          </w:p>
        </w:tc>
      </w:tr>
      <w:tr w14:paraId="719EA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042" w:type="dxa"/>
            <w:gridSpan w:val="6"/>
            <w:vAlign w:val="top"/>
          </w:tcPr>
          <w:p w14:paraId="64F06C4A">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总报价(大写):                     ￥ :</w:t>
            </w:r>
          </w:p>
        </w:tc>
      </w:tr>
    </w:tbl>
    <w:p w14:paraId="77E0DBE7">
      <w:pPr>
        <w:spacing w:line="460" w:lineRule="exact"/>
        <w:rPr>
          <w:rFonts w:hint="eastAsia" w:ascii="仿宋" w:hAnsi="仿宋" w:eastAsia="仿宋" w:cs="仿宋"/>
          <w:snapToGrid w:val="0"/>
          <w:color w:val="auto"/>
          <w:sz w:val="21"/>
          <w:szCs w:val="21"/>
          <w:highlight w:val="none"/>
        </w:rPr>
        <w:sectPr>
          <w:footerReference r:id="rId19" w:type="default"/>
          <w:pgSz w:w="11906" w:h="16839"/>
          <w:pgMar w:top="1431" w:right="1739" w:bottom="1156" w:left="1738" w:header="0" w:footer="994" w:gutter="0"/>
          <w:pgNumType w:fmt="decimal"/>
          <w:cols w:space="720" w:num="1"/>
        </w:sectPr>
      </w:pPr>
    </w:p>
    <w:p w14:paraId="08E7364F">
      <w:pPr>
        <w:spacing w:line="460" w:lineRule="exact"/>
        <w:rPr>
          <w:rFonts w:hint="eastAsia" w:ascii="仿宋" w:hAnsi="仿宋" w:eastAsia="仿宋" w:cs="仿宋"/>
          <w:snapToGrid w:val="0"/>
          <w:color w:val="auto"/>
          <w:sz w:val="21"/>
          <w:szCs w:val="21"/>
          <w:highlight w:val="none"/>
        </w:rPr>
      </w:pPr>
    </w:p>
    <w:tbl>
      <w:tblPr>
        <w:tblStyle w:val="41"/>
        <w:tblW w:w="8042" w:type="dxa"/>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1518"/>
        <w:gridCol w:w="1259"/>
        <w:gridCol w:w="1153"/>
        <w:gridCol w:w="1575"/>
        <w:gridCol w:w="1577"/>
      </w:tblGrid>
      <w:tr w14:paraId="58F1B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60" w:type="dxa"/>
            <w:vAlign w:val="top"/>
          </w:tcPr>
          <w:p w14:paraId="06695239">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包号</w:t>
            </w:r>
          </w:p>
        </w:tc>
        <w:tc>
          <w:tcPr>
            <w:tcW w:w="1518" w:type="dxa"/>
            <w:vAlign w:val="top"/>
          </w:tcPr>
          <w:p w14:paraId="0B1960A0">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服务项目名称</w:t>
            </w:r>
          </w:p>
        </w:tc>
        <w:tc>
          <w:tcPr>
            <w:tcW w:w="1259" w:type="dxa"/>
            <w:vAlign w:val="top"/>
          </w:tcPr>
          <w:p w14:paraId="45D07920">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分项内容</w:t>
            </w:r>
          </w:p>
        </w:tc>
        <w:tc>
          <w:tcPr>
            <w:tcW w:w="1153" w:type="dxa"/>
            <w:vAlign w:val="top"/>
          </w:tcPr>
          <w:p w14:paraId="6DD9CDCC">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单价</w:t>
            </w:r>
          </w:p>
        </w:tc>
        <w:tc>
          <w:tcPr>
            <w:tcW w:w="1575" w:type="dxa"/>
            <w:vAlign w:val="top"/>
          </w:tcPr>
          <w:p w14:paraId="75347979">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数量</w:t>
            </w:r>
          </w:p>
        </w:tc>
        <w:tc>
          <w:tcPr>
            <w:tcW w:w="1577" w:type="dxa"/>
            <w:vAlign w:val="top"/>
          </w:tcPr>
          <w:p w14:paraId="47AA9CF9">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金额（元）</w:t>
            </w:r>
          </w:p>
        </w:tc>
      </w:tr>
      <w:tr w14:paraId="79606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60" w:type="dxa"/>
            <w:vMerge w:val="restart"/>
            <w:tcBorders>
              <w:bottom w:val="nil"/>
            </w:tcBorders>
            <w:vAlign w:val="top"/>
          </w:tcPr>
          <w:p w14:paraId="14D164DD">
            <w:pPr>
              <w:spacing w:line="460" w:lineRule="exact"/>
              <w:rPr>
                <w:rFonts w:hint="eastAsia" w:ascii="仿宋" w:hAnsi="仿宋" w:eastAsia="仿宋" w:cs="仿宋"/>
                <w:snapToGrid w:val="0"/>
                <w:color w:val="auto"/>
                <w:sz w:val="21"/>
                <w:szCs w:val="21"/>
                <w:highlight w:val="none"/>
                <w:lang w:eastAsia="zh-CN"/>
              </w:rPr>
            </w:pPr>
            <w:r>
              <w:rPr>
                <w:rFonts w:hint="eastAsia" w:ascii="仿宋" w:hAnsi="仿宋" w:eastAsia="仿宋" w:cs="仿宋"/>
                <w:snapToGrid w:val="0"/>
                <w:color w:val="auto"/>
                <w:sz w:val="21"/>
                <w:szCs w:val="21"/>
                <w:highlight w:val="none"/>
                <w:lang w:val="en-US" w:eastAsia="zh-CN"/>
              </w:rPr>
              <w:t>5</w:t>
            </w:r>
          </w:p>
        </w:tc>
        <w:tc>
          <w:tcPr>
            <w:tcW w:w="1518" w:type="dxa"/>
            <w:vMerge w:val="restart"/>
            <w:tcBorders>
              <w:bottom w:val="nil"/>
            </w:tcBorders>
            <w:vAlign w:val="top"/>
          </w:tcPr>
          <w:p w14:paraId="31B16593">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河曲县</w:t>
            </w:r>
            <w:r>
              <w:rPr>
                <w:rFonts w:hint="eastAsia" w:ascii="仿宋" w:hAnsi="仿宋" w:eastAsia="仿宋" w:cs="仿宋"/>
                <w:snapToGrid w:val="0"/>
                <w:color w:val="auto"/>
                <w:sz w:val="21"/>
                <w:szCs w:val="21"/>
                <w:highlight w:val="none"/>
                <w:lang w:val="en-US" w:eastAsia="zh-CN"/>
              </w:rPr>
              <w:t>沙泉镇</w:t>
            </w:r>
            <w:r>
              <w:rPr>
                <w:rFonts w:hint="eastAsia" w:ascii="仿宋" w:hAnsi="仿宋" w:eastAsia="仿宋" w:cs="仿宋"/>
                <w:snapToGrid w:val="0"/>
                <w:color w:val="auto"/>
                <w:sz w:val="21"/>
                <w:szCs w:val="21"/>
                <w:highlight w:val="none"/>
              </w:rPr>
              <w:t xml:space="preserve"> 人民政府</w:t>
            </w:r>
          </w:p>
        </w:tc>
        <w:tc>
          <w:tcPr>
            <w:tcW w:w="1259" w:type="dxa"/>
            <w:vAlign w:val="top"/>
          </w:tcPr>
          <w:p w14:paraId="33BBE19D">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肥料</w:t>
            </w:r>
          </w:p>
        </w:tc>
        <w:tc>
          <w:tcPr>
            <w:tcW w:w="1153" w:type="dxa"/>
            <w:vAlign w:val="top"/>
          </w:tcPr>
          <w:p w14:paraId="0C22700B">
            <w:pPr>
              <w:spacing w:line="460" w:lineRule="exact"/>
              <w:rPr>
                <w:rFonts w:hint="eastAsia" w:ascii="仿宋" w:hAnsi="仿宋" w:eastAsia="仿宋" w:cs="仿宋"/>
                <w:snapToGrid w:val="0"/>
                <w:color w:val="auto"/>
                <w:sz w:val="21"/>
                <w:szCs w:val="21"/>
                <w:highlight w:val="none"/>
              </w:rPr>
            </w:pPr>
          </w:p>
        </w:tc>
        <w:tc>
          <w:tcPr>
            <w:tcW w:w="1575" w:type="dxa"/>
            <w:vAlign w:val="top"/>
          </w:tcPr>
          <w:p w14:paraId="2632A738">
            <w:pPr>
              <w:spacing w:line="460" w:lineRule="exact"/>
              <w:rPr>
                <w:rFonts w:hint="eastAsia" w:ascii="仿宋" w:hAnsi="仿宋" w:eastAsia="仿宋" w:cs="仿宋"/>
                <w:snapToGrid w:val="0"/>
                <w:color w:val="auto"/>
                <w:sz w:val="21"/>
                <w:szCs w:val="21"/>
                <w:highlight w:val="none"/>
              </w:rPr>
            </w:pPr>
          </w:p>
        </w:tc>
        <w:tc>
          <w:tcPr>
            <w:tcW w:w="1577" w:type="dxa"/>
            <w:vAlign w:val="top"/>
          </w:tcPr>
          <w:p w14:paraId="3492CEC3">
            <w:pPr>
              <w:spacing w:line="460" w:lineRule="exact"/>
              <w:rPr>
                <w:rFonts w:hint="eastAsia" w:ascii="仿宋" w:hAnsi="仿宋" w:eastAsia="仿宋" w:cs="仿宋"/>
                <w:snapToGrid w:val="0"/>
                <w:color w:val="auto"/>
                <w:sz w:val="21"/>
                <w:szCs w:val="21"/>
                <w:highlight w:val="none"/>
              </w:rPr>
            </w:pPr>
          </w:p>
        </w:tc>
      </w:tr>
      <w:tr w14:paraId="1D74B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60" w:type="dxa"/>
            <w:vMerge w:val="continue"/>
            <w:tcBorders>
              <w:top w:val="nil"/>
              <w:bottom w:val="nil"/>
            </w:tcBorders>
            <w:vAlign w:val="top"/>
          </w:tcPr>
          <w:p w14:paraId="1CB77E22">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bottom w:val="nil"/>
            </w:tcBorders>
            <w:vAlign w:val="top"/>
          </w:tcPr>
          <w:p w14:paraId="61A6B9BD">
            <w:pPr>
              <w:spacing w:line="460" w:lineRule="exact"/>
              <w:rPr>
                <w:rFonts w:hint="eastAsia" w:ascii="仿宋" w:hAnsi="仿宋" w:eastAsia="仿宋" w:cs="仿宋"/>
                <w:snapToGrid w:val="0"/>
                <w:color w:val="auto"/>
                <w:sz w:val="21"/>
                <w:szCs w:val="21"/>
                <w:highlight w:val="none"/>
              </w:rPr>
            </w:pPr>
          </w:p>
        </w:tc>
        <w:tc>
          <w:tcPr>
            <w:tcW w:w="1259" w:type="dxa"/>
            <w:vAlign w:val="top"/>
          </w:tcPr>
          <w:p w14:paraId="6ECE7AD1">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人员工资</w:t>
            </w:r>
          </w:p>
        </w:tc>
        <w:tc>
          <w:tcPr>
            <w:tcW w:w="1153" w:type="dxa"/>
            <w:vAlign w:val="top"/>
          </w:tcPr>
          <w:p w14:paraId="69628EA0">
            <w:pPr>
              <w:spacing w:line="460" w:lineRule="exact"/>
              <w:rPr>
                <w:rFonts w:hint="eastAsia" w:ascii="仿宋" w:hAnsi="仿宋" w:eastAsia="仿宋" w:cs="仿宋"/>
                <w:snapToGrid w:val="0"/>
                <w:color w:val="auto"/>
                <w:sz w:val="21"/>
                <w:szCs w:val="21"/>
                <w:highlight w:val="none"/>
              </w:rPr>
            </w:pPr>
          </w:p>
        </w:tc>
        <w:tc>
          <w:tcPr>
            <w:tcW w:w="1575" w:type="dxa"/>
            <w:vAlign w:val="top"/>
          </w:tcPr>
          <w:p w14:paraId="45749727">
            <w:pPr>
              <w:spacing w:line="460" w:lineRule="exact"/>
              <w:rPr>
                <w:rFonts w:hint="eastAsia" w:ascii="仿宋" w:hAnsi="仿宋" w:eastAsia="仿宋" w:cs="仿宋"/>
                <w:snapToGrid w:val="0"/>
                <w:color w:val="auto"/>
                <w:sz w:val="21"/>
                <w:szCs w:val="21"/>
                <w:highlight w:val="none"/>
              </w:rPr>
            </w:pPr>
          </w:p>
        </w:tc>
        <w:tc>
          <w:tcPr>
            <w:tcW w:w="1577" w:type="dxa"/>
            <w:vAlign w:val="top"/>
          </w:tcPr>
          <w:p w14:paraId="7ADCBE0A">
            <w:pPr>
              <w:spacing w:line="460" w:lineRule="exact"/>
              <w:rPr>
                <w:rFonts w:hint="eastAsia" w:ascii="仿宋" w:hAnsi="仿宋" w:eastAsia="仿宋" w:cs="仿宋"/>
                <w:snapToGrid w:val="0"/>
                <w:color w:val="auto"/>
                <w:sz w:val="21"/>
                <w:szCs w:val="21"/>
                <w:highlight w:val="none"/>
              </w:rPr>
            </w:pPr>
          </w:p>
        </w:tc>
      </w:tr>
      <w:tr w14:paraId="611E0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60" w:type="dxa"/>
            <w:vMerge w:val="continue"/>
            <w:tcBorders>
              <w:top w:val="nil"/>
              <w:bottom w:val="nil"/>
            </w:tcBorders>
            <w:vAlign w:val="top"/>
          </w:tcPr>
          <w:p w14:paraId="0DA93870">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bottom w:val="nil"/>
            </w:tcBorders>
            <w:vAlign w:val="top"/>
          </w:tcPr>
          <w:p w14:paraId="18F59266">
            <w:pPr>
              <w:spacing w:line="460" w:lineRule="exact"/>
              <w:rPr>
                <w:rFonts w:hint="eastAsia" w:ascii="仿宋" w:hAnsi="仿宋" w:eastAsia="仿宋" w:cs="仿宋"/>
                <w:snapToGrid w:val="0"/>
                <w:color w:val="auto"/>
                <w:sz w:val="21"/>
                <w:szCs w:val="21"/>
                <w:highlight w:val="none"/>
              </w:rPr>
            </w:pPr>
          </w:p>
        </w:tc>
        <w:tc>
          <w:tcPr>
            <w:tcW w:w="1259" w:type="dxa"/>
            <w:vAlign w:val="top"/>
          </w:tcPr>
          <w:p w14:paraId="74F72C05">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人员保险</w:t>
            </w:r>
          </w:p>
        </w:tc>
        <w:tc>
          <w:tcPr>
            <w:tcW w:w="1153" w:type="dxa"/>
            <w:vAlign w:val="top"/>
          </w:tcPr>
          <w:p w14:paraId="46115241">
            <w:pPr>
              <w:spacing w:line="460" w:lineRule="exact"/>
              <w:rPr>
                <w:rFonts w:hint="eastAsia" w:ascii="仿宋" w:hAnsi="仿宋" w:eastAsia="仿宋" w:cs="仿宋"/>
                <w:snapToGrid w:val="0"/>
                <w:color w:val="auto"/>
                <w:sz w:val="21"/>
                <w:szCs w:val="21"/>
                <w:highlight w:val="none"/>
              </w:rPr>
            </w:pPr>
          </w:p>
        </w:tc>
        <w:tc>
          <w:tcPr>
            <w:tcW w:w="1575" w:type="dxa"/>
            <w:vAlign w:val="top"/>
          </w:tcPr>
          <w:p w14:paraId="74C82CD6">
            <w:pPr>
              <w:spacing w:line="460" w:lineRule="exact"/>
              <w:rPr>
                <w:rFonts w:hint="eastAsia" w:ascii="仿宋" w:hAnsi="仿宋" w:eastAsia="仿宋" w:cs="仿宋"/>
                <w:snapToGrid w:val="0"/>
                <w:color w:val="auto"/>
                <w:sz w:val="21"/>
                <w:szCs w:val="21"/>
                <w:highlight w:val="none"/>
              </w:rPr>
            </w:pPr>
          </w:p>
        </w:tc>
        <w:tc>
          <w:tcPr>
            <w:tcW w:w="1577" w:type="dxa"/>
            <w:vAlign w:val="top"/>
          </w:tcPr>
          <w:p w14:paraId="5240D535">
            <w:pPr>
              <w:spacing w:line="460" w:lineRule="exact"/>
              <w:rPr>
                <w:rFonts w:hint="eastAsia" w:ascii="仿宋" w:hAnsi="仿宋" w:eastAsia="仿宋" w:cs="仿宋"/>
                <w:snapToGrid w:val="0"/>
                <w:color w:val="auto"/>
                <w:sz w:val="21"/>
                <w:szCs w:val="21"/>
                <w:highlight w:val="none"/>
              </w:rPr>
            </w:pPr>
          </w:p>
        </w:tc>
      </w:tr>
      <w:tr w14:paraId="0B211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60" w:type="dxa"/>
            <w:vMerge w:val="continue"/>
            <w:tcBorders>
              <w:top w:val="nil"/>
              <w:bottom w:val="nil"/>
            </w:tcBorders>
            <w:vAlign w:val="top"/>
          </w:tcPr>
          <w:p w14:paraId="0DC04757">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bottom w:val="nil"/>
            </w:tcBorders>
            <w:vAlign w:val="top"/>
          </w:tcPr>
          <w:p w14:paraId="557DC745">
            <w:pPr>
              <w:spacing w:line="460" w:lineRule="exact"/>
              <w:rPr>
                <w:rFonts w:hint="eastAsia" w:ascii="仿宋" w:hAnsi="仿宋" w:eastAsia="仿宋" w:cs="仿宋"/>
                <w:snapToGrid w:val="0"/>
                <w:color w:val="auto"/>
                <w:sz w:val="21"/>
                <w:szCs w:val="21"/>
                <w:highlight w:val="none"/>
              </w:rPr>
            </w:pPr>
          </w:p>
        </w:tc>
        <w:tc>
          <w:tcPr>
            <w:tcW w:w="1259" w:type="dxa"/>
            <w:vAlign w:val="top"/>
          </w:tcPr>
          <w:p w14:paraId="62CCBCED">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日常耗材</w:t>
            </w:r>
          </w:p>
        </w:tc>
        <w:tc>
          <w:tcPr>
            <w:tcW w:w="1153" w:type="dxa"/>
            <w:vAlign w:val="top"/>
          </w:tcPr>
          <w:p w14:paraId="3399C1DE">
            <w:pPr>
              <w:spacing w:line="460" w:lineRule="exact"/>
              <w:rPr>
                <w:rFonts w:hint="eastAsia" w:ascii="仿宋" w:hAnsi="仿宋" w:eastAsia="仿宋" w:cs="仿宋"/>
                <w:snapToGrid w:val="0"/>
                <w:color w:val="auto"/>
                <w:sz w:val="21"/>
                <w:szCs w:val="21"/>
                <w:highlight w:val="none"/>
              </w:rPr>
            </w:pPr>
          </w:p>
        </w:tc>
        <w:tc>
          <w:tcPr>
            <w:tcW w:w="1575" w:type="dxa"/>
            <w:vAlign w:val="top"/>
          </w:tcPr>
          <w:p w14:paraId="5789A0D9">
            <w:pPr>
              <w:spacing w:line="460" w:lineRule="exact"/>
              <w:rPr>
                <w:rFonts w:hint="eastAsia" w:ascii="仿宋" w:hAnsi="仿宋" w:eastAsia="仿宋" w:cs="仿宋"/>
                <w:snapToGrid w:val="0"/>
                <w:color w:val="auto"/>
                <w:sz w:val="21"/>
                <w:szCs w:val="21"/>
                <w:highlight w:val="none"/>
              </w:rPr>
            </w:pPr>
          </w:p>
        </w:tc>
        <w:tc>
          <w:tcPr>
            <w:tcW w:w="1577" w:type="dxa"/>
            <w:vAlign w:val="top"/>
          </w:tcPr>
          <w:p w14:paraId="78482EDA">
            <w:pPr>
              <w:spacing w:line="460" w:lineRule="exact"/>
              <w:rPr>
                <w:rFonts w:hint="eastAsia" w:ascii="仿宋" w:hAnsi="仿宋" w:eastAsia="仿宋" w:cs="仿宋"/>
                <w:snapToGrid w:val="0"/>
                <w:color w:val="auto"/>
                <w:sz w:val="21"/>
                <w:szCs w:val="21"/>
                <w:highlight w:val="none"/>
              </w:rPr>
            </w:pPr>
          </w:p>
        </w:tc>
      </w:tr>
      <w:tr w14:paraId="28EC3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60" w:type="dxa"/>
            <w:vMerge w:val="continue"/>
            <w:tcBorders>
              <w:top w:val="nil"/>
              <w:bottom w:val="nil"/>
            </w:tcBorders>
            <w:vAlign w:val="top"/>
          </w:tcPr>
          <w:p w14:paraId="6BB52ED0">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bottom w:val="nil"/>
            </w:tcBorders>
            <w:vAlign w:val="top"/>
          </w:tcPr>
          <w:p w14:paraId="5225F433">
            <w:pPr>
              <w:spacing w:line="460" w:lineRule="exact"/>
              <w:rPr>
                <w:rFonts w:hint="eastAsia" w:ascii="仿宋" w:hAnsi="仿宋" w:eastAsia="仿宋" w:cs="仿宋"/>
                <w:snapToGrid w:val="0"/>
                <w:color w:val="auto"/>
                <w:sz w:val="21"/>
                <w:szCs w:val="21"/>
                <w:highlight w:val="none"/>
              </w:rPr>
            </w:pPr>
          </w:p>
        </w:tc>
        <w:tc>
          <w:tcPr>
            <w:tcW w:w="1259" w:type="dxa"/>
            <w:vAlign w:val="top"/>
          </w:tcPr>
          <w:p w14:paraId="126BE650">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管理费</w:t>
            </w:r>
          </w:p>
        </w:tc>
        <w:tc>
          <w:tcPr>
            <w:tcW w:w="1153" w:type="dxa"/>
            <w:vAlign w:val="top"/>
          </w:tcPr>
          <w:p w14:paraId="28C99AA1">
            <w:pPr>
              <w:spacing w:line="460" w:lineRule="exact"/>
              <w:rPr>
                <w:rFonts w:hint="eastAsia" w:ascii="仿宋" w:hAnsi="仿宋" w:eastAsia="仿宋" w:cs="仿宋"/>
                <w:snapToGrid w:val="0"/>
                <w:color w:val="auto"/>
                <w:sz w:val="21"/>
                <w:szCs w:val="21"/>
                <w:highlight w:val="none"/>
              </w:rPr>
            </w:pPr>
          </w:p>
        </w:tc>
        <w:tc>
          <w:tcPr>
            <w:tcW w:w="1575" w:type="dxa"/>
            <w:vAlign w:val="top"/>
          </w:tcPr>
          <w:p w14:paraId="4C68D64D">
            <w:pPr>
              <w:spacing w:line="460" w:lineRule="exact"/>
              <w:rPr>
                <w:rFonts w:hint="eastAsia" w:ascii="仿宋" w:hAnsi="仿宋" w:eastAsia="仿宋" w:cs="仿宋"/>
                <w:snapToGrid w:val="0"/>
                <w:color w:val="auto"/>
                <w:sz w:val="21"/>
                <w:szCs w:val="21"/>
                <w:highlight w:val="none"/>
              </w:rPr>
            </w:pPr>
          </w:p>
        </w:tc>
        <w:tc>
          <w:tcPr>
            <w:tcW w:w="1577" w:type="dxa"/>
            <w:vAlign w:val="top"/>
          </w:tcPr>
          <w:p w14:paraId="33D628D3">
            <w:pPr>
              <w:spacing w:line="460" w:lineRule="exact"/>
              <w:rPr>
                <w:rFonts w:hint="eastAsia" w:ascii="仿宋" w:hAnsi="仿宋" w:eastAsia="仿宋" w:cs="仿宋"/>
                <w:snapToGrid w:val="0"/>
                <w:color w:val="auto"/>
                <w:sz w:val="21"/>
                <w:szCs w:val="21"/>
                <w:highlight w:val="none"/>
              </w:rPr>
            </w:pPr>
          </w:p>
        </w:tc>
      </w:tr>
      <w:tr w14:paraId="207DA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60" w:type="dxa"/>
            <w:vMerge w:val="continue"/>
            <w:tcBorders>
              <w:top w:val="nil"/>
              <w:bottom w:val="nil"/>
            </w:tcBorders>
            <w:vAlign w:val="top"/>
          </w:tcPr>
          <w:p w14:paraId="4EBF5F83">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bottom w:val="nil"/>
            </w:tcBorders>
            <w:vAlign w:val="top"/>
          </w:tcPr>
          <w:p w14:paraId="534CF839">
            <w:pPr>
              <w:spacing w:line="460" w:lineRule="exact"/>
              <w:rPr>
                <w:rFonts w:hint="eastAsia" w:ascii="仿宋" w:hAnsi="仿宋" w:eastAsia="仿宋" w:cs="仿宋"/>
                <w:snapToGrid w:val="0"/>
                <w:color w:val="auto"/>
                <w:sz w:val="21"/>
                <w:szCs w:val="21"/>
                <w:highlight w:val="none"/>
              </w:rPr>
            </w:pPr>
          </w:p>
        </w:tc>
        <w:tc>
          <w:tcPr>
            <w:tcW w:w="1259" w:type="dxa"/>
            <w:vAlign w:val="top"/>
          </w:tcPr>
          <w:p w14:paraId="35CF47F0">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税金</w:t>
            </w:r>
          </w:p>
        </w:tc>
        <w:tc>
          <w:tcPr>
            <w:tcW w:w="1153" w:type="dxa"/>
            <w:vAlign w:val="top"/>
          </w:tcPr>
          <w:p w14:paraId="316B9182">
            <w:pPr>
              <w:spacing w:line="460" w:lineRule="exact"/>
              <w:rPr>
                <w:rFonts w:hint="eastAsia" w:ascii="仿宋" w:hAnsi="仿宋" w:eastAsia="仿宋" w:cs="仿宋"/>
                <w:snapToGrid w:val="0"/>
                <w:color w:val="auto"/>
                <w:sz w:val="21"/>
                <w:szCs w:val="21"/>
                <w:highlight w:val="none"/>
              </w:rPr>
            </w:pPr>
          </w:p>
        </w:tc>
        <w:tc>
          <w:tcPr>
            <w:tcW w:w="1575" w:type="dxa"/>
            <w:vAlign w:val="top"/>
          </w:tcPr>
          <w:p w14:paraId="266D503F">
            <w:pPr>
              <w:spacing w:line="460" w:lineRule="exact"/>
              <w:rPr>
                <w:rFonts w:hint="eastAsia" w:ascii="仿宋" w:hAnsi="仿宋" w:eastAsia="仿宋" w:cs="仿宋"/>
                <w:snapToGrid w:val="0"/>
                <w:color w:val="auto"/>
                <w:sz w:val="21"/>
                <w:szCs w:val="21"/>
                <w:highlight w:val="none"/>
              </w:rPr>
            </w:pPr>
          </w:p>
        </w:tc>
        <w:tc>
          <w:tcPr>
            <w:tcW w:w="1577" w:type="dxa"/>
            <w:vAlign w:val="top"/>
          </w:tcPr>
          <w:p w14:paraId="41442475">
            <w:pPr>
              <w:spacing w:line="460" w:lineRule="exact"/>
              <w:rPr>
                <w:rFonts w:hint="eastAsia" w:ascii="仿宋" w:hAnsi="仿宋" w:eastAsia="仿宋" w:cs="仿宋"/>
                <w:snapToGrid w:val="0"/>
                <w:color w:val="auto"/>
                <w:sz w:val="21"/>
                <w:szCs w:val="21"/>
                <w:highlight w:val="none"/>
              </w:rPr>
            </w:pPr>
          </w:p>
        </w:tc>
      </w:tr>
      <w:tr w14:paraId="5A5D6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60" w:type="dxa"/>
            <w:vMerge w:val="continue"/>
            <w:tcBorders>
              <w:top w:val="nil"/>
              <w:bottom w:val="nil"/>
            </w:tcBorders>
            <w:vAlign w:val="top"/>
          </w:tcPr>
          <w:p w14:paraId="486C716D">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bottom w:val="nil"/>
            </w:tcBorders>
            <w:vAlign w:val="top"/>
          </w:tcPr>
          <w:p w14:paraId="2BA33677">
            <w:pPr>
              <w:spacing w:line="460" w:lineRule="exact"/>
              <w:rPr>
                <w:rFonts w:hint="eastAsia" w:ascii="仿宋" w:hAnsi="仿宋" w:eastAsia="仿宋" w:cs="仿宋"/>
                <w:snapToGrid w:val="0"/>
                <w:color w:val="auto"/>
                <w:sz w:val="21"/>
                <w:szCs w:val="21"/>
                <w:highlight w:val="none"/>
              </w:rPr>
            </w:pPr>
          </w:p>
        </w:tc>
        <w:tc>
          <w:tcPr>
            <w:tcW w:w="1259" w:type="dxa"/>
            <w:vAlign w:val="top"/>
          </w:tcPr>
          <w:p w14:paraId="788ADEE3">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其他费用</w:t>
            </w:r>
          </w:p>
        </w:tc>
        <w:tc>
          <w:tcPr>
            <w:tcW w:w="1153" w:type="dxa"/>
            <w:vAlign w:val="top"/>
          </w:tcPr>
          <w:p w14:paraId="4392EEDE">
            <w:pPr>
              <w:spacing w:line="460" w:lineRule="exact"/>
              <w:rPr>
                <w:rFonts w:hint="eastAsia" w:ascii="仿宋" w:hAnsi="仿宋" w:eastAsia="仿宋" w:cs="仿宋"/>
                <w:snapToGrid w:val="0"/>
                <w:color w:val="auto"/>
                <w:sz w:val="21"/>
                <w:szCs w:val="21"/>
                <w:highlight w:val="none"/>
              </w:rPr>
            </w:pPr>
          </w:p>
        </w:tc>
        <w:tc>
          <w:tcPr>
            <w:tcW w:w="1575" w:type="dxa"/>
            <w:vAlign w:val="top"/>
          </w:tcPr>
          <w:p w14:paraId="59CE0B5B">
            <w:pPr>
              <w:spacing w:line="460" w:lineRule="exact"/>
              <w:rPr>
                <w:rFonts w:hint="eastAsia" w:ascii="仿宋" w:hAnsi="仿宋" w:eastAsia="仿宋" w:cs="仿宋"/>
                <w:snapToGrid w:val="0"/>
                <w:color w:val="auto"/>
                <w:sz w:val="21"/>
                <w:szCs w:val="21"/>
                <w:highlight w:val="none"/>
              </w:rPr>
            </w:pPr>
          </w:p>
        </w:tc>
        <w:tc>
          <w:tcPr>
            <w:tcW w:w="1577" w:type="dxa"/>
            <w:vAlign w:val="top"/>
          </w:tcPr>
          <w:p w14:paraId="64378579">
            <w:pPr>
              <w:spacing w:line="460" w:lineRule="exact"/>
              <w:rPr>
                <w:rFonts w:hint="eastAsia" w:ascii="仿宋" w:hAnsi="仿宋" w:eastAsia="仿宋" w:cs="仿宋"/>
                <w:snapToGrid w:val="0"/>
                <w:color w:val="auto"/>
                <w:sz w:val="21"/>
                <w:szCs w:val="21"/>
                <w:highlight w:val="none"/>
              </w:rPr>
            </w:pPr>
          </w:p>
        </w:tc>
      </w:tr>
      <w:tr w14:paraId="0FD65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60" w:type="dxa"/>
            <w:vMerge w:val="continue"/>
            <w:tcBorders>
              <w:top w:val="nil"/>
            </w:tcBorders>
            <w:vAlign w:val="top"/>
          </w:tcPr>
          <w:p w14:paraId="25F21C75">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tcBorders>
            <w:vAlign w:val="top"/>
          </w:tcPr>
          <w:p w14:paraId="75C48B50">
            <w:pPr>
              <w:spacing w:line="460" w:lineRule="exact"/>
              <w:rPr>
                <w:rFonts w:hint="eastAsia" w:ascii="仿宋" w:hAnsi="仿宋" w:eastAsia="仿宋" w:cs="仿宋"/>
                <w:snapToGrid w:val="0"/>
                <w:color w:val="auto"/>
                <w:sz w:val="21"/>
                <w:szCs w:val="21"/>
                <w:highlight w:val="none"/>
              </w:rPr>
            </w:pPr>
          </w:p>
        </w:tc>
        <w:tc>
          <w:tcPr>
            <w:tcW w:w="1259" w:type="dxa"/>
            <w:vAlign w:val="top"/>
          </w:tcPr>
          <w:p w14:paraId="2376B180">
            <w:pPr>
              <w:spacing w:line="460" w:lineRule="exact"/>
              <w:rPr>
                <w:rFonts w:hint="eastAsia" w:ascii="仿宋" w:hAnsi="仿宋" w:eastAsia="仿宋" w:cs="仿宋"/>
                <w:snapToGrid w:val="0"/>
                <w:color w:val="auto"/>
                <w:sz w:val="21"/>
                <w:szCs w:val="21"/>
                <w:highlight w:val="none"/>
              </w:rPr>
            </w:pPr>
          </w:p>
          <w:p w14:paraId="683F2D9E">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w:t>
            </w:r>
          </w:p>
        </w:tc>
        <w:tc>
          <w:tcPr>
            <w:tcW w:w="1153" w:type="dxa"/>
            <w:vAlign w:val="top"/>
          </w:tcPr>
          <w:p w14:paraId="167DBC46">
            <w:pPr>
              <w:spacing w:line="460" w:lineRule="exact"/>
              <w:rPr>
                <w:rFonts w:hint="eastAsia" w:ascii="仿宋" w:hAnsi="仿宋" w:eastAsia="仿宋" w:cs="仿宋"/>
                <w:snapToGrid w:val="0"/>
                <w:color w:val="auto"/>
                <w:sz w:val="21"/>
                <w:szCs w:val="21"/>
                <w:highlight w:val="none"/>
              </w:rPr>
            </w:pPr>
          </w:p>
        </w:tc>
        <w:tc>
          <w:tcPr>
            <w:tcW w:w="1575" w:type="dxa"/>
            <w:vAlign w:val="top"/>
          </w:tcPr>
          <w:p w14:paraId="69CFB28D">
            <w:pPr>
              <w:spacing w:line="460" w:lineRule="exact"/>
              <w:rPr>
                <w:rFonts w:hint="eastAsia" w:ascii="仿宋" w:hAnsi="仿宋" w:eastAsia="仿宋" w:cs="仿宋"/>
                <w:snapToGrid w:val="0"/>
                <w:color w:val="auto"/>
                <w:sz w:val="21"/>
                <w:szCs w:val="21"/>
                <w:highlight w:val="none"/>
              </w:rPr>
            </w:pPr>
          </w:p>
        </w:tc>
        <w:tc>
          <w:tcPr>
            <w:tcW w:w="1577" w:type="dxa"/>
            <w:vAlign w:val="top"/>
          </w:tcPr>
          <w:p w14:paraId="120B180E">
            <w:pPr>
              <w:spacing w:line="460" w:lineRule="exact"/>
              <w:rPr>
                <w:rFonts w:hint="eastAsia" w:ascii="仿宋" w:hAnsi="仿宋" w:eastAsia="仿宋" w:cs="仿宋"/>
                <w:snapToGrid w:val="0"/>
                <w:color w:val="auto"/>
                <w:sz w:val="21"/>
                <w:szCs w:val="21"/>
                <w:highlight w:val="none"/>
              </w:rPr>
            </w:pPr>
          </w:p>
        </w:tc>
      </w:tr>
      <w:tr w14:paraId="1DCEE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042" w:type="dxa"/>
            <w:gridSpan w:val="6"/>
            <w:vAlign w:val="top"/>
          </w:tcPr>
          <w:p w14:paraId="16C4E779">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总报价(大写):                     ￥ :</w:t>
            </w:r>
          </w:p>
        </w:tc>
      </w:tr>
    </w:tbl>
    <w:p w14:paraId="7D5B01AD">
      <w:pPr>
        <w:spacing w:line="460" w:lineRule="exact"/>
        <w:rPr>
          <w:rFonts w:hint="eastAsia" w:ascii="仿宋" w:hAnsi="仿宋" w:eastAsia="仿宋" w:cs="仿宋"/>
          <w:snapToGrid w:val="0"/>
          <w:color w:val="auto"/>
          <w:sz w:val="21"/>
          <w:szCs w:val="21"/>
          <w:highlight w:val="none"/>
        </w:rPr>
      </w:pPr>
    </w:p>
    <w:tbl>
      <w:tblPr>
        <w:tblStyle w:val="41"/>
        <w:tblW w:w="8042" w:type="dxa"/>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1518"/>
        <w:gridCol w:w="1259"/>
        <w:gridCol w:w="1153"/>
        <w:gridCol w:w="1575"/>
        <w:gridCol w:w="1577"/>
      </w:tblGrid>
      <w:tr w14:paraId="6A6AF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60" w:type="dxa"/>
            <w:vAlign w:val="top"/>
          </w:tcPr>
          <w:p w14:paraId="5DBDF445">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包号</w:t>
            </w:r>
          </w:p>
        </w:tc>
        <w:tc>
          <w:tcPr>
            <w:tcW w:w="1518" w:type="dxa"/>
            <w:vAlign w:val="top"/>
          </w:tcPr>
          <w:p w14:paraId="5E9F59F7">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服务项目名称</w:t>
            </w:r>
          </w:p>
        </w:tc>
        <w:tc>
          <w:tcPr>
            <w:tcW w:w="1259" w:type="dxa"/>
            <w:vAlign w:val="top"/>
          </w:tcPr>
          <w:p w14:paraId="4574F78C">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分项内容</w:t>
            </w:r>
          </w:p>
        </w:tc>
        <w:tc>
          <w:tcPr>
            <w:tcW w:w="1153" w:type="dxa"/>
            <w:vAlign w:val="top"/>
          </w:tcPr>
          <w:p w14:paraId="708AE59A">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单价</w:t>
            </w:r>
          </w:p>
        </w:tc>
        <w:tc>
          <w:tcPr>
            <w:tcW w:w="1575" w:type="dxa"/>
            <w:vAlign w:val="top"/>
          </w:tcPr>
          <w:p w14:paraId="4101BF66">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数量</w:t>
            </w:r>
          </w:p>
        </w:tc>
        <w:tc>
          <w:tcPr>
            <w:tcW w:w="1577" w:type="dxa"/>
            <w:vAlign w:val="top"/>
          </w:tcPr>
          <w:p w14:paraId="3973A07A">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金额（元）</w:t>
            </w:r>
          </w:p>
        </w:tc>
      </w:tr>
      <w:tr w14:paraId="1B41C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60" w:type="dxa"/>
            <w:vMerge w:val="restart"/>
            <w:tcBorders>
              <w:bottom w:val="nil"/>
            </w:tcBorders>
            <w:vAlign w:val="top"/>
          </w:tcPr>
          <w:p w14:paraId="49F0967E">
            <w:pPr>
              <w:spacing w:line="460" w:lineRule="exact"/>
              <w:rPr>
                <w:rFonts w:hint="eastAsia" w:ascii="仿宋" w:hAnsi="仿宋" w:eastAsia="仿宋" w:cs="仿宋"/>
                <w:snapToGrid w:val="0"/>
                <w:color w:val="auto"/>
                <w:sz w:val="21"/>
                <w:szCs w:val="21"/>
                <w:highlight w:val="none"/>
                <w:lang w:eastAsia="zh-CN"/>
              </w:rPr>
            </w:pPr>
            <w:r>
              <w:rPr>
                <w:rFonts w:hint="eastAsia" w:ascii="仿宋" w:hAnsi="仿宋" w:eastAsia="仿宋" w:cs="仿宋"/>
                <w:snapToGrid w:val="0"/>
                <w:color w:val="auto"/>
                <w:sz w:val="21"/>
                <w:szCs w:val="21"/>
                <w:highlight w:val="none"/>
                <w:lang w:val="en-US" w:eastAsia="zh-CN"/>
              </w:rPr>
              <w:t>6</w:t>
            </w:r>
          </w:p>
        </w:tc>
        <w:tc>
          <w:tcPr>
            <w:tcW w:w="1518" w:type="dxa"/>
            <w:vMerge w:val="restart"/>
            <w:tcBorders>
              <w:bottom w:val="nil"/>
            </w:tcBorders>
            <w:vAlign w:val="top"/>
          </w:tcPr>
          <w:p w14:paraId="1B5B45E3">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河曲县</w:t>
            </w:r>
            <w:r>
              <w:rPr>
                <w:rFonts w:hint="eastAsia" w:ascii="仿宋" w:hAnsi="仿宋" w:eastAsia="仿宋" w:cs="仿宋"/>
                <w:snapToGrid w:val="0"/>
                <w:color w:val="auto"/>
                <w:sz w:val="21"/>
                <w:szCs w:val="21"/>
                <w:highlight w:val="none"/>
                <w:lang w:val="en-US" w:eastAsia="zh-CN"/>
              </w:rPr>
              <w:t>刘家塔镇</w:t>
            </w:r>
            <w:r>
              <w:rPr>
                <w:rFonts w:hint="eastAsia" w:ascii="仿宋" w:hAnsi="仿宋" w:eastAsia="仿宋" w:cs="仿宋"/>
                <w:snapToGrid w:val="0"/>
                <w:color w:val="auto"/>
                <w:sz w:val="21"/>
                <w:szCs w:val="21"/>
                <w:highlight w:val="none"/>
              </w:rPr>
              <w:t>人民政府</w:t>
            </w:r>
          </w:p>
        </w:tc>
        <w:tc>
          <w:tcPr>
            <w:tcW w:w="1259" w:type="dxa"/>
            <w:vAlign w:val="top"/>
          </w:tcPr>
          <w:p w14:paraId="0B3C8EFF">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肥料</w:t>
            </w:r>
          </w:p>
        </w:tc>
        <w:tc>
          <w:tcPr>
            <w:tcW w:w="1153" w:type="dxa"/>
            <w:vAlign w:val="top"/>
          </w:tcPr>
          <w:p w14:paraId="3C9F0EB9">
            <w:pPr>
              <w:spacing w:line="460" w:lineRule="exact"/>
              <w:rPr>
                <w:rFonts w:hint="eastAsia" w:ascii="仿宋" w:hAnsi="仿宋" w:eastAsia="仿宋" w:cs="仿宋"/>
                <w:snapToGrid w:val="0"/>
                <w:color w:val="auto"/>
                <w:sz w:val="21"/>
                <w:szCs w:val="21"/>
                <w:highlight w:val="none"/>
              </w:rPr>
            </w:pPr>
          </w:p>
        </w:tc>
        <w:tc>
          <w:tcPr>
            <w:tcW w:w="1575" w:type="dxa"/>
            <w:vAlign w:val="top"/>
          </w:tcPr>
          <w:p w14:paraId="54715506">
            <w:pPr>
              <w:spacing w:line="460" w:lineRule="exact"/>
              <w:rPr>
                <w:rFonts w:hint="eastAsia" w:ascii="仿宋" w:hAnsi="仿宋" w:eastAsia="仿宋" w:cs="仿宋"/>
                <w:snapToGrid w:val="0"/>
                <w:color w:val="auto"/>
                <w:sz w:val="21"/>
                <w:szCs w:val="21"/>
                <w:highlight w:val="none"/>
              </w:rPr>
            </w:pPr>
          </w:p>
        </w:tc>
        <w:tc>
          <w:tcPr>
            <w:tcW w:w="1577" w:type="dxa"/>
            <w:vAlign w:val="top"/>
          </w:tcPr>
          <w:p w14:paraId="57A54D04">
            <w:pPr>
              <w:spacing w:line="460" w:lineRule="exact"/>
              <w:rPr>
                <w:rFonts w:hint="eastAsia" w:ascii="仿宋" w:hAnsi="仿宋" w:eastAsia="仿宋" w:cs="仿宋"/>
                <w:snapToGrid w:val="0"/>
                <w:color w:val="auto"/>
                <w:sz w:val="21"/>
                <w:szCs w:val="21"/>
                <w:highlight w:val="none"/>
              </w:rPr>
            </w:pPr>
          </w:p>
        </w:tc>
      </w:tr>
      <w:tr w14:paraId="26B93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60" w:type="dxa"/>
            <w:vMerge w:val="continue"/>
            <w:tcBorders>
              <w:top w:val="nil"/>
              <w:bottom w:val="nil"/>
            </w:tcBorders>
            <w:vAlign w:val="top"/>
          </w:tcPr>
          <w:p w14:paraId="21B9CACD">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bottom w:val="nil"/>
            </w:tcBorders>
            <w:vAlign w:val="top"/>
          </w:tcPr>
          <w:p w14:paraId="071B22B8">
            <w:pPr>
              <w:spacing w:line="460" w:lineRule="exact"/>
              <w:rPr>
                <w:rFonts w:hint="eastAsia" w:ascii="仿宋" w:hAnsi="仿宋" w:eastAsia="仿宋" w:cs="仿宋"/>
                <w:snapToGrid w:val="0"/>
                <w:color w:val="auto"/>
                <w:sz w:val="21"/>
                <w:szCs w:val="21"/>
                <w:highlight w:val="none"/>
              </w:rPr>
            </w:pPr>
          </w:p>
        </w:tc>
        <w:tc>
          <w:tcPr>
            <w:tcW w:w="1259" w:type="dxa"/>
            <w:vAlign w:val="top"/>
          </w:tcPr>
          <w:p w14:paraId="05DB8B94">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人员工资</w:t>
            </w:r>
          </w:p>
        </w:tc>
        <w:tc>
          <w:tcPr>
            <w:tcW w:w="1153" w:type="dxa"/>
            <w:vAlign w:val="top"/>
          </w:tcPr>
          <w:p w14:paraId="4A2CEC98">
            <w:pPr>
              <w:spacing w:line="460" w:lineRule="exact"/>
              <w:rPr>
                <w:rFonts w:hint="eastAsia" w:ascii="仿宋" w:hAnsi="仿宋" w:eastAsia="仿宋" w:cs="仿宋"/>
                <w:snapToGrid w:val="0"/>
                <w:color w:val="auto"/>
                <w:sz w:val="21"/>
                <w:szCs w:val="21"/>
                <w:highlight w:val="none"/>
              </w:rPr>
            </w:pPr>
          </w:p>
        </w:tc>
        <w:tc>
          <w:tcPr>
            <w:tcW w:w="1575" w:type="dxa"/>
            <w:vAlign w:val="top"/>
          </w:tcPr>
          <w:p w14:paraId="48BDE128">
            <w:pPr>
              <w:spacing w:line="460" w:lineRule="exact"/>
              <w:rPr>
                <w:rFonts w:hint="eastAsia" w:ascii="仿宋" w:hAnsi="仿宋" w:eastAsia="仿宋" w:cs="仿宋"/>
                <w:snapToGrid w:val="0"/>
                <w:color w:val="auto"/>
                <w:sz w:val="21"/>
                <w:szCs w:val="21"/>
                <w:highlight w:val="none"/>
              </w:rPr>
            </w:pPr>
          </w:p>
        </w:tc>
        <w:tc>
          <w:tcPr>
            <w:tcW w:w="1577" w:type="dxa"/>
            <w:vAlign w:val="top"/>
          </w:tcPr>
          <w:p w14:paraId="534CB62A">
            <w:pPr>
              <w:spacing w:line="460" w:lineRule="exact"/>
              <w:rPr>
                <w:rFonts w:hint="eastAsia" w:ascii="仿宋" w:hAnsi="仿宋" w:eastAsia="仿宋" w:cs="仿宋"/>
                <w:snapToGrid w:val="0"/>
                <w:color w:val="auto"/>
                <w:sz w:val="21"/>
                <w:szCs w:val="21"/>
                <w:highlight w:val="none"/>
              </w:rPr>
            </w:pPr>
          </w:p>
        </w:tc>
      </w:tr>
      <w:tr w14:paraId="7CFE4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60" w:type="dxa"/>
            <w:vMerge w:val="continue"/>
            <w:tcBorders>
              <w:top w:val="nil"/>
              <w:bottom w:val="nil"/>
            </w:tcBorders>
            <w:vAlign w:val="top"/>
          </w:tcPr>
          <w:p w14:paraId="6C4607DC">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bottom w:val="nil"/>
            </w:tcBorders>
            <w:vAlign w:val="top"/>
          </w:tcPr>
          <w:p w14:paraId="6DB291D7">
            <w:pPr>
              <w:spacing w:line="460" w:lineRule="exact"/>
              <w:rPr>
                <w:rFonts w:hint="eastAsia" w:ascii="仿宋" w:hAnsi="仿宋" w:eastAsia="仿宋" w:cs="仿宋"/>
                <w:snapToGrid w:val="0"/>
                <w:color w:val="auto"/>
                <w:sz w:val="21"/>
                <w:szCs w:val="21"/>
                <w:highlight w:val="none"/>
              </w:rPr>
            </w:pPr>
          </w:p>
        </w:tc>
        <w:tc>
          <w:tcPr>
            <w:tcW w:w="1259" w:type="dxa"/>
            <w:vAlign w:val="top"/>
          </w:tcPr>
          <w:p w14:paraId="26E4FD69">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人员保险</w:t>
            </w:r>
          </w:p>
        </w:tc>
        <w:tc>
          <w:tcPr>
            <w:tcW w:w="1153" w:type="dxa"/>
            <w:vAlign w:val="top"/>
          </w:tcPr>
          <w:p w14:paraId="5BDA8B93">
            <w:pPr>
              <w:spacing w:line="460" w:lineRule="exact"/>
              <w:rPr>
                <w:rFonts w:hint="eastAsia" w:ascii="仿宋" w:hAnsi="仿宋" w:eastAsia="仿宋" w:cs="仿宋"/>
                <w:snapToGrid w:val="0"/>
                <w:color w:val="auto"/>
                <w:sz w:val="21"/>
                <w:szCs w:val="21"/>
                <w:highlight w:val="none"/>
              </w:rPr>
            </w:pPr>
          </w:p>
        </w:tc>
        <w:tc>
          <w:tcPr>
            <w:tcW w:w="1575" w:type="dxa"/>
            <w:vAlign w:val="top"/>
          </w:tcPr>
          <w:p w14:paraId="55287F86">
            <w:pPr>
              <w:spacing w:line="460" w:lineRule="exact"/>
              <w:rPr>
                <w:rFonts w:hint="eastAsia" w:ascii="仿宋" w:hAnsi="仿宋" w:eastAsia="仿宋" w:cs="仿宋"/>
                <w:snapToGrid w:val="0"/>
                <w:color w:val="auto"/>
                <w:sz w:val="21"/>
                <w:szCs w:val="21"/>
                <w:highlight w:val="none"/>
              </w:rPr>
            </w:pPr>
          </w:p>
        </w:tc>
        <w:tc>
          <w:tcPr>
            <w:tcW w:w="1577" w:type="dxa"/>
            <w:vAlign w:val="top"/>
          </w:tcPr>
          <w:p w14:paraId="2C37B22E">
            <w:pPr>
              <w:spacing w:line="460" w:lineRule="exact"/>
              <w:rPr>
                <w:rFonts w:hint="eastAsia" w:ascii="仿宋" w:hAnsi="仿宋" w:eastAsia="仿宋" w:cs="仿宋"/>
                <w:snapToGrid w:val="0"/>
                <w:color w:val="auto"/>
                <w:sz w:val="21"/>
                <w:szCs w:val="21"/>
                <w:highlight w:val="none"/>
              </w:rPr>
            </w:pPr>
          </w:p>
        </w:tc>
      </w:tr>
      <w:tr w14:paraId="1F181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60" w:type="dxa"/>
            <w:vMerge w:val="continue"/>
            <w:tcBorders>
              <w:top w:val="nil"/>
              <w:bottom w:val="nil"/>
            </w:tcBorders>
            <w:vAlign w:val="top"/>
          </w:tcPr>
          <w:p w14:paraId="61C70D85">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bottom w:val="nil"/>
            </w:tcBorders>
            <w:vAlign w:val="top"/>
          </w:tcPr>
          <w:p w14:paraId="7FDA34B0">
            <w:pPr>
              <w:spacing w:line="460" w:lineRule="exact"/>
              <w:rPr>
                <w:rFonts w:hint="eastAsia" w:ascii="仿宋" w:hAnsi="仿宋" w:eastAsia="仿宋" w:cs="仿宋"/>
                <w:snapToGrid w:val="0"/>
                <w:color w:val="auto"/>
                <w:sz w:val="21"/>
                <w:szCs w:val="21"/>
                <w:highlight w:val="none"/>
              </w:rPr>
            </w:pPr>
          </w:p>
        </w:tc>
        <w:tc>
          <w:tcPr>
            <w:tcW w:w="1259" w:type="dxa"/>
            <w:vAlign w:val="top"/>
          </w:tcPr>
          <w:p w14:paraId="5657A815">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日常耗材</w:t>
            </w:r>
          </w:p>
        </w:tc>
        <w:tc>
          <w:tcPr>
            <w:tcW w:w="1153" w:type="dxa"/>
            <w:vAlign w:val="top"/>
          </w:tcPr>
          <w:p w14:paraId="6D95CBA4">
            <w:pPr>
              <w:spacing w:line="460" w:lineRule="exact"/>
              <w:rPr>
                <w:rFonts w:hint="eastAsia" w:ascii="仿宋" w:hAnsi="仿宋" w:eastAsia="仿宋" w:cs="仿宋"/>
                <w:snapToGrid w:val="0"/>
                <w:color w:val="auto"/>
                <w:sz w:val="21"/>
                <w:szCs w:val="21"/>
                <w:highlight w:val="none"/>
              </w:rPr>
            </w:pPr>
          </w:p>
        </w:tc>
        <w:tc>
          <w:tcPr>
            <w:tcW w:w="1575" w:type="dxa"/>
            <w:vAlign w:val="top"/>
          </w:tcPr>
          <w:p w14:paraId="6BF1DF59">
            <w:pPr>
              <w:spacing w:line="460" w:lineRule="exact"/>
              <w:rPr>
                <w:rFonts w:hint="eastAsia" w:ascii="仿宋" w:hAnsi="仿宋" w:eastAsia="仿宋" w:cs="仿宋"/>
                <w:snapToGrid w:val="0"/>
                <w:color w:val="auto"/>
                <w:sz w:val="21"/>
                <w:szCs w:val="21"/>
                <w:highlight w:val="none"/>
              </w:rPr>
            </w:pPr>
          </w:p>
        </w:tc>
        <w:tc>
          <w:tcPr>
            <w:tcW w:w="1577" w:type="dxa"/>
            <w:vAlign w:val="top"/>
          </w:tcPr>
          <w:p w14:paraId="7113BAD3">
            <w:pPr>
              <w:spacing w:line="460" w:lineRule="exact"/>
              <w:rPr>
                <w:rFonts w:hint="eastAsia" w:ascii="仿宋" w:hAnsi="仿宋" w:eastAsia="仿宋" w:cs="仿宋"/>
                <w:snapToGrid w:val="0"/>
                <w:color w:val="auto"/>
                <w:sz w:val="21"/>
                <w:szCs w:val="21"/>
                <w:highlight w:val="none"/>
              </w:rPr>
            </w:pPr>
          </w:p>
        </w:tc>
      </w:tr>
      <w:tr w14:paraId="11B38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60" w:type="dxa"/>
            <w:vMerge w:val="continue"/>
            <w:tcBorders>
              <w:top w:val="nil"/>
              <w:bottom w:val="nil"/>
            </w:tcBorders>
            <w:vAlign w:val="top"/>
          </w:tcPr>
          <w:p w14:paraId="3E743D7C">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bottom w:val="nil"/>
            </w:tcBorders>
            <w:vAlign w:val="top"/>
          </w:tcPr>
          <w:p w14:paraId="31226A08">
            <w:pPr>
              <w:spacing w:line="460" w:lineRule="exact"/>
              <w:rPr>
                <w:rFonts w:hint="eastAsia" w:ascii="仿宋" w:hAnsi="仿宋" w:eastAsia="仿宋" w:cs="仿宋"/>
                <w:snapToGrid w:val="0"/>
                <w:color w:val="auto"/>
                <w:sz w:val="21"/>
                <w:szCs w:val="21"/>
                <w:highlight w:val="none"/>
              </w:rPr>
            </w:pPr>
          </w:p>
        </w:tc>
        <w:tc>
          <w:tcPr>
            <w:tcW w:w="1259" w:type="dxa"/>
            <w:vAlign w:val="top"/>
          </w:tcPr>
          <w:p w14:paraId="598AF0D0">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管理费</w:t>
            </w:r>
          </w:p>
        </w:tc>
        <w:tc>
          <w:tcPr>
            <w:tcW w:w="1153" w:type="dxa"/>
            <w:vAlign w:val="top"/>
          </w:tcPr>
          <w:p w14:paraId="0A65F558">
            <w:pPr>
              <w:spacing w:line="460" w:lineRule="exact"/>
              <w:rPr>
                <w:rFonts w:hint="eastAsia" w:ascii="仿宋" w:hAnsi="仿宋" w:eastAsia="仿宋" w:cs="仿宋"/>
                <w:snapToGrid w:val="0"/>
                <w:color w:val="auto"/>
                <w:sz w:val="21"/>
                <w:szCs w:val="21"/>
                <w:highlight w:val="none"/>
              </w:rPr>
            </w:pPr>
          </w:p>
        </w:tc>
        <w:tc>
          <w:tcPr>
            <w:tcW w:w="1575" w:type="dxa"/>
            <w:vAlign w:val="top"/>
          </w:tcPr>
          <w:p w14:paraId="0F602BDA">
            <w:pPr>
              <w:spacing w:line="460" w:lineRule="exact"/>
              <w:rPr>
                <w:rFonts w:hint="eastAsia" w:ascii="仿宋" w:hAnsi="仿宋" w:eastAsia="仿宋" w:cs="仿宋"/>
                <w:snapToGrid w:val="0"/>
                <w:color w:val="auto"/>
                <w:sz w:val="21"/>
                <w:szCs w:val="21"/>
                <w:highlight w:val="none"/>
              </w:rPr>
            </w:pPr>
          </w:p>
        </w:tc>
        <w:tc>
          <w:tcPr>
            <w:tcW w:w="1577" w:type="dxa"/>
            <w:vAlign w:val="top"/>
          </w:tcPr>
          <w:p w14:paraId="1F4E3E6F">
            <w:pPr>
              <w:spacing w:line="460" w:lineRule="exact"/>
              <w:rPr>
                <w:rFonts w:hint="eastAsia" w:ascii="仿宋" w:hAnsi="仿宋" w:eastAsia="仿宋" w:cs="仿宋"/>
                <w:snapToGrid w:val="0"/>
                <w:color w:val="auto"/>
                <w:sz w:val="21"/>
                <w:szCs w:val="21"/>
                <w:highlight w:val="none"/>
              </w:rPr>
            </w:pPr>
          </w:p>
        </w:tc>
      </w:tr>
      <w:tr w14:paraId="30273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60" w:type="dxa"/>
            <w:vMerge w:val="continue"/>
            <w:tcBorders>
              <w:top w:val="nil"/>
              <w:bottom w:val="nil"/>
            </w:tcBorders>
            <w:vAlign w:val="top"/>
          </w:tcPr>
          <w:p w14:paraId="79872121">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bottom w:val="nil"/>
            </w:tcBorders>
            <w:vAlign w:val="top"/>
          </w:tcPr>
          <w:p w14:paraId="6C56EF77">
            <w:pPr>
              <w:spacing w:line="460" w:lineRule="exact"/>
              <w:rPr>
                <w:rFonts w:hint="eastAsia" w:ascii="仿宋" w:hAnsi="仿宋" w:eastAsia="仿宋" w:cs="仿宋"/>
                <w:snapToGrid w:val="0"/>
                <w:color w:val="auto"/>
                <w:sz w:val="21"/>
                <w:szCs w:val="21"/>
                <w:highlight w:val="none"/>
              </w:rPr>
            </w:pPr>
          </w:p>
        </w:tc>
        <w:tc>
          <w:tcPr>
            <w:tcW w:w="1259" w:type="dxa"/>
            <w:vAlign w:val="top"/>
          </w:tcPr>
          <w:p w14:paraId="074AF1F6">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税金</w:t>
            </w:r>
          </w:p>
        </w:tc>
        <w:tc>
          <w:tcPr>
            <w:tcW w:w="1153" w:type="dxa"/>
            <w:vAlign w:val="top"/>
          </w:tcPr>
          <w:p w14:paraId="6211375C">
            <w:pPr>
              <w:spacing w:line="460" w:lineRule="exact"/>
              <w:rPr>
                <w:rFonts w:hint="eastAsia" w:ascii="仿宋" w:hAnsi="仿宋" w:eastAsia="仿宋" w:cs="仿宋"/>
                <w:snapToGrid w:val="0"/>
                <w:color w:val="auto"/>
                <w:sz w:val="21"/>
                <w:szCs w:val="21"/>
                <w:highlight w:val="none"/>
              </w:rPr>
            </w:pPr>
          </w:p>
        </w:tc>
        <w:tc>
          <w:tcPr>
            <w:tcW w:w="1575" w:type="dxa"/>
            <w:vAlign w:val="top"/>
          </w:tcPr>
          <w:p w14:paraId="5A1BFDDE">
            <w:pPr>
              <w:spacing w:line="460" w:lineRule="exact"/>
              <w:rPr>
                <w:rFonts w:hint="eastAsia" w:ascii="仿宋" w:hAnsi="仿宋" w:eastAsia="仿宋" w:cs="仿宋"/>
                <w:snapToGrid w:val="0"/>
                <w:color w:val="auto"/>
                <w:sz w:val="21"/>
                <w:szCs w:val="21"/>
                <w:highlight w:val="none"/>
              </w:rPr>
            </w:pPr>
          </w:p>
        </w:tc>
        <w:tc>
          <w:tcPr>
            <w:tcW w:w="1577" w:type="dxa"/>
            <w:vAlign w:val="top"/>
          </w:tcPr>
          <w:p w14:paraId="032BBABB">
            <w:pPr>
              <w:spacing w:line="460" w:lineRule="exact"/>
              <w:rPr>
                <w:rFonts w:hint="eastAsia" w:ascii="仿宋" w:hAnsi="仿宋" w:eastAsia="仿宋" w:cs="仿宋"/>
                <w:snapToGrid w:val="0"/>
                <w:color w:val="auto"/>
                <w:sz w:val="21"/>
                <w:szCs w:val="21"/>
                <w:highlight w:val="none"/>
              </w:rPr>
            </w:pPr>
          </w:p>
        </w:tc>
      </w:tr>
      <w:tr w14:paraId="4C280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60" w:type="dxa"/>
            <w:vMerge w:val="continue"/>
            <w:tcBorders>
              <w:top w:val="nil"/>
              <w:bottom w:val="nil"/>
            </w:tcBorders>
            <w:vAlign w:val="top"/>
          </w:tcPr>
          <w:p w14:paraId="662929B4">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bottom w:val="nil"/>
            </w:tcBorders>
            <w:vAlign w:val="top"/>
          </w:tcPr>
          <w:p w14:paraId="5FF2C2B5">
            <w:pPr>
              <w:spacing w:line="460" w:lineRule="exact"/>
              <w:rPr>
                <w:rFonts w:hint="eastAsia" w:ascii="仿宋" w:hAnsi="仿宋" w:eastAsia="仿宋" w:cs="仿宋"/>
                <w:snapToGrid w:val="0"/>
                <w:color w:val="auto"/>
                <w:sz w:val="21"/>
                <w:szCs w:val="21"/>
                <w:highlight w:val="none"/>
              </w:rPr>
            </w:pPr>
          </w:p>
        </w:tc>
        <w:tc>
          <w:tcPr>
            <w:tcW w:w="1259" w:type="dxa"/>
            <w:vAlign w:val="top"/>
          </w:tcPr>
          <w:p w14:paraId="44204C55">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其他费用</w:t>
            </w:r>
          </w:p>
        </w:tc>
        <w:tc>
          <w:tcPr>
            <w:tcW w:w="1153" w:type="dxa"/>
            <w:vAlign w:val="top"/>
          </w:tcPr>
          <w:p w14:paraId="7D53F90D">
            <w:pPr>
              <w:spacing w:line="460" w:lineRule="exact"/>
              <w:rPr>
                <w:rFonts w:hint="eastAsia" w:ascii="仿宋" w:hAnsi="仿宋" w:eastAsia="仿宋" w:cs="仿宋"/>
                <w:snapToGrid w:val="0"/>
                <w:color w:val="auto"/>
                <w:sz w:val="21"/>
                <w:szCs w:val="21"/>
                <w:highlight w:val="none"/>
              </w:rPr>
            </w:pPr>
          </w:p>
        </w:tc>
        <w:tc>
          <w:tcPr>
            <w:tcW w:w="1575" w:type="dxa"/>
            <w:vAlign w:val="top"/>
          </w:tcPr>
          <w:p w14:paraId="477AF997">
            <w:pPr>
              <w:spacing w:line="460" w:lineRule="exact"/>
              <w:rPr>
                <w:rFonts w:hint="eastAsia" w:ascii="仿宋" w:hAnsi="仿宋" w:eastAsia="仿宋" w:cs="仿宋"/>
                <w:snapToGrid w:val="0"/>
                <w:color w:val="auto"/>
                <w:sz w:val="21"/>
                <w:szCs w:val="21"/>
                <w:highlight w:val="none"/>
              </w:rPr>
            </w:pPr>
          </w:p>
        </w:tc>
        <w:tc>
          <w:tcPr>
            <w:tcW w:w="1577" w:type="dxa"/>
            <w:vAlign w:val="top"/>
          </w:tcPr>
          <w:p w14:paraId="04DFDB8E">
            <w:pPr>
              <w:spacing w:line="460" w:lineRule="exact"/>
              <w:rPr>
                <w:rFonts w:hint="eastAsia" w:ascii="仿宋" w:hAnsi="仿宋" w:eastAsia="仿宋" w:cs="仿宋"/>
                <w:snapToGrid w:val="0"/>
                <w:color w:val="auto"/>
                <w:sz w:val="21"/>
                <w:szCs w:val="21"/>
                <w:highlight w:val="none"/>
              </w:rPr>
            </w:pPr>
          </w:p>
        </w:tc>
      </w:tr>
      <w:tr w14:paraId="4E184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60" w:type="dxa"/>
            <w:vMerge w:val="continue"/>
            <w:tcBorders>
              <w:top w:val="nil"/>
            </w:tcBorders>
            <w:vAlign w:val="top"/>
          </w:tcPr>
          <w:p w14:paraId="1CAB15A4">
            <w:pPr>
              <w:spacing w:line="460" w:lineRule="exact"/>
              <w:rPr>
                <w:rFonts w:hint="eastAsia" w:ascii="仿宋" w:hAnsi="仿宋" w:eastAsia="仿宋" w:cs="仿宋"/>
                <w:snapToGrid w:val="0"/>
                <w:color w:val="auto"/>
                <w:sz w:val="21"/>
                <w:szCs w:val="21"/>
                <w:highlight w:val="none"/>
              </w:rPr>
            </w:pPr>
          </w:p>
        </w:tc>
        <w:tc>
          <w:tcPr>
            <w:tcW w:w="1518" w:type="dxa"/>
            <w:vMerge w:val="continue"/>
            <w:tcBorders>
              <w:top w:val="nil"/>
            </w:tcBorders>
            <w:vAlign w:val="top"/>
          </w:tcPr>
          <w:p w14:paraId="0EEA6DDF">
            <w:pPr>
              <w:spacing w:line="460" w:lineRule="exact"/>
              <w:rPr>
                <w:rFonts w:hint="eastAsia" w:ascii="仿宋" w:hAnsi="仿宋" w:eastAsia="仿宋" w:cs="仿宋"/>
                <w:snapToGrid w:val="0"/>
                <w:color w:val="auto"/>
                <w:sz w:val="21"/>
                <w:szCs w:val="21"/>
                <w:highlight w:val="none"/>
              </w:rPr>
            </w:pPr>
          </w:p>
        </w:tc>
        <w:tc>
          <w:tcPr>
            <w:tcW w:w="1259" w:type="dxa"/>
            <w:vAlign w:val="top"/>
          </w:tcPr>
          <w:p w14:paraId="5247B47F">
            <w:pPr>
              <w:spacing w:line="460" w:lineRule="exact"/>
              <w:rPr>
                <w:rFonts w:hint="eastAsia" w:ascii="仿宋" w:hAnsi="仿宋" w:eastAsia="仿宋" w:cs="仿宋"/>
                <w:snapToGrid w:val="0"/>
                <w:color w:val="auto"/>
                <w:sz w:val="21"/>
                <w:szCs w:val="21"/>
                <w:highlight w:val="none"/>
              </w:rPr>
            </w:pPr>
          </w:p>
          <w:p w14:paraId="74B2FEBF">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w:t>
            </w:r>
          </w:p>
        </w:tc>
        <w:tc>
          <w:tcPr>
            <w:tcW w:w="1153" w:type="dxa"/>
            <w:vAlign w:val="top"/>
          </w:tcPr>
          <w:p w14:paraId="22E43789">
            <w:pPr>
              <w:spacing w:line="460" w:lineRule="exact"/>
              <w:rPr>
                <w:rFonts w:hint="eastAsia" w:ascii="仿宋" w:hAnsi="仿宋" w:eastAsia="仿宋" w:cs="仿宋"/>
                <w:snapToGrid w:val="0"/>
                <w:color w:val="auto"/>
                <w:sz w:val="21"/>
                <w:szCs w:val="21"/>
                <w:highlight w:val="none"/>
              </w:rPr>
            </w:pPr>
          </w:p>
        </w:tc>
        <w:tc>
          <w:tcPr>
            <w:tcW w:w="1575" w:type="dxa"/>
            <w:vAlign w:val="top"/>
          </w:tcPr>
          <w:p w14:paraId="1512048D">
            <w:pPr>
              <w:spacing w:line="460" w:lineRule="exact"/>
              <w:rPr>
                <w:rFonts w:hint="eastAsia" w:ascii="仿宋" w:hAnsi="仿宋" w:eastAsia="仿宋" w:cs="仿宋"/>
                <w:snapToGrid w:val="0"/>
                <w:color w:val="auto"/>
                <w:sz w:val="21"/>
                <w:szCs w:val="21"/>
                <w:highlight w:val="none"/>
              </w:rPr>
            </w:pPr>
          </w:p>
        </w:tc>
        <w:tc>
          <w:tcPr>
            <w:tcW w:w="1577" w:type="dxa"/>
            <w:vAlign w:val="top"/>
          </w:tcPr>
          <w:p w14:paraId="00D2F237">
            <w:pPr>
              <w:spacing w:line="460" w:lineRule="exact"/>
              <w:rPr>
                <w:rFonts w:hint="eastAsia" w:ascii="仿宋" w:hAnsi="仿宋" w:eastAsia="仿宋" w:cs="仿宋"/>
                <w:snapToGrid w:val="0"/>
                <w:color w:val="auto"/>
                <w:sz w:val="21"/>
                <w:szCs w:val="21"/>
                <w:highlight w:val="none"/>
              </w:rPr>
            </w:pPr>
          </w:p>
        </w:tc>
      </w:tr>
      <w:tr w14:paraId="525E3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042" w:type="dxa"/>
            <w:gridSpan w:val="6"/>
            <w:vAlign w:val="top"/>
          </w:tcPr>
          <w:p w14:paraId="0E765CFB">
            <w:pPr>
              <w:spacing w:line="460" w:lineRule="exact"/>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总报价(大写):                     ￥ :</w:t>
            </w:r>
          </w:p>
        </w:tc>
      </w:tr>
    </w:tbl>
    <w:p w14:paraId="6D791277">
      <w:pPr>
        <w:pStyle w:val="8"/>
      </w:pPr>
    </w:p>
    <w:p w14:paraId="16D8106F">
      <w:pPr>
        <w:spacing w:line="460" w:lineRule="exact"/>
        <w:rPr>
          <w:rFonts w:hint="default" w:ascii="仿宋" w:hAnsi="仿宋" w:eastAsia="仿宋" w:cs="仿宋"/>
          <w:snapToGrid w:val="0"/>
          <w:color w:val="auto"/>
          <w:sz w:val="21"/>
          <w:szCs w:val="21"/>
          <w:highlight w:val="none"/>
          <w:lang w:val="en-US" w:eastAsia="zh-CN"/>
        </w:rPr>
        <w:sectPr>
          <w:footerReference r:id="rId20" w:type="default"/>
          <w:pgSz w:w="11906" w:h="16839"/>
          <w:pgMar w:top="1431" w:right="1785" w:bottom="1156" w:left="1785" w:header="0" w:footer="994" w:gutter="0"/>
          <w:pgNumType w:fmt="decimal"/>
          <w:cols w:space="720" w:num="1"/>
        </w:sectPr>
      </w:pPr>
      <w:r>
        <w:rPr>
          <w:rFonts w:hint="eastAsia" w:ascii="仿宋" w:hAnsi="仿宋" w:eastAsia="仿宋" w:cs="仿宋"/>
          <w:snapToGrid w:val="0"/>
          <w:color w:val="auto"/>
          <w:sz w:val="21"/>
          <w:szCs w:val="21"/>
          <w:highlight w:val="none"/>
          <w:lang w:val="en-US" w:eastAsia="zh-CN"/>
        </w:rPr>
        <w:t>表格不够可自行添加</w:t>
      </w:r>
    </w:p>
    <w:p w14:paraId="7AFF05D0">
      <w:pPr>
        <w:spacing w:before="65" w:line="428" w:lineRule="auto"/>
        <w:ind w:left="25" w:right="15" w:firstLine="419"/>
        <w:rPr>
          <w:rFonts w:ascii="宋体" w:hAnsi="宋体" w:eastAsia="宋体" w:cs="宋体"/>
          <w:b/>
          <w:bCs/>
          <w:spacing w:val="10"/>
          <w:sz w:val="20"/>
          <w:szCs w:val="20"/>
        </w:rPr>
      </w:pPr>
      <w:r>
        <w:rPr>
          <w:rFonts w:ascii="宋体" w:hAnsi="宋体" w:eastAsia="宋体" w:cs="宋体"/>
          <w:b/>
          <w:bCs/>
          <w:spacing w:val="10"/>
          <w:sz w:val="20"/>
          <w:szCs w:val="20"/>
        </w:rPr>
        <w:t>说明：</w:t>
      </w:r>
    </w:p>
    <w:p w14:paraId="0E1C351B">
      <w:pPr>
        <w:spacing w:before="65" w:line="428" w:lineRule="auto"/>
        <w:ind w:left="25" w:right="15" w:firstLine="419"/>
        <w:rPr>
          <w:rFonts w:ascii="宋体" w:hAnsi="宋体" w:eastAsia="宋体" w:cs="宋体"/>
          <w:sz w:val="20"/>
          <w:szCs w:val="20"/>
        </w:rPr>
      </w:pPr>
      <w:r>
        <w:rPr>
          <w:rFonts w:ascii="宋体" w:hAnsi="宋体" w:eastAsia="宋体" w:cs="宋体"/>
          <w:b/>
          <w:bCs/>
          <w:spacing w:val="10"/>
          <w:sz w:val="20"/>
          <w:szCs w:val="20"/>
        </w:rPr>
        <w:t>1、人员工资不得低于服务所在地的最低工资标准,人员社保金缴纳基数不得低</w:t>
      </w:r>
      <w:r>
        <w:rPr>
          <w:rFonts w:ascii="宋体" w:hAnsi="宋体" w:eastAsia="宋体" w:cs="宋体"/>
          <w:b/>
          <w:bCs/>
          <w:spacing w:val="7"/>
          <w:sz w:val="20"/>
          <w:szCs w:val="20"/>
        </w:rPr>
        <w:t>于服务所在地社保金缴纳基数</w:t>
      </w:r>
    </w:p>
    <w:p w14:paraId="67E9A269">
      <w:pPr>
        <w:spacing w:before="31" w:line="228" w:lineRule="auto"/>
        <w:ind w:right="15"/>
        <w:jc w:val="right"/>
        <w:rPr>
          <w:rFonts w:ascii="宋体" w:hAnsi="宋体" w:eastAsia="宋体" w:cs="宋体"/>
          <w:sz w:val="20"/>
          <w:szCs w:val="20"/>
        </w:rPr>
      </w:pPr>
      <w:r>
        <w:rPr>
          <w:rFonts w:ascii="宋体" w:hAnsi="宋体" w:eastAsia="宋体" w:cs="宋体"/>
          <w:b/>
          <w:bCs/>
          <w:spacing w:val="6"/>
          <w:sz w:val="20"/>
          <w:szCs w:val="20"/>
        </w:rPr>
        <w:t>2、投标人如实填写表格，无相应内容可填的，填写“无</w:t>
      </w:r>
      <w:r>
        <w:rPr>
          <w:rFonts w:ascii="宋体" w:hAnsi="宋体" w:eastAsia="宋体" w:cs="宋体"/>
          <w:spacing w:val="-63"/>
          <w:sz w:val="20"/>
          <w:szCs w:val="20"/>
        </w:rPr>
        <w:t xml:space="preserve"> </w:t>
      </w:r>
      <w:r>
        <w:rPr>
          <w:rFonts w:ascii="宋体" w:hAnsi="宋体" w:eastAsia="宋体" w:cs="宋体"/>
          <w:b/>
          <w:bCs/>
          <w:spacing w:val="6"/>
          <w:sz w:val="20"/>
          <w:szCs w:val="20"/>
        </w:rPr>
        <w:t>”、“未测试</w:t>
      </w:r>
      <w:r>
        <w:rPr>
          <w:rFonts w:ascii="宋体" w:hAnsi="宋体" w:eastAsia="宋体" w:cs="宋体"/>
          <w:spacing w:val="-73"/>
          <w:sz w:val="20"/>
          <w:szCs w:val="20"/>
        </w:rPr>
        <w:t xml:space="preserve"> </w:t>
      </w:r>
      <w:r>
        <w:rPr>
          <w:rFonts w:ascii="宋体" w:hAnsi="宋体" w:eastAsia="宋体" w:cs="宋体"/>
          <w:b/>
          <w:bCs/>
          <w:spacing w:val="6"/>
          <w:sz w:val="20"/>
          <w:szCs w:val="20"/>
        </w:rPr>
        <w:t>”、“没有相应</w:t>
      </w:r>
    </w:p>
    <w:p w14:paraId="527482E9">
      <w:pPr>
        <w:spacing w:before="233" w:line="228" w:lineRule="auto"/>
        <w:ind w:left="24"/>
        <w:rPr>
          <w:rFonts w:ascii="宋体" w:hAnsi="宋体" w:eastAsia="宋体" w:cs="宋体"/>
          <w:sz w:val="20"/>
          <w:szCs w:val="20"/>
        </w:rPr>
      </w:pPr>
      <w:r>
        <w:rPr>
          <w:rFonts w:ascii="宋体" w:hAnsi="宋体" w:eastAsia="宋体" w:cs="宋体"/>
          <w:b/>
          <w:bCs/>
          <w:spacing w:val="4"/>
          <w:sz w:val="20"/>
          <w:szCs w:val="20"/>
        </w:rPr>
        <w:t>指标</w:t>
      </w:r>
      <w:r>
        <w:rPr>
          <w:rFonts w:ascii="宋体" w:hAnsi="宋体" w:eastAsia="宋体" w:cs="宋体"/>
          <w:spacing w:val="-63"/>
          <w:sz w:val="20"/>
          <w:szCs w:val="20"/>
        </w:rPr>
        <w:t xml:space="preserve"> </w:t>
      </w:r>
      <w:r>
        <w:rPr>
          <w:rFonts w:ascii="宋体" w:hAnsi="宋体" w:eastAsia="宋体" w:cs="宋体"/>
          <w:b/>
          <w:bCs/>
          <w:spacing w:val="4"/>
          <w:sz w:val="20"/>
          <w:szCs w:val="20"/>
        </w:rPr>
        <w:t>”等明确的回答文字，或用“/</w:t>
      </w:r>
      <w:r>
        <w:rPr>
          <w:rFonts w:ascii="宋体" w:hAnsi="宋体" w:eastAsia="宋体" w:cs="宋体"/>
          <w:spacing w:val="-68"/>
          <w:sz w:val="20"/>
          <w:szCs w:val="20"/>
        </w:rPr>
        <w:t xml:space="preserve"> </w:t>
      </w:r>
      <w:r>
        <w:rPr>
          <w:rFonts w:ascii="宋体" w:hAnsi="宋体" w:eastAsia="宋体" w:cs="宋体"/>
          <w:b/>
          <w:bCs/>
          <w:spacing w:val="4"/>
          <w:sz w:val="20"/>
          <w:szCs w:val="20"/>
        </w:rPr>
        <w:t>”来表示。</w:t>
      </w:r>
    </w:p>
    <w:p w14:paraId="19EF7450">
      <w:pPr>
        <w:spacing w:line="480" w:lineRule="exact"/>
        <w:rPr>
          <w:rFonts w:hint="eastAsia" w:ascii="仿宋" w:hAnsi="仿宋" w:eastAsia="仿宋" w:cs="仿宋"/>
          <w:color w:val="auto"/>
          <w:sz w:val="21"/>
          <w:szCs w:val="21"/>
          <w:highlight w:val="none"/>
        </w:rPr>
      </w:pPr>
    </w:p>
    <w:p w14:paraId="6AB340B3">
      <w:pPr>
        <w:spacing w:line="480" w:lineRule="exact"/>
        <w:rPr>
          <w:rFonts w:hint="eastAsia" w:ascii="仿宋" w:hAnsi="仿宋" w:eastAsia="仿宋" w:cs="仿宋"/>
          <w:color w:val="auto"/>
          <w:sz w:val="21"/>
          <w:szCs w:val="21"/>
          <w:highlight w:val="none"/>
        </w:rPr>
      </w:pPr>
    </w:p>
    <w:p w14:paraId="2A6A2107">
      <w:pPr>
        <w:snapToGrid w:val="0"/>
        <w:spacing w:line="600" w:lineRule="exact"/>
        <w:ind w:firstLine="3780" w:firstLineChars="18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14:paraId="1162BB73">
      <w:pPr>
        <w:snapToGrid w:val="0"/>
        <w:spacing w:line="360" w:lineRule="auto"/>
        <w:ind w:firstLine="1890" w:firstLineChars="9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投标人名称：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（法人电子签章）  </w:t>
      </w:r>
    </w:p>
    <w:p w14:paraId="180295DF">
      <w:pPr>
        <w:spacing w:line="360" w:lineRule="auto"/>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 xml:space="preserve">                                        年  月  日</w:t>
      </w:r>
    </w:p>
    <w:p w14:paraId="345EE2ED">
      <w:pPr>
        <w:pStyle w:val="11"/>
        <w:rPr>
          <w:rFonts w:hint="eastAsia" w:ascii="仿宋" w:hAnsi="仿宋" w:eastAsia="仿宋" w:cs="仿宋"/>
          <w:color w:val="auto"/>
          <w:sz w:val="21"/>
          <w:szCs w:val="21"/>
          <w:highlight w:val="none"/>
        </w:rPr>
        <w:sectPr>
          <w:pgSz w:w="11906" w:h="16838"/>
          <w:pgMar w:top="1440" w:right="1800" w:bottom="1440" w:left="1800" w:header="851" w:footer="992" w:gutter="0"/>
          <w:pgNumType w:fmt="decimal"/>
          <w:cols w:space="425" w:num="1"/>
          <w:docGrid w:type="lines" w:linePitch="312" w:charSpace="0"/>
        </w:sectPr>
      </w:pPr>
    </w:p>
    <w:p w14:paraId="4CE3B735">
      <w:pPr>
        <w:spacing w:line="460" w:lineRule="exact"/>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2、近二年以来同类项目合同业绩统计表</w:t>
      </w:r>
    </w:p>
    <w:p w14:paraId="7754058B">
      <w:pPr>
        <w:spacing w:line="4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u w:val="single"/>
        </w:rPr>
        <w:t xml:space="preserve">                                       </w:t>
      </w:r>
    </w:p>
    <w:p w14:paraId="0A4B03D6">
      <w:pPr>
        <w:spacing w:line="4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项目编号：</w:t>
      </w:r>
      <w:r>
        <w:rPr>
          <w:rFonts w:hint="eastAsia" w:ascii="仿宋" w:hAnsi="仿宋" w:eastAsia="仿宋" w:cs="仿宋"/>
          <w:color w:val="auto"/>
          <w:sz w:val="21"/>
          <w:szCs w:val="21"/>
          <w:highlight w:val="none"/>
          <w:u w:val="single"/>
        </w:rPr>
        <w:t xml:space="preserve">                                       </w:t>
      </w:r>
    </w:p>
    <w:p w14:paraId="2149C71E">
      <w:pPr>
        <w:pStyle w:val="38"/>
        <w:ind w:left="0" w:leftChars="0" w:firstLine="0" w:firstLineChars="0"/>
        <w:rPr>
          <w:rFonts w:hint="eastAsia" w:ascii="仿宋" w:hAnsi="仿宋" w:eastAsia="仿宋" w:cs="仿宋"/>
          <w:color w:val="auto"/>
          <w:sz w:val="21"/>
          <w:szCs w:val="21"/>
          <w:highlight w:val="none"/>
          <w:u w:val="singl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281"/>
        <w:gridCol w:w="1355"/>
        <w:gridCol w:w="1431"/>
        <w:gridCol w:w="1610"/>
        <w:gridCol w:w="839"/>
      </w:tblGrid>
      <w:tr w14:paraId="424B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5A3360A3">
            <w:pPr>
              <w:spacing w:line="4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使用单位</w:t>
            </w:r>
          </w:p>
        </w:tc>
        <w:tc>
          <w:tcPr>
            <w:tcW w:w="2281" w:type="dxa"/>
            <w:noWrap w:val="0"/>
            <w:vAlign w:val="top"/>
          </w:tcPr>
          <w:p w14:paraId="1791DEBE">
            <w:pPr>
              <w:spacing w:line="4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项目</w:t>
            </w:r>
            <w:r>
              <w:rPr>
                <w:rFonts w:hint="eastAsia" w:ascii="仿宋" w:hAnsi="仿宋" w:eastAsia="仿宋" w:cs="仿宋"/>
                <w:color w:val="auto"/>
                <w:sz w:val="21"/>
                <w:szCs w:val="21"/>
                <w:highlight w:val="none"/>
              </w:rPr>
              <w:t>名称</w:t>
            </w:r>
          </w:p>
        </w:tc>
        <w:tc>
          <w:tcPr>
            <w:tcW w:w="1355" w:type="dxa"/>
            <w:noWrap w:val="0"/>
            <w:vAlign w:val="top"/>
          </w:tcPr>
          <w:p w14:paraId="595F3231">
            <w:pPr>
              <w:spacing w:line="4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合同金额</w:t>
            </w:r>
          </w:p>
        </w:tc>
        <w:tc>
          <w:tcPr>
            <w:tcW w:w="1431" w:type="dxa"/>
            <w:noWrap w:val="0"/>
            <w:vAlign w:val="top"/>
          </w:tcPr>
          <w:p w14:paraId="68BBCF12">
            <w:pPr>
              <w:spacing w:line="4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p>
        </w:tc>
        <w:tc>
          <w:tcPr>
            <w:tcW w:w="1610" w:type="dxa"/>
            <w:noWrap w:val="0"/>
            <w:vAlign w:val="top"/>
          </w:tcPr>
          <w:p w14:paraId="0D386299">
            <w:pPr>
              <w:spacing w:line="4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tc>
        <w:tc>
          <w:tcPr>
            <w:tcW w:w="839" w:type="dxa"/>
            <w:noWrap w:val="0"/>
            <w:vAlign w:val="top"/>
          </w:tcPr>
          <w:p w14:paraId="115E36A1">
            <w:pPr>
              <w:spacing w:line="4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14:paraId="3C5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137C09C8">
            <w:pPr>
              <w:spacing w:line="480" w:lineRule="exact"/>
              <w:rPr>
                <w:rFonts w:hint="eastAsia" w:ascii="仿宋" w:hAnsi="仿宋" w:eastAsia="仿宋" w:cs="仿宋"/>
                <w:color w:val="auto"/>
                <w:sz w:val="21"/>
                <w:szCs w:val="21"/>
                <w:highlight w:val="none"/>
              </w:rPr>
            </w:pPr>
          </w:p>
        </w:tc>
        <w:tc>
          <w:tcPr>
            <w:tcW w:w="2281" w:type="dxa"/>
            <w:noWrap w:val="0"/>
            <w:vAlign w:val="top"/>
          </w:tcPr>
          <w:p w14:paraId="54D52946">
            <w:pPr>
              <w:spacing w:line="480" w:lineRule="exact"/>
              <w:rPr>
                <w:rFonts w:hint="eastAsia" w:ascii="仿宋" w:hAnsi="仿宋" w:eastAsia="仿宋" w:cs="仿宋"/>
                <w:color w:val="auto"/>
                <w:sz w:val="21"/>
                <w:szCs w:val="21"/>
                <w:highlight w:val="none"/>
              </w:rPr>
            </w:pPr>
          </w:p>
        </w:tc>
        <w:tc>
          <w:tcPr>
            <w:tcW w:w="1355" w:type="dxa"/>
            <w:noWrap w:val="0"/>
            <w:vAlign w:val="top"/>
          </w:tcPr>
          <w:p w14:paraId="7E6FEE6F">
            <w:pPr>
              <w:spacing w:line="480" w:lineRule="exact"/>
              <w:rPr>
                <w:rFonts w:hint="eastAsia" w:ascii="仿宋" w:hAnsi="仿宋" w:eastAsia="仿宋" w:cs="仿宋"/>
                <w:color w:val="auto"/>
                <w:sz w:val="21"/>
                <w:szCs w:val="21"/>
                <w:highlight w:val="none"/>
              </w:rPr>
            </w:pPr>
          </w:p>
        </w:tc>
        <w:tc>
          <w:tcPr>
            <w:tcW w:w="1431" w:type="dxa"/>
            <w:noWrap w:val="0"/>
            <w:vAlign w:val="top"/>
          </w:tcPr>
          <w:p w14:paraId="1115BB4E">
            <w:pPr>
              <w:spacing w:line="480" w:lineRule="exact"/>
              <w:rPr>
                <w:rFonts w:hint="eastAsia" w:ascii="仿宋" w:hAnsi="仿宋" w:eastAsia="仿宋" w:cs="仿宋"/>
                <w:color w:val="auto"/>
                <w:sz w:val="21"/>
                <w:szCs w:val="21"/>
                <w:highlight w:val="none"/>
              </w:rPr>
            </w:pPr>
          </w:p>
        </w:tc>
        <w:tc>
          <w:tcPr>
            <w:tcW w:w="1610" w:type="dxa"/>
            <w:noWrap w:val="0"/>
            <w:vAlign w:val="top"/>
          </w:tcPr>
          <w:p w14:paraId="5AB75531">
            <w:pPr>
              <w:spacing w:line="480" w:lineRule="exact"/>
              <w:rPr>
                <w:rFonts w:hint="eastAsia" w:ascii="仿宋" w:hAnsi="仿宋" w:eastAsia="仿宋" w:cs="仿宋"/>
                <w:color w:val="auto"/>
                <w:sz w:val="21"/>
                <w:szCs w:val="21"/>
                <w:highlight w:val="none"/>
              </w:rPr>
            </w:pPr>
          </w:p>
        </w:tc>
        <w:tc>
          <w:tcPr>
            <w:tcW w:w="839" w:type="dxa"/>
            <w:noWrap w:val="0"/>
            <w:vAlign w:val="top"/>
          </w:tcPr>
          <w:p w14:paraId="5ACFD6F3">
            <w:pPr>
              <w:spacing w:line="480" w:lineRule="exact"/>
              <w:rPr>
                <w:rFonts w:hint="eastAsia" w:ascii="仿宋" w:hAnsi="仿宋" w:eastAsia="仿宋" w:cs="仿宋"/>
                <w:color w:val="auto"/>
                <w:sz w:val="21"/>
                <w:szCs w:val="21"/>
                <w:highlight w:val="none"/>
              </w:rPr>
            </w:pPr>
          </w:p>
        </w:tc>
      </w:tr>
      <w:tr w14:paraId="4A4B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1AADD7AE">
            <w:pPr>
              <w:spacing w:line="480" w:lineRule="exact"/>
              <w:rPr>
                <w:rFonts w:hint="eastAsia" w:ascii="仿宋" w:hAnsi="仿宋" w:eastAsia="仿宋" w:cs="仿宋"/>
                <w:color w:val="auto"/>
                <w:sz w:val="21"/>
                <w:szCs w:val="21"/>
                <w:highlight w:val="none"/>
              </w:rPr>
            </w:pPr>
          </w:p>
        </w:tc>
        <w:tc>
          <w:tcPr>
            <w:tcW w:w="2281" w:type="dxa"/>
            <w:noWrap w:val="0"/>
            <w:vAlign w:val="top"/>
          </w:tcPr>
          <w:p w14:paraId="2D2B9E04">
            <w:pPr>
              <w:spacing w:line="480" w:lineRule="exact"/>
              <w:rPr>
                <w:rFonts w:hint="eastAsia" w:ascii="仿宋" w:hAnsi="仿宋" w:eastAsia="仿宋" w:cs="仿宋"/>
                <w:color w:val="auto"/>
                <w:sz w:val="21"/>
                <w:szCs w:val="21"/>
                <w:highlight w:val="none"/>
              </w:rPr>
            </w:pPr>
          </w:p>
        </w:tc>
        <w:tc>
          <w:tcPr>
            <w:tcW w:w="1355" w:type="dxa"/>
            <w:noWrap w:val="0"/>
            <w:vAlign w:val="top"/>
          </w:tcPr>
          <w:p w14:paraId="4686E2FF">
            <w:pPr>
              <w:spacing w:line="480" w:lineRule="exact"/>
              <w:rPr>
                <w:rFonts w:hint="eastAsia" w:ascii="仿宋" w:hAnsi="仿宋" w:eastAsia="仿宋" w:cs="仿宋"/>
                <w:color w:val="auto"/>
                <w:sz w:val="21"/>
                <w:szCs w:val="21"/>
                <w:highlight w:val="none"/>
              </w:rPr>
            </w:pPr>
          </w:p>
        </w:tc>
        <w:tc>
          <w:tcPr>
            <w:tcW w:w="1431" w:type="dxa"/>
            <w:noWrap w:val="0"/>
            <w:vAlign w:val="top"/>
          </w:tcPr>
          <w:p w14:paraId="0DD75BA8">
            <w:pPr>
              <w:spacing w:line="480" w:lineRule="exact"/>
              <w:rPr>
                <w:rFonts w:hint="eastAsia" w:ascii="仿宋" w:hAnsi="仿宋" w:eastAsia="仿宋" w:cs="仿宋"/>
                <w:color w:val="auto"/>
                <w:sz w:val="21"/>
                <w:szCs w:val="21"/>
                <w:highlight w:val="none"/>
              </w:rPr>
            </w:pPr>
          </w:p>
        </w:tc>
        <w:tc>
          <w:tcPr>
            <w:tcW w:w="1610" w:type="dxa"/>
            <w:noWrap w:val="0"/>
            <w:vAlign w:val="top"/>
          </w:tcPr>
          <w:p w14:paraId="6F07BA4D">
            <w:pPr>
              <w:spacing w:line="480" w:lineRule="exact"/>
              <w:rPr>
                <w:rFonts w:hint="eastAsia" w:ascii="仿宋" w:hAnsi="仿宋" w:eastAsia="仿宋" w:cs="仿宋"/>
                <w:color w:val="auto"/>
                <w:sz w:val="21"/>
                <w:szCs w:val="21"/>
                <w:highlight w:val="none"/>
              </w:rPr>
            </w:pPr>
          </w:p>
        </w:tc>
        <w:tc>
          <w:tcPr>
            <w:tcW w:w="839" w:type="dxa"/>
            <w:noWrap w:val="0"/>
            <w:vAlign w:val="top"/>
          </w:tcPr>
          <w:p w14:paraId="1A41EDDD">
            <w:pPr>
              <w:spacing w:line="480" w:lineRule="exact"/>
              <w:rPr>
                <w:rFonts w:hint="eastAsia" w:ascii="仿宋" w:hAnsi="仿宋" w:eastAsia="仿宋" w:cs="仿宋"/>
                <w:color w:val="auto"/>
                <w:sz w:val="21"/>
                <w:szCs w:val="21"/>
                <w:highlight w:val="none"/>
              </w:rPr>
            </w:pPr>
          </w:p>
        </w:tc>
      </w:tr>
      <w:tr w14:paraId="414A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noWrap w:val="0"/>
            <w:vAlign w:val="top"/>
          </w:tcPr>
          <w:p w14:paraId="2CC8C0B0">
            <w:pPr>
              <w:spacing w:line="480" w:lineRule="exact"/>
              <w:rPr>
                <w:rFonts w:hint="eastAsia" w:ascii="仿宋" w:hAnsi="仿宋" w:eastAsia="仿宋" w:cs="仿宋"/>
                <w:color w:val="auto"/>
                <w:sz w:val="21"/>
                <w:szCs w:val="21"/>
                <w:highlight w:val="none"/>
              </w:rPr>
            </w:pPr>
          </w:p>
        </w:tc>
        <w:tc>
          <w:tcPr>
            <w:tcW w:w="2281" w:type="dxa"/>
            <w:noWrap w:val="0"/>
            <w:vAlign w:val="top"/>
          </w:tcPr>
          <w:p w14:paraId="39706D88">
            <w:pPr>
              <w:spacing w:line="480" w:lineRule="exact"/>
              <w:rPr>
                <w:rFonts w:hint="eastAsia" w:ascii="仿宋" w:hAnsi="仿宋" w:eastAsia="仿宋" w:cs="仿宋"/>
                <w:color w:val="auto"/>
                <w:sz w:val="21"/>
                <w:szCs w:val="21"/>
                <w:highlight w:val="none"/>
              </w:rPr>
            </w:pPr>
          </w:p>
        </w:tc>
        <w:tc>
          <w:tcPr>
            <w:tcW w:w="1355" w:type="dxa"/>
            <w:noWrap w:val="0"/>
            <w:vAlign w:val="top"/>
          </w:tcPr>
          <w:p w14:paraId="4B4E2032">
            <w:pPr>
              <w:spacing w:line="480" w:lineRule="exact"/>
              <w:rPr>
                <w:rFonts w:hint="eastAsia" w:ascii="仿宋" w:hAnsi="仿宋" w:eastAsia="仿宋" w:cs="仿宋"/>
                <w:color w:val="auto"/>
                <w:sz w:val="21"/>
                <w:szCs w:val="21"/>
                <w:highlight w:val="none"/>
              </w:rPr>
            </w:pPr>
          </w:p>
        </w:tc>
        <w:tc>
          <w:tcPr>
            <w:tcW w:w="1431" w:type="dxa"/>
            <w:noWrap w:val="0"/>
            <w:vAlign w:val="top"/>
          </w:tcPr>
          <w:p w14:paraId="7AB83121">
            <w:pPr>
              <w:spacing w:line="480" w:lineRule="exact"/>
              <w:rPr>
                <w:rFonts w:hint="eastAsia" w:ascii="仿宋" w:hAnsi="仿宋" w:eastAsia="仿宋" w:cs="仿宋"/>
                <w:color w:val="auto"/>
                <w:sz w:val="21"/>
                <w:szCs w:val="21"/>
                <w:highlight w:val="none"/>
              </w:rPr>
            </w:pPr>
          </w:p>
        </w:tc>
        <w:tc>
          <w:tcPr>
            <w:tcW w:w="1610" w:type="dxa"/>
            <w:noWrap w:val="0"/>
            <w:vAlign w:val="top"/>
          </w:tcPr>
          <w:p w14:paraId="7D59B702">
            <w:pPr>
              <w:spacing w:line="480" w:lineRule="exact"/>
              <w:rPr>
                <w:rFonts w:hint="eastAsia" w:ascii="仿宋" w:hAnsi="仿宋" w:eastAsia="仿宋" w:cs="仿宋"/>
                <w:color w:val="auto"/>
                <w:sz w:val="21"/>
                <w:szCs w:val="21"/>
                <w:highlight w:val="none"/>
              </w:rPr>
            </w:pPr>
          </w:p>
        </w:tc>
        <w:tc>
          <w:tcPr>
            <w:tcW w:w="839" w:type="dxa"/>
            <w:noWrap w:val="0"/>
            <w:vAlign w:val="top"/>
          </w:tcPr>
          <w:p w14:paraId="41C66BE2">
            <w:pPr>
              <w:spacing w:line="480" w:lineRule="exact"/>
              <w:rPr>
                <w:rFonts w:hint="eastAsia" w:ascii="仿宋" w:hAnsi="仿宋" w:eastAsia="仿宋" w:cs="仿宋"/>
                <w:color w:val="auto"/>
                <w:sz w:val="21"/>
                <w:szCs w:val="21"/>
                <w:highlight w:val="none"/>
              </w:rPr>
            </w:pPr>
          </w:p>
        </w:tc>
      </w:tr>
      <w:tr w14:paraId="0D50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noWrap w:val="0"/>
            <w:vAlign w:val="top"/>
          </w:tcPr>
          <w:p w14:paraId="6376708F">
            <w:pPr>
              <w:spacing w:line="480" w:lineRule="exact"/>
              <w:rPr>
                <w:rFonts w:hint="eastAsia" w:ascii="仿宋" w:hAnsi="仿宋" w:eastAsia="仿宋" w:cs="仿宋"/>
                <w:color w:val="auto"/>
                <w:sz w:val="21"/>
                <w:szCs w:val="21"/>
                <w:highlight w:val="none"/>
              </w:rPr>
            </w:pPr>
          </w:p>
        </w:tc>
        <w:tc>
          <w:tcPr>
            <w:tcW w:w="2281" w:type="dxa"/>
            <w:noWrap w:val="0"/>
            <w:vAlign w:val="top"/>
          </w:tcPr>
          <w:p w14:paraId="66C905A6">
            <w:pPr>
              <w:spacing w:line="480" w:lineRule="exact"/>
              <w:rPr>
                <w:rFonts w:hint="eastAsia" w:ascii="仿宋" w:hAnsi="仿宋" w:eastAsia="仿宋" w:cs="仿宋"/>
                <w:color w:val="auto"/>
                <w:sz w:val="21"/>
                <w:szCs w:val="21"/>
                <w:highlight w:val="none"/>
              </w:rPr>
            </w:pPr>
          </w:p>
        </w:tc>
        <w:tc>
          <w:tcPr>
            <w:tcW w:w="1355" w:type="dxa"/>
            <w:noWrap w:val="0"/>
            <w:vAlign w:val="top"/>
          </w:tcPr>
          <w:p w14:paraId="776A9A58">
            <w:pPr>
              <w:spacing w:line="480" w:lineRule="exact"/>
              <w:rPr>
                <w:rFonts w:hint="eastAsia" w:ascii="仿宋" w:hAnsi="仿宋" w:eastAsia="仿宋" w:cs="仿宋"/>
                <w:color w:val="auto"/>
                <w:sz w:val="21"/>
                <w:szCs w:val="21"/>
                <w:highlight w:val="none"/>
              </w:rPr>
            </w:pPr>
          </w:p>
        </w:tc>
        <w:tc>
          <w:tcPr>
            <w:tcW w:w="1431" w:type="dxa"/>
            <w:noWrap w:val="0"/>
            <w:vAlign w:val="top"/>
          </w:tcPr>
          <w:p w14:paraId="035694B7">
            <w:pPr>
              <w:spacing w:line="480" w:lineRule="exact"/>
              <w:rPr>
                <w:rFonts w:hint="eastAsia" w:ascii="仿宋" w:hAnsi="仿宋" w:eastAsia="仿宋" w:cs="仿宋"/>
                <w:color w:val="auto"/>
                <w:sz w:val="21"/>
                <w:szCs w:val="21"/>
                <w:highlight w:val="none"/>
              </w:rPr>
            </w:pPr>
          </w:p>
        </w:tc>
        <w:tc>
          <w:tcPr>
            <w:tcW w:w="1610" w:type="dxa"/>
            <w:noWrap w:val="0"/>
            <w:vAlign w:val="top"/>
          </w:tcPr>
          <w:p w14:paraId="0A0FA5D4">
            <w:pPr>
              <w:spacing w:line="480" w:lineRule="exact"/>
              <w:rPr>
                <w:rFonts w:hint="eastAsia" w:ascii="仿宋" w:hAnsi="仿宋" w:eastAsia="仿宋" w:cs="仿宋"/>
                <w:color w:val="auto"/>
                <w:sz w:val="21"/>
                <w:szCs w:val="21"/>
                <w:highlight w:val="none"/>
              </w:rPr>
            </w:pPr>
          </w:p>
        </w:tc>
        <w:tc>
          <w:tcPr>
            <w:tcW w:w="839" w:type="dxa"/>
            <w:noWrap w:val="0"/>
            <w:vAlign w:val="top"/>
          </w:tcPr>
          <w:p w14:paraId="737C87D6">
            <w:pPr>
              <w:spacing w:line="480" w:lineRule="exact"/>
              <w:rPr>
                <w:rFonts w:hint="eastAsia" w:ascii="仿宋" w:hAnsi="仿宋" w:eastAsia="仿宋" w:cs="仿宋"/>
                <w:color w:val="auto"/>
                <w:sz w:val="21"/>
                <w:szCs w:val="21"/>
                <w:highlight w:val="none"/>
              </w:rPr>
            </w:pPr>
          </w:p>
        </w:tc>
      </w:tr>
      <w:tr w14:paraId="4F5A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noWrap w:val="0"/>
            <w:vAlign w:val="top"/>
          </w:tcPr>
          <w:p w14:paraId="33A5DF41">
            <w:pPr>
              <w:spacing w:line="480" w:lineRule="exact"/>
              <w:rPr>
                <w:rFonts w:hint="eastAsia" w:ascii="仿宋" w:hAnsi="仿宋" w:eastAsia="仿宋" w:cs="仿宋"/>
                <w:color w:val="auto"/>
                <w:sz w:val="21"/>
                <w:szCs w:val="21"/>
                <w:highlight w:val="none"/>
              </w:rPr>
            </w:pPr>
          </w:p>
        </w:tc>
        <w:tc>
          <w:tcPr>
            <w:tcW w:w="2281" w:type="dxa"/>
            <w:noWrap w:val="0"/>
            <w:vAlign w:val="top"/>
          </w:tcPr>
          <w:p w14:paraId="69D094B0">
            <w:pPr>
              <w:spacing w:line="480" w:lineRule="exact"/>
              <w:rPr>
                <w:rFonts w:hint="eastAsia" w:ascii="仿宋" w:hAnsi="仿宋" w:eastAsia="仿宋" w:cs="仿宋"/>
                <w:color w:val="auto"/>
                <w:sz w:val="21"/>
                <w:szCs w:val="21"/>
                <w:highlight w:val="none"/>
              </w:rPr>
            </w:pPr>
          </w:p>
        </w:tc>
        <w:tc>
          <w:tcPr>
            <w:tcW w:w="1355" w:type="dxa"/>
            <w:noWrap w:val="0"/>
            <w:vAlign w:val="top"/>
          </w:tcPr>
          <w:p w14:paraId="6413CF99">
            <w:pPr>
              <w:spacing w:line="480" w:lineRule="exact"/>
              <w:rPr>
                <w:rFonts w:hint="eastAsia" w:ascii="仿宋" w:hAnsi="仿宋" w:eastAsia="仿宋" w:cs="仿宋"/>
                <w:color w:val="auto"/>
                <w:sz w:val="21"/>
                <w:szCs w:val="21"/>
                <w:highlight w:val="none"/>
              </w:rPr>
            </w:pPr>
          </w:p>
        </w:tc>
        <w:tc>
          <w:tcPr>
            <w:tcW w:w="1431" w:type="dxa"/>
            <w:noWrap w:val="0"/>
            <w:vAlign w:val="top"/>
          </w:tcPr>
          <w:p w14:paraId="7836EA22">
            <w:pPr>
              <w:spacing w:line="480" w:lineRule="exact"/>
              <w:rPr>
                <w:rFonts w:hint="eastAsia" w:ascii="仿宋" w:hAnsi="仿宋" w:eastAsia="仿宋" w:cs="仿宋"/>
                <w:color w:val="auto"/>
                <w:sz w:val="21"/>
                <w:szCs w:val="21"/>
                <w:highlight w:val="none"/>
              </w:rPr>
            </w:pPr>
          </w:p>
        </w:tc>
        <w:tc>
          <w:tcPr>
            <w:tcW w:w="1610" w:type="dxa"/>
            <w:noWrap w:val="0"/>
            <w:vAlign w:val="top"/>
          </w:tcPr>
          <w:p w14:paraId="67D5B2B2">
            <w:pPr>
              <w:spacing w:line="480" w:lineRule="exact"/>
              <w:rPr>
                <w:rFonts w:hint="eastAsia" w:ascii="仿宋" w:hAnsi="仿宋" w:eastAsia="仿宋" w:cs="仿宋"/>
                <w:color w:val="auto"/>
                <w:sz w:val="21"/>
                <w:szCs w:val="21"/>
                <w:highlight w:val="none"/>
              </w:rPr>
            </w:pPr>
          </w:p>
        </w:tc>
        <w:tc>
          <w:tcPr>
            <w:tcW w:w="839" w:type="dxa"/>
            <w:noWrap w:val="0"/>
            <w:vAlign w:val="top"/>
          </w:tcPr>
          <w:p w14:paraId="7C944558">
            <w:pPr>
              <w:spacing w:line="480" w:lineRule="exact"/>
              <w:rPr>
                <w:rFonts w:hint="eastAsia" w:ascii="仿宋" w:hAnsi="仿宋" w:eastAsia="仿宋" w:cs="仿宋"/>
                <w:color w:val="auto"/>
                <w:sz w:val="21"/>
                <w:szCs w:val="21"/>
                <w:highlight w:val="none"/>
              </w:rPr>
            </w:pPr>
          </w:p>
        </w:tc>
      </w:tr>
      <w:tr w14:paraId="5C0E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noWrap w:val="0"/>
            <w:vAlign w:val="top"/>
          </w:tcPr>
          <w:p w14:paraId="2083079A">
            <w:pPr>
              <w:spacing w:line="480" w:lineRule="exact"/>
              <w:rPr>
                <w:rFonts w:hint="eastAsia" w:ascii="仿宋" w:hAnsi="仿宋" w:eastAsia="仿宋" w:cs="仿宋"/>
                <w:color w:val="auto"/>
                <w:sz w:val="21"/>
                <w:szCs w:val="21"/>
                <w:highlight w:val="none"/>
              </w:rPr>
            </w:pPr>
          </w:p>
        </w:tc>
        <w:tc>
          <w:tcPr>
            <w:tcW w:w="2281" w:type="dxa"/>
            <w:noWrap w:val="0"/>
            <w:vAlign w:val="top"/>
          </w:tcPr>
          <w:p w14:paraId="7AA6B6EA">
            <w:pPr>
              <w:spacing w:line="480" w:lineRule="exact"/>
              <w:rPr>
                <w:rFonts w:hint="eastAsia" w:ascii="仿宋" w:hAnsi="仿宋" w:eastAsia="仿宋" w:cs="仿宋"/>
                <w:color w:val="auto"/>
                <w:sz w:val="21"/>
                <w:szCs w:val="21"/>
                <w:highlight w:val="none"/>
              </w:rPr>
            </w:pPr>
          </w:p>
        </w:tc>
        <w:tc>
          <w:tcPr>
            <w:tcW w:w="1355" w:type="dxa"/>
            <w:noWrap w:val="0"/>
            <w:vAlign w:val="top"/>
          </w:tcPr>
          <w:p w14:paraId="02567D72">
            <w:pPr>
              <w:spacing w:line="480" w:lineRule="exact"/>
              <w:rPr>
                <w:rFonts w:hint="eastAsia" w:ascii="仿宋" w:hAnsi="仿宋" w:eastAsia="仿宋" w:cs="仿宋"/>
                <w:color w:val="auto"/>
                <w:sz w:val="21"/>
                <w:szCs w:val="21"/>
                <w:highlight w:val="none"/>
              </w:rPr>
            </w:pPr>
          </w:p>
        </w:tc>
        <w:tc>
          <w:tcPr>
            <w:tcW w:w="1431" w:type="dxa"/>
            <w:noWrap w:val="0"/>
            <w:vAlign w:val="top"/>
          </w:tcPr>
          <w:p w14:paraId="741A3698">
            <w:pPr>
              <w:spacing w:line="480" w:lineRule="exact"/>
              <w:rPr>
                <w:rFonts w:hint="eastAsia" w:ascii="仿宋" w:hAnsi="仿宋" w:eastAsia="仿宋" w:cs="仿宋"/>
                <w:color w:val="auto"/>
                <w:sz w:val="21"/>
                <w:szCs w:val="21"/>
                <w:highlight w:val="none"/>
              </w:rPr>
            </w:pPr>
          </w:p>
        </w:tc>
        <w:tc>
          <w:tcPr>
            <w:tcW w:w="1610" w:type="dxa"/>
            <w:noWrap w:val="0"/>
            <w:vAlign w:val="top"/>
          </w:tcPr>
          <w:p w14:paraId="78BB970A">
            <w:pPr>
              <w:spacing w:line="480" w:lineRule="exact"/>
              <w:rPr>
                <w:rFonts w:hint="eastAsia" w:ascii="仿宋" w:hAnsi="仿宋" w:eastAsia="仿宋" w:cs="仿宋"/>
                <w:color w:val="auto"/>
                <w:sz w:val="21"/>
                <w:szCs w:val="21"/>
                <w:highlight w:val="none"/>
              </w:rPr>
            </w:pPr>
          </w:p>
        </w:tc>
        <w:tc>
          <w:tcPr>
            <w:tcW w:w="839" w:type="dxa"/>
            <w:noWrap w:val="0"/>
            <w:vAlign w:val="top"/>
          </w:tcPr>
          <w:p w14:paraId="5EDD74DB">
            <w:pPr>
              <w:spacing w:line="480" w:lineRule="exact"/>
              <w:rPr>
                <w:rFonts w:hint="eastAsia" w:ascii="仿宋" w:hAnsi="仿宋" w:eastAsia="仿宋" w:cs="仿宋"/>
                <w:color w:val="auto"/>
                <w:sz w:val="21"/>
                <w:szCs w:val="21"/>
                <w:highlight w:val="none"/>
              </w:rPr>
            </w:pPr>
          </w:p>
        </w:tc>
      </w:tr>
    </w:tbl>
    <w:p w14:paraId="0C75752A">
      <w:pPr>
        <w:snapToGrid w:val="0"/>
        <w:spacing w:line="480" w:lineRule="exact"/>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说明</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1、投标人应将案例的证明材料按顺序附后，要求合同复印件提供最终用户签订的合同首页、合同金额所在页、签字盖章页。</w:t>
      </w:r>
    </w:p>
    <w:p w14:paraId="0CB53D80">
      <w:pPr>
        <w:snapToGrid w:val="0"/>
        <w:spacing w:line="480" w:lineRule="exact"/>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2、各投标人必须严格按本表要求填写。</w:t>
      </w:r>
    </w:p>
    <w:p w14:paraId="6FA8123D">
      <w:pPr>
        <w:snapToGrid w:val="0"/>
        <w:spacing w:line="480" w:lineRule="exact"/>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3、表格不够可自行添加。</w:t>
      </w:r>
    </w:p>
    <w:p w14:paraId="09AFB5E6">
      <w:pPr>
        <w:snapToGrid w:val="0"/>
        <w:spacing w:line="360" w:lineRule="auto"/>
        <w:ind w:firstLine="1890" w:firstLineChars="900"/>
        <w:rPr>
          <w:rFonts w:hint="eastAsia" w:ascii="仿宋" w:hAnsi="仿宋" w:eastAsia="仿宋" w:cs="仿宋"/>
          <w:color w:val="auto"/>
          <w:sz w:val="21"/>
          <w:szCs w:val="21"/>
          <w:highlight w:val="none"/>
        </w:rPr>
      </w:pPr>
    </w:p>
    <w:p w14:paraId="680FED25">
      <w:pPr>
        <w:snapToGrid w:val="0"/>
        <w:spacing w:line="360" w:lineRule="auto"/>
        <w:ind w:firstLine="1890" w:firstLineChars="900"/>
        <w:rPr>
          <w:rFonts w:hint="eastAsia" w:ascii="仿宋" w:hAnsi="仿宋" w:eastAsia="仿宋" w:cs="仿宋"/>
          <w:color w:val="auto"/>
          <w:sz w:val="21"/>
          <w:szCs w:val="21"/>
          <w:highlight w:val="none"/>
        </w:rPr>
      </w:pPr>
    </w:p>
    <w:p w14:paraId="349A601F">
      <w:pPr>
        <w:snapToGrid w:val="0"/>
        <w:spacing w:line="360" w:lineRule="auto"/>
        <w:ind w:firstLine="2940" w:firstLineChars="14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（法人电子签章）  </w:t>
      </w:r>
    </w:p>
    <w:p w14:paraId="251BCB69">
      <w:pPr>
        <w:snapToGrid w:val="0"/>
        <w:spacing w:line="480" w:lineRule="exact"/>
        <w:ind w:left="4988" w:leftChars="2375"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年  月  日</w:t>
      </w:r>
    </w:p>
    <w:p w14:paraId="146AC0EE">
      <w:pPr>
        <w:pStyle w:val="8"/>
        <w:rPr>
          <w:rFonts w:hint="eastAsia" w:ascii="仿宋" w:hAnsi="仿宋" w:eastAsia="仿宋" w:cs="仿宋"/>
          <w:color w:val="auto"/>
          <w:sz w:val="21"/>
          <w:szCs w:val="21"/>
          <w:highlight w:val="none"/>
        </w:rPr>
        <w:sectPr>
          <w:pgSz w:w="11906" w:h="16838"/>
          <w:pgMar w:top="1440" w:right="1800" w:bottom="1440" w:left="1800" w:header="851" w:footer="992" w:gutter="0"/>
          <w:pgNumType w:fmt="decimal"/>
          <w:cols w:space="425" w:num="1"/>
          <w:docGrid w:type="lines" w:linePitch="312" w:charSpace="0"/>
        </w:sectPr>
      </w:pPr>
    </w:p>
    <w:p w14:paraId="5096AC37">
      <w:pPr>
        <w:spacing w:line="460" w:lineRule="exact"/>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3、对商务要求的响应内容…………………………………………………………………</w:t>
      </w:r>
    </w:p>
    <w:p w14:paraId="229D6274">
      <w:pPr>
        <w:spacing w:line="460" w:lineRule="exact"/>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4、对实质性要求的响应内容………………………………………………………………</w:t>
      </w:r>
    </w:p>
    <w:p w14:paraId="71C5EC09">
      <w:pPr>
        <w:spacing w:line="460" w:lineRule="exact"/>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5、对非实质性要求的响应内容……………………………………………………………</w:t>
      </w:r>
    </w:p>
    <w:p w14:paraId="726DF317">
      <w:pPr>
        <w:spacing w:line="460" w:lineRule="exact"/>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6、对服务要求的响应内容…………………………………………………………………</w:t>
      </w:r>
    </w:p>
    <w:p w14:paraId="7425FB41">
      <w:pPr>
        <w:spacing w:line="460" w:lineRule="exact"/>
        <w:rPr>
          <w:rFonts w:hint="eastAsia" w:ascii="仿宋" w:hAnsi="仿宋" w:eastAsia="仿宋" w:cs="仿宋"/>
          <w:color w:val="auto"/>
          <w:highlight w:val="none"/>
        </w:rPr>
      </w:pPr>
      <w:r>
        <w:rPr>
          <w:rFonts w:hint="eastAsia" w:ascii="仿宋" w:hAnsi="仿宋" w:eastAsia="仿宋" w:cs="仿宋"/>
          <w:b/>
          <w:bCs/>
          <w:color w:val="auto"/>
          <w:sz w:val="21"/>
          <w:szCs w:val="21"/>
          <w:highlight w:val="none"/>
          <w:lang w:val="en-US" w:eastAsia="zh-CN"/>
        </w:rPr>
        <w:t>7、招标文件要求或投标人认为需要提供的其他商务服务材料/文件…………………</w:t>
      </w:r>
      <w:bookmarkStart w:id="44" w:name="_GoBack"/>
      <w:bookmarkEnd w:id="44"/>
    </w:p>
    <w:sectPr>
      <w:headerReference r:id="rId21" w:type="first"/>
      <w:footerReference r:id="rId23" w:type="first"/>
      <w:footerReference r:id="rId22" w:type="default"/>
      <w:pgSz w:w="11906" w:h="16838"/>
      <w:pgMar w:top="1440" w:right="1486" w:bottom="1440" w:left="1486" w:header="851" w:footer="992"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宋体"/>
    <w:panose1 w:val="00000000000000000000"/>
    <w:charset w:val="86"/>
    <w:family w:val="swiss"/>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C4E07">
    <w:pPr>
      <w:pStyle w:val="12"/>
    </w:pPr>
    <w:r>
      <w:rPr>
        <w:rFonts w:hint="eastAsia"/>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365E">
    <w:pPr>
      <w:spacing w:line="176" w:lineRule="auto"/>
      <w:rPr>
        <w:rFonts w:ascii="仿宋" w:hAnsi="仿宋" w:eastAsia="仿宋" w:cs="仿宋"/>
        <w:sz w:val="16"/>
        <w:szCs w:val="16"/>
      </w:rPr>
    </w:pPr>
    <w:r>
      <w:rPr>
        <w:sz w:val="16"/>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C4D3DA">
                          <w:pPr>
                            <w:pStyle w:val="1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1BC4D3DA">
                    <w:pPr>
                      <w:pStyle w:val="1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65A49">
    <w:pPr>
      <w:spacing w:line="176" w:lineRule="auto"/>
      <w:ind w:left="41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D9917D">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56D9917D">
                    <w:pPr>
                      <w:pStyle w:val="12"/>
                    </w:pPr>
                    <w:r>
                      <w:fldChar w:fldCharType="begin"/>
                    </w:r>
                    <w:r>
                      <w:instrText xml:space="preserve"> PAGE  \* MERGEFORMAT </w:instrText>
                    </w:r>
                    <w:r>
                      <w:fldChar w:fldCharType="separate"/>
                    </w:r>
                    <w:r>
                      <w:t>63</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6E20B">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23F6E20B">
                    <w:pPr>
                      <w:pStyle w:val="12"/>
                    </w:pPr>
                  </w:p>
                </w:txbxContent>
              </v:textbox>
            </v:shape>
          </w:pict>
        </mc:Fallback>
      </mc:AlternateContent>
    </w:r>
    <w:r>
      <w:rPr>
        <w:rFonts w:ascii="Times New Roman" w:hAnsi="Times New Roman" w:eastAsia="Times New Roman" w:cs="Times New Roman"/>
        <w:spacing w:val="-4"/>
        <w:sz w:val="18"/>
        <w:szCs w:val="18"/>
      </w:rPr>
      <w:t>62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687EA">
    <w:pPr>
      <w:spacing w:line="176" w:lineRule="auto"/>
      <w:ind w:left="41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DC017D">
                          <w:pPr>
                            <w:pStyle w:val="1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60DC017D">
                    <w:pPr>
                      <w:pStyle w:val="12"/>
                    </w:pPr>
                    <w:r>
                      <w:fldChar w:fldCharType="begin"/>
                    </w:r>
                    <w:r>
                      <w:instrText xml:space="preserve"> PAGE  \* MERGEFORMAT </w:instrText>
                    </w:r>
                    <w:r>
                      <w:fldChar w:fldCharType="separate"/>
                    </w:r>
                    <w:r>
                      <w:t>64</w:t>
                    </w:r>
                    <w:r>
                      <w:fldChar w:fldCharType="end"/>
                    </w:r>
                  </w:p>
                </w:txbxContent>
              </v:textbox>
            </v:shape>
          </w:pict>
        </mc:Fallback>
      </mc:AlternateContent>
    </w:r>
    <w:r>
      <w:rPr>
        <w:rFonts w:ascii="Times New Roman" w:hAnsi="Times New Roman" w:eastAsia="Times New Roman" w:cs="Times New Roman"/>
        <w:spacing w:val="-4"/>
        <w:sz w:val="18"/>
        <w:szCs w:val="18"/>
      </w:rPr>
      <w:t>63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1B740">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9FC6B4">
                          <w:pPr>
                            <w:pStyle w:val="1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709FC6B4">
                    <w:pPr>
                      <w:pStyle w:val="1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6F264">
    <w:pPr>
      <w:pStyle w:val="12"/>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14B095">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3A14B095">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1409">
    <w:pPr>
      <w:pStyle w:val="1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62752D">
                          <w:pPr>
                            <w:pStyle w:val="12"/>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0862752D">
                    <w:pPr>
                      <w:pStyle w:val="12"/>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F3E4">
    <w:pPr>
      <w:spacing w:line="176" w:lineRule="auto"/>
      <w:ind w:left="44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C2F24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EC2F24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52264">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45E5B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645E5B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7D0A7">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7B4038">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6D7B4038">
                    <w:pPr>
                      <w:pStyle w:val="12"/>
                    </w:pPr>
                    <w:r>
                      <w:fldChar w:fldCharType="begin"/>
                    </w:r>
                    <w:r>
                      <w:instrText xml:space="preserve"> PAGE  \* MERGEFORMAT </w:instrText>
                    </w:r>
                    <w:r>
                      <w:fldChar w:fldCharType="separate"/>
                    </w:r>
                    <w:r>
                      <w:t>42</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EBE86">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DA457">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3557E">
    <w:pPr>
      <w:spacing w:line="176" w:lineRule="auto"/>
      <w:ind w:left="44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B2D6FF">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5DB2D6FF">
                    <w:pPr>
                      <w:pStyle w:val="12"/>
                    </w:pPr>
                    <w:r>
                      <w:fldChar w:fldCharType="begin"/>
                    </w:r>
                    <w:r>
                      <w:instrText xml:space="preserve"> PAGE  \* MERGEFORMAT </w:instrText>
                    </w:r>
                    <w:r>
                      <w:fldChar w:fldCharType="separate"/>
                    </w:r>
                    <w:r>
                      <w:t>43</w:t>
                    </w:r>
                    <w:r>
                      <w:fldChar w:fldCharType="end"/>
                    </w:r>
                  </w:p>
                </w:txbxContent>
              </v:textbox>
            </v:shape>
          </w:pict>
        </mc:Fallback>
      </mc:AlternateContent>
    </w:r>
    <w:r>
      <w:rPr>
        <w:rFonts w:ascii="Times New Roman" w:hAnsi="Times New Roman" w:eastAsia="Times New Roman" w:cs="Times New Roman"/>
        <w:spacing w:val="-1"/>
        <w:sz w:val="18"/>
        <w:szCs w:val="18"/>
      </w:rPr>
      <w:t>43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39975">
    <w:pPr>
      <w:spacing w:line="176" w:lineRule="auto"/>
      <w:ind w:left="44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2C9409">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292C9409">
                    <w:pPr>
                      <w:pStyle w:val="12"/>
                    </w:pPr>
                    <w:r>
                      <w:fldChar w:fldCharType="begin"/>
                    </w:r>
                    <w:r>
                      <w:instrText xml:space="preserve"> PAGE  \* MERGEFORMAT </w:instrText>
                    </w:r>
                    <w:r>
                      <w:fldChar w:fldCharType="separate"/>
                    </w:r>
                    <w:r>
                      <w:t>44</w:t>
                    </w:r>
                    <w:r>
                      <w:fldChar w:fldCharType="end"/>
                    </w:r>
                  </w:p>
                </w:txbxContent>
              </v:textbox>
            </v:shape>
          </w:pict>
        </mc:Fallback>
      </mc:AlternateContent>
    </w:r>
    <w:r>
      <w:rPr>
        <w:rFonts w:ascii="Times New Roman" w:hAnsi="Times New Roman" w:eastAsia="Times New Roman" w:cs="Times New Roman"/>
        <w:spacing w:val="-1"/>
        <w:sz w:val="18"/>
        <w:szCs w:val="18"/>
      </w:rPr>
      <w:t>44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2A595">
    <w:pPr>
      <w:spacing w:line="176" w:lineRule="auto"/>
      <w:ind w:left="44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B9B5B5">
                          <w:pPr>
                            <w:pStyle w:val="1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52B9B5B5">
                    <w:pPr>
                      <w:pStyle w:val="12"/>
                    </w:pPr>
                    <w:r>
                      <w:fldChar w:fldCharType="begin"/>
                    </w:r>
                    <w:r>
                      <w:instrText xml:space="preserve"> PAGE  \* MERGEFORMAT </w:instrText>
                    </w:r>
                    <w:r>
                      <w:fldChar w:fldCharType="separate"/>
                    </w:r>
                    <w:r>
                      <w:t>45</w:t>
                    </w:r>
                    <w:r>
                      <w:fldChar w:fldCharType="end"/>
                    </w:r>
                  </w:p>
                </w:txbxContent>
              </v:textbox>
            </v:shape>
          </w:pict>
        </mc:Fallback>
      </mc:AlternateContent>
    </w:r>
    <w:r>
      <w:rPr>
        <w:rFonts w:ascii="Times New Roman" w:hAnsi="Times New Roman" w:eastAsia="Times New Roman" w:cs="Times New Roman"/>
        <w:spacing w:val="-1"/>
        <w:sz w:val="18"/>
        <w:szCs w:val="18"/>
      </w:rPr>
      <w:t>45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24FE3">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489D8">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3B7BC">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A3970">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8B1B6">
    <w:pPr>
      <w:pStyle w:val="13"/>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BEA2F">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F3F87"/>
    <w:multiLevelType w:val="singleLevel"/>
    <w:tmpl w:val="0F6F3F87"/>
    <w:lvl w:ilvl="0" w:tentative="0">
      <w:start w:val="6"/>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YzRiNTYxNDgxMTQ1ODViZTIxYWU0ODBlM2RhNGMifQ=="/>
  </w:docVars>
  <w:rsids>
    <w:rsidRoot w:val="1876599A"/>
    <w:rsid w:val="00D23242"/>
    <w:rsid w:val="00DB4773"/>
    <w:rsid w:val="01167038"/>
    <w:rsid w:val="012B02CB"/>
    <w:rsid w:val="02225CB1"/>
    <w:rsid w:val="022D039C"/>
    <w:rsid w:val="028E3199"/>
    <w:rsid w:val="0322300D"/>
    <w:rsid w:val="03D156CD"/>
    <w:rsid w:val="03D640B3"/>
    <w:rsid w:val="040E4368"/>
    <w:rsid w:val="0551049B"/>
    <w:rsid w:val="078608E3"/>
    <w:rsid w:val="08F2685A"/>
    <w:rsid w:val="0AED52A4"/>
    <w:rsid w:val="0B3E4FB5"/>
    <w:rsid w:val="0C0900EC"/>
    <w:rsid w:val="0D143C3B"/>
    <w:rsid w:val="0D731909"/>
    <w:rsid w:val="0DB52C0E"/>
    <w:rsid w:val="0FA7463C"/>
    <w:rsid w:val="101A65FE"/>
    <w:rsid w:val="10D42FCD"/>
    <w:rsid w:val="1160186E"/>
    <w:rsid w:val="1251779D"/>
    <w:rsid w:val="128B62E6"/>
    <w:rsid w:val="13C14AC3"/>
    <w:rsid w:val="1459605D"/>
    <w:rsid w:val="145F4995"/>
    <w:rsid w:val="17353CA0"/>
    <w:rsid w:val="17AC14E3"/>
    <w:rsid w:val="18645239"/>
    <w:rsid w:val="1876599A"/>
    <w:rsid w:val="18CF7325"/>
    <w:rsid w:val="18FC53FD"/>
    <w:rsid w:val="19112130"/>
    <w:rsid w:val="193A6F50"/>
    <w:rsid w:val="19BF0B0D"/>
    <w:rsid w:val="1A361CF4"/>
    <w:rsid w:val="1A903AFB"/>
    <w:rsid w:val="1AAB623F"/>
    <w:rsid w:val="1B0767FF"/>
    <w:rsid w:val="1B426539"/>
    <w:rsid w:val="1C01466C"/>
    <w:rsid w:val="1DF036F0"/>
    <w:rsid w:val="1EBB287B"/>
    <w:rsid w:val="21302476"/>
    <w:rsid w:val="22871682"/>
    <w:rsid w:val="23521C49"/>
    <w:rsid w:val="23CF55DA"/>
    <w:rsid w:val="240269C8"/>
    <w:rsid w:val="2449220A"/>
    <w:rsid w:val="249B19C2"/>
    <w:rsid w:val="2599753F"/>
    <w:rsid w:val="260E2D8D"/>
    <w:rsid w:val="26110472"/>
    <w:rsid w:val="26DB1231"/>
    <w:rsid w:val="28FA4D95"/>
    <w:rsid w:val="2A0155AC"/>
    <w:rsid w:val="2E2E290D"/>
    <w:rsid w:val="2E5A2972"/>
    <w:rsid w:val="2E7562F9"/>
    <w:rsid w:val="30146D95"/>
    <w:rsid w:val="320A266D"/>
    <w:rsid w:val="329366B8"/>
    <w:rsid w:val="3309095A"/>
    <w:rsid w:val="33D92456"/>
    <w:rsid w:val="33F42D4E"/>
    <w:rsid w:val="35231508"/>
    <w:rsid w:val="356D5914"/>
    <w:rsid w:val="35CA4BB0"/>
    <w:rsid w:val="36127207"/>
    <w:rsid w:val="363705C1"/>
    <w:rsid w:val="3709762A"/>
    <w:rsid w:val="375B6FEA"/>
    <w:rsid w:val="38237802"/>
    <w:rsid w:val="3B02589D"/>
    <w:rsid w:val="3C1C4D96"/>
    <w:rsid w:val="3C737DF9"/>
    <w:rsid w:val="3C85183C"/>
    <w:rsid w:val="3DDD26FC"/>
    <w:rsid w:val="3E156362"/>
    <w:rsid w:val="41105E6E"/>
    <w:rsid w:val="42D61957"/>
    <w:rsid w:val="43BE4985"/>
    <w:rsid w:val="43E93296"/>
    <w:rsid w:val="48BC1DB4"/>
    <w:rsid w:val="49881230"/>
    <w:rsid w:val="4A525E27"/>
    <w:rsid w:val="4AC85440"/>
    <w:rsid w:val="4B1355B6"/>
    <w:rsid w:val="4BE40D01"/>
    <w:rsid w:val="4F343D4D"/>
    <w:rsid w:val="50065FE1"/>
    <w:rsid w:val="50EE52D5"/>
    <w:rsid w:val="522168F9"/>
    <w:rsid w:val="52596442"/>
    <w:rsid w:val="527B57B8"/>
    <w:rsid w:val="52CB5D1A"/>
    <w:rsid w:val="541232E3"/>
    <w:rsid w:val="561D3506"/>
    <w:rsid w:val="587B6C7C"/>
    <w:rsid w:val="5BBB1A71"/>
    <w:rsid w:val="5CDE73F7"/>
    <w:rsid w:val="5CEA540F"/>
    <w:rsid w:val="5F767D54"/>
    <w:rsid w:val="5F9B65A8"/>
    <w:rsid w:val="604D2EC1"/>
    <w:rsid w:val="61033DC4"/>
    <w:rsid w:val="622B7232"/>
    <w:rsid w:val="626544F2"/>
    <w:rsid w:val="62AC7130"/>
    <w:rsid w:val="635551B6"/>
    <w:rsid w:val="63856CCC"/>
    <w:rsid w:val="63FE21B1"/>
    <w:rsid w:val="64B458B3"/>
    <w:rsid w:val="65E713BB"/>
    <w:rsid w:val="66F80349"/>
    <w:rsid w:val="68C41A84"/>
    <w:rsid w:val="6BAB6A35"/>
    <w:rsid w:val="6C673EE9"/>
    <w:rsid w:val="6D0D1075"/>
    <w:rsid w:val="6DD218E2"/>
    <w:rsid w:val="6F4117F0"/>
    <w:rsid w:val="70F5530D"/>
    <w:rsid w:val="717B18D1"/>
    <w:rsid w:val="73593BFF"/>
    <w:rsid w:val="739D762E"/>
    <w:rsid w:val="74614E04"/>
    <w:rsid w:val="74D14C1D"/>
    <w:rsid w:val="7588638B"/>
    <w:rsid w:val="759B2BF7"/>
    <w:rsid w:val="75E477A8"/>
    <w:rsid w:val="767E19A1"/>
    <w:rsid w:val="77E60239"/>
    <w:rsid w:val="78B35BBC"/>
    <w:rsid w:val="78D72C0F"/>
    <w:rsid w:val="79AE3BC5"/>
    <w:rsid w:val="7BBF2FC2"/>
    <w:rsid w:val="7CD53CBB"/>
    <w:rsid w:val="7D332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widowControl w:val="0"/>
      <w:autoSpaceDE w:val="0"/>
      <w:autoSpaceDN w:val="0"/>
      <w:spacing w:before="0" w:after="0" w:line="702" w:lineRule="exact"/>
      <w:ind w:left="0" w:right="297"/>
      <w:jc w:val="center"/>
      <w:outlineLvl w:val="1"/>
    </w:pPr>
    <w:rPr>
      <w:rFonts w:ascii="Microsoft JhengHei" w:hAnsi="Microsoft JhengHei" w:eastAsia="Microsoft JhengHei" w:cs="Microsoft JhengHei"/>
      <w:b/>
      <w:bCs/>
      <w:kern w:val="2"/>
      <w:sz w:val="44"/>
      <w:szCs w:val="44"/>
      <w:lang w:val="zh-CN" w:eastAsia="zh-CN" w:bidi="zh-CN"/>
    </w:rPr>
  </w:style>
  <w:style w:type="paragraph" w:styleId="3">
    <w:name w:val="heading 2"/>
    <w:basedOn w:val="1"/>
    <w:next w:val="1"/>
    <w:qFormat/>
    <w:uiPriority w:val="9"/>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ind w:left="420"/>
    </w:pPr>
  </w:style>
  <w:style w:type="paragraph" w:styleId="6">
    <w:name w:val="Normal Indent"/>
    <w:basedOn w:val="1"/>
    <w:qFormat/>
    <w:uiPriority w:val="0"/>
    <w:pPr>
      <w:spacing w:line="360" w:lineRule="auto"/>
      <w:ind w:firstLine="454"/>
    </w:pPr>
    <w:rPr>
      <w:sz w:val="24"/>
      <w:szCs w:val="20"/>
    </w:rPr>
  </w:style>
  <w:style w:type="paragraph" w:styleId="7">
    <w:name w:val="annotation text"/>
    <w:basedOn w:val="1"/>
    <w:next w:val="1"/>
    <w:qFormat/>
    <w:uiPriority w:val="0"/>
    <w:pPr>
      <w:jc w:val="left"/>
    </w:pPr>
  </w:style>
  <w:style w:type="paragraph" w:styleId="8">
    <w:name w:val="Body Text"/>
    <w:basedOn w:val="1"/>
    <w:unhideWhenUsed/>
    <w:qFormat/>
    <w:uiPriority w:val="99"/>
    <w:pPr>
      <w:spacing w:after="120"/>
    </w:pPr>
    <w:rPr>
      <w:rFonts w:asciiTheme="minorHAnsi" w:hAnsiTheme="minorHAnsi" w:eastAsiaTheme="minorEastAsia" w:cstheme="minorBidi"/>
      <w:szCs w:val="22"/>
    </w:rPr>
  </w:style>
  <w:style w:type="paragraph" w:styleId="9">
    <w:name w:val="Body Text Indent"/>
    <w:basedOn w:val="1"/>
    <w:qFormat/>
    <w:uiPriority w:val="0"/>
    <w:pPr>
      <w:ind w:firstLine="700" w:firstLineChars="250"/>
    </w:pPr>
    <w:rPr>
      <w:rFonts w:ascii="楷体_GB2312" w:eastAsia="楷体_GB2312"/>
      <w:sz w:val="28"/>
    </w:rPr>
  </w:style>
  <w:style w:type="paragraph" w:styleId="10">
    <w:name w:val="Plain Text"/>
    <w:basedOn w:val="1"/>
    <w:qFormat/>
    <w:uiPriority w:val="0"/>
    <w:rPr>
      <w:rFonts w:ascii="宋体" w:hAnsi="Courier New"/>
      <w:szCs w:val="20"/>
    </w:rPr>
  </w:style>
  <w:style w:type="paragraph" w:styleId="11">
    <w:name w:val="Date"/>
    <w:basedOn w:val="1"/>
    <w:next w:val="1"/>
    <w:qFormat/>
    <w:uiPriority w:val="0"/>
    <w:rPr>
      <w:szCs w:val="20"/>
    </w:rPr>
  </w:style>
  <w:style w:type="paragraph" w:styleId="12">
    <w:name w:val="footer"/>
    <w:basedOn w:val="1"/>
    <w:next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15">
    <w:name w:val="toc 2"/>
    <w:basedOn w:val="1"/>
    <w:next w:val="1"/>
    <w:qFormat/>
    <w:uiPriority w:val="0"/>
    <w:pPr>
      <w:widowControl/>
      <w:tabs>
        <w:tab w:val="right" w:leader="dot" w:pos="8302"/>
      </w:tabs>
      <w:spacing w:line="240" w:lineRule="atLeast"/>
      <w:ind w:left="420" w:leftChars="68" w:hanging="277" w:hangingChars="115"/>
      <w:jc w:val="left"/>
    </w:pPr>
    <w:rPr>
      <w:szCs w:val="24"/>
    </w:rPr>
  </w:style>
  <w:style w:type="paragraph" w:styleId="16">
    <w:name w:val="toc 9"/>
    <w:basedOn w:val="1"/>
    <w:next w:val="1"/>
    <w:qFormat/>
    <w:uiPriority w:val="0"/>
    <w:pPr>
      <w:wordWrap w:val="0"/>
      <w:ind w:left="1183"/>
      <w:jc w:val="both"/>
    </w:pPr>
    <w:rPr>
      <w:rFonts w:ascii="Times New Roman" w:hAnsi="Times New Roman"/>
      <w:lang w:val="en-US" w:eastAsia="zh-CN" w:bidi="ar-SA"/>
    </w:rPr>
  </w:style>
  <w:style w:type="paragraph" w:styleId="17">
    <w:name w:val="Body Text 2"/>
    <w:basedOn w:val="1"/>
    <w:next w:val="16"/>
    <w:qFormat/>
    <w:uiPriority w:val="0"/>
    <w:pPr>
      <w:jc w:val="center"/>
    </w:pPr>
    <w:rPr>
      <w:rFonts w:ascii="Arial" w:hAnsi="Arial" w:cs="Arial"/>
      <w:bCs/>
    </w:rPr>
  </w:style>
  <w:style w:type="paragraph" w:styleId="18">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Body Text First Indent"/>
    <w:basedOn w:val="8"/>
    <w:next w:val="21"/>
    <w:unhideWhenUsed/>
    <w:qFormat/>
    <w:uiPriority w:val="0"/>
    <w:pPr>
      <w:ind w:firstLine="420" w:firstLineChars="100"/>
    </w:pPr>
    <w:rPr>
      <w:szCs w:val="22"/>
    </w:rPr>
  </w:style>
  <w:style w:type="paragraph" w:styleId="21">
    <w:name w:val="Body Text First Indent 2"/>
    <w:basedOn w:val="9"/>
    <w:next w:val="15"/>
    <w:qFormat/>
    <w:uiPriority w:val="0"/>
    <w:pPr>
      <w:ind w:left="420" w:firstLine="420" w:firstLineChars="200"/>
    </w:pPr>
  </w:style>
  <w:style w:type="table" w:styleId="23">
    <w:name w:val="Table Grid"/>
    <w:basedOn w:val="22"/>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Hyperlink"/>
    <w:basedOn w:val="24"/>
    <w:qFormat/>
    <w:uiPriority w:val="99"/>
    <w:rPr>
      <w:color w:val="156356"/>
      <w:u w:val="none"/>
    </w:rPr>
  </w:style>
  <w:style w:type="character" w:styleId="26">
    <w:name w:val="HTML Sample"/>
    <w:basedOn w:val="24"/>
    <w:qFormat/>
    <w:uiPriority w:val="0"/>
    <w:rPr>
      <w:rFonts w:ascii="Courier New" w:hAnsi="Courier New"/>
    </w:rPr>
  </w:style>
  <w:style w:type="character" w:customStyle="1" w:styleId="27">
    <w:name w:val="NormalCharacter"/>
    <w:semiHidden/>
    <w:qFormat/>
    <w:uiPriority w:val="0"/>
    <w:rPr>
      <w:rFonts w:ascii="Times New Roman" w:hAnsi="Times New Roman"/>
      <w:kern w:val="2"/>
      <w:sz w:val="21"/>
      <w:szCs w:val="24"/>
      <w:lang w:val="en-US" w:eastAsia="zh-CN" w:bidi="ar-SA"/>
    </w:rPr>
  </w:style>
  <w:style w:type="paragraph" w:customStyle="1" w:styleId="28">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29">
    <w:name w:val="样式 标题 3h3H3sect1.2.3 + 五号 段前: 6 磅 段后: 6 磅 行距: 单倍行距"/>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30">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31">
    <w:name w:val="2级正文"/>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32">
    <w:name w:val="_Style 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
    <w:name w:val="样式1"/>
    <w:qFormat/>
    <w:uiPriority w:val="0"/>
    <w:pPr>
      <w:widowControl w:val="0"/>
      <w:jc w:val="center"/>
    </w:pPr>
    <w:rPr>
      <w:rFonts w:ascii="宋体" w:hAnsi="宋体" w:eastAsia="宋体" w:cs="Times New Roman"/>
      <w:kern w:val="2"/>
      <w:sz w:val="30"/>
      <w:szCs w:val="28"/>
      <w:lang w:val="en-US" w:eastAsia="zh-CN" w:bidi="ar-SA"/>
    </w:rPr>
  </w:style>
  <w:style w:type="paragraph" w:customStyle="1" w:styleId="34">
    <w:name w:val="Default"/>
    <w:qFormat/>
    <w:uiPriority w:val="0"/>
    <w:pPr>
      <w:widowControl w:val="0"/>
      <w:autoSpaceDE w:val="0"/>
      <w:autoSpaceDN w:val="0"/>
      <w:adjustRightInd w:val="0"/>
    </w:pPr>
    <w:rPr>
      <w:rFonts w:ascii="...." w:hAnsi="Times New Roman" w:eastAsia="...." w:cs="...."/>
      <w:color w:val="000000"/>
      <w:sz w:val="24"/>
      <w:szCs w:val="24"/>
      <w:lang w:val="en-US" w:eastAsia="zh-CN" w:bidi="ar-SA"/>
    </w:rPr>
  </w:style>
  <w:style w:type="paragraph" w:customStyle="1" w:styleId="3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6">
    <w:name w:val="TOC 标题1"/>
    <w:basedOn w:val="2"/>
    <w:next w:val="1"/>
    <w:qFormat/>
    <w:uiPriority w:val="39"/>
    <w:pPr>
      <w:tabs>
        <w:tab w:val="left" w:pos="1800"/>
      </w:tabs>
      <w:spacing w:before="480" w:line="276" w:lineRule="auto"/>
      <w:outlineLvl w:val="9"/>
    </w:pPr>
    <w:rPr>
      <w:rFonts w:ascii="仿宋" w:hAnsi="仿宋" w:eastAsia="仿宋"/>
      <w:color w:val="000000"/>
      <w:kern w:val="0"/>
      <w:sz w:val="32"/>
      <w:szCs w:val="32"/>
    </w:rPr>
  </w:style>
  <w:style w:type="paragraph" w:customStyle="1" w:styleId="37">
    <w:name w:val="Style1"/>
    <w:basedOn w:val="6"/>
    <w:qFormat/>
    <w:uiPriority w:val="0"/>
    <w:pPr>
      <w:tabs>
        <w:tab w:val="left" w:pos="-720"/>
      </w:tabs>
      <w:spacing w:after="120"/>
    </w:pPr>
    <w:rPr>
      <w:spacing w:val="-3"/>
      <w:sz w:val="24"/>
      <w:szCs w:val="20"/>
      <w:lang w:val="en-AU" w:eastAsia="en-US"/>
    </w:rPr>
  </w:style>
  <w:style w:type="paragraph" w:customStyle="1" w:styleId="38">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kern w:val="0"/>
      <w:szCs w:val="28"/>
    </w:rPr>
  </w:style>
  <w:style w:type="paragraph" w:customStyle="1" w:styleId="39">
    <w:name w:val="样式"/>
    <w:qFormat/>
    <w:uiPriority w:val="0"/>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40">
    <w:name w:val="Table Text"/>
    <w:basedOn w:val="1"/>
    <w:semiHidden/>
    <w:qFormat/>
    <w:uiPriority w:val="0"/>
    <w:rPr>
      <w:rFonts w:ascii="宋体" w:hAnsi="宋体" w:eastAsia="宋体" w:cs="宋体"/>
      <w:sz w:val="22"/>
      <w:szCs w:val="22"/>
      <w:lang w:val="en-US" w:eastAsia="en-US" w:bidi="ar-SA"/>
    </w:rPr>
  </w:style>
  <w:style w:type="table" w:customStyle="1" w:styleId="4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header" Target="header6.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20875</Words>
  <Characters>22196</Characters>
  <Lines>0</Lines>
  <Paragraphs>0</Paragraphs>
  <TotalTime>6</TotalTime>
  <ScaleCrop>false</ScaleCrop>
  <LinksUpToDate>false</LinksUpToDate>
  <CharactersWithSpaces>22283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2025-09-11T02:27:00Z</dcterms:created>
  <dc:creator>微软用户</dc:creator>
  <cp:lastModifiedBy>周晋华</cp:lastModifiedBy>
  <cp:lastPrinted>2026-04-16T07:39:00Z</cp:lastPrinted>
  <dcterms:modified xsi:type="dcterms:W3CDTF">2026-04-21T09:16:57Z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8B01B0509FC1416584E1CEAEACE7F3B3_13</vt:lpwstr>
  </property>
  <property fmtid="{D5CDD505-2E9C-101B-9397-08002B2CF9AE}" pid="4" name="KSOTemplateDocerSaveRecord">
    <vt:lpwstr>eyJoZGlkIjoiZWUzMTZiOTYzZmNlNmE5NzQ5MTllYzMwNGYwYmMwZTAiLCJ1c2VySWQiOiI1NzUzMDE2MzQifQ==</vt:lpwstr>
  </property>
</Properties>
</file>