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i w:val="0"/>
          <w:iCs w:val="0"/>
          <w:color w:val="auto"/>
          <w:sz w:val="32"/>
          <w:szCs w:val="32"/>
          <w:highlight w:val="none"/>
          <w:lang w:eastAsia="zh-CN"/>
        </w:rPr>
      </w:pPr>
    </w:p>
    <w:p w14:paraId="7E039B8B">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47A7BFB6">
      <w:pPr>
        <w:jc w:val="center"/>
        <w:rPr>
          <w:rFonts w:hint="eastAsia" w:ascii="黑体" w:hAnsi="黑体" w:eastAsia="黑体"/>
          <w:i w:val="0"/>
          <w:iCs w:val="0"/>
          <w:color w:val="auto"/>
          <w:kern w:val="0"/>
          <w:sz w:val="52"/>
          <w:szCs w:val="52"/>
          <w:highlight w:val="none"/>
          <w:lang w:val="en-US" w:eastAsia="zh-CN"/>
        </w:rPr>
      </w:pPr>
      <w:r>
        <w:rPr>
          <w:rFonts w:hint="eastAsia" w:cs="宋体"/>
          <w:b/>
          <w:bCs/>
          <w:i w:val="0"/>
          <w:iCs w:val="0"/>
          <w:color w:val="auto"/>
          <w:kern w:val="0"/>
          <w:sz w:val="60"/>
          <w:szCs w:val="60"/>
          <w:highlight w:val="none"/>
          <w:lang w:val="en-US" w:eastAsia="zh-CN"/>
        </w:rPr>
        <w:t xml:space="preserve"> </w:t>
      </w:r>
      <w:r>
        <w:rPr>
          <w:rFonts w:hint="eastAsia" w:ascii="宋体" w:hAnsi="宋体" w:eastAsia="宋体" w:cs="宋体"/>
          <w:b/>
          <w:bCs/>
          <w:i w:val="0"/>
          <w:iCs w:val="0"/>
          <w:color w:val="auto"/>
          <w:kern w:val="0"/>
          <w:sz w:val="60"/>
          <w:szCs w:val="60"/>
          <w:highlight w:val="none"/>
          <w:lang w:val="en-US" w:eastAsia="zh-CN"/>
        </w:rPr>
        <w:t>政府采购项目</w:t>
      </w:r>
    </w:p>
    <w:p w14:paraId="3556DB13">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4E1FA33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（工程）</w:t>
      </w:r>
    </w:p>
    <w:p w14:paraId="6C8C8A47">
      <w:pPr>
        <w:jc w:val="center"/>
        <w:rPr>
          <w:rFonts w:ascii="黑体" w:hAnsi="黑体" w:eastAsia="黑体"/>
          <w:i w:val="0"/>
          <w:iCs w:val="0"/>
          <w:color w:val="auto"/>
          <w:sz w:val="72"/>
          <w:szCs w:val="72"/>
          <w:highlight w:val="none"/>
        </w:rPr>
      </w:pPr>
    </w:p>
    <w:p w14:paraId="4EA8CE11">
      <w:pPr>
        <w:jc w:val="center"/>
        <w:rPr>
          <w:rFonts w:ascii="黑体" w:hAnsi="黑体" w:eastAsia="黑体"/>
          <w:i w:val="0"/>
          <w:iCs w:val="0"/>
          <w:color w:val="auto"/>
          <w:sz w:val="72"/>
          <w:szCs w:val="72"/>
          <w:highlight w:val="none"/>
        </w:rPr>
      </w:pPr>
    </w:p>
    <w:p w14:paraId="697D0AB0">
      <w:pPr>
        <w:jc w:val="center"/>
        <w:rPr>
          <w:rFonts w:ascii="黑体" w:hAnsi="黑体" w:eastAsia="黑体"/>
          <w:i w:val="0"/>
          <w:iCs w:val="0"/>
          <w:color w:val="auto"/>
          <w:sz w:val="72"/>
          <w:szCs w:val="72"/>
          <w:highlight w:val="none"/>
        </w:rPr>
      </w:pPr>
    </w:p>
    <w:p w14:paraId="281ECC9C">
      <w:pPr>
        <w:jc w:val="center"/>
        <w:rPr>
          <w:rFonts w:ascii="黑体" w:hAnsi="黑体" w:eastAsia="黑体"/>
          <w:i w:val="0"/>
          <w:iCs w:val="0"/>
          <w:color w:val="auto"/>
          <w:sz w:val="72"/>
          <w:szCs w:val="72"/>
          <w:highlight w:val="none"/>
        </w:rPr>
      </w:pPr>
    </w:p>
    <w:p w14:paraId="450CD3A6">
      <w:pPr>
        <w:jc w:val="center"/>
        <w:rPr>
          <w:rFonts w:ascii="黑体" w:hAnsi="黑体" w:eastAsia="黑体"/>
          <w:i w:val="0"/>
          <w:iCs w:val="0"/>
          <w:color w:val="auto"/>
          <w:sz w:val="72"/>
          <w:szCs w:val="72"/>
          <w:highlight w:val="none"/>
        </w:rPr>
      </w:pPr>
    </w:p>
    <w:p w14:paraId="0F88ECFE">
      <w:pPr>
        <w:ind w:left="420" w:leftChars="175"/>
        <w:rPr>
          <w:rFonts w:hint="eastAsia"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lang w:val="en-US" w:eastAsia="zh-CN"/>
        </w:rPr>
        <w:t>/包号</w:t>
      </w:r>
      <w:r>
        <w:rPr>
          <w:rFonts w:hint="eastAsia" w:ascii="宋体" w:hAnsi="宋体" w:eastAsia="宋体" w:cs="宋体"/>
          <w:i w:val="0"/>
          <w:iCs w:val="0"/>
          <w:color w:val="auto"/>
          <w:sz w:val="36"/>
          <w:szCs w:val="36"/>
          <w:highlight w:val="none"/>
        </w:rPr>
        <w:t>：</w:t>
      </w:r>
      <w:r>
        <w:rPr>
          <w:rFonts w:hint="eastAsia" w:cs="宋体"/>
          <w:color w:val="auto"/>
          <w:sz w:val="36"/>
          <w:szCs w:val="36"/>
          <w:highlight w:val="none"/>
          <w:lang w:eastAsia="zh-CN"/>
        </w:rPr>
        <w:t>XJGH-ZC2026-01（02）</w:t>
      </w:r>
    </w:p>
    <w:p w14:paraId="0E6E48F8">
      <w:pPr>
        <w:ind w:left="420" w:leftChars="175"/>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lang w:eastAsia="zh-CN"/>
        </w:rPr>
        <w:t>塔里木河流域车尔臣河水利管理中心2026年公益性水利工程维修养护项目（第二次）</w:t>
      </w:r>
    </w:p>
    <w:p w14:paraId="0F84FA94">
      <w:pPr>
        <w:ind w:left="420" w:leftChars="175"/>
        <w:rPr>
          <w:rFonts w:hint="eastAsia" w:ascii="宋体" w:hAnsi="宋体" w:eastAsia="宋体" w:cs="宋体"/>
          <w:i w:val="0"/>
          <w:iCs w:val="0"/>
          <w:color w:val="auto"/>
          <w:sz w:val="36"/>
          <w:szCs w:val="36"/>
          <w:highlight w:val="none"/>
          <w:lang w:eastAsia="zh-CN"/>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lang w:eastAsia="zh-CN"/>
        </w:rPr>
        <w:t xml:space="preserve"> 新疆维吾尔自治区塔里木河流域车尔臣河水利管理中心</w:t>
      </w:r>
    </w:p>
    <w:p w14:paraId="4B180FDF">
      <w:pPr>
        <w:ind w:left="420" w:leftChars="175"/>
        <w:rPr>
          <w:rFonts w:hint="default" w:ascii="宋体" w:hAnsi="宋体" w:eastAsia="宋体" w:cs="宋体"/>
          <w:i w:val="0"/>
          <w:iCs w:val="0"/>
          <w:color w:val="auto"/>
          <w:sz w:val="36"/>
          <w:szCs w:val="36"/>
          <w:highlight w:val="none"/>
          <w:u w:val="none"/>
          <w:lang w:val="en-US" w:eastAsia="zh-CN"/>
        </w:rPr>
      </w:pPr>
      <w:r>
        <w:rPr>
          <w:rFonts w:hint="eastAsia" w:ascii="宋体" w:hAnsi="宋体" w:eastAsia="宋体" w:cs="宋体"/>
          <w:i w:val="0"/>
          <w:iCs w:val="0"/>
          <w:color w:val="auto"/>
          <w:sz w:val="36"/>
          <w:szCs w:val="36"/>
          <w:highlight w:val="none"/>
        </w:rPr>
        <w:t>采购代理机构：</w:t>
      </w:r>
      <w:r>
        <w:rPr>
          <w:rFonts w:hint="eastAsia" w:cs="宋体"/>
          <w:i w:val="0"/>
          <w:iCs w:val="0"/>
          <w:color w:val="auto"/>
          <w:sz w:val="36"/>
          <w:szCs w:val="36"/>
          <w:highlight w:val="none"/>
          <w:u w:val="none"/>
          <w:lang w:val="en-US" w:eastAsia="zh-CN"/>
        </w:rPr>
        <w:t xml:space="preserve"> 新疆冠恒工程管理咨询有限公司</w:t>
      </w:r>
    </w:p>
    <w:p w14:paraId="2C93F193">
      <w:pPr>
        <w:rPr>
          <w:rFonts w:ascii="黑体" w:hAnsi="黑体" w:eastAsia="黑体"/>
          <w:i w:val="0"/>
          <w:iCs w:val="0"/>
          <w:color w:val="auto"/>
          <w:highlight w:val="none"/>
        </w:rPr>
      </w:pPr>
    </w:p>
    <w:p w14:paraId="718C66F0">
      <w:pPr>
        <w:rPr>
          <w:rFonts w:ascii="黑体" w:hAnsi="黑体" w:eastAsia="黑体"/>
          <w:i w:val="0"/>
          <w:iCs w:val="0"/>
          <w:color w:val="auto"/>
          <w:highlight w:val="none"/>
        </w:rPr>
      </w:pPr>
    </w:p>
    <w:p w14:paraId="27E04485">
      <w:pPr>
        <w:jc w:val="both"/>
        <w:rPr>
          <w:rFonts w:ascii="黑体" w:hAnsi="黑体" w:eastAsia="黑体"/>
          <w:i w:val="0"/>
          <w:iCs w:val="0"/>
          <w:color w:val="auto"/>
          <w:sz w:val="32"/>
          <w:szCs w:val="32"/>
          <w:highlight w:val="none"/>
        </w:rPr>
      </w:pPr>
    </w:p>
    <w:p w14:paraId="2E6E0FD2">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 xml:space="preserve">目 </w:t>
      </w:r>
      <w:r>
        <w:rPr>
          <w:rFonts w:hint="eastAsia" w:ascii="宋体" w:hAnsi="宋体" w:eastAsia="宋体" w:cs="宋体"/>
          <w:b/>
          <w:bCs/>
          <w:i w:val="0"/>
          <w:iCs w:val="0"/>
          <w:color w:val="auto"/>
          <w:sz w:val="36"/>
          <w:szCs w:val="36"/>
          <w:highlight w:val="none"/>
          <w:lang w:val="en-US" w:eastAsia="zh-CN"/>
        </w:rPr>
        <w:t xml:space="preserve"> </w:t>
      </w:r>
      <w:r>
        <w:rPr>
          <w:rFonts w:hint="eastAsia" w:ascii="宋体" w:hAnsi="宋体" w:eastAsia="宋体" w:cs="宋体"/>
          <w:b/>
          <w:bCs/>
          <w:i w:val="0"/>
          <w:iCs w:val="0"/>
          <w:color w:val="auto"/>
          <w:sz w:val="36"/>
          <w:szCs w:val="36"/>
          <w:highlight w:val="none"/>
        </w:rPr>
        <w:t>录</w:t>
      </w:r>
    </w:p>
    <w:p w14:paraId="55100918">
      <w:pPr>
        <w:jc w:val="center"/>
        <w:rPr>
          <w:rFonts w:hint="eastAsia" w:ascii="宋体" w:hAnsi="宋体" w:eastAsia="宋体" w:cs="宋体"/>
          <w:b/>
          <w:bCs/>
          <w:i w:val="0"/>
          <w:iCs w:val="0"/>
          <w:color w:val="auto"/>
          <w:sz w:val="36"/>
          <w:szCs w:val="36"/>
          <w:highlight w:val="none"/>
        </w:rPr>
      </w:pPr>
    </w:p>
    <w:p w14:paraId="67368804">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i w:val="0"/>
          <w:iCs w:val="0"/>
          <w:color w:val="auto"/>
          <w:highlight w:val="none"/>
        </w:rPr>
        <w:fldChar w:fldCharType="begin"/>
      </w:r>
      <w:r>
        <w:rPr>
          <w:i w:val="0"/>
          <w:iCs w:val="0"/>
          <w:color w:val="auto"/>
          <w:highlight w:val="none"/>
        </w:rPr>
        <w:instrText xml:space="preserve"> TOC \o "1-3" \h \z \u </w:instrText>
      </w:r>
      <w:r>
        <w:rPr>
          <w:i w:val="0"/>
          <w:iCs w:val="0"/>
          <w:color w:val="auto"/>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_Toc16828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_Toc16828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B077D61">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_Toc13157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hr-HR" w:eastAsia="zh-CN" w:bidi="ar-SA"/>
        </w:rPr>
        <w:t>一、</w:t>
      </w:r>
      <w:r>
        <w:rPr>
          <w:rFonts w:hint="eastAsia" w:ascii="宋体" w:hAnsi="宋体" w:eastAsia="宋体" w:cs="宋体"/>
          <w:i w:val="0"/>
          <w:iCs w:val="0"/>
          <w:sz w:val="24"/>
          <w:szCs w:val="24"/>
          <w:highlight w:val="none"/>
          <w:lang w:val="hr-HR"/>
        </w:rPr>
        <w:t>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_Toc13157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BD51525">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_Toc1273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二、申请人的</w:t>
      </w:r>
      <w:r>
        <w:rPr>
          <w:rFonts w:hint="eastAsia" w:ascii="宋体" w:hAnsi="宋体" w:eastAsia="宋体" w:cs="宋体"/>
          <w:bCs/>
          <w:i w:val="0"/>
          <w:iCs w:val="0"/>
          <w:kern w:val="2"/>
          <w:sz w:val="24"/>
          <w:szCs w:val="24"/>
          <w:highlight w:val="none"/>
          <w:lang w:val="hr-HR" w:eastAsia="zh-CN" w:bidi="ar-SA"/>
        </w:rPr>
        <w:t>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_Toc1273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071C2C5">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hr-HR" w:eastAsia="zh-CN" w:bidi="ar-SA"/>
        </w:rPr>
        <w:t>获取</w:t>
      </w:r>
      <w:r>
        <w:rPr>
          <w:rFonts w:hint="eastAsia" w:ascii="宋体" w:hAnsi="宋体" w:eastAsia="宋体" w:cs="宋体"/>
          <w:bCs/>
          <w:i w:val="0"/>
          <w:iCs w:val="0"/>
          <w:kern w:val="2"/>
          <w:sz w:val="24"/>
          <w:szCs w:val="24"/>
          <w:highlight w:val="none"/>
          <w:lang w:val="en-US" w:eastAsia="zh-CN" w:bidi="ar-SA"/>
        </w:rPr>
        <w:t>采购</w:t>
      </w:r>
      <w:r>
        <w:rPr>
          <w:rFonts w:hint="eastAsia" w:ascii="宋体" w:hAnsi="宋体" w:eastAsia="宋体" w:cs="宋体"/>
          <w:bCs/>
          <w:i w:val="0"/>
          <w:iCs w:val="0"/>
          <w:kern w:val="2"/>
          <w:sz w:val="24"/>
          <w:szCs w:val="24"/>
          <w:highlight w:val="none"/>
          <w:lang w:val="hr-HR" w:eastAsia="zh-CN" w:bidi="ar-SA"/>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_Toc27103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5559613">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_Toc15226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spacing w:val="-6"/>
          <w:kern w:val="2"/>
          <w:sz w:val="24"/>
          <w:szCs w:val="24"/>
          <w:highlight w:val="none"/>
          <w:lang w:val="hr-HR" w:eastAsia="zh-CN" w:bidi="ar-SA"/>
        </w:rPr>
        <w:t>响应文件提交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_Toc15226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6F20F4D3">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_Toc24119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_Toc24119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7293C0F2">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_Toc9733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hr-HR" w:eastAsia="zh-CN" w:bidi="ar-SA"/>
        </w:rPr>
        <w:t>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_Toc9733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018A2525">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_Toc6777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lang w:val="hr-HR" w:eastAsia="zh-CN"/>
        </w:rPr>
        <w:t>七、其他补充事宜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_Toc6777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63444AA">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_Toc1462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hr-HR" w:eastAsia="zh-CN" w:bidi="ar-SA"/>
        </w:rPr>
        <w:t>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_Toc1462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54F9C5B">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_Toc9638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44"/>
          <w:sz w:val="24"/>
          <w:szCs w:val="24"/>
          <w:highlight w:val="none"/>
          <w:lang w:val="en-US" w:eastAsia="zh-CN" w:bidi="ar-SA"/>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_Toc9638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94972B7">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_Toc11918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一、供应商须知前附表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_Toc11918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E1CCB5C">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二、供应商须知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_Toc28828 \h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06FA6FA8">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44"/>
          <w:sz w:val="24"/>
          <w:szCs w:val="24"/>
          <w:highlight w:val="none"/>
          <w:lang w:val="en-US" w:eastAsia="zh-CN" w:bidi="ar-SA"/>
        </w:rPr>
        <w:t>第三章 项目采购需求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_Toc14779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25AD55A6">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_Toc27698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lang w:val="en-US" w:eastAsia="zh-CN"/>
        </w:rPr>
        <w:t>一、工程概况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_Toc27698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6C747AC1">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_Toc21672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lang w:val="en-US" w:eastAsia="zh-CN"/>
        </w:rPr>
        <w:t>二、工程内容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_Toc21672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0F59A67F">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_Toc27746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lang w:val="en-US" w:eastAsia="zh-CN"/>
        </w:rPr>
        <w:t>三、商务要求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_Toc27746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AF1A78A">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_Toc21090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44"/>
          <w:sz w:val="24"/>
          <w:szCs w:val="24"/>
          <w:highlight w:val="none"/>
          <w:lang w:val="en-US" w:eastAsia="zh-CN" w:bidi="ar-SA"/>
        </w:rPr>
        <w:t>第四章 评审方法及标准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_Toc21090 \h </w:instrText>
      </w:r>
      <w:r>
        <w:rPr>
          <w:rFonts w:hint="eastAsia" w:ascii="宋体" w:hAnsi="宋体" w:eastAsia="宋体" w:cs="宋体"/>
          <w:sz w:val="24"/>
          <w:szCs w:val="24"/>
        </w:rPr>
        <w:fldChar w:fldCharType="separate"/>
      </w:r>
      <w:r>
        <w:rPr>
          <w:rFonts w:hint="eastAsia" w:ascii="宋体" w:hAnsi="宋体" w:eastAsia="宋体" w:cs="宋体"/>
          <w:sz w:val="24"/>
          <w:szCs w:val="24"/>
        </w:rPr>
        <w:t>- 38 -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6C81FC35">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_Toc18136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val="zh-CN" w:eastAsia="zh-CN"/>
        </w:rPr>
        <w:t>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_Toc18136 \h </w:instrText>
      </w:r>
      <w:r>
        <w:rPr>
          <w:rFonts w:hint="eastAsia" w:ascii="宋体" w:hAnsi="宋体" w:eastAsia="宋体" w:cs="宋体"/>
          <w:sz w:val="24"/>
          <w:szCs w:val="24"/>
        </w:rPr>
        <w:fldChar w:fldCharType="separate"/>
      </w:r>
      <w:r>
        <w:rPr>
          <w:rFonts w:hint="eastAsia" w:ascii="宋体" w:hAnsi="宋体" w:eastAsia="宋体" w:cs="宋体"/>
          <w:sz w:val="24"/>
          <w:szCs w:val="24"/>
        </w:rPr>
        <w:t>- 38 -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72739AD8">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val="zh-CN" w:eastAsia="zh-CN"/>
        </w:rPr>
        <w:t>评审程序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_Toc14790 \h </w:instrText>
      </w:r>
      <w:r>
        <w:rPr>
          <w:rFonts w:hint="eastAsia" w:ascii="宋体" w:hAnsi="宋体" w:eastAsia="宋体" w:cs="宋体"/>
          <w:sz w:val="24"/>
          <w:szCs w:val="24"/>
        </w:rPr>
        <w:fldChar w:fldCharType="separate"/>
      </w:r>
      <w:r>
        <w:rPr>
          <w:rFonts w:hint="eastAsia" w:ascii="宋体" w:hAnsi="宋体" w:eastAsia="宋体" w:cs="宋体"/>
          <w:sz w:val="24"/>
          <w:szCs w:val="24"/>
        </w:rPr>
        <w:t>- 38 -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0B8F43F">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_Toc20411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val="zh-CN" w:eastAsia="zh-CN"/>
        </w:rPr>
        <w:t>评审</w:t>
      </w:r>
      <w:r>
        <w:rPr>
          <w:rFonts w:hint="eastAsia" w:ascii="宋体" w:hAnsi="宋体" w:eastAsia="宋体" w:cs="宋体"/>
          <w:sz w:val="24"/>
          <w:szCs w:val="24"/>
          <w:highlight w:val="none"/>
          <w:lang w:val="en-US" w:eastAsia="zh-CN"/>
        </w:rPr>
        <w:t>其他要求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_Toc20411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EC7E710">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_Toc27919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val="zh-CN" w:eastAsia="zh-CN"/>
        </w:rPr>
        <w:t>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_Toc27919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21BF1AAD">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_Toc17336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第五章 </w:t>
      </w:r>
      <w:r>
        <w:rPr>
          <w:rFonts w:hint="eastAsia" w:ascii="宋体" w:hAnsi="宋体" w:eastAsia="宋体" w:cs="宋体"/>
          <w:bCs/>
          <w:kern w:val="44"/>
          <w:sz w:val="24"/>
          <w:szCs w:val="24"/>
          <w:highlight w:val="none"/>
          <w:lang w:val="zh-CN" w:eastAsia="zh-CN" w:bidi="ar-SA"/>
        </w:rPr>
        <w:t>合同草案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_Toc17336 \h </w:instrText>
      </w:r>
      <w:r>
        <w:rPr>
          <w:rFonts w:hint="eastAsia" w:ascii="宋体" w:hAnsi="宋体" w:eastAsia="宋体" w:cs="宋体"/>
          <w:sz w:val="24"/>
          <w:szCs w:val="24"/>
        </w:rPr>
        <w:fldChar w:fldCharType="separate"/>
      </w:r>
      <w:r>
        <w:rPr>
          <w:rFonts w:hint="eastAsia" w:ascii="宋体" w:hAnsi="宋体" w:eastAsia="宋体" w:cs="宋体"/>
          <w:sz w:val="24"/>
          <w:szCs w:val="24"/>
        </w:rPr>
        <w:t>- 51 -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0686409">
      <w:pPr>
        <w:pStyle w:val="21"/>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_Toc32390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44"/>
          <w:sz w:val="24"/>
          <w:szCs w:val="24"/>
          <w:highlight w:val="none"/>
          <w:lang w:val="en-US" w:eastAsia="zh-CN" w:bidi="ar-SA"/>
        </w:rPr>
        <w:t xml:space="preserve">第六章 </w:t>
      </w:r>
      <w:r>
        <w:rPr>
          <w:rFonts w:hint="eastAsia" w:ascii="宋体" w:hAnsi="宋体" w:eastAsia="宋体" w:cs="宋体"/>
          <w:sz w:val="24"/>
          <w:szCs w:val="24"/>
          <w:highlight w:val="none"/>
        </w:rPr>
        <w:t>响应文件的格式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_Toc32390 \h </w:instrText>
      </w:r>
      <w:r>
        <w:rPr>
          <w:rFonts w:hint="eastAsia" w:ascii="宋体" w:hAnsi="宋体" w:eastAsia="宋体" w:cs="宋体"/>
          <w:sz w:val="24"/>
          <w:szCs w:val="24"/>
        </w:rPr>
        <w:fldChar w:fldCharType="separate"/>
      </w:r>
      <w:r>
        <w:rPr>
          <w:rFonts w:hint="eastAsia" w:ascii="宋体" w:hAnsi="宋体" w:eastAsia="宋体" w:cs="宋体"/>
          <w:sz w:val="24"/>
          <w:szCs w:val="24"/>
        </w:rPr>
        <w:t>- 87 -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03ABC11A">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_Toc10901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_Toc13537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rPr>
        <w:t>资格证明文件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_Toc13537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- 87 -</w:t>
      </w:r>
      <w:r>
        <w:rPr>
          <w:rFonts w:hint="eastAsia" w:ascii="宋体" w:hAnsi="宋体" w:eastAsia="宋体" w:cs="宋体"/>
          <w:b/>
          <w:bCs/>
          <w:sz w:val="24"/>
          <w:szCs w:val="24"/>
        </w:rPr>
        <w:fldChar w:fldCharType="end"/>
      </w:r>
      <w:r>
        <w:rPr>
          <w:rFonts w:hint="eastAsia" w:ascii="宋体" w:hAnsi="宋体" w:eastAsia="宋体" w:cs="宋体"/>
          <w:b/>
          <w:bCs/>
          <w:i w:val="0"/>
          <w:iCs w:val="0"/>
          <w:color w:val="auto"/>
          <w:sz w:val="24"/>
          <w:szCs w:val="24"/>
          <w:highlight w:val="none"/>
        </w:rPr>
        <w:fldChar w:fldCharType="end"/>
      </w:r>
    </w:p>
    <w:p w14:paraId="598437D0">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_Toc29826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一、满足《中华人民共和国政府采购法》第二十二条规定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_Toc29826 \h </w:instrText>
      </w:r>
      <w:r>
        <w:rPr>
          <w:rFonts w:hint="eastAsia" w:ascii="宋体" w:hAnsi="宋体" w:eastAsia="宋体" w:cs="宋体"/>
          <w:sz w:val="24"/>
          <w:szCs w:val="24"/>
        </w:rPr>
        <w:fldChar w:fldCharType="separate"/>
      </w:r>
      <w:r>
        <w:rPr>
          <w:rFonts w:hint="eastAsia" w:ascii="宋体" w:hAnsi="宋体" w:eastAsia="宋体" w:cs="宋体"/>
          <w:sz w:val="24"/>
          <w:szCs w:val="24"/>
        </w:rPr>
        <w:t>- 88 -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44A6B802">
      <w:pPr>
        <w:pStyle w:val="24"/>
        <w:keepNext w:val="0"/>
        <w:keepLines w:val="0"/>
        <w:pageBreakBefore w:val="0"/>
        <w:widowControl w:val="0"/>
        <w:tabs>
          <w:tab w:val="right" w:leader="dot" w:pos="8306"/>
        </w:tabs>
        <w:kinsoku/>
        <w:wordWrap/>
        <w:overflowPunct/>
        <w:topLinePunct w:val="0"/>
        <w:autoSpaceDE/>
        <w:autoSpaceDN/>
        <w:bidi w:val="0"/>
        <w:adjustRightInd/>
        <w:snapToGrid/>
        <w:spacing w:line="440" w:lineRule="exact"/>
        <w:ind w:left="238"/>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_Toc10865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二、</w:t>
      </w:r>
      <w:r>
        <w:rPr>
          <w:rFonts w:hint="eastAsia" w:ascii="宋体" w:hAnsi="宋体" w:eastAsia="宋体" w:cs="宋体"/>
          <w:bCs/>
          <w:kern w:val="2"/>
          <w:sz w:val="24"/>
          <w:szCs w:val="24"/>
          <w:highlight w:val="none"/>
          <w:lang w:val="zh-CN" w:eastAsia="zh-CN" w:bidi="ar-SA"/>
        </w:rPr>
        <w:t>联合体协议书</w:t>
      </w:r>
      <w:r>
        <w:rPr>
          <w:rFonts w:hint="eastAsia" w:ascii="宋体" w:hAnsi="宋体" w:eastAsia="宋体" w:cs="宋体"/>
          <w:bCs w:val="0"/>
          <w:kern w:val="2"/>
          <w:sz w:val="24"/>
          <w:szCs w:val="24"/>
          <w:highlight w:val="none"/>
          <w:lang w:val="zh-CN" w:eastAsia="zh-CN" w:bidi="ar-SA"/>
        </w:rPr>
        <w:t>【如适用】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_Toc10865 \h </w:instrText>
      </w:r>
      <w:r>
        <w:rPr>
          <w:rFonts w:hint="eastAsia" w:ascii="宋体" w:hAnsi="宋体" w:eastAsia="宋体" w:cs="宋体"/>
          <w:sz w:val="24"/>
          <w:szCs w:val="24"/>
        </w:rPr>
        <w:fldChar w:fldCharType="separate"/>
      </w:r>
      <w:r>
        <w:rPr>
          <w:rFonts w:hint="eastAsia" w:ascii="宋体" w:hAnsi="宋体" w:eastAsia="宋体" w:cs="宋体"/>
          <w:sz w:val="24"/>
          <w:szCs w:val="24"/>
        </w:rPr>
        <w:t>- 91 -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0A33C335">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_Toc29707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三、</w:t>
      </w:r>
      <w:r>
        <w:rPr>
          <w:rFonts w:hint="eastAsia" w:ascii="宋体" w:hAnsi="宋体" w:eastAsia="宋体" w:cs="宋体"/>
          <w:bCs/>
          <w:kern w:val="2"/>
          <w:sz w:val="24"/>
          <w:szCs w:val="24"/>
          <w:highlight w:val="none"/>
          <w:lang w:val="zh-CN" w:eastAsia="zh-CN" w:bidi="ar-SA"/>
        </w:rPr>
        <w:t>分包意向协议书</w:t>
      </w:r>
      <w:r>
        <w:rPr>
          <w:rFonts w:hint="eastAsia" w:ascii="宋体" w:hAnsi="宋体" w:eastAsia="宋体" w:cs="宋体"/>
          <w:bCs w:val="0"/>
          <w:kern w:val="2"/>
          <w:sz w:val="24"/>
          <w:szCs w:val="24"/>
          <w:highlight w:val="none"/>
          <w:lang w:val="zh-CN" w:eastAsia="zh-CN" w:bidi="ar-SA"/>
        </w:rPr>
        <w:t>【如适用】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_Toc29707 \h </w:instrText>
      </w:r>
      <w:r>
        <w:rPr>
          <w:rFonts w:hint="eastAsia" w:ascii="宋体" w:hAnsi="宋体" w:eastAsia="宋体" w:cs="宋体"/>
          <w:sz w:val="24"/>
          <w:szCs w:val="24"/>
        </w:rPr>
        <w:fldChar w:fldCharType="separate"/>
      </w:r>
      <w:r>
        <w:rPr>
          <w:rFonts w:hint="eastAsia" w:ascii="宋体" w:hAnsi="宋体" w:eastAsia="宋体" w:cs="宋体"/>
          <w:sz w:val="24"/>
          <w:szCs w:val="24"/>
        </w:rPr>
        <w:t>- 93 -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75F50E4C">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_Toc2629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四、落实政府采购政策相关证明文件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_Toc2629 \h </w:instrText>
      </w:r>
      <w:r>
        <w:rPr>
          <w:rFonts w:hint="eastAsia" w:ascii="宋体" w:hAnsi="宋体" w:eastAsia="宋体" w:cs="宋体"/>
          <w:sz w:val="24"/>
          <w:szCs w:val="24"/>
        </w:rPr>
        <w:fldChar w:fldCharType="separate"/>
      </w:r>
      <w:r>
        <w:rPr>
          <w:rFonts w:hint="eastAsia" w:ascii="宋体" w:hAnsi="宋体" w:eastAsia="宋体" w:cs="宋体"/>
          <w:sz w:val="24"/>
          <w:szCs w:val="24"/>
        </w:rPr>
        <w:t>- 95 -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2C7B63B">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_Toc24243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五、不参与围标串标承诺书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_Toc24243 \h </w:instrText>
      </w:r>
      <w:r>
        <w:rPr>
          <w:rFonts w:hint="eastAsia" w:ascii="宋体" w:hAnsi="宋体" w:eastAsia="宋体" w:cs="宋体"/>
          <w:sz w:val="24"/>
          <w:szCs w:val="24"/>
        </w:rPr>
        <w:fldChar w:fldCharType="separate"/>
      </w:r>
      <w:r>
        <w:rPr>
          <w:rFonts w:hint="eastAsia" w:ascii="宋体" w:hAnsi="宋体" w:eastAsia="宋体" w:cs="宋体"/>
          <w:sz w:val="24"/>
          <w:szCs w:val="24"/>
        </w:rPr>
        <w:t>- 108 -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66A042F8">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kern w:val="2"/>
          <w:sz w:val="24"/>
          <w:szCs w:val="24"/>
          <w:highlight w:val="none"/>
          <w:lang w:val="en-US" w:eastAsia="zh-CN" w:bidi="ar-SA"/>
        </w:rPr>
        <w:t>六、</w:t>
      </w:r>
      <w:r>
        <w:rPr>
          <w:rFonts w:hint="eastAsia" w:ascii="宋体" w:hAnsi="宋体" w:eastAsia="宋体" w:cs="宋体"/>
          <w:bCs/>
          <w:kern w:val="2"/>
          <w:sz w:val="24"/>
          <w:szCs w:val="24"/>
          <w:highlight w:val="none"/>
          <w:lang w:val="zh-CN" w:eastAsia="zh-CN" w:bidi="ar-SA"/>
        </w:rPr>
        <w:t>其他资格证明文件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_Toc25539 \h </w:instrText>
      </w:r>
      <w:r>
        <w:rPr>
          <w:rFonts w:hint="eastAsia" w:ascii="宋体" w:hAnsi="宋体" w:eastAsia="宋体" w:cs="宋体"/>
          <w:sz w:val="24"/>
          <w:szCs w:val="24"/>
        </w:rPr>
        <w:fldChar w:fldCharType="separate"/>
      </w:r>
      <w:r>
        <w:rPr>
          <w:rFonts w:hint="eastAsia" w:ascii="宋体" w:hAnsi="宋体" w:eastAsia="宋体" w:cs="宋体"/>
          <w:sz w:val="24"/>
          <w:szCs w:val="24"/>
        </w:rPr>
        <w:t>- 109 -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4465744E">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_Toc138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_Toc24322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报价文件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_Toc24322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- 110 -</w:t>
      </w:r>
      <w:r>
        <w:rPr>
          <w:rFonts w:hint="eastAsia" w:ascii="宋体" w:hAnsi="宋体" w:eastAsia="宋体" w:cs="宋体"/>
          <w:b/>
          <w:bCs/>
          <w:sz w:val="24"/>
          <w:szCs w:val="24"/>
        </w:rPr>
        <w:fldChar w:fldCharType="end"/>
      </w:r>
      <w:r>
        <w:rPr>
          <w:rFonts w:hint="eastAsia" w:ascii="宋体" w:hAnsi="宋体" w:eastAsia="宋体" w:cs="宋体"/>
          <w:b/>
          <w:bCs/>
          <w:i w:val="0"/>
          <w:iCs w:val="0"/>
          <w:color w:val="auto"/>
          <w:sz w:val="24"/>
          <w:szCs w:val="24"/>
          <w:highlight w:val="none"/>
        </w:rPr>
        <w:fldChar w:fldCharType="end"/>
      </w:r>
    </w:p>
    <w:p w14:paraId="56E19E57">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_Toc15140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_Toc15140 \h </w:instrText>
      </w:r>
      <w:r>
        <w:rPr>
          <w:rFonts w:hint="eastAsia" w:ascii="宋体" w:hAnsi="宋体" w:eastAsia="宋体" w:cs="宋体"/>
          <w:sz w:val="24"/>
          <w:szCs w:val="24"/>
        </w:rPr>
        <w:fldChar w:fldCharType="separate"/>
      </w:r>
      <w:r>
        <w:rPr>
          <w:rFonts w:hint="eastAsia" w:ascii="宋体" w:hAnsi="宋体" w:eastAsia="宋体" w:cs="宋体"/>
          <w:sz w:val="24"/>
          <w:szCs w:val="24"/>
        </w:rPr>
        <w:t>- 111 -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6C8A8F79">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_Toc15952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二、已标价工程量清单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_Toc15952 \h </w:instrText>
      </w:r>
      <w:r>
        <w:rPr>
          <w:rFonts w:hint="eastAsia" w:ascii="宋体" w:hAnsi="宋体" w:eastAsia="宋体" w:cs="宋体"/>
          <w:sz w:val="24"/>
          <w:szCs w:val="24"/>
        </w:rPr>
        <w:fldChar w:fldCharType="separate"/>
      </w:r>
      <w:r>
        <w:rPr>
          <w:rFonts w:hint="eastAsia" w:ascii="宋体" w:hAnsi="宋体" w:eastAsia="宋体" w:cs="宋体"/>
          <w:sz w:val="24"/>
          <w:szCs w:val="24"/>
        </w:rPr>
        <w:t>- 112 -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781DC983">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_Toc13188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w:t>
      </w:r>
      <w:r>
        <w:rPr>
          <w:rFonts w:hint="eastAsia" w:ascii="宋体" w:hAnsi="宋体" w:eastAsia="宋体" w:cs="宋体"/>
          <w:b/>
          <w:bCs/>
          <w:i w:val="0"/>
          <w:iCs w:val="0"/>
          <w:color w:val="auto"/>
          <w:sz w:val="24"/>
          <w:szCs w:val="24"/>
          <w:highlight w:val="none"/>
        </w:rPr>
        <w:fldChar w:fldCharType="end"/>
      </w:r>
      <w:r>
        <w:rPr>
          <w:rFonts w:hint="eastAsia" w:ascii="宋体" w:hAnsi="宋体" w:eastAsia="宋体" w:cs="宋体"/>
          <w:b/>
          <w:bCs/>
          <w:i w:val="0"/>
          <w:iCs w:val="0"/>
          <w:color w:val="auto"/>
          <w:sz w:val="24"/>
          <w:szCs w:val="24"/>
          <w:highlight w:val="none"/>
        </w:rPr>
        <w:fldChar w:fldCharType="begin"/>
      </w:r>
      <w:r>
        <w:rPr>
          <w:rFonts w:hint="eastAsia" w:ascii="宋体" w:hAnsi="宋体" w:eastAsia="宋体" w:cs="宋体"/>
          <w:b/>
          <w:bCs/>
          <w:i w:val="0"/>
          <w:iCs w:val="0"/>
          <w:sz w:val="24"/>
          <w:szCs w:val="24"/>
          <w:highlight w:val="none"/>
        </w:rPr>
        <w:instrText xml:space="preserve"> HYPERLINK \l _Toc18288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sz w:val="24"/>
          <w:szCs w:val="24"/>
          <w:lang w:val="en-US" w:eastAsia="zh-CN"/>
        </w:rPr>
        <w:t>商务技术文件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_Toc18288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- 113 -</w:t>
      </w:r>
      <w:r>
        <w:rPr>
          <w:rFonts w:hint="eastAsia" w:ascii="宋体" w:hAnsi="宋体" w:eastAsia="宋体" w:cs="宋体"/>
          <w:b/>
          <w:bCs/>
          <w:sz w:val="24"/>
          <w:szCs w:val="24"/>
        </w:rPr>
        <w:fldChar w:fldCharType="end"/>
      </w:r>
      <w:r>
        <w:rPr>
          <w:rFonts w:hint="eastAsia" w:ascii="宋体" w:hAnsi="宋体" w:eastAsia="宋体" w:cs="宋体"/>
          <w:b/>
          <w:bCs/>
          <w:i w:val="0"/>
          <w:iCs w:val="0"/>
          <w:color w:val="auto"/>
          <w:sz w:val="24"/>
          <w:szCs w:val="24"/>
          <w:highlight w:val="none"/>
        </w:rPr>
        <w:fldChar w:fldCharType="end"/>
      </w:r>
    </w:p>
    <w:p w14:paraId="6750A1A2">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_Toc8710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一、响应函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_Toc8710 \h </w:instrText>
      </w:r>
      <w:r>
        <w:rPr>
          <w:rFonts w:hint="eastAsia" w:ascii="宋体" w:hAnsi="宋体" w:eastAsia="宋体" w:cs="宋体"/>
          <w:sz w:val="24"/>
          <w:szCs w:val="24"/>
        </w:rPr>
        <w:fldChar w:fldCharType="separate"/>
      </w:r>
      <w:r>
        <w:rPr>
          <w:rFonts w:hint="eastAsia" w:ascii="宋体" w:hAnsi="宋体" w:eastAsia="宋体" w:cs="宋体"/>
          <w:sz w:val="24"/>
          <w:szCs w:val="24"/>
        </w:rPr>
        <w:t>- 114 -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996391E">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_Toc15463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_Toc15463 \h </w:instrText>
      </w:r>
      <w:r>
        <w:rPr>
          <w:rFonts w:hint="eastAsia" w:ascii="宋体" w:hAnsi="宋体" w:eastAsia="宋体" w:cs="宋体"/>
          <w:sz w:val="24"/>
          <w:szCs w:val="24"/>
        </w:rPr>
        <w:fldChar w:fldCharType="separate"/>
      </w:r>
      <w:r>
        <w:rPr>
          <w:rFonts w:hint="eastAsia" w:ascii="宋体" w:hAnsi="宋体" w:eastAsia="宋体" w:cs="宋体"/>
          <w:sz w:val="24"/>
          <w:szCs w:val="24"/>
        </w:rPr>
        <w:t>- 116 -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EB099C1">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_Toc26442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_Toc26442 \h </w:instrText>
      </w:r>
      <w:r>
        <w:rPr>
          <w:rFonts w:hint="eastAsia" w:ascii="宋体" w:hAnsi="宋体" w:eastAsia="宋体" w:cs="宋体"/>
          <w:sz w:val="24"/>
          <w:szCs w:val="24"/>
        </w:rPr>
        <w:fldChar w:fldCharType="separate"/>
      </w:r>
      <w:r>
        <w:rPr>
          <w:rFonts w:hint="eastAsia" w:ascii="宋体" w:hAnsi="宋体" w:eastAsia="宋体" w:cs="宋体"/>
          <w:sz w:val="24"/>
          <w:szCs w:val="24"/>
        </w:rPr>
        <w:t>- 117 -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CFCA25D">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_Toc20288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zh-CN" w:eastAsia="zh-CN" w:bidi="ar-SA"/>
        </w:rPr>
        <w:t>政府采购供应商廉洁自律承诺书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_Toc20288 \h </w:instrText>
      </w:r>
      <w:r>
        <w:rPr>
          <w:rFonts w:hint="eastAsia" w:ascii="宋体" w:hAnsi="宋体" w:eastAsia="宋体" w:cs="宋体"/>
          <w:sz w:val="24"/>
          <w:szCs w:val="24"/>
        </w:rPr>
        <w:fldChar w:fldCharType="separate"/>
      </w:r>
      <w:r>
        <w:rPr>
          <w:rFonts w:hint="eastAsia" w:ascii="宋体" w:hAnsi="宋体" w:eastAsia="宋体" w:cs="宋体"/>
          <w:sz w:val="24"/>
          <w:szCs w:val="24"/>
        </w:rPr>
        <w:t>- 118 -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EA1135E">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_Toc6515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sz w:val="24"/>
          <w:szCs w:val="24"/>
          <w:lang w:val="en-US" w:eastAsia="zh-CN"/>
        </w:rPr>
        <w:t>五、实质性响应一览表</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本表须与第四章的一致】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_Toc6515 \h </w:instrText>
      </w:r>
      <w:r>
        <w:rPr>
          <w:rFonts w:hint="eastAsia" w:ascii="宋体" w:hAnsi="宋体" w:eastAsia="宋体" w:cs="宋体"/>
          <w:sz w:val="24"/>
          <w:szCs w:val="24"/>
        </w:rPr>
        <w:fldChar w:fldCharType="separate"/>
      </w:r>
      <w:r>
        <w:rPr>
          <w:rFonts w:hint="eastAsia" w:ascii="宋体" w:hAnsi="宋体" w:eastAsia="宋体" w:cs="宋体"/>
          <w:sz w:val="24"/>
          <w:szCs w:val="24"/>
        </w:rPr>
        <w:t>- 119 -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23CEE07">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_Toc16585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六、商务响应偏离表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_Toc16585 \h </w:instrText>
      </w:r>
      <w:r>
        <w:rPr>
          <w:rFonts w:hint="eastAsia" w:ascii="宋体" w:hAnsi="宋体" w:eastAsia="宋体" w:cs="宋体"/>
          <w:sz w:val="24"/>
          <w:szCs w:val="24"/>
        </w:rPr>
        <w:fldChar w:fldCharType="separate"/>
      </w:r>
      <w:r>
        <w:rPr>
          <w:rFonts w:hint="eastAsia" w:ascii="宋体" w:hAnsi="宋体" w:eastAsia="宋体" w:cs="宋体"/>
          <w:sz w:val="24"/>
          <w:szCs w:val="24"/>
        </w:rPr>
        <w:t>- 120 -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D7D779B">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_Toc21605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七、业绩证明文件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_Toc21605 \h </w:instrText>
      </w:r>
      <w:r>
        <w:rPr>
          <w:rFonts w:hint="eastAsia" w:ascii="宋体" w:hAnsi="宋体" w:eastAsia="宋体" w:cs="宋体"/>
          <w:sz w:val="24"/>
          <w:szCs w:val="24"/>
        </w:rPr>
        <w:fldChar w:fldCharType="separate"/>
      </w:r>
      <w:r>
        <w:rPr>
          <w:rFonts w:hint="eastAsia" w:ascii="宋体" w:hAnsi="宋体" w:eastAsia="宋体" w:cs="宋体"/>
          <w:sz w:val="24"/>
          <w:szCs w:val="24"/>
        </w:rPr>
        <w:t>- 121 -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3AA650DC">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_Toc27235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八、拟派项目团队</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_Toc27235 \h </w:instrText>
      </w:r>
      <w:r>
        <w:rPr>
          <w:rFonts w:hint="eastAsia" w:ascii="宋体" w:hAnsi="宋体" w:eastAsia="宋体" w:cs="宋体"/>
          <w:sz w:val="24"/>
          <w:szCs w:val="24"/>
        </w:rPr>
        <w:fldChar w:fldCharType="separate"/>
      </w:r>
      <w:r>
        <w:rPr>
          <w:rFonts w:hint="eastAsia" w:ascii="宋体" w:hAnsi="宋体" w:eastAsia="宋体" w:cs="宋体"/>
          <w:sz w:val="24"/>
          <w:szCs w:val="24"/>
        </w:rPr>
        <w:t>- 122 -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A92777B">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_Toc11494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九、技术响应偏离表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_Toc11494 \h </w:instrText>
      </w:r>
      <w:r>
        <w:rPr>
          <w:rFonts w:hint="eastAsia" w:ascii="宋体" w:hAnsi="宋体" w:eastAsia="宋体" w:cs="宋体"/>
          <w:sz w:val="24"/>
          <w:szCs w:val="24"/>
        </w:rPr>
        <w:fldChar w:fldCharType="separate"/>
      </w:r>
      <w:r>
        <w:rPr>
          <w:rFonts w:hint="eastAsia" w:ascii="宋体" w:hAnsi="宋体" w:eastAsia="宋体" w:cs="宋体"/>
          <w:sz w:val="24"/>
          <w:szCs w:val="24"/>
        </w:rPr>
        <w:t>- 123 -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1E636A01">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_Toc13078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十、技术方案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_Toc13078 \h </w:instrText>
      </w:r>
      <w:r>
        <w:rPr>
          <w:rFonts w:hint="eastAsia" w:ascii="宋体" w:hAnsi="宋体" w:eastAsia="宋体" w:cs="宋体"/>
          <w:sz w:val="24"/>
          <w:szCs w:val="24"/>
        </w:rPr>
        <w:fldChar w:fldCharType="separate"/>
      </w:r>
      <w:r>
        <w:rPr>
          <w:rFonts w:hint="eastAsia" w:ascii="宋体" w:hAnsi="宋体" w:eastAsia="宋体" w:cs="宋体"/>
          <w:sz w:val="24"/>
          <w:szCs w:val="24"/>
        </w:rPr>
        <w:t>- 124 -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584D4A19">
      <w:pPr>
        <w:pStyle w:val="24"/>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_Toc26060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十一、其他文件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_Toc26060 \h </w:instrText>
      </w:r>
      <w:r>
        <w:rPr>
          <w:rFonts w:hint="eastAsia" w:ascii="宋体" w:hAnsi="宋体" w:eastAsia="宋体" w:cs="宋体"/>
          <w:sz w:val="24"/>
          <w:szCs w:val="24"/>
        </w:rPr>
        <w:fldChar w:fldCharType="separate"/>
      </w:r>
      <w:r>
        <w:rPr>
          <w:rFonts w:hint="eastAsia" w:ascii="宋体" w:hAnsi="宋体" w:eastAsia="宋体" w:cs="宋体"/>
          <w:sz w:val="24"/>
          <w:szCs w:val="24"/>
        </w:rPr>
        <w:t>- 125 -</w:t>
      </w:r>
      <w:r>
        <w:rPr>
          <w:rFonts w:hint="eastAsia" w:ascii="宋体" w:hAnsi="宋体" w:eastAsia="宋体" w:cs="宋体"/>
          <w:sz w:val="24"/>
          <w:szCs w:val="24"/>
        </w:rPr>
        <w:fldChar w:fldCharType="end"/>
      </w:r>
      <w:r>
        <w:rPr>
          <w:rFonts w:hint="eastAsia" w:ascii="宋体" w:hAnsi="宋体" w:eastAsia="宋体" w:cs="宋体"/>
          <w:i w:val="0"/>
          <w:iCs w:val="0"/>
          <w:color w:val="auto"/>
          <w:sz w:val="24"/>
          <w:szCs w:val="24"/>
          <w:highlight w:val="none"/>
        </w:rPr>
        <w:fldChar w:fldCharType="end"/>
      </w:r>
    </w:p>
    <w:p w14:paraId="4D90D7D4">
      <w:pPr>
        <w:outlineLvl w:val="1"/>
        <w:rPr>
          <w:rFonts w:ascii="黑体" w:hAnsi="黑体" w:eastAsia="黑体"/>
          <w:i w:val="0"/>
          <w:iCs w:val="0"/>
          <w:color w:val="auto"/>
          <w:sz w:val="32"/>
          <w:szCs w:val="32"/>
          <w:highlight w:val="none"/>
        </w:rPr>
      </w:pPr>
      <w:r>
        <w:rPr>
          <w:i w:val="0"/>
          <w:iCs w:val="0"/>
          <w:color w:val="auto"/>
          <w:highlight w:val="none"/>
        </w:rPr>
        <w:fldChar w:fldCharType="end"/>
      </w:r>
    </w:p>
    <w:p w14:paraId="281C2E4C">
      <w:pPr>
        <w:jc w:val="center"/>
        <w:outlineLvl w:val="1"/>
        <w:rPr>
          <w:rFonts w:ascii="黑体" w:hAnsi="黑体" w:eastAsia="黑体"/>
          <w:i w:val="0"/>
          <w:iCs w:val="0"/>
          <w:color w:val="auto"/>
          <w:sz w:val="32"/>
          <w:szCs w:val="32"/>
          <w:highlight w:val="none"/>
        </w:rPr>
        <w:sectPr>
          <w:headerReference r:id="rId5" w:type="default"/>
          <w:pgSz w:w="11906" w:h="16838"/>
          <w:pgMar w:top="1440" w:right="1800" w:bottom="1440" w:left="1800" w:header="851" w:footer="992" w:gutter="0"/>
          <w:pgNumType w:fmt="decimal"/>
          <w:cols w:space="425" w:num="1"/>
          <w:docGrid w:type="lines" w:linePitch="312" w:charSpace="0"/>
        </w:sectPr>
      </w:pPr>
    </w:p>
    <w:p w14:paraId="0DDCC6E5">
      <w:pPr>
        <w:pStyle w:val="5"/>
        <w:keepNext/>
        <w:keepLines/>
        <w:pageBreakBefore w:val="0"/>
        <w:widowControl w:val="0"/>
        <w:numPr>
          <w:ilvl w:val="0"/>
          <w:numId w:val="0"/>
        </w:numPr>
        <w:kinsoku/>
        <w:wordWrap/>
        <w:overflowPunct/>
        <w:topLinePunct w:val="0"/>
        <w:autoSpaceDE/>
        <w:autoSpaceDN/>
        <w:bidi w:val="0"/>
        <w:adjustRightInd/>
        <w:snapToGrid/>
        <w:spacing w:before="100" w:after="90" w:line="36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828"/>
      <w:r>
        <w:rPr>
          <w:rFonts w:hint="eastAsia" w:ascii="宋体" w:hAnsi="宋体" w:eastAsia="宋体" w:cs="宋体"/>
          <w:b/>
          <w:bCs/>
          <w:i w:val="0"/>
          <w:iCs w:val="0"/>
          <w:color w:val="auto"/>
          <w:kern w:val="44"/>
          <w:sz w:val="36"/>
          <w:szCs w:val="36"/>
          <w:highlight w:val="none"/>
          <w:lang w:val="en-US" w:eastAsia="zh-CN" w:bidi="ar-SA"/>
        </w:rPr>
        <w:t>第一章 竞争性磋商公告</w:t>
      </w:r>
      <w:bookmarkEnd w:id="0"/>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6770E71">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1" w:name="_Toc7623"/>
            <w:bookmarkStart w:id="2" w:name="_Toc35393798"/>
            <w:bookmarkStart w:id="3" w:name="_Toc109900248"/>
            <w:bookmarkStart w:id="4" w:name="_Toc35393629"/>
            <w:bookmarkStart w:id="5" w:name="_Toc163492812"/>
            <w:bookmarkStart w:id="6" w:name="_Toc109899829"/>
            <w:bookmarkStart w:id="7" w:name="_Toc28359089"/>
            <w:bookmarkStart w:id="8" w:name="_Toc28359012"/>
            <w:bookmarkStart w:id="9" w:name="_Toc109899410"/>
            <w:bookmarkStart w:id="10" w:name="_Toc140132745"/>
            <w:bookmarkStart w:id="11" w:name="_Toc155185860"/>
            <w:bookmarkStart w:id="12" w:name="_Toc44583628"/>
            <w:r>
              <w:rPr>
                <w:rFonts w:hint="eastAsia"/>
                <w:i w:val="0"/>
                <w:iCs w:val="0"/>
                <w:color w:val="auto"/>
                <w:sz w:val="24"/>
                <w:szCs w:val="24"/>
                <w:highlight w:val="none"/>
                <w:lang w:val="en-US" w:eastAsia="zh-CN"/>
              </w:rPr>
              <w:t>项目概况：</w:t>
            </w:r>
            <w:bookmarkEnd w:id="1"/>
          </w:p>
          <w:p w14:paraId="012A79A2">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塔里木河流域车尔臣河水利管理中心2026年公益性水利工程维修养护项目（第二次）</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采购项目的潜在供应商应在</w:t>
            </w:r>
            <w:r>
              <w:rPr>
                <w:rFonts w:hint="default" w:ascii="宋体" w:hAnsi="宋体" w:eastAsia="宋体" w:cstheme="minorBidi"/>
                <w:i w:val="0"/>
                <w:iCs w:val="0"/>
                <w:color w:val="auto"/>
                <w:kern w:val="2"/>
                <w:sz w:val="24"/>
                <w:szCs w:val="22"/>
                <w:highlight w:val="none"/>
                <w:u w:val="single"/>
                <w:lang w:val="en-US" w:eastAsia="zh-CN" w:bidi="ar-SA"/>
              </w:rPr>
              <w:t>（政采云平台线上）</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4</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24</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11</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时00</w:t>
            </w:r>
            <w:r>
              <w:rPr>
                <w:rFonts w:hint="default" w:ascii="宋体" w:hAnsi="宋体" w:eastAsia="宋体" w:cstheme="minorBidi"/>
                <w:i w:val="0"/>
                <w:iCs w:val="0"/>
                <w:color w:val="auto"/>
                <w:kern w:val="2"/>
                <w:sz w:val="24"/>
                <w:szCs w:val="22"/>
                <w:highlight w:val="none"/>
                <w:u w:val="single"/>
                <w:lang w:val="en-US"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3" w:name="_Toc13157"/>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2"/>
      <w:bookmarkEnd w:id="3"/>
      <w:bookmarkEnd w:id="4"/>
      <w:bookmarkEnd w:id="5"/>
      <w:bookmarkEnd w:id="6"/>
      <w:bookmarkEnd w:id="7"/>
      <w:bookmarkEnd w:id="8"/>
      <w:bookmarkEnd w:id="9"/>
      <w:bookmarkEnd w:id="10"/>
      <w:bookmarkEnd w:id="11"/>
      <w:bookmarkEnd w:id="12"/>
      <w:bookmarkEnd w:id="13"/>
    </w:p>
    <w:p w14:paraId="590E39A6">
      <w:pPr>
        <w:pStyle w:val="34"/>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hr-HR"/>
        </w:rPr>
        <w:t>1.项目编号：</w:t>
      </w:r>
      <w:r>
        <w:rPr>
          <w:rFonts w:hint="eastAsia" w:cs="宋体"/>
          <w:i w:val="0"/>
          <w:iCs w:val="0"/>
          <w:color w:val="auto"/>
          <w:sz w:val="24"/>
          <w:szCs w:val="24"/>
          <w:highlight w:val="none"/>
          <w:lang w:val="hr-HR" w:eastAsia="zh-CN"/>
        </w:rPr>
        <w:t>XJGH-ZC2026-01（02）</w:t>
      </w:r>
    </w:p>
    <w:p w14:paraId="78750AE3">
      <w:pPr>
        <w:pStyle w:val="34"/>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cs="宋体"/>
          <w:i w:val="0"/>
          <w:iCs w:val="0"/>
          <w:color w:val="auto"/>
          <w:sz w:val="24"/>
          <w:szCs w:val="24"/>
          <w:highlight w:val="none"/>
          <w:lang w:val="hr-HR" w:eastAsia="zh-CN"/>
        </w:rPr>
        <w:t>塔里木河流域车尔臣河水利管理中心2026年公益性水利工程维修养护项目（第二次）</w:t>
      </w:r>
    </w:p>
    <w:p w14:paraId="3CE35A7E">
      <w:pPr>
        <w:pStyle w:val="3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78A90596">
      <w:pPr>
        <w:pStyle w:val="34"/>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cs="宋体"/>
          <w:i w:val="0"/>
          <w:iCs w:val="0"/>
          <w:color w:val="auto"/>
          <w:sz w:val="24"/>
          <w:szCs w:val="24"/>
          <w:highlight w:val="none"/>
          <w:lang w:val="en-US" w:eastAsia="zh-CN"/>
        </w:rPr>
        <w:t>466000</w:t>
      </w:r>
    </w:p>
    <w:p w14:paraId="7851BE2C">
      <w:pPr>
        <w:keepNext w:val="0"/>
        <w:keepLines w:val="0"/>
        <w:widowControl/>
        <w:suppressLineNumbers w:val="0"/>
        <w:ind w:firstLine="480" w:firstLineChars="200"/>
        <w:jc w:val="left"/>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val="hr-HR"/>
        </w:rPr>
        <w:t>：</w:t>
      </w:r>
      <w:r>
        <w:rPr>
          <w:rFonts w:hint="eastAsia" w:cs="宋体"/>
          <w:i w:val="0"/>
          <w:iCs w:val="0"/>
          <w:color w:val="auto"/>
          <w:sz w:val="24"/>
          <w:szCs w:val="24"/>
          <w:highlight w:val="none"/>
          <w:lang w:val="en-US" w:eastAsia="zh-CN"/>
        </w:rPr>
        <w:t>423367.08</w:t>
      </w:r>
    </w:p>
    <w:p w14:paraId="242750DC">
      <w:pPr>
        <w:pStyle w:val="34"/>
        <w:rPr>
          <w:rFonts w:hint="eastAsia" w:ascii="宋体" w:hAnsi="宋体" w:eastAsia="宋体" w:cs="宋体"/>
          <w:i w:val="0"/>
          <w:iCs w:val="0"/>
          <w:color w:val="auto"/>
          <w:sz w:val="24"/>
          <w:szCs w:val="24"/>
          <w:highlight w:val="none"/>
          <w:u w:val="single"/>
          <w:lang w:eastAsia="zh-CN"/>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cs="宋体"/>
          <w:i w:val="0"/>
          <w:iCs w:val="0"/>
          <w:color w:val="auto"/>
          <w:sz w:val="24"/>
          <w:szCs w:val="24"/>
          <w:highlight w:val="none"/>
          <w:lang w:val="hr-HR" w:eastAsia="zh-CN"/>
        </w:rPr>
        <w:t>车尔臣河水利管理中心水利工程维修养护</w:t>
      </w:r>
    </w:p>
    <w:p w14:paraId="56FBF6DA">
      <w:pPr>
        <w:pStyle w:val="34"/>
        <w:keepNext w:val="0"/>
        <w:keepLines w:val="0"/>
        <w:pageBreakBefore w:val="0"/>
        <w:widowControl w:val="0"/>
        <w:kinsoku/>
        <w:wordWrap w:val="0"/>
        <w:overflowPunct/>
        <w:topLinePunct w:val="0"/>
        <w:autoSpaceDE/>
        <w:autoSpaceDN/>
        <w:bidi w:val="0"/>
        <w:adjustRightInd/>
        <w:snapToGrid/>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.合同履行期限：</w:t>
      </w:r>
      <w:r>
        <w:rPr>
          <w:rFonts w:hint="eastAsia" w:cs="宋体"/>
          <w:i w:val="0"/>
          <w:iCs w:val="0"/>
          <w:color w:val="auto"/>
          <w:sz w:val="24"/>
          <w:szCs w:val="24"/>
          <w:highlight w:val="none"/>
          <w:lang w:val="en-US" w:eastAsia="zh-CN"/>
        </w:rPr>
        <w:t>自合同签订之日起210日历天</w:t>
      </w:r>
    </w:p>
    <w:p w14:paraId="4B098642">
      <w:pPr>
        <w:pStyle w:val="34"/>
        <w:rPr>
          <w:rFonts w:hint="eastAsia" w:ascii="宋体" w:hAnsi="宋体" w:eastAsia="宋体" w:cs="宋体"/>
          <w:i w:val="0"/>
          <w:iCs w:val="0"/>
          <w:color w:val="auto"/>
          <w:sz w:val="24"/>
          <w:szCs w:val="24"/>
          <w:highlight w:val="none"/>
          <w:lang w:val="en-US" w:eastAsia="zh-CN"/>
        </w:rPr>
      </w:pPr>
      <w:bookmarkStart w:id="14" w:name="_Toc35393799"/>
      <w:bookmarkStart w:id="15" w:name="_Toc35393630"/>
      <w:bookmarkStart w:id="16" w:name="_Toc28359013"/>
      <w:bookmarkStart w:id="17" w:name="_Toc28359090"/>
      <w:bookmarkStart w:id="18" w:name="_Toc44583629"/>
      <w:r>
        <w:rPr>
          <w:rFonts w:hint="eastAsia" w:ascii="宋体" w:hAnsi="宋体" w:eastAsia="宋体" w:cs="宋体"/>
          <w:i w:val="0"/>
          <w:iCs w:val="0"/>
          <w:color w:val="auto"/>
          <w:sz w:val="24"/>
          <w:szCs w:val="24"/>
          <w:highlight w:val="none"/>
          <w:lang w:val="en-US" w:eastAsia="zh-CN"/>
        </w:rPr>
        <w:t>8.</w:t>
      </w:r>
      <w:bookmarkStart w:id="19" w:name="_Hlk162011358"/>
      <w:r>
        <w:rPr>
          <w:rFonts w:hint="eastAsia" w:ascii="宋体" w:hAnsi="宋体" w:eastAsia="宋体" w:cs="宋体"/>
          <w:i w:val="0"/>
          <w:iCs w:val="0"/>
          <w:color w:val="auto"/>
          <w:sz w:val="24"/>
          <w:szCs w:val="24"/>
          <w:highlight w:val="none"/>
          <w:lang w:val="en-US" w:eastAsia="zh-CN"/>
        </w:rPr>
        <w:t>本项目是否接受联合体响应：□是</w:t>
      </w:r>
      <w:bookmarkEnd w:id="19"/>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bookmarkEnd w:id="14"/>
    <w:bookmarkEnd w:id="15"/>
    <w:bookmarkEnd w:id="16"/>
    <w:bookmarkEnd w:id="17"/>
    <w:bookmarkEnd w:id="18"/>
    <w:p w14:paraId="25D3966E">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0" w:name="_Toc155185861"/>
      <w:bookmarkStart w:id="21" w:name="_Toc109900249"/>
      <w:bookmarkStart w:id="22" w:name="_Toc109899830"/>
      <w:bookmarkStart w:id="23" w:name="_Toc140132746"/>
      <w:bookmarkStart w:id="24" w:name="_Toc109899411"/>
      <w:bookmarkStart w:id="25" w:name="_Toc1273"/>
      <w:bookmarkStart w:id="26" w:name="_Toc163492813"/>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20"/>
      <w:bookmarkEnd w:id="21"/>
      <w:bookmarkEnd w:id="22"/>
      <w:bookmarkEnd w:id="23"/>
      <w:bookmarkEnd w:id="24"/>
      <w:bookmarkEnd w:id="25"/>
      <w:bookmarkEnd w:id="26"/>
    </w:p>
    <w:p w14:paraId="06488171">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7" w:name="_Hlk89807755"/>
      <w:bookmarkStart w:id="28" w:name="_Toc44583630"/>
      <w:bookmarkStart w:id="29" w:name="_Toc35393631"/>
      <w:bookmarkStart w:id="30" w:name="_Toc35393800"/>
      <w:bookmarkStart w:id="31" w:name="_Toc28359014"/>
      <w:bookmarkStart w:id="32" w:name="_Toc28359091"/>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18792F7C">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本项目专门面向</w:t>
      </w:r>
      <w:r>
        <w:rPr>
          <w:rFonts w:hint="eastAsia" w:cs="宋体"/>
          <w:i w:val="0"/>
          <w:iCs w:val="0"/>
          <w:color w:val="auto"/>
          <w:sz w:val="24"/>
          <w:szCs w:val="24"/>
          <w:highlight w:val="none"/>
          <w:lang w:val="en-US" w:eastAsia="zh-CN"/>
        </w:rPr>
        <w:t>中</w:t>
      </w:r>
      <w:r>
        <w:rPr>
          <w:rFonts w:hint="eastAsia" w:ascii="宋体" w:hAnsi="宋体" w:eastAsia="宋体" w:cs="宋体"/>
          <w:i w:val="0"/>
          <w:iCs w:val="0"/>
          <w:color w:val="auto"/>
          <w:sz w:val="24"/>
          <w:szCs w:val="24"/>
          <w:highlight w:val="none"/>
        </w:rPr>
        <w:t>小微企业采购。</w:t>
      </w:r>
    </w:p>
    <w:p w14:paraId="44C97611">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①财政部、国家发展改革委、生态环境部、市场监管总局《关于调整优化节能产品、环境标志产品政府采购执行机制的通知》（财库[2019]9号文）；</w:t>
      </w:r>
    </w:p>
    <w:p w14:paraId="5664363A">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②财政部、生态环境部《关于印发环境标志产品政府采购品目清单的通知》（财库[2019]18号文）；</w:t>
      </w:r>
    </w:p>
    <w:p w14:paraId="2287CA9A">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③财政部、发展改革委《关于印发节能产品政府采购品目清单的通知》（财库[2019]19号文）；</w:t>
      </w:r>
    </w:p>
    <w:p w14:paraId="2749DD54">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④根据财政部、工业和信息化部发布的关于印发《政府采购促进中小企业发展管理办法》的通知（财库[2020]46号规定执行）；</w:t>
      </w:r>
    </w:p>
    <w:p w14:paraId="491E4D53">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⑤财政部、民政部、中国残疾人联合会《关于促进残疾人就业政府采购政策的通知》（财库【2017】141号）;</w:t>
      </w:r>
    </w:p>
    <w:p w14:paraId="099BBA71">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⑥财政部、司法部《关于政府采购支持监狱企业发展有关问题的通知》（财库[2014]68号文）。</w:t>
      </w:r>
    </w:p>
    <w:p w14:paraId="3FE0013E">
      <w:pPr>
        <w:ind w:firstLine="480" w:firstLineChars="200"/>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r>
        <w:rPr>
          <w:rFonts w:hint="eastAsia" w:cs="宋体"/>
          <w:i w:val="0"/>
          <w:iCs w:val="0"/>
          <w:color w:val="auto"/>
          <w:sz w:val="24"/>
          <w:szCs w:val="24"/>
          <w:highlight w:val="none"/>
          <w:u w:val="none"/>
          <w:lang w:val="en-US" w:eastAsia="zh-CN"/>
        </w:rPr>
        <w:t>无</w:t>
      </w:r>
    </w:p>
    <w:p w14:paraId="647C4449">
      <w:pPr>
        <w:pStyle w:val="3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 其他资格要求：</w:t>
      </w:r>
    </w:p>
    <w:p w14:paraId="788C2C6F">
      <w:pPr>
        <w:pStyle w:val="34"/>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en-US" w:eastAsia="zh-CN"/>
        </w:rPr>
        <w:t>须具备有效的</w:t>
      </w:r>
      <w:r>
        <w:rPr>
          <w:rFonts w:hint="eastAsia" w:cs="宋体"/>
          <w:i w:val="0"/>
          <w:iCs w:val="0"/>
          <w:color w:val="auto"/>
          <w:sz w:val="24"/>
          <w:szCs w:val="24"/>
          <w:highlight w:val="none"/>
          <w:lang w:val="en-US" w:eastAsia="zh-CN"/>
        </w:rPr>
        <w:t>水利水电工程</w:t>
      </w:r>
      <w:r>
        <w:rPr>
          <w:rFonts w:hint="eastAsia" w:ascii="宋体" w:hAnsi="宋体" w:eastAsia="宋体" w:cs="宋体"/>
          <w:i w:val="0"/>
          <w:iCs w:val="0"/>
          <w:color w:val="auto"/>
          <w:sz w:val="24"/>
          <w:szCs w:val="24"/>
          <w:highlight w:val="none"/>
          <w:lang w:val="en-US" w:eastAsia="zh-CN"/>
        </w:rPr>
        <w:t>施工总承包</w:t>
      </w:r>
      <w:r>
        <w:rPr>
          <w:rFonts w:hint="eastAsia" w:cs="宋体"/>
          <w:i w:val="0"/>
          <w:iCs w:val="0"/>
          <w:color w:val="auto"/>
          <w:sz w:val="24"/>
          <w:szCs w:val="24"/>
          <w:highlight w:val="none"/>
          <w:lang w:val="en-US" w:eastAsia="zh-CN"/>
        </w:rPr>
        <w:t>贰</w:t>
      </w:r>
      <w:r>
        <w:rPr>
          <w:rFonts w:hint="eastAsia" w:ascii="宋体" w:hAnsi="宋体" w:eastAsia="宋体" w:cs="宋体"/>
          <w:i w:val="0"/>
          <w:iCs w:val="0"/>
          <w:color w:val="auto"/>
          <w:sz w:val="24"/>
          <w:szCs w:val="24"/>
          <w:highlight w:val="none"/>
          <w:lang w:val="en-US" w:eastAsia="zh-CN"/>
        </w:rPr>
        <w:t>级（含</w:t>
      </w:r>
      <w:r>
        <w:rPr>
          <w:rFonts w:hint="eastAsia" w:cs="宋体"/>
          <w:i w:val="0"/>
          <w:iCs w:val="0"/>
          <w:color w:val="auto"/>
          <w:sz w:val="24"/>
          <w:szCs w:val="24"/>
          <w:highlight w:val="none"/>
          <w:lang w:val="en-US" w:eastAsia="zh-CN"/>
        </w:rPr>
        <w:t>贰</w:t>
      </w:r>
      <w:r>
        <w:rPr>
          <w:rFonts w:hint="eastAsia" w:ascii="宋体" w:hAnsi="宋体" w:eastAsia="宋体" w:cs="宋体"/>
          <w:i w:val="0"/>
          <w:iCs w:val="0"/>
          <w:color w:val="auto"/>
          <w:sz w:val="24"/>
          <w:szCs w:val="24"/>
          <w:highlight w:val="none"/>
          <w:lang w:val="en-US" w:eastAsia="zh-CN"/>
        </w:rPr>
        <w:t>级）及以上资质</w:t>
      </w:r>
      <w:r>
        <w:rPr>
          <w:rFonts w:hint="eastAsia" w:cs="宋体"/>
          <w:i w:val="0"/>
          <w:iCs w:val="0"/>
          <w:color w:val="auto"/>
          <w:sz w:val="24"/>
          <w:szCs w:val="24"/>
          <w:highlight w:val="none"/>
          <w:lang w:val="en-US" w:eastAsia="zh-CN"/>
        </w:rPr>
        <w:t>，项目负责人：须具备有效的水利工程二级（含）及以上注册建造师执业资格，且有效的安全生产考核合格证（B 类），且未担任其他在施建设工程项目的项目负责人。 </w:t>
      </w:r>
    </w:p>
    <w:p w14:paraId="1987EDBD">
      <w:pPr>
        <w:pStyle w:val="34"/>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6FA5632F">
      <w:pPr>
        <w:pStyle w:val="34"/>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w:t>
      </w:r>
      <w:r>
        <w:rPr>
          <w:rFonts w:hint="eastAsia"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2E41B4F7">
      <w:pPr>
        <w:pStyle w:val="34"/>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lang w:val="hr-HR" w:eastAsia="zh-CN"/>
        </w:rPr>
        <w:t>（</w:t>
      </w:r>
      <w:r>
        <w:rPr>
          <w:rFonts w:hint="eastAsia"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hr-HR"/>
        </w:rPr>
        <w:t>供应商的信用行为</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在</w:t>
      </w:r>
      <w:r>
        <w:rPr>
          <w:rFonts w:hint="eastAsia" w:ascii="宋体" w:hAnsi="宋体" w:eastAsia="宋体" w:cs="宋体"/>
          <w:i w:val="0"/>
          <w:iCs w:val="0"/>
          <w:color w:val="auto"/>
          <w:sz w:val="24"/>
          <w:szCs w:val="24"/>
          <w:highlight w:val="none"/>
          <w:lang w:val="en-US" w:eastAsia="zh-CN"/>
        </w:rPr>
        <w:t>资格审查阶段经查询</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i w:val="0"/>
          <w:iCs w:val="0"/>
          <w:color w:val="auto"/>
          <w:sz w:val="24"/>
          <w:szCs w:val="24"/>
          <w:highlight w:val="none"/>
          <w:lang w:val="hr-HR"/>
        </w:rPr>
        <w:t>其中之一</w:t>
      </w:r>
      <w:r>
        <w:rPr>
          <w:rFonts w:hint="eastAsia" w:ascii="宋体" w:hAnsi="宋体" w:eastAsia="宋体" w:cs="宋体"/>
          <w:i w:val="0"/>
          <w:iCs w:val="0"/>
          <w:color w:val="auto"/>
          <w:sz w:val="24"/>
          <w:szCs w:val="24"/>
          <w:highlight w:val="none"/>
          <w:lang w:val="hr-HR" w:eastAsia="zh-CN"/>
        </w:rPr>
        <w:t>。如有以上不良信用记录</w:t>
      </w:r>
      <w:r>
        <w:rPr>
          <w:rFonts w:hint="eastAsia" w:ascii="宋体" w:hAnsi="宋体" w:eastAsia="宋体" w:cs="宋体"/>
          <w:i w:val="0"/>
          <w:iCs w:val="0"/>
          <w:color w:val="auto"/>
          <w:sz w:val="24"/>
          <w:szCs w:val="24"/>
          <w:highlight w:val="none"/>
          <w:lang w:val="en-US" w:eastAsia="zh-CN"/>
        </w:rPr>
        <w:t>之一的</w:t>
      </w:r>
      <w:r>
        <w:rPr>
          <w:rFonts w:hint="eastAsia" w:ascii="宋体" w:hAnsi="宋体" w:eastAsia="宋体" w:cs="宋体"/>
          <w:b w:val="0"/>
          <w:bCs w:val="0"/>
          <w:i w:val="0"/>
          <w:iCs w:val="0"/>
          <w:color w:val="auto"/>
          <w:sz w:val="24"/>
          <w:szCs w:val="24"/>
          <w:highlight w:val="none"/>
          <w:lang w:val="en-US" w:eastAsia="zh-CN"/>
        </w:rPr>
        <w:t>，</w:t>
      </w:r>
      <w:r>
        <w:rPr>
          <w:rFonts w:hint="eastAsia" w:ascii="宋体" w:hAnsi="宋体" w:eastAsia="宋体" w:cs="宋体"/>
          <w:b w:val="0"/>
          <w:bCs w:val="0"/>
          <w:i w:val="0"/>
          <w:iCs w:val="0"/>
          <w:color w:val="auto"/>
          <w:sz w:val="24"/>
          <w:szCs w:val="24"/>
          <w:highlight w:val="none"/>
          <w:lang w:val="hr-HR" w:eastAsia="zh-CN"/>
        </w:rPr>
        <w:t>其</w:t>
      </w:r>
      <w:r>
        <w:rPr>
          <w:rFonts w:hint="eastAsia" w:ascii="宋体" w:hAnsi="宋体" w:eastAsia="宋体" w:cs="宋体"/>
          <w:b w:val="0"/>
          <w:bCs w:val="0"/>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lang w:val="hr-HR" w:eastAsia="zh-CN"/>
        </w:rPr>
        <w:t>。</w:t>
      </w:r>
    </w:p>
    <w:bookmarkEnd w:id="27"/>
    <w:p w14:paraId="33AC369A">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33" w:name="_Toc109900250"/>
      <w:bookmarkStart w:id="34" w:name="_Toc155185862"/>
      <w:bookmarkStart w:id="35" w:name="_Toc140132747"/>
      <w:bookmarkStart w:id="36" w:name="_Toc163492814"/>
      <w:bookmarkStart w:id="37" w:name="_Toc109899412"/>
      <w:bookmarkStart w:id="38" w:name="_Toc27103"/>
      <w:bookmarkStart w:id="39" w:name="_Toc109899831"/>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8"/>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s="宋体"/>
          <w:b/>
          <w:bCs/>
          <w:i w:val="0"/>
          <w:iCs w:val="0"/>
          <w:color w:val="auto"/>
          <w:kern w:val="2"/>
          <w:sz w:val="24"/>
          <w:szCs w:val="24"/>
          <w:highlight w:val="none"/>
          <w:lang w:val="hr-HR" w:eastAsia="zh-CN" w:bidi="ar-SA"/>
        </w:rPr>
        <w:t xml:space="preserve"> </w:t>
      </w:r>
    </w:p>
    <w:p w14:paraId="4A28C746">
      <w:pPr>
        <w:spacing w:line="360" w:lineRule="auto"/>
        <w:ind w:firstLine="540"/>
        <w:rPr>
          <w:rFonts w:hint="eastAsia" w:ascii="宋体" w:hAnsi="宋体" w:eastAsia="宋体" w:cs="宋体"/>
          <w:i w:val="0"/>
          <w:iCs w:val="0"/>
          <w:color w:val="auto"/>
          <w:sz w:val="24"/>
          <w:szCs w:val="24"/>
          <w:highlight w:val="none"/>
          <w:lang w:val="hr-HR" w:eastAsia="zh-CN"/>
        </w:rPr>
      </w:pPr>
      <w:bookmarkStart w:id="40" w:name="_Hlk130457234"/>
      <w:bookmarkStart w:id="41" w:name="_Hlk130457327"/>
      <w:bookmarkStart w:id="42" w:name="_Toc28359015"/>
      <w:bookmarkStart w:id="43" w:name="_Toc28359092"/>
      <w:bookmarkStart w:id="44" w:name="_Toc35393801"/>
      <w:bookmarkStart w:id="45" w:name="_Toc35393632"/>
      <w:bookmarkStart w:id="46" w:name="_Hlk130457261"/>
      <w:r>
        <w:rPr>
          <w:rFonts w:hint="eastAsia" w:ascii="宋体" w:hAnsi="宋体" w:eastAsia="宋体" w:cs="宋体"/>
          <w:i w:val="0"/>
          <w:iCs w:val="0"/>
          <w:color w:val="auto"/>
          <w:sz w:val="24"/>
          <w:szCs w:val="24"/>
          <w:highlight w:val="none"/>
          <w:lang w:val="hr-HR"/>
        </w:rPr>
        <w:t>1.时间：</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14</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2026</w:t>
      </w:r>
      <w:r>
        <w:rPr>
          <w:rFonts w:hint="eastAsia" w:ascii="宋体" w:hAnsi="宋体" w:eastAsia="宋体" w:cs="宋体"/>
          <w:i w:val="0"/>
          <w:iCs w:val="0"/>
          <w:color w:val="auto"/>
          <w:sz w:val="24"/>
          <w:szCs w:val="24"/>
          <w:highlight w:val="none"/>
          <w:u w:val="single"/>
        </w:rPr>
        <w:t>年</w:t>
      </w:r>
      <w:r>
        <w:rPr>
          <w:rFonts w:hint="eastAsia" w:cs="宋体"/>
          <w:i w:val="0"/>
          <w:iCs w:val="0"/>
          <w:color w:val="auto"/>
          <w:sz w:val="24"/>
          <w:szCs w:val="24"/>
          <w:highlight w:val="none"/>
          <w:u w:val="single"/>
          <w:lang w:val="en-US" w:eastAsia="zh-CN"/>
        </w:rPr>
        <w:t>4</w:t>
      </w:r>
      <w:r>
        <w:rPr>
          <w:rFonts w:hint="eastAsia" w:ascii="宋体" w:hAnsi="宋体" w:eastAsia="宋体" w:cs="宋体"/>
          <w:i w:val="0"/>
          <w:iCs w:val="0"/>
          <w:color w:val="auto"/>
          <w:sz w:val="24"/>
          <w:szCs w:val="24"/>
          <w:highlight w:val="none"/>
          <w:u w:val="single"/>
        </w:rPr>
        <w:t>月</w:t>
      </w:r>
      <w:r>
        <w:rPr>
          <w:rFonts w:hint="eastAsia" w:cs="宋体"/>
          <w:i w:val="0"/>
          <w:iCs w:val="0"/>
          <w:color w:val="auto"/>
          <w:sz w:val="24"/>
          <w:szCs w:val="24"/>
          <w:highlight w:val="none"/>
          <w:u w:val="single"/>
          <w:lang w:val="en-US" w:eastAsia="zh-CN"/>
        </w:rPr>
        <w:t>21</w:t>
      </w:r>
      <w:r>
        <w:rPr>
          <w:rFonts w:hint="eastAsia" w:ascii="宋体" w:hAnsi="宋体" w:eastAsia="宋体" w:cs="宋体"/>
          <w:i w:val="0"/>
          <w:iCs w:val="0"/>
          <w:color w:val="auto"/>
          <w:sz w:val="24"/>
          <w:szCs w:val="24"/>
          <w:highlight w:val="none"/>
          <w:u w:val="single"/>
        </w:rPr>
        <w:t>日</w:t>
      </w:r>
      <w:r>
        <w:rPr>
          <w:rFonts w:hint="eastAsia" w:ascii="宋体" w:hAnsi="宋体" w:eastAsia="宋体" w:cs="宋体"/>
          <w:i w:val="0"/>
          <w:iCs w:val="0"/>
          <w:color w:val="auto"/>
          <w:sz w:val="24"/>
          <w:szCs w:val="24"/>
          <w:highlight w:val="none"/>
          <w:u w:val="none"/>
        </w:rPr>
        <w:t>，每天上午</w:t>
      </w:r>
      <w:r>
        <w:rPr>
          <w:rFonts w:hint="eastAsia" w:cs="宋体"/>
          <w:i w:val="0"/>
          <w:iCs w:val="0"/>
          <w:color w:val="auto"/>
          <w:sz w:val="24"/>
          <w:szCs w:val="24"/>
          <w:highlight w:val="none"/>
          <w:u w:val="single"/>
          <w:lang w:val="en-US" w:eastAsia="zh-CN"/>
        </w:rPr>
        <w:t>00：00</w:t>
      </w:r>
      <w:r>
        <w:rPr>
          <w:rFonts w:hint="eastAsia" w:ascii="宋体" w:hAnsi="宋体" w:eastAsia="宋体" w:cs="宋体"/>
          <w:i w:val="0"/>
          <w:iCs w:val="0"/>
          <w:color w:val="auto"/>
          <w:sz w:val="24"/>
          <w:szCs w:val="24"/>
          <w:highlight w:val="none"/>
          <w:u w:val="none"/>
        </w:rPr>
        <w:t>至</w:t>
      </w:r>
      <w:r>
        <w:rPr>
          <w:rFonts w:hint="eastAsia" w:cs="宋体"/>
          <w:i w:val="0"/>
          <w:iCs w:val="0"/>
          <w:color w:val="auto"/>
          <w:sz w:val="24"/>
          <w:szCs w:val="24"/>
          <w:highlight w:val="none"/>
          <w:u w:val="single"/>
          <w:lang w:val="en-US" w:eastAsia="zh-CN"/>
        </w:rPr>
        <w:t>23：59</w:t>
      </w:r>
      <w:r>
        <w:rPr>
          <w:rFonts w:hint="eastAsia" w:ascii="宋体" w:hAnsi="宋体" w:eastAsia="宋体" w:cs="宋体"/>
          <w:i w:val="0"/>
          <w:iCs w:val="0"/>
          <w:color w:val="auto"/>
          <w:sz w:val="24"/>
          <w:szCs w:val="24"/>
          <w:highlight w:val="none"/>
          <w:u w:val="none"/>
        </w:rPr>
        <w:t>（北京时间，法定节假日除外）</w:t>
      </w:r>
      <w:r>
        <w:rPr>
          <w:rFonts w:hint="eastAsia" w:ascii="宋体" w:hAnsi="宋体" w:eastAsia="宋体" w:cs="宋体"/>
          <w:i w:val="0"/>
          <w:iCs w:val="0"/>
          <w:color w:val="auto"/>
          <w:sz w:val="24"/>
          <w:szCs w:val="24"/>
          <w:highlight w:val="none"/>
          <w:lang w:eastAsia="zh-CN"/>
        </w:rPr>
        <w:t>。</w:t>
      </w:r>
    </w:p>
    <w:bookmarkEnd w:id="40"/>
    <w:p w14:paraId="42FCE029">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7" w:name="_Hlk89807779"/>
      <w:r>
        <w:rPr>
          <w:rFonts w:hint="eastAsia"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政府采购</w:t>
      </w:r>
      <w:r>
        <w:rPr>
          <w:rFonts w:hint="eastAsia" w:ascii="宋体" w:hAnsi="宋体" w:eastAsia="宋体" w:cs="宋体"/>
          <w:i w:val="0"/>
          <w:iCs w:val="0"/>
          <w:color w:val="auto"/>
          <w:sz w:val="24"/>
          <w:szCs w:val="24"/>
          <w:highlight w:val="none"/>
          <w:lang w:val="en-US"/>
        </w:rPr>
        <w:t>电子交易云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rPr>
        <w:t>网址</w:t>
      </w:r>
      <w:r>
        <w:rPr>
          <w:rFonts w:hint="eastAsia" w:ascii="宋体" w:hAnsi="宋体" w:eastAsia="宋体" w:cs="宋体"/>
          <w:i w:val="0"/>
          <w:iCs w:val="0"/>
          <w:color w:val="auto"/>
          <w:sz w:val="24"/>
          <w:szCs w:val="24"/>
          <w:highlight w:val="none"/>
          <w:lang w:val="hr-HR"/>
        </w:rPr>
        <w:t>：https://www.zcygov.cn/）</w:t>
      </w:r>
      <w:r>
        <w:rPr>
          <w:rFonts w:hint="eastAsia" w:ascii="宋体" w:hAnsi="宋体" w:eastAsia="宋体" w:cs="宋体"/>
          <w:i w:val="0"/>
          <w:iCs w:val="0"/>
          <w:color w:val="auto"/>
          <w:sz w:val="24"/>
          <w:szCs w:val="24"/>
          <w:highlight w:val="none"/>
        </w:rPr>
        <w:t>。</w:t>
      </w:r>
      <w:bookmarkEnd w:id="47"/>
    </w:p>
    <w:p w14:paraId="313475A6">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供应商登录政采云平台</w:t>
      </w:r>
      <w:r>
        <w:rPr>
          <w:rFonts w:hint="eastAsia" w:ascii="宋体" w:hAnsi="宋体" w:eastAsia="宋体" w:cs="宋体"/>
          <w:i w:val="0"/>
          <w:iCs w:val="0"/>
          <w:color w:val="auto"/>
          <w:sz w:val="24"/>
          <w:szCs w:val="24"/>
          <w:highlight w:val="none"/>
          <w:lang w:val="hr-HR"/>
        </w:rPr>
        <w:t>https</w:t>
      </w:r>
      <w:r>
        <w:rPr>
          <w:rFonts w:hint="eastAsia" w:ascii="宋体" w:hAnsi="宋体" w:eastAsia="宋体" w:cs="宋体"/>
          <w:bCs/>
          <w:i w:val="0"/>
          <w:iCs w:val="0"/>
          <w:color w:val="auto"/>
          <w:sz w:val="24"/>
          <w:szCs w:val="24"/>
          <w:highlight w:val="none"/>
        </w:rPr>
        <w:t>:</w:t>
      </w:r>
      <w:r>
        <w:rPr>
          <w:rFonts w:hint="eastAsia" w:ascii="宋体" w:hAnsi="宋体" w:eastAsia="宋体" w:cs="宋体"/>
          <w:i w:val="0"/>
          <w:iCs w:val="0"/>
          <w:color w:val="auto"/>
          <w:sz w:val="24"/>
          <w:szCs w:val="24"/>
          <w:highlight w:val="none"/>
          <w:lang w:val="hr-HR"/>
        </w:rPr>
        <w:t>//www.zcygov.cn/</w:t>
      </w:r>
      <w:r>
        <w:rPr>
          <w:rFonts w:hint="eastAsia" w:ascii="宋体" w:hAnsi="宋体" w:eastAsia="宋体" w:cs="宋体"/>
          <w:i w:val="0"/>
          <w:iCs w:val="0"/>
          <w:color w:val="auto"/>
          <w:sz w:val="24"/>
          <w:szCs w:val="24"/>
          <w:highlight w:val="none"/>
          <w:lang w:val="en-US"/>
        </w:rPr>
        <w:t>在线申请</w:t>
      </w:r>
      <w:r>
        <w:rPr>
          <w:rFonts w:hint="eastAsia" w:ascii="宋体" w:hAnsi="宋体" w:eastAsia="宋体"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rPr>
        <w:t>获取</w:t>
      </w:r>
      <w:r>
        <w:rPr>
          <w:rFonts w:hint="eastAsia" w:ascii="宋体" w:hAnsi="宋体" w:eastAsia="宋体" w:cs="宋体"/>
          <w:i w:val="0"/>
          <w:iCs w:val="0"/>
          <w:color w:val="auto"/>
          <w:sz w:val="24"/>
          <w:szCs w:val="24"/>
          <w:highlight w:val="none"/>
          <w:lang w:val="en-US" w:eastAsia="zh-CN"/>
        </w:rPr>
        <w:t>电子</w:t>
      </w:r>
      <w:r>
        <w:rPr>
          <w:rFonts w:hint="eastAsia" w:ascii="宋体" w:hAnsi="宋体" w:eastAsia="宋体" w:cs="宋体"/>
          <w:i w:val="0"/>
          <w:iCs w:val="0"/>
          <w:color w:val="auto"/>
          <w:sz w:val="24"/>
          <w:szCs w:val="24"/>
          <w:highlight w:val="none"/>
          <w:lang w:val="en-US"/>
        </w:rPr>
        <w:t>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进入</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项目采购</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应用</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在获取采购文件菜单中选择项目</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申请获取采购文件</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t>
      </w:r>
      <w:r>
        <w:rPr>
          <w:rFonts w:hint="eastAsia" w:ascii="宋体" w:hAnsi="宋体" w:eastAsia="宋体" w:cs="宋体"/>
          <w:i w:val="0"/>
          <w:iCs w:val="0"/>
          <w:color w:val="auto"/>
          <w:sz w:val="24"/>
          <w:szCs w:val="24"/>
          <w:highlight w:val="none"/>
          <w:lang w:val="hr-HR"/>
        </w:rPr>
        <w:t xml:space="preserve"> </w:t>
      </w:r>
    </w:p>
    <w:p w14:paraId="6565D40F">
      <w:pPr>
        <w:pStyle w:val="34"/>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1"/>
    <w:bookmarkEnd w:id="42"/>
    <w:bookmarkEnd w:id="43"/>
    <w:bookmarkEnd w:id="44"/>
    <w:bookmarkEnd w:id="45"/>
    <w:bookmarkEnd w:id="46"/>
    <w:p w14:paraId="447E1412">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8" w:name="_Toc109900251"/>
      <w:bookmarkStart w:id="49" w:name="_Toc109899413"/>
      <w:bookmarkStart w:id="50" w:name="_Toc140132748"/>
      <w:bookmarkStart w:id="51" w:name="_Toc109899832"/>
      <w:bookmarkStart w:id="52" w:name="_Toc163492815"/>
      <w:bookmarkStart w:id="53" w:name="_Toc155185863"/>
      <w:bookmarkStart w:id="54" w:name="_Toc15226"/>
      <w:r>
        <w:rPr>
          <w:rFonts w:hint="eastAsia" w:ascii="宋体" w:hAnsi="宋体" w:eastAsia="宋体" w:cs="宋体"/>
          <w:b/>
          <w:bCs/>
          <w:i w:val="0"/>
          <w:iCs w:val="0"/>
          <w:color w:val="auto"/>
          <w:kern w:val="2"/>
          <w:sz w:val="24"/>
          <w:szCs w:val="24"/>
          <w:highlight w:val="none"/>
          <w:lang w:val="en-US" w:eastAsia="zh-CN" w:bidi="ar-SA"/>
        </w:rPr>
        <w:t>四、</w:t>
      </w:r>
      <w:bookmarkEnd w:id="48"/>
      <w:bookmarkEnd w:id="49"/>
      <w:bookmarkEnd w:id="50"/>
      <w:bookmarkEnd w:id="51"/>
      <w:bookmarkEnd w:id="52"/>
      <w:bookmarkEnd w:id="53"/>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4"/>
    </w:p>
    <w:p w14:paraId="2D6197EB">
      <w:pPr>
        <w:pStyle w:val="34"/>
        <w:rPr>
          <w:rFonts w:hint="eastAsia" w:ascii="宋体" w:hAnsi="宋体" w:eastAsia="宋体" w:cs="宋体"/>
          <w:i w:val="0"/>
          <w:iCs w:val="0"/>
          <w:color w:val="auto"/>
          <w:sz w:val="24"/>
          <w:szCs w:val="24"/>
          <w:highlight w:val="none"/>
        </w:rPr>
      </w:pPr>
      <w:bookmarkStart w:id="55" w:name="_Hlk130457395"/>
      <w:bookmarkStart w:id="56" w:name="_Toc28359017"/>
      <w:bookmarkStart w:id="57" w:name="_Toc35393803"/>
      <w:bookmarkStart w:id="58" w:name="_Toc44583633"/>
      <w:bookmarkStart w:id="59" w:name="_Toc28359094"/>
      <w:bookmarkStart w:id="60" w:name="_Toc3539363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4</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24</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11</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时00</w:t>
      </w:r>
      <w:r>
        <w:rPr>
          <w:rFonts w:hint="default" w:ascii="宋体" w:hAnsi="宋体" w:eastAsia="宋体" w:cstheme="minorBidi"/>
          <w:i w:val="0"/>
          <w:iCs w:val="0"/>
          <w:color w:val="auto"/>
          <w:kern w:val="2"/>
          <w:sz w:val="24"/>
          <w:szCs w:val="22"/>
          <w:highlight w:val="none"/>
          <w:u w:val="single"/>
          <w:lang w:val="en-US" w:eastAsia="zh-CN" w:bidi="ar-SA"/>
        </w:rPr>
        <w:t>分</w:t>
      </w:r>
      <w:r>
        <w:rPr>
          <w:rFonts w:hint="eastAsia" w:ascii="宋体" w:hAnsi="宋体" w:eastAsia="宋体" w:cs="宋体"/>
          <w:i w:val="0"/>
          <w:iCs w:val="0"/>
          <w:color w:val="auto"/>
          <w:sz w:val="24"/>
          <w:szCs w:val="24"/>
          <w:highlight w:val="none"/>
        </w:rPr>
        <w:t>（北京时间）。</w:t>
      </w:r>
    </w:p>
    <w:p w14:paraId="63FC81BC">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政采云平台投标</w:t>
      </w:r>
      <w:r>
        <w:rPr>
          <w:rFonts w:hint="eastAsia" w:ascii="宋体" w:hAnsi="宋体" w:eastAsia="宋体" w:cs="宋体"/>
          <w:i w:val="0"/>
          <w:iCs w:val="0"/>
          <w:color w:val="auto"/>
          <w:sz w:val="24"/>
          <w:szCs w:val="24"/>
          <w:highlight w:val="none"/>
        </w:rPr>
        <w:t>供应商客户端选择项目分包文件递交页面进行递交（上传）。</w:t>
      </w:r>
    </w:p>
    <w:bookmarkEnd w:id="55"/>
    <w:p w14:paraId="6BAC9797">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1" w:name="_Toc24119"/>
      <w:bookmarkStart w:id="62" w:name="_Toc163492816"/>
      <w:bookmarkStart w:id="63" w:name="_Toc109899414"/>
      <w:bookmarkStart w:id="64" w:name="_Toc155185864"/>
      <w:bookmarkStart w:id="65" w:name="_Toc140132749"/>
      <w:bookmarkStart w:id="66" w:name="_Toc109899833"/>
      <w:bookmarkStart w:id="67" w:name="_Toc109900252"/>
      <w:r>
        <w:rPr>
          <w:rFonts w:hint="eastAsia" w:ascii="宋体" w:hAnsi="宋体" w:eastAsia="宋体" w:cs="宋体"/>
          <w:b/>
          <w:bCs/>
          <w:i w:val="0"/>
          <w:iCs w:val="0"/>
          <w:color w:val="auto"/>
          <w:kern w:val="2"/>
          <w:sz w:val="24"/>
          <w:szCs w:val="24"/>
          <w:highlight w:val="none"/>
          <w:lang w:val="en-US" w:eastAsia="zh-CN" w:bidi="ar-SA"/>
        </w:rPr>
        <w:t>五、开启</w:t>
      </w:r>
      <w:bookmarkEnd w:id="61"/>
    </w:p>
    <w:p w14:paraId="508C6E16">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4</w:t>
      </w:r>
      <w:r>
        <w:rPr>
          <w:rFonts w:hint="default" w:ascii="宋体" w:hAnsi="宋体" w:eastAsia="宋体" w:cstheme="minorBidi"/>
          <w:i w:val="0"/>
          <w:iCs w:val="0"/>
          <w:color w:val="auto"/>
          <w:kern w:val="2"/>
          <w:sz w:val="24"/>
          <w:szCs w:val="22"/>
          <w:highlight w:val="none"/>
          <w:u w:val="single"/>
          <w:lang w:val="en-US" w:eastAsia="zh-CN" w:bidi="ar-SA"/>
        </w:rPr>
        <w:t>月</w:t>
      </w:r>
      <w:r>
        <w:rPr>
          <w:rFonts w:hint="eastAsia" w:cstheme="minorBidi"/>
          <w:i w:val="0"/>
          <w:iCs w:val="0"/>
          <w:color w:val="auto"/>
          <w:kern w:val="2"/>
          <w:sz w:val="24"/>
          <w:szCs w:val="22"/>
          <w:highlight w:val="none"/>
          <w:u w:val="single"/>
          <w:lang w:val="en-US" w:eastAsia="zh-CN" w:bidi="ar-SA"/>
        </w:rPr>
        <w:t>24</w:t>
      </w:r>
      <w:r>
        <w:rPr>
          <w:rFonts w:hint="default" w:ascii="宋体" w:hAnsi="宋体" w:eastAsia="宋体" w:cstheme="minorBidi"/>
          <w:i w:val="0"/>
          <w:iCs w:val="0"/>
          <w:color w:val="auto"/>
          <w:kern w:val="2"/>
          <w:sz w:val="24"/>
          <w:szCs w:val="22"/>
          <w:highlight w:val="none"/>
          <w:u w:val="single"/>
          <w:lang w:val="en-US" w:eastAsia="zh-CN" w:bidi="ar-SA"/>
        </w:rPr>
        <w:t>日</w:t>
      </w:r>
      <w:r>
        <w:rPr>
          <w:rFonts w:hint="eastAsia" w:cstheme="minorBidi"/>
          <w:i w:val="0"/>
          <w:iCs w:val="0"/>
          <w:color w:val="auto"/>
          <w:kern w:val="2"/>
          <w:sz w:val="24"/>
          <w:szCs w:val="22"/>
          <w:highlight w:val="none"/>
          <w:u w:val="single"/>
          <w:lang w:val="en-US" w:eastAsia="zh-CN" w:bidi="ar-SA"/>
        </w:rPr>
        <w:t>11</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时00</w:t>
      </w:r>
      <w:r>
        <w:rPr>
          <w:rFonts w:hint="default" w:ascii="宋体" w:hAnsi="宋体" w:eastAsia="宋体" w:cstheme="minorBidi"/>
          <w:i w:val="0"/>
          <w:iCs w:val="0"/>
          <w:color w:val="auto"/>
          <w:kern w:val="2"/>
          <w:sz w:val="24"/>
          <w:szCs w:val="22"/>
          <w:highlight w:val="none"/>
          <w:u w:val="single"/>
          <w:lang w:val="en-US" w:eastAsia="zh-CN" w:bidi="ar-SA"/>
        </w:rPr>
        <w:t>分</w:t>
      </w:r>
      <w:r>
        <w:rPr>
          <w:rFonts w:hint="eastAsia" w:ascii="宋体" w:hAnsi="宋体" w:eastAsia="宋体" w:cs="宋体"/>
          <w:i w:val="0"/>
          <w:iCs w:val="0"/>
          <w:color w:val="auto"/>
          <w:sz w:val="24"/>
          <w:szCs w:val="24"/>
          <w:highlight w:val="none"/>
        </w:rPr>
        <w:t>（北京时间）。</w:t>
      </w:r>
    </w:p>
    <w:p w14:paraId="71EF07E7">
      <w:pPr>
        <w:pStyle w:val="3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bCs/>
          <w:i w:val="0"/>
          <w:iCs w:val="0"/>
          <w:color w:val="auto"/>
          <w:sz w:val="24"/>
          <w:szCs w:val="24"/>
          <w:highlight w:val="none"/>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0B0D9ADF">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68" w:name="_Toc9733"/>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6"/>
      <w:bookmarkEnd w:id="57"/>
      <w:bookmarkEnd w:id="58"/>
      <w:bookmarkEnd w:id="59"/>
      <w:bookmarkEnd w:id="60"/>
      <w:bookmarkEnd w:id="62"/>
      <w:bookmarkEnd w:id="63"/>
      <w:bookmarkEnd w:id="64"/>
      <w:bookmarkEnd w:id="65"/>
      <w:bookmarkEnd w:id="66"/>
      <w:bookmarkEnd w:id="67"/>
      <w:bookmarkEnd w:id="68"/>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w:t>
      </w:r>
      <w:r>
        <w:rPr>
          <w:rFonts w:hint="eastAsia" w:cs="宋体"/>
          <w:i w:val="0"/>
          <w:iCs w:val="0"/>
          <w:color w:val="auto"/>
          <w:kern w:val="2"/>
          <w:sz w:val="24"/>
          <w:szCs w:val="24"/>
          <w:highlight w:val="none"/>
          <w:lang w:val="en-US" w:eastAsia="zh-CN" w:bidi="ar-SA"/>
        </w:rPr>
        <w:t>5</w:t>
      </w:r>
      <w:r>
        <w:rPr>
          <w:rFonts w:hint="eastAsia" w:ascii="宋体" w:hAnsi="宋体" w:eastAsia="宋体" w:cs="宋体"/>
          <w:i w:val="0"/>
          <w:iCs w:val="0"/>
          <w:color w:val="auto"/>
          <w:kern w:val="2"/>
          <w:sz w:val="24"/>
          <w:szCs w:val="24"/>
          <w:highlight w:val="none"/>
          <w:lang w:val="en-US" w:eastAsia="zh-CN" w:bidi="ar-SA"/>
        </w:rPr>
        <w:t>个工作日。</w:t>
      </w:r>
      <w:bookmarkStart w:id="69" w:name="_Toc44583634"/>
      <w:bookmarkStart w:id="70" w:name="_Toc109899415"/>
      <w:bookmarkStart w:id="71" w:name="_Toc163492817"/>
      <w:bookmarkStart w:id="72" w:name="_Toc109900253"/>
      <w:bookmarkStart w:id="73" w:name="_Toc35393635"/>
      <w:bookmarkStart w:id="74" w:name="_Toc155185865"/>
      <w:bookmarkStart w:id="75" w:name="_Toc140132750"/>
      <w:bookmarkStart w:id="76" w:name="_Toc35393804"/>
      <w:bookmarkStart w:id="77" w:name="_Toc109899834"/>
    </w:p>
    <w:p w14:paraId="7CAF6DD9">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bookmarkStart w:id="78" w:name="_Toc6777"/>
      <w:r>
        <w:rPr>
          <w:rStyle w:val="39"/>
          <w:rFonts w:hint="eastAsia"/>
          <w:sz w:val="24"/>
          <w:szCs w:val="24"/>
          <w:lang w:val="hr-HR" w:eastAsia="zh-CN"/>
        </w:rPr>
        <w:t>七、其他补充事宜</w:t>
      </w:r>
      <w:bookmarkEnd w:id="69"/>
      <w:bookmarkEnd w:id="70"/>
      <w:bookmarkEnd w:id="71"/>
      <w:bookmarkEnd w:id="72"/>
      <w:bookmarkEnd w:id="73"/>
      <w:bookmarkEnd w:id="74"/>
      <w:bookmarkEnd w:id="75"/>
      <w:bookmarkEnd w:id="76"/>
      <w:bookmarkEnd w:id="77"/>
      <w:bookmarkEnd w:id="78"/>
    </w:p>
    <w:p w14:paraId="2043A8DF">
      <w:pPr>
        <w:widowControl/>
        <w:shd w:val="clear" w:color="auto" w:fill="FFFFFF"/>
        <w:spacing w:line="480" w:lineRule="exact"/>
        <w:ind w:firstLine="480" w:firstLineChars="200"/>
        <w:rPr>
          <w:rFonts w:hint="eastAsia" w:ascii="宋体" w:hAnsi="宋体" w:eastAsia="宋体" w:cs="宋体"/>
          <w:bCs/>
          <w:i w:val="0"/>
          <w:iCs w:val="0"/>
          <w:color w:val="auto"/>
          <w:sz w:val="24"/>
          <w:szCs w:val="24"/>
          <w:highlight w:val="none"/>
          <w:lang w:eastAsia="zh-CN"/>
        </w:rPr>
      </w:pPr>
      <w:r>
        <w:rPr>
          <w:rFonts w:hint="eastAsia" w:ascii="宋体" w:hAnsi="宋体" w:eastAsia="宋体" w:cs="宋体"/>
          <w:bCs/>
          <w:i w:val="0"/>
          <w:iCs w:val="0"/>
          <w:color w:val="auto"/>
          <w:sz w:val="24"/>
          <w:szCs w:val="24"/>
          <w:highlight w:val="none"/>
        </w:rPr>
        <w:t>1、本项目实行网上</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，采用电子</w:t>
      </w:r>
      <w:r>
        <w:rPr>
          <w:rFonts w:hint="eastAsia" w:ascii="宋体" w:hAnsi="宋体" w:eastAsia="宋体" w:cs="宋体"/>
          <w:bCs/>
          <w:i w:val="0"/>
          <w:iCs w:val="0"/>
          <w:color w:val="auto"/>
          <w:sz w:val="24"/>
          <w:szCs w:val="24"/>
          <w:highlight w:val="none"/>
          <w:lang w:eastAsia="zh-CN"/>
        </w:rPr>
        <w:t>响应</w:t>
      </w:r>
      <w:r>
        <w:rPr>
          <w:rFonts w:hint="eastAsia" w:ascii="宋体" w:hAnsi="宋体" w:eastAsia="宋体" w:cs="宋体"/>
          <w:bCs/>
          <w:i w:val="0"/>
          <w:iCs w:val="0"/>
          <w:color w:val="auto"/>
          <w:sz w:val="24"/>
          <w:szCs w:val="24"/>
          <w:highlight w:val="none"/>
        </w:rPr>
        <w:t>文件</w:t>
      </w:r>
      <w:r>
        <w:rPr>
          <w:rFonts w:hint="eastAsia" w:ascii="宋体" w:hAnsi="宋体" w:eastAsia="宋体" w:cs="宋体"/>
          <w:bCs/>
          <w:i w:val="0"/>
          <w:iCs w:val="0"/>
          <w:color w:val="auto"/>
          <w:sz w:val="24"/>
          <w:szCs w:val="24"/>
          <w:highlight w:val="none"/>
          <w:lang w:eastAsia="zh-CN"/>
        </w:rPr>
        <w:t>。</w:t>
      </w:r>
    </w:p>
    <w:p w14:paraId="7DFC1A41">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2、各供应商应在开标前应确保成为政采云平台供应商，并完成CA数字证书（符合国密标准）申领。因未注册入库、未办理CA数字证书等原因造成无法投标或投标失败等后果由供应商自行承担。有意向参与</w:t>
      </w:r>
      <w:r>
        <w:rPr>
          <w:rFonts w:hint="eastAsia" w:cs="宋体"/>
          <w:bCs/>
          <w:i w:val="0"/>
          <w:iCs w:val="0"/>
          <w:color w:val="auto"/>
          <w:sz w:val="24"/>
          <w:szCs w:val="24"/>
          <w:highlight w:val="none"/>
          <w:lang w:eastAsia="zh-CN"/>
        </w:rPr>
        <w:t xml:space="preserve"> </w:t>
      </w:r>
      <w:r>
        <w:rPr>
          <w:rFonts w:hint="eastAsia" w:ascii="宋体" w:hAnsi="宋体" w:eastAsia="宋体" w:cs="宋体"/>
          <w:bCs/>
          <w:i w:val="0"/>
          <w:iCs w:val="0"/>
          <w:color w:val="auto"/>
          <w:sz w:val="24"/>
          <w:szCs w:val="24"/>
          <w:highlight w:val="none"/>
        </w:rPr>
        <w:t>区域电子开评标的供应商，可访问</w:t>
      </w:r>
      <w:r>
        <w:rPr>
          <w:rFonts w:hint="eastAsia" w:cs="宋体"/>
          <w:bCs/>
          <w:i w:val="0"/>
          <w:iCs w:val="0"/>
          <w:color w:val="auto"/>
          <w:sz w:val="24"/>
          <w:szCs w:val="24"/>
          <w:highlight w:val="none"/>
          <w:lang w:eastAsia="zh-CN"/>
        </w:rPr>
        <w:t xml:space="preserve"> </w:t>
      </w:r>
      <w:r>
        <w:rPr>
          <w:rFonts w:hint="eastAsia" w:ascii="宋体" w:hAnsi="宋体" w:eastAsia="宋体" w:cs="宋体"/>
          <w:bCs/>
          <w:i w:val="0"/>
          <w:iCs w:val="0"/>
          <w:color w:val="auto"/>
          <w:sz w:val="24"/>
          <w:szCs w:val="24"/>
          <w:highlight w:val="none"/>
        </w:rPr>
        <w:t>政府采购网-办事指南-操作指南-CA证书办理操作指南或点击链接：http://ccgp-bingtuan.gov.cn/site/detail?parentId=189171&amp;articleId=CZ0bD526ZE+CHX5isJvt0w==&amp;utm=site.site-PC-4840.633-pc-websitegroup-secondlevelpage-front.1.2e96d52081d811eebbd67dd2372c0b9a自行进行申领。</w:t>
      </w:r>
    </w:p>
    <w:p w14:paraId="4B02550E">
      <w:pPr>
        <w:keepNext w:val="0"/>
        <w:keepLines w:val="0"/>
        <w:pageBreakBefore w:val="0"/>
        <w:widowControl/>
        <w:shd w:val="clear" w:color="auto" w:fill="FFFFFF"/>
        <w:kinsoku/>
        <w:wordWrap w:val="0"/>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3、供应商将政采云电子交易客户端下载、安装完成后，可通过账号密码或CA登录客户端进行</w:t>
      </w:r>
      <w:r>
        <w:rPr>
          <w:rFonts w:hint="eastAsia" w:ascii="宋体" w:hAnsi="宋体" w:eastAsia="宋体" w:cs="宋体"/>
          <w:bCs/>
          <w:i w:val="0"/>
          <w:iCs w:val="0"/>
          <w:color w:val="auto"/>
          <w:sz w:val="24"/>
          <w:szCs w:val="24"/>
          <w:highlight w:val="none"/>
          <w:lang w:val="en-US" w:eastAsia="zh-CN"/>
        </w:rPr>
        <w:t>响应</w:t>
      </w:r>
      <w:r>
        <w:rPr>
          <w:rFonts w:hint="eastAsia" w:ascii="宋体" w:hAnsi="宋体" w:eastAsia="宋体" w:cs="宋体"/>
          <w:bCs/>
          <w:i w:val="0"/>
          <w:iCs w:val="0"/>
          <w:color w:val="auto"/>
          <w:sz w:val="24"/>
          <w:szCs w:val="24"/>
          <w:highlight w:val="none"/>
        </w:rPr>
        <w:t>文件的制作。在使用政采云投标客户端时，建议使用WIN7（64位）及以上操作系统。客户端请至</w:t>
      </w:r>
      <w:r>
        <w:rPr>
          <w:rFonts w:hint="eastAsia" w:cs="宋体"/>
          <w:bCs/>
          <w:i w:val="0"/>
          <w:iCs w:val="0"/>
          <w:color w:val="auto"/>
          <w:sz w:val="24"/>
          <w:szCs w:val="24"/>
          <w:highlight w:val="none"/>
          <w:lang w:eastAsia="zh-CN"/>
        </w:rPr>
        <w:t xml:space="preserve"> </w:t>
      </w:r>
      <w:r>
        <w:rPr>
          <w:rFonts w:hint="eastAsia" w:ascii="宋体" w:hAnsi="宋体" w:eastAsia="宋体" w:cs="宋体"/>
          <w:bCs/>
          <w:i w:val="0"/>
          <w:iCs w:val="0"/>
          <w:color w:val="auto"/>
          <w:sz w:val="24"/>
          <w:szCs w:val="24"/>
          <w:highlight w:val="none"/>
        </w:rPr>
        <w:t>政府采购网（http://ccgp-bingtuan.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92B7884">
      <w:pPr>
        <w:pStyle w:val="6"/>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79" w:name="_Toc1462"/>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79"/>
    </w:p>
    <w:p w14:paraId="74D4D291">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0" w:name="_Toc35393806"/>
      <w:bookmarkStart w:id="81" w:name="_Toc28359096"/>
      <w:bookmarkStart w:id="82" w:name="_Toc28359019"/>
      <w:bookmarkStart w:id="83" w:name="_Toc35393637"/>
      <w:bookmarkStart w:id="84" w:name="_Toc9638"/>
      <w:r>
        <w:rPr>
          <w:rFonts w:hint="eastAsia" w:ascii="宋体" w:hAnsi="宋体" w:eastAsia="宋体" w:cs="宋体"/>
          <w:i w:val="0"/>
          <w:iCs w:val="0"/>
          <w:color w:val="auto"/>
          <w:sz w:val="24"/>
          <w:szCs w:val="24"/>
          <w:highlight w:val="none"/>
        </w:rPr>
        <w:t>1.采购人信息</w:t>
      </w:r>
      <w:bookmarkEnd w:id="80"/>
      <w:bookmarkEnd w:id="81"/>
      <w:bookmarkEnd w:id="82"/>
      <w:bookmarkEnd w:id="83"/>
    </w:p>
    <w:p w14:paraId="699333D4">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名称：</w:t>
      </w:r>
      <w:r>
        <w:rPr>
          <w:rFonts w:hint="eastAsia" w:cs="宋体"/>
          <w:i w:val="0"/>
          <w:iCs w:val="0"/>
          <w:color w:val="auto"/>
          <w:sz w:val="24"/>
          <w:szCs w:val="24"/>
          <w:highlight w:val="none"/>
          <w:lang w:eastAsia="zh-CN"/>
        </w:rPr>
        <w:t xml:space="preserve"> 新疆维吾尔自治区塔里木河流域车尔臣河水利管理中心</w:t>
      </w:r>
    </w:p>
    <w:p w14:paraId="04F1E9D3">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地址：巴音郭楞蒙古自治州且末县埃塔南路延伸东侧（原客运站）</w:t>
      </w:r>
    </w:p>
    <w:p w14:paraId="58886B34">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联系方式：</w:t>
      </w:r>
      <w:bookmarkStart w:id="85" w:name="_Hlk46775675"/>
      <w:r>
        <w:rPr>
          <w:rFonts w:hint="eastAsia" w:cs="宋体"/>
          <w:i w:val="0"/>
          <w:iCs w:val="0"/>
          <w:color w:val="auto"/>
          <w:sz w:val="24"/>
          <w:szCs w:val="24"/>
          <w:highlight w:val="none"/>
          <w:u w:val="none"/>
          <w:lang w:val="en-US" w:eastAsia="zh-CN"/>
        </w:rPr>
        <w:t>17709967053</w:t>
      </w:r>
    </w:p>
    <w:bookmarkEnd w:id="85"/>
    <w:p w14:paraId="7B446FC3">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bookmarkStart w:id="86" w:name="_Toc28359097"/>
      <w:bookmarkStart w:id="87" w:name="_Toc28359020"/>
      <w:bookmarkStart w:id="88" w:name="_Toc35393807"/>
      <w:bookmarkStart w:id="89" w:name="_Toc35393638"/>
      <w:r>
        <w:rPr>
          <w:rFonts w:hint="eastAsia" w:ascii="宋体" w:hAnsi="宋体" w:eastAsia="宋体" w:cs="宋体"/>
          <w:i w:val="0"/>
          <w:iCs w:val="0"/>
          <w:color w:val="auto"/>
          <w:sz w:val="24"/>
          <w:szCs w:val="24"/>
          <w:highlight w:val="none"/>
        </w:rPr>
        <w:t>2.采购代理机构信息</w:t>
      </w:r>
      <w:bookmarkEnd w:id="86"/>
      <w:bookmarkEnd w:id="87"/>
      <w:bookmarkEnd w:id="88"/>
      <w:bookmarkEnd w:id="89"/>
    </w:p>
    <w:p w14:paraId="2CE0AA7D">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名称：</w:t>
      </w:r>
      <w:r>
        <w:rPr>
          <w:rFonts w:hint="eastAsia" w:cs="宋体"/>
          <w:i w:val="0"/>
          <w:iCs w:val="0"/>
          <w:color w:val="auto"/>
          <w:sz w:val="24"/>
          <w:szCs w:val="24"/>
          <w:highlight w:val="none"/>
          <w:lang w:eastAsia="zh-CN"/>
        </w:rPr>
        <w:t xml:space="preserve"> 新疆冠恒工程管理咨询有限公司</w:t>
      </w:r>
    </w:p>
    <w:p w14:paraId="20EB1CBA">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rPr>
        <w:t>地</w:t>
      </w:r>
      <w:r>
        <w:rPr>
          <w:rFonts w:hint="eastAsia" w:ascii="宋体" w:hAnsi="宋体" w:eastAsia="宋体" w:cs="宋体"/>
          <w:i w:val="0"/>
          <w:iCs w:val="0"/>
          <w:color w:val="auto"/>
          <w:sz w:val="24"/>
          <w:szCs w:val="24"/>
          <w:highlight w:val="none"/>
          <w:u w:val="none"/>
        </w:rPr>
        <w:t>址：</w:t>
      </w:r>
      <w:r>
        <w:rPr>
          <w:rFonts w:hint="eastAsia" w:cs="宋体"/>
          <w:i w:val="0"/>
          <w:iCs w:val="0"/>
          <w:color w:val="auto"/>
          <w:sz w:val="24"/>
          <w:szCs w:val="24"/>
          <w:highlight w:val="none"/>
          <w:u w:val="none"/>
          <w:lang w:val="en-US" w:eastAsia="zh-CN"/>
        </w:rPr>
        <w:t>新疆库尔勒市</w:t>
      </w:r>
    </w:p>
    <w:p w14:paraId="18DDE980">
      <w:pPr>
        <w:pStyle w:val="34"/>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lang w:val="en-US" w:eastAsia="zh-CN"/>
        </w:rPr>
      </w:pPr>
      <w:r>
        <w:rPr>
          <w:rFonts w:hint="eastAsia" w:ascii="宋体" w:hAnsi="宋体" w:eastAsia="宋体" w:cs="宋体"/>
          <w:i w:val="0"/>
          <w:iCs w:val="0"/>
          <w:color w:val="auto"/>
          <w:sz w:val="24"/>
          <w:szCs w:val="24"/>
          <w:highlight w:val="none"/>
          <w:u w:val="none"/>
        </w:rPr>
        <w:t>联系方式：</w:t>
      </w:r>
      <w:r>
        <w:rPr>
          <w:rFonts w:hint="eastAsia" w:cs="宋体"/>
          <w:i w:val="0"/>
          <w:iCs w:val="0"/>
          <w:color w:val="auto"/>
          <w:sz w:val="24"/>
          <w:szCs w:val="24"/>
          <w:highlight w:val="none"/>
          <w:u w:val="none"/>
          <w:lang w:val="en-US" w:eastAsia="zh-CN"/>
        </w:rPr>
        <w:t>13239855111</w:t>
      </w:r>
    </w:p>
    <w:p w14:paraId="1E2C9AB2">
      <w:pPr>
        <w:pStyle w:val="5"/>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供应商须知</w:t>
      </w:r>
      <w:bookmarkEnd w:id="84"/>
    </w:p>
    <w:p w14:paraId="224924B5">
      <w:pPr>
        <w:pStyle w:val="6"/>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0" w:name="_Toc11918"/>
      <w:r>
        <w:rPr>
          <w:rFonts w:hint="eastAsia" w:eastAsia="宋体" w:asciiTheme="majorHAnsi" w:hAnsiTheme="majorHAnsi" w:cstheme="majorBidi"/>
          <w:b/>
          <w:bCs/>
          <w:color w:val="auto"/>
          <w:kern w:val="2"/>
          <w:sz w:val="28"/>
          <w:szCs w:val="28"/>
          <w:highlight w:val="none"/>
          <w:lang w:val="en-US" w:eastAsia="zh-CN" w:bidi="ar-SA"/>
        </w:rPr>
        <w:t>一、供应商须知前附表</w:t>
      </w:r>
      <w:bookmarkEnd w:id="90"/>
    </w:p>
    <w:p w14:paraId="016068EF">
      <w:pPr>
        <w:pStyle w:val="34"/>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8"/>
        <w:tblW w:w="9354"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6663"/>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5"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5"/>
              <w:jc w:val="center"/>
              <w:rPr>
                <w:rFonts w:hint="eastAsia" w:ascii="宋体" w:hAnsi="宋体" w:eastAsia="宋体" w:cs="宋体"/>
                <w:b/>
                <w:bCs/>
                <w:i w:val="0"/>
                <w:iCs w:val="0"/>
                <w:color w:val="auto"/>
                <w:sz w:val="24"/>
                <w:szCs w:val="24"/>
                <w:highlight w:val="none"/>
              </w:rPr>
            </w:pPr>
            <w:bookmarkStart w:id="91" w:name="_Hlk161703381"/>
            <w:r>
              <w:rPr>
                <w:rFonts w:hint="eastAsia" w:ascii="宋体" w:hAnsi="宋体" w:eastAsia="宋体" w:cs="宋体"/>
                <w:b/>
                <w:bCs/>
                <w:i w:val="0"/>
                <w:iCs w:val="0"/>
                <w:color w:val="auto"/>
                <w:sz w:val="24"/>
                <w:szCs w:val="24"/>
                <w:highlight w:val="none"/>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66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5"/>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1" w:hRule="atLeast"/>
        </w:trPr>
        <w:tc>
          <w:tcPr>
            <w:tcW w:w="970" w:type="dxa"/>
            <w:tcBorders>
              <w:top w:val="single" w:color="auto" w:sz="2" w:space="0"/>
              <w:left w:val="single" w:color="auto" w:sz="2" w:space="0"/>
              <w:bottom w:val="single" w:color="auto" w:sz="4" w:space="0"/>
              <w:right w:val="single" w:color="auto" w:sz="2" w:space="0"/>
            </w:tcBorders>
            <w:vAlign w:val="center"/>
          </w:tcPr>
          <w:p w14:paraId="2AEE4073">
            <w:pPr>
              <w:pStyle w:val="45"/>
              <w:jc w:val="center"/>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2.2</w:t>
            </w:r>
          </w:p>
        </w:tc>
        <w:tc>
          <w:tcPr>
            <w:tcW w:w="1721" w:type="dxa"/>
            <w:tcBorders>
              <w:top w:val="single" w:color="auto" w:sz="2" w:space="0"/>
              <w:left w:val="single" w:color="auto" w:sz="2" w:space="0"/>
              <w:bottom w:val="single" w:color="auto" w:sz="4" w:space="0"/>
              <w:right w:val="single" w:color="auto" w:sz="2" w:space="0"/>
            </w:tcBorders>
            <w:vAlign w:val="center"/>
          </w:tcPr>
          <w:p w14:paraId="71CF8DC6">
            <w:pPr>
              <w:pStyle w:val="63"/>
              <w:adjustRightInd w:val="0"/>
              <w:snapToGrid w:val="0"/>
              <w:spacing w:line="60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采购人</w:t>
            </w:r>
          </w:p>
        </w:tc>
        <w:tc>
          <w:tcPr>
            <w:tcW w:w="6663" w:type="dxa"/>
            <w:tcBorders>
              <w:top w:val="single" w:color="auto" w:sz="2" w:space="0"/>
              <w:left w:val="single" w:color="auto" w:sz="2" w:space="0"/>
              <w:bottom w:val="single" w:color="auto" w:sz="4" w:space="0"/>
              <w:right w:val="single" w:color="auto" w:sz="2" w:space="0"/>
            </w:tcBorders>
            <w:vAlign w:val="center"/>
          </w:tcPr>
          <w:p w14:paraId="49EF64A3">
            <w:pPr>
              <w:pStyle w:val="63"/>
              <w:adjustRightInd w:val="0"/>
              <w:snapToGrid w:val="0"/>
              <w:spacing w:line="240" w:lineRule="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名  称：</w:t>
            </w:r>
            <w:r>
              <w:rPr>
                <w:rFonts w:hint="eastAsia" w:ascii="宋体" w:hAnsi="宋体" w:cs="宋体"/>
                <w:i w:val="0"/>
                <w:iCs w:val="0"/>
                <w:color w:val="auto"/>
                <w:sz w:val="24"/>
                <w:szCs w:val="24"/>
                <w:highlight w:val="none"/>
                <w:lang w:eastAsia="zh-CN"/>
              </w:rPr>
              <w:t xml:space="preserve"> 新疆维吾尔自治区塔里木河流域车尔臣河水利管理中心</w:t>
            </w:r>
            <w:r>
              <w:rPr>
                <w:rFonts w:hint="eastAsia" w:ascii="宋体" w:hAnsi="宋体" w:eastAsia="宋体" w:cs="宋体"/>
                <w:i w:val="0"/>
                <w:iCs w:val="0"/>
                <w:color w:val="auto"/>
                <w:kern w:val="2"/>
                <w:sz w:val="24"/>
                <w:szCs w:val="24"/>
                <w:highlight w:val="none"/>
                <w:u w:val="none"/>
                <w:lang w:val="en-US" w:eastAsia="zh-CN" w:bidi="ar-SA"/>
              </w:rPr>
              <w:t xml:space="preserve">  </w:t>
            </w:r>
          </w:p>
          <w:p w14:paraId="26548FAA">
            <w:pPr>
              <w:pStyle w:val="63"/>
              <w:adjustRightInd w:val="0"/>
              <w:snapToGrid w:val="0"/>
              <w:spacing w:line="240" w:lineRule="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地  址：</w:t>
            </w:r>
            <w:r>
              <w:rPr>
                <w:rFonts w:hint="eastAsia" w:ascii="宋体" w:hAnsi="宋体" w:cs="宋体"/>
                <w:i w:val="0"/>
                <w:iCs w:val="0"/>
                <w:color w:val="auto"/>
                <w:sz w:val="24"/>
                <w:szCs w:val="24"/>
                <w:highlight w:val="none"/>
                <w:lang w:eastAsia="zh-CN"/>
              </w:rPr>
              <w:t xml:space="preserve"> </w:t>
            </w:r>
            <w:r>
              <w:rPr>
                <w:rFonts w:hint="eastAsia" w:ascii="宋体" w:hAnsi="宋体" w:eastAsia="宋体" w:cs="宋体"/>
                <w:i w:val="0"/>
                <w:iCs w:val="0"/>
                <w:color w:val="auto"/>
                <w:sz w:val="24"/>
                <w:szCs w:val="24"/>
                <w:highlight w:val="none"/>
              </w:rPr>
              <w:t>巴音郭楞蒙古自治州且末县埃塔南路延伸东侧（原客运站）</w:t>
            </w:r>
          </w:p>
          <w:p w14:paraId="350264C9">
            <w:pPr>
              <w:pStyle w:val="63"/>
              <w:adjustRightInd w:val="0"/>
              <w:snapToGrid w:val="0"/>
              <w:spacing w:line="240" w:lineRule="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电  话：17709967053          </w:t>
            </w:r>
          </w:p>
          <w:p w14:paraId="43EDA50A">
            <w:pPr>
              <w:pStyle w:val="63"/>
              <w:adjustRightInd w:val="0"/>
              <w:snapToGrid w:val="0"/>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联系人：</w:t>
            </w:r>
            <w:r>
              <w:rPr>
                <w:rFonts w:hint="eastAsia" w:ascii="宋体" w:hAnsi="宋体" w:cs="宋体"/>
                <w:i w:val="0"/>
                <w:iCs w:val="0"/>
                <w:color w:val="auto"/>
                <w:kern w:val="2"/>
                <w:sz w:val="24"/>
                <w:szCs w:val="24"/>
                <w:highlight w:val="none"/>
                <w:u w:val="none"/>
                <w:lang w:val="en-US" w:eastAsia="zh-CN" w:bidi="ar-SA"/>
              </w:rPr>
              <w:t>李先生</w:t>
            </w:r>
            <w:r>
              <w:rPr>
                <w:rFonts w:hint="eastAsia" w:ascii="宋体" w:hAnsi="宋体" w:eastAsia="宋体" w:cs="宋体"/>
                <w:i w:val="0"/>
                <w:iCs w:val="0"/>
                <w:color w:val="auto"/>
                <w:kern w:val="2"/>
                <w:sz w:val="24"/>
                <w:szCs w:val="24"/>
                <w:highlight w:val="none"/>
                <w:u w:val="none"/>
                <w:lang w:val="en-US" w:eastAsia="zh-CN" w:bidi="ar-SA"/>
              </w:rPr>
              <w:t xml:space="preserve">   </w:t>
            </w:r>
          </w:p>
        </w:tc>
      </w:tr>
      <w:tr w14:paraId="735B8F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tcBorders>
              <w:top w:val="single" w:color="auto" w:sz="4" w:space="0"/>
              <w:left w:val="single" w:color="auto" w:sz="2" w:space="0"/>
              <w:bottom w:val="single" w:color="auto" w:sz="4" w:space="0"/>
              <w:right w:val="single" w:color="auto" w:sz="2" w:space="0"/>
            </w:tcBorders>
            <w:vAlign w:val="center"/>
          </w:tcPr>
          <w:p w14:paraId="16346C45">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2.3</w:t>
            </w:r>
          </w:p>
        </w:tc>
        <w:tc>
          <w:tcPr>
            <w:tcW w:w="1721" w:type="dxa"/>
            <w:tcBorders>
              <w:top w:val="single" w:color="auto" w:sz="4" w:space="0"/>
              <w:left w:val="single" w:color="auto" w:sz="2" w:space="0"/>
              <w:bottom w:val="single" w:color="auto" w:sz="4" w:space="0"/>
              <w:right w:val="single" w:color="auto" w:sz="2" w:space="0"/>
            </w:tcBorders>
            <w:vAlign w:val="center"/>
          </w:tcPr>
          <w:p w14:paraId="63104850">
            <w:pPr>
              <w:pStyle w:val="63"/>
              <w:adjustRightInd w:val="0"/>
              <w:snapToGrid w:val="0"/>
              <w:spacing w:line="60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采购代理机构</w:t>
            </w:r>
          </w:p>
        </w:tc>
        <w:tc>
          <w:tcPr>
            <w:tcW w:w="6663" w:type="dxa"/>
            <w:tcBorders>
              <w:top w:val="single" w:color="auto" w:sz="4" w:space="0"/>
              <w:left w:val="single" w:color="auto" w:sz="2" w:space="0"/>
              <w:bottom w:val="single" w:color="auto" w:sz="4" w:space="0"/>
              <w:right w:val="single" w:color="auto" w:sz="2" w:space="0"/>
            </w:tcBorders>
            <w:vAlign w:val="center"/>
          </w:tcPr>
          <w:p w14:paraId="3BC7C1D3">
            <w:pPr>
              <w:pStyle w:val="63"/>
              <w:adjustRightInd w:val="0"/>
              <w:snapToGrid w:val="0"/>
              <w:spacing w:line="240" w:lineRule="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名  称：</w:t>
            </w:r>
            <w:r>
              <w:rPr>
                <w:rFonts w:hint="eastAsia" w:ascii="宋体" w:hAnsi="宋体" w:cs="宋体"/>
                <w:i w:val="0"/>
                <w:iCs w:val="0"/>
                <w:color w:val="auto"/>
                <w:kern w:val="2"/>
                <w:sz w:val="24"/>
                <w:szCs w:val="24"/>
                <w:highlight w:val="none"/>
                <w:u w:val="none"/>
                <w:lang w:val="en-US" w:eastAsia="zh-CN" w:bidi="ar-SA"/>
              </w:rPr>
              <w:t xml:space="preserve"> 新疆冠恒工程管理咨询有限公司</w:t>
            </w:r>
          </w:p>
          <w:p w14:paraId="6F3861AE">
            <w:pPr>
              <w:pStyle w:val="63"/>
              <w:adjustRightInd w:val="0"/>
              <w:snapToGrid w:val="0"/>
              <w:spacing w:line="240" w:lineRule="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地  址：</w:t>
            </w:r>
            <w:r>
              <w:rPr>
                <w:rFonts w:hint="eastAsia" w:cs="宋体"/>
                <w:i w:val="0"/>
                <w:iCs w:val="0"/>
                <w:color w:val="auto"/>
                <w:sz w:val="24"/>
                <w:szCs w:val="24"/>
                <w:highlight w:val="none"/>
                <w:u w:val="none"/>
                <w:lang w:val="en-US" w:eastAsia="zh-CN"/>
              </w:rPr>
              <w:t>新疆库尔勒市</w:t>
            </w:r>
            <w:r>
              <w:rPr>
                <w:rFonts w:hint="eastAsia" w:ascii="宋体" w:hAnsi="宋体" w:eastAsia="宋体" w:cs="宋体"/>
                <w:i w:val="0"/>
                <w:iCs w:val="0"/>
                <w:color w:val="auto"/>
                <w:kern w:val="2"/>
                <w:sz w:val="24"/>
                <w:szCs w:val="24"/>
                <w:highlight w:val="none"/>
                <w:u w:val="none"/>
                <w:lang w:val="en-US" w:eastAsia="zh-CN" w:bidi="ar-SA"/>
              </w:rPr>
              <w:t xml:space="preserve"> </w:t>
            </w:r>
          </w:p>
          <w:p w14:paraId="551BA917">
            <w:pPr>
              <w:pStyle w:val="63"/>
              <w:adjustRightInd w:val="0"/>
              <w:snapToGrid w:val="0"/>
              <w:spacing w:line="240" w:lineRule="auto"/>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电  话：</w:t>
            </w:r>
            <w:r>
              <w:rPr>
                <w:rFonts w:hint="eastAsia" w:ascii="宋体" w:hAnsi="宋体" w:cs="宋体"/>
                <w:i w:val="0"/>
                <w:iCs w:val="0"/>
                <w:color w:val="auto"/>
                <w:kern w:val="2"/>
                <w:sz w:val="24"/>
                <w:szCs w:val="24"/>
                <w:highlight w:val="none"/>
                <w:u w:val="none"/>
                <w:lang w:val="en-US" w:eastAsia="zh-CN" w:bidi="ar-SA"/>
              </w:rPr>
              <w:t>13239855111</w:t>
            </w:r>
          </w:p>
          <w:p w14:paraId="3B0F8961">
            <w:pPr>
              <w:pStyle w:val="63"/>
              <w:adjustRightInd w:val="0"/>
              <w:snapToGrid w:val="0"/>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联系人：张剑</w:t>
            </w:r>
          </w:p>
        </w:tc>
      </w:tr>
      <w:tr w14:paraId="3E81C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14" w:hRule="atLeast"/>
        </w:trPr>
        <w:tc>
          <w:tcPr>
            <w:tcW w:w="970" w:type="dxa"/>
            <w:tcBorders>
              <w:top w:val="single" w:color="auto" w:sz="4" w:space="0"/>
              <w:left w:val="single" w:color="auto" w:sz="2" w:space="0"/>
              <w:bottom w:val="single" w:color="auto" w:sz="4" w:space="0"/>
              <w:right w:val="single" w:color="auto" w:sz="2" w:space="0"/>
            </w:tcBorders>
            <w:vAlign w:val="center"/>
          </w:tcPr>
          <w:p w14:paraId="02C6D635">
            <w:pPr>
              <w:pStyle w:val="45"/>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2.4</w:t>
            </w:r>
          </w:p>
        </w:tc>
        <w:tc>
          <w:tcPr>
            <w:tcW w:w="1721" w:type="dxa"/>
            <w:tcBorders>
              <w:top w:val="single" w:color="auto" w:sz="4" w:space="0"/>
              <w:left w:val="single" w:color="auto" w:sz="2" w:space="0"/>
              <w:bottom w:val="single" w:color="auto" w:sz="4" w:space="0"/>
              <w:right w:val="single" w:color="auto" w:sz="2" w:space="0"/>
            </w:tcBorders>
            <w:vAlign w:val="center"/>
          </w:tcPr>
          <w:p w14:paraId="5F364E4C">
            <w:pPr>
              <w:pStyle w:val="63"/>
              <w:adjustRightInd w:val="0"/>
              <w:snapToGrid w:val="0"/>
              <w:spacing w:line="60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SA"/>
              </w:rPr>
              <w:t>监管部门</w:t>
            </w:r>
          </w:p>
        </w:tc>
        <w:tc>
          <w:tcPr>
            <w:tcW w:w="6663" w:type="dxa"/>
            <w:tcBorders>
              <w:top w:val="single" w:color="auto" w:sz="4" w:space="0"/>
              <w:left w:val="single" w:color="auto" w:sz="2" w:space="0"/>
              <w:bottom w:val="single" w:color="auto" w:sz="4" w:space="0"/>
              <w:right w:val="single" w:color="auto" w:sz="2" w:space="0"/>
            </w:tcBorders>
            <w:vAlign w:val="center"/>
          </w:tcPr>
          <w:p w14:paraId="36FB93D8">
            <w:pPr>
              <w:pStyle w:val="63"/>
              <w:adjustRightInd w:val="0"/>
              <w:snapToGrid w:val="0"/>
              <w:spacing w:line="24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 xml:space="preserve">名称：新疆维吾尔自治区塔里木河流域管理局                 </w:t>
            </w:r>
          </w:p>
        </w:tc>
      </w:tr>
      <w:tr w14:paraId="3C963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70" w:hRule="atLeast"/>
        </w:trPr>
        <w:tc>
          <w:tcPr>
            <w:tcW w:w="970" w:type="dxa"/>
            <w:tcBorders>
              <w:top w:val="single" w:color="auto" w:sz="4" w:space="0"/>
              <w:left w:val="single" w:color="auto" w:sz="2" w:space="0"/>
              <w:bottom w:val="single" w:color="auto" w:sz="4" w:space="0"/>
              <w:right w:val="single" w:color="auto" w:sz="2" w:space="0"/>
            </w:tcBorders>
            <w:vAlign w:val="center"/>
          </w:tcPr>
          <w:p w14:paraId="2A4EBD84">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2.5</w:t>
            </w:r>
          </w:p>
        </w:tc>
        <w:tc>
          <w:tcPr>
            <w:tcW w:w="1721" w:type="dxa"/>
            <w:tcBorders>
              <w:top w:val="single" w:color="auto" w:sz="4" w:space="0"/>
              <w:left w:val="single" w:color="auto" w:sz="2" w:space="0"/>
              <w:bottom w:val="single" w:color="auto" w:sz="4" w:space="0"/>
              <w:right w:val="single" w:color="auto" w:sz="2" w:space="0"/>
            </w:tcBorders>
            <w:vAlign w:val="center"/>
          </w:tcPr>
          <w:p w14:paraId="7736B3C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服务内容</w:t>
            </w:r>
          </w:p>
        </w:tc>
        <w:tc>
          <w:tcPr>
            <w:tcW w:w="6663" w:type="dxa"/>
            <w:tcBorders>
              <w:top w:val="single" w:color="auto" w:sz="4" w:space="0"/>
              <w:left w:val="single" w:color="auto" w:sz="2" w:space="0"/>
              <w:bottom w:val="single" w:color="auto" w:sz="4" w:space="0"/>
              <w:right w:val="single" w:color="auto" w:sz="2" w:space="0"/>
            </w:tcBorders>
            <w:vAlign w:val="center"/>
          </w:tcPr>
          <w:p w14:paraId="0E476E3A">
            <w:pPr>
              <w:pStyle w:val="45"/>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lang w:eastAsia="zh-CN"/>
              </w:rPr>
            </w:pPr>
            <w:r>
              <w:rPr>
                <w:rFonts w:hint="eastAsia" w:cs="宋体"/>
                <w:i w:val="0"/>
                <w:iCs w:val="0"/>
                <w:color w:val="auto"/>
                <w:sz w:val="24"/>
                <w:szCs w:val="24"/>
                <w:highlight w:val="none"/>
                <w:lang w:val="hr-HR" w:eastAsia="zh-CN"/>
              </w:rPr>
              <w:t>车尔臣河水利管理中心水利工程维修养护</w:t>
            </w:r>
          </w:p>
        </w:tc>
      </w:tr>
      <w:tr w14:paraId="4FDBB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98" w:hRule="atLeast"/>
        </w:trPr>
        <w:tc>
          <w:tcPr>
            <w:tcW w:w="970" w:type="dxa"/>
            <w:tcBorders>
              <w:top w:val="single" w:color="auto" w:sz="4" w:space="0"/>
              <w:left w:val="single" w:color="auto" w:sz="2" w:space="0"/>
              <w:bottom w:val="single" w:color="auto" w:sz="2" w:space="0"/>
              <w:right w:val="single" w:color="auto" w:sz="2" w:space="0"/>
            </w:tcBorders>
            <w:vAlign w:val="center"/>
          </w:tcPr>
          <w:p w14:paraId="04096A7A">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721" w:type="dxa"/>
            <w:tcBorders>
              <w:top w:val="single" w:color="auto" w:sz="4" w:space="0"/>
              <w:left w:val="single" w:color="auto" w:sz="2" w:space="0"/>
              <w:bottom w:val="single" w:color="auto" w:sz="2" w:space="0"/>
              <w:right w:val="single" w:color="auto" w:sz="2" w:space="0"/>
            </w:tcBorders>
            <w:vAlign w:val="center"/>
          </w:tcPr>
          <w:p w14:paraId="3AD04F26">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现场考察</w:t>
            </w:r>
          </w:p>
        </w:tc>
        <w:tc>
          <w:tcPr>
            <w:tcW w:w="6663" w:type="dxa"/>
            <w:tcBorders>
              <w:top w:val="single" w:color="auto" w:sz="4" w:space="0"/>
              <w:left w:val="single" w:color="auto" w:sz="2" w:space="0"/>
              <w:bottom w:val="single" w:color="auto" w:sz="2" w:space="0"/>
              <w:right w:val="single" w:color="auto" w:sz="2" w:space="0"/>
            </w:tcBorders>
            <w:vAlign w:val="center"/>
          </w:tcPr>
          <w:p w14:paraId="35C5EEEC">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1BCF1B15">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68CE442C">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10F0E8A">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708D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0DFFA9D">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4B699229">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663" w:type="dxa"/>
            <w:tcBorders>
              <w:top w:val="single" w:color="auto" w:sz="2" w:space="0"/>
              <w:left w:val="single" w:color="auto" w:sz="2" w:space="0"/>
              <w:bottom w:val="single" w:color="auto" w:sz="2" w:space="0"/>
              <w:right w:val="single" w:color="auto" w:sz="2" w:space="0"/>
            </w:tcBorders>
            <w:shd w:val="clear" w:color="auto" w:fill="auto"/>
            <w:vAlign w:val="center"/>
          </w:tcPr>
          <w:p w14:paraId="2F17AFF8">
            <w:pPr>
              <w:pStyle w:val="45"/>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4A4C4E96">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193F38F2">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61D1F46">
            <w:pPr>
              <w:pStyle w:val="45"/>
              <w:ind w:firstLine="240" w:firstLineChars="1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9"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4A7BE250">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询问</w:t>
            </w:r>
          </w:p>
        </w:tc>
        <w:tc>
          <w:tcPr>
            <w:tcW w:w="6663" w:type="dxa"/>
            <w:tcBorders>
              <w:top w:val="single" w:color="auto" w:sz="2" w:space="0"/>
              <w:left w:val="single" w:color="auto" w:sz="2" w:space="0"/>
              <w:bottom w:val="single" w:color="auto" w:sz="2" w:space="0"/>
              <w:right w:val="single" w:color="auto" w:sz="2" w:space="0"/>
            </w:tcBorders>
            <w:vAlign w:val="center"/>
          </w:tcPr>
          <w:p w14:paraId="6FA020B2">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1.方式： </w:t>
            </w:r>
          </w:p>
          <w:p w14:paraId="6B844338">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在供应商客户端中按照格式填写询问函，并在生成询问 </w:t>
            </w:r>
          </w:p>
          <w:p w14:paraId="56A652FB">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函后加盖电子印章提交；其他询问方式： 将纸质询问函递 </w:t>
            </w:r>
          </w:p>
          <w:p w14:paraId="1D48EBFD">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交至代理机构处 。 </w:t>
            </w:r>
          </w:p>
          <w:p w14:paraId="23029E97">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2.时间要求： 获取采购文件后在法定规定期内接受供应商 </w:t>
            </w:r>
          </w:p>
          <w:p w14:paraId="2A6C116D">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询问或澄清要求(逾期不予受理)。 </w:t>
            </w:r>
          </w:p>
          <w:p w14:paraId="1830B1BE">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注：（1）澄清、修改文件发出后，供应商必须使用最新的</w:t>
            </w:r>
          </w:p>
          <w:p w14:paraId="615561A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澄清文件制作电子响应文件，否则将无法完成上传。（2）</w:t>
            </w:r>
          </w:p>
          <w:p w14:paraId="313D2226">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供应商应一次性提出对采购文件的询问。</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56E4A3E9">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响应文件有效期</w:t>
            </w:r>
          </w:p>
        </w:tc>
        <w:tc>
          <w:tcPr>
            <w:tcW w:w="6663" w:type="dxa"/>
            <w:tcBorders>
              <w:top w:val="single" w:color="auto" w:sz="2" w:space="0"/>
              <w:left w:val="single" w:color="auto" w:sz="2" w:space="0"/>
              <w:bottom w:val="single" w:color="auto" w:sz="2" w:space="0"/>
              <w:right w:val="single" w:color="auto" w:sz="2" w:space="0"/>
            </w:tcBorders>
            <w:vAlign w:val="center"/>
          </w:tcPr>
          <w:p w14:paraId="7A8404D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06"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721" w:type="dxa"/>
            <w:tcBorders>
              <w:top w:val="single" w:color="auto" w:sz="2" w:space="0"/>
              <w:left w:val="single" w:color="auto" w:sz="2" w:space="0"/>
              <w:bottom w:val="single" w:color="auto" w:sz="2" w:space="0"/>
              <w:right w:val="single" w:color="auto" w:sz="2" w:space="0"/>
            </w:tcBorders>
            <w:vAlign w:val="center"/>
          </w:tcPr>
          <w:p w14:paraId="60D2F551">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663" w:type="dxa"/>
            <w:tcBorders>
              <w:top w:val="single" w:color="auto" w:sz="2" w:space="0"/>
              <w:left w:val="single" w:color="auto" w:sz="2" w:space="0"/>
              <w:bottom w:val="single" w:color="auto" w:sz="2" w:space="0"/>
              <w:right w:val="single" w:color="auto" w:sz="2" w:space="0"/>
            </w:tcBorders>
            <w:vAlign w:val="center"/>
          </w:tcPr>
          <w:p w14:paraId="713A171A">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5947F8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659FBE0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   %</w:t>
            </w:r>
            <w:r>
              <w:rPr>
                <w:rFonts w:hint="eastAsia" w:ascii="宋体" w:hAnsi="宋体" w:eastAsia="宋体" w:cs="宋体"/>
                <w:i w:val="0"/>
                <w:iCs w:val="0"/>
                <w:color w:val="auto"/>
                <w:sz w:val="24"/>
                <w:szCs w:val="24"/>
                <w:highlight w:val="none"/>
                <w:lang w:eastAsia="zh-CN"/>
              </w:rPr>
              <w:t>。</w:t>
            </w:r>
          </w:p>
          <w:p w14:paraId="408CDEE0">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□定额收取：人民币       元</w:t>
            </w:r>
            <w:r>
              <w:rPr>
                <w:rFonts w:hint="eastAsia" w:ascii="宋体" w:hAnsi="宋体" w:eastAsia="宋体" w:cs="宋体"/>
                <w:i w:val="0"/>
                <w:iCs w:val="0"/>
                <w:color w:val="auto"/>
                <w:sz w:val="24"/>
                <w:szCs w:val="24"/>
                <w:highlight w:val="none"/>
                <w:lang w:eastAsia="zh-CN"/>
              </w:rPr>
              <w:t>。</w:t>
            </w:r>
          </w:p>
          <w:p w14:paraId="471258F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4A250729">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013890D1">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521BA7F2">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1F174ACF">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0C79EF6C">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7CEAD366">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51E0176B">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保证金的，受益人和收取单位须为采购人。</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w:t>
            </w:r>
          </w:p>
        </w:tc>
        <w:tc>
          <w:tcPr>
            <w:tcW w:w="1721" w:type="dxa"/>
            <w:tcBorders>
              <w:top w:val="single" w:color="auto" w:sz="2" w:space="0"/>
              <w:left w:val="single" w:color="auto" w:sz="2" w:space="0"/>
              <w:bottom w:val="single" w:color="auto" w:sz="2" w:space="0"/>
              <w:right w:val="single" w:color="auto" w:sz="2" w:space="0"/>
            </w:tcBorders>
            <w:vAlign w:val="center"/>
          </w:tcPr>
          <w:p w14:paraId="747E8F8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663" w:type="dxa"/>
            <w:tcBorders>
              <w:top w:val="single" w:color="auto" w:sz="2" w:space="0"/>
              <w:left w:val="single" w:color="auto" w:sz="2" w:space="0"/>
              <w:bottom w:val="single" w:color="auto" w:sz="2" w:space="0"/>
              <w:right w:val="single" w:color="auto" w:sz="2" w:space="0"/>
            </w:tcBorders>
            <w:vAlign w:val="center"/>
          </w:tcPr>
          <w:p w14:paraId="125EFED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分钟</w:t>
            </w:r>
            <w:r>
              <w:rPr>
                <w:rFonts w:hint="eastAsia" w:ascii="宋体" w:hAnsi="宋体" w:eastAsia="宋体" w:cs="宋体"/>
                <w:i w:val="0"/>
                <w:iCs w:val="0"/>
                <w:color w:val="auto"/>
                <w:sz w:val="24"/>
                <w:szCs w:val="24"/>
                <w:highlight w:val="none"/>
              </w:rPr>
              <w:t xml:space="preserve"> </w:t>
            </w:r>
          </w:p>
          <w:p w14:paraId="7EBEE18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r>
              <w:rPr>
                <w:rFonts w:hint="eastAsia" w:ascii="宋体" w:hAnsi="宋体" w:eastAsia="宋体" w:cs="宋体"/>
                <w:i w:val="0"/>
                <w:iCs w:val="0"/>
                <w:color w:val="auto"/>
                <w:sz w:val="24"/>
                <w:szCs w:val="24"/>
                <w:highlight w:val="none"/>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5"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27.2</w:t>
            </w:r>
          </w:p>
        </w:tc>
        <w:tc>
          <w:tcPr>
            <w:tcW w:w="1721" w:type="dxa"/>
            <w:tcBorders>
              <w:top w:val="single" w:color="auto" w:sz="2" w:space="0"/>
              <w:left w:val="single" w:color="auto" w:sz="2" w:space="0"/>
              <w:bottom w:val="single" w:color="auto" w:sz="2" w:space="0"/>
              <w:right w:val="single" w:color="auto" w:sz="2" w:space="0"/>
            </w:tcBorders>
            <w:vAlign w:val="center"/>
          </w:tcPr>
          <w:p w14:paraId="3B1D8DC9">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663" w:type="dxa"/>
            <w:tcBorders>
              <w:top w:val="single" w:color="auto" w:sz="2" w:space="0"/>
              <w:left w:val="single" w:color="auto" w:sz="2" w:space="0"/>
              <w:bottom w:val="single" w:color="auto" w:sz="2" w:space="0"/>
              <w:right w:val="single" w:color="auto" w:sz="2" w:space="0"/>
            </w:tcBorders>
            <w:vAlign w:val="center"/>
          </w:tcPr>
          <w:p w14:paraId="67201373">
            <w:pPr>
              <w:pStyle w:val="45"/>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9"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28</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7F76907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663" w:type="dxa"/>
            <w:tcBorders>
              <w:top w:val="single" w:color="auto" w:sz="2" w:space="0"/>
              <w:left w:val="single" w:color="auto" w:sz="2" w:space="0"/>
              <w:bottom w:val="single" w:color="auto" w:sz="2" w:space="0"/>
              <w:right w:val="single" w:color="auto" w:sz="2" w:space="0"/>
            </w:tcBorders>
            <w:vAlign w:val="center"/>
          </w:tcPr>
          <w:p w14:paraId="77284D4E">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5AFD1CC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1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AB44AE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663" w:type="dxa"/>
            <w:tcBorders>
              <w:top w:val="single" w:color="auto" w:sz="2" w:space="0"/>
              <w:left w:val="single" w:color="auto" w:sz="2" w:space="0"/>
              <w:bottom w:val="single" w:color="auto" w:sz="2" w:space="0"/>
              <w:right w:val="single" w:color="auto" w:sz="2" w:space="0"/>
            </w:tcBorders>
            <w:vAlign w:val="center"/>
          </w:tcPr>
          <w:p w14:paraId="242C35C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4900BF28">
            <w:pPr>
              <w:pStyle w:val="45"/>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1CB543E4">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65D7FA1">
            <w:pPr>
              <w:pStyle w:val="45"/>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0067AB4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278665BD">
            <w:pPr>
              <w:pStyle w:val="55"/>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18EEE24E">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2A254E9A">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p w14:paraId="272CE06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4CB9792C">
            <w:pPr>
              <w:pStyle w:val="45"/>
              <w:rPr>
                <w:rFonts w:hint="eastAsia" w:ascii="宋体" w:hAnsi="宋体" w:eastAsia="宋体" w:cs="宋体"/>
                <w:b/>
                <w:bCs/>
                <w:i w:val="0"/>
                <w:iCs w:val="0"/>
                <w:color w:val="auto"/>
                <w:sz w:val="24"/>
                <w:szCs w:val="24"/>
                <w:highlight w:val="none"/>
              </w:rPr>
            </w:pPr>
          </w:p>
          <w:p w14:paraId="08F7956F">
            <w:pPr>
              <w:pStyle w:val="45"/>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9B817EB">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23CD9632">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32.5</w:t>
            </w:r>
          </w:p>
        </w:tc>
        <w:tc>
          <w:tcPr>
            <w:tcW w:w="1721" w:type="dxa"/>
            <w:tcBorders>
              <w:top w:val="single" w:color="auto" w:sz="2" w:space="0"/>
              <w:left w:val="single" w:color="auto" w:sz="2" w:space="0"/>
              <w:bottom w:val="single" w:color="auto" w:sz="2" w:space="0"/>
              <w:right w:val="single" w:color="auto" w:sz="2" w:space="0"/>
            </w:tcBorders>
            <w:vAlign w:val="center"/>
          </w:tcPr>
          <w:p w14:paraId="04D9510B">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663" w:type="dxa"/>
            <w:tcBorders>
              <w:top w:val="single" w:color="auto" w:sz="2" w:space="0"/>
              <w:left w:val="single" w:color="auto" w:sz="2" w:space="0"/>
              <w:bottom w:val="single" w:color="auto" w:sz="2" w:space="0"/>
              <w:right w:val="single" w:color="auto" w:sz="2" w:space="0"/>
            </w:tcBorders>
            <w:vAlign w:val="center"/>
          </w:tcPr>
          <w:p w14:paraId="4344EC45">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5"/>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5"/>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5"/>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33.1</w:t>
            </w:r>
          </w:p>
        </w:tc>
        <w:tc>
          <w:tcPr>
            <w:tcW w:w="1721" w:type="dxa"/>
            <w:tcBorders>
              <w:top w:val="single" w:color="auto" w:sz="2" w:space="0"/>
              <w:left w:val="single" w:color="auto" w:sz="2" w:space="0"/>
              <w:bottom w:val="single" w:color="auto" w:sz="2" w:space="0"/>
              <w:right w:val="single" w:color="auto" w:sz="2" w:space="0"/>
            </w:tcBorders>
            <w:vAlign w:val="center"/>
          </w:tcPr>
          <w:p w14:paraId="66EBB004">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663" w:type="dxa"/>
            <w:tcBorders>
              <w:top w:val="single" w:color="auto" w:sz="2" w:space="0"/>
              <w:left w:val="single" w:color="auto" w:sz="2" w:space="0"/>
              <w:bottom w:val="single" w:color="auto" w:sz="2" w:space="0"/>
              <w:right w:val="single" w:color="auto" w:sz="2" w:space="0"/>
            </w:tcBorders>
            <w:vAlign w:val="center"/>
          </w:tcPr>
          <w:p w14:paraId="712FA025">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递交方式：书面提交 </w:t>
            </w:r>
          </w:p>
          <w:p w14:paraId="5D27FF1A">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接收部门： </w:t>
            </w:r>
            <w:r>
              <w:rPr>
                <w:rFonts w:hint="eastAsia" w:ascii="宋体" w:hAnsi="宋体" w:cs="宋体"/>
                <w:i w:val="0"/>
                <w:iCs w:val="0"/>
                <w:color w:val="auto"/>
                <w:kern w:val="2"/>
                <w:sz w:val="24"/>
                <w:szCs w:val="24"/>
                <w:highlight w:val="none"/>
                <w:lang w:val="en-US" w:eastAsia="zh-CN" w:bidi="ar-SA"/>
              </w:rPr>
              <w:t xml:space="preserve"> 新疆冠恒工程管理咨询有限公司</w:t>
            </w:r>
            <w:r>
              <w:rPr>
                <w:rFonts w:hint="eastAsia" w:ascii="宋体" w:hAnsi="宋体" w:eastAsia="宋体" w:cs="宋体"/>
                <w:i w:val="0"/>
                <w:iCs w:val="0"/>
                <w:color w:val="auto"/>
                <w:kern w:val="2"/>
                <w:sz w:val="24"/>
                <w:szCs w:val="24"/>
                <w:highlight w:val="none"/>
                <w:lang w:val="zh-CN" w:eastAsia="zh-CN" w:bidi="ar-SA"/>
              </w:rPr>
              <w:t xml:space="preserve"> </w:t>
            </w:r>
          </w:p>
          <w:p w14:paraId="458D61A3">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13239855111</w:t>
            </w:r>
            <w:r>
              <w:rPr>
                <w:rFonts w:hint="eastAsia" w:ascii="宋体" w:hAnsi="宋体" w:eastAsia="宋体" w:cs="宋体"/>
                <w:i w:val="0"/>
                <w:iCs w:val="0"/>
                <w:color w:val="auto"/>
                <w:kern w:val="2"/>
                <w:sz w:val="24"/>
                <w:szCs w:val="24"/>
                <w:highlight w:val="none"/>
                <w:lang w:val="zh-CN" w:eastAsia="zh-CN" w:bidi="ar-SA"/>
              </w:rPr>
              <w:t xml:space="preserve"> </w:t>
            </w:r>
          </w:p>
          <w:p w14:paraId="0E86A66D">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zh-CN" w:eastAsia="zh-CN" w:bidi="ar-SA"/>
              </w:rPr>
              <w:t>通讯地址： 新疆</w:t>
            </w:r>
            <w:r>
              <w:rPr>
                <w:rFonts w:hint="eastAsia" w:ascii="宋体" w:hAnsi="宋体" w:cs="宋体"/>
                <w:i w:val="0"/>
                <w:iCs w:val="0"/>
                <w:color w:val="auto"/>
                <w:kern w:val="2"/>
                <w:sz w:val="24"/>
                <w:szCs w:val="24"/>
                <w:highlight w:val="none"/>
                <w:lang w:val="en-US" w:eastAsia="zh-CN" w:bidi="ar-SA"/>
              </w:rPr>
              <w:t>库尔勒市香榭雅居15-2-101</w:t>
            </w:r>
          </w:p>
          <w:p w14:paraId="5F864CB4">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bookmarkStart w:id="1268" w:name="_GoBack"/>
            <w:bookmarkEnd w:id="1268"/>
            <w:r>
              <w:rPr>
                <w:rFonts w:hint="eastAsia" w:ascii="宋体" w:hAnsi="宋体" w:eastAsia="宋体" w:cs="宋体"/>
                <w:i w:val="0"/>
                <w:iCs w:val="0"/>
                <w:color w:val="auto"/>
                <w:kern w:val="2"/>
                <w:sz w:val="24"/>
                <w:szCs w:val="24"/>
                <w:highlight w:val="none"/>
                <w:lang w:val="zh-CN" w:eastAsia="zh-CN" w:bidi="ar-SA"/>
              </w:rPr>
              <w:t xml:space="preserve">注：根据《中华人民共和国政府采购法》的规定，供应商质 </w:t>
            </w:r>
          </w:p>
          <w:p w14:paraId="2F54C7C8">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疑不得超出招标文件、采购过程、采购结果的范围。依据 </w:t>
            </w:r>
          </w:p>
          <w:p w14:paraId="035E4DCC">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《政府采购质疑和投诉办法》财政部第94号的规定：供应商 </w:t>
            </w:r>
          </w:p>
          <w:p w14:paraId="6C1254FD">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提出质疑应当提交质疑函和必要的证明材料。质疑函应当包 </w:t>
            </w:r>
          </w:p>
          <w:p w14:paraId="102A5F9F">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括下列内容： </w:t>
            </w:r>
          </w:p>
          <w:p w14:paraId="6B1B8031">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（一）供应商的姓名或者名称、地址、邮编、联系人及联系 </w:t>
            </w:r>
          </w:p>
          <w:p w14:paraId="59A2065A">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电话； </w:t>
            </w:r>
          </w:p>
          <w:p w14:paraId="3E3A5A6D">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（二）质疑项目的名称、编号； </w:t>
            </w:r>
          </w:p>
          <w:p w14:paraId="4A58AF37">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（三）具体、明确的质疑事项和与质疑事项相关的请求； </w:t>
            </w:r>
          </w:p>
          <w:p w14:paraId="4AD78DAA">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（四）事实依据； </w:t>
            </w:r>
          </w:p>
          <w:p w14:paraId="397A06BA">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（五）必要的法律依据； </w:t>
            </w:r>
          </w:p>
          <w:p w14:paraId="0B3553E9">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（六）提出质疑的日期。 </w:t>
            </w:r>
          </w:p>
          <w:p w14:paraId="61B504F8">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供应商为自然人的，应当由本人签字；供应商为法人或者其 </w:t>
            </w:r>
          </w:p>
          <w:p w14:paraId="3BAB7C1C">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他组织的，应当由法定代表人、主要负责人，或者其授权代 </w:t>
            </w:r>
          </w:p>
          <w:p w14:paraId="2393EF94">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表签字或者盖章，并加盖公章；代理人提出质疑和投诉，应 </w:t>
            </w:r>
          </w:p>
          <w:p w14:paraId="76223AC8">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 xml:space="preserve">当提交供应商签署的授权委托书。 供应商应在法定质疑期 </w:t>
            </w:r>
          </w:p>
          <w:p w14:paraId="2BB83C81">
            <w:pPr>
              <w:pStyle w:val="5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内一次性提出针对同一采购程序环节的质疑，否则不予受理。</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vAlign w:val="center"/>
          </w:tcPr>
          <w:p w14:paraId="620FF725">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663" w:type="dxa"/>
            <w:tcBorders>
              <w:top w:val="single" w:color="auto" w:sz="2" w:space="0"/>
              <w:left w:val="single" w:color="auto" w:sz="2" w:space="0"/>
              <w:bottom w:val="single" w:color="auto" w:sz="2" w:space="0"/>
              <w:right w:val="single" w:color="auto" w:sz="2" w:space="0"/>
            </w:tcBorders>
            <w:vAlign w:val="center"/>
          </w:tcPr>
          <w:p w14:paraId="249D9376">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5FC2BCD3">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交纳时间：中标公示期结束</w:t>
            </w:r>
            <w:r>
              <w:rPr>
                <w:rFonts w:hint="eastAsia" w:ascii="宋体" w:hAnsi="宋体" w:eastAsia="宋体" w:cs="宋体"/>
                <w:i w:val="0"/>
                <w:iCs w:val="0"/>
                <w:color w:val="auto"/>
                <w:sz w:val="24"/>
                <w:szCs w:val="24"/>
                <w:highlight w:val="none"/>
                <w:lang w:val="en-US" w:eastAsia="zh-CN"/>
              </w:rPr>
              <w:t>后5个工作日内缴纳。</w:t>
            </w:r>
          </w:p>
          <w:p w14:paraId="251BF17E">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缴纳依据：</w:t>
            </w:r>
            <w:r>
              <w:rPr>
                <w:rFonts w:hint="eastAsia" w:ascii="宋体" w:hAnsi="宋体" w:eastAsia="宋体" w:cs="宋体"/>
                <w:i w:val="0"/>
                <w:iCs w:val="0"/>
                <w:color w:val="auto"/>
                <w:sz w:val="24"/>
                <w:szCs w:val="24"/>
                <w:highlight w:val="none"/>
                <w:lang w:val="en-US" w:eastAsia="zh-CN"/>
              </w:rPr>
              <w:t xml:space="preserve">参照计发改价格【2011】534 号、发改办价格[2003]857 号文件《关于招标代理服务收费有关问题的通 </w:t>
            </w:r>
          </w:p>
          <w:p w14:paraId="17AA7848">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知》”收取，代理服务费及开、评标过程中的其他相关费用由中标（成交）单位承担。 </w:t>
            </w:r>
          </w:p>
          <w:p w14:paraId="1BA9BF21">
            <w:pPr>
              <w:pStyle w:val="45"/>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单位名称：</w:t>
            </w:r>
            <w:r>
              <w:rPr>
                <w:rFonts w:hint="eastAsia" w:cs="宋体"/>
                <w:i w:val="0"/>
                <w:iCs w:val="0"/>
                <w:color w:val="auto"/>
                <w:sz w:val="24"/>
                <w:szCs w:val="24"/>
                <w:highlight w:val="none"/>
                <w:lang w:eastAsia="zh-CN"/>
              </w:rPr>
              <w:t xml:space="preserve"> 新疆冠恒工程管理咨询有限公司</w:t>
            </w:r>
          </w:p>
          <w:p w14:paraId="2C45FAA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开户银行：中国建设银行股份有限公司库尔勒人民东路支行</w:t>
            </w:r>
          </w:p>
          <w:p w14:paraId="094C7FAB">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银行账号：6505 0170 6036 0000 0824</w:t>
            </w:r>
          </w:p>
          <w:p w14:paraId="2E89BA3A">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开户银行代码：105888000039 </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5"/>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39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721" w:type="dxa"/>
            <w:tcBorders>
              <w:top w:val="single" w:color="auto" w:sz="2" w:space="0"/>
              <w:left w:val="single" w:color="auto" w:sz="2" w:space="0"/>
              <w:bottom w:val="single" w:color="auto" w:sz="2" w:space="0"/>
              <w:right w:val="single" w:color="auto" w:sz="2" w:space="0"/>
            </w:tcBorders>
            <w:vAlign w:val="center"/>
          </w:tcPr>
          <w:p w14:paraId="623E81DC">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1"/>
                <w:rFonts w:hint="eastAsia" w:ascii="宋体" w:hAnsi="宋体" w:eastAsia="宋体" w:cs="宋体"/>
                <w:b w:val="0"/>
                <w:i w:val="0"/>
                <w:iCs w:val="0"/>
                <w:color w:val="auto"/>
                <w:sz w:val="24"/>
                <w:szCs w:val="24"/>
                <w:highlight w:val="none"/>
                <w:lang w:val="en-US" w:eastAsia="zh-CN"/>
              </w:rPr>
              <w:t>（非专门面向中小企业采购项目适用）</w:t>
            </w:r>
          </w:p>
        </w:tc>
        <w:tc>
          <w:tcPr>
            <w:tcW w:w="6663" w:type="dxa"/>
            <w:tcBorders>
              <w:top w:val="single" w:color="auto" w:sz="2" w:space="0"/>
              <w:left w:val="single" w:color="auto" w:sz="2" w:space="0"/>
              <w:bottom w:val="single" w:color="auto" w:sz="2" w:space="0"/>
              <w:right w:val="single" w:color="auto" w:sz="2" w:space="0"/>
            </w:tcBorders>
            <w:vAlign w:val="center"/>
          </w:tcPr>
          <w:p w14:paraId="47BC3CC9">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lang w:val="en-US" w:eastAsia="zh-CN"/>
              </w:rPr>
              <w:t>本次采购专门面向</w:t>
            </w:r>
            <w:r>
              <w:rPr>
                <w:rFonts w:hint="eastAsia" w:cs="宋体"/>
                <w:b w:val="0"/>
                <w:i w:val="0"/>
                <w:iCs w:val="0"/>
                <w:color w:val="auto"/>
                <w:sz w:val="24"/>
                <w:szCs w:val="24"/>
                <w:highlight w:val="none"/>
                <w:lang w:val="en-US" w:eastAsia="zh-CN"/>
              </w:rPr>
              <w:t>中</w:t>
            </w:r>
            <w:r>
              <w:rPr>
                <w:rFonts w:hint="eastAsia" w:ascii="宋体" w:hAnsi="宋体" w:eastAsia="宋体" w:cs="宋体"/>
                <w:b w:val="0"/>
                <w:i w:val="0"/>
                <w:iCs w:val="0"/>
                <w:color w:val="auto"/>
                <w:sz w:val="24"/>
                <w:szCs w:val="24"/>
                <w:highlight w:val="none"/>
                <w:lang w:val="en-US" w:eastAsia="zh-CN"/>
              </w:rPr>
              <w:t>小微企 业 。</w:t>
            </w:r>
          </w:p>
          <w:p w14:paraId="0DC767FB">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w:t>
            </w:r>
            <w:r>
              <w:rPr>
                <w:rFonts w:hint="eastAsia" w:cs="宋体"/>
                <w:b w:val="0"/>
                <w:i w:val="0"/>
                <w:iCs w:val="0"/>
                <w:color w:val="auto"/>
                <w:sz w:val="24"/>
                <w:szCs w:val="24"/>
                <w:highlight w:val="none"/>
                <w:u w:val="none"/>
                <w:lang w:val="en-US" w:eastAsia="zh-CN"/>
              </w:rPr>
              <w:t>中</w:t>
            </w:r>
            <w:r>
              <w:rPr>
                <w:rFonts w:hint="eastAsia" w:ascii="宋体" w:hAnsi="宋体" w:eastAsia="宋体" w:cs="宋体"/>
                <w:b w:val="0"/>
                <w:i w:val="0"/>
                <w:iCs w:val="0"/>
                <w:color w:val="auto"/>
                <w:sz w:val="24"/>
                <w:szCs w:val="24"/>
                <w:highlight w:val="none"/>
                <w:u w:val="none"/>
              </w:rPr>
              <w:t>小型和微型企业</w:t>
            </w:r>
            <w:r>
              <w:rPr>
                <w:rFonts w:hint="eastAsia" w:ascii="宋体" w:hAnsi="宋体" w:eastAsia="宋体" w:cs="宋体"/>
                <w:b w:val="0"/>
                <w:i w:val="0"/>
                <w:iCs w:val="0"/>
                <w:color w:val="auto"/>
                <w:sz w:val="24"/>
                <w:szCs w:val="24"/>
                <w:highlight w:val="none"/>
              </w:rPr>
              <w:t>。</w:t>
            </w:r>
          </w:p>
          <w:p w14:paraId="2E36C4A6">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w:t>
            </w:r>
            <w:r>
              <w:rPr>
                <w:rFonts w:hint="eastAsia" w:cs="宋体"/>
                <w:b w:val="0"/>
                <w:i w:val="0"/>
                <w:iCs w:val="0"/>
                <w:color w:val="auto"/>
                <w:sz w:val="24"/>
                <w:szCs w:val="24"/>
                <w:highlight w:val="none"/>
                <w:u w:val="none"/>
                <w:lang w:val="en-US" w:eastAsia="zh-CN"/>
              </w:rPr>
              <w:t>中</w:t>
            </w:r>
            <w:r>
              <w:rPr>
                <w:rFonts w:hint="eastAsia" w:ascii="宋体" w:hAnsi="宋体" w:eastAsia="宋体" w:cs="宋体"/>
                <w:b w:val="0"/>
                <w:i w:val="0"/>
                <w:iCs w:val="0"/>
                <w:color w:val="auto"/>
                <w:sz w:val="24"/>
                <w:szCs w:val="24"/>
                <w:highlight w:val="none"/>
                <w:u w:val="none"/>
              </w:rPr>
              <w:t>小型和微型企业</w:t>
            </w:r>
            <w:r>
              <w:rPr>
                <w:rFonts w:hint="eastAsia" w:ascii="宋体" w:hAnsi="宋体" w:eastAsia="宋体" w:cs="宋体"/>
                <w:b w:val="0"/>
                <w:i w:val="0"/>
                <w:iCs w:val="0"/>
                <w:color w:val="auto"/>
                <w:sz w:val="24"/>
                <w:szCs w:val="24"/>
                <w:highlight w:val="none"/>
              </w:rPr>
              <w:t>。</w:t>
            </w:r>
          </w:p>
          <w:p w14:paraId="2644748A">
            <w:pPr>
              <w:pStyle w:val="58"/>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211136B6">
            <w:pPr>
              <w:pStyle w:val="58"/>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5"/>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39.9</w:t>
            </w:r>
          </w:p>
        </w:tc>
        <w:tc>
          <w:tcPr>
            <w:tcW w:w="1721" w:type="dxa"/>
            <w:tcBorders>
              <w:top w:val="single" w:color="auto" w:sz="2" w:space="0"/>
              <w:left w:val="single" w:color="auto" w:sz="2" w:space="0"/>
              <w:bottom w:val="single" w:color="auto" w:sz="2" w:space="0"/>
              <w:right w:val="single" w:color="auto" w:sz="2" w:space="0"/>
            </w:tcBorders>
            <w:vAlign w:val="center"/>
          </w:tcPr>
          <w:p w14:paraId="4DEF3B1D">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5"/>
              <w:rPr>
                <w:rFonts w:hint="eastAsia" w:ascii="宋体" w:hAnsi="宋体" w:eastAsia="宋体" w:cs="宋体"/>
                <w:i w:val="0"/>
                <w:iCs w:val="0"/>
                <w:color w:val="auto"/>
                <w:sz w:val="24"/>
                <w:szCs w:val="24"/>
                <w:highlight w:val="none"/>
              </w:rPr>
            </w:pPr>
            <w:r>
              <w:rPr>
                <w:rStyle w:val="31"/>
                <w:rFonts w:hint="eastAsia" w:ascii="宋体" w:hAnsi="宋体" w:eastAsia="宋体" w:cs="宋体"/>
                <w:b w:val="0"/>
                <w:i w:val="0"/>
                <w:iCs w:val="0"/>
                <w:color w:val="auto"/>
                <w:sz w:val="24"/>
                <w:szCs w:val="24"/>
                <w:highlight w:val="none"/>
                <w:lang w:val="en-US" w:eastAsia="zh-CN"/>
              </w:rPr>
              <w:t>参照后附</w:t>
            </w:r>
            <w:r>
              <w:rPr>
                <w:rStyle w:val="31"/>
                <w:rFonts w:hint="eastAsia" w:ascii="宋体" w:hAnsi="宋体" w:eastAsia="宋体" w:cs="宋体"/>
                <w:b w:val="0"/>
                <w:i w:val="0"/>
                <w:iCs w:val="0"/>
                <w:color w:val="auto"/>
                <w:sz w:val="24"/>
                <w:szCs w:val="24"/>
                <w:highlight w:val="none"/>
                <w:lang w:eastAsia="zh-CN"/>
              </w:rPr>
              <w:t>《</w:t>
            </w:r>
            <w:r>
              <w:rPr>
                <w:rStyle w:val="31"/>
                <w:rFonts w:hint="eastAsia" w:ascii="宋体" w:hAnsi="宋体" w:eastAsia="宋体" w:cs="宋体"/>
                <w:b w:val="0"/>
                <w:i w:val="0"/>
                <w:iCs w:val="0"/>
                <w:color w:val="auto"/>
                <w:sz w:val="24"/>
                <w:szCs w:val="24"/>
                <w:highlight w:val="none"/>
              </w:rPr>
              <w:t>工信部联企业〔2011〕300号</w:t>
            </w:r>
            <w:r>
              <w:rPr>
                <w:rStyle w:val="31"/>
                <w:rFonts w:hint="eastAsia" w:ascii="宋体" w:hAnsi="宋体" w:eastAsia="宋体" w:cs="宋体"/>
                <w:b w:val="0"/>
                <w:i w:val="0"/>
                <w:iCs w:val="0"/>
                <w:color w:val="auto"/>
                <w:sz w:val="24"/>
                <w:szCs w:val="24"/>
                <w:highlight w:val="none"/>
                <w:lang w:eastAsia="zh-CN"/>
              </w:rPr>
              <w:t>》</w:t>
            </w:r>
          </w:p>
        </w:tc>
        <w:tc>
          <w:tcPr>
            <w:tcW w:w="6663"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29"/>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2376"/>
              <w:gridCol w:w="2526"/>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14:paraId="6A664177">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2376" w:type="dxa"/>
                  <w:vAlign w:val="center"/>
                </w:tcPr>
                <w:p w14:paraId="0AD36816">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2526" w:type="dxa"/>
                  <w:vAlign w:val="center"/>
                </w:tcPr>
                <w:p w14:paraId="2C78D77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Align w:val="center"/>
                </w:tcPr>
                <w:p w14:paraId="45DA92CB">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XJGH-ZC2026-01（02）</w:t>
                  </w:r>
                </w:p>
              </w:tc>
              <w:tc>
                <w:tcPr>
                  <w:tcW w:w="2376" w:type="dxa"/>
                  <w:vAlign w:val="center"/>
                </w:tcPr>
                <w:p w14:paraId="7B94C3FE">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塔里木河流域车尔臣河水利管理中心2026年公益性水利工程维修养护项目（第二次）</w:t>
                  </w:r>
                </w:p>
              </w:tc>
              <w:tc>
                <w:tcPr>
                  <w:tcW w:w="2526" w:type="dxa"/>
                  <w:vAlign w:val="center"/>
                </w:tcPr>
                <w:p w14:paraId="33535D95">
                  <w:pPr>
                    <w:keepNext w:val="0"/>
                    <w:keepLines w:val="0"/>
                    <w:widowControl/>
                    <w:suppressLineNumbers w:val="0"/>
                    <w:jc w:val="center"/>
                    <w:rPr>
                      <w:rFonts w:hint="default"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建筑业</w:t>
                  </w:r>
                </w:p>
              </w:tc>
            </w:tr>
          </w:tbl>
          <w:p w14:paraId="4176FC14">
            <w:pPr>
              <w:pStyle w:val="45"/>
              <w:rPr>
                <w:rFonts w:hint="eastAsia" w:ascii="宋体" w:hAnsi="宋体" w:eastAsia="宋体" w:cs="宋体"/>
                <w:i w:val="0"/>
                <w:iCs w:val="0"/>
                <w:color w:val="auto"/>
                <w:sz w:val="24"/>
                <w:szCs w:val="24"/>
                <w:highlight w:val="none"/>
              </w:rPr>
            </w:pP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5"/>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6663" w:type="dxa"/>
            <w:tcBorders>
              <w:top w:val="single" w:color="auto" w:sz="2" w:space="0"/>
              <w:left w:val="single" w:color="auto" w:sz="2" w:space="0"/>
              <w:bottom w:val="single" w:color="auto" w:sz="2" w:space="0"/>
              <w:right w:val="single" w:color="auto" w:sz="2" w:space="0"/>
            </w:tcBorders>
            <w:shd w:val="clear" w:color="auto" w:fill="auto"/>
            <w:vAlign w:val="center"/>
          </w:tcPr>
          <w:p w14:paraId="64CFBC8D">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175BE945">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根据项目情况自行补充</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rPr>
              <w:t>。</w:t>
            </w:r>
          </w:p>
          <w:p w14:paraId="47315A62">
            <w:pPr>
              <w:pStyle w:val="45"/>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12"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5"/>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721" w:type="dxa"/>
            <w:tcBorders>
              <w:top w:val="single" w:color="auto" w:sz="2" w:space="0"/>
              <w:left w:val="single" w:color="auto" w:sz="2" w:space="0"/>
              <w:bottom w:val="single" w:color="auto" w:sz="2" w:space="0"/>
              <w:right w:val="single" w:color="auto" w:sz="4" w:space="0"/>
            </w:tcBorders>
            <w:vAlign w:val="center"/>
          </w:tcPr>
          <w:p w14:paraId="57A459C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6663" w:type="dxa"/>
            <w:tcBorders>
              <w:top w:val="single" w:color="auto" w:sz="2" w:space="0"/>
              <w:left w:val="single" w:color="auto" w:sz="4" w:space="0"/>
              <w:bottom w:val="single" w:color="auto" w:sz="2" w:space="0"/>
              <w:right w:val="single" w:color="auto" w:sz="2" w:space="0"/>
            </w:tcBorders>
            <w:vAlign w:val="center"/>
          </w:tcPr>
          <w:p w14:paraId="6271EFA7">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1、本项目实行网上招标，采用电子投标文件；</w:t>
            </w:r>
          </w:p>
          <w:p w14:paraId="12357DE0">
            <w:pPr>
              <w:pStyle w:val="45"/>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各供应商应在开标前应确保成为新疆政采云正式注册入库供应商，并完成CA数字证书（符合国密标准）申领。因未注册入库、未办理CA数字证书等原因造成无法投标或投标失败等后果由供应商自行承担。有意向参与</w:t>
            </w:r>
            <w:r>
              <w:rPr>
                <w:rFonts w:hint="eastAsia"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val="en-US" w:eastAsia="zh-CN"/>
              </w:rPr>
              <w:t>区域电子开评标的供应商，可访问新疆数字证书认证中心官方网站（https://www.xjca.com.cn/）或下载“新疆政务通”APP自行进行申领。如需咨询，请联系新疆CA服务热线0991-2819290；</w:t>
            </w:r>
          </w:p>
          <w:p w14:paraId="52B77C4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3、供应商将政采云电子交易客户端下载、安装完成后，可通过账号密码或CA登录客户端进行采购文件的制作。在使用政采云投标客户端时，建议使用WIN764位及以上操作系统。客户端请至</w:t>
            </w:r>
            <w:r>
              <w:rPr>
                <w:rFonts w:hint="eastAsia"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val="en-US" w:eastAsia="zh-CN"/>
              </w:rPr>
              <w:t>政府采购网（http://ccgp-bingtuan.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54" w:type="dxa"/>
            <w:gridSpan w:val="3"/>
            <w:tcBorders>
              <w:top w:val="single" w:color="auto" w:sz="2" w:space="0"/>
              <w:left w:val="single" w:color="auto" w:sz="2" w:space="0"/>
              <w:bottom w:val="single" w:color="auto" w:sz="2" w:space="0"/>
              <w:right w:val="single" w:color="auto" w:sz="2" w:space="0"/>
            </w:tcBorders>
            <w:vAlign w:val="center"/>
          </w:tcPr>
          <w:p w14:paraId="45AC7FA3">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w:t>
            </w:r>
          </w:p>
          <w:p w14:paraId="27269E57">
            <w:pPr>
              <w:pStyle w:val="4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91"/>
    </w:tbl>
    <w:p w14:paraId="3028AA8E">
      <w:pPr>
        <w:rPr>
          <w:i w:val="0"/>
          <w:iCs w:val="0"/>
          <w:color w:val="auto"/>
          <w:highlight w:val="none"/>
        </w:rPr>
      </w:pPr>
    </w:p>
    <w:p w14:paraId="33F3E6AD">
      <w:pPr>
        <w:rPr>
          <w:i w:val="0"/>
          <w:iCs w:val="0"/>
          <w:color w:val="auto"/>
          <w:highlight w:val="none"/>
        </w:rPr>
      </w:pPr>
    </w:p>
    <w:p w14:paraId="60F9042D">
      <w:pPr>
        <w:rPr>
          <w:i w:val="0"/>
          <w:iCs w:val="0"/>
          <w:color w:val="auto"/>
          <w:highlight w:val="none"/>
        </w:rPr>
      </w:pPr>
    </w:p>
    <w:p w14:paraId="5ECF1072">
      <w:pPr>
        <w:rPr>
          <w:i w:val="0"/>
          <w:iCs w:val="0"/>
          <w:color w:val="auto"/>
          <w:highlight w:val="none"/>
        </w:rPr>
      </w:pPr>
    </w:p>
    <w:p w14:paraId="32A93F7E">
      <w:pPr>
        <w:rPr>
          <w:i w:val="0"/>
          <w:iCs w:val="0"/>
          <w:color w:val="auto"/>
          <w:highlight w:val="none"/>
        </w:rPr>
      </w:pPr>
    </w:p>
    <w:p w14:paraId="3B88ADCF">
      <w:pPr>
        <w:rPr>
          <w:i w:val="0"/>
          <w:iCs w:val="0"/>
          <w:color w:val="auto"/>
          <w:highlight w:val="none"/>
        </w:rPr>
      </w:pPr>
    </w:p>
    <w:p w14:paraId="02A665A3">
      <w:pPr>
        <w:rPr>
          <w:i w:val="0"/>
          <w:iCs w:val="0"/>
          <w:color w:val="auto"/>
          <w:highlight w:val="none"/>
        </w:rPr>
      </w:pPr>
    </w:p>
    <w:p w14:paraId="60F17C43">
      <w:pPr>
        <w:rPr>
          <w:i w:val="0"/>
          <w:iCs w:val="0"/>
          <w:color w:val="auto"/>
          <w:highlight w:val="none"/>
        </w:rPr>
      </w:pPr>
    </w:p>
    <w:p w14:paraId="07D9F23D">
      <w:pPr>
        <w:rPr>
          <w:i w:val="0"/>
          <w:iCs w:val="0"/>
          <w:color w:val="auto"/>
          <w:highlight w:val="none"/>
        </w:rPr>
      </w:pPr>
    </w:p>
    <w:p w14:paraId="4E02AD64">
      <w:pPr>
        <w:rPr>
          <w:i w:val="0"/>
          <w:iCs w:val="0"/>
          <w:color w:val="auto"/>
          <w:highlight w:val="none"/>
        </w:rPr>
      </w:pPr>
    </w:p>
    <w:p w14:paraId="2A338ED8">
      <w:pPr>
        <w:rPr>
          <w:i w:val="0"/>
          <w:iCs w:val="0"/>
          <w:color w:val="auto"/>
          <w:highlight w:val="none"/>
        </w:rPr>
      </w:pPr>
    </w:p>
    <w:p w14:paraId="1CF0D4F4">
      <w:pPr>
        <w:pStyle w:val="6"/>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2" w:name="_Toc28828"/>
      <w:r>
        <w:rPr>
          <w:rFonts w:hint="eastAsia" w:eastAsia="宋体" w:asciiTheme="majorHAnsi" w:hAnsiTheme="majorHAnsi" w:cstheme="majorBidi"/>
          <w:b/>
          <w:bCs/>
          <w:color w:val="auto"/>
          <w:kern w:val="2"/>
          <w:sz w:val="28"/>
          <w:szCs w:val="28"/>
          <w:highlight w:val="none"/>
          <w:lang w:val="en-US" w:eastAsia="zh-CN" w:bidi="ar-SA"/>
        </w:rPr>
        <w:t>二、供应商须知</w:t>
      </w:r>
      <w:bookmarkEnd w:id="92"/>
    </w:p>
    <w:p w14:paraId="04978FCD">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93" w:name="_Toc3921"/>
      <w:bookmarkStart w:id="94" w:name="_Toc46771638"/>
      <w:bookmarkStart w:id="95" w:name="_Toc109900370"/>
      <w:bookmarkStart w:id="96" w:name="_Toc109899951"/>
      <w:bookmarkStart w:id="97" w:name="_Toc109899532"/>
      <w:bookmarkStart w:id="98" w:name="_Toc109897433"/>
      <w:bookmarkStart w:id="99" w:name="_Toc163493611"/>
      <w:bookmarkStart w:id="100" w:name="_Toc470172694"/>
      <w:r>
        <w:rPr>
          <w:rFonts w:hint="eastAsia" w:ascii="宋体" w:hAnsi="宋体" w:eastAsia="宋体" w:cs="宋体"/>
          <w:b/>
          <w:bCs/>
          <w:color w:val="auto"/>
          <w:kern w:val="2"/>
          <w:sz w:val="24"/>
          <w:szCs w:val="24"/>
          <w:highlight w:val="none"/>
          <w:lang w:val="en-US" w:eastAsia="zh-CN" w:bidi="ar-SA"/>
        </w:rPr>
        <w:t>（一）总则</w:t>
      </w:r>
      <w:bookmarkEnd w:id="93"/>
      <w:bookmarkEnd w:id="94"/>
      <w:bookmarkEnd w:id="95"/>
      <w:bookmarkEnd w:id="96"/>
      <w:bookmarkEnd w:id="97"/>
      <w:bookmarkEnd w:id="98"/>
      <w:bookmarkEnd w:id="99"/>
    </w:p>
    <w:p w14:paraId="18977FAF">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1" w:name="_Toc46772240"/>
      <w:bookmarkStart w:id="102" w:name="_Toc109899533"/>
      <w:bookmarkStart w:id="103" w:name="_Toc27243"/>
      <w:bookmarkStart w:id="104" w:name="_Toc109899952"/>
      <w:bookmarkStart w:id="105" w:name="_Toc52960552"/>
      <w:bookmarkStart w:id="106" w:name="_Toc48688788"/>
      <w:bookmarkStart w:id="107" w:name="_Toc109900371"/>
      <w:bookmarkStart w:id="108" w:name="_Toc46771639"/>
      <w:bookmarkStart w:id="109" w:name="_Toc48846108"/>
      <w:bookmarkStart w:id="110" w:name="_Toc470172664"/>
      <w:bookmarkStart w:id="111" w:name="_Toc109897434"/>
      <w:bookmarkStart w:id="112" w:name="_Toc51674210"/>
      <w:bookmarkStart w:id="113" w:name="_Toc52962726"/>
      <w:r>
        <w:rPr>
          <w:rFonts w:hint="eastAsia" w:ascii="宋体" w:hAnsi="宋体" w:eastAsia="宋体" w:cs="宋体"/>
          <w:b/>
          <w:bCs/>
          <w:color w:val="auto"/>
          <w:kern w:val="2"/>
          <w:sz w:val="24"/>
          <w:szCs w:val="24"/>
          <w:highlight w:val="none"/>
          <w:lang w:val="en-US" w:eastAsia="zh-CN" w:bidi="ar-SA"/>
        </w:rPr>
        <w:t>1.适用范围</w:t>
      </w:r>
      <w:bookmarkEnd w:id="101"/>
      <w:bookmarkEnd w:id="102"/>
      <w:bookmarkEnd w:id="103"/>
      <w:bookmarkEnd w:id="104"/>
      <w:bookmarkEnd w:id="105"/>
      <w:bookmarkEnd w:id="106"/>
      <w:bookmarkEnd w:id="107"/>
      <w:bookmarkEnd w:id="108"/>
      <w:bookmarkEnd w:id="109"/>
      <w:bookmarkEnd w:id="110"/>
      <w:bookmarkEnd w:id="111"/>
      <w:bookmarkEnd w:id="112"/>
      <w:bookmarkEnd w:id="113"/>
    </w:p>
    <w:p w14:paraId="3FAC17DD">
      <w:pPr>
        <w:pStyle w:val="34"/>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rPr>
        <w:t>1.1本竞争性磋商文件</w:t>
      </w:r>
      <w:r>
        <w:rPr>
          <w:rFonts w:hint="eastAsia" w:cs="宋体"/>
          <w:i w:val="0"/>
          <w:iCs w:val="0"/>
          <w:snapToGrid w:val="0"/>
          <w:color w:val="auto"/>
          <w:highlight w:val="none"/>
        </w:rPr>
        <w:t>（也称磋商文件或采购文件）</w:t>
      </w:r>
      <w:r>
        <w:rPr>
          <w:rFonts w:hint="eastAsia"/>
          <w:i w:val="0"/>
          <w:iCs w:val="0"/>
          <w:snapToGrid w:val="0"/>
          <w:color w:val="auto"/>
          <w:highlight w:val="none"/>
        </w:rPr>
        <w:t>仅适用于本次竞争性磋商中所述项目的采购活动。</w:t>
      </w:r>
    </w:p>
    <w:p w14:paraId="34F08411">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4" w:name="_Toc163492824"/>
      <w:r>
        <w:rPr>
          <w:rFonts w:hint="eastAsia" w:ascii="宋体" w:hAnsi="宋体" w:eastAsia="宋体" w:cs="宋体"/>
          <w:b/>
          <w:bCs/>
          <w:color w:val="auto"/>
          <w:kern w:val="2"/>
          <w:sz w:val="24"/>
          <w:szCs w:val="24"/>
          <w:highlight w:val="none"/>
          <w:lang w:val="en-US" w:eastAsia="zh-CN" w:bidi="ar-SA"/>
        </w:rPr>
        <w:t>2.基本定义</w:t>
      </w:r>
      <w:bookmarkEnd w:id="114"/>
    </w:p>
    <w:p w14:paraId="768D70C2">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i w:val="0"/>
          <w:iCs w:val="0"/>
          <w:color w:val="auto"/>
          <w:highlight w:val="none"/>
        </w:rPr>
      </w:pPr>
      <w:r>
        <w:rPr>
          <w:rFonts w:hint="eastAsia"/>
          <w:i w:val="0"/>
          <w:iCs w:val="0"/>
          <w:color w:val="auto"/>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i w:val="0"/>
          <w:iCs w:val="0"/>
          <w:color w:val="auto"/>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i w:val="0"/>
          <w:iCs w:val="0"/>
          <w:color w:val="auto"/>
          <w:highlight w:val="none"/>
        </w:rPr>
      </w:pPr>
      <w:r>
        <w:rPr>
          <w:rFonts w:hint="eastAsia"/>
          <w:i w:val="0"/>
          <w:iCs w:val="0"/>
          <w:color w:val="auto"/>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i w:val="0"/>
          <w:iCs w:val="0"/>
          <w:color w:val="auto"/>
          <w:highlight w:val="none"/>
          <w:lang w:val="en-US" w:eastAsia="zh-CN"/>
        </w:rPr>
        <w:t>委托的采购代理机构</w:t>
      </w:r>
      <w:r>
        <w:rPr>
          <w:rFonts w:hint="eastAsia"/>
          <w:i w:val="0"/>
          <w:iCs w:val="0"/>
          <w:color w:val="auto"/>
          <w:highlight w:val="none"/>
        </w:rPr>
        <w:t>。</w:t>
      </w:r>
    </w:p>
    <w:p w14:paraId="26D50742">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41307B6">
      <w:pPr>
        <w:spacing w:line="360" w:lineRule="auto"/>
        <w:ind w:firstLine="480" w:firstLineChars="200"/>
        <w:rPr>
          <w:rFonts w:ascii="宋体" w:hAnsi="宋体" w:eastAsia="宋体"/>
          <w:i w:val="0"/>
          <w:iCs w:val="0"/>
          <w:color w:val="auto"/>
          <w:sz w:val="24"/>
          <w:highlight w:val="none"/>
        </w:rPr>
      </w:pPr>
      <w:r>
        <w:rPr>
          <w:rFonts w:hint="eastAsia"/>
          <w:i w:val="0"/>
          <w:iCs w:val="0"/>
          <w:color w:val="auto"/>
          <w:highlight w:val="none"/>
          <w:lang w:val="en-US" w:eastAsia="zh-CN"/>
        </w:rPr>
        <w:t>2.5供应商（也称“申请人”）：指向采购人提供货物、工程或者服务的法人、其他组织或者自然人。</w:t>
      </w:r>
      <w:r>
        <w:rPr>
          <w:rFonts w:hint="eastAsia" w:ascii="宋体" w:hAnsi="宋体" w:eastAsia="宋体"/>
          <w:i w:val="0"/>
          <w:iCs w:val="0"/>
          <w:color w:val="auto"/>
          <w:sz w:val="24"/>
          <w:highlight w:val="none"/>
        </w:rPr>
        <w:t>分支机构不得参加政府采购活动，</w:t>
      </w:r>
      <w:r>
        <w:rPr>
          <w:rFonts w:hint="eastAsia"/>
          <w:i w:val="0"/>
          <w:iCs w:val="0"/>
          <w:color w:val="auto"/>
          <w:highlight w:val="none"/>
        </w:rPr>
        <w:t>但银行、保险、石油石化、电力、电信等</w:t>
      </w:r>
      <w:r>
        <w:rPr>
          <w:rFonts w:hint="eastAsia"/>
          <w:i w:val="0"/>
          <w:iCs w:val="0"/>
          <w:color w:val="auto"/>
          <w:highlight w:val="none"/>
          <w:lang w:val="en-US" w:eastAsia="zh-CN"/>
        </w:rPr>
        <w:t>有</w:t>
      </w:r>
      <w:r>
        <w:rPr>
          <w:rFonts w:hint="eastAsia"/>
          <w:i w:val="0"/>
          <w:iCs w:val="0"/>
          <w:color w:val="auto"/>
          <w:highlight w:val="none"/>
        </w:rPr>
        <w:t>行业特殊</w:t>
      </w:r>
      <w:r>
        <w:rPr>
          <w:rFonts w:hint="eastAsia"/>
          <w:i w:val="0"/>
          <w:iCs w:val="0"/>
          <w:color w:val="auto"/>
          <w:highlight w:val="none"/>
          <w:lang w:val="en-US" w:eastAsia="zh-CN"/>
        </w:rPr>
        <w:t>情况的</w:t>
      </w:r>
      <w:r>
        <w:rPr>
          <w:rFonts w:hint="eastAsia"/>
          <w:i w:val="0"/>
          <w:iCs w:val="0"/>
          <w:color w:val="auto"/>
          <w:highlight w:val="none"/>
        </w:rPr>
        <w:t>除外。</w:t>
      </w:r>
      <w:r>
        <w:rPr>
          <w:rFonts w:ascii="宋体" w:hAnsi="宋体" w:eastAsia="宋体"/>
          <w:i w:val="0"/>
          <w:iCs w:val="0"/>
          <w:color w:val="auto"/>
          <w:sz w:val="24"/>
          <w:highlight w:val="none"/>
        </w:rPr>
        <w:t>本项目的</w:t>
      </w:r>
      <w:r>
        <w:rPr>
          <w:rFonts w:hint="eastAsia"/>
          <w:i w:val="0"/>
          <w:iCs w:val="0"/>
          <w:color w:val="auto"/>
          <w:sz w:val="24"/>
          <w:highlight w:val="none"/>
          <w:lang w:val="en-US" w:eastAsia="zh-CN"/>
        </w:rPr>
        <w:t>供应商</w:t>
      </w:r>
      <w:r>
        <w:rPr>
          <w:rFonts w:ascii="宋体" w:hAnsi="宋体" w:eastAsia="宋体"/>
          <w:i w:val="0"/>
          <w:iCs w:val="0"/>
          <w:color w:val="auto"/>
          <w:sz w:val="24"/>
          <w:highlight w:val="none"/>
        </w:rPr>
        <w:t>须满足以下条件：</w:t>
      </w:r>
    </w:p>
    <w:p w14:paraId="11EA4CC6">
      <w:pPr>
        <w:spacing w:line="360" w:lineRule="auto"/>
        <w:ind w:firstLine="480" w:firstLineChars="200"/>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1</w:t>
      </w:r>
      <w:r>
        <w:rPr>
          <w:rFonts w:ascii="宋体" w:hAnsi="宋体" w:eastAsia="宋体"/>
          <w:i w:val="0"/>
          <w:iCs w:val="0"/>
          <w:color w:val="auto"/>
          <w:sz w:val="24"/>
          <w:highlight w:val="none"/>
        </w:rPr>
        <w:t>具备《中华人民共和国政府采购法》第二十二条规定的</w:t>
      </w:r>
      <w:r>
        <w:rPr>
          <w:rFonts w:hint="eastAsia"/>
          <w:i w:val="0"/>
          <w:iCs w:val="0"/>
          <w:color w:val="auto"/>
          <w:sz w:val="24"/>
          <w:highlight w:val="none"/>
          <w:lang w:val="en-US" w:eastAsia="zh-CN"/>
        </w:rPr>
        <w:t>条件</w:t>
      </w:r>
      <w:r>
        <w:rPr>
          <w:rFonts w:ascii="宋体" w:hAnsi="宋体" w:eastAsia="宋体"/>
          <w:i w:val="0"/>
          <w:iCs w:val="0"/>
          <w:color w:val="auto"/>
          <w:sz w:val="24"/>
          <w:highlight w:val="none"/>
        </w:rPr>
        <w:t>，遵守本项目采购人本级和上级财政部门政府采购的有关规定。</w:t>
      </w:r>
    </w:p>
    <w:p w14:paraId="766B5509">
      <w:pPr>
        <w:pStyle w:val="34"/>
        <w:keepNext w:val="0"/>
        <w:keepLines w:val="0"/>
        <w:pageBreakBefore w:val="0"/>
        <w:widowControl w:val="0"/>
        <w:kinsoku/>
        <w:overflowPunct/>
        <w:topLinePunct w:val="0"/>
        <w:bidi w:val="0"/>
        <w:ind w:firstLine="480"/>
        <w:textAlignment w:val="auto"/>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2</w:t>
      </w:r>
      <w:r>
        <w:rPr>
          <w:rFonts w:ascii="宋体" w:hAnsi="宋体" w:eastAsia="宋体"/>
          <w:i w:val="0"/>
          <w:iCs w:val="0"/>
          <w:color w:val="auto"/>
          <w:sz w:val="24"/>
          <w:highlight w:val="none"/>
        </w:rPr>
        <w:t>以</w:t>
      </w:r>
      <w:r>
        <w:rPr>
          <w:rFonts w:hint="eastAsia"/>
          <w:i w:val="0"/>
          <w:iCs w:val="0"/>
          <w:color w:val="auto"/>
          <w:sz w:val="24"/>
          <w:highlight w:val="none"/>
          <w:lang w:val="en-US" w:eastAsia="zh-CN"/>
        </w:rPr>
        <w:t>竞争性磋商公告中发布</w:t>
      </w:r>
      <w:r>
        <w:rPr>
          <w:rFonts w:ascii="宋体" w:hAnsi="宋体" w:eastAsia="宋体"/>
          <w:i w:val="0"/>
          <w:iCs w:val="0"/>
          <w:color w:val="auto"/>
          <w:sz w:val="24"/>
          <w:highlight w:val="none"/>
        </w:rPr>
        <w:t>的方式</w:t>
      </w:r>
      <w:r>
        <w:rPr>
          <w:rFonts w:hint="eastAsia"/>
          <w:i w:val="0"/>
          <w:iCs w:val="0"/>
          <w:color w:val="auto"/>
          <w:sz w:val="24"/>
          <w:highlight w:val="none"/>
          <w:lang w:eastAsia="zh-CN"/>
        </w:rPr>
        <w:t>依法</w:t>
      </w:r>
      <w:r>
        <w:rPr>
          <w:rFonts w:ascii="宋体" w:hAnsi="宋体" w:eastAsia="宋体"/>
          <w:i w:val="0"/>
          <w:iCs w:val="0"/>
          <w:color w:val="auto"/>
          <w:sz w:val="24"/>
          <w:highlight w:val="none"/>
        </w:rPr>
        <w:t>获得了本项目的</w:t>
      </w:r>
      <w:r>
        <w:rPr>
          <w:rFonts w:hint="eastAsia"/>
          <w:i w:val="0"/>
          <w:iCs w:val="0"/>
          <w:color w:val="auto"/>
          <w:sz w:val="24"/>
          <w:highlight w:val="none"/>
          <w:lang w:val="en-US" w:eastAsia="zh-CN"/>
        </w:rPr>
        <w:t>竞争性磋商</w:t>
      </w:r>
      <w:r>
        <w:rPr>
          <w:rFonts w:ascii="宋体" w:hAnsi="宋体" w:eastAsia="宋体"/>
          <w:i w:val="0"/>
          <w:iCs w:val="0"/>
          <w:color w:val="auto"/>
          <w:sz w:val="24"/>
          <w:highlight w:val="none"/>
        </w:rPr>
        <w:t>文件。</w:t>
      </w:r>
    </w:p>
    <w:p w14:paraId="07B83632">
      <w:pPr>
        <w:ind w:firstLine="480" w:firstLineChars="200"/>
        <w:rPr>
          <w:rFonts w:hint="eastAsia"/>
          <w:i w:val="0"/>
          <w:iCs w:val="0"/>
          <w:color w:val="auto"/>
          <w:highlight w:val="none"/>
          <w:lang w:val="en-US" w:eastAsia="zh-CN"/>
        </w:rPr>
      </w:pPr>
      <w:r>
        <w:rPr>
          <w:rFonts w:hint="eastAsia"/>
          <w:i w:val="0"/>
          <w:iCs w:val="0"/>
          <w:color w:val="auto"/>
          <w:highlight w:val="none"/>
          <w:lang w:val="en-US" w:eastAsia="zh-CN"/>
        </w:rPr>
        <w:t>2.5.3符合本磋商文件规定并参加磋商的供应商。</w:t>
      </w:r>
    </w:p>
    <w:p w14:paraId="323DC0B9">
      <w:pPr>
        <w:pStyle w:val="34"/>
        <w:keepNext w:val="0"/>
        <w:keepLines w:val="0"/>
        <w:pageBreakBefore w:val="0"/>
        <w:widowControl w:val="0"/>
        <w:kinsoku/>
        <w:overflowPunct/>
        <w:topLinePunct w:val="0"/>
        <w:bidi w:val="0"/>
        <w:ind w:firstLine="480"/>
        <w:textAlignment w:val="auto"/>
        <w:rPr>
          <w:rFonts w:hint="default" w:eastAsia="宋体" w:cs="宋体"/>
          <w:i w:val="0"/>
          <w:iCs w:val="0"/>
          <w:snapToGrid w:val="0"/>
          <w:color w:val="auto"/>
          <w:highlight w:val="none"/>
          <w:lang w:val="en-US" w:eastAsia="zh-CN"/>
        </w:rPr>
      </w:pPr>
      <w:r>
        <w:rPr>
          <w:rFonts w:hint="eastAsia"/>
          <w:i w:val="0"/>
          <w:iCs w:val="0"/>
          <w:color w:val="auto"/>
          <w:highlight w:val="none"/>
          <w:lang w:val="en-US" w:eastAsia="zh-CN"/>
        </w:rPr>
        <w:t>2.6</w:t>
      </w:r>
      <w:r>
        <w:rPr>
          <w:rFonts w:hint="eastAsia"/>
          <w:i w:val="0"/>
          <w:iCs w:val="0"/>
          <w:color w:val="auto"/>
          <w:highlight w:val="none"/>
          <w:shd w:val="clear" w:color="auto" w:fill="FFFFFF" w:themeFill="background1"/>
        </w:rPr>
        <w:t>潜在供应商</w:t>
      </w:r>
      <w:r>
        <w:rPr>
          <w:rFonts w:hint="eastAsia"/>
          <w:i w:val="0"/>
          <w:iCs w:val="0"/>
          <w:color w:val="auto"/>
          <w:highlight w:val="none"/>
          <w:shd w:val="clear" w:color="auto" w:fill="FFFFFF" w:themeFill="background1"/>
          <w:lang w:eastAsia="zh-CN"/>
        </w:rPr>
        <w:t>：</w:t>
      </w:r>
      <w:r>
        <w:rPr>
          <w:rFonts w:hint="eastAsia"/>
          <w:i w:val="0"/>
          <w:iCs w:val="0"/>
          <w:color w:val="auto"/>
          <w:highlight w:val="none"/>
          <w:shd w:val="clear" w:color="auto" w:fill="FFFFFF" w:themeFill="background1"/>
          <w:lang w:val="en-US" w:eastAsia="zh-CN"/>
        </w:rPr>
        <w:t>指</w:t>
      </w:r>
      <w:r>
        <w:rPr>
          <w:rFonts w:hint="eastAsia"/>
          <w:i w:val="0"/>
          <w:iCs w:val="0"/>
          <w:color w:val="auto"/>
          <w:highlight w:val="none"/>
          <w:lang w:val="en-US" w:eastAsia="zh-CN"/>
        </w:rPr>
        <w:t>符合本磋商文件规定的供应商</w:t>
      </w:r>
      <w:r>
        <w:rPr>
          <w:rFonts w:ascii="宋体" w:hAnsi="宋体" w:eastAsia="宋体"/>
          <w:i w:val="0"/>
          <w:iCs w:val="0"/>
          <w:color w:val="auto"/>
          <w:sz w:val="24"/>
          <w:highlight w:val="none"/>
        </w:rPr>
        <w:t>。</w:t>
      </w:r>
    </w:p>
    <w:p w14:paraId="4FFEB4B0">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5" w:name="_Toc48846111"/>
      <w:bookmarkStart w:id="116" w:name="_Toc48688791"/>
      <w:bookmarkStart w:id="117" w:name="_Toc52962729"/>
      <w:bookmarkStart w:id="118" w:name="_Toc52960555"/>
      <w:bookmarkStart w:id="119" w:name="_Toc51674213"/>
      <w:bookmarkStart w:id="120" w:name="_Toc46771642"/>
      <w:bookmarkStart w:id="121" w:name="_Toc109899536"/>
      <w:bookmarkStart w:id="122" w:name="_Toc109899955"/>
      <w:bookmarkStart w:id="123" w:name="_Toc46772243"/>
      <w:bookmarkStart w:id="124" w:name="_Toc9974"/>
      <w:bookmarkStart w:id="125" w:name="_Toc470172667"/>
      <w:bookmarkStart w:id="126" w:name="_Toc109897437"/>
      <w:bookmarkStart w:id="127" w:name="_Toc109900374"/>
      <w:r>
        <w:rPr>
          <w:rFonts w:hint="eastAsia" w:ascii="宋体" w:hAnsi="宋体" w:eastAsia="宋体" w:cs="宋体"/>
          <w:b/>
          <w:bCs/>
          <w:color w:val="auto"/>
          <w:kern w:val="2"/>
          <w:sz w:val="24"/>
          <w:szCs w:val="24"/>
          <w:highlight w:val="none"/>
          <w:lang w:val="en-US" w:eastAsia="zh-CN" w:bidi="ar-SA"/>
        </w:rPr>
        <w:t>3.资金来源</w:t>
      </w:r>
    </w:p>
    <w:p w14:paraId="7E10FE0B">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3.1资金来源：</w:t>
      </w:r>
      <w:r>
        <w:rPr>
          <w:rFonts w:hint="eastAsia"/>
          <w:i w:val="0"/>
          <w:iCs w:val="0"/>
          <w:color w:val="auto"/>
          <w:highlight w:val="none"/>
          <w:lang w:val="en-US" w:eastAsia="zh-CN"/>
        </w:rPr>
        <w:t>为财政性资金即</w:t>
      </w:r>
      <w:r>
        <w:rPr>
          <w:rFonts w:hint="eastAsia"/>
          <w:i w:val="0"/>
          <w:iCs w:val="0"/>
          <w:color w:val="auto"/>
          <w:highlight w:val="none"/>
        </w:rPr>
        <w:t>纳入预算管理的资金</w:t>
      </w:r>
      <w:r>
        <w:rPr>
          <w:rFonts w:hint="eastAsia"/>
          <w:i w:val="0"/>
          <w:iCs w:val="0"/>
          <w:color w:val="auto"/>
          <w:highlight w:val="none"/>
          <w:lang w:eastAsia="zh-CN"/>
        </w:rPr>
        <w:t>。</w:t>
      </w:r>
      <w:r>
        <w:rPr>
          <w:rFonts w:hint="eastAsia"/>
          <w:i w:val="0"/>
          <w:iCs w:val="0"/>
          <w:color w:val="auto"/>
          <w:highlight w:val="none"/>
        </w:rPr>
        <w:t>以财政性资金作为还款来源的借贷资金，视同财政性资金。财政性资金与非财政性资金无法分割采购的，统一适用《中华人民共和国政府采购法》及其实施条例。</w:t>
      </w:r>
    </w:p>
    <w:p w14:paraId="5B4402E6">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13F68FEF">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4.1</w:t>
      </w:r>
      <w:r>
        <w:rPr>
          <w:rFonts w:hint="eastAsia"/>
          <w:i w:val="0"/>
          <w:iCs w:val="0"/>
          <w:color w:val="auto"/>
          <w:highlight w:val="none"/>
          <w:lang w:val="en-US" w:eastAsia="zh-CN"/>
        </w:rPr>
        <w:t>供应商</w:t>
      </w:r>
      <w:r>
        <w:rPr>
          <w:rFonts w:hint="eastAsia"/>
          <w:i w:val="0"/>
          <w:iCs w:val="0"/>
          <w:color w:val="auto"/>
          <w:highlight w:val="none"/>
        </w:rPr>
        <w:t>资格要求：见“</w:t>
      </w:r>
      <w:r>
        <w:rPr>
          <w:rFonts w:hint="eastAsia"/>
          <w:i w:val="0"/>
          <w:iCs w:val="0"/>
          <w:color w:val="auto"/>
          <w:highlight w:val="none"/>
          <w:lang w:val="en-US" w:eastAsia="zh-CN"/>
        </w:rPr>
        <w:t>第一章 竞争性磋商公告</w:t>
      </w:r>
      <w:r>
        <w:rPr>
          <w:rFonts w:hint="eastAsia"/>
          <w:i w:val="0"/>
          <w:iCs w:val="0"/>
          <w:color w:val="auto"/>
          <w:highlight w:val="none"/>
        </w:rPr>
        <w:t>”；</w:t>
      </w:r>
    </w:p>
    <w:p w14:paraId="3F55018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zh-CN" w:eastAsia="zh-CN"/>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w:t>
      </w:r>
      <w:r>
        <w:rPr>
          <w:rFonts w:hint="eastAsia"/>
          <w:i w:val="0"/>
          <w:iCs w:val="0"/>
          <w:color w:val="auto"/>
          <w:highlight w:val="none"/>
          <w:lang w:val="en-US" w:eastAsia="zh-CN"/>
        </w:rPr>
        <w:t>第一章 竞争性磋商公告</w:t>
      </w:r>
      <w:r>
        <w:rPr>
          <w:rFonts w:hint="eastAsia"/>
          <w:i w:val="0"/>
          <w:iCs w:val="0"/>
          <w:color w:val="auto"/>
          <w:highlight w:val="none"/>
          <w:lang w:val="zh-CN" w:eastAsia="zh-CN"/>
        </w:rPr>
        <w:t>”规定接受联合体</w:t>
      </w:r>
      <w:r>
        <w:rPr>
          <w:rFonts w:hint="eastAsia"/>
          <w:i w:val="0"/>
          <w:iCs w:val="0"/>
          <w:color w:val="auto"/>
          <w:highlight w:val="none"/>
          <w:lang w:val="en-US" w:eastAsia="zh-CN"/>
        </w:rPr>
        <w:t>磋商</w:t>
      </w:r>
      <w:r>
        <w:rPr>
          <w:rFonts w:hint="eastAsia"/>
          <w:i w:val="0"/>
          <w:iCs w:val="0"/>
          <w:color w:val="auto"/>
          <w:highlight w:val="none"/>
          <w:lang w:val="zh-CN" w:eastAsia="zh-CN"/>
        </w:rPr>
        <w:t>的，还应遵守以下规定：</w:t>
      </w:r>
    </w:p>
    <w:p w14:paraId="56632A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1两个以上的自然人、法人或者其他组织可以组成一个联合体，以一个供应商的身份共同参加政府采购。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以联合体形式进行政府采购的，参加联合体的供应商均应当具备《政府采购法》第二十二条规定的条件。</w:t>
      </w:r>
    </w:p>
    <w:p w14:paraId="4A0EFAD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2.</w:t>
      </w:r>
      <w:r>
        <w:rPr>
          <w:rFonts w:hint="eastAsia" w:cstheme="minorBidi"/>
          <w:i w:val="0"/>
          <w:iCs w:val="0"/>
          <w:color w:val="auto"/>
          <w:kern w:val="2"/>
          <w:sz w:val="24"/>
          <w:szCs w:val="22"/>
          <w:highlight w:val="none"/>
          <w:shd w:val="clear" w:color="auto" w:fill="FFFFFF" w:themeFill="background1"/>
          <w:lang w:val="en-US" w:eastAsia="zh-CN" w:bidi="ar-SA"/>
        </w:rPr>
        <w:t>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联合体各方应按竞争性磋商文件提供的格式签订联合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作为</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文件的一部分提交，该协议书对联合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均具有法律约束力。</w:t>
      </w:r>
    </w:p>
    <w:p w14:paraId="078D2F2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cstheme="minorBidi"/>
          <w:i w:val="0"/>
          <w:iCs w:val="0"/>
          <w:color w:val="auto"/>
          <w:kern w:val="2"/>
          <w:sz w:val="24"/>
          <w:szCs w:val="22"/>
          <w:highlight w:val="none"/>
          <w:shd w:val="clear" w:color="auto" w:fill="FFFFFF" w:themeFill="background1"/>
          <w:lang w:val="en-US" w:eastAsia="zh-CN" w:bidi="ar-SA"/>
        </w:rPr>
        <w:t>3</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5FA7C08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cstheme="minorBidi"/>
          <w:i w:val="0"/>
          <w:iCs w:val="0"/>
          <w:color w:val="auto"/>
          <w:kern w:val="2"/>
          <w:sz w:val="24"/>
          <w:szCs w:val="22"/>
          <w:highlight w:val="none"/>
          <w:shd w:val="clear" w:color="auto" w:fill="FFFFFF" w:themeFill="background1"/>
          <w:lang w:val="en-US" w:eastAsia="zh-CN" w:bidi="ar-SA"/>
        </w:rPr>
        <w:t>同一合同项下的磋商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，否则相关</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将被认定为</w:t>
      </w:r>
      <w:r>
        <w:rPr>
          <w:rFonts w:hint="eastAsia" w:cstheme="minorBidi"/>
          <w:b/>
          <w:bCs/>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b/>
          <w:bCs/>
          <w:i w:val="0"/>
          <w:iCs w:val="0"/>
          <w:color w:val="auto"/>
          <w:kern w:val="2"/>
          <w:sz w:val="24"/>
          <w:szCs w:val="22"/>
          <w:highlight w:val="none"/>
          <w:shd w:val="clear" w:color="auto" w:fill="FFFFFF" w:themeFill="background1"/>
          <w:lang w:val="zh-CN" w:eastAsia="zh-CN" w:bidi="ar-SA"/>
        </w:rPr>
        <w:t>无效</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6F80539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总金额的比例。</w:t>
      </w:r>
    </w:p>
    <w:p w14:paraId="4BC56E5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6</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w:t>
      </w:r>
      <w:r>
        <w:rPr>
          <w:rFonts w:hint="eastAsia" w:cstheme="minorBidi"/>
          <w:i w:val="0"/>
          <w:iCs w:val="0"/>
          <w:color w:val="auto"/>
          <w:kern w:val="2"/>
          <w:sz w:val="24"/>
          <w:szCs w:val="22"/>
          <w:highlight w:val="none"/>
          <w:shd w:val="clear" w:color="auto" w:fill="FFFFFF" w:themeFill="background1"/>
          <w:lang w:val="en-US" w:eastAsia="zh-CN" w:bidi="ar-SA"/>
        </w:rPr>
        <w:t>成交的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各成员的合法授权代表签字</w:t>
      </w:r>
      <w:r>
        <w:rPr>
          <w:rFonts w:hint="eastAsia" w:cstheme="minorBidi"/>
          <w:i w:val="0"/>
          <w:iCs w:val="0"/>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各成员公章，</w:t>
      </w:r>
      <w:r>
        <w:rPr>
          <w:rFonts w:hint="eastAsia" w:cstheme="minorBidi"/>
          <w:i w:val="0"/>
          <w:iCs w:val="0"/>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EFD996">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书面同意并且须遵守相关法律、法规、本次</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的全部相关规定。</w:t>
      </w:r>
    </w:p>
    <w:p w14:paraId="1C0E489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的其他资格要求见“</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第一章 竞争性磋商公告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中的“二、</w:t>
      </w:r>
      <w:r>
        <w:rPr>
          <w:rFonts w:hint="eastAsia" w:cstheme="minorBidi"/>
          <w:i w:val="0"/>
          <w:iCs w:val="0"/>
          <w:color w:val="auto"/>
          <w:kern w:val="2"/>
          <w:sz w:val="24"/>
          <w:szCs w:val="22"/>
          <w:highlight w:val="none"/>
          <w:shd w:val="clear" w:color="auto" w:fill="FFFFFF" w:themeFill="background1"/>
          <w:lang w:val="en-US" w:eastAsia="zh-CN" w:bidi="ar-SA"/>
        </w:rPr>
        <w:t>供应商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485F4964">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bCs/>
          <w:color w:val="auto"/>
          <w:kern w:val="2"/>
          <w:sz w:val="24"/>
          <w:szCs w:val="24"/>
          <w:highlight w:val="none"/>
          <w:lang w:val="en-US" w:eastAsia="zh-CN" w:bidi="ar-SA"/>
        </w:rPr>
        <w:t>承担</w:t>
      </w:r>
    </w:p>
    <w:p w14:paraId="3C6741ED">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5.1</w:t>
      </w:r>
      <w:r>
        <w:rPr>
          <w:rFonts w:hint="eastAsia"/>
          <w:i w:val="0"/>
          <w:iCs w:val="0"/>
          <w:snapToGrid w:val="0"/>
          <w:color w:val="auto"/>
          <w:highlight w:val="none"/>
          <w:lang w:val="zh-CN" w:eastAsia="zh-CN"/>
        </w:rPr>
        <w:t>不论</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的结果如何，</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eastAsia="zh-CN"/>
        </w:rPr>
        <w:t>应承担所有与准备和参加</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有关的费用。</w:t>
      </w:r>
    </w:p>
    <w:p w14:paraId="6DDD89BA">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8" w:name="_Toc140132761"/>
      <w:bookmarkStart w:id="129" w:name="_Toc161600293"/>
      <w:r>
        <w:rPr>
          <w:rFonts w:hint="eastAsia" w:ascii="宋体" w:hAnsi="宋体" w:eastAsia="宋体" w:cs="宋体"/>
          <w:b/>
          <w:bCs/>
          <w:color w:val="auto"/>
          <w:kern w:val="2"/>
          <w:sz w:val="24"/>
          <w:szCs w:val="24"/>
          <w:highlight w:val="none"/>
          <w:lang w:val="en-US" w:eastAsia="zh-CN" w:bidi="ar-SA"/>
        </w:rPr>
        <w:t>6.保密</w:t>
      </w:r>
      <w:bookmarkEnd w:id="128"/>
      <w:bookmarkEnd w:id="129"/>
    </w:p>
    <w:p w14:paraId="6F561E2B">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6.1</w:t>
      </w:r>
      <w:r>
        <w:rPr>
          <w:rFonts w:hint="eastAsia"/>
          <w:i w:val="0"/>
          <w:iCs w:val="0"/>
          <w:color w:val="auto"/>
          <w:highlight w:val="none"/>
          <w:lang w:val="en-US" w:eastAsia="zh-CN"/>
        </w:rPr>
        <w:t xml:space="preserve"> </w:t>
      </w:r>
      <w:r>
        <w:rPr>
          <w:rFonts w:hint="eastAsia"/>
          <w:i w:val="0"/>
          <w:iCs w:val="0"/>
          <w:color w:val="auto"/>
          <w:highlight w:val="none"/>
        </w:rPr>
        <w:t>参与磋商活动的各方应对竞争</w:t>
      </w:r>
      <w:r>
        <w:rPr>
          <w:rFonts w:hint="eastAsia"/>
          <w:i w:val="0"/>
          <w:iCs w:val="0"/>
          <w:color w:val="auto"/>
          <w:highlight w:val="none"/>
          <w:lang w:val="en-US" w:eastAsia="zh-CN"/>
        </w:rPr>
        <w:t>性</w:t>
      </w:r>
      <w:r>
        <w:rPr>
          <w:rFonts w:hint="eastAsia"/>
          <w:i w:val="0"/>
          <w:iCs w:val="0"/>
          <w:color w:val="auto"/>
          <w:highlight w:val="none"/>
        </w:rPr>
        <w:t>磋商文件和响应文件中的商业和技术等秘密保密，否则应承担相应的法律责任。</w:t>
      </w:r>
    </w:p>
    <w:p w14:paraId="577DB7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2 供应商</w:t>
      </w:r>
      <w:r>
        <w:rPr>
          <w:rFonts w:hint="eastAsia" w:ascii="宋体" w:hAnsi="宋体" w:eastAsia="宋体" w:cs="宋体"/>
          <w:i w:val="0"/>
          <w:iCs w:val="0"/>
          <w:color w:val="auto"/>
          <w:kern w:val="2"/>
          <w:sz w:val="24"/>
          <w:szCs w:val="22"/>
          <w:highlight w:val="none"/>
        </w:rPr>
        <w:t>自领取竞争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磋商文件之日起，须承担本竞争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磋商项目保密义务，不得将因本次竞争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磋商获得的信息向第三人外传。由采购人向</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磋商结束后，应采购人要求，</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应归还所有从采购人处获得的保密资料。</w:t>
      </w:r>
    </w:p>
    <w:p w14:paraId="108AE9C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 xml:space="preserve">3 </w:t>
      </w:r>
      <w:r>
        <w:rPr>
          <w:rFonts w:hint="eastAsia" w:ascii="宋体" w:hAnsi="宋体" w:eastAsia="宋体" w:cs="宋体"/>
          <w:i w:val="0"/>
          <w:iCs w:val="0"/>
          <w:color w:val="auto"/>
          <w:kern w:val="2"/>
          <w:sz w:val="24"/>
          <w:szCs w:val="22"/>
          <w:highlight w:val="none"/>
        </w:rPr>
        <w:t>采购代理机构有权将</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提供的所有资料向有关政府部门或竞争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磋商的有关人员披露。</w:t>
      </w:r>
    </w:p>
    <w:p w14:paraId="232A1AD6">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2"/>
          <w:highlight w:val="none"/>
        </w:rPr>
        <w:t>。</w:t>
      </w:r>
      <w:r>
        <w:rPr>
          <w:rFonts w:hint="eastAsia"/>
          <w:i w:val="0"/>
          <w:iCs w:val="0"/>
          <w:color w:val="auto"/>
          <w:highlight w:val="none"/>
        </w:rPr>
        <w:t xml:space="preserve"> </w:t>
      </w:r>
    </w:p>
    <w:p w14:paraId="47EBAEFC">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0" w:name="_Toc140132762"/>
      <w:bookmarkStart w:id="131" w:name="_Toc161600294"/>
      <w:r>
        <w:rPr>
          <w:rFonts w:hint="eastAsia" w:ascii="宋体" w:hAnsi="宋体" w:eastAsia="宋体" w:cs="宋体"/>
          <w:b/>
          <w:bCs/>
          <w:color w:val="auto"/>
          <w:kern w:val="2"/>
          <w:sz w:val="24"/>
          <w:szCs w:val="24"/>
          <w:highlight w:val="none"/>
          <w:lang w:val="en-US" w:eastAsia="zh-CN" w:bidi="ar-SA"/>
        </w:rPr>
        <w:t>7.语言文字</w:t>
      </w:r>
      <w:bookmarkEnd w:id="130"/>
      <w:bookmarkEnd w:id="131"/>
    </w:p>
    <w:p w14:paraId="3121AAFC">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7.1竞争</w:t>
      </w:r>
      <w:r>
        <w:rPr>
          <w:rFonts w:hint="eastAsia"/>
          <w:i w:val="0"/>
          <w:iCs w:val="0"/>
          <w:color w:val="auto"/>
          <w:highlight w:val="none"/>
          <w:lang w:val="en-US" w:eastAsia="zh-CN"/>
        </w:rPr>
        <w:t>性</w:t>
      </w:r>
      <w:r>
        <w:rPr>
          <w:rFonts w:hint="eastAsia"/>
          <w:i w:val="0"/>
          <w:iCs w:val="0"/>
          <w:color w:val="auto"/>
          <w:highlight w:val="none"/>
        </w:rPr>
        <w:t>磋商</w:t>
      </w:r>
      <w:r>
        <w:rPr>
          <w:rFonts w:hint="eastAsia"/>
          <w:i w:val="0"/>
          <w:iCs w:val="0"/>
          <w:color w:val="auto"/>
          <w:highlight w:val="none"/>
          <w:lang w:val="en-US" w:eastAsia="zh-CN"/>
        </w:rPr>
        <w:t>文件及响应</w:t>
      </w:r>
      <w:r>
        <w:rPr>
          <w:rFonts w:hint="eastAsia"/>
          <w:i w:val="0"/>
          <w:iCs w:val="0"/>
          <w:color w:val="auto"/>
          <w:highlight w:val="none"/>
        </w:rPr>
        <w:t>文件使用的语言文字为中文。专用术语使用外文的，应附有中文注释。</w:t>
      </w:r>
      <w:r>
        <w:rPr>
          <w:rFonts w:hint="eastAsia"/>
          <w:i w:val="0"/>
          <w:iCs w:val="0"/>
          <w:color w:val="auto"/>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2" w:name="_Toc140132763"/>
      <w:bookmarkStart w:id="133" w:name="_Toc161600295"/>
      <w:r>
        <w:rPr>
          <w:rFonts w:hint="eastAsia" w:ascii="宋体" w:hAnsi="宋体" w:eastAsia="宋体" w:cs="宋体"/>
          <w:b/>
          <w:bCs/>
          <w:color w:val="auto"/>
          <w:kern w:val="2"/>
          <w:sz w:val="24"/>
          <w:szCs w:val="24"/>
          <w:highlight w:val="none"/>
          <w:lang w:val="en-US" w:eastAsia="zh-CN" w:bidi="ar-SA"/>
        </w:rPr>
        <w:t>8.计量单位</w:t>
      </w:r>
      <w:bookmarkEnd w:id="132"/>
      <w:bookmarkEnd w:id="133"/>
    </w:p>
    <w:p w14:paraId="0DC441D4">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8.1所有计量均采用中华人民共和国法定计量单位。</w:t>
      </w:r>
    </w:p>
    <w:p w14:paraId="37E10A03">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161600296"/>
      <w:bookmarkStart w:id="135" w:name="_Toc140132764"/>
      <w:r>
        <w:rPr>
          <w:rFonts w:hint="eastAsia" w:ascii="宋体" w:hAnsi="宋体" w:eastAsia="宋体" w:cs="宋体"/>
          <w:b/>
          <w:bCs/>
          <w:color w:val="auto"/>
          <w:kern w:val="2"/>
          <w:sz w:val="24"/>
          <w:szCs w:val="24"/>
          <w:highlight w:val="none"/>
          <w:lang w:val="en-US" w:eastAsia="zh-CN" w:bidi="ar-SA"/>
        </w:rPr>
        <w:t>9.现场考察和答疑会</w:t>
      </w:r>
      <w:bookmarkEnd w:id="134"/>
      <w:bookmarkEnd w:id="135"/>
    </w:p>
    <w:p w14:paraId="70E7733A">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136" w:name="_Hlk143529198"/>
      <w:r>
        <w:rPr>
          <w:rFonts w:hint="eastAsia"/>
          <w:i w:val="0"/>
          <w:iCs w:val="0"/>
          <w:color w:val="auto"/>
          <w:highlight w:val="none"/>
        </w:rPr>
        <w:t xml:space="preserve">9.1 “供应商须知前附表”规定组织现场考察的，采购代理机构按“供应商须知前附表”规定的时间、地点组织供应商项目现场考察。 </w:t>
      </w:r>
    </w:p>
    <w:p w14:paraId="473C15DA">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9.2 供应商现场考察发生的费用自理。</w:t>
      </w:r>
    </w:p>
    <w:p w14:paraId="417B1E0B">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9.3 在现场考察中，因供应商自身原因发生的人员伤亡和财产损失，由供应商自行负责。</w:t>
      </w:r>
    </w:p>
    <w:p w14:paraId="2BF7B5CD">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9.5 “供应商须知前附表”规定召开答疑会的，采购代理机构按“供应商须知前附表”规定的时间和地点召开答疑会，澄清供应商提出的问题。</w:t>
      </w:r>
    </w:p>
    <w:p w14:paraId="7BC8ED9F">
      <w:pPr>
        <w:pStyle w:val="34"/>
        <w:keepNext w:val="0"/>
        <w:keepLines w:val="0"/>
        <w:pageBreakBefore w:val="0"/>
        <w:widowControl w:val="0"/>
        <w:kinsoku/>
        <w:overflowPunct/>
        <w:topLinePunct w:val="0"/>
        <w:autoSpaceDE/>
        <w:autoSpaceDN/>
        <w:bidi w:val="0"/>
        <w:adjustRightInd/>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36"/>
    <w:p w14:paraId="020D8BF4">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7" w:name="_Toc155185858"/>
      <w:bookmarkStart w:id="138" w:name="_Toc161600298"/>
      <w:r>
        <w:rPr>
          <w:rFonts w:hint="eastAsia" w:ascii="宋体" w:hAnsi="宋体" w:eastAsia="宋体" w:cs="宋体"/>
          <w:b/>
          <w:bCs/>
          <w:color w:val="auto"/>
          <w:kern w:val="2"/>
          <w:sz w:val="24"/>
          <w:szCs w:val="24"/>
          <w:highlight w:val="none"/>
          <w:lang w:val="en-US" w:eastAsia="zh-CN" w:bidi="ar-SA"/>
        </w:rPr>
        <w:t>10.电子标说明</w:t>
      </w:r>
      <w:bookmarkEnd w:id="137"/>
      <w:bookmarkEnd w:id="138"/>
    </w:p>
    <w:p w14:paraId="24EABCAC">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10.1 本次采购采用电子交易方式，电子交易平台为</w:t>
      </w:r>
      <w:r>
        <w:rPr>
          <w:rFonts w:hint="eastAsia"/>
          <w:i w:val="0"/>
          <w:iCs w:val="0"/>
          <w:color w:val="auto"/>
          <w:highlight w:val="none"/>
          <w:lang w:val="en-US" w:eastAsia="zh-CN"/>
        </w:rPr>
        <w:t xml:space="preserve"> </w:t>
      </w:r>
      <w:r>
        <w:rPr>
          <w:rFonts w:hint="eastAsia" w:ascii="宋体" w:hAnsi="宋体" w:eastAsia="宋体"/>
          <w:i w:val="0"/>
          <w:iCs w:val="0"/>
          <w:color w:val="auto"/>
          <w:highlight w:val="none"/>
          <w:lang w:val="en-US" w:eastAsia="zh-CN"/>
        </w:rPr>
        <w:t>政府采购电子交易云平台（网址：https://www.zcygov.cn/）。</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参与本项目电子交易活动前，</w:t>
      </w:r>
      <w:r>
        <w:rPr>
          <w:rFonts w:hint="eastAsia" w:ascii="宋体" w:hAnsi="宋体" w:eastAsia="宋体"/>
          <w:i w:val="0"/>
          <w:iCs w:val="0"/>
          <w:color w:val="auto"/>
          <w:highlight w:val="none"/>
        </w:rPr>
        <w:t>应</w:t>
      </w:r>
      <w:r>
        <w:rPr>
          <w:rFonts w:hint="eastAsia"/>
          <w:i w:val="0"/>
          <w:iCs w:val="0"/>
          <w:color w:val="auto"/>
          <w:highlight w:val="none"/>
          <w:lang w:val="en-US" w:eastAsia="zh-CN"/>
        </w:rPr>
        <w:t>在</w:t>
      </w:r>
      <w:r>
        <w:rPr>
          <w:rFonts w:hint="eastAsia" w:ascii="宋体" w:hAnsi="宋体" w:eastAsia="宋体"/>
          <w:i w:val="0"/>
          <w:iCs w:val="0"/>
          <w:color w:val="auto"/>
          <w:highlight w:val="none"/>
        </w:rPr>
        <w:t>政</w:t>
      </w:r>
      <w:r>
        <w:rPr>
          <w:rFonts w:hint="eastAsia"/>
          <w:i w:val="0"/>
          <w:iCs w:val="0"/>
          <w:color w:val="auto"/>
          <w:highlight w:val="none"/>
          <w:lang w:val="en-US" w:eastAsia="zh-CN"/>
        </w:rPr>
        <w:t>采</w:t>
      </w:r>
      <w:r>
        <w:rPr>
          <w:rFonts w:hint="eastAsia" w:ascii="宋体" w:hAnsi="宋体" w:eastAsia="宋体"/>
          <w:i w:val="0"/>
          <w:iCs w:val="0"/>
          <w:color w:val="auto"/>
          <w:highlight w:val="none"/>
          <w:lang w:val="en-US"/>
        </w:rPr>
        <w:t>云</w:t>
      </w:r>
      <w:r>
        <w:rPr>
          <w:rFonts w:hint="eastAsia" w:ascii="宋体" w:hAnsi="宋体" w:eastAsia="宋体"/>
          <w:i w:val="0"/>
          <w:iCs w:val="0"/>
          <w:color w:val="auto"/>
          <w:highlight w:val="none"/>
        </w:rPr>
        <w:t>平台</w:t>
      </w:r>
      <w:r>
        <w:rPr>
          <w:rFonts w:hint="eastAsia"/>
          <w:i w:val="0"/>
          <w:iCs w:val="0"/>
          <w:color w:val="auto"/>
          <w:highlight w:val="none"/>
          <w:lang w:val="en-US" w:eastAsia="zh-CN"/>
        </w:rPr>
        <w:t>上</w:t>
      </w:r>
      <w:r>
        <w:rPr>
          <w:rFonts w:hint="eastAsia" w:ascii="宋体" w:hAnsi="宋体" w:eastAsia="宋体"/>
          <w:i w:val="0"/>
          <w:iCs w:val="0"/>
          <w:color w:val="auto"/>
          <w:highlight w:val="none"/>
        </w:rPr>
        <w:t>注册</w:t>
      </w:r>
      <w:r>
        <w:rPr>
          <w:rFonts w:hint="eastAsia"/>
          <w:i w:val="0"/>
          <w:iCs w:val="0"/>
          <w:color w:val="auto"/>
          <w:highlight w:val="none"/>
          <w:lang w:val="en-US" w:eastAsia="zh-CN"/>
        </w:rPr>
        <w:t>供应商账号</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编制电子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文件前还需申领CA证书并绑定帐号。</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应充分考虑完成平台注册、申领CA证书等所需的时间。潜在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领取文件须提前完成注册、CA证书和电子签章申领和绑定、下载投标客户端。因未办理CA数字证书、CA证书故障、操作不当等原因造成无法</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或</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失败等后果由</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自行承担。供应商登录</w:t>
      </w:r>
      <w:r>
        <w:rPr>
          <w:rFonts w:hint="eastAsia"/>
          <w:i w:val="0"/>
          <w:iCs w:val="0"/>
          <w:color w:val="auto"/>
          <w:highlight w:val="none"/>
          <w:lang w:val="en-US" w:eastAsia="zh-CN"/>
        </w:rPr>
        <w:t xml:space="preserve"> </w:t>
      </w:r>
      <w:r>
        <w:rPr>
          <w:rFonts w:hint="eastAsia" w:ascii="宋体" w:hAnsi="宋体" w:eastAsia="宋体"/>
          <w:i w:val="0"/>
          <w:iCs w:val="0"/>
          <w:color w:val="auto"/>
          <w:highlight w:val="none"/>
          <w:lang w:val="en-US" w:eastAsia="zh-CN"/>
        </w:rPr>
        <w:t>政府采购网“供应商注册”—“新疆生产建设</w:t>
      </w:r>
      <w:r>
        <w:rPr>
          <w:rFonts w:hint="eastAsia"/>
          <w:i w:val="0"/>
          <w:iCs w:val="0"/>
          <w:color w:val="auto"/>
          <w:highlight w:val="none"/>
          <w:lang w:val="en-US" w:eastAsia="zh-CN"/>
        </w:rPr>
        <w:t xml:space="preserve"> </w:t>
      </w:r>
      <w:r>
        <w:rPr>
          <w:rFonts w:hint="eastAsia" w:ascii="宋体" w:hAnsi="宋体" w:eastAsia="宋体"/>
          <w:i w:val="0"/>
          <w:iCs w:val="0"/>
          <w:color w:val="auto"/>
          <w:highlight w:val="none"/>
          <w:lang w:val="en-US" w:eastAsia="zh-CN"/>
        </w:rPr>
        <w:t>政府采购供应商入驻登记”—“立即登记”进行自助注册绑定。</w:t>
      </w:r>
    </w:p>
    <w:p w14:paraId="1D724A82">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 xml:space="preserve">10.2 </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将</w:t>
      </w:r>
      <w:r>
        <w:rPr>
          <w:rFonts w:hint="eastAsia"/>
          <w:i w:val="0"/>
          <w:iCs w:val="0"/>
          <w:color w:val="auto"/>
          <w:highlight w:val="none"/>
          <w:lang w:val="en-US" w:eastAsia="zh-CN"/>
        </w:rPr>
        <w:t xml:space="preserve"> </w:t>
      </w:r>
      <w:r>
        <w:rPr>
          <w:rFonts w:hint="eastAsia" w:ascii="宋体" w:hAnsi="宋体" w:eastAsia="宋体"/>
          <w:i w:val="0"/>
          <w:iCs w:val="0"/>
          <w:color w:val="auto"/>
          <w:highlight w:val="none"/>
          <w:lang w:val="en-US" w:eastAsia="zh-CN"/>
        </w:rPr>
        <w:t>政府采购电子交易云平台电子交易客户端下载、安装完成后，可通过账号密码或CA登录客户端进行</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文件制作。在使用政采云投标客户端时，建议使用WIN7及以上操作系统。供应商登录</w:t>
      </w:r>
      <w:r>
        <w:rPr>
          <w:rFonts w:hint="eastAsia"/>
          <w:i w:val="0"/>
          <w:iCs w:val="0"/>
          <w:color w:val="auto"/>
          <w:highlight w:val="none"/>
          <w:lang w:val="en-US" w:eastAsia="zh-CN"/>
        </w:rPr>
        <w:t xml:space="preserve"> </w:t>
      </w:r>
      <w:r>
        <w:rPr>
          <w:rFonts w:hint="eastAsia" w:ascii="宋体" w:hAnsi="宋体" w:eastAsia="宋体"/>
          <w:i w:val="0"/>
          <w:iCs w:val="0"/>
          <w:color w:val="auto"/>
          <w:highlight w:val="none"/>
          <w:lang w:val="en-US" w:eastAsia="zh-CN"/>
        </w:rPr>
        <w:t>政府采购网“下载专区”—“电子招投标客户端下载”下载相关客户端，如有问题可拨打政采云客户服务热线95763进行咨询。</w:t>
      </w:r>
    </w:p>
    <w:p w14:paraId="39742A0A">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10.3 加密的电子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文件应在</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文件递交截止时间前通过政采云平台上传完成。逾期上传或者未上传指定地点的</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文件，不予受理。</w:t>
      </w:r>
    </w:p>
    <w:p w14:paraId="03850AD3">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 xml:space="preserve">10.4 </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在</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前须提前配置好电脑</w:t>
      </w:r>
      <w:r>
        <w:rPr>
          <w:rFonts w:hint="eastAsia"/>
          <w:i w:val="0"/>
          <w:iCs w:val="0"/>
          <w:color w:val="auto"/>
          <w:highlight w:val="none"/>
          <w:lang w:val="en-US" w:eastAsia="zh-CN"/>
        </w:rPr>
        <w:t>及</w:t>
      </w:r>
      <w:r>
        <w:rPr>
          <w:rFonts w:hint="eastAsia" w:ascii="宋体" w:hAnsi="宋体" w:eastAsia="宋体"/>
          <w:i w:val="0"/>
          <w:iCs w:val="0"/>
          <w:color w:val="auto"/>
          <w:highlight w:val="none"/>
          <w:lang w:val="en-US" w:eastAsia="zh-CN"/>
        </w:rPr>
        <w:t>浏览器，</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时请使用制作加密电子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文件的CA锁进行解密及报价确认。本项目</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文件解密时间详“</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须知前附表”，如因自身原因导致无法正常解密，后果由</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w:t>
      </w:r>
    </w:p>
    <w:p w14:paraId="13D1898E">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10.5 如遇“</w:t>
      </w:r>
      <w:r>
        <w:rPr>
          <w:rFonts w:hint="eastAsia"/>
          <w:i w:val="0"/>
          <w:iCs w:val="0"/>
          <w:color w:val="auto"/>
          <w:highlight w:val="none"/>
          <w:lang w:val="en-US" w:eastAsia="zh-CN"/>
        </w:rPr>
        <w:t xml:space="preserve"> </w:t>
      </w:r>
      <w:r>
        <w:rPr>
          <w:rFonts w:hint="eastAsia" w:ascii="宋体" w:hAnsi="宋体" w:eastAsia="宋体"/>
          <w:i w:val="0"/>
          <w:iCs w:val="0"/>
          <w:color w:val="auto"/>
          <w:highlight w:val="none"/>
          <w:lang w:val="en-US" w:eastAsia="zh-CN"/>
        </w:rPr>
        <w:t>政府采购电子交易云平台（网址：https://www.zcygov.cn/）”电子交易规则调整，以最新要求为准。</w:t>
      </w:r>
    </w:p>
    <w:p w14:paraId="287E4256">
      <w:pPr>
        <w:pStyle w:val="34"/>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10.6 电子交易系统咨询：</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应当充分考虑到电子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可能会发生的各种问题和风险，特别是</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 xml:space="preserve">文件签署、提交等问题，可按照“第一章 </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公告”的联系方式咨询相关人员。</w:t>
      </w:r>
    </w:p>
    <w:p w14:paraId="2B30589C">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ascii="宋体" w:hAnsi="宋体" w:eastAsia="宋体"/>
          <w:i w:val="0"/>
          <w:iCs w:val="0"/>
          <w:color w:val="auto"/>
          <w:highlight w:val="none"/>
          <w:lang w:val="en-US" w:eastAsia="zh-CN"/>
        </w:rPr>
        <w:t>10.7 由于本项目采用电子</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方式，潜在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的名单将在</w:t>
      </w:r>
      <w:r>
        <w:rPr>
          <w:rFonts w:hint="eastAsia"/>
          <w:i w:val="0"/>
          <w:iCs w:val="0"/>
          <w:color w:val="auto"/>
          <w:highlight w:val="none"/>
          <w:lang w:val="en-US" w:eastAsia="zh-CN"/>
        </w:rPr>
        <w:t>递交响应</w:t>
      </w:r>
      <w:r>
        <w:rPr>
          <w:rFonts w:hint="eastAsia" w:ascii="宋体" w:hAnsi="宋体" w:eastAsia="宋体"/>
          <w:i w:val="0"/>
          <w:iCs w:val="0"/>
          <w:color w:val="auto"/>
          <w:highlight w:val="none"/>
          <w:lang w:val="en-US" w:eastAsia="zh-CN"/>
        </w:rPr>
        <w:t>文件截止时间后才会解密。因此，采购人或采购代理机构无法通过传统的传真或邮件方式，将</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文件的澄清或修改内容逐一通知到每位已获取</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文件的潜在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。为确保信息的及时性和准确性，澄清或修改的内容将仅在政采云平台以更正公告的形式发布。潜在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需密切关注该网站，及时查看并下载相关更正公告。若因潜在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未能及时查看或下载相关更正公告，而导致的一切后果，将由潜在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w:t>
      </w:r>
    </w:p>
    <w:p w14:paraId="17FBA29F">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9" w:name="_Toc46771643"/>
      <w:bookmarkStart w:id="140" w:name="_Toc109899956"/>
      <w:bookmarkStart w:id="141" w:name="_Toc109899537"/>
      <w:bookmarkStart w:id="142" w:name="_Toc109900375"/>
      <w:bookmarkStart w:id="143" w:name="_Toc21248"/>
      <w:bookmarkStart w:id="144" w:name="_Toc470172668"/>
      <w:bookmarkStart w:id="145" w:name="_Toc109897438"/>
      <w:bookmarkStart w:id="146" w:name="_Toc163493612"/>
      <w:r>
        <w:rPr>
          <w:rFonts w:hint="eastAsia" w:ascii="宋体" w:hAnsi="宋体" w:eastAsia="宋体" w:cs="宋体"/>
          <w:b/>
          <w:bCs/>
          <w:color w:val="auto"/>
          <w:kern w:val="2"/>
          <w:sz w:val="24"/>
          <w:szCs w:val="24"/>
          <w:highlight w:val="none"/>
          <w:lang w:val="en-US" w:eastAsia="zh-CN" w:bidi="ar-SA"/>
        </w:rPr>
        <w:t>（二）磋商文件</w:t>
      </w:r>
      <w:bookmarkEnd w:id="139"/>
      <w:bookmarkEnd w:id="140"/>
      <w:bookmarkEnd w:id="141"/>
      <w:bookmarkEnd w:id="142"/>
      <w:bookmarkEnd w:id="143"/>
      <w:bookmarkEnd w:id="144"/>
      <w:bookmarkEnd w:id="145"/>
      <w:bookmarkEnd w:id="146"/>
    </w:p>
    <w:p w14:paraId="02C74752">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7" w:name="_Toc470172669"/>
      <w:bookmarkStart w:id="148" w:name="_Toc51674215"/>
      <w:bookmarkStart w:id="149" w:name="_Toc109899957"/>
      <w:bookmarkStart w:id="150" w:name="_Toc48846113"/>
      <w:bookmarkStart w:id="151" w:name="_Toc109899538"/>
      <w:bookmarkStart w:id="152" w:name="_Toc4547"/>
      <w:bookmarkStart w:id="153" w:name="_Toc52960557"/>
      <w:bookmarkStart w:id="154" w:name="_Toc109897439"/>
      <w:bookmarkStart w:id="155" w:name="_Toc46772245"/>
      <w:bookmarkStart w:id="156" w:name="_Toc52962731"/>
      <w:bookmarkStart w:id="157" w:name="_Toc48688793"/>
      <w:bookmarkStart w:id="158" w:name="_Toc46771644"/>
      <w:bookmarkStart w:id="159" w:name="_Toc109900376"/>
      <w:r>
        <w:rPr>
          <w:rFonts w:hint="eastAsia" w:ascii="宋体" w:hAnsi="宋体" w:eastAsia="宋体" w:cs="宋体"/>
          <w:b/>
          <w:bCs/>
          <w:color w:val="auto"/>
          <w:kern w:val="2"/>
          <w:sz w:val="24"/>
          <w:szCs w:val="24"/>
          <w:highlight w:val="none"/>
          <w:lang w:val="en-US" w:eastAsia="zh-CN" w:bidi="ar-SA"/>
        </w:rPr>
        <w:t>11.磋商文件的构成</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54909DE4">
      <w:pPr>
        <w:keepNext w:val="0"/>
        <w:keepLines w:val="0"/>
        <w:pageBreakBefore w:val="0"/>
        <w:widowControl w:val="0"/>
        <w:kinsoku/>
        <w:overflowPunct/>
        <w:topLinePunct w:val="0"/>
        <w:bidi w:val="0"/>
        <w:ind w:firstLine="480" w:firstLineChars="200"/>
        <w:textAlignment w:val="auto"/>
        <w:rPr>
          <w:rFonts w:hint="eastAsia" w:eastAsia="宋体" w:cs="仿宋_GB2312"/>
          <w:i w:val="0"/>
          <w:iCs w:val="0"/>
          <w:color w:val="auto"/>
          <w:szCs w:val="24"/>
          <w:highlight w:val="none"/>
          <w:lang w:eastAsia="zh-CN"/>
        </w:rPr>
      </w:pPr>
      <w:bookmarkStart w:id="160" w:name="_Toc109897440"/>
      <w:bookmarkStart w:id="161" w:name="_Toc478415174"/>
      <w:bookmarkStart w:id="162" w:name="_Toc46771645"/>
      <w:bookmarkStart w:id="163" w:name="_Toc52962732"/>
      <w:bookmarkStart w:id="164" w:name="_Toc46772246"/>
      <w:bookmarkStart w:id="165" w:name="_Toc52960558"/>
      <w:bookmarkStart w:id="166" w:name="_Toc48688794"/>
      <w:bookmarkStart w:id="167" w:name="_Toc48846114"/>
      <w:bookmarkStart w:id="168" w:name="_Toc109899958"/>
      <w:bookmarkStart w:id="169" w:name="_Toc109899539"/>
      <w:bookmarkStart w:id="170" w:name="_Toc51674216"/>
      <w:bookmarkStart w:id="171" w:name="_Toc109900377"/>
      <w:r>
        <w:rPr>
          <w:rFonts w:hint="eastAsia" w:cs="仿宋_GB2312"/>
          <w:i w:val="0"/>
          <w:iCs w:val="0"/>
          <w:color w:val="auto"/>
          <w:szCs w:val="24"/>
          <w:highlight w:val="none"/>
        </w:rPr>
        <w:t>第一章 竞争性磋商</w:t>
      </w:r>
      <w:r>
        <w:rPr>
          <w:rFonts w:hint="eastAsia" w:cs="仿宋_GB2312"/>
          <w:i w:val="0"/>
          <w:iCs w:val="0"/>
          <w:color w:val="auto"/>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 xml:space="preserve">第三章 </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第四章 评审</w:t>
      </w:r>
      <w:r>
        <w:rPr>
          <w:rFonts w:hint="eastAsia" w:cs="仿宋_GB2312"/>
          <w:i w:val="0"/>
          <w:iCs w:val="0"/>
          <w:color w:val="auto"/>
          <w:szCs w:val="24"/>
          <w:highlight w:val="none"/>
          <w:lang w:val="en-US" w:eastAsia="zh-CN"/>
        </w:rPr>
        <w:t>方</w:t>
      </w:r>
      <w:r>
        <w:rPr>
          <w:rFonts w:hint="eastAsia" w:cs="仿宋_GB2312"/>
          <w:i w:val="0"/>
          <w:iCs w:val="0"/>
          <w:color w:val="auto"/>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第六章 响应文件的格式</w:t>
      </w:r>
    </w:p>
    <w:p w14:paraId="2FA3C6F3">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12.磋商文件的澄清或修改</w:t>
      </w:r>
      <w:bookmarkEnd w:id="160"/>
      <w:bookmarkEnd w:id="161"/>
      <w:bookmarkEnd w:id="162"/>
      <w:bookmarkEnd w:id="163"/>
      <w:bookmarkEnd w:id="164"/>
      <w:bookmarkEnd w:id="165"/>
      <w:bookmarkEnd w:id="166"/>
      <w:bookmarkEnd w:id="167"/>
      <w:bookmarkEnd w:id="168"/>
      <w:bookmarkEnd w:id="169"/>
      <w:bookmarkEnd w:id="170"/>
      <w:bookmarkEnd w:id="171"/>
    </w:p>
    <w:p w14:paraId="2DDD06DE">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i w:val="0"/>
          <w:iCs w:val="0"/>
          <w:color w:val="auto"/>
          <w:szCs w:val="24"/>
          <w:highlight w:val="none"/>
        </w:rPr>
      </w:pPr>
      <w:r>
        <w:rPr>
          <w:rFonts w:cs="仿宋_GB2312"/>
          <w:i w:val="0"/>
          <w:iCs w:val="0"/>
          <w:color w:val="auto"/>
          <w:szCs w:val="24"/>
          <w:highlight w:val="none"/>
        </w:rPr>
        <w:t>1</w:t>
      </w:r>
      <w:r>
        <w:rPr>
          <w:rFonts w:hint="eastAsia" w:cs="仿宋_GB2312"/>
          <w:i w:val="0"/>
          <w:iCs w:val="0"/>
          <w:color w:val="auto"/>
          <w:szCs w:val="24"/>
          <w:highlight w:val="none"/>
          <w:lang w:val="en-US" w:eastAsia="zh-CN"/>
        </w:rPr>
        <w:t>2</w:t>
      </w:r>
      <w:r>
        <w:rPr>
          <w:rFonts w:hint="eastAsia" w:cs="仿宋_GB2312"/>
          <w:i w:val="0"/>
          <w:iCs w:val="0"/>
          <w:color w:val="auto"/>
          <w:szCs w:val="24"/>
          <w:highlight w:val="none"/>
        </w:rPr>
        <w:t>.</w:t>
      </w:r>
      <w:r>
        <w:rPr>
          <w:rFonts w:cs="仿宋_GB2312"/>
          <w:i w:val="0"/>
          <w:iCs w:val="0"/>
          <w:color w:val="auto"/>
          <w:szCs w:val="24"/>
          <w:highlight w:val="none"/>
        </w:rPr>
        <w:t>1</w:t>
      </w:r>
      <w:r>
        <w:rPr>
          <w:rFonts w:hint="eastAsia" w:cs="仿宋_GB2312"/>
          <w:i w:val="0"/>
          <w:iCs w:val="0"/>
          <w:color w:val="auto"/>
          <w:szCs w:val="24"/>
          <w:highlight w:val="none"/>
        </w:rPr>
        <w:t xml:space="preserve">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cs="仿宋_GB2312"/>
          <w:i w:val="0"/>
          <w:iCs w:val="0"/>
          <w:color w:val="auto"/>
          <w:szCs w:val="24"/>
          <w:highlight w:val="none"/>
          <w:lang w:val="en-US" w:eastAsia="zh-CN"/>
        </w:rPr>
        <w:t>磋商</w:t>
      </w:r>
      <w:r>
        <w:rPr>
          <w:rFonts w:hint="eastAsia" w:cs="仿宋_GB2312"/>
          <w:i w:val="0"/>
          <w:iCs w:val="0"/>
          <w:color w:val="auto"/>
          <w:szCs w:val="24"/>
          <w:highlight w:val="none"/>
        </w:rPr>
        <w:t>文件询问的答复，在必要时将以澄清形式推送给每个获取竞争性</w:t>
      </w:r>
      <w:r>
        <w:rPr>
          <w:rFonts w:hint="eastAsia" w:cs="仿宋_GB2312"/>
          <w:i w:val="0"/>
          <w:iCs w:val="0"/>
          <w:color w:val="auto"/>
          <w:szCs w:val="24"/>
          <w:highlight w:val="none"/>
          <w:lang w:val="en-US" w:eastAsia="zh-CN"/>
        </w:rPr>
        <w:t>磋商</w:t>
      </w:r>
      <w:r>
        <w:rPr>
          <w:rFonts w:hint="eastAsia" w:cs="仿宋_GB2312"/>
          <w:i w:val="0"/>
          <w:iCs w:val="0"/>
          <w:color w:val="auto"/>
          <w:szCs w:val="24"/>
          <w:highlight w:val="none"/>
        </w:rPr>
        <w:t>文件的潜在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(答复中不包括问题的来源)。</w:t>
      </w:r>
    </w:p>
    <w:p w14:paraId="79F14C28">
      <w:pPr>
        <w:keepNext w:val="0"/>
        <w:keepLines w:val="0"/>
        <w:pageBreakBefore w:val="0"/>
        <w:widowControl w:val="0"/>
        <w:kinsoku/>
        <w:overflowPunct/>
        <w:topLinePunct w:val="0"/>
        <w:autoSpaceDE/>
        <w:autoSpaceDN/>
        <w:bidi w:val="0"/>
        <w:adjustRightInd/>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供应商在规定的时间内未对竞争性</w:t>
      </w:r>
      <w:r>
        <w:rPr>
          <w:rFonts w:hint="eastAsia" w:cs="仿宋_GB2312"/>
          <w:i w:val="0"/>
          <w:iCs w:val="0"/>
          <w:color w:val="auto"/>
          <w:szCs w:val="24"/>
          <w:highlight w:val="none"/>
          <w:lang w:val="en-US" w:eastAsia="zh-CN"/>
        </w:rPr>
        <w:t>磋商</w:t>
      </w:r>
      <w:r>
        <w:rPr>
          <w:rFonts w:hint="eastAsia" w:cs="仿宋_GB2312"/>
          <w:i w:val="0"/>
          <w:iCs w:val="0"/>
          <w:color w:val="auto"/>
          <w:szCs w:val="24"/>
          <w:highlight w:val="none"/>
        </w:rPr>
        <w:t>文件提出疑问或要求澄清的，采购代理机构将视其为同意，对在“供应商须知前附表”中“</w:t>
      </w:r>
      <w:r>
        <w:rPr>
          <w:rFonts w:hint="eastAsia" w:cs="仿宋_GB2312"/>
          <w:i w:val="0"/>
          <w:iCs w:val="0"/>
          <w:color w:val="auto"/>
          <w:szCs w:val="24"/>
          <w:highlight w:val="none"/>
          <w:lang w:val="en-US" w:eastAsia="zh-CN"/>
        </w:rPr>
        <w:t>提出询问的</w:t>
      </w:r>
      <w:r>
        <w:rPr>
          <w:rFonts w:hint="eastAsia" w:cs="仿宋_GB2312"/>
          <w:i w:val="0"/>
          <w:iCs w:val="0"/>
          <w:color w:val="auto"/>
          <w:szCs w:val="24"/>
          <w:highlight w:val="none"/>
        </w:rPr>
        <w:t>时间</w:t>
      </w:r>
      <w:r>
        <w:rPr>
          <w:rFonts w:hint="eastAsia" w:cs="仿宋_GB2312"/>
          <w:i w:val="0"/>
          <w:iCs w:val="0"/>
          <w:color w:val="auto"/>
          <w:szCs w:val="24"/>
          <w:highlight w:val="none"/>
          <w:lang w:val="en-US" w:eastAsia="zh-CN"/>
        </w:rPr>
        <w:t>要求</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之</w:t>
      </w:r>
      <w:r>
        <w:rPr>
          <w:rFonts w:hint="eastAsia" w:cs="仿宋_GB2312"/>
          <w:i w:val="0"/>
          <w:iCs w:val="0"/>
          <w:color w:val="auto"/>
          <w:szCs w:val="24"/>
          <w:highlight w:val="none"/>
        </w:rPr>
        <w:t>后就竞争性</w:t>
      </w:r>
      <w:r>
        <w:rPr>
          <w:rFonts w:hint="eastAsia" w:cs="仿宋_GB2312"/>
          <w:i w:val="0"/>
          <w:iCs w:val="0"/>
          <w:color w:val="auto"/>
          <w:szCs w:val="24"/>
          <w:highlight w:val="none"/>
          <w:lang w:val="en-US" w:eastAsia="zh-CN"/>
        </w:rPr>
        <w:t>磋商</w:t>
      </w:r>
      <w:r>
        <w:rPr>
          <w:rFonts w:hint="eastAsia" w:cs="仿宋_GB2312"/>
          <w:i w:val="0"/>
          <w:iCs w:val="0"/>
          <w:color w:val="auto"/>
          <w:szCs w:val="24"/>
          <w:highlight w:val="none"/>
        </w:rPr>
        <w:t>文件内容提出的疑问及澄清要求将不予受理。</w:t>
      </w:r>
    </w:p>
    <w:p w14:paraId="56DEAB23">
      <w:pPr>
        <w:keepNext w:val="0"/>
        <w:keepLines w:val="0"/>
        <w:pageBreakBefore w:val="0"/>
        <w:widowControl w:val="0"/>
        <w:kinsoku/>
        <w:overflowPunct/>
        <w:topLinePunct w:val="0"/>
        <w:autoSpaceDE/>
        <w:autoSpaceDN/>
        <w:bidi w:val="0"/>
        <w:adjustRightInd/>
        <w:ind w:firstLine="480" w:firstLineChars="200"/>
        <w:textAlignment w:val="auto"/>
        <w:rPr>
          <w:rFonts w:hint="eastAsia"/>
          <w:i w:val="0"/>
          <w:iCs w:val="0"/>
          <w:color w:val="auto"/>
          <w:highlight w:val="none"/>
        </w:rPr>
      </w:pPr>
      <w:r>
        <w:rPr>
          <w:rFonts w:cs="仿宋_GB2312"/>
          <w:i w:val="0"/>
          <w:iCs w:val="0"/>
          <w:color w:val="auto"/>
          <w:szCs w:val="24"/>
          <w:highlight w:val="none"/>
        </w:rPr>
        <w:t>1</w:t>
      </w:r>
      <w:r>
        <w:rPr>
          <w:rFonts w:hint="eastAsia" w:cs="仿宋_GB2312"/>
          <w:i w:val="0"/>
          <w:iCs w:val="0"/>
          <w:color w:val="auto"/>
          <w:szCs w:val="24"/>
          <w:highlight w:val="none"/>
          <w:lang w:val="en-US" w:eastAsia="zh-CN"/>
        </w:rPr>
        <w:t>2</w:t>
      </w:r>
      <w:r>
        <w:rPr>
          <w:rFonts w:hint="eastAsia" w:cs="仿宋_GB2312"/>
          <w:i w:val="0"/>
          <w:iCs w:val="0"/>
          <w:color w:val="auto"/>
          <w:szCs w:val="24"/>
          <w:highlight w:val="none"/>
        </w:rPr>
        <w:t>.2 采购人或者采购代理机构可以对已发出的竞争性</w:t>
      </w:r>
      <w:r>
        <w:rPr>
          <w:rFonts w:hint="eastAsia" w:cs="仿宋_GB2312"/>
          <w:i w:val="0"/>
          <w:iCs w:val="0"/>
          <w:color w:val="auto"/>
          <w:szCs w:val="24"/>
          <w:highlight w:val="none"/>
          <w:lang w:val="en-US" w:eastAsia="zh-CN"/>
        </w:rPr>
        <w:t>磋商</w:t>
      </w:r>
      <w:r>
        <w:rPr>
          <w:rFonts w:hint="eastAsia" w:cs="仿宋_GB2312"/>
          <w:i w:val="0"/>
          <w:iCs w:val="0"/>
          <w:color w:val="auto"/>
          <w:szCs w:val="24"/>
          <w:highlight w:val="none"/>
        </w:rPr>
        <w:t>文件进行必要的澄清或者修改。</w:t>
      </w:r>
      <w:r>
        <w:rPr>
          <w:rFonts w:hint="eastAsia"/>
          <w:i w:val="0"/>
          <w:iCs w:val="0"/>
          <w:color w:val="auto"/>
          <w:highlight w:val="none"/>
        </w:rPr>
        <w:t>澄清或修改的内容为</w:t>
      </w:r>
      <w:r>
        <w:rPr>
          <w:rFonts w:hint="eastAsia" w:cs="仿宋_GB2312"/>
          <w:i w:val="0"/>
          <w:iCs w:val="0"/>
          <w:color w:val="auto"/>
          <w:szCs w:val="24"/>
          <w:highlight w:val="none"/>
        </w:rPr>
        <w:t>竞争性</w:t>
      </w:r>
      <w:r>
        <w:rPr>
          <w:rFonts w:hint="eastAsia"/>
          <w:i w:val="0"/>
          <w:iCs w:val="0"/>
          <w:color w:val="auto"/>
          <w:highlight w:val="none"/>
          <w:lang w:val="en-US" w:eastAsia="zh-CN"/>
        </w:rPr>
        <w:t>磋商</w:t>
      </w:r>
      <w:r>
        <w:rPr>
          <w:rFonts w:hint="eastAsia"/>
          <w:i w:val="0"/>
          <w:iCs w:val="0"/>
          <w:color w:val="auto"/>
          <w:highlight w:val="none"/>
        </w:rPr>
        <w:t>文件的组成部分，并对所有获取</w:t>
      </w:r>
      <w:r>
        <w:rPr>
          <w:rFonts w:hint="eastAsia" w:cs="仿宋_GB2312"/>
          <w:i w:val="0"/>
          <w:iCs w:val="0"/>
          <w:color w:val="auto"/>
          <w:szCs w:val="24"/>
          <w:highlight w:val="none"/>
        </w:rPr>
        <w:t>竞争性</w:t>
      </w:r>
      <w:r>
        <w:rPr>
          <w:rFonts w:hint="eastAsia"/>
          <w:i w:val="0"/>
          <w:iCs w:val="0"/>
          <w:color w:val="auto"/>
          <w:highlight w:val="none"/>
          <w:lang w:val="en-US" w:eastAsia="zh-CN"/>
        </w:rPr>
        <w:t>磋商</w:t>
      </w:r>
      <w:r>
        <w:rPr>
          <w:rFonts w:hint="eastAsia"/>
          <w:i w:val="0"/>
          <w:iCs w:val="0"/>
          <w:color w:val="auto"/>
          <w:highlight w:val="none"/>
        </w:rPr>
        <w:t>文件的潜在</w:t>
      </w:r>
      <w:r>
        <w:rPr>
          <w:rFonts w:hint="eastAsia" w:cs="仿宋_GB2312"/>
          <w:i w:val="0"/>
          <w:iCs w:val="0"/>
          <w:color w:val="auto"/>
          <w:szCs w:val="24"/>
          <w:highlight w:val="none"/>
        </w:rPr>
        <w:t>供应商</w:t>
      </w:r>
      <w:r>
        <w:rPr>
          <w:rFonts w:hint="eastAsia"/>
          <w:i w:val="0"/>
          <w:iCs w:val="0"/>
          <w:color w:val="auto"/>
          <w:highlight w:val="none"/>
        </w:rPr>
        <w:t>具有约束力。</w:t>
      </w:r>
    </w:p>
    <w:p w14:paraId="2EE78435">
      <w:pPr>
        <w:keepNext w:val="0"/>
        <w:keepLines w:val="0"/>
        <w:pageBreakBefore w:val="0"/>
        <w:widowControl w:val="0"/>
        <w:kinsoku/>
        <w:overflowPunct/>
        <w:topLinePunct w:val="0"/>
        <w:bidi w:val="0"/>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2</w:t>
      </w:r>
      <w:r>
        <w:rPr>
          <w:rFonts w:hint="eastAsia" w:cs="仿宋_GB2312"/>
          <w:i w:val="0"/>
          <w:iCs w:val="0"/>
          <w:color w:val="auto"/>
          <w:szCs w:val="24"/>
          <w:highlight w:val="none"/>
        </w:rPr>
        <w:t>.3 竞争性磋商文件的澄清或者修</w:t>
      </w:r>
      <w:r>
        <w:rPr>
          <w:rFonts w:hint="eastAsia"/>
          <w:i w:val="0"/>
          <w:iCs w:val="0"/>
          <w:snapToGrid w:val="0"/>
          <w:color w:val="auto"/>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cs="仿宋_GB2312"/>
          <w:i w:val="0"/>
          <w:iCs w:val="0"/>
          <w:color w:val="auto"/>
          <w:szCs w:val="24"/>
          <w:highlight w:val="none"/>
        </w:rPr>
        <w:t>竞争性</w:t>
      </w:r>
      <w:r>
        <w:rPr>
          <w:rFonts w:hint="eastAsia"/>
          <w:i w:val="0"/>
          <w:iCs w:val="0"/>
          <w:snapToGrid w:val="0"/>
          <w:color w:val="auto"/>
          <w:highlight w:val="none"/>
          <w:lang w:val="zh-CN"/>
        </w:rPr>
        <w:t>磋商文件的供应商，不足5日的，应当顺延提交首次响应文件</w:t>
      </w:r>
      <w:r>
        <w:rPr>
          <w:rFonts w:hint="eastAsia"/>
          <w:i w:val="0"/>
          <w:iCs w:val="0"/>
          <w:snapToGrid w:val="0"/>
          <w:color w:val="auto"/>
          <w:highlight w:val="none"/>
          <w:lang w:val="en-US" w:eastAsia="zh-CN"/>
        </w:rPr>
        <w:t>的</w:t>
      </w:r>
      <w:r>
        <w:rPr>
          <w:rFonts w:hint="eastAsia"/>
          <w:i w:val="0"/>
          <w:iCs w:val="0"/>
          <w:snapToGrid w:val="0"/>
          <w:color w:val="auto"/>
          <w:highlight w:val="none"/>
          <w:lang w:val="zh-CN"/>
        </w:rPr>
        <w:t>截止时间</w:t>
      </w:r>
      <w:r>
        <w:rPr>
          <w:rFonts w:hint="eastAsia" w:cs="仿宋_GB2312"/>
          <w:i w:val="0"/>
          <w:iCs w:val="0"/>
          <w:color w:val="auto"/>
          <w:szCs w:val="24"/>
          <w:highlight w:val="none"/>
        </w:rPr>
        <w:t>。</w:t>
      </w:r>
    </w:p>
    <w:p w14:paraId="30FE311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1</w:t>
      </w:r>
      <w:r>
        <w:rPr>
          <w:rFonts w:hint="eastAsia"/>
          <w:i w:val="0"/>
          <w:iCs w:val="0"/>
          <w:color w:val="auto"/>
          <w:highlight w:val="none"/>
          <w:lang w:val="en-US" w:eastAsia="zh-CN"/>
        </w:rPr>
        <w:t>2</w:t>
      </w:r>
      <w:r>
        <w:rPr>
          <w:i w:val="0"/>
          <w:iCs w:val="0"/>
          <w:color w:val="auto"/>
          <w:highlight w:val="none"/>
        </w:rPr>
        <w:t>.</w:t>
      </w:r>
      <w:r>
        <w:rPr>
          <w:rFonts w:hint="eastAsia"/>
          <w:i w:val="0"/>
          <w:iCs w:val="0"/>
          <w:color w:val="auto"/>
          <w:highlight w:val="none"/>
        </w:rPr>
        <w:t xml:space="preserve">4 </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须知”所称“</w:t>
      </w:r>
      <w:r>
        <w:rPr>
          <w:rFonts w:hint="eastAsia"/>
          <w:i w:val="0"/>
          <w:iCs w:val="0"/>
          <w:color w:val="auto"/>
          <w:highlight w:val="none"/>
        </w:rPr>
        <w:t>书面形式</w:t>
      </w:r>
      <w:r>
        <w:rPr>
          <w:rFonts w:hint="eastAsia" w:cs="仿宋_GB2312"/>
          <w:i w:val="0"/>
          <w:iCs w:val="0"/>
          <w:color w:val="auto"/>
          <w:szCs w:val="24"/>
          <w:highlight w:val="none"/>
        </w:rPr>
        <w:t>”</w:t>
      </w:r>
      <w:r>
        <w:rPr>
          <w:rFonts w:hint="eastAsia"/>
          <w:i w:val="0"/>
          <w:iCs w:val="0"/>
          <w:color w:val="auto"/>
          <w:highlight w:val="none"/>
        </w:rPr>
        <w:t>包括系统消息、政府采购</w:t>
      </w:r>
      <w:r>
        <w:rPr>
          <w:rFonts w:hint="eastAsia"/>
          <w:i w:val="0"/>
          <w:iCs w:val="0"/>
          <w:color w:val="auto"/>
          <w:highlight w:val="none"/>
          <w:lang w:val="en-US" w:eastAsia="zh-CN"/>
        </w:rPr>
        <w:t>云平台</w:t>
      </w:r>
      <w:r>
        <w:rPr>
          <w:rFonts w:hint="eastAsia"/>
          <w:i w:val="0"/>
          <w:iCs w:val="0"/>
          <w:color w:val="auto"/>
          <w:highlight w:val="none"/>
        </w:rPr>
        <w:t>发布的公告。</w:t>
      </w:r>
    </w:p>
    <w:p w14:paraId="028E5469">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rPr>
        <w:t>1</w:t>
      </w:r>
      <w:r>
        <w:rPr>
          <w:rFonts w:hint="eastAsia" w:ascii="宋体" w:hAnsi="宋体" w:eastAsia="宋体" w:cs="宋体"/>
          <w:i w:val="0"/>
          <w:iCs w:val="0"/>
          <w:color w:val="auto"/>
          <w:kern w:val="2"/>
          <w:sz w:val="24"/>
          <w:szCs w:val="22"/>
          <w:highlight w:val="none"/>
          <w:lang w:val="en-US" w:eastAsia="zh-CN"/>
        </w:rPr>
        <w:t>2</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5</w:t>
      </w:r>
      <w:r>
        <w:rPr>
          <w:rFonts w:hint="eastAsia" w:ascii="宋体" w:hAnsi="宋体" w:eastAsia="宋体" w:cs="宋体"/>
          <w:i w:val="0"/>
          <w:iCs w:val="0"/>
          <w:color w:val="auto"/>
          <w:kern w:val="2"/>
          <w:sz w:val="24"/>
          <w:szCs w:val="22"/>
          <w:highlight w:val="none"/>
        </w:rPr>
        <w:t>采购代理机构一旦对竞争性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文件作出了澄清、修改，即刻发生效力，采购代理机构有关的澄清、修改文件，将作为竞争性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文件的组成部分，对所有现实的或潜在的</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均具有约束力，而无论是否已经实际收到上述文件。同时，采购代理机构和</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的权利及义务将受到新的截止期的约束。</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rPr>
        <w:t>1</w:t>
      </w:r>
      <w:r>
        <w:rPr>
          <w:rFonts w:hint="eastAsia" w:ascii="宋体" w:hAnsi="宋体" w:eastAsia="宋体" w:cs="宋体"/>
          <w:i w:val="0"/>
          <w:iCs w:val="0"/>
          <w:color w:val="auto"/>
          <w:kern w:val="2"/>
          <w:sz w:val="24"/>
          <w:szCs w:val="22"/>
          <w:highlight w:val="none"/>
          <w:lang w:val="en-US" w:eastAsia="zh-CN"/>
        </w:rPr>
        <w:t>2</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采购代理机构对竞争性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文件作出的澄清、修改在平台内进行披露，请</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及时关注并获取相关资料。因登记有误、线路故障或其它任何意外情形，导致</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未及时获取的，采购代理机构不因此承担任何责任，且有关的</w:t>
      </w:r>
      <w:r>
        <w:rPr>
          <w:rFonts w:hint="eastAsia" w:ascii="宋体" w:hAnsi="宋体" w:eastAsia="宋体" w:cs="宋体"/>
          <w:i w:val="0"/>
          <w:iCs w:val="0"/>
          <w:color w:val="auto"/>
          <w:kern w:val="2"/>
          <w:sz w:val="24"/>
          <w:szCs w:val="22"/>
          <w:highlight w:val="none"/>
          <w:lang w:val="en-US" w:eastAsia="zh-CN"/>
        </w:rPr>
        <w:t>磋商</w:t>
      </w:r>
      <w:r>
        <w:rPr>
          <w:rFonts w:hint="eastAsia" w:ascii="宋体" w:hAnsi="宋体" w:eastAsia="宋体" w:cs="宋体"/>
          <w:i w:val="0"/>
          <w:iCs w:val="0"/>
          <w:color w:val="auto"/>
          <w:kern w:val="2"/>
          <w:sz w:val="24"/>
          <w:szCs w:val="22"/>
          <w:highlight w:val="none"/>
        </w:rPr>
        <w:t>活动继续有效地进行。当竞争性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文件的澄清、修改及进行其他答复等就同一内容的表述不一致时，以最后发布的内容为准。</w:t>
      </w:r>
    </w:p>
    <w:p w14:paraId="7D17D0F6">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2" w:name="_Toc109899960"/>
      <w:bookmarkStart w:id="173" w:name="_Toc32059"/>
      <w:bookmarkStart w:id="174" w:name="_Toc109899541"/>
      <w:bookmarkStart w:id="175" w:name="_Toc163493613"/>
      <w:bookmarkStart w:id="176" w:name="_Toc46771647"/>
      <w:bookmarkStart w:id="177" w:name="_Toc109900379"/>
      <w:bookmarkStart w:id="178" w:name="_Toc109897442"/>
      <w:bookmarkStart w:id="179" w:name="_Toc470172672"/>
      <w:r>
        <w:rPr>
          <w:rFonts w:hint="eastAsia" w:ascii="宋体" w:hAnsi="宋体" w:eastAsia="宋体" w:cs="宋体"/>
          <w:b/>
          <w:bCs/>
          <w:color w:val="auto"/>
          <w:kern w:val="2"/>
          <w:sz w:val="24"/>
          <w:szCs w:val="24"/>
          <w:highlight w:val="none"/>
          <w:lang w:val="en-US" w:eastAsia="zh-CN" w:bidi="ar-SA"/>
        </w:rPr>
        <w:t>（三）响应文件</w:t>
      </w:r>
      <w:bookmarkEnd w:id="172"/>
      <w:bookmarkEnd w:id="173"/>
      <w:bookmarkEnd w:id="174"/>
      <w:bookmarkEnd w:id="175"/>
      <w:bookmarkEnd w:id="176"/>
      <w:bookmarkEnd w:id="177"/>
      <w:bookmarkEnd w:id="178"/>
      <w:bookmarkEnd w:id="179"/>
    </w:p>
    <w:p w14:paraId="3A231C5B">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0" w:name="_Toc109897444"/>
      <w:bookmarkStart w:id="181" w:name="_Toc32272"/>
      <w:bookmarkStart w:id="182" w:name="_Toc48688798"/>
      <w:bookmarkStart w:id="183" w:name="_Toc46772250"/>
      <w:bookmarkStart w:id="184" w:name="_Toc470172674"/>
      <w:bookmarkStart w:id="185" w:name="_Toc109899543"/>
      <w:bookmarkStart w:id="186" w:name="_Toc46771649"/>
      <w:bookmarkStart w:id="187" w:name="_Toc51674220"/>
      <w:bookmarkStart w:id="188" w:name="_Toc109900381"/>
      <w:bookmarkStart w:id="189" w:name="_Toc52962736"/>
      <w:bookmarkStart w:id="190" w:name="_Toc48846118"/>
      <w:bookmarkStart w:id="191" w:name="_Toc109899962"/>
      <w:bookmarkStart w:id="192" w:name="_Toc52960562"/>
      <w:r>
        <w:rPr>
          <w:rFonts w:hint="eastAsia" w:ascii="宋体" w:hAnsi="宋体" w:eastAsia="宋体" w:cs="宋体"/>
          <w:b/>
          <w:bCs/>
          <w:color w:val="auto"/>
          <w:kern w:val="2"/>
          <w:sz w:val="24"/>
          <w:szCs w:val="24"/>
          <w:highlight w:val="none"/>
          <w:lang w:val="en-US" w:eastAsia="zh-CN" w:bidi="ar-SA"/>
        </w:rPr>
        <w:t>13.响应文件的</w:t>
      </w:r>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eastAsia="宋体" w:cs="宋体"/>
          <w:b/>
          <w:bCs/>
          <w:color w:val="auto"/>
          <w:kern w:val="2"/>
          <w:sz w:val="24"/>
          <w:szCs w:val="24"/>
          <w:highlight w:val="none"/>
          <w:lang w:val="en-US" w:eastAsia="zh-CN" w:bidi="ar-SA"/>
        </w:rPr>
        <w:t>组成</w:t>
      </w:r>
    </w:p>
    <w:p w14:paraId="174A0A3D">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13</w:t>
      </w:r>
      <w:r>
        <w:rPr>
          <w:rFonts w:hint="eastAsia" w:ascii="宋体" w:hAnsi="宋体" w:eastAsia="宋体" w:cs="宋体"/>
          <w:i w:val="0"/>
          <w:iCs w:val="0"/>
          <w:color w:val="auto"/>
          <w:kern w:val="2"/>
          <w:sz w:val="24"/>
          <w:szCs w:val="22"/>
          <w:highlight w:val="none"/>
        </w:rPr>
        <w:t>.1</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应完整地按竞争性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文件提供的</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文件格式及要求编写</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文件，具体内容详见</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lang w:val="en-US" w:eastAsia="zh-CN"/>
        </w:rPr>
        <w:t>第六章 响应</w:t>
      </w:r>
      <w:r>
        <w:rPr>
          <w:rFonts w:hint="eastAsia" w:ascii="宋体" w:hAnsi="宋体" w:eastAsia="宋体" w:cs="宋体"/>
          <w:i w:val="0"/>
          <w:iCs w:val="0"/>
          <w:color w:val="auto"/>
          <w:kern w:val="2"/>
          <w:sz w:val="24"/>
          <w:szCs w:val="22"/>
          <w:highlight w:val="none"/>
        </w:rPr>
        <w:t>文件</w:t>
      </w:r>
      <w:r>
        <w:rPr>
          <w:rFonts w:hint="eastAsia" w:ascii="宋体" w:hAnsi="宋体" w:eastAsia="宋体" w:cs="宋体"/>
          <w:i w:val="0"/>
          <w:iCs w:val="0"/>
          <w:color w:val="auto"/>
          <w:kern w:val="2"/>
          <w:sz w:val="24"/>
          <w:szCs w:val="22"/>
          <w:highlight w:val="none"/>
          <w:lang w:val="en-US" w:eastAsia="zh-CN"/>
        </w:rPr>
        <w:t>的</w:t>
      </w:r>
      <w:r>
        <w:rPr>
          <w:rFonts w:hint="eastAsia" w:ascii="宋体" w:hAnsi="宋体" w:eastAsia="宋体" w:cs="宋体"/>
          <w:i w:val="0"/>
          <w:iCs w:val="0"/>
          <w:color w:val="auto"/>
          <w:kern w:val="2"/>
          <w:sz w:val="24"/>
          <w:szCs w:val="22"/>
          <w:highlight w:val="none"/>
        </w:rPr>
        <w:t>格式</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的相关内容。</w:t>
      </w:r>
    </w:p>
    <w:p w14:paraId="3BB3A0B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13.2供应商</w:t>
      </w:r>
      <w:r>
        <w:rPr>
          <w:rFonts w:hint="eastAsia" w:ascii="宋体" w:hAnsi="宋体" w:eastAsia="宋体" w:cs="宋体"/>
          <w:i w:val="0"/>
          <w:iCs w:val="0"/>
          <w:color w:val="auto"/>
          <w:kern w:val="2"/>
          <w:sz w:val="24"/>
          <w:szCs w:val="22"/>
          <w:highlight w:val="none"/>
        </w:rPr>
        <w:t>应提交竞争性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文件要求的证明文件，证明其</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内容符合竞争性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文件规定</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该证明文件是</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文件的一部分</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证明文件</w:t>
      </w:r>
      <w:r>
        <w:rPr>
          <w:rFonts w:hint="eastAsia" w:ascii="宋体" w:hAnsi="宋体" w:eastAsia="宋体" w:cs="宋体"/>
          <w:i w:val="0"/>
          <w:iCs w:val="0"/>
          <w:color w:val="auto"/>
          <w:kern w:val="2"/>
          <w:sz w:val="24"/>
          <w:szCs w:val="22"/>
          <w:highlight w:val="none"/>
          <w:lang w:val="en-US" w:eastAsia="zh-CN"/>
        </w:rPr>
        <w:t>形式</w:t>
      </w:r>
      <w:r>
        <w:rPr>
          <w:rFonts w:hint="eastAsia" w:ascii="宋体" w:hAnsi="宋体" w:eastAsia="宋体" w:cs="宋体"/>
          <w:i w:val="0"/>
          <w:iCs w:val="0"/>
          <w:color w:val="auto"/>
          <w:kern w:val="2"/>
          <w:sz w:val="24"/>
          <w:szCs w:val="22"/>
          <w:highlight w:val="none"/>
        </w:rPr>
        <w:t>可以是文字资料、图纸和数据</w:t>
      </w:r>
      <w:bookmarkStart w:id="193" w:name="_Hlk11703583"/>
      <w:r>
        <w:rPr>
          <w:rFonts w:hint="eastAsia" w:ascii="宋体" w:hAnsi="宋体" w:eastAsia="宋体" w:cs="宋体"/>
          <w:i w:val="0"/>
          <w:iCs w:val="0"/>
          <w:color w:val="auto"/>
          <w:kern w:val="2"/>
          <w:sz w:val="24"/>
          <w:szCs w:val="22"/>
          <w:highlight w:val="none"/>
          <w:lang w:val="en-US" w:eastAsia="zh-CN"/>
        </w:rPr>
        <w:t>等。</w:t>
      </w:r>
    </w:p>
    <w:bookmarkEnd w:id="193"/>
    <w:p w14:paraId="781BBAEB">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13.3</w:t>
      </w:r>
      <w:r>
        <w:rPr>
          <w:rFonts w:hint="eastAsia" w:ascii="宋体" w:hAnsi="宋体" w:eastAsia="宋体" w:cs="宋体"/>
          <w:i w:val="0"/>
          <w:iCs w:val="0"/>
          <w:color w:val="auto"/>
          <w:kern w:val="2"/>
          <w:sz w:val="24"/>
          <w:szCs w:val="22"/>
          <w:highlight w:val="none"/>
        </w:rPr>
        <w:t>为保证公平公正，除非</w:t>
      </w:r>
      <w:r>
        <w:rPr>
          <w:rFonts w:hint="eastAsia" w:ascii="宋体" w:hAnsi="宋体" w:eastAsia="宋体" w:cs="宋体"/>
          <w:i w:val="0"/>
          <w:iCs w:val="0"/>
          <w:color w:val="auto"/>
          <w:kern w:val="2"/>
          <w:sz w:val="24"/>
          <w:szCs w:val="22"/>
          <w:highlight w:val="none"/>
          <w:lang w:val="en-US" w:eastAsia="zh-CN"/>
        </w:rPr>
        <w:t>本磋商文件</w:t>
      </w:r>
      <w:r>
        <w:rPr>
          <w:rFonts w:hint="eastAsia" w:ascii="宋体" w:hAnsi="宋体" w:eastAsia="宋体" w:cs="宋体"/>
          <w:i w:val="0"/>
          <w:iCs w:val="0"/>
          <w:color w:val="auto"/>
          <w:kern w:val="2"/>
          <w:sz w:val="24"/>
          <w:szCs w:val="22"/>
          <w:highlight w:val="none"/>
        </w:rPr>
        <w:t>另有规定或说明，</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对同一项目</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时，不得同时提供备选</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方案。</w:t>
      </w:r>
    </w:p>
    <w:p w14:paraId="5C8E7CA3">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4" w:name="_Toc109900383"/>
      <w:bookmarkStart w:id="195" w:name="_Toc109899545"/>
      <w:bookmarkStart w:id="196" w:name="_Toc46772252"/>
      <w:bookmarkStart w:id="197" w:name="_Toc48688800"/>
      <w:bookmarkStart w:id="198" w:name="_Toc109899964"/>
      <w:bookmarkStart w:id="199" w:name="_Toc24544"/>
      <w:bookmarkStart w:id="200" w:name="_Toc52962738"/>
      <w:bookmarkStart w:id="201" w:name="_Toc48846120"/>
      <w:bookmarkStart w:id="202" w:name="_Toc470172676"/>
      <w:bookmarkStart w:id="203" w:name="_Toc109897446"/>
      <w:bookmarkStart w:id="204" w:name="_Toc46771651"/>
      <w:bookmarkStart w:id="205" w:name="_Toc52960564"/>
      <w:bookmarkStart w:id="206" w:name="_Toc51674222"/>
      <w:bookmarkStart w:id="207" w:name="_Toc51674221"/>
      <w:bookmarkStart w:id="208" w:name="_Toc48688799"/>
      <w:bookmarkStart w:id="209" w:name="_Toc109899963"/>
      <w:bookmarkStart w:id="210" w:name="_Toc46771650"/>
      <w:bookmarkStart w:id="211" w:name="_Toc109900382"/>
      <w:bookmarkStart w:id="212" w:name="_Toc25217"/>
      <w:bookmarkStart w:id="213" w:name="_Toc109897445"/>
      <w:bookmarkStart w:id="214" w:name="_Toc46772251"/>
      <w:bookmarkStart w:id="215" w:name="_Toc52962737"/>
      <w:bookmarkStart w:id="216" w:name="_Toc52960563"/>
      <w:bookmarkStart w:id="217" w:name="_Toc109899544"/>
      <w:bookmarkStart w:id="218" w:name="_Toc470172675"/>
      <w:bookmarkStart w:id="219" w:name="_Toc48846119"/>
      <w:r>
        <w:rPr>
          <w:rFonts w:hint="eastAsia" w:ascii="宋体" w:hAnsi="宋体" w:eastAsia="宋体" w:cs="宋体"/>
          <w:b/>
          <w:bCs/>
          <w:color w:val="auto"/>
          <w:kern w:val="2"/>
          <w:sz w:val="24"/>
          <w:szCs w:val="24"/>
          <w:highlight w:val="none"/>
          <w:lang w:val="en-US" w:eastAsia="zh-CN" w:bidi="ar-SA"/>
        </w:rPr>
        <w:t>14.磋商报价</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0640D6E7">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.1磋商供应商的报价均应以人民币报价。磋商报价包括磋商供应商在首次提交的响应文件中的报价、磋商过程中的报价和最后报价，</w:t>
      </w:r>
      <w:r>
        <w:rPr>
          <w:rFonts w:hint="eastAsia"/>
          <w:i w:val="0"/>
          <w:iCs w:val="0"/>
          <w:snapToGrid w:val="0"/>
          <w:color w:val="auto"/>
          <w:highlight w:val="none"/>
          <w:lang w:val="en-US" w:eastAsia="zh-CN"/>
        </w:rPr>
        <w:t>且均</w:t>
      </w:r>
      <w:r>
        <w:rPr>
          <w:rFonts w:hint="eastAsia"/>
          <w:i w:val="0"/>
          <w:iCs w:val="0"/>
          <w:snapToGrid w:val="0"/>
          <w:color w:val="auto"/>
          <w:highlight w:val="none"/>
          <w:lang w:val="zh-CN"/>
        </w:rPr>
        <w:t>不得超过</w:t>
      </w:r>
      <w:bookmarkStart w:id="220" w:name="_Hlk161703672"/>
      <w:r>
        <w:rPr>
          <w:rFonts w:hint="eastAsia"/>
          <w:i w:val="0"/>
          <w:iCs w:val="0"/>
          <w:snapToGrid w:val="0"/>
          <w:color w:val="auto"/>
          <w:highlight w:val="none"/>
          <w:lang w:val="zh-CN"/>
        </w:rPr>
        <w:t>“</w:t>
      </w:r>
      <w:r>
        <w:rPr>
          <w:rFonts w:hint="eastAsia"/>
          <w:i w:val="0"/>
          <w:iCs w:val="0"/>
          <w:snapToGrid w:val="0"/>
          <w:color w:val="auto"/>
          <w:highlight w:val="none"/>
          <w:lang w:val="en-US" w:eastAsia="zh-CN"/>
        </w:rPr>
        <w:t>第一章 竞争性磋商公告</w:t>
      </w:r>
      <w:r>
        <w:rPr>
          <w:rFonts w:hint="eastAsia"/>
          <w:i w:val="0"/>
          <w:iCs w:val="0"/>
          <w:snapToGrid w:val="0"/>
          <w:color w:val="auto"/>
          <w:highlight w:val="none"/>
          <w:lang w:val="zh-CN"/>
        </w:rPr>
        <w:t>”中规定</w:t>
      </w:r>
      <w:bookmarkEnd w:id="220"/>
      <w:r>
        <w:rPr>
          <w:rFonts w:hint="eastAsia"/>
          <w:i w:val="0"/>
          <w:iCs w:val="0"/>
          <w:snapToGrid w:val="0"/>
          <w:color w:val="auto"/>
          <w:highlight w:val="none"/>
          <w:lang w:val="zh-CN"/>
        </w:rPr>
        <w:t>的</w:t>
      </w:r>
      <w:r>
        <w:rPr>
          <w:rFonts w:hint="eastAsia"/>
          <w:i w:val="0"/>
          <w:iCs w:val="0"/>
          <w:snapToGrid w:val="0"/>
          <w:color w:val="auto"/>
          <w:highlight w:val="none"/>
          <w:lang w:val="zh-CN" w:eastAsia="zh-CN"/>
        </w:rPr>
        <w:t>最高限价或者预算金额</w:t>
      </w:r>
      <w:r>
        <w:rPr>
          <w:rFonts w:hint="eastAsia"/>
          <w:i w:val="0"/>
          <w:iCs w:val="0"/>
          <w:snapToGrid w:val="0"/>
          <w:color w:val="auto"/>
          <w:highlight w:val="none"/>
          <w:lang w:val="zh-CN"/>
        </w:rPr>
        <w:t>，否则其响应文件将被视为</w:t>
      </w:r>
      <w:r>
        <w:rPr>
          <w:rFonts w:hint="eastAsia"/>
          <w:b/>
          <w:bCs/>
          <w:i w:val="0"/>
          <w:iCs w:val="0"/>
          <w:snapToGrid w:val="0"/>
          <w:color w:val="auto"/>
          <w:highlight w:val="none"/>
          <w:lang w:val="zh-CN"/>
        </w:rPr>
        <w:t>无效文件</w:t>
      </w:r>
      <w:r>
        <w:rPr>
          <w:rFonts w:hint="eastAsia"/>
          <w:i w:val="0"/>
          <w:iCs w:val="0"/>
          <w:snapToGrid w:val="0"/>
          <w:color w:val="auto"/>
          <w:highlight w:val="none"/>
          <w:lang w:val="zh-CN"/>
        </w:rPr>
        <w:t>。</w:t>
      </w:r>
    </w:p>
    <w:p w14:paraId="300639DC">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b/>
          <w:bCs/>
          <w:i w:val="0"/>
          <w:iCs w:val="0"/>
          <w:snapToGrid w:val="0"/>
          <w:color w:val="auto"/>
          <w:highlight w:val="none"/>
          <w:lang w:val="zh-CN"/>
        </w:rPr>
        <w:t>无效文件</w:t>
      </w:r>
      <w:r>
        <w:rPr>
          <w:rFonts w:hint="eastAsia"/>
          <w:i w:val="0"/>
          <w:iCs w:val="0"/>
          <w:snapToGrid w:val="0"/>
          <w:color w:val="auto"/>
          <w:highlight w:val="none"/>
          <w:lang w:val="zh-CN"/>
        </w:rPr>
        <w:t>。</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的报价应包括为完成本项目所发生的一切费用和税费，采购人将不再支付报价以外的任何费用。</w:t>
      </w:r>
      <w:r>
        <w:rPr>
          <w:rFonts w:hint="eastAsia" w:ascii="宋体" w:hAnsi="宋体" w:eastAsia="宋体" w:cstheme="minorBidi"/>
          <w:i w:val="0"/>
          <w:iCs w:val="0"/>
          <w:snapToGrid w:val="0"/>
          <w:color w:val="auto"/>
          <w:kern w:val="2"/>
          <w:sz w:val="24"/>
          <w:szCs w:val="22"/>
          <w:highlight w:val="none"/>
          <w:lang w:val="zh-CN" w:eastAsia="zh-CN" w:bidi="ar-SA"/>
        </w:rPr>
        <w:t>只要投报了一个确定数额的总价，无论分项价格是否全部填报了相应的金额或免费字样，报价应被视为已经包含了但并不限于各</w:t>
      </w:r>
      <w:r>
        <w:rPr>
          <w:rFonts w:hint="eastAsia" w:ascii="宋体" w:hAnsi="宋体" w:eastAsia="宋体" w:cstheme="minorBidi"/>
          <w:i w:val="0"/>
          <w:iCs w:val="0"/>
          <w:snapToGrid w:val="0"/>
          <w:color w:val="auto"/>
          <w:kern w:val="2"/>
          <w:sz w:val="24"/>
          <w:szCs w:val="22"/>
          <w:highlight w:val="none"/>
          <w:lang w:val="en-US" w:eastAsia="zh-CN" w:bidi="ar-SA"/>
        </w:rPr>
        <w:t>分</w:t>
      </w:r>
      <w:r>
        <w:rPr>
          <w:rFonts w:hint="eastAsia" w:ascii="宋体" w:hAnsi="宋体" w:eastAsia="宋体" w:cstheme="minorBidi"/>
          <w:i w:val="0"/>
          <w:iCs w:val="0"/>
          <w:snapToGrid w:val="0"/>
          <w:color w:val="auto"/>
          <w:kern w:val="2"/>
          <w:sz w:val="24"/>
          <w:szCs w:val="22"/>
          <w:highlight w:val="none"/>
          <w:lang w:val="zh-CN" w:eastAsia="zh-CN" w:bidi="ar-SA"/>
        </w:rPr>
        <w:t>项</w:t>
      </w:r>
      <w:r>
        <w:rPr>
          <w:rFonts w:hint="eastAsia" w:ascii="宋体" w:hAnsi="宋体" w:eastAsia="宋体" w:cstheme="minorBidi"/>
          <w:i w:val="0"/>
          <w:iCs w:val="0"/>
          <w:snapToGrid w:val="0"/>
          <w:color w:val="auto"/>
          <w:kern w:val="2"/>
          <w:sz w:val="24"/>
          <w:szCs w:val="22"/>
          <w:highlight w:val="none"/>
          <w:lang w:val="en-US" w:eastAsia="zh-CN" w:bidi="ar-SA"/>
        </w:rPr>
        <w:t>工程费用及</w:t>
      </w:r>
      <w:r>
        <w:rPr>
          <w:rFonts w:hint="eastAsia" w:ascii="宋体" w:hAnsi="宋体" w:eastAsia="宋体" w:cstheme="minorBidi"/>
          <w:i w:val="0"/>
          <w:iCs w:val="0"/>
          <w:snapToGrid w:val="0"/>
          <w:color w:val="auto"/>
          <w:kern w:val="2"/>
          <w:sz w:val="24"/>
          <w:szCs w:val="22"/>
          <w:highlight w:val="none"/>
          <w:lang w:val="zh-CN" w:eastAsia="zh-CN" w:bidi="ar-SA"/>
        </w:rPr>
        <w:t>购买货物及其运送、安装、调试、验收、保险和相关服务等的费用和所需缴纳的所有价格、税、费。在其他情况下，由于</w:t>
      </w:r>
      <w:r>
        <w:rPr>
          <w:rFonts w:hint="eastAsia" w:cstheme="minorBidi"/>
          <w:i w:val="0"/>
          <w:iCs w:val="0"/>
          <w:snapToGrid w:val="0"/>
          <w:color w:val="auto"/>
          <w:kern w:val="2"/>
          <w:sz w:val="24"/>
          <w:szCs w:val="22"/>
          <w:highlight w:val="none"/>
          <w:lang w:val="en-US" w:eastAsia="zh-CN" w:bidi="ar-SA"/>
        </w:rPr>
        <w:t>已标价工程量清单</w:t>
      </w:r>
      <w:r>
        <w:rPr>
          <w:rFonts w:hint="eastAsia" w:ascii="宋体" w:hAnsi="宋体" w:eastAsia="宋体" w:cstheme="minorBidi"/>
          <w:i w:val="0"/>
          <w:iCs w:val="0"/>
          <w:snapToGrid w:val="0"/>
          <w:color w:val="auto"/>
          <w:kern w:val="2"/>
          <w:sz w:val="24"/>
          <w:szCs w:val="22"/>
          <w:highlight w:val="none"/>
          <w:lang w:val="zh-CN" w:eastAsia="zh-CN" w:bidi="ar-SA"/>
        </w:rPr>
        <w:t>填报不完整、不清楚或存在其他任何失误，所导致的任何不利后果均应当由供应商自行承担。</w:t>
      </w:r>
    </w:p>
    <w:p w14:paraId="009FDB1D">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 xml:space="preserve">的报价应包括但不限于下列内容： </w:t>
      </w:r>
    </w:p>
    <w:p w14:paraId="058AFCD3">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14.2.1 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ACD190C">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14.2.2 按照磋商文件要求完成本项目的全部相关费用。</w:t>
      </w:r>
    </w:p>
    <w:p w14:paraId="11C9B78F">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.3</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rPr>
        <w:t>须严格按照</w:t>
      </w:r>
      <w:r>
        <w:rPr>
          <w:rFonts w:hint="eastAsia"/>
          <w:i w:val="0"/>
          <w:iCs w:val="0"/>
          <w:snapToGrid w:val="0"/>
          <w:color w:val="auto"/>
          <w:highlight w:val="none"/>
          <w:lang w:val="en-US" w:eastAsia="zh-CN"/>
        </w:rPr>
        <w:t>工程量清单</w:t>
      </w:r>
      <w:r>
        <w:rPr>
          <w:rFonts w:hint="eastAsia"/>
          <w:i w:val="0"/>
          <w:iCs w:val="0"/>
          <w:snapToGrid w:val="0"/>
          <w:color w:val="auto"/>
          <w:highlight w:val="none"/>
          <w:lang w:val="zh-CN"/>
        </w:rPr>
        <w:t>规定的内容填写单价、</w:t>
      </w:r>
      <w:r>
        <w:rPr>
          <w:rFonts w:hint="eastAsia"/>
          <w:i w:val="0"/>
          <w:iCs w:val="0"/>
          <w:snapToGrid w:val="0"/>
          <w:color w:val="auto"/>
          <w:highlight w:val="none"/>
          <w:lang w:val="en-US" w:eastAsia="zh-CN"/>
        </w:rPr>
        <w:t>合价</w:t>
      </w:r>
      <w:r>
        <w:rPr>
          <w:rFonts w:hint="eastAsia"/>
          <w:i w:val="0"/>
          <w:iCs w:val="0"/>
          <w:snapToGrid w:val="0"/>
          <w:color w:val="auto"/>
          <w:highlight w:val="none"/>
          <w:lang w:val="zh-CN"/>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3DB7F190">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.4供应商在响应文件中注明免费的项目将视为包含在报价中。</w:t>
      </w:r>
    </w:p>
    <w:p w14:paraId="5A2E805F">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.5每一种采购内容只允许有一个报价，否则其响应文件将被视为</w:t>
      </w:r>
      <w:r>
        <w:rPr>
          <w:rFonts w:hint="eastAsia" w:ascii="宋体" w:hAnsi="宋体" w:eastAsia="宋体" w:cstheme="minorBidi"/>
          <w:b/>
          <w:bCs/>
          <w:i w:val="0"/>
          <w:iCs w:val="0"/>
          <w:snapToGrid w:val="0"/>
          <w:color w:val="auto"/>
          <w:kern w:val="2"/>
          <w:sz w:val="24"/>
          <w:szCs w:val="22"/>
          <w:highlight w:val="none"/>
          <w:lang w:val="zh-CN" w:eastAsia="zh-CN" w:bidi="ar-SA"/>
        </w:rPr>
        <w:t>无效文件</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除非磋商文件另有规定，不接受可选择或可调整的磋商方案和报价，任何有选择的或可调整的磋商方案和报价将</w:t>
      </w:r>
      <w:r>
        <w:rPr>
          <w:rFonts w:hint="eastAsia" w:ascii="宋体" w:hAnsi="宋体" w:eastAsia="宋体" w:cstheme="minorBidi"/>
          <w:b/>
          <w:bCs/>
          <w:i w:val="0"/>
          <w:iCs w:val="0"/>
          <w:snapToGrid w:val="0"/>
          <w:color w:val="auto"/>
          <w:kern w:val="2"/>
          <w:sz w:val="24"/>
          <w:szCs w:val="22"/>
          <w:highlight w:val="none"/>
          <w:lang w:val="en-US" w:eastAsia="zh-CN" w:bidi="ar-SA"/>
        </w:rPr>
        <w:t>被视为非响应性磋商而被拒绝</w:t>
      </w:r>
      <w:r>
        <w:rPr>
          <w:rFonts w:hint="eastAsia" w:ascii="宋体" w:hAnsi="宋体" w:eastAsia="宋体" w:cstheme="minorBidi"/>
          <w:i w:val="0"/>
          <w:iCs w:val="0"/>
          <w:snapToGrid w:val="0"/>
          <w:color w:val="auto"/>
          <w:kern w:val="2"/>
          <w:sz w:val="24"/>
          <w:szCs w:val="22"/>
          <w:highlight w:val="none"/>
          <w:lang w:val="en-US" w:eastAsia="zh-CN" w:bidi="ar-SA"/>
        </w:rPr>
        <w:t>。</w:t>
      </w:r>
    </w:p>
    <w:p w14:paraId="2D8474D4">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14.6 </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对磋商报价若有说明应在响应文件中显著处注明。</w:t>
      </w:r>
    </w:p>
    <w:p w14:paraId="1719007D">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除政策性文件规定以外，</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所报价格在合同实施期间不因市场变化因素而变动。</w:t>
      </w:r>
    </w:p>
    <w:p w14:paraId="749D37C5">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14.7 对于有配件、耗材、选件、备件和特殊工具的货物，还应填报磋商货物配件、耗材、选件表和备件及特殊工具清单，注明品牌、型号、产地、功能、单价、批量折扣等内容，该表格格式由</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自行设计。</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按照上述要求分类报价，其目的是便于评审，但在任何情况下并不限制采购人以其他条款签订合同的权利。</w:t>
      </w:r>
    </w:p>
    <w:p w14:paraId="0B64FFBB">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14.8 最低报价不能作为成交的保证。</w:t>
      </w:r>
    </w:p>
    <w:p w14:paraId="0A894227">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cs="宋体"/>
          <w:i w:val="0"/>
          <w:iCs w:val="0"/>
          <w:color w:val="auto"/>
          <w:kern w:val="0"/>
          <w:sz w:val="24"/>
          <w:szCs w:val="24"/>
          <w:highlight w:val="none"/>
          <w:lang w:val="en-US" w:eastAsia="zh-CN" w:bidi="ar"/>
        </w:rPr>
        <w:t>14.9供应商</w:t>
      </w:r>
      <w:r>
        <w:rPr>
          <w:rFonts w:hint="eastAsia" w:ascii="宋体" w:hAnsi="宋体" w:eastAsia="宋体" w:cs="宋体"/>
          <w:i w:val="0"/>
          <w:iCs w:val="0"/>
          <w:color w:val="auto"/>
          <w:kern w:val="0"/>
          <w:sz w:val="24"/>
          <w:szCs w:val="24"/>
          <w:highlight w:val="none"/>
          <w:lang w:val="en-US" w:eastAsia="zh-CN" w:bidi="ar"/>
        </w:rPr>
        <w:t>不能提供任何有选择性或可调整的报价（</w:t>
      </w:r>
      <w:r>
        <w:rPr>
          <w:rFonts w:hint="eastAsia" w:cs="宋体"/>
          <w:i w:val="0"/>
          <w:iCs w:val="0"/>
          <w:color w:val="auto"/>
          <w:kern w:val="0"/>
          <w:sz w:val="24"/>
          <w:szCs w:val="24"/>
          <w:highlight w:val="none"/>
          <w:lang w:val="en-US" w:eastAsia="zh-CN" w:bidi="ar"/>
        </w:rPr>
        <w:t>磋商</w:t>
      </w:r>
      <w:r>
        <w:rPr>
          <w:rFonts w:hint="eastAsia" w:ascii="宋体" w:hAnsi="宋体" w:eastAsia="宋体" w:cs="宋体"/>
          <w:i w:val="0"/>
          <w:iCs w:val="0"/>
          <w:color w:val="auto"/>
          <w:kern w:val="0"/>
          <w:sz w:val="24"/>
          <w:szCs w:val="24"/>
          <w:highlight w:val="none"/>
          <w:lang w:val="en-US" w:eastAsia="zh-CN" w:bidi="ar"/>
        </w:rPr>
        <w:t>文件另有规定的除外），否则其</w:t>
      </w:r>
      <w:r>
        <w:rPr>
          <w:rFonts w:hint="eastAsia" w:cs="宋体"/>
          <w:b/>
          <w:bCs/>
          <w:i w:val="0"/>
          <w:iCs w:val="0"/>
          <w:color w:val="auto"/>
          <w:kern w:val="0"/>
          <w:sz w:val="24"/>
          <w:szCs w:val="24"/>
          <w:highlight w:val="none"/>
          <w:lang w:val="en-US" w:eastAsia="zh-CN" w:bidi="ar"/>
        </w:rPr>
        <w:t>响应</w:t>
      </w:r>
      <w:r>
        <w:rPr>
          <w:rFonts w:hint="eastAsia" w:ascii="宋体" w:hAnsi="宋体" w:eastAsia="宋体" w:cs="宋体"/>
          <w:b/>
          <w:bCs/>
          <w:i w:val="0"/>
          <w:iCs w:val="0"/>
          <w:color w:val="auto"/>
          <w:kern w:val="0"/>
          <w:sz w:val="24"/>
          <w:szCs w:val="24"/>
          <w:highlight w:val="none"/>
          <w:lang w:val="en-US" w:eastAsia="zh-CN" w:bidi="ar"/>
        </w:rPr>
        <w:t>无效</w:t>
      </w:r>
      <w:r>
        <w:rPr>
          <w:rFonts w:hint="eastAsia" w:ascii="宋体" w:hAnsi="宋体" w:eastAsia="宋体" w:cs="宋体"/>
          <w:i w:val="0"/>
          <w:iCs w:val="0"/>
          <w:color w:val="auto"/>
          <w:kern w:val="0"/>
          <w:sz w:val="24"/>
          <w:szCs w:val="24"/>
          <w:highlight w:val="none"/>
          <w:lang w:val="en-US" w:eastAsia="zh-CN" w:bidi="ar"/>
        </w:rPr>
        <w:t>。</w:t>
      </w:r>
    </w:p>
    <w:p w14:paraId="2AA144BC">
      <w:pPr>
        <w:pStyle w:val="34"/>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14.10采购人不得向供应商索要或者接受其给予的赠品、回扣或者与采购无关的其他商品、服务。</w:t>
      </w:r>
    </w:p>
    <w:p w14:paraId="0CD8AEF2">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1" w:name="_Toc48846126"/>
      <w:bookmarkStart w:id="222" w:name="_Toc470172682"/>
      <w:bookmarkStart w:id="223" w:name="_Toc109900388"/>
      <w:bookmarkStart w:id="224" w:name="_Toc46771657"/>
      <w:bookmarkStart w:id="225" w:name="_Toc109899550"/>
      <w:bookmarkStart w:id="226" w:name="_Toc109899969"/>
      <w:bookmarkStart w:id="227" w:name="_Toc52962744"/>
      <w:bookmarkStart w:id="228" w:name="_Toc5668"/>
      <w:bookmarkStart w:id="229" w:name="_Toc51674228"/>
      <w:bookmarkStart w:id="230" w:name="_Toc46772258"/>
      <w:bookmarkStart w:id="231" w:name="_Toc48688806"/>
      <w:bookmarkStart w:id="232" w:name="_Toc109897451"/>
      <w:bookmarkStart w:id="233" w:name="_Toc52960570"/>
      <w:bookmarkStart w:id="234" w:name="_Toc52960566"/>
      <w:bookmarkStart w:id="235" w:name="_Toc48846122"/>
      <w:bookmarkStart w:id="236" w:name="_Toc109899966"/>
      <w:bookmarkStart w:id="237" w:name="_Toc470172678"/>
      <w:bookmarkStart w:id="238" w:name="_Toc3324"/>
      <w:bookmarkStart w:id="239" w:name="_Toc46772254"/>
      <w:bookmarkStart w:id="240" w:name="_Toc109900385"/>
      <w:bookmarkStart w:id="241" w:name="_Toc46771653"/>
      <w:bookmarkStart w:id="242" w:name="_Toc52962740"/>
      <w:bookmarkStart w:id="243" w:name="_Toc48688802"/>
      <w:bookmarkStart w:id="244" w:name="_Toc109897448"/>
      <w:bookmarkStart w:id="245" w:name="_Toc51674224"/>
      <w:bookmarkStart w:id="246" w:name="_Toc109899547"/>
      <w:r>
        <w:rPr>
          <w:rFonts w:hint="eastAsia" w:ascii="宋体" w:hAnsi="宋体" w:eastAsia="宋体" w:cs="宋体"/>
          <w:b/>
          <w:bCs/>
          <w:color w:val="auto"/>
          <w:kern w:val="2"/>
          <w:sz w:val="24"/>
          <w:szCs w:val="24"/>
          <w:highlight w:val="none"/>
          <w:lang w:val="en-US" w:eastAsia="zh-CN" w:bidi="ar-SA"/>
        </w:rPr>
        <w:t>15.响应文件有效期</w:t>
      </w:r>
      <w:bookmarkEnd w:id="221"/>
      <w:bookmarkEnd w:id="222"/>
      <w:bookmarkEnd w:id="223"/>
      <w:bookmarkEnd w:id="224"/>
      <w:bookmarkEnd w:id="225"/>
      <w:bookmarkEnd w:id="226"/>
      <w:bookmarkEnd w:id="227"/>
      <w:bookmarkEnd w:id="228"/>
      <w:bookmarkEnd w:id="229"/>
      <w:bookmarkEnd w:id="230"/>
      <w:bookmarkEnd w:id="231"/>
      <w:bookmarkEnd w:id="232"/>
      <w:bookmarkEnd w:id="233"/>
    </w:p>
    <w:p w14:paraId="6C3E470C">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5</w:t>
      </w:r>
      <w:r>
        <w:rPr>
          <w:rFonts w:hint="eastAsia"/>
          <w:i w:val="0"/>
          <w:iCs w:val="0"/>
          <w:snapToGrid w:val="0"/>
          <w:color w:val="auto"/>
          <w:highlight w:val="none"/>
          <w:lang w:val="zh-CN"/>
        </w:rPr>
        <w:t>.1</w:t>
      </w:r>
      <w:r>
        <w:rPr>
          <w:rFonts w:hint="eastAsia"/>
          <w:i w:val="0"/>
          <w:iCs w:val="0"/>
          <w:snapToGrid w:val="0"/>
          <w:color w:val="auto"/>
          <w:highlight w:val="none"/>
          <w:lang w:val="en-US" w:eastAsia="zh-CN"/>
        </w:rPr>
        <w:t>供应商提交的</w:t>
      </w:r>
      <w:r>
        <w:rPr>
          <w:rFonts w:hint="eastAsia"/>
          <w:i w:val="0"/>
          <w:iCs w:val="0"/>
          <w:snapToGrid w:val="0"/>
          <w:color w:val="auto"/>
          <w:highlight w:val="none"/>
          <w:lang w:val="zh-CN"/>
        </w:rPr>
        <w:t>响应文件有效期见“供应商须知前附表”，磋商供应商承诺的响应文件</w:t>
      </w:r>
      <w:r>
        <w:rPr>
          <w:rFonts w:hint="eastAsia"/>
          <w:i w:val="0"/>
          <w:iCs w:val="0"/>
          <w:snapToGrid w:val="0"/>
          <w:color w:val="auto"/>
          <w:highlight w:val="none"/>
          <w:lang w:val="zh-CN" w:eastAsia="zh-CN"/>
        </w:rPr>
        <w:t>有效期少于</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文件规定期限的，其</w:t>
      </w:r>
      <w:r>
        <w:rPr>
          <w:rFonts w:hint="eastAsia"/>
          <w:b/>
          <w:bCs/>
          <w:i w:val="0"/>
          <w:iCs w:val="0"/>
          <w:snapToGrid w:val="0"/>
          <w:color w:val="auto"/>
          <w:highlight w:val="none"/>
          <w:lang w:val="en-US" w:eastAsia="zh-CN"/>
        </w:rPr>
        <w:t>响应</w:t>
      </w:r>
      <w:r>
        <w:rPr>
          <w:rFonts w:hint="eastAsia"/>
          <w:b/>
          <w:bCs/>
          <w:i w:val="0"/>
          <w:iCs w:val="0"/>
          <w:snapToGrid w:val="0"/>
          <w:color w:val="auto"/>
          <w:highlight w:val="none"/>
          <w:lang w:val="zh-CN" w:eastAsia="zh-CN"/>
        </w:rPr>
        <w:t>无效</w:t>
      </w:r>
      <w:r>
        <w:rPr>
          <w:rFonts w:hint="eastAsia"/>
          <w:i w:val="0"/>
          <w:iCs w:val="0"/>
          <w:snapToGrid w:val="0"/>
          <w:color w:val="auto"/>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default"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15.2 响应文件有效期从</w:t>
      </w:r>
      <w:r>
        <w:rPr>
          <w:rFonts w:hint="eastAsia" w:cstheme="minorBidi"/>
          <w:i w:val="0"/>
          <w:iCs w:val="0"/>
          <w:snapToGrid w:val="0"/>
          <w:color w:val="auto"/>
          <w:kern w:val="2"/>
          <w:sz w:val="24"/>
          <w:szCs w:val="22"/>
          <w:highlight w:val="none"/>
          <w:lang w:val="en-US" w:eastAsia="zh-CN" w:bidi="ar-SA"/>
        </w:rPr>
        <w:t>递交</w:t>
      </w:r>
      <w:r>
        <w:rPr>
          <w:rFonts w:hint="eastAsia" w:ascii="宋体" w:hAnsi="宋体" w:eastAsia="宋体" w:cstheme="minorBidi"/>
          <w:i w:val="0"/>
          <w:iCs w:val="0"/>
          <w:snapToGrid w:val="0"/>
          <w:color w:val="auto"/>
          <w:kern w:val="2"/>
          <w:sz w:val="24"/>
          <w:szCs w:val="22"/>
          <w:highlight w:val="none"/>
          <w:lang w:val="en-US" w:eastAsia="zh-CN" w:bidi="ar-SA"/>
        </w:rPr>
        <w:t>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3</w:t>
      </w:r>
      <w:r>
        <w:rPr>
          <w:rFonts w:hint="eastAsia" w:ascii="宋体" w:hAnsi="宋体" w:eastAsia="宋体" w:cstheme="minorBidi"/>
          <w:i w:val="0"/>
          <w:iCs w:val="0"/>
          <w:snapToGrid w:val="0"/>
          <w:color w:val="auto"/>
          <w:kern w:val="2"/>
          <w:sz w:val="24"/>
          <w:szCs w:val="22"/>
          <w:highlight w:val="none"/>
          <w:lang w:val="zh-CN" w:eastAsia="zh-CN" w:bidi="ar-SA"/>
        </w:rPr>
        <w:t>特殊情况下，在原响应文件有效期截止之前，采购代理机构或采购人</w:t>
      </w:r>
      <w:r>
        <w:rPr>
          <w:rFonts w:hint="eastAsia"/>
          <w:i w:val="0"/>
          <w:iCs w:val="0"/>
          <w:snapToGrid w:val="0"/>
          <w:color w:val="auto"/>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宋体"/>
          <w:i w:val="0"/>
          <w:iCs w:val="0"/>
          <w:snapToGrid w:val="0"/>
          <w:color w:val="auto"/>
          <w:szCs w:val="24"/>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供应商同意延长的，</w:t>
      </w:r>
      <w:r>
        <w:rPr>
          <w:rFonts w:hint="eastAsia" w:ascii="宋体" w:hAnsi="宋体" w:eastAsia="宋体" w:cstheme="minorBidi"/>
          <w:i w:val="0"/>
          <w:iCs w:val="0"/>
          <w:snapToGrid w:val="0"/>
          <w:color w:val="auto"/>
          <w:kern w:val="2"/>
          <w:sz w:val="24"/>
          <w:szCs w:val="22"/>
          <w:highlight w:val="none"/>
          <w:lang w:val="en-US" w:eastAsia="zh-CN" w:bidi="ar-SA"/>
        </w:rPr>
        <w:t>其磋商</w:t>
      </w:r>
      <w:r>
        <w:rPr>
          <w:rFonts w:hint="eastAsia" w:ascii="宋体" w:hAnsi="宋体" w:eastAsia="宋体" w:cs="宋体"/>
          <w:i w:val="0"/>
          <w:iCs w:val="0"/>
          <w:snapToGrid w:val="0"/>
          <w:color w:val="auto"/>
          <w:szCs w:val="24"/>
          <w:highlight w:val="none"/>
          <w:lang w:val="zh-CN"/>
        </w:rPr>
        <w:t>保证金的有效期也相应延长</w:t>
      </w:r>
      <w:r>
        <w:rPr>
          <w:rFonts w:hint="eastAsia" w:ascii="宋体" w:hAnsi="宋体" w:eastAsia="宋体" w:cs="宋体"/>
          <w:i w:val="0"/>
          <w:iCs w:val="0"/>
          <w:snapToGrid w:val="0"/>
          <w:color w:val="auto"/>
          <w:szCs w:val="24"/>
          <w:highlight w:val="none"/>
          <w:lang w:val="zh-CN" w:eastAsia="zh-CN"/>
        </w:rPr>
        <w:t>，</w:t>
      </w:r>
      <w:r>
        <w:rPr>
          <w:rFonts w:hint="eastAsia" w:cs="宋体"/>
          <w:i w:val="0"/>
          <w:iCs w:val="0"/>
          <w:snapToGrid w:val="0"/>
          <w:color w:val="auto"/>
          <w:szCs w:val="24"/>
          <w:highlight w:val="none"/>
          <w:lang w:val="zh-CN"/>
        </w:rPr>
        <w:t>不得要求或被允许修改或撤销其响应文件；供应商拒绝延长的，其响应文件在原响应文件有效期满后将不再有效</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但其提交的磋商保证金可予以退还</w:t>
      </w:r>
      <w:r>
        <w:rPr>
          <w:rFonts w:hint="eastAsia" w:cs="宋体"/>
          <w:i w:val="0"/>
          <w:iCs w:val="0"/>
          <w:snapToGrid w:val="0"/>
          <w:color w:val="auto"/>
          <w:szCs w:val="24"/>
          <w:highlight w:val="none"/>
          <w:lang w:val="zh-CN"/>
        </w:rPr>
        <w:t>。</w:t>
      </w:r>
    </w:p>
    <w:bookmarkEnd w:id="234"/>
    <w:bookmarkEnd w:id="235"/>
    <w:bookmarkEnd w:id="236"/>
    <w:bookmarkEnd w:id="237"/>
    <w:bookmarkEnd w:id="238"/>
    <w:bookmarkEnd w:id="239"/>
    <w:bookmarkEnd w:id="240"/>
    <w:bookmarkEnd w:id="241"/>
    <w:bookmarkEnd w:id="242"/>
    <w:bookmarkEnd w:id="243"/>
    <w:bookmarkEnd w:id="244"/>
    <w:bookmarkEnd w:id="245"/>
    <w:bookmarkEnd w:id="246"/>
    <w:p w14:paraId="26D695E6">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cs="仿宋_GB2312"/>
          <w:i w:val="0"/>
          <w:iCs w:val="0"/>
          <w:color w:val="auto"/>
          <w:szCs w:val="24"/>
          <w:highlight w:val="none"/>
        </w:rPr>
      </w:pPr>
      <w:r>
        <w:rPr>
          <w:rFonts w:cs="仿宋_GB2312"/>
          <w:i w:val="0"/>
          <w:iCs w:val="0"/>
          <w:color w:val="auto"/>
          <w:szCs w:val="24"/>
          <w:highlight w:val="none"/>
        </w:rPr>
        <w:t>1</w:t>
      </w:r>
      <w:r>
        <w:rPr>
          <w:rFonts w:hint="eastAsia" w:cs="仿宋_GB2312"/>
          <w:i w:val="0"/>
          <w:iCs w:val="0"/>
          <w:color w:val="auto"/>
          <w:szCs w:val="24"/>
          <w:highlight w:val="none"/>
          <w:lang w:val="en-US" w:eastAsia="zh-CN"/>
        </w:rPr>
        <w:t>6</w:t>
      </w: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文件应在供应商客户端中进行编制，在</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文件中要求加盖印章的，除有特殊说明之外，</w:t>
      </w:r>
      <w:r>
        <w:rPr>
          <w:rFonts w:hint="eastAsia" w:cs="仿宋_GB2312"/>
          <w:i w:val="0"/>
          <w:iCs w:val="0"/>
          <w:color w:val="auto"/>
          <w:szCs w:val="24"/>
          <w:highlight w:val="none"/>
          <w:lang w:val="en-US" w:eastAsia="zh-CN"/>
        </w:rPr>
        <w:t>可</w:t>
      </w:r>
      <w:r>
        <w:rPr>
          <w:rFonts w:hint="eastAsia" w:cs="仿宋_GB2312"/>
          <w:i w:val="0"/>
          <w:iCs w:val="0"/>
          <w:color w:val="auto"/>
          <w:szCs w:val="24"/>
          <w:highlight w:val="none"/>
        </w:rPr>
        <w:t>使用电子签章签署。</w:t>
      </w:r>
    </w:p>
    <w:p w14:paraId="6FD5FFC6">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1</w:t>
      </w:r>
      <w:r>
        <w:rPr>
          <w:rFonts w:hint="eastAsia"/>
          <w:i w:val="0"/>
          <w:iCs w:val="0"/>
          <w:color w:val="auto"/>
          <w:highlight w:val="none"/>
          <w:lang w:val="en-US" w:eastAsia="zh-CN"/>
        </w:rPr>
        <w:t>6</w:t>
      </w:r>
      <w:r>
        <w:rPr>
          <w:rFonts w:hint="eastAsia"/>
          <w:i w:val="0"/>
          <w:iCs w:val="0"/>
          <w:color w:val="auto"/>
          <w:highlight w:val="none"/>
        </w:rPr>
        <w:t>.</w:t>
      </w:r>
      <w:r>
        <w:rPr>
          <w:i w:val="0"/>
          <w:iCs w:val="0"/>
          <w:color w:val="auto"/>
          <w:highlight w:val="none"/>
        </w:rPr>
        <w:t>2</w:t>
      </w:r>
      <w:r>
        <w:rPr>
          <w:rFonts w:hint="eastAsia"/>
          <w:i w:val="0"/>
          <w:iCs w:val="0"/>
          <w:color w:val="auto"/>
          <w:highlight w:val="none"/>
          <w:lang w:val="en-US" w:eastAsia="zh-CN"/>
        </w:rPr>
        <w:t>供应商</w:t>
      </w:r>
      <w:r>
        <w:rPr>
          <w:rFonts w:hint="eastAsia"/>
          <w:i w:val="0"/>
          <w:iCs w:val="0"/>
          <w:color w:val="auto"/>
          <w:highlight w:val="none"/>
        </w:rPr>
        <w:t>在供应商客户端中按照供应商客户端中的格式要求填写响应内容后，生成</w:t>
      </w:r>
      <w:r>
        <w:rPr>
          <w:rFonts w:hint="eastAsia" w:cs="仿宋_GB2312"/>
          <w:i w:val="0"/>
          <w:iCs w:val="0"/>
          <w:color w:val="auto"/>
          <w:szCs w:val="24"/>
          <w:highlight w:val="none"/>
          <w:lang w:val="en-US" w:eastAsia="zh-CN"/>
        </w:rPr>
        <w:t>响应</w:t>
      </w:r>
      <w:r>
        <w:rPr>
          <w:rFonts w:hint="eastAsia"/>
          <w:i w:val="0"/>
          <w:iCs w:val="0"/>
          <w:color w:val="auto"/>
          <w:highlight w:val="none"/>
        </w:rPr>
        <w:t>文件。</w:t>
      </w:r>
      <w:r>
        <w:rPr>
          <w:rFonts w:hint="eastAsia"/>
          <w:i w:val="0"/>
          <w:iCs w:val="0"/>
          <w:color w:val="auto"/>
          <w:highlight w:val="none"/>
          <w:lang w:val="en-US" w:eastAsia="zh-CN"/>
        </w:rPr>
        <w:t>供应商</w:t>
      </w:r>
      <w:r>
        <w:rPr>
          <w:rFonts w:hint="eastAsia"/>
          <w:i w:val="0"/>
          <w:iCs w:val="0"/>
          <w:color w:val="auto"/>
          <w:highlight w:val="none"/>
        </w:rPr>
        <w:t>须按照</w:t>
      </w:r>
      <w:r>
        <w:rPr>
          <w:rFonts w:hint="eastAsia"/>
          <w:i w:val="0"/>
          <w:iCs w:val="0"/>
          <w:color w:val="auto"/>
          <w:highlight w:val="none"/>
          <w:lang w:val="en-US" w:eastAsia="zh-CN"/>
        </w:rPr>
        <w:t>竞争性磋商</w:t>
      </w:r>
      <w:r>
        <w:rPr>
          <w:rFonts w:hint="eastAsia"/>
          <w:i w:val="0"/>
          <w:iCs w:val="0"/>
          <w:color w:val="auto"/>
          <w:highlight w:val="none"/>
        </w:rPr>
        <w:t>文件的要求对要求加盖印章的部分逐一进行签章。</w:t>
      </w:r>
    </w:p>
    <w:p w14:paraId="4BB98241">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3供应商</w:t>
      </w:r>
      <w:r>
        <w:rPr>
          <w:rFonts w:hint="eastAsia" w:ascii="宋体" w:hAnsi="宋体" w:eastAsia="宋体"/>
          <w:i w:val="0"/>
          <w:iCs w:val="0"/>
          <w:color w:val="auto"/>
          <w:highlight w:val="none"/>
        </w:rPr>
        <w:t>应详细阅读</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文件的全部内容。</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文件须对</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文件中的内容作出实质性和完整的响应，如果</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文件填报的内容不详，或没有提供</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文件中所要求的全部资料及数据，</w:t>
      </w:r>
      <w:r>
        <w:rPr>
          <w:rFonts w:hint="eastAsia" w:ascii="宋体" w:hAnsi="宋体" w:eastAsia="宋体"/>
          <w:b w:val="0"/>
          <w:bCs w:val="0"/>
          <w:i w:val="0"/>
          <w:iCs w:val="0"/>
          <w:color w:val="auto"/>
          <w:highlight w:val="none"/>
        </w:rPr>
        <w:t>将可能</w:t>
      </w:r>
      <w:r>
        <w:rPr>
          <w:rFonts w:hint="eastAsia" w:ascii="宋体" w:hAnsi="宋体" w:eastAsia="宋体"/>
          <w:b/>
          <w:bCs/>
          <w:i w:val="0"/>
          <w:iCs w:val="0"/>
          <w:color w:val="auto"/>
          <w:highlight w:val="none"/>
        </w:rPr>
        <w:t>导致</w:t>
      </w:r>
      <w:r>
        <w:rPr>
          <w:rFonts w:hint="eastAsia"/>
          <w:b/>
          <w:bCs/>
          <w:i w:val="0"/>
          <w:iCs w:val="0"/>
          <w:color w:val="auto"/>
          <w:highlight w:val="none"/>
          <w:lang w:val="en-US" w:eastAsia="zh-CN"/>
        </w:rPr>
        <w:t>其</w:t>
      </w:r>
      <w:r>
        <w:rPr>
          <w:rFonts w:hint="eastAsia"/>
          <w:b/>
          <w:bCs/>
          <w:i w:val="0"/>
          <w:iCs w:val="0"/>
          <w:color w:val="auto"/>
          <w:highlight w:val="none"/>
          <w:lang w:eastAsia="zh-CN"/>
        </w:rPr>
        <w:t>响应</w:t>
      </w:r>
      <w:r>
        <w:rPr>
          <w:rFonts w:hint="eastAsia"/>
          <w:b/>
          <w:bCs/>
          <w:i w:val="0"/>
          <w:iCs w:val="0"/>
          <w:color w:val="auto"/>
          <w:highlight w:val="none"/>
          <w:lang w:val="en-US" w:eastAsia="zh-CN"/>
        </w:rPr>
        <w:t>无效</w:t>
      </w:r>
      <w:r>
        <w:rPr>
          <w:rFonts w:hint="eastAsia" w:ascii="宋体" w:hAnsi="宋体" w:eastAsia="宋体"/>
          <w:i w:val="0"/>
          <w:iCs w:val="0"/>
          <w:color w:val="auto"/>
          <w:highlight w:val="none"/>
        </w:rPr>
        <w:t>。</w:t>
      </w:r>
    </w:p>
    <w:p w14:paraId="2084E86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4响应</w:t>
      </w:r>
      <w:r>
        <w:rPr>
          <w:rFonts w:hint="eastAsia" w:ascii="宋体" w:hAnsi="宋体" w:eastAsia="宋体"/>
          <w:i w:val="0"/>
          <w:iCs w:val="0"/>
          <w:color w:val="auto"/>
          <w:highlight w:val="none"/>
        </w:rPr>
        <w:t>文件须严格按照</w:t>
      </w:r>
      <w:r>
        <w:rPr>
          <w:rFonts w:hint="eastAsia" w:ascii="宋体" w:hAnsi="宋体" w:eastAsia="宋体"/>
          <w:i w:val="0"/>
          <w:iCs w:val="0"/>
          <w:color w:val="auto"/>
          <w:highlight w:val="none"/>
          <w:lang w:val="en-US" w:eastAsia="zh-CN"/>
        </w:rPr>
        <w:t>本竞争性磋商</w:t>
      </w:r>
      <w:r>
        <w:rPr>
          <w:rFonts w:hint="eastAsia" w:ascii="宋体" w:hAnsi="宋体" w:eastAsia="宋体"/>
          <w:i w:val="0"/>
          <w:iCs w:val="0"/>
          <w:color w:val="auto"/>
          <w:highlight w:val="none"/>
        </w:rPr>
        <w:t>文件第</w:t>
      </w:r>
      <w:r>
        <w:rPr>
          <w:rFonts w:hint="eastAsia" w:ascii="宋体" w:hAnsi="宋体" w:eastAsia="宋体"/>
          <w:i w:val="0"/>
          <w:iCs w:val="0"/>
          <w:color w:val="auto"/>
          <w:highlight w:val="none"/>
          <w:lang w:val="en-US" w:eastAsia="zh-CN"/>
        </w:rPr>
        <w:t>六章</w:t>
      </w:r>
      <w:r>
        <w:rPr>
          <w:rFonts w:hint="eastAsia" w:ascii="宋体" w:hAnsi="宋体" w:eastAsia="宋体"/>
          <w:i w:val="0"/>
          <w:iCs w:val="0"/>
          <w:color w:val="auto"/>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文件被误读或查找不到，其责任由</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承担。</w:t>
      </w:r>
    </w:p>
    <w:p w14:paraId="71265CA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5供应商</w:t>
      </w:r>
      <w:r>
        <w:rPr>
          <w:rFonts w:hint="eastAsia" w:ascii="宋体" w:hAnsi="宋体" w:eastAsia="宋体"/>
          <w:i w:val="0"/>
          <w:iCs w:val="0"/>
          <w:color w:val="auto"/>
          <w:highlight w:val="none"/>
        </w:rPr>
        <w:t>须注意：为合理节约政府采购评审成本，提倡诚实信用的</w:t>
      </w:r>
      <w:r>
        <w:rPr>
          <w:rFonts w:hint="eastAsia" w:ascii="宋体" w:hAnsi="宋体" w:eastAsia="宋体"/>
          <w:i w:val="0"/>
          <w:iCs w:val="0"/>
          <w:color w:val="auto"/>
          <w:highlight w:val="none"/>
          <w:lang w:val="en-US" w:eastAsia="zh-CN"/>
        </w:rPr>
        <w:t>磋商</w:t>
      </w:r>
      <w:r>
        <w:rPr>
          <w:rFonts w:hint="eastAsia" w:ascii="宋体" w:hAnsi="宋体" w:eastAsia="宋体"/>
          <w:i w:val="0"/>
          <w:iCs w:val="0"/>
          <w:color w:val="auto"/>
          <w:highlight w:val="none"/>
        </w:rPr>
        <w:t>行为，特别要求</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应本着诚信精神，在本次</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文件的偏离表中，均以审慎的态度明确、清楚地披露各项偏离。若</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对某一事项是否存在或是否属于偏离不能确定，亦必须在偏离表中清楚地表明该偏离事项，并可以注明不能确定的字样。任何情况下，对于</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没有在偏离表中明确、清楚地披露的事项，包括可能属于被</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在偏离表中遗漏披露的事项，一旦在评审中被发现存在偏离或被认定为属于偏离，则评</w:t>
      </w:r>
      <w:r>
        <w:rPr>
          <w:rFonts w:hint="eastAsia" w:ascii="宋体" w:hAnsi="宋体" w:eastAsia="宋体"/>
          <w:i w:val="0"/>
          <w:iCs w:val="0"/>
          <w:color w:val="auto"/>
          <w:highlight w:val="none"/>
          <w:lang w:val="en-US" w:eastAsia="zh-CN"/>
        </w:rPr>
        <w:t>审</w:t>
      </w:r>
      <w:r>
        <w:rPr>
          <w:rFonts w:hint="eastAsia" w:ascii="宋体" w:hAnsi="宋体" w:eastAsia="宋体"/>
          <w:i w:val="0"/>
          <w:iCs w:val="0"/>
          <w:color w:val="auto"/>
          <w:highlight w:val="none"/>
        </w:rPr>
        <w:t>委员会有权视具体情形评审时予以处理，</w:t>
      </w:r>
      <w:r>
        <w:rPr>
          <w:rFonts w:hint="eastAsia" w:ascii="宋体" w:hAnsi="宋体" w:eastAsia="宋体"/>
          <w:b/>
          <w:bCs/>
          <w:i w:val="0"/>
          <w:iCs w:val="0"/>
          <w:color w:val="auto"/>
          <w:highlight w:val="none"/>
        </w:rPr>
        <w:t>将可能导致</w:t>
      </w:r>
      <w:r>
        <w:rPr>
          <w:rFonts w:hint="eastAsia"/>
          <w:b/>
          <w:bCs/>
          <w:i w:val="0"/>
          <w:iCs w:val="0"/>
          <w:color w:val="auto"/>
          <w:highlight w:val="none"/>
          <w:lang w:eastAsia="zh-CN"/>
        </w:rPr>
        <w:t>响应</w:t>
      </w:r>
      <w:r>
        <w:rPr>
          <w:rFonts w:hint="eastAsia"/>
          <w:b/>
          <w:bCs/>
          <w:i w:val="0"/>
          <w:iCs w:val="0"/>
          <w:color w:val="auto"/>
          <w:highlight w:val="none"/>
          <w:lang w:val="en-US" w:eastAsia="zh-CN"/>
        </w:rPr>
        <w:t>无效</w:t>
      </w:r>
      <w:r>
        <w:rPr>
          <w:rFonts w:hint="eastAsia" w:ascii="宋体" w:hAnsi="宋体" w:eastAsia="宋体"/>
          <w:i w:val="0"/>
          <w:iCs w:val="0"/>
          <w:color w:val="auto"/>
          <w:highlight w:val="none"/>
        </w:rPr>
        <w:t>。</w:t>
      </w:r>
    </w:p>
    <w:p w14:paraId="76CE475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i w:val="0"/>
          <w:iCs w:val="0"/>
          <w:color w:val="auto"/>
          <w:highlight w:val="none"/>
          <w:lang w:val="en-US" w:eastAsia="zh-CN"/>
        </w:rPr>
        <w:t>6</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必须保证</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文件所提供的全部资料</w:t>
      </w:r>
      <w:r>
        <w:rPr>
          <w:rFonts w:hint="eastAsia"/>
          <w:i w:val="0"/>
          <w:iCs w:val="0"/>
          <w:color w:val="auto"/>
          <w:highlight w:val="none"/>
          <w:lang w:eastAsia="zh-CN"/>
        </w:rPr>
        <w:t>合法、</w:t>
      </w:r>
      <w:r>
        <w:rPr>
          <w:rFonts w:hint="eastAsia" w:ascii="宋体" w:hAnsi="宋体" w:eastAsia="宋体"/>
          <w:i w:val="0"/>
          <w:iCs w:val="0"/>
          <w:color w:val="auto"/>
          <w:highlight w:val="none"/>
        </w:rPr>
        <w:t>真实可靠，并接受采购</w:t>
      </w:r>
      <w:r>
        <w:rPr>
          <w:rFonts w:hint="eastAsia" w:ascii="宋体" w:hAnsi="宋体" w:eastAsia="宋体"/>
          <w:i w:val="0"/>
          <w:iCs w:val="0"/>
          <w:color w:val="auto"/>
          <w:highlight w:val="none"/>
          <w:lang w:val="en-US" w:eastAsia="zh-CN"/>
        </w:rPr>
        <w:t>人、采购</w:t>
      </w:r>
      <w:r>
        <w:rPr>
          <w:rFonts w:hint="eastAsia" w:ascii="宋体" w:hAnsi="宋体" w:eastAsia="宋体"/>
          <w:i w:val="0"/>
          <w:iCs w:val="0"/>
          <w:color w:val="auto"/>
          <w:highlight w:val="none"/>
        </w:rPr>
        <w:t>代理机构或评</w:t>
      </w:r>
      <w:r>
        <w:rPr>
          <w:rFonts w:hint="eastAsia" w:ascii="宋体" w:hAnsi="宋体" w:eastAsia="宋体"/>
          <w:i w:val="0"/>
          <w:iCs w:val="0"/>
          <w:color w:val="auto"/>
          <w:highlight w:val="none"/>
          <w:lang w:val="en-US" w:eastAsia="zh-CN"/>
        </w:rPr>
        <w:t>审</w:t>
      </w:r>
      <w:r>
        <w:rPr>
          <w:rFonts w:hint="eastAsia" w:ascii="宋体" w:hAnsi="宋体" w:eastAsia="宋体"/>
          <w:i w:val="0"/>
          <w:iCs w:val="0"/>
          <w:color w:val="auto"/>
          <w:highlight w:val="none"/>
        </w:rPr>
        <w:t>委员会对其中任何资料进一步审查的要求。</w:t>
      </w:r>
    </w:p>
    <w:p w14:paraId="4AA7F602">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7供应商</w:t>
      </w:r>
      <w:r>
        <w:rPr>
          <w:rFonts w:hint="eastAsia" w:ascii="宋体" w:hAnsi="宋体" w:eastAsia="宋体"/>
          <w:i w:val="0"/>
          <w:iCs w:val="0"/>
          <w:color w:val="auto"/>
          <w:highlight w:val="none"/>
        </w:rPr>
        <w:t>在</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i w:val="0"/>
          <w:iCs w:val="0"/>
          <w:color w:val="auto"/>
          <w:highlight w:val="none"/>
        </w:rPr>
        <w:t>无效</w:t>
      </w:r>
      <w:r>
        <w:rPr>
          <w:rFonts w:hint="eastAsia" w:ascii="宋体" w:hAnsi="宋体" w:eastAsia="宋体"/>
          <w:b/>
          <w:bCs/>
          <w:i w:val="0"/>
          <w:iCs w:val="0"/>
          <w:color w:val="auto"/>
          <w:highlight w:val="none"/>
          <w:lang w:val="en-US" w:eastAsia="zh-CN"/>
        </w:rPr>
        <w:t>响应</w:t>
      </w:r>
      <w:r>
        <w:rPr>
          <w:rFonts w:hint="eastAsia" w:ascii="宋体" w:hAnsi="宋体" w:eastAsia="宋体"/>
          <w:i w:val="0"/>
          <w:iCs w:val="0"/>
          <w:color w:val="auto"/>
          <w:highlight w:val="none"/>
        </w:rPr>
        <w:t>处理。</w:t>
      </w:r>
    </w:p>
    <w:p w14:paraId="1479B75C">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16.8电子响应文件的编制</w:t>
      </w:r>
    </w:p>
    <w:p w14:paraId="4E46BA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16.</w:t>
      </w:r>
      <w:r>
        <w:rPr>
          <w:rFonts w:hint="eastAsia" w:cstheme="minorBidi"/>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w:t>
      </w:r>
      <w:r>
        <w:rPr>
          <w:rFonts w:hint="eastAsia" w:cstheme="minorBidi"/>
          <w:i w:val="0"/>
          <w:iCs w:val="0"/>
          <w:color w:val="auto"/>
          <w:kern w:val="2"/>
          <w:sz w:val="24"/>
          <w:szCs w:val="22"/>
          <w:highlight w:val="none"/>
          <w:shd w:val="clear" w:color="auto" w:fill="FFFFFF" w:themeFill="background1"/>
          <w:lang w:val="en-US" w:eastAsia="zh-CN" w:bidi="ar-SA"/>
        </w:rPr>
        <w:t>被</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视为无效响应文件，</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其响应无效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p>
    <w:p w14:paraId="72852751">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7" w:name="_Toc109899971"/>
      <w:bookmarkStart w:id="248" w:name="_Toc109899552"/>
      <w:bookmarkStart w:id="249" w:name="_Toc109900390"/>
      <w:bookmarkStart w:id="250" w:name="_Toc46771659"/>
      <w:bookmarkStart w:id="251" w:name="_Toc470172684"/>
      <w:bookmarkStart w:id="252" w:name="_Toc109897453"/>
      <w:bookmarkStart w:id="253" w:name="_Toc163493614"/>
      <w:bookmarkStart w:id="254" w:name="_Toc24738"/>
      <w:r>
        <w:rPr>
          <w:rFonts w:hint="eastAsia" w:ascii="宋体" w:hAnsi="宋体" w:eastAsia="宋体" w:cs="宋体"/>
          <w:b/>
          <w:bCs/>
          <w:color w:val="auto"/>
          <w:kern w:val="2"/>
          <w:sz w:val="24"/>
          <w:szCs w:val="24"/>
          <w:highlight w:val="none"/>
          <w:lang w:val="en-US" w:eastAsia="zh-CN" w:bidi="ar-SA"/>
        </w:rPr>
        <w:t>（四）响应文件的</w:t>
      </w:r>
      <w:bookmarkEnd w:id="247"/>
      <w:bookmarkEnd w:id="248"/>
      <w:bookmarkEnd w:id="249"/>
      <w:bookmarkEnd w:id="250"/>
      <w:bookmarkEnd w:id="251"/>
      <w:bookmarkEnd w:id="252"/>
      <w:r>
        <w:rPr>
          <w:rFonts w:hint="eastAsia" w:ascii="宋体" w:hAnsi="宋体" w:eastAsia="宋体" w:cs="宋体"/>
          <w:b/>
          <w:bCs/>
          <w:color w:val="auto"/>
          <w:kern w:val="2"/>
          <w:sz w:val="24"/>
          <w:szCs w:val="24"/>
          <w:highlight w:val="none"/>
          <w:lang w:val="en-US" w:eastAsia="zh-CN" w:bidi="ar-SA"/>
        </w:rPr>
        <w:t>递交</w:t>
      </w:r>
      <w:bookmarkEnd w:id="253"/>
      <w:bookmarkEnd w:id="254"/>
    </w:p>
    <w:p w14:paraId="01810122">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5" w:name="_Toc109897552"/>
      <w:bookmarkStart w:id="256" w:name="_Toc109900070"/>
      <w:bookmarkStart w:id="257" w:name="_Toc109899651"/>
      <w:bookmarkStart w:id="258" w:name="_Toc109900489"/>
      <w:bookmarkStart w:id="259" w:name="_Toc156490296"/>
      <w:bookmarkStart w:id="260" w:name="_Toc155095707"/>
      <w:bookmarkStart w:id="261" w:name="_Toc109900490"/>
      <w:bookmarkStart w:id="262" w:name="_Toc109900071"/>
      <w:bookmarkStart w:id="263" w:name="_Toc109899652"/>
      <w:bookmarkStart w:id="264" w:name="_Toc109897553"/>
      <w:bookmarkStart w:id="265" w:name="_Toc155095708"/>
      <w:bookmarkStart w:id="266" w:name="_Toc156490297"/>
      <w:r>
        <w:rPr>
          <w:rFonts w:hint="eastAsia" w:ascii="宋体" w:hAnsi="宋体" w:eastAsia="宋体" w:cs="宋体"/>
          <w:b/>
          <w:bCs/>
          <w:color w:val="auto"/>
          <w:kern w:val="2"/>
          <w:sz w:val="24"/>
          <w:szCs w:val="24"/>
          <w:highlight w:val="none"/>
          <w:lang w:val="en-US" w:eastAsia="zh-CN" w:bidi="ar-SA"/>
        </w:rPr>
        <w:t>17.磋商保证金</w:t>
      </w:r>
    </w:p>
    <w:p w14:paraId="73827BB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97B87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w:t>
      </w:r>
      <w:r>
        <w:rPr>
          <w:rFonts w:hint="eastAsia" w:cstheme="minorBidi"/>
          <w:i w:val="0"/>
          <w:iCs w:val="0"/>
          <w:color w:val="auto"/>
          <w:kern w:val="2"/>
          <w:sz w:val="24"/>
          <w:szCs w:val="22"/>
          <w:highlight w:val="none"/>
          <w:shd w:val="clear" w:color="auto" w:fill="FFFFFF" w:themeFill="background1"/>
          <w:lang w:val="en-US" w:eastAsia="zh-CN" w:bidi="ar-SA"/>
        </w:rPr>
        <w:t>磋商文件</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要求提交磋商保证金的，</w:t>
      </w:r>
      <w:r>
        <w:rPr>
          <w:rFonts w:hint="eastAsia" w:cstheme="minorBidi"/>
          <w:i w:val="0"/>
          <w:iCs w:val="0"/>
          <w:color w:val="auto"/>
          <w:kern w:val="2"/>
          <w:sz w:val="24"/>
          <w:szCs w:val="22"/>
          <w:highlight w:val="none"/>
          <w:shd w:val="clear" w:color="auto" w:fill="FFFFFF" w:themeFill="background1"/>
          <w:lang w:val="en-US" w:eastAsia="zh-CN" w:bidi="ar-SA"/>
        </w:rPr>
        <w:t>其</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响应无效。</w:t>
      </w:r>
      <w:r>
        <w:rPr>
          <w:rFonts w:hint="eastAsia"/>
          <w:i w:val="0"/>
          <w:iCs w:val="0"/>
          <w:color w:val="auto"/>
          <w:highlight w:val="none"/>
          <w:lang w:val="en-US" w:eastAsia="zh-CN"/>
        </w:rPr>
        <w:t>磋商保证金有效期同响应文件有效期。</w:t>
      </w:r>
    </w:p>
    <w:p w14:paraId="2C5506AD">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theme="minorBidi"/>
          <w:b w:val="0"/>
          <w:bCs w:val="0"/>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其响应无效。</w:t>
      </w:r>
    </w:p>
    <w:p w14:paraId="4AA52D7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为联合体的，可以由联合体中的一方或者多方共同交纳</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保证金，其交纳的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保证金对联合体各方均具有约束力。</w:t>
      </w:r>
    </w:p>
    <w:p w14:paraId="25D6B141">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采购人或者采购代理机构应当在采购活动结束后及时退还供应商的磋商保证金，采用银行保函、担保机构担保函等形式递交的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同意后采购人、采购代理机构可以不再退还，但因供应商自身原因导致无法及时退还的除外。未成交供应商的磋商保证金应当自</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成交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通知书发出之日起 5 个工作日内退还，成交供应商的磋商保证金应当自采购合同签订之日起 5 个工作日内退还。 </w:t>
      </w:r>
    </w:p>
    <w:p w14:paraId="48C6EAF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6</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在</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响应文件递交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截止时间前撤回已</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提</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文件的，自收到</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书面撤回通知之日起 5 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保证金，但因</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自身原因导致无法及时退还的除外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6C0BF0B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终止</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磋商的</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项目已经收取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保证金的，自终止采购活动后5个工作日内退还已收取的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保证金及其在银行产生的孳息。</w:t>
      </w:r>
    </w:p>
    <w:p w14:paraId="4DB32745">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有下列情形之一的，磋商保证金不予退还</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宋体"/>
          <w:i w:val="0"/>
          <w:iCs w:val="0"/>
          <w:color w:val="auto"/>
          <w:kern w:val="2"/>
          <w:sz w:val="24"/>
          <w:szCs w:val="22"/>
          <w:highlight w:val="none"/>
        </w:rPr>
        <w:t>情节严重的将其列入不良记录名单</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5C9DB4AF">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17.8.1</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供应商在提交响应文件截止时间后撤回响应文件的； </w:t>
      </w:r>
    </w:p>
    <w:p w14:paraId="6F6CEDEA">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17.8.2</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供应商在响应文件中提供虚假材料的； </w:t>
      </w:r>
    </w:p>
    <w:p w14:paraId="5E5A9216">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17.8.3</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除因不可抗力或磋商文件认可的情形以外，成交供应商不与采购人签订合同的； </w:t>
      </w:r>
    </w:p>
    <w:p w14:paraId="32224D53">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供应商与采购人、其他供应商或者采购代理机构恶意串通的； </w:t>
      </w:r>
    </w:p>
    <w:p w14:paraId="224A39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磋商文件规定的其他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情形。</w:t>
      </w:r>
    </w:p>
    <w:p w14:paraId="69CC8DC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 政府采购网”—顶部通栏“信用融资”或者“ 政府采购网”首页“政采贷｜电子保函”快捷模块查看：</w:t>
      </w:r>
    </w:p>
    <w:p w14:paraId="1F3A8C5E">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直达链接（电子保函）：</w:t>
      </w:r>
    </w:p>
    <w:p w14:paraId="15E30E92">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56"/>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 xml:space="preserve">金融服务支撑热线：0991-2661159     </w:t>
      </w:r>
    </w:p>
    <w:p w14:paraId="784B786D">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55"/>
      <w:bookmarkEnd w:id="256"/>
      <w:bookmarkEnd w:id="257"/>
      <w:bookmarkEnd w:id="258"/>
      <w:r>
        <w:rPr>
          <w:rFonts w:hint="eastAsia" w:ascii="宋体" w:hAnsi="宋体" w:eastAsia="宋体" w:cs="宋体"/>
          <w:b/>
          <w:bCs/>
          <w:color w:val="auto"/>
          <w:kern w:val="2"/>
          <w:sz w:val="24"/>
          <w:szCs w:val="24"/>
          <w:highlight w:val="none"/>
          <w:lang w:val="en-US" w:eastAsia="zh-CN" w:bidi="ar-SA"/>
        </w:rPr>
        <w:t>加密</w:t>
      </w:r>
      <w:bookmarkEnd w:id="259"/>
      <w:bookmarkEnd w:id="260"/>
    </w:p>
    <w:p w14:paraId="105C769D">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18.1 </w:t>
      </w:r>
      <w:r>
        <w:rPr>
          <w:rFonts w:hint="eastAsia"/>
          <w:i w:val="0"/>
          <w:iCs w:val="0"/>
          <w:snapToGrid w:val="0"/>
          <w:color w:val="auto"/>
          <w:highlight w:val="none"/>
          <w:lang w:val="zh-CN"/>
        </w:rPr>
        <w:t>供应商在供应商客户端中生成响应文件并完成签章之后，使用CA证书在供应商客户端中对响应文件进行加密。</w:t>
      </w:r>
    </w:p>
    <w:p w14:paraId="0AE412D5">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18.2 </w:t>
      </w:r>
      <w:r>
        <w:rPr>
          <w:rFonts w:hint="eastAsia"/>
          <w:i w:val="0"/>
          <w:iCs w:val="0"/>
          <w:snapToGrid w:val="0"/>
          <w:color w:val="auto"/>
          <w:highlight w:val="none"/>
          <w:lang w:val="zh-CN"/>
        </w:rPr>
        <w:t>供应商应在供应商客户端中对加密的响应文件进行解密验证，以防止响应文件加密异常，在开启时无法解密。</w:t>
      </w:r>
    </w:p>
    <w:p w14:paraId="79A877BA">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 xml:space="preserve">18.3 </w:t>
      </w:r>
      <w:r>
        <w:rPr>
          <w:rFonts w:hint="eastAsia"/>
          <w:i w:val="0"/>
          <w:iCs w:val="0"/>
          <w:snapToGrid w:val="0"/>
          <w:color w:val="auto"/>
          <w:highlight w:val="none"/>
          <w:lang w:val="zh-CN"/>
        </w:rPr>
        <w:t>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4</w:t>
      </w:r>
      <w:r>
        <w:rPr>
          <w:rFonts w:hint="eastAsia"/>
          <w:i w:val="0"/>
          <w:iCs w:val="0"/>
          <w:snapToGrid w:val="0"/>
          <w:color w:val="auto"/>
          <w:highlight w:val="none"/>
          <w:lang w:val="zh-CN"/>
        </w:rPr>
        <w:t>供应商</w:t>
      </w:r>
      <w:r>
        <w:rPr>
          <w:rFonts w:hint="eastAsia" w:cs="仿宋_GB2312"/>
          <w:i w:val="0"/>
          <w:iCs w:val="0"/>
          <w:color w:val="auto"/>
          <w:szCs w:val="24"/>
          <w:highlight w:val="none"/>
        </w:rPr>
        <w:t>在</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w:t>
      </w:r>
      <w:r>
        <w:rPr>
          <w:rFonts w:hint="eastAsia" w:cs="仿宋_GB2312"/>
          <w:i w:val="0"/>
          <w:iCs w:val="0"/>
          <w:color w:val="auto"/>
          <w:szCs w:val="24"/>
          <w:highlight w:val="none"/>
          <w:lang w:val="en-US" w:eastAsia="zh-CN"/>
        </w:rPr>
        <w:t>止</w:t>
      </w:r>
      <w:r>
        <w:rPr>
          <w:rFonts w:hint="eastAsia" w:cs="仿宋_GB2312"/>
          <w:i w:val="0"/>
          <w:iCs w:val="0"/>
          <w:color w:val="auto"/>
          <w:szCs w:val="24"/>
          <w:highlight w:val="none"/>
        </w:rPr>
        <w:t>时间前通过</w:t>
      </w:r>
      <w:r>
        <w:rPr>
          <w:rFonts w:hint="eastAsia" w:cs="仿宋_GB2312"/>
          <w:i w:val="0"/>
          <w:iCs w:val="0"/>
          <w:color w:val="auto"/>
          <w:szCs w:val="24"/>
          <w:highlight w:val="none"/>
          <w:lang w:val="en-US" w:eastAsia="zh-CN"/>
        </w:rPr>
        <w:t xml:space="preserve"> </w:t>
      </w:r>
      <w:r>
        <w:rPr>
          <w:rFonts w:hint="eastAsia" w:cs="仿宋_GB2312"/>
          <w:i w:val="0"/>
          <w:iCs w:val="0"/>
          <w:color w:val="auto"/>
          <w:szCs w:val="24"/>
          <w:highlight w:val="none"/>
        </w:rPr>
        <w:t>政府采购网（http://ccgp-bingtuan.gov.cn/）的”政采云登录入口”登录后，将加密电子</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ascii="宋体" w:hAnsi="宋体" w:eastAsia="宋体" w:cs="仿宋_GB2312"/>
          <w:i w:val="0"/>
          <w:iCs w:val="0"/>
          <w:color w:val="auto"/>
          <w:szCs w:val="24"/>
          <w:highlight w:val="none"/>
        </w:rPr>
        <w:t>（为.jmbs后缀格式）</w:t>
      </w:r>
      <w:r>
        <w:rPr>
          <w:rFonts w:hint="eastAsia" w:cs="仿宋_GB2312"/>
          <w:i w:val="0"/>
          <w:iCs w:val="0"/>
          <w:color w:val="auto"/>
          <w:szCs w:val="24"/>
          <w:highlight w:val="none"/>
        </w:rPr>
        <w:t>上传到对应项目的指定位置</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认为有必要提交的其他资料请于</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5</w:t>
      </w:r>
      <w:r>
        <w:rPr>
          <w:rFonts w:hint="eastAsia" w:cs="仿宋_GB2312"/>
          <w:i w:val="0"/>
          <w:iCs w:val="0"/>
          <w:color w:val="auto"/>
          <w:szCs w:val="24"/>
          <w:highlight w:val="none"/>
        </w:rPr>
        <w:t>如果</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未按上述要求</w:t>
      </w:r>
      <w:r>
        <w:rPr>
          <w:rFonts w:hint="eastAsia" w:cs="仿宋_GB2312"/>
          <w:i w:val="0"/>
          <w:iCs w:val="0"/>
          <w:color w:val="auto"/>
          <w:szCs w:val="24"/>
          <w:highlight w:val="none"/>
          <w:lang w:val="en-US" w:eastAsia="zh-CN"/>
        </w:rPr>
        <w:t>加密并上传</w:t>
      </w:r>
      <w:r>
        <w:rPr>
          <w:rFonts w:hint="eastAsia" w:cs="仿宋_GB2312"/>
          <w:i w:val="0"/>
          <w:iCs w:val="0"/>
          <w:color w:val="auto"/>
          <w:szCs w:val="24"/>
          <w:highlight w:val="none"/>
        </w:rPr>
        <w:t>，采购代理机构对</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文件的误投</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无法解密、传输错误等问题</w:t>
      </w:r>
      <w:r>
        <w:rPr>
          <w:rFonts w:hint="eastAsia" w:cs="仿宋_GB2312"/>
          <w:i w:val="0"/>
          <w:iCs w:val="0"/>
          <w:color w:val="auto"/>
          <w:szCs w:val="24"/>
          <w:highlight w:val="none"/>
        </w:rPr>
        <w:t>概不负责。对由此造成</w:t>
      </w:r>
      <w:r>
        <w:rPr>
          <w:rFonts w:hint="eastAsia" w:cs="仿宋_GB2312"/>
          <w:i w:val="0"/>
          <w:iCs w:val="0"/>
          <w:color w:val="auto"/>
          <w:szCs w:val="24"/>
          <w:highlight w:val="none"/>
          <w:lang w:val="en-US" w:eastAsia="zh-CN"/>
        </w:rPr>
        <w:t>无法正常开启</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文件，采购代理机构有权予以拒绝，并退回</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w:t>
      </w:r>
    </w:p>
    <w:p w14:paraId="54A49319">
      <w:pPr>
        <w:pStyle w:val="34"/>
        <w:keepNext w:val="0"/>
        <w:keepLines w:val="0"/>
        <w:pageBreakBefore w:val="0"/>
        <w:widowControl w:val="0"/>
        <w:kinsoku/>
        <w:overflowPunct/>
        <w:topLinePunct w:val="0"/>
        <w:bidi w:val="0"/>
        <w:ind w:firstLine="48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6</w:t>
      </w:r>
      <w:r>
        <w:rPr>
          <w:rFonts w:hint="eastAsia" w:cs="仿宋_GB2312"/>
          <w:i w:val="0"/>
          <w:iCs w:val="0"/>
          <w:color w:val="auto"/>
          <w:szCs w:val="24"/>
          <w:highlight w:val="none"/>
        </w:rPr>
        <w:t>本项目采用不见面开</w:t>
      </w:r>
      <w:r>
        <w:rPr>
          <w:rFonts w:hint="eastAsia" w:cs="仿宋_GB2312"/>
          <w:i w:val="0"/>
          <w:iCs w:val="0"/>
          <w:color w:val="auto"/>
          <w:szCs w:val="24"/>
          <w:highlight w:val="none"/>
          <w:lang w:val="en-US" w:eastAsia="zh-CN"/>
        </w:rPr>
        <w:t>启</w:t>
      </w:r>
      <w:r>
        <w:rPr>
          <w:rFonts w:hint="eastAsia" w:cs="仿宋_GB2312"/>
          <w:i w:val="0"/>
          <w:iCs w:val="0"/>
          <w:color w:val="auto"/>
          <w:szCs w:val="24"/>
          <w:highlight w:val="none"/>
        </w:rPr>
        <w:t>方式，无需提供电子</w:t>
      </w:r>
      <w:r>
        <w:rPr>
          <w:rFonts w:hint="eastAsia" w:ascii="宋体" w:hAnsi="宋体" w:eastAsia="宋体" w:cs="仿宋_GB2312"/>
          <w:i w:val="0"/>
          <w:iCs w:val="0"/>
          <w:color w:val="auto"/>
          <w:szCs w:val="24"/>
          <w:highlight w:val="none"/>
          <w:lang w:val="en-US" w:eastAsia="zh-CN"/>
        </w:rPr>
        <w:t>响应</w:t>
      </w:r>
      <w:r>
        <w:rPr>
          <w:rFonts w:hint="eastAsia" w:ascii="宋体" w:hAnsi="宋体" w:eastAsia="宋体" w:cs="仿宋_GB2312"/>
          <w:i w:val="0"/>
          <w:iCs w:val="0"/>
          <w:color w:val="auto"/>
          <w:szCs w:val="24"/>
          <w:highlight w:val="none"/>
        </w:rPr>
        <w:t>文件U盘</w:t>
      </w:r>
      <w:r>
        <w:rPr>
          <w:rFonts w:hint="eastAsia" w:cs="仿宋_GB2312"/>
          <w:i w:val="0"/>
          <w:iCs w:val="0"/>
          <w:color w:val="auto"/>
          <w:szCs w:val="24"/>
          <w:highlight w:val="none"/>
        </w:rPr>
        <w:t>。</w:t>
      </w:r>
    </w:p>
    <w:p w14:paraId="0EEE0E8A">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261"/>
      <w:bookmarkEnd w:id="262"/>
      <w:bookmarkEnd w:id="263"/>
      <w:bookmarkEnd w:id="264"/>
      <w:r>
        <w:rPr>
          <w:rFonts w:hint="eastAsia" w:ascii="宋体" w:hAnsi="宋体" w:eastAsia="宋体" w:cs="宋体"/>
          <w:b/>
          <w:bCs/>
          <w:color w:val="auto"/>
          <w:kern w:val="2"/>
          <w:sz w:val="24"/>
          <w:szCs w:val="24"/>
          <w:highlight w:val="none"/>
          <w:lang w:val="en-US" w:eastAsia="zh-CN" w:bidi="ar-SA"/>
        </w:rPr>
        <w:t>递交</w:t>
      </w:r>
      <w:bookmarkEnd w:id="265"/>
      <w:bookmarkEnd w:id="266"/>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19.1 供应商应在“</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19.2 供应商递交（上传）响应文件的地点见“</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cs="仿宋_GB2312"/>
          <w:i w:val="0"/>
          <w:iCs w:val="0"/>
          <w:color w:val="auto"/>
          <w:szCs w:val="24"/>
          <w:highlight w:val="none"/>
          <w:lang w:eastAsia="zh-CN"/>
        </w:rPr>
        <w:t>—</w:t>
      </w:r>
      <w:r>
        <w:rPr>
          <w:rFonts w:hint="eastAsia" w:cs="仿宋_GB2312"/>
          <w:i w:val="0"/>
          <w:iCs w:val="0"/>
          <w:color w:val="auto"/>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19.4 供应商应在供应商客户端中下载未加密且完成签章的响应文件妥善保存，以便启动应急开启程序时使用。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19.5供应商所递交的响应文件不予退还。</w:t>
      </w:r>
    </w:p>
    <w:p w14:paraId="03DDA0A8">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7" w:name="_Toc155095709"/>
      <w:bookmarkStart w:id="268" w:name="_Toc156490298"/>
      <w:r>
        <w:rPr>
          <w:rFonts w:hint="eastAsia" w:ascii="宋体" w:hAnsi="宋体" w:eastAsia="宋体" w:cs="宋体"/>
          <w:b/>
          <w:bCs/>
          <w:color w:val="auto"/>
          <w:kern w:val="2"/>
          <w:sz w:val="24"/>
          <w:szCs w:val="24"/>
          <w:highlight w:val="none"/>
          <w:lang w:val="en-US" w:eastAsia="zh-CN" w:bidi="ar-SA"/>
        </w:rPr>
        <w:t>20.拒收</w:t>
      </w:r>
      <w:bookmarkEnd w:id="267"/>
      <w:bookmarkEnd w:id="268"/>
    </w:p>
    <w:p w14:paraId="6764A5C0">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20</w:t>
      </w:r>
      <w:r>
        <w:rPr>
          <w:rFonts w:hint="eastAsia"/>
          <w:i w:val="0"/>
          <w:iCs w:val="0"/>
          <w:snapToGrid w:val="0"/>
          <w:color w:val="auto"/>
          <w:highlight w:val="none"/>
          <w:lang w:val="zh-CN"/>
        </w:rPr>
        <w:t>.1超过递交响应文件的</w:t>
      </w:r>
      <w:r>
        <w:rPr>
          <w:i w:val="0"/>
          <w:iCs w:val="0"/>
          <w:snapToGrid w:val="0"/>
          <w:color w:val="auto"/>
          <w:highlight w:val="none"/>
          <w:lang w:val="zh-CN"/>
        </w:rPr>
        <w:t>截止时间</w:t>
      </w:r>
      <w:r>
        <w:rPr>
          <w:rFonts w:hint="eastAsia"/>
          <w:i w:val="0"/>
          <w:iCs w:val="0"/>
          <w:snapToGrid w:val="0"/>
          <w:color w:val="auto"/>
          <w:highlight w:val="none"/>
          <w:lang w:val="zh-CN"/>
        </w:rPr>
        <w:t>或者不按照本章要求加密的响应文件，交易系统应当拒收。</w:t>
      </w:r>
    </w:p>
    <w:p w14:paraId="03C096FA">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9" w:name="_Toc156490299"/>
      <w:bookmarkStart w:id="270" w:name="_Toc109899654"/>
      <w:bookmarkStart w:id="271" w:name="_Toc109900073"/>
      <w:bookmarkStart w:id="272" w:name="_Toc109900492"/>
      <w:bookmarkStart w:id="273" w:name="_Toc109897555"/>
      <w:bookmarkStart w:id="274" w:name="_Toc155095710"/>
      <w:r>
        <w:rPr>
          <w:rFonts w:hint="eastAsia" w:ascii="宋体" w:hAnsi="宋体" w:eastAsia="宋体" w:cs="宋体"/>
          <w:b/>
          <w:bCs/>
          <w:color w:val="auto"/>
          <w:kern w:val="2"/>
          <w:sz w:val="24"/>
          <w:szCs w:val="24"/>
          <w:highlight w:val="none"/>
          <w:lang w:val="en-US" w:eastAsia="zh-CN" w:bidi="ar-SA"/>
        </w:rPr>
        <w:t>21.响应文件的修改与撤回</w:t>
      </w:r>
      <w:bookmarkEnd w:id="269"/>
      <w:bookmarkEnd w:id="270"/>
      <w:bookmarkEnd w:id="271"/>
      <w:bookmarkEnd w:id="272"/>
      <w:bookmarkEnd w:id="273"/>
      <w:bookmarkEnd w:id="274"/>
    </w:p>
    <w:p w14:paraId="059E1BF2">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2</w:t>
      </w:r>
      <w:r>
        <w:rPr>
          <w:rFonts w:hint="eastAsia"/>
          <w:i w:val="0"/>
          <w:iCs w:val="0"/>
          <w:snapToGrid w:val="0"/>
          <w:color w:val="auto"/>
          <w:highlight w:val="none"/>
          <w:lang w:val="zh-CN" w:eastAsia="zh-CN"/>
        </w:rPr>
        <w:t>1</w:t>
      </w:r>
      <w:r>
        <w:rPr>
          <w:rFonts w:hint="eastAsia"/>
          <w:i w:val="0"/>
          <w:iCs w:val="0"/>
          <w:snapToGrid w:val="0"/>
          <w:color w:val="auto"/>
          <w:highlight w:val="none"/>
          <w:lang w:val="zh-CN"/>
        </w:rPr>
        <w:t>.1</w:t>
      </w:r>
      <w:bookmarkStart w:id="275" w:name="_Hlk143532466"/>
      <w:r>
        <w:rPr>
          <w:rFonts w:hint="eastAsia"/>
          <w:i w:val="0"/>
          <w:iCs w:val="0"/>
          <w:snapToGrid w:val="0"/>
          <w:color w:val="auto"/>
          <w:highlight w:val="none"/>
          <w:lang w:val="zh-CN" w:eastAsia="zh-CN"/>
        </w:rPr>
        <w:t>供应商</w:t>
      </w:r>
      <w:r>
        <w:rPr>
          <w:rFonts w:hint="eastAsia"/>
          <w:i w:val="0"/>
          <w:iCs w:val="0"/>
          <w:snapToGrid w:val="0"/>
          <w:color w:val="auto"/>
          <w:highlight w:val="none"/>
          <w:lang w:val="zh-CN"/>
        </w:rPr>
        <w:t>在</w:t>
      </w:r>
      <w:r>
        <w:rPr>
          <w:rFonts w:hint="eastAsia"/>
          <w:i w:val="0"/>
          <w:iCs w:val="0"/>
          <w:snapToGrid w:val="0"/>
          <w:color w:val="auto"/>
          <w:highlight w:val="none"/>
          <w:lang w:val="zh-CN" w:eastAsia="zh-CN"/>
        </w:rPr>
        <w:t>“</w:t>
      </w:r>
      <w:r>
        <w:rPr>
          <w:rFonts w:hint="eastAsia" w:cs="仿宋_GB2312"/>
          <w:i w:val="0"/>
          <w:iCs w:val="0"/>
          <w:color w:val="auto"/>
          <w:szCs w:val="24"/>
          <w:highlight w:val="none"/>
          <w:lang w:val="en-US" w:eastAsia="zh-CN"/>
        </w:rPr>
        <w:t>第一章 竞争性磋商公告</w:t>
      </w:r>
      <w:r>
        <w:rPr>
          <w:rFonts w:hint="eastAsia"/>
          <w:i w:val="0"/>
          <w:iCs w:val="0"/>
          <w:snapToGrid w:val="0"/>
          <w:color w:val="auto"/>
          <w:highlight w:val="none"/>
          <w:lang w:val="zh-CN" w:eastAsia="zh-CN"/>
        </w:rPr>
        <w:t>”</w:t>
      </w:r>
      <w:r>
        <w:rPr>
          <w:rFonts w:hint="eastAsia"/>
          <w:i w:val="0"/>
          <w:iCs w:val="0"/>
          <w:snapToGrid w:val="0"/>
          <w:color w:val="auto"/>
          <w:highlight w:val="none"/>
          <w:lang w:val="zh-CN"/>
        </w:rPr>
        <w:t>规定的</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递交截止时间之前，可在 政府采购电子交易云平台上随时撤回已上传的电子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，将修改好的电子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在</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递交截止时间前重新上传到 政府采购电子交易云平台的</w:t>
      </w:r>
      <w:r>
        <w:rPr>
          <w:rFonts w:hint="eastAsia"/>
          <w:i w:val="0"/>
          <w:iCs w:val="0"/>
          <w:snapToGrid w:val="0"/>
          <w:color w:val="auto"/>
          <w:highlight w:val="none"/>
          <w:lang w:val="zh-CN" w:eastAsia="zh-CN"/>
        </w:rPr>
        <w:t>指</w:t>
      </w:r>
      <w:r>
        <w:rPr>
          <w:rFonts w:hint="eastAsia"/>
          <w:i w:val="0"/>
          <w:iCs w:val="0"/>
          <w:snapToGrid w:val="0"/>
          <w:color w:val="auto"/>
          <w:highlight w:val="none"/>
          <w:lang w:val="zh-CN"/>
        </w:rPr>
        <w:t>定位置。</w:t>
      </w:r>
    </w:p>
    <w:bookmarkEnd w:id="275"/>
    <w:p w14:paraId="6B46A24D">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276" w:name="_Toc163493615"/>
      <w:bookmarkStart w:id="277" w:name="_Toc2643"/>
      <w:bookmarkStart w:id="278" w:name="_Toc470172689"/>
      <w:bookmarkStart w:id="279" w:name="_Toc109897458"/>
      <w:bookmarkStart w:id="280" w:name="_Toc46771664"/>
      <w:bookmarkStart w:id="281" w:name="_Toc109899557"/>
      <w:bookmarkStart w:id="282" w:name="_Toc109899976"/>
      <w:bookmarkStart w:id="283" w:name="_Toc109900395"/>
      <w:r>
        <w:rPr>
          <w:rFonts w:hint="eastAsia" w:ascii="宋体" w:hAnsi="宋体" w:eastAsia="宋体" w:cs="宋体"/>
          <w:b/>
          <w:bCs/>
          <w:color w:val="auto"/>
          <w:kern w:val="2"/>
          <w:sz w:val="24"/>
          <w:szCs w:val="24"/>
          <w:highlight w:val="none"/>
          <w:lang w:val="en-US" w:eastAsia="zh-CN" w:bidi="ar-SA"/>
        </w:rPr>
        <w:t>（五）</w:t>
      </w:r>
      <w:bookmarkEnd w:id="276"/>
      <w:r>
        <w:rPr>
          <w:rFonts w:hint="eastAsia" w:ascii="宋体" w:hAnsi="宋体" w:eastAsia="宋体" w:cs="宋体"/>
          <w:b/>
          <w:bCs/>
          <w:color w:val="auto"/>
          <w:kern w:val="2"/>
          <w:sz w:val="24"/>
          <w:szCs w:val="24"/>
          <w:highlight w:val="none"/>
          <w:lang w:val="en-US" w:eastAsia="zh-CN" w:bidi="ar-SA"/>
        </w:rPr>
        <w:t>响应文件开启</w:t>
      </w:r>
      <w:bookmarkEnd w:id="277"/>
    </w:p>
    <w:p w14:paraId="750D725B">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4" w:name="_Hlk161704700"/>
      <w:r>
        <w:rPr>
          <w:rFonts w:hint="eastAsia" w:ascii="宋体" w:hAnsi="宋体" w:eastAsia="宋体" w:cs="宋体"/>
          <w:b/>
          <w:bCs/>
          <w:color w:val="auto"/>
          <w:kern w:val="2"/>
          <w:sz w:val="24"/>
          <w:szCs w:val="24"/>
          <w:highlight w:val="none"/>
          <w:lang w:val="en-US" w:eastAsia="zh-CN" w:bidi="ar-SA"/>
        </w:rPr>
        <w:t>22.响应文件开启</w:t>
      </w:r>
    </w:p>
    <w:p w14:paraId="30320CCC">
      <w:pPr>
        <w:keepNext w:val="0"/>
        <w:keepLines w:val="0"/>
        <w:pageBreakBefore w:val="0"/>
        <w:widowControl w:val="0"/>
        <w:kinsoku/>
        <w:overflowPunct/>
        <w:topLinePunct w:val="0"/>
        <w:bidi w:val="0"/>
        <w:ind w:firstLine="480" w:firstLineChars="200"/>
        <w:textAlignment w:val="auto"/>
        <w:rPr>
          <w:rFonts w:cs="仿宋_GB2312"/>
          <w:bCs/>
          <w:i w:val="0"/>
          <w:iCs w:val="0"/>
          <w:color w:val="auto"/>
          <w:szCs w:val="24"/>
          <w:highlight w:val="none"/>
        </w:rPr>
      </w:pPr>
      <w:bookmarkStart w:id="285" w:name="_Toc140132781"/>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2</w:t>
      </w:r>
      <w:r>
        <w:rPr>
          <w:rFonts w:hint="eastAsia" w:cs="仿宋_GB2312"/>
          <w:i w:val="0"/>
          <w:iCs w:val="0"/>
          <w:color w:val="auto"/>
          <w:szCs w:val="24"/>
          <w:highlight w:val="none"/>
        </w:rPr>
        <w:t>.1供应商应按照“</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”中的要求参与开启。</w:t>
      </w:r>
      <w:bookmarkEnd w:id="285"/>
    </w:p>
    <w:p w14:paraId="44C062AD">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6" w:name="_Toc161600316"/>
      <w:bookmarkStart w:id="287" w:name="_Toc140132782"/>
      <w:r>
        <w:rPr>
          <w:rFonts w:hint="eastAsia" w:ascii="宋体" w:hAnsi="宋体" w:eastAsia="宋体" w:cs="宋体"/>
          <w:b/>
          <w:bCs/>
          <w:color w:val="auto"/>
          <w:kern w:val="2"/>
          <w:sz w:val="24"/>
          <w:szCs w:val="24"/>
          <w:highlight w:val="none"/>
          <w:lang w:val="en-US" w:eastAsia="zh-CN" w:bidi="ar-SA"/>
        </w:rPr>
        <w:t>23.开启时间和地点</w:t>
      </w:r>
      <w:bookmarkEnd w:id="286"/>
      <w:bookmarkEnd w:id="287"/>
    </w:p>
    <w:p w14:paraId="19FC62D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3</w:t>
      </w:r>
      <w:r>
        <w:rPr>
          <w:rFonts w:hint="eastAsia" w:cs="仿宋_GB2312"/>
          <w:i w:val="0"/>
          <w:iCs w:val="0"/>
          <w:color w:val="auto"/>
          <w:szCs w:val="24"/>
          <w:highlight w:val="none"/>
        </w:rPr>
        <w:t>.1开启时间和地点</w:t>
      </w:r>
    </w:p>
    <w:p w14:paraId="74263C6D">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递交</w:t>
      </w:r>
      <w:r>
        <w:rPr>
          <w:rFonts w:hint="eastAsia" w:cs="仿宋_GB2312"/>
          <w:i w:val="0"/>
          <w:iCs w:val="0"/>
          <w:color w:val="auto"/>
          <w:szCs w:val="24"/>
          <w:highlight w:val="none"/>
        </w:rPr>
        <w:t>响应文件截止时间前，供应商登录供应商客户端，</w:t>
      </w:r>
      <w:r>
        <w:rPr>
          <w:rFonts w:cs="仿宋_GB2312"/>
          <w:i w:val="0"/>
          <w:iCs w:val="0"/>
          <w:snapToGrid w:val="0"/>
          <w:color w:val="auto"/>
          <w:highlight w:val="none"/>
          <w:lang w:val="zh-CN"/>
        </w:rPr>
        <w:t>通过</w:t>
      </w:r>
      <w:r>
        <w:rPr>
          <w:rFonts w:hint="eastAsia" w:cs="仿宋_GB2312"/>
          <w:i w:val="0"/>
          <w:iCs w:val="0"/>
          <w:snapToGrid w:val="0"/>
          <w:color w:val="auto"/>
          <w:highlight w:val="none"/>
          <w:lang w:val="zh-CN"/>
        </w:rPr>
        <w:t>供应商客户端</w:t>
      </w:r>
      <w:r>
        <w:rPr>
          <w:rFonts w:cs="仿宋_GB2312"/>
          <w:i w:val="0"/>
          <w:iCs w:val="0"/>
          <w:snapToGrid w:val="0"/>
          <w:color w:val="auto"/>
          <w:highlight w:val="none"/>
          <w:lang w:val="zh-CN"/>
        </w:rPr>
        <w:t>进入</w:t>
      </w:r>
      <w:r>
        <w:rPr>
          <w:rFonts w:hint="eastAsia" w:cs="仿宋_GB2312"/>
          <w:i w:val="0"/>
          <w:iCs w:val="0"/>
          <w:snapToGrid w:val="0"/>
          <w:color w:val="auto"/>
          <w:highlight w:val="none"/>
          <w:lang w:val="zh-CN"/>
        </w:rPr>
        <w:t>交易系统</w:t>
      </w:r>
      <w:r>
        <w:rPr>
          <w:rFonts w:cs="仿宋_GB2312"/>
          <w:i w:val="0"/>
          <w:iCs w:val="0"/>
          <w:color w:val="auto"/>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i w:val="0"/>
          <w:iCs w:val="0"/>
          <w:color w:val="auto"/>
          <w:szCs w:val="24"/>
          <w:highlight w:val="none"/>
          <w:lang w:val="zh-CN"/>
        </w:rPr>
        <w:t>（2）在</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r>
        <w:rPr>
          <w:rFonts w:hint="eastAsia"/>
          <w:i w:val="0"/>
          <w:iCs w:val="0"/>
          <w:color w:val="auto"/>
          <w:szCs w:val="24"/>
          <w:highlight w:val="none"/>
          <w:lang w:val="en-US" w:eastAsia="zh-CN"/>
        </w:rPr>
        <w:t>规</w:t>
      </w:r>
      <w:r>
        <w:rPr>
          <w:rFonts w:hint="eastAsia"/>
          <w:i w:val="0"/>
          <w:iCs w:val="0"/>
          <w:color w:val="auto"/>
          <w:szCs w:val="24"/>
          <w:highlight w:val="none"/>
          <w:lang w:val="zh-CN"/>
        </w:rPr>
        <w:t>定的</w:t>
      </w:r>
      <w:r>
        <w:rPr>
          <w:rFonts w:hint="eastAsia"/>
          <w:i w:val="0"/>
          <w:iCs w:val="0"/>
          <w:color w:val="auto"/>
          <w:szCs w:val="24"/>
          <w:highlight w:val="none"/>
          <w:lang w:val="en-US" w:eastAsia="zh-CN"/>
        </w:rPr>
        <w:t>递交</w:t>
      </w:r>
      <w:r>
        <w:rPr>
          <w:rFonts w:hint="eastAsia"/>
          <w:i w:val="0"/>
          <w:iCs w:val="0"/>
          <w:color w:val="auto"/>
          <w:szCs w:val="24"/>
          <w:highlight w:val="none"/>
          <w:lang w:val="zh-CN"/>
        </w:rPr>
        <w:t>响应文件截止时间、开启时间及地点，采购代理机构</w:t>
      </w:r>
      <w:r>
        <w:rPr>
          <w:rFonts w:hint="eastAsia" w:ascii="宋体" w:hAnsi="宋体" w:eastAsia="宋体"/>
          <w:i w:val="0"/>
          <w:iCs w:val="0"/>
          <w:color w:val="auto"/>
          <w:szCs w:val="24"/>
          <w:highlight w:val="none"/>
          <w:lang w:val="zh-CN"/>
        </w:rPr>
        <w:t>通过</w:t>
      </w:r>
      <w:r>
        <w:rPr>
          <w:rFonts w:hint="eastAsia"/>
          <w:i w:val="0"/>
          <w:iCs w:val="0"/>
          <w:color w:val="auto"/>
          <w:szCs w:val="24"/>
          <w:highlight w:val="none"/>
          <w:lang w:val="zh-CN" w:eastAsia="zh-CN"/>
        </w:rPr>
        <w:t xml:space="preserve"> </w:t>
      </w:r>
      <w:r>
        <w:rPr>
          <w:rFonts w:hint="eastAsia" w:ascii="宋体" w:hAnsi="宋体" w:eastAsia="宋体"/>
          <w:i w:val="0"/>
          <w:iCs w:val="0"/>
          <w:color w:val="auto"/>
          <w:szCs w:val="24"/>
          <w:highlight w:val="none"/>
          <w:lang w:val="zh-CN" w:eastAsia="zh-CN"/>
        </w:rPr>
        <w:t>政府采购电子交易云平台</w:t>
      </w:r>
      <w:r>
        <w:rPr>
          <w:rFonts w:hint="eastAsia" w:ascii="宋体" w:hAnsi="宋体" w:eastAsia="宋体" w:cs="宋体"/>
          <w:i w:val="0"/>
          <w:iCs w:val="0"/>
          <w:color w:val="auto"/>
          <w:kern w:val="2"/>
          <w:sz w:val="24"/>
          <w:szCs w:val="22"/>
          <w:highlight w:val="none"/>
        </w:rPr>
        <w:t>的“政采云远程开标大厅”</w:t>
      </w:r>
      <w:r>
        <w:rPr>
          <w:rFonts w:hint="eastAsia"/>
          <w:i w:val="0"/>
          <w:iCs w:val="0"/>
          <w:color w:val="auto"/>
          <w:szCs w:val="24"/>
          <w:highlight w:val="none"/>
          <w:lang w:val="zh-CN"/>
        </w:rPr>
        <w:t>组织响应文件开启工作。</w:t>
      </w:r>
    </w:p>
    <w:p w14:paraId="66534CB4">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3</w:t>
      </w:r>
      <w:r>
        <w:rPr>
          <w:i w:val="0"/>
          <w:iCs w:val="0"/>
          <w:color w:val="auto"/>
          <w:highlight w:val="none"/>
        </w:rPr>
        <w:t>.2响应文件开启：</w:t>
      </w:r>
      <w:r>
        <w:rPr>
          <w:rFonts w:hint="eastAsia"/>
          <w:i w:val="0"/>
          <w:iCs w:val="0"/>
          <w:color w:val="auto"/>
          <w:highlight w:val="none"/>
          <w:lang w:val="en-US" w:eastAsia="zh-CN"/>
        </w:rPr>
        <w:t>递交</w:t>
      </w:r>
      <w:r>
        <w:rPr>
          <w:i w:val="0"/>
          <w:iCs w:val="0"/>
          <w:color w:val="auto"/>
          <w:highlight w:val="none"/>
        </w:rPr>
        <w:t>响应文件截止时间到后，工作人员启动开始解密指令，供应商应当按照“供应商须知前附表”规定及时进行响应文件解密，完成响应文件开启工作。</w:t>
      </w:r>
    </w:p>
    <w:p w14:paraId="77684B06">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.3规定的时间内，非因</w:t>
      </w:r>
      <w:r>
        <w:rPr>
          <w:rFonts w:hint="eastAsia"/>
          <w:i w:val="0"/>
          <w:iCs w:val="0"/>
          <w:color w:val="auto"/>
          <w:highlight w:val="none"/>
          <w:lang w:val="zh-CN" w:eastAsia="zh-CN"/>
        </w:rPr>
        <w:t xml:space="preserve"> 政府采购电子交易云平台</w:t>
      </w:r>
      <w:r>
        <w:rPr>
          <w:i w:val="0"/>
          <w:iCs w:val="0"/>
          <w:color w:val="auto"/>
          <w:highlight w:val="none"/>
        </w:rPr>
        <w:t>原因造成响应文件未解密的，视为供应商撤回响应文件。停止解密后，已解密开启的响应文件不足3家的，应当终止采购活动。</w:t>
      </w:r>
    </w:p>
    <w:p w14:paraId="46075363">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.4供应商或其授权代表对响应文件开启过程有疑义的，以及认为采购人、</w:t>
      </w:r>
      <w:r>
        <w:rPr>
          <w:rFonts w:hint="eastAsia"/>
          <w:i w:val="0"/>
          <w:iCs w:val="0"/>
          <w:color w:val="auto"/>
          <w:highlight w:val="none"/>
        </w:rPr>
        <w:t>采购代理机构</w:t>
      </w:r>
      <w:r>
        <w:rPr>
          <w:i w:val="0"/>
          <w:iCs w:val="0"/>
          <w:color w:val="auto"/>
          <w:highlight w:val="none"/>
        </w:rPr>
        <w:t>相关工作人员有需要回避的情形的，</w:t>
      </w:r>
      <w:r>
        <w:rPr>
          <w:rFonts w:hint="eastAsia"/>
          <w:i w:val="0"/>
          <w:iCs w:val="0"/>
          <w:color w:val="auto"/>
          <w:highlight w:val="none"/>
        </w:rPr>
        <w:t>应在开</w:t>
      </w:r>
      <w:r>
        <w:rPr>
          <w:rFonts w:hint="eastAsia"/>
          <w:i w:val="0"/>
          <w:iCs w:val="0"/>
          <w:color w:val="auto"/>
          <w:highlight w:val="none"/>
          <w:lang w:val="en-US" w:eastAsia="zh-CN"/>
        </w:rPr>
        <w:t>启</w:t>
      </w:r>
      <w:r>
        <w:rPr>
          <w:rFonts w:hint="eastAsia"/>
          <w:i w:val="0"/>
          <w:iCs w:val="0"/>
          <w:color w:val="auto"/>
          <w:highlight w:val="none"/>
        </w:rPr>
        <w:t>会议中提出询问或者回避申请。采购人、采购代理机构对</w:t>
      </w:r>
      <w:r>
        <w:rPr>
          <w:rFonts w:hint="eastAsia"/>
          <w:i w:val="0"/>
          <w:iCs w:val="0"/>
          <w:color w:val="auto"/>
          <w:highlight w:val="none"/>
          <w:lang w:val="en-US" w:eastAsia="zh-CN"/>
        </w:rPr>
        <w:t>供应商</w:t>
      </w:r>
      <w:r>
        <w:rPr>
          <w:rFonts w:hint="eastAsia"/>
          <w:i w:val="0"/>
          <w:iCs w:val="0"/>
          <w:color w:val="auto"/>
          <w:highlight w:val="none"/>
        </w:rPr>
        <w:t>授权代表提出的询问或者回避申请应当及时处理。</w:t>
      </w:r>
    </w:p>
    <w:p w14:paraId="0486AA50">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w:t>
      </w:r>
      <w:r>
        <w:rPr>
          <w:rFonts w:hint="eastAsia"/>
          <w:i w:val="0"/>
          <w:iCs w:val="0"/>
          <w:color w:val="auto"/>
          <w:highlight w:val="none"/>
          <w:lang w:val="en-US" w:eastAsia="zh-CN"/>
        </w:rPr>
        <w:t>5供应商</w:t>
      </w:r>
      <w:r>
        <w:rPr>
          <w:rFonts w:hint="eastAsia"/>
          <w:i w:val="0"/>
          <w:iCs w:val="0"/>
          <w:color w:val="auto"/>
          <w:highlight w:val="none"/>
        </w:rPr>
        <w:t>未参加开</w:t>
      </w:r>
      <w:r>
        <w:rPr>
          <w:rFonts w:hint="eastAsia"/>
          <w:i w:val="0"/>
          <w:iCs w:val="0"/>
          <w:color w:val="auto"/>
          <w:highlight w:val="none"/>
          <w:lang w:val="en-US" w:eastAsia="zh-CN"/>
        </w:rPr>
        <w:t>启</w:t>
      </w:r>
      <w:r>
        <w:rPr>
          <w:rFonts w:hint="eastAsia"/>
          <w:i w:val="0"/>
          <w:iCs w:val="0"/>
          <w:color w:val="auto"/>
          <w:highlight w:val="none"/>
        </w:rPr>
        <w:t>的，视同认可开</w:t>
      </w:r>
      <w:r>
        <w:rPr>
          <w:rFonts w:hint="eastAsia"/>
          <w:i w:val="0"/>
          <w:iCs w:val="0"/>
          <w:color w:val="auto"/>
          <w:highlight w:val="none"/>
          <w:lang w:val="en-US" w:eastAsia="zh-CN"/>
        </w:rPr>
        <w:t>启</w:t>
      </w:r>
      <w:r>
        <w:rPr>
          <w:rFonts w:hint="eastAsia"/>
          <w:i w:val="0"/>
          <w:iCs w:val="0"/>
          <w:color w:val="auto"/>
          <w:highlight w:val="none"/>
        </w:rPr>
        <w:t>结果。</w:t>
      </w:r>
    </w:p>
    <w:bookmarkEnd w:id="278"/>
    <w:bookmarkEnd w:id="279"/>
    <w:bookmarkEnd w:id="280"/>
    <w:bookmarkEnd w:id="281"/>
    <w:bookmarkEnd w:id="282"/>
    <w:bookmarkEnd w:id="283"/>
    <w:bookmarkEnd w:id="284"/>
    <w:p w14:paraId="55D243EF">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8" w:name="_Toc25345"/>
      <w:bookmarkStart w:id="289" w:name="_Toc155185877"/>
      <w:bookmarkStart w:id="290" w:name="_Toc163492854"/>
      <w:bookmarkStart w:id="291" w:name="_Toc140132785"/>
      <w:r>
        <w:rPr>
          <w:rFonts w:hint="eastAsia" w:ascii="宋体" w:hAnsi="宋体" w:eastAsia="宋体" w:cs="宋体"/>
          <w:b/>
          <w:bCs/>
          <w:color w:val="auto"/>
          <w:kern w:val="2"/>
          <w:sz w:val="24"/>
          <w:szCs w:val="24"/>
          <w:highlight w:val="none"/>
          <w:lang w:val="en-US" w:eastAsia="zh-CN" w:bidi="ar-SA"/>
        </w:rPr>
        <w:t>（六）资格审查</w:t>
      </w:r>
      <w:bookmarkEnd w:id="288"/>
      <w:bookmarkEnd w:id="289"/>
      <w:bookmarkEnd w:id="290"/>
      <w:bookmarkEnd w:id="291"/>
    </w:p>
    <w:p w14:paraId="2C1B5FD6">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2" w:name="_Toc163492855"/>
      <w:r>
        <w:rPr>
          <w:rFonts w:hint="eastAsia" w:ascii="宋体" w:hAnsi="宋体" w:eastAsia="宋体" w:cs="宋体"/>
          <w:b/>
          <w:bCs/>
          <w:color w:val="auto"/>
          <w:kern w:val="2"/>
          <w:sz w:val="24"/>
          <w:szCs w:val="24"/>
          <w:highlight w:val="none"/>
          <w:lang w:val="en-US" w:eastAsia="zh-CN" w:bidi="ar-SA"/>
        </w:rPr>
        <w:t>24.资格审查及审查主体</w:t>
      </w:r>
      <w:bookmarkEnd w:id="292"/>
    </w:p>
    <w:p w14:paraId="0D27F8C1">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293" w:name="_Toc140132786"/>
      <w:r>
        <w:rPr>
          <w:rFonts w:hint="eastAsia"/>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.1</w:t>
      </w:r>
      <w:r>
        <w:rPr>
          <w:i w:val="0"/>
          <w:iCs w:val="0"/>
          <w:color w:val="auto"/>
          <w:highlight w:val="none"/>
        </w:rPr>
        <w:t>开</w:t>
      </w:r>
      <w:r>
        <w:rPr>
          <w:rFonts w:hint="eastAsia"/>
          <w:i w:val="0"/>
          <w:iCs w:val="0"/>
          <w:color w:val="auto"/>
          <w:highlight w:val="none"/>
          <w:lang w:val="en-US" w:eastAsia="zh-CN"/>
        </w:rPr>
        <w:t>启</w:t>
      </w:r>
      <w:r>
        <w:rPr>
          <w:i w:val="0"/>
          <w:iCs w:val="0"/>
          <w:color w:val="auto"/>
          <w:highlight w:val="none"/>
        </w:rPr>
        <w:t>结束后，</w:t>
      </w:r>
      <w:r>
        <w:rPr>
          <w:rFonts w:hint="eastAsia"/>
          <w:i w:val="0"/>
          <w:iCs w:val="0"/>
          <w:color w:val="auto"/>
          <w:highlight w:val="none"/>
          <w:lang w:val="en-US" w:eastAsia="zh-CN"/>
        </w:rPr>
        <w:t>磋商小组</w:t>
      </w:r>
      <w:r>
        <w:rPr>
          <w:i w:val="0"/>
          <w:iCs w:val="0"/>
          <w:color w:val="auto"/>
          <w:highlight w:val="none"/>
        </w:rPr>
        <w:t>依据法律法规和本</w:t>
      </w:r>
      <w:r>
        <w:rPr>
          <w:rFonts w:hint="eastAsia"/>
          <w:i w:val="0"/>
          <w:iCs w:val="0"/>
          <w:color w:val="auto"/>
          <w:highlight w:val="none"/>
          <w:lang w:val="en-US" w:eastAsia="zh-CN"/>
        </w:rPr>
        <w:t>竞争性磋商</w:t>
      </w:r>
      <w:r>
        <w:rPr>
          <w:i w:val="0"/>
          <w:iCs w:val="0"/>
          <w:color w:val="auto"/>
          <w:highlight w:val="none"/>
        </w:rPr>
        <w:t>文件的规定，依法对</w:t>
      </w:r>
      <w:r>
        <w:rPr>
          <w:rFonts w:hint="eastAsia"/>
          <w:i w:val="0"/>
          <w:iCs w:val="0"/>
          <w:color w:val="auto"/>
          <w:highlight w:val="none"/>
          <w:lang w:val="en-US" w:eastAsia="zh-CN"/>
        </w:rPr>
        <w:t>供应商</w:t>
      </w:r>
      <w:r>
        <w:rPr>
          <w:i w:val="0"/>
          <w:iCs w:val="0"/>
          <w:color w:val="auto"/>
          <w:highlight w:val="none"/>
        </w:rPr>
        <w:t>资格进行审查，以确定</w:t>
      </w:r>
      <w:r>
        <w:rPr>
          <w:rFonts w:hint="eastAsia"/>
          <w:i w:val="0"/>
          <w:iCs w:val="0"/>
          <w:color w:val="auto"/>
          <w:highlight w:val="none"/>
          <w:lang w:val="en-US" w:eastAsia="zh-CN"/>
        </w:rPr>
        <w:t>供应商</w:t>
      </w:r>
      <w:r>
        <w:rPr>
          <w:i w:val="0"/>
          <w:iCs w:val="0"/>
          <w:color w:val="auto"/>
          <w:highlight w:val="none"/>
        </w:rPr>
        <w:t>是否具备</w:t>
      </w:r>
      <w:r>
        <w:rPr>
          <w:rFonts w:hint="eastAsia"/>
          <w:i w:val="0"/>
          <w:iCs w:val="0"/>
          <w:color w:val="auto"/>
          <w:highlight w:val="none"/>
          <w:lang w:val="en-US" w:eastAsia="zh-CN"/>
        </w:rPr>
        <w:t>磋商</w:t>
      </w:r>
      <w:r>
        <w:rPr>
          <w:i w:val="0"/>
          <w:iCs w:val="0"/>
          <w:color w:val="auto"/>
          <w:highlight w:val="none"/>
        </w:rPr>
        <w:t>资格。</w:t>
      </w:r>
      <w:bookmarkEnd w:id="293"/>
    </w:p>
    <w:p w14:paraId="77AFBA72">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294" w:name="_Toc140132787"/>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.2</w:t>
      </w:r>
      <w:r>
        <w:rPr>
          <w:i w:val="0"/>
          <w:iCs w:val="0"/>
          <w:color w:val="auto"/>
          <w:highlight w:val="none"/>
        </w:rPr>
        <w:t>资格审查</w:t>
      </w:r>
      <w:r>
        <w:rPr>
          <w:rFonts w:hint="eastAsia"/>
          <w:i w:val="0"/>
          <w:iCs w:val="0"/>
          <w:color w:val="auto"/>
          <w:highlight w:val="none"/>
        </w:rPr>
        <w:t>按“第四章</w:t>
      </w:r>
      <w:r>
        <w:rPr>
          <w:rFonts w:hint="eastAsia"/>
          <w:i w:val="0"/>
          <w:iCs w:val="0"/>
          <w:color w:val="auto"/>
          <w:highlight w:val="none"/>
          <w:lang w:val="en-US" w:eastAsia="zh-CN"/>
        </w:rPr>
        <w:t xml:space="preserve"> </w:t>
      </w:r>
      <w:r>
        <w:rPr>
          <w:rFonts w:cs="仿宋_GB2312"/>
          <w:i w:val="0"/>
          <w:iCs w:val="0"/>
          <w:snapToGrid w:val="0"/>
          <w:color w:val="auto"/>
          <w:highlight w:val="none"/>
          <w:lang w:val="zh-CN"/>
        </w:rPr>
        <w:t>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hint="eastAsia"/>
          <w:i w:val="0"/>
          <w:iCs w:val="0"/>
          <w:color w:val="auto"/>
          <w:highlight w:val="none"/>
        </w:rPr>
        <w:t>”的规定进行。</w:t>
      </w:r>
      <w:bookmarkEnd w:id="294"/>
    </w:p>
    <w:p w14:paraId="0706620E">
      <w:pPr>
        <w:pStyle w:val="34"/>
        <w:keepNext w:val="0"/>
        <w:keepLines w:val="0"/>
        <w:pageBreakBefore w:val="0"/>
        <w:widowControl w:val="0"/>
        <w:kinsoku/>
        <w:overflowPunct/>
        <w:topLinePunct w:val="0"/>
        <w:bidi w:val="0"/>
        <w:ind w:firstLine="480"/>
        <w:textAlignment w:val="auto"/>
        <w:rPr>
          <w:i w:val="0"/>
          <w:iCs w:val="0"/>
          <w:color w:val="auto"/>
          <w:highlight w:val="none"/>
        </w:rPr>
      </w:pPr>
      <w:bookmarkStart w:id="295" w:name="_Toc140132788"/>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.3</w:t>
      </w:r>
      <w:r>
        <w:rPr>
          <w:i w:val="0"/>
          <w:iCs w:val="0"/>
          <w:color w:val="auto"/>
          <w:highlight w:val="none"/>
        </w:rPr>
        <w:t>资格审查结束后，应及时对资格审查结果进行复核，对资格审查错误进行及时纠正并记录。</w:t>
      </w:r>
      <w:bookmarkEnd w:id="295"/>
    </w:p>
    <w:p w14:paraId="450772BF">
      <w:pPr>
        <w:pStyle w:val="34"/>
        <w:keepNext w:val="0"/>
        <w:keepLines w:val="0"/>
        <w:pageBreakBefore w:val="0"/>
        <w:widowControl w:val="0"/>
        <w:kinsoku/>
        <w:overflowPunct/>
        <w:topLinePunct w:val="0"/>
        <w:bidi w:val="0"/>
        <w:ind w:firstLine="480"/>
        <w:textAlignment w:val="auto"/>
        <w:rPr>
          <w:rFonts w:hint="default"/>
          <w:i w:val="0"/>
          <w:iCs w:val="0"/>
          <w:color w:val="auto"/>
          <w:highlight w:val="none"/>
          <w:lang w:val="en-US" w:eastAsia="zh-CN"/>
        </w:rPr>
      </w:pPr>
      <w:r>
        <w:rPr>
          <w:rFonts w:hint="eastAsia"/>
          <w:i w:val="0"/>
          <w:iCs w:val="0"/>
          <w:color w:val="auto"/>
          <w:highlight w:val="none"/>
          <w:lang w:val="en-US" w:eastAsia="zh-CN"/>
        </w:rPr>
        <w:t>24.4</w:t>
      </w:r>
      <w:r>
        <w:rPr>
          <w:i w:val="0"/>
          <w:iCs w:val="0"/>
          <w:color w:val="auto"/>
          <w:highlight w:val="none"/>
        </w:rPr>
        <w:t>资格审查</w:t>
      </w:r>
      <w:r>
        <w:rPr>
          <w:rFonts w:hint="eastAsia"/>
          <w:i w:val="0"/>
          <w:iCs w:val="0"/>
          <w:color w:val="auto"/>
          <w:highlight w:val="none"/>
        </w:rPr>
        <w:t>合格</w:t>
      </w:r>
      <w:r>
        <w:rPr>
          <w:rFonts w:hint="eastAsia"/>
          <w:i w:val="0"/>
          <w:iCs w:val="0"/>
          <w:color w:val="auto"/>
          <w:highlight w:val="none"/>
          <w:lang w:val="en-US" w:eastAsia="zh-CN"/>
        </w:rPr>
        <w:t>供应商</w:t>
      </w:r>
      <w:r>
        <w:rPr>
          <w:rFonts w:hint="eastAsia"/>
          <w:i w:val="0"/>
          <w:iCs w:val="0"/>
          <w:color w:val="auto"/>
          <w:highlight w:val="none"/>
        </w:rPr>
        <w:t>不足3家的，不得评</w:t>
      </w:r>
      <w:r>
        <w:rPr>
          <w:rFonts w:hint="eastAsia"/>
          <w:i w:val="0"/>
          <w:iCs w:val="0"/>
          <w:color w:val="auto"/>
          <w:highlight w:val="none"/>
          <w:lang w:val="en-US" w:eastAsia="zh-CN"/>
        </w:rPr>
        <w:t>审</w:t>
      </w:r>
      <w:r>
        <w:rPr>
          <w:rFonts w:hint="eastAsia"/>
          <w:i w:val="0"/>
          <w:iCs w:val="0"/>
          <w:color w:val="auto"/>
          <w:highlight w:val="none"/>
        </w:rPr>
        <w:t>。</w:t>
      </w:r>
    </w:p>
    <w:p w14:paraId="7A1F7D21">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6" w:name="_Toc155185878"/>
      <w:bookmarkStart w:id="297" w:name="_Toc140132789"/>
      <w:bookmarkStart w:id="298" w:name="_Toc163492856"/>
      <w:bookmarkStart w:id="299" w:name="_Toc9064"/>
      <w:r>
        <w:rPr>
          <w:rFonts w:hint="eastAsia" w:ascii="宋体" w:hAnsi="宋体" w:eastAsia="宋体" w:cs="宋体"/>
          <w:b/>
          <w:bCs/>
          <w:color w:val="auto"/>
          <w:kern w:val="2"/>
          <w:sz w:val="24"/>
          <w:szCs w:val="24"/>
          <w:highlight w:val="none"/>
          <w:lang w:val="en-US" w:eastAsia="zh-CN" w:bidi="ar-SA"/>
        </w:rPr>
        <w:t>（七）项目评</w:t>
      </w:r>
      <w:bookmarkEnd w:id="296"/>
      <w:bookmarkEnd w:id="297"/>
      <w:bookmarkEnd w:id="298"/>
      <w:r>
        <w:rPr>
          <w:rFonts w:hint="eastAsia" w:ascii="宋体" w:hAnsi="宋体" w:eastAsia="宋体" w:cs="宋体"/>
          <w:b/>
          <w:bCs/>
          <w:color w:val="auto"/>
          <w:kern w:val="2"/>
          <w:sz w:val="24"/>
          <w:szCs w:val="24"/>
          <w:highlight w:val="none"/>
          <w:lang w:val="en-US" w:eastAsia="zh-CN" w:bidi="ar-SA"/>
        </w:rPr>
        <w:t>审</w:t>
      </w:r>
      <w:bookmarkEnd w:id="299"/>
    </w:p>
    <w:p w14:paraId="4C04DF4E">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25.评审方法、程序及标准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仿宋_GB2312"/>
          <w:i w:val="0"/>
          <w:iCs w:val="0"/>
          <w:snapToGrid w:val="0"/>
          <w:color w:val="auto"/>
          <w:highlight w:val="none"/>
          <w:lang w:val="en-US" w:eastAsia="zh-CN"/>
        </w:rPr>
      </w:pPr>
      <w:r>
        <w:rPr>
          <w:rFonts w:cs="仿宋_GB2312"/>
          <w:i w:val="0"/>
          <w:iCs w:val="0"/>
          <w:snapToGrid w:val="0"/>
          <w:color w:val="auto"/>
          <w:highlight w:val="none"/>
          <w:lang w:val="zh-CN"/>
        </w:rPr>
        <w:t>2</w:t>
      </w:r>
      <w:r>
        <w:rPr>
          <w:rFonts w:hint="eastAsia" w:cs="仿宋_GB2312"/>
          <w:i w:val="0"/>
          <w:iCs w:val="0"/>
          <w:snapToGrid w:val="0"/>
          <w:color w:val="auto"/>
          <w:highlight w:val="none"/>
          <w:lang w:val="en-US" w:eastAsia="zh-CN"/>
        </w:rPr>
        <w:t>5</w:t>
      </w:r>
      <w:r>
        <w:rPr>
          <w:rFonts w:cs="仿宋_GB2312"/>
          <w:i w:val="0"/>
          <w:iCs w:val="0"/>
          <w:snapToGrid w:val="0"/>
          <w:color w:val="auto"/>
          <w:highlight w:val="none"/>
          <w:lang w:val="zh-CN"/>
        </w:rPr>
        <w:t>.1</w:t>
      </w:r>
      <w:r>
        <w:rPr>
          <w:rFonts w:hint="eastAsia" w:cs="仿宋_GB2312"/>
          <w:i w:val="0"/>
          <w:iCs w:val="0"/>
          <w:snapToGrid w:val="0"/>
          <w:color w:val="auto"/>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cs="仿宋_GB2312"/>
          <w:i w:val="0"/>
          <w:iCs w:val="0"/>
          <w:snapToGrid w:val="0"/>
          <w:color w:val="auto"/>
          <w:highlight w:val="none"/>
          <w:lang w:val="zh-CN" w:eastAsia="zh-CN"/>
        </w:rPr>
        <w:t>综合评分法，是指响应文件满足磋商文件全部实质性要求且按评审因素的量化</w:t>
      </w:r>
      <w:r>
        <w:rPr>
          <w:rFonts w:hint="eastAsia" w:cs="仿宋_GB2312"/>
          <w:i w:val="0"/>
          <w:iCs w:val="0"/>
          <w:snapToGrid w:val="0"/>
          <w:color w:val="auto"/>
          <w:highlight w:val="none"/>
          <w:lang w:val="zh-CN" w:eastAsia="zh-CN"/>
        </w:rPr>
        <w:t>指标评审得分最高的供应商为成交候选供应商的评审方法。</w:t>
      </w:r>
    </w:p>
    <w:p w14:paraId="22FC5B5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本</w:t>
      </w:r>
      <w:r>
        <w:rPr>
          <w:rFonts w:cs="仿宋_GB2312"/>
          <w:i w:val="0"/>
          <w:iCs w:val="0"/>
          <w:snapToGrid w:val="0"/>
          <w:color w:val="auto"/>
          <w:highlight w:val="none"/>
          <w:lang w:val="zh-CN"/>
        </w:rPr>
        <w:t>项目评审方法、程序及标准详见“第</w:t>
      </w:r>
      <w:r>
        <w:rPr>
          <w:rFonts w:hint="eastAsia" w:cs="仿宋_GB2312"/>
          <w:i w:val="0"/>
          <w:iCs w:val="0"/>
          <w:snapToGrid w:val="0"/>
          <w:color w:val="auto"/>
          <w:highlight w:val="none"/>
          <w:lang w:val="en-US" w:eastAsia="zh-CN"/>
        </w:rPr>
        <w:t>四</w:t>
      </w:r>
      <w:r>
        <w:rPr>
          <w:rFonts w:cs="仿宋_GB2312"/>
          <w:i w:val="0"/>
          <w:iCs w:val="0"/>
          <w:snapToGrid w:val="0"/>
          <w:color w:val="auto"/>
          <w:highlight w:val="none"/>
          <w:lang w:val="zh-CN"/>
        </w:rPr>
        <w:t>章 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cs="仿宋_GB2312"/>
          <w:i w:val="0"/>
          <w:iCs w:val="0"/>
          <w:snapToGrid w:val="0"/>
          <w:color w:val="auto"/>
          <w:highlight w:val="none"/>
          <w:lang w:val="zh-CN"/>
        </w:rPr>
        <w:t>”。</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ascii="宋体" w:hAnsi="宋体" w:eastAsia="宋体" w:cs="仿宋_GB2312"/>
          <w:i w:val="0"/>
          <w:iCs w:val="0"/>
          <w:snapToGrid w:val="0"/>
          <w:color w:val="auto"/>
          <w:highlight w:val="none"/>
          <w:lang w:val="zh-CN"/>
        </w:rPr>
      </w:pPr>
      <w:r>
        <w:rPr>
          <w:rFonts w:cs="仿宋_GB2312"/>
          <w:i w:val="0"/>
          <w:iCs w:val="0"/>
          <w:snapToGrid w:val="0"/>
          <w:color w:val="auto"/>
          <w:highlight w:val="none"/>
          <w:lang w:val="zh-CN"/>
        </w:rPr>
        <w:t>2</w:t>
      </w:r>
      <w:r>
        <w:rPr>
          <w:rFonts w:hint="eastAsia" w:cs="仿宋_GB2312"/>
          <w:i w:val="0"/>
          <w:iCs w:val="0"/>
          <w:snapToGrid w:val="0"/>
          <w:color w:val="auto"/>
          <w:highlight w:val="none"/>
          <w:lang w:val="en-US" w:eastAsia="zh-CN"/>
        </w:rPr>
        <w:t>5</w:t>
      </w:r>
      <w:r>
        <w:rPr>
          <w:rFonts w:cs="仿宋_GB2312"/>
          <w:i w:val="0"/>
          <w:iCs w:val="0"/>
          <w:snapToGrid w:val="0"/>
          <w:color w:val="auto"/>
          <w:highlight w:val="none"/>
          <w:lang w:val="zh-CN"/>
        </w:rPr>
        <w:t>.2磋商准备：供应商应当按照“</w:t>
      </w:r>
      <w:r>
        <w:rPr>
          <w:rFonts w:hint="eastAsia" w:cs="仿宋_GB2312"/>
          <w:i w:val="0"/>
          <w:iCs w:val="0"/>
          <w:snapToGrid w:val="0"/>
          <w:color w:val="auto"/>
          <w:highlight w:val="none"/>
          <w:lang w:val="zh-CN" w:eastAsia="zh-CN"/>
        </w:rPr>
        <w:t>第</w:t>
      </w:r>
      <w:r>
        <w:rPr>
          <w:rFonts w:hint="eastAsia" w:cs="仿宋_GB2312"/>
          <w:i w:val="0"/>
          <w:iCs w:val="0"/>
          <w:snapToGrid w:val="0"/>
          <w:color w:val="auto"/>
          <w:highlight w:val="none"/>
          <w:lang w:val="en-US" w:eastAsia="zh-CN"/>
        </w:rPr>
        <w:t>二</w:t>
      </w:r>
      <w:r>
        <w:rPr>
          <w:rFonts w:hint="eastAsia" w:cs="仿宋_GB2312"/>
          <w:i w:val="0"/>
          <w:iCs w:val="0"/>
          <w:snapToGrid w:val="0"/>
          <w:color w:val="auto"/>
          <w:highlight w:val="none"/>
          <w:lang w:val="zh-CN" w:eastAsia="zh-CN"/>
        </w:rPr>
        <w:t xml:space="preserve">章 </w:t>
      </w:r>
      <w:r>
        <w:rPr>
          <w:rFonts w:hint="eastAsia" w:cs="仿宋_GB2312"/>
          <w:i w:val="0"/>
          <w:iCs w:val="0"/>
          <w:snapToGrid w:val="0"/>
          <w:color w:val="auto"/>
          <w:highlight w:val="none"/>
          <w:lang w:val="en-US" w:eastAsia="zh-CN"/>
        </w:rPr>
        <w:t>供应商须知</w:t>
      </w:r>
      <w:r>
        <w:rPr>
          <w:rFonts w:cs="仿宋_GB2312"/>
          <w:i w:val="0"/>
          <w:iCs w:val="0"/>
          <w:snapToGrid w:val="0"/>
          <w:color w:val="auto"/>
          <w:highlight w:val="none"/>
          <w:lang w:val="zh-CN"/>
        </w:rPr>
        <w:t>”</w:t>
      </w:r>
      <w:r>
        <w:rPr>
          <w:rFonts w:hint="eastAsia" w:cs="仿宋_GB2312"/>
          <w:i w:val="0"/>
          <w:iCs w:val="0"/>
          <w:snapToGrid w:val="0"/>
          <w:color w:val="auto"/>
          <w:highlight w:val="none"/>
          <w:lang w:val="en-US" w:eastAsia="zh-CN"/>
        </w:rPr>
        <w:t>的</w:t>
      </w:r>
      <w:r>
        <w:rPr>
          <w:rFonts w:cs="仿宋_GB2312"/>
          <w:i w:val="0"/>
          <w:iCs w:val="0"/>
          <w:snapToGrid w:val="0"/>
          <w:color w:val="auto"/>
          <w:highlight w:val="none"/>
          <w:lang w:val="zh-CN"/>
        </w:rPr>
        <w:t>要求提前准备好磋商所需的设备，确保设备稳定可靠、互联网畅通</w:t>
      </w:r>
      <w:r>
        <w:rPr>
          <w:rFonts w:hint="eastAsia" w:cs="仿宋_GB2312"/>
          <w:i w:val="0"/>
          <w:iCs w:val="0"/>
          <w:snapToGrid w:val="0"/>
          <w:color w:val="auto"/>
          <w:highlight w:val="none"/>
          <w:lang w:val="zh-CN"/>
        </w:rPr>
        <w:t>。</w:t>
      </w:r>
      <w:r>
        <w:rPr>
          <w:rFonts w:hint="eastAsia" w:cs="仿宋_GB2312"/>
          <w:i w:val="0"/>
          <w:iCs w:val="0"/>
          <w:color w:val="auto"/>
          <w:szCs w:val="24"/>
          <w:highlight w:val="none"/>
        </w:rPr>
        <w:t>供应商登录供应商客户端，</w:t>
      </w:r>
      <w:r>
        <w:rPr>
          <w:rFonts w:cs="仿宋_GB2312"/>
          <w:i w:val="0"/>
          <w:iCs w:val="0"/>
          <w:snapToGrid w:val="0"/>
          <w:color w:val="auto"/>
          <w:highlight w:val="none"/>
          <w:lang w:val="zh-CN"/>
        </w:rPr>
        <w:t>通过</w:t>
      </w:r>
      <w:r>
        <w:rPr>
          <w:rFonts w:hint="eastAsia" w:cs="仿宋_GB2312"/>
          <w:i w:val="0"/>
          <w:iCs w:val="0"/>
          <w:snapToGrid w:val="0"/>
          <w:color w:val="auto"/>
          <w:highlight w:val="none"/>
          <w:lang w:val="zh-CN"/>
        </w:rPr>
        <w:t>供应商客户端</w:t>
      </w:r>
      <w:r>
        <w:rPr>
          <w:rFonts w:cs="仿宋_GB2312"/>
          <w:i w:val="0"/>
          <w:iCs w:val="0"/>
          <w:snapToGrid w:val="0"/>
          <w:color w:val="auto"/>
          <w:highlight w:val="none"/>
          <w:lang w:val="zh-CN"/>
        </w:rPr>
        <w:t>进入</w:t>
      </w:r>
      <w:r>
        <w:rPr>
          <w:rFonts w:hint="eastAsia" w:cs="仿宋_GB2312"/>
          <w:i w:val="0"/>
          <w:iCs w:val="0"/>
          <w:snapToGrid w:val="0"/>
          <w:color w:val="auto"/>
          <w:highlight w:val="none"/>
          <w:lang w:val="zh-CN"/>
        </w:rPr>
        <w:t>交易系统</w:t>
      </w:r>
      <w:r>
        <w:rPr>
          <w:rFonts w:cs="仿宋_GB2312"/>
          <w:i w:val="0"/>
          <w:iCs w:val="0"/>
          <w:snapToGrid w:val="0"/>
          <w:color w:val="auto"/>
          <w:highlight w:val="none"/>
          <w:lang w:val="zh-CN"/>
        </w:rPr>
        <w:t>“</w:t>
      </w:r>
      <w:r>
        <w:rPr>
          <w:rFonts w:hint="eastAsia" w:cs="仿宋_GB2312"/>
          <w:i w:val="0"/>
          <w:iCs w:val="0"/>
          <w:snapToGrid w:val="0"/>
          <w:color w:val="auto"/>
          <w:highlight w:val="none"/>
          <w:lang w:val="en-US" w:eastAsia="zh-CN"/>
        </w:rPr>
        <w:t>开</w:t>
      </w:r>
      <w:r>
        <w:rPr>
          <w:rFonts w:hint="eastAsia" w:cs="仿宋_GB2312"/>
          <w:i w:val="0"/>
          <w:iCs w:val="0"/>
          <w:snapToGrid w:val="0"/>
          <w:color w:val="auto"/>
          <w:highlight w:val="none"/>
          <w:lang w:val="zh-CN"/>
        </w:rPr>
        <w:t>标</w:t>
      </w:r>
      <w:r>
        <w:rPr>
          <w:rFonts w:cs="仿宋_GB2312"/>
          <w:i w:val="0"/>
          <w:iCs w:val="0"/>
          <w:snapToGrid w:val="0"/>
          <w:color w:val="auto"/>
          <w:highlight w:val="none"/>
          <w:lang w:val="zh-CN"/>
        </w:rPr>
        <w:t>大厅”，准时参加在线磋商，按照工作人员提示进行相关操作。未按上述要求进行的，导致的后果由供应</w:t>
      </w:r>
      <w:r>
        <w:rPr>
          <w:rFonts w:ascii="宋体" w:hAnsi="宋体" w:eastAsia="宋体" w:cs="仿宋_GB2312"/>
          <w:i w:val="0"/>
          <w:iCs w:val="0"/>
          <w:snapToGrid w:val="0"/>
          <w:color w:val="auto"/>
          <w:highlight w:val="none"/>
          <w:lang w:val="zh-CN"/>
        </w:rPr>
        <w:t>商自行承担。</w:t>
      </w:r>
    </w:p>
    <w:p w14:paraId="21D93F4E">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300" w:name="_Toc140132790"/>
      <w:bookmarkStart w:id="301" w:name="_Toc163492857"/>
      <w:r>
        <w:rPr>
          <w:rFonts w:hint="eastAsia" w:ascii="宋体" w:hAnsi="宋体" w:eastAsia="宋体" w:cs="宋体"/>
          <w:b/>
          <w:bCs/>
          <w:color w:val="auto"/>
          <w:kern w:val="2"/>
          <w:sz w:val="24"/>
          <w:szCs w:val="24"/>
          <w:highlight w:val="none"/>
          <w:lang w:val="en-US" w:eastAsia="zh-CN" w:bidi="ar-SA"/>
        </w:rPr>
        <w:t>26.</w:t>
      </w:r>
      <w:bookmarkEnd w:id="300"/>
      <w:bookmarkEnd w:id="301"/>
      <w:r>
        <w:rPr>
          <w:rFonts w:hint="eastAsia" w:ascii="宋体" w:hAnsi="宋体" w:eastAsia="宋体" w:cs="宋体"/>
          <w:b/>
          <w:bCs/>
          <w:color w:val="auto"/>
          <w:kern w:val="2"/>
          <w:sz w:val="24"/>
          <w:szCs w:val="24"/>
          <w:highlight w:val="none"/>
          <w:lang w:val="en-US" w:eastAsia="zh-CN" w:bidi="ar-SA"/>
        </w:rPr>
        <w:t>磋商小组</w:t>
      </w:r>
    </w:p>
    <w:p w14:paraId="13BA3C1A">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7CA6B57">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.2 磋商小组成员有下列情形之一的，应当回避：</w:t>
      </w:r>
    </w:p>
    <w:p w14:paraId="6184A7ED">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（1）参加采购活动前3年内与</w:t>
      </w:r>
      <w:r>
        <w:rPr>
          <w:rFonts w:hint="eastAsia"/>
          <w:i w:val="0"/>
          <w:iCs w:val="0"/>
          <w:color w:val="auto"/>
          <w:highlight w:val="none"/>
          <w:lang w:val="en-US" w:eastAsia="zh-CN"/>
        </w:rPr>
        <w:t>磋商供应商</w:t>
      </w:r>
      <w:r>
        <w:rPr>
          <w:rFonts w:hint="eastAsia"/>
          <w:i w:val="0"/>
          <w:iCs w:val="0"/>
          <w:color w:val="auto"/>
          <w:highlight w:val="none"/>
        </w:rPr>
        <w:t>存在劳动关系；</w:t>
      </w:r>
    </w:p>
    <w:p w14:paraId="655F14B3">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（2）参加采购活动前3年内担任</w:t>
      </w:r>
      <w:r>
        <w:rPr>
          <w:rFonts w:hint="eastAsia"/>
          <w:i w:val="0"/>
          <w:iCs w:val="0"/>
          <w:color w:val="auto"/>
          <w:highlight w:val="none"/>
          <w:lang w:val="en-US" w:eastAsia="zh-CN"/>
        </w:rPr>
        <w:t>磋商供应商</w:t>
      </w:r>
      <w:r>
        <w:rPr>
          <w:rFonts w:hint="eastAsia"/>
          <w:i w:val="0"/>
          <w:iCs w:val="0"/>
          <w:color w:val="auto"/>
          <w:highlight w:val="none"/>
        </w:rPr>
        <w:t>的董事、监事；</w:t>
      </w:r>
    </w:p>
    <w:p w14:paraId="0A4A464C">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（3）参加采购活动前3年内是</w:t>
      </w:r>
      <w:r>
        <w:rPr>
          <w:rFonts w:hint="eastAsia"/>
          <w:i w:val="0"/>
          <w:iCs w:val="0"/>
          <w:color w:val="auto"/>
          <w:highlight w:val="none"/>
          <w:lang w:val="en-US" w:eastAsia="zh-CN"/>
        </w:rPr>
        <w:t>磋商供应商</w:t>
      </w:r>
      <w:r>
        <w:rPr>
          <w:rFonts w:hint="eastAsia"/>
          <w:i w:val="0"/>
          <w:iCs w:val="0"/>
          <w:color w:val="auto"/>
          <w:highlight w:val="none"/>
        </w:rPr>
        <w:t>的控股股东或者实际控制人；</w:t>
      </w:r>
    </w:p>
    <w:p w14:paraId="5811B10D">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（4）与</w:t>
      </w:r>
      <w:r>
        <w:rPr>
          <w:rFonts w:hint="eastAsia"/>
          <w:i w:val="0"/>
          <w:iCs w:val="0"/>
          <w:color w:val="auto"/>
          <w:highlight w:val="none"/>
          <w:lang w:val="en-US" w:eastAsia="zh-CN"/>
        </w:rPr>
        <w:t>磋商供应商</w:t>
      </w:r>
      <w:r>
        <w:rPr>
          <w:rFonts w:hint="eastAsia"/>
          <w:i w:val="0"/>
          <w:iCs w:val="0"/>
          <w:color w:val="auto"/>
          <w:highlight w:val="none"/>
        </w:rPr>
        <w:t>的法定代表人或者负责人有夫妻、直系血亲、三代以内旁系血亲或者近姻亲关系；</w:t>
      </w:r>
    </w:p>
    <w:p w14:paraId="20FB9B78">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（5）与</w:t>
      </w:r>
      <w:r>
        <w:rPr>
          <w:rFonts w:hint="eastAsia"/>
          <w:i w:val="0"/>
          <w:iCs w:val="0"/>
          <w:color w:val="auto"/>
          <w:highlight w:val="none"/>
          <w:lang w:val="en-US" w:eastAsia="zh-CN"/>
        </w:rPr>
        <w:t>磋商供应商</w:t>
      </w:r>
      <w:r>
        <w:rPr>
          <w:rFonts w:hint="eastAsia"/>
          <w:i w:val="0"/>
          <w:iCs w:val="0"/>
          <w:color w:val="auto"/>
          <w:highlight w:val="none"/>
        </w:rPr>
        <w:t>有其他可能影响采购活动公平、公正进行的关系。</w:t>
      </w:r>
    </w:p>
    <w:p w14:paraId="25BEA5A7">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2" w:name="_Toc163492858"/>
      <w:bookmarkStart w:id="303" w:name="_Toc140132791"/>
      <w:r>
        <w:rPr>
          <w:rFonts w:hint="eastAsia" w:ascii="宋体" w:hAnsi="宋体" w:eastAsia="宋体" w:cs="宋体"/>
          <w:b/>
          <w:bCs/>
          <w:color w:val="auto"/>
          <w:kern w:val="2"/>
          <w:sz w:val="24"/>
          <w:szCs w:val="24"/>
          <w:highlight w:val="none"/>
          <w:lang w:val="en-US" w:eastAsia="zh-CN" w:bidi="ar-SA"/>
        </w:rPr>
        <w:t>27.</w:t>
      </w:r>
      <w:bookmarkEnd w:id="302"/>
      <w:bookmarkEnd w:id="303"/>
      <w:r>
        <w:rPr>
          <w:rFonts w:hint="eastAsia" w:ascii="宋体" w:hAnsi="宋体" w:eastAsia="宋体" w:cs="宋体"/>
          <w:b/>
          <w:bCs/>
          <w:color w:val="auto"/>
          <w:kern w:val="2"/>
          <w:sz w:val="24"/>
          <w:szCs w:val="24"/>
          <w:highlight w:val="none"/>
          <w:lang w:val="en-US" w:eastAsia="zh-CN" w:bidi="ar-SA"/>
        </w:rPr>
        <w:t>评审</w:t>
      </w:r>
    </w:p>
    <w:p w14:paraId="4C6C36B4">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1 </w:t>
      </w:r>
      <w:r>
        <w:rPr>
          <w:rFonts w:hint="eastAsia"/>
          <w:i w:val="0"/>
          <w:iCs w:val="0"/>
          <w:color w:val="auto"/>
          <w:highlight w:val="none"/>
        </w:rPr>
        <w:t>磋商小组按照“第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w:t>
      </w:r>
      <w:r>
        <w:rPr>
          <w:rFonts w:hint="eastAsia"/>
          <w:i w:val="0"/>
          <w:iCs w:val="0"/>
          <w:color w:val="auto"/>
          <w:highlight w:val="none"/>
          <w:lang w:val="en-US" w:eastAsia="zh-CN"/>
        </w:rPr>
        <w:t>的</w:t>
      </w:r>
      <w:r>
        <w:rPr>
          <w:rFonts w:hint="eastAsia"/>
          <w:i w:val="0"/>
          <w:iCs w:val="0"/>
          <w:color w:val="auto"/>
          <w:highlight w:val="none"/>
        </w:rPr>
        <w:t>规定对</w:t>
      </w:r>
      <w:r>
        <w:rPr>
          <w:rFonts w:hint="eastAsia"/>
          <w:i w:val="0"/>
          <w:iCs w:val="0"/>
          <w:color w:val="auto"/>
          <w:highlight w:val="none"/>
          <w:lang w:val="en-US" w:eastAsia="zh-CN"/>
        </w:rPr>
        <w:t>响应</w:t>
      </w:r>
      <w:r>
        <w:rPr>
          <w:rFonts w:hint="eastAsia"/>
          <w:i w:val="0"/>
          <w:iCs w:val="0"/>
          <w:color w:val="auto"/>
          <w:highlight w:val="none"/>
        </w:rPr>
        <w:t>文件进行评审。“第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方法及标准”没有规定的方法、评审因素和标准，不作为评</w:t>
      </w:r>
      <w:r>
        <w:rPr>
          <w:rFonts w:hint="eastAsia"/>
          <w:i w:val="0"/>
          <w:iCs w:val="0"/>
          <w:color w:val="auto"/>
          <w:highlight w:val="none"/>
          <w:lang w:val="en-US" w:eastAsia="zh-CN"/>
        </w:rPr>
        <w:t>审</w:t>
      </w:r>
      <w:r>
        <w:rPr>
          <w:rFonts w:hint="eastAsia"/>
          <w:i w:val="0"/>
          <w:iCs w:val="0"/>
          <w:color w:val="auto"/>
          <w:highlight w:val="none"/>
        </w:rPr>
        <w:t>依据。</w:t>
      </w:r>
    </w:p>
    <w:p w14:paraId="420234D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2 </w:t>
      </w:r>
      <w:r>
        <w:rPr>
          <w:rFonts w:hint="eastAsia"/>
          <w:i w:val="0"/>
          <w:iCs w:val="0"/>
          <w:color w:val="auto"/>
          <w:highlight w:val="none"/>
        </w:rPr>
        <w:t>磋商小组按“</w:t>
      </w:r>
      <w:r>
        <w:rPr>
          <w:rFonts w:hint="eastAsia"/>
          <w:i w:val="0"/>
          <w:iCs w:val="0"/>
          <w:color w:val="auto"/>
          <w:highlight w:val="none"/>
          <w:lang w:val="en-US" w:eastAsia="zh-CN"/>
        </w:rPr>
        <w:t>供应商</w:t>
      </w:r>
      <w:r>
        <w:rPr>
          <w:rFonts w:hint="eastAsia"/>
          <w:i w:val="0"/>
          <w:iCs w:val="0"/>
          <w:color w:val="auto"/>
          <w:highlight w:val="none"/>
        </w:rPr>
        <w:t>须知前附表”规定的</w:t>
      </w:r>
      <w:r>
        <w:rPr>
          <w:rFonts w:hint="eastAsia"/>
          <w:i w:val="0"/>
          <w:iCs w:val="0"/>
          <w:color w:val="auto"/>
          <w:highlight w:val="none"/>
          <w:lang w:val="en-US" w:eastAsia="zh-CN"/>
        </w:rPr>
        <w:t>成交</w:t>
      </w:r>
      <w:r>
        <w:rPr>
          <w:rFonts w:hint="eastAsia"/>
          <w:i w:val="0"/>
          <w:iCs w:val="0"/>
          <w:color w:val="auto"/>
          <w:highlight w:val="none"/>
        </w:rPr>
        <w:t>候选人数量在评</w:t>
      </w:r>
      <w:r>
        <w:rPr>
          <w:rFonts w:hint="eastAsia"/>
          <w:i w:val="0"/>
          <w:iCs w:val="0"/>
          <w:color w:val="auto"/>
          <w:highlight w:val="none"/>
          <w:lang w:val="en-US" w:eastAsia="zh-CN"/>
        </w:rPr>
        <w:t>审</w:t>
      </w:r>
      <w:r>
        <w:rPr>
          <w:rFonts w:hint="eastAsia"/>
          <w:i w:val="0"/>
          <w:iCs w:val="0"/>
          <w:color w:val="auto"/>
          <w:highlight w:val="none"/>
        </w:rPr>
        <w:t>报告中向采购人推荐</w:t>
      </w:r>
      <w:r>
        <w:rPr>
          <w:rFonts w:hint="eastAsia"/>
          <w:i w:val="0"/>
          <w:iCs w:val="0"/>
          <w:color w:val="auto"/>
          <w:highlight w:val="none"/>
          <w:lang w:val="en-US" w:eastAsia="zh-CN"/>
        </w:rPr>
        <w:t>成交</w:t>
      </w:r>
      <w:r>
        <w:rPr>
          <w:rFonts w:hint="eastAsia"/>
          <w:i w:val="0"/>
          <w:iCs w:val="0"/>
          <w:color w:val="auto"/>
          <w:highlight w:val="none"/>
        </w:rPr>
        <w:t>候选人。</w:t>
      </w:r>
    </w:p>
    <w:p w14:paraId="06FF185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27.3 开启之后，直到签订合同止，凡是属于审查、澄清、评价和比较磋商的有关资料以及确定成交意向等，均不得向供应商或者其他与评审无关的人员透露。</w:t>
      </w:r>
    </w:p>
    <w:p w14:paraId="1655FB62">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27.4 在确定成交人之前，供应商试图在响应文件审查、澄清、比较和评审时对</w:t>
      </w:r>
      <w:r>
        <w:rPr>
          <w:rFonts w:hint="eastAsia"/>
          <w:i w:val="0"/>
          <w:iCs w:val="0"/>
          <w:color w:val="auto"/>
          <w:highlight w:val="none"/>
        </w:rPr>
        <w:t>磋商小组</w:t>
      </w:r>
      <w:r>
        <w:rPr>
          <w:rFonts w:hint="eastAsia"/>
          <w:i w:val="0"/>
          <w:iCs w:val="0"/>
          <w:color w:val="auto"/>
          <w:highlight w:val="none"/>
          <w:lang w:val="en-US" w:eastAsia="zh-CN"/>
        </w:rPr>
        <w:t>、采购人和采购代理机构施加任何影响都可能导致其</w:t>
      </w:r>
      <w:r>
        <w:rPr>
          <w:rFonts w:hint="eastAsia"/>
          <w:b/>
          <w:bCs/>
          <w:i w:val="0"/>
          <w:iCs w:val="0"/>
          <w:color w:val="auto"/>
          <w:highlight w:val="none"/>
          <w:lang w:val="en-US" w:eastAsia="zh-CN"/>
        </w:rPr>
        <w:t>响应无效</w:t>
      </w:r>
      <w:r>
        <w:rPr>
          <w:rFonts w:hint="eastAsia"/>
          <w:i w:val="0"/>
          <w:iCs w:val="0"/>
          <w:color w:val="auto"/>
          <w:highlight w:val="none"/>
          <w:lang w:val="en-US" w:eastAsia="zh-CN"/>
        </w:rPr>
        <w:t>。</w:t>
      </w:r>
    </w:p>
    <w:p w14:paraId="67DE196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 电子招投标的应急措施</w:t>
      </w:r>
    </w:p>
    <w:p w14:paraId="40C422BF">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27.5.1电子开启、评审如出现下列原因，导致系统无法正常运行或无法正常评审时，应采取应急措施。</w:t>
      </w:r>
    </w:p>
    <w:p w14:paraId="4420F39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（1）系统服务器发生故障，无法访问或无法使用系统；</w:t>
      </w:r>
    </w:p>
    <w:p w14:paraId="28E034B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（2）系统的软件或数据库出现错误，不能进行正常操作；</w:t>
      </w:r>
    </w:p>
    <w:p w14:paraId="08E58AC6">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（3）系统发现有安全漏洞，有潜在的泄密危险；</w:t>
      </w:r>
    </w:p>
    <w:p w14:paraId="1C5B770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（4）病毒发作或受到外来病毒的攻击；</w:t>
      </w:r>
    </w:p>
    <w:p w14:paraId="45AC175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（5）出现其他不可抗拒的客观原因造成开评标系统无法正常使用。</w:t>
      </w:r>
    </w:p>
    <w:p w14:paraId="7B05A5B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出现上述情况时，应对未开启的暂停开启。已在系统内开启、评审的立即停止。采取应急措施时，必须对原有资料及信息作出妥善保密处理。</w:t>
      </w:r>
    </w:p>
    <w:p w14:paraId="3C2F79F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27.5.2因系统原因导致供应商均无法解密电子响应文件时，采购代理机构可在开启现场直接导入供应商在递交响应文件截止时间前递交的未加密的电子响应文件进行开启、评审。</w:t>
      </w:r>
    </w:p>
    <w:p w14:paraId="280DDAB9">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27.6 供应商瑕疵滞后发现的处理规则</w:t>
      </w:r>
    </w:p>
    <w:p w14:paraId="11E85EA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en-US" w:eastAsia="zh-CN"/>
        </w:rPr>
      </w:pPr>
      <w:r>
        <w:rPr>
          <w:rFonts w:hint="eastAsia"/>
          <w:i w:val="0"/>
          <w:iCs w:val="0"/>
          <w:color w:val="auto"/>
          <w:highlight w:val="none"/>
          <w:lang w:val="en-US" w:eastAsia="zh-CN"/>
        </w:rPr>
        <w:t>27.6.1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w:t>
      </w:r>
      <w:r>
        <w:rPr>
          <w:rFonts w:hint="eastAsia" w:ascii="宋体" w:hAnsi="宋体" w:eastAsia="宋体"/>
          <w:i w:val="0"/>
          <w:iCs w:val="0"/>
          <w:color w:val="auto"/>
          <w:highlight w:val="none"/>
          <w:lang w:val="en-US" w:eastAsia="zh-CN"/>
        </w:rPr>
        <w:t>承担。</w:t>
      </w:r>
    </w:p>
    <w:p w14:paraId="5000462B">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4" w:name="_Toc470172692"/>
      <w:bookmarkStart w:id="305" w:name="_Toc109899982"/>
      <w:bookmarkStart w:id="306" w:name="_Toc46771670"/>
      <w:bookmarkStart w:id="307" w:name="_Toc109897464"/>
      <w:bookmarkStart w:id="308" w:name="_Toc24525"/>
      <w:bookmarkStart w:id="309" w:name="_Toc109899563"/>
      <w:bookmarkStart w:id="310" w:name="_Toc109900401"/>
      <w:bookmarkStart w:id="311" w:name="_Toc163493616"/>
      <w:r>
        <w:rPr>
          <w:rFonts w:hint="eastAsia" w:ascii="宋体" w:hAnsi="宋体" w:eastAsia="宋体" w:cs="宋体"/>
          <w:b/>
          <w:bCs/>
          <w:color w:val="auto"/>
          <w:kern w:val="2"/>
          <w:sz w:val="24"/>
          <w:szCs w:val="24"/>
          <w:highlight w:val="none"/>
          <w:lang w:val="en-US" w:eastAsia="zh-CN" w:bidi="ar-SA"/>
        </w:rPr>
        <w:t>（八）成交</w:t>
      </w:r>
      <w:bookmarkEnd w:id="304"/>
      <w:bookmarkEnd w:id="305"/>
      <w:bookmarkEnd w:id="306"/>
      <w:bookmarkEnd w:id="307"/>
      <w:bookmarkEnd w:id="308"/>
      <w:bookmarkEnd w:id="309"/>
      <w:bookmarkEnd w:id="310"/>
      <w:bookmarkEnd w:id="311"/>
    </w:p>
    <w:p w14:paraId="59C81E92">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2" w:name="_Toc51674242"/>
      <w:bookmarkStart w:id="313" w:name="_Toc48846140"/>
      <w:bookmarkStart w:id="314" w:name="_Toc52960584"/>
      <w:bookmarkStart w:id="315" w:name="_Toc109899564"/>
      <w:bookmarkStart w:id="316" w:name="_Toc109900402"/>
      <w:bookmarkStart w:id="317" w:name="_Toc46771671"/>
      <w:bookmarkStart w:id="318" w:name="_Toc48688820"/>
      <w:bookmarkStart w:id="319" w:name="_Toc109899983"/>
      <w:bookmarkStart w:id="320" w:name="_Toc46772272"/>
      <w:bookmarkStart w:id="321" w:name="_Toc109897465"/>
      <w:bookmarkStart w:id="322" w:name="_Toc52962758"/>
      <w:bookmarkStart w:id="323" w:name="_Hlk143533953"/>
      <w:r>
        <w:rPr>
          <w:rFonts w:hint="eastAsia" w:ascii="宋体" w:hAnsi="宋体" w:eastAsia="宋体" w:cs="宋体"/>
          <w:b/>
          <w:bCs/>
          <w:color w:val="auto"/>
          <w:kern w:val="2"/>
          <w:sz w:val="24"/>
          <w:szCs w:val="24"/>
          <w:highlight w:val="none"/>
          <w:lang w:val="en-US" w:eastAsia="zh-CN" w:bidi="ar-SA"/>
        </w:rPr>
        <w:t>28.确定成交供应商</w:t>
      </w:r>
      <w:bookmarkEnd w:id="312"/>
      <w:bookmarkEnd w:id="313"/>
      <w:bookmarkEnd w:id="314"/>
      <w:bookmarkEnd w:id="315"/>
      <w:bookmarkEnd w:id="316"/>
      <w:bookmarkEnd w:id="317"/>
      <w:bookmarkEnd w:id="318"/>
      <w:bookmarkEnd w:id="319"/>
      <w:bookmarkEnd w:id="320"/>
      <w:bookmarkEnd w:id="321"/>
      <w:bookmarkEnd w:id="322"/>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i w:val="0"/>
          <w:iCs w:val="0"/>
          <w:snapToGrid w:val="0"/>
          <w:color w:val="auto"/>
          <w:highlight w:val="none"/>
          <w:lang w:val="zh-CN"/>
        </w:rPr>
      </w:pPr>
      <w:r>
        <w:rPr>
          <w:rFonts w:hint="eastAsia" w:cs="仿宋_GB2312"/>
          <w:i w:val="0"/>
          <w:iCs w:val="0"/>
          <w:snapToGrid w:val="0"/>
          <w:color w:val="auto"/>
          <w:highlight w:val="none"/>
          <w:lang w:val="en-US" w:eastAsia="zh-CN"/>
        </w:rPr>
        <w:t>28</w:t>
      </w:r>
      <w:r>
        <w:rPr>
          <w:rFonts w:hint="eastAsia" w:cs="仿宋_GB2312"/>
          <w:i w:val="0"/>
          <w:iCs w:val="0"/>
          <w:snapToGrid w:val="0"/>
          <w:color w:val="auto"/>
          <w:highlight w:val="none"/>
          <w:lang w:val="zh-CN"/>
        </w:rPr>
        <w:t>.1</w:t>
      </w:r>
      <w:r>
        <w:rPr>
          <w:rFonts w:hint="eastAsia"/>
          <w:i w:val="0"/>
          <w:iCs w:val="0"/>
          <w:snapToGrid w:val="0"/>
          <w:color w:val="auto"/>
          <w:highlight w:val="none"/>
          <w:lang w:val="zh-CN"/>
        </w:rPr>
        <w:t>确定成交供应商详见“供应商须知前附表”。</w:t>
      </w:r>
    </w:p>
    <w:p w14:paraId="4B64349D">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29.成交结果公告</w:t>
      </w:r>
    </w:p>
    <w:p w14:paraId="165444EA">
      <w:pPr>
        <w:pStyle w:val="34"/>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cs="仿宋_GB2312"/>
          <w:i w:val="0"/>
          <w:iCs w:val="0"/>
          <w:snapToGrid w:val="0"/>
          <w:color w:val="auto"/>
          <w:highlight w:val="none"/>
          <w:lang w:val="en-US" w:eastAsia="zh-CN"/>
        </w:rPr>
        <w:t>29</w:t>
      </w:r>
      <w:r>
        <w:rPr>
          <w:rFonts w:hint="eastAsia" w:cs="仿宋_GB2312"/>
          <w:i w:val="0"/>
          <w:iCs w:val="0"/>
          <w:snapToGrid w:val="0"/>
          <w:color w:val="auto"/>
          <w:highlight w:val="none"/>
          <w:lang w:val="zh-CN"/>
        </w:rPr>
        <w:t>.</w:t>
      </w:r>
      <w:r>
        <w:rPr>
          <w:rFonts w:cs="仿宋_GB2312"/>
          <w:i w:val="0"/>
          <w:iCs w:val="0"/>
          <w:snapToGrid w:val="0"/>
          <w:color w:val="auto"/>
          <w:highlight w:val="none"/>
          <w:lang w:val="zh-CN"/>
        </w:rPr>
        <w:t>1</w:t>
      </w:r>
      <w:r>
        <w:rPr>
          <w:i w:val="0"/>
          <w:iCs w:val="0"/>
          <w:color w:val="auto"/>
          <w:highlight w:val="none"/>
          <w:lang w:bidi="ar"/>
        </w:rPr>
        <w:t>采购人或者采购代理机构应当在成交供应商确定后2个工作日内，在省级以上财政部门指定的政府采购信息发布媒体上公告成交结果，磋商文件</w:t>
      </w:r>
      <w:r>
        <w:rPr>
          <w:rFonts w:hint="eastAsia"/>
          <w:i w:val="0"/>
          <w:iCs w:val="0"/>
          <w:color w:val="auto"/>
          <w:highlight w:val="none"/>
          <w:lang w:eastAsia="zh-CN" w:bidi="ar"/>
        </w:rPr>
        <w:t>、</w:t>
      </w:r>
      <w:r>
        <w:rPr>
          <w:rFonts w:hint="eastAsia"/>
          <w:bCs/>
          <w:i w:val="0"/>
          <w:iCs w:val="0"/>
          <w:color w:val="auto"/>
          <w:highlight w:val="none"/>
          <w:lang w:eastAsia="zh-CN"/>
        </w:rPr>
        <w:t>成交</w:t>
      </w:r>
      <w:r>
        <w:rPr>
          <w:rFonts w:hint="eastAsia"/>
          <w:bCs/>
          <w:i w:val="0"/>
          <w:iCs w:val="0"/>
          <w:color w:val="auto"/>
          <w:highlight w:val="none"/>
          <w:lang w:val="en-US" w:eastAsia="zh-CN"/>
        </w:rPr>
        <w:t>供应商</w:t>
      </w:r>
      <w:r>
        <w:rPr>
          <w:rFonts w:hint="eastAsia" w:ascii="宋体" w:hAnsi="宋体" w:eastAsia="宋体"/>
          <w:bCs/>
          <w:i w:val="0"/>
          <w:iCs w:val="0"/>
          <w:color w:val="auto"/>
          <w:highlight w:val="none"/>
          <w:lang w:val="en-US" w:eastAsia="zh-CN"/>
        </w:rPr>
        <w:t>的评审总得分</w:t>
      </w:r>
      <w:r>
        <w:rPr>
          <w:i w:val="0"/>
          <w:iCs w:val="0"/>
          <w:color w:val="auto"/>
          <w:highlight w:val="none"/>
          <w:lang w:bidi="ar"/>
        </w:rPr>
        <w:t>随成交结果同时公告。</w:t>
      </w:r>
    </w:p>
    <w:p w14:paraId="31CA8053">
      <w:pPr>
        <w:pStyle w:val="34"/>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bCs/>
          <w:i w:val="0"/>
          <w:iCs w:val="0"/>
          <w:color w:val="auto"/>
          <w:highlight w:val="none"/>
          <w:lang w:val="en-US" w:eastAsia="zh-CN"/>
        </w:rPr>
        <w:t>29</w:t>
      </w:r>
      <w:r>
        <w:rPr>
          <w:bCs/>
          <w:i w:val="0"/>
          <w:iCs w:val="0"/>
          <w:color w:val="auto"/>
          <w:highlight w:val="none"/>
        </w:rPr>
        <w:t>.2</w:t>
      </w:r>
      <w:r>
        <w:rPr>
          <w:rFonts w:hint="eastAsia"/>
          <w:bCs/>
          <w:i w:val="0"/>
          <w:iCs w:val="0"/>
          <w:color w:val="auto"/>
          <w:highlight w:val="none"/>
          <w:lang w:eastAsia="zh-CN"/>
        </w:rPr>
        <w:t>成交</w:t>
      </w:r>
      <w:r>
        <w:rPr>
          <w:rFonts w:hint="eastAsia"/>
          <w:bCs/>
          <w:i w:val="0"/>
          <w:iCs w:val="0"/>
          <w:color w:val="auto"/>
          <w:highlight w:val="none"/>
          <w:lang w:val="en-US" w:eastAsia="zh-CN"/>
        </w:rPr>
        <w:t>人</w:t>
      </w:r>
      <w:r>
        <w:rPr>
          <w:rFonts w:hint="eastAsia"/>
          <w:bCs/>
          <w:i w:val="0"/>
          <w:iCs w:val="0"/>
          <w:color w:val="auto"/>
          <w:highlight w:val="none"/>
          <w:lang w:eastAsia="zh-CN"/>
        </w:rPr>
        <w:t>为中小企业</w:t>
      </w:r>
      <w:r>
        <w:rPr>
          <w:rFonts w:hint="eastAsia"/>
          <w:bCs/>
          <w:i w:val="0"/>
          <w:iCs w:val="0"/>
          <w:color w:val="auto"/>
          <w:highlight w:val="none"/>
          <w:lang w:val="en-US" w:eastAsia="zh-CN"/>
        </w:rPr>
        <w:t>享受中小企业扶持政策的</w:t>
      </w:r>
      <w:r>
        <w:rPr>
          <w:rFonts w:hint="eastAsia"/>
          <w:bCs/>
          <w:i w:val="0"/>
          <w:iCs w:val="0"/>
          <w:color w:val="auto"/>
          <w:highlight w:val="none"/>
          <w:lang w:eastAsia="zh-CN"/>
        </w:rPr>
        <w:t>，其“中小企业声明函”随成交结果同时公告。成交</w:t>
      </w:r>
      <w:r>
        <w:rPr>
          <w:rFonts w:hint="eastAsia"/>
          <w:bCs/>
          <w:i w:val="0"/>
          <w:iCs w:val="0"/>
          <w:color w:val="auto"/>
          <w:highlight w:val="none"/>
          <w:lang w:val="en-US" w:eastAsia="zh-CN"/>
        </w:rPr>
        <w:t>人</w:t>
      </w:r>
      <w:r>
        <w:rPr>
          <w:rFonts w:hint="eastAsia"/>
          <w:bCs/>
          <w:i w:val="0"/>
          <w:iCs w:val="0"/>
          <w:color w:val="auto"/>
          <w:highlight w:val="none"/>
          <w:lang w:eastAsia="zh-CN"/>
        </w:rPr>
        <w:t>为残疾人福利性单位的</w:t>
      </w:r>
      <w:r>
        <w:rPr>
          <w:rFonts w:hint="eastAsia" w:ascii="宋体" w:hAnsi="宋体" w:eastAsia="宋体"/>
          <w:bCs/>
          <w:i w:val="0"/>
          <w:iCs w:val="0"/>
          <w:color w:val="auto"/>
          <w:highlight w:val="none"/>
          <w:lang w:eastAsia="zh-CN"/>
        </w:rPr>
        <w:t>，其</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残疾人福利性单位声明函</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随成交结果同时公告</w:t>
      </w:r>
      <w:r>
        <w:rPr>
          <w:rFonts w:hint="eastAsia"/>
          <w:i w:val="0"/>
          <w:iCs w:val="0"/>
          <w:color w:val="auto"/>
          <w:highlight w:val="none"/>
          <w:lang w:bidi="ar"/>
        </w:rPr>
        <w:t>。</w:t>
      </w:r>
    </w:p>
    <w:p w14:paraId="4CB6B367">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30.成交通知书</w:t>
      </w:r>
    </w:p>
    <w:p w14:paraId="3F3AC502">
      <w:pPr>
        <w:pStyle w:val="34"/>
        <w:keepNext w:val="0"/>
        <w:keepLines w:val="0"/>
        <w:pageBreakBefore w:val="0"/>
        <w:widowControl w:val="0"/>
        <w:kinsoku/>
        <w:overflowPunct/>
        <w:topLinePunct w:val="0"/>
        <w:bidi w:val="0"/>
        <w:ind w:firstLine="48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30</w:t>
      </w:r>
      <w:r>
        <w:rPr>
          <w:rFonts w:cs="仿宋_GB2312"/>
          <w:i w:val="0"/>
          <w:iCs w:val="0"/>
          <w:snapToGrid w:val="0"/>
          <w:color w:val="auto"/>
          <w:highlight w:val="none"/>
          <w:lang w:val="zh-CN"/>
        </w:rPr>
        <w:t>.1</w:t>
      </w:r>
      <w:r>
        <w:rPr>
          <w:rFonts w:hint="eastAsia" w:cs="仿宋_GB2312"/>
          <w:i w:val="0"/>
          <w:iCs w:val="0"/>
          <w:snapToGrid w:val="0"/>
          <w:color w:val="auto"/>
          <w:highlight w:val="none"/>
          <w:lang w:val="zh-CN"/>
        </w:rPr>
        <w:t>发布成交结果公告同时向成交供应商发出成交通知书。成交通知书是合同的组成部分,对成交供应商和采购人具有同等法律效力。</w:t>
      </w:r>
    </w:p>
    <w:p w14:paraId="3E2C2D81">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4" w:name="_Toc163493617"/>
      <w:bookmarkStart w:id="325" w:name="_Toc23301"/>
      <w:r>
        <w:rPr>
          <w:rFonts w:hint="eastAsia" w:ascii="宋体" w:hAnsi="宋体" w:eastAsia="宋体" w:cs="宋体"/>
          <w:b/>
          <w:bCs/>
          <w:color w:val="auto"/>
          <w:kern w:val="2"/>
          <w:sz w:val="24"/>
          <w:szCs w:val="24"/>
          <w:highlight w:val="none"/>
          <w:lang w:val="en-US" w:eastAsia="zh-CN" w:bidi="ar-SA"/>
        </w:rPr>
        <w:t>（九）签订合同</w:t>
      </w:r>
      <w:bookmarkEnd w:id="324"/>
      <w:bookmarkEnd w:id="325"/>
    </w:p>
    <w:p w14:paraId="6F871425">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6" w:name="_Toc46771672"/>
      <w:bookmarkStart w:id="327" w:name="_Toc48688821"/>
      <w:bookmarkStart w:id="328" w:name="_Toc52960585"/>
      <w:bookmarkStart w:id="329" w:name="_Toc46772273"/>
      <w:bookmarkStart w:id="330" w:name="_Toc109899984"/>
      <w:bookmarkStart w:id="331" w:name="_Toc109897466"/>
      <w:bookmarkStart w:id="332" w:name="_Toc48846141"/>
      <w:bookmarkStart w:id="333" w:name="_Toc109899565"/>
      <w:bookmarkStart w:id="334" w:name="_Toc109900403"/>
      <w:bookmarkStart w:id="335" w:name="_Toc51674243"/>
      <w:bookmarkStart w:id="336" w:name="_Toc52962759"/>
      <w:r>
        <w:rPr>
          <w:rFonts w:hint="eastAsia" w:ascii="宋体" w:hAnsi="宋体" w:eastAsia="宋体" w:cs="宋体"/>
          <w:b/>
          <w:bCs/>
          <w:color w:val="auto"/>
          <w:kern w:val="2"/>
          <w:sz w:val="24"/>
          <w:szCs w:val="24"/>
          <w:highlight w:val="none"/>
          <w:lang w:val="en-US" w:eastAsia="zh-CN" w:bidi="ar-SA"/>
        </w:rPr>
        <w:t>31.履约保证金</w:t>
      </w:r>
    </w:p>
    <w:p w14:paraId="2934878C">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.1在签订合同前，</w:t>
      </w:r>
      <w:r>
        <w:rPr>
          <w:rFonts w:hint="eastAsia"/>
          <w:i w:val="0"/>
          <w:iCs w:val="0"/>
          <w:color w:val="auto"/>
          <w:highlight w:val="none"/>
        </w:rPr>
        <w:t>成交供应商</w:t>
      </w:r>
      <w:r>
        <w:rPr>
          <w:i w:val="0"/>
          <w:iCs w:val="0"/>
          <w:color w:val="auto"/>
          <w:highlight w:val="none"/>
        </w:rPr>
        <w:t>应按“</w:t>
      </w:r>
      <w:r>
        <w:rPr>
          <w:rFonts w:hint="eastAsia"/>
          <w:i w:val="0"/>
          <w:iCs w:val="0"/>
          <w:color w:val="auto"/>
          <w:highlight w:val="none"/>
        </w:rPr>
        <w:t>供应商</w:t>
      </w:r>
      <w:r>
        <w:rPr>
          <w:i w:val="0"/>
          <w:iCs w:val="0"/>
          <w:color w:val="auto"/>
          <w:highlight w:val="none"/>
        </w:rPr>
        <w:t>须知前附表”规定的金额、担保形式和采购人认可的履约担保格式向采购人提交履约保证金。</w:t>
      </w:r>
    </w:p>
    <w:p w14:paraId="429BB4A0">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.2</w:t>
      </w:r>
      <w:r>
        <w:rPr>
          <w:rFonts w:hint="eastAsia"/>
          <w:i w:val="0"/>
          <w:iCs w:val="0"/>
          <w:color w:val="auto"/>
          <w:highlight w:val="none"/>
        </w:rPr>
        <w:t>成交供应商</w:t>
      </w:r>
      <w:r>
        <w:rPr>
          <w:i w:val="0"/>
          <w:iCs w:val="0"/>
          <w:color w:val="auto"/>
          <w:highlight w:val="none"/>
        </w:rPr>
        <w:t>不能按本章第3</w:t>
      </w:r>
      <w:r>
        <w:rPr>
          <w:rFonts w:hint="eastAsia"/>
          <w:i w:val="0"/>
          <w:iCs w:val="0"/>
          <w:color w:val="auto"/>
          <w:highlight w:val="none"/>
          <w:lang w:val="en-US" w:eastAsia="zh-CN"/>
        </w:rPr>
        <w:t>1</w:t>
      </w:r>
      <w:r>
        <w:rPr>
          <w:i w:val="0"/>
          <w:iCs w:val="0"/>
          <w:color w:val="auto"/>
          <w:highlight w:val="none"/>
        </w:rPr>
        <w:t>.1项要求提交履约担保的，视为放弃</w:t>
      </w:r>
      <w:r>
        <w:rPr>
          <w:rFonts w:hint="eastAsia"/>
          <w:i w:val="0"/>
          <w:iCs w:val="0"/>
          <w:color w:val="auto"/>
          <w:highlight w:val="none"/>
        </w:rPr>
        <w:t>成交</w:t>
      </w:r>
      <w:r>
        <w:rPr>
          <w:i w:val="0"/>
          <w:iCs w:val="0"/>
          <w:color w:val="auto"/>
          <w:highlight w:val="none"/>
        </w:rPr>
        <w:t>，给采购人造成损失的，</w:t>
      </w:r>
      <w:r>
        <w:rPr>
          <w:rFonts w:hint="eastAsia"/>
          <w:i w:val="0"/>
          <w:iCs w:val="0"/>
          <w:color w:val="auto"/>
          <w:highlight w:val="none"/>
        </w:rPr>
        <w:t>成交供应商</w:t>
      </w:r>
      <w:r>
        <w:rPr>
          <w:i w:val="0"/>
          <w:iCs w:val="0"/>
          <w:color w:val="auto"/>
          <w:highlight w:val="none"/>
        </w:rPr>
        <w:t>还应当承担民事责任。</w:t>
      </w:r>
    </w:p>
    <w:p w14:paraId="2B0382DC">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32.签订合同</w:t>
      </w:r>
      <w:bookmarkEnd w:id="326"/>
      <w:bookmarkEnd w:id="327"/>
      <w:bookmarkEnd w:id="328"/>
      <w:bookmarkEnd w:id="329"/>
      <w:bookmarkEnd w:id="330"/>
      <w:bookmarkEnd w:id="331"/>
      <w:bookmarkEnd w:id="332"/>
      <w:bookmarkEnd w:id="333"/>
      <w:bookmarkEnd w:id="334"/>
      <w:bookmarkEnd w:id="335"/>
      <w:bookmarkEnd w:id="336"/>
    </w:p>
    <w:p w14:paraId="3E1F8F97">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snapToGrid w:val="0"/>
          <w:color w:val="auto"/>
          <w:highlight w:val="none"/>
          <w:lang w:val="zh-CN"/>
        </w:rPr>
        <w:t>3</w:t>
      </w:r>
      <w:r>
        <w:rPr>
          <w:rFonts w:hint="eastAsia"/>
          <w:i w:val="0"/>
          <w:iCs w:val="0"/>
          <w:snapToGrid w:val="0"/>
          <w:color w:val="auto"/>
          <w:highlight w:val="none"/>
          <w:lang w:val="en-US" w:eastAsia="zh-CN"/>
        </w:rPr>
        <w:t>2</w:t>
      </w:r>
      <w:r>
        <w:rPr>
          <w:i w:val="0"/>
          <w:iCs w:val="0"/>
          <w:snapToGrid w:val="0"/>
          <w:color w:val="auto"/>
          <w:highlight w:val="none"/>
          <w:lang w:val="zh-CN"/>
        </w:rPr>
        <w:t>.1</w:t>
      </w:r>
      <w:r>
        <w:rPr>
          <w:rFonts w:hint="eastAsia"/>
          <w:i w:val="0"/>
          <w:iCs w:val="0"/>
          <w:snapToGrid w:val="0"/>
          <w:color w:val="auto"/>
          <w:highlight w:val="none"/>
          <w:lang w:val="zh-CN"/>
        </w:rPr>
        <w:t>采购人与成交供应商应当在成交通知书发出之日起</w:t>
      </w:r>
      <w:r>
        <w:rPr>
          <w:rFonts w:hint="eastAsia"/>
          <w:i w:val="0"/>
          <w:iCs w:val="0"/>
          <w:snapToGrid w:val="0"/>
          <w:color w:val="auto"/>
          <w:highlight w:val="none"/>
          <w:lang w:val="en-US" w:eastAsia="zh-CN"/>
        </w:rPr>
        <w:t>25</w:t>
      </w:r>
      <w:r>
        <w:rPr>
          <w:rFonts w:hint="eastAsia"/>
          <w:i w:val="0"/>
          <w:iCs w:val="0"/>
          <w:snapToGrid w:val="0"/>
          <w:color w:val="auto"/>
          <w:highlight w:val="none"/>
          <w:lang w:val="zh-CN"/>
        </w:rPr>
        <w:t>日内，按照磋商文件确定的合同文本以及采购标的、规格型号、采购金额、采购数量、技术和服务要求等事项签订政府采购合同。</w:t>
      </w:r>
      <w:r>
        <w:rPr>
          <w:rFonts w:hint="eastAsia"/>
          <w:i w:val="0"/>
          <w:iCs w:val="0"/>
          <w:color w:val="auto"/>
          <w:highlight w:val="none"/>
        </w:rPr>
        <w:t>采购人因不可抗力原因迟延签订合同的，应当自不可抗力事由消除之日起</w:t>
      </w:r>
      <w:r>
        <w:rPr>
          <w:i w:val="0"/>
          <w:iCs w:val="0"/>
          <w:color w:val="auto"/>
          <w:highlight w:val="none"/>
        </w:rPr>
        <w:t>7日内完成合同签订事宜。</w:t>
      </w:r>
      <w:r>
        <w:rPr>
          <w:rFonts w:hint="eastAsia"/>
          <w:i w:val="0"/>
          <w:iCs w:val="0"/>
          <w:color w:val="auto"/>
          <w:highlight w:val="none"/>
        </w:rPr>
        <w:t>所签订的合同不得对</w:t>
      </w:r>
      <w:r>
        <w:rPr>
          <w:rFonts w:hint="eastAsia"/>
          <w:i w:val="0"/>
          <w:iCs w:val="0"/>
          <w:color w:val="auto"/>
          <w:highlight w:val="none"/>
          <w:lang w:val="en-US" w:eastAsia="zh-CN"/>
        </w:rPr>
        <w:t>磋商</w:t>
      </w:r>
      <w:r>
        <w:rPr>
          <w:rFonts w:hint="eastAsia"/>
          <w:i w:val="0"/>
          <w:iCs w:val="0"/>
          <w:color w:val="auto"/>
          <w:highlight w:val="none"/>
        </w:rPr>
        <w:t>文件和</w:t>
      </w:r>
      <w:r>
        <w:rPr>
          <w:rFonts w:hint="eastAsia"/>
          <w:i w:val="0"/>
          <w:iCs w:val="0"/>
          <w:color w:val="auto"/>
          <w:highlight w:val="none"/>
          <w:lang w:val="en-US" w:eastAsia="zh-CN"/>
        </w:rPr>
        <w:t>成交供应商响应</w:t>
      </w:r>
      <w:r>
        <w:rPr>
          <w:rFonts w:hint="eastAsia"/>
          <w:i w:val="0"/>
          <w:iCs w:val="0"/>
          <w:color w:val="auto"/>
          <w:highlight w:val="none"/>
        </w:rPr>
        <w:t>文件作实质性修改。</w:t>
      </w:r>
      <w:r>
        <w:rPr>
          <w:rFonts w:hint="eastAsia"/>
          <w:i w:val="0"/>
          <w:iCs w:val="0"/>
          <w:color w:val="auto"/>
          <w:highlight w:val="none"/>
          <w:lang w:val="en-US" w:eastAsia="zh-CN"/>
        </w:rPr>
        <w:t>成交</w:t>
      </w:r>
      <w:r>
        <w:rPr>
          <w:rFonts w:hint="eastAsia"/>
          <w:i w:val="0"/>
          <w:iCs w:val="0"/>
          <w:color w:val="auto"/>
          <w:highlight w:val="none"/>
        </w:rPr>
        <w:t>人无正当理由拒签合同，给采购人造成损失的，</w:t>
      </w:r>
      <w:r>
        <w:rPr>
          <w:rFonts w:hint="eastAsia"/>
          <w:i w:val="0"/>
          <w:iCs w:val="0"/>
          <w:color w:val="auto"/>
          <w:highlight w:val="none"/>
          <w:lang w:val="en-US" w:eastAsia="zh-CN"/>
        </w:rPr>
        <w:t>成交</w:t>
      </w:r>
      <w:r>
        <w:rPr>
          <w:rFonts w:hint="eastAsia"/>
          <w:i w:val="0"/>
          <w:iCs w:val="0"/>
          <w:color w:val="auto"/>
          <w:highlight w:val="none"/>
        </w:rPr>
        <w:t>人还应当承担民事责任。</w:t>
      </w:r>
    </w:p>
    <w:p w14:paraId="4F6A5CF0">
      <w:pPr>
        <w:pStyle w:val="34"/>
        <w:keepNext w:val="0"/>
        <w:keepLines w:val="0"/>
        <w:pageBreakBefore w:val="0"/>
        <w:widowControl w:val="0"/>
        <w:kinsoku/>
        <w:overflowPunct/>
        <w:topLinePunct w:val="0"/>
        <w:bidi w:val="0"/>
        <w:ind w:firstLine="480"/>
        <w:textAlignment w:val="auto"/>
        <w:rPr>
          <w:i w:val="0"/>
          <w:iCs w:val="0"/>
          <w:color w:val="auto"/>
          <w:highlight w:val="none"/>
          <w:lang w:val="zh-CN"/>
        </w:rPr>
      </w:pPr>
      <w:r>
        <w:rPr>
          <w:i w:val="0"/>
          <w:iCs w:val="0"/>
          <w:color w:val="auto"/>
          <w:highlight w:val="none"/>
        </w:rPr>
        <w:t>3</w:t>
      </w:r>
      <w:r>
        <w:rPr>
          <w:rFonts w:hint="eastAsia"/>
          <w:i w:val="0"/>
          <w:iCs w:val="0"/>
          <w:color w:val="auto"/>
          <w:highlight w:val="none"/>
          <w:lang w:val="en-US" w:eastAsia="zh-CN"/>
        </w:rPr>
        <w:t>2</w:t>
      </w:r>
      <w:r>
        <w:rPr>
          <w:i w:val="0"/>
          <w:iCs w:val="0"/>
          <w:color w:val="auto"/>
          <w:highlight w:val="none"/>
        </w:rPr>
        <w:t>.2</w:t>
      </w:r>
      <w:r>
        <w:rPr>
          <w:rFonts w:hint="eastAsia"/>
          <w:i w:val="0"/>
          <w:iCs w:val="0"/>
          <w:color w:val="auto"/>
          <w:highlight w:val="none"/>
          <w:lang w:val="zh-CN"/>
        </w:rPr>
        <w:t>成交供应商拒绝签订政府采购合同的，采购人可以</w:t>
      </w:r>
      <w:r>
        <w:rPr>
          <w:rFonts w:hint="eastAsia"/>
          <w:i w:val="0"/>
          <w:iCs w:val="0"/>
          <w:color w:val="auto"/>
          <w:highlight w:val="none"/>
          <w:lang w:val="en-US" w:eastAsia="zh-CN"/>
        </w:rPr>
        <w:t>按照</w:t>
      </w:r>
      <w:r>
        <w:rPr>
          <w:rFonts w:hint="eastAsia"/>
          <w:i w:val="0"/>
          <w:iCs w:val="0"/>
          <w:color w:val="auto"/>
          <w:highlight w:val="none"/>
          <w:lang w:val="zh-CN"/>
        </w:rPr>
        <w:t>《政府采购竞争性磋商采购方式管理暂行办法》（财库</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2014</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214号）第二十八条第二款的规定确定其他供应商作为成交供应商并签订政府采购合同，也可以重新开展采购活动。拒绝签订政府采购合同的成交供应商不得参加对该项目重新开展的采购活动。</w:t>
      </w:r>
    </w:p>
    <w:p w14:paraId="2EAB2D84">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bCs/>
          <w:i w:val="0"/>
          <w:iCs w:val="0"/>
          <w:color w:val="auto"/>
          <w:highlight w:val="none"/>
        </w:rPr>
        <w:t>.3</w:t>
      </w:r>
      <w:r>
        <w:rPr>
          <w:rFonts w:hint="eastAsia"/>
          <w:i w:val="0"/>
          <w:iCs w:val="0"/>
          <w:color w:val="auto"/>
          <w:highlight w:val="none"/>
        </w:rPr>
        <w:t>采购人和</w:t>
      </w:r>
      <w:r>
        <w:rPr>
          <w:rFonts w:hint="eastAsia"/>
          <w:i w:val="0"/>
          <w:iCs w:val="0"/>
          <w:color w:val="auto"/>
          <w:highlight w:val="none"/>
          <w:lang w:val="en-US" w:eastAsia="zh-CN"/>
        </w:rPr>
        <w:t>成交</w:t>
      </w:r>
      <w:r>
        <w:rPr>
          <w:rFonts w:hint="eastAsia"/>
          <w:i w:val="0"/>
          <w:iCs w:val="0"/>
          <w:color w:val="auto"/>
          <w:highlight w:val="none"/>
        </w:rPr>
        <w:t>供应商不得向对方提出任何不合理的要求，作为签订合同的条件，双方不得私下订立背离合同实质性内容的协议。</w:t>
      </w:r>
    </w:p>
    <w:p w14:paraId="0EC5E584">
      <w:pPr>
        <w:pStyle w:val="34"/>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32.4联合体成交的，联合体各方应当共同与采购人签订合同，就采购合同约定的事项向采购人承担连带责任。</w:t>
      </w:r>
    </w:p>
    <w:p w14:paraId="137E1005">
      <w:pPr>
        <w:pStyle w:val="34"/>
        <w:keepNext w:val="0"/>
        <w:keepLines w:val="0"/>
        <w:pageBreakBefore w:val="0"/>
        <w:widowControl w:val="0"/>
        <w:kinsoku/>
        <w:overflowPunct/>
        <w:topLinePunct w:val="0"/>
        <w:bidi w:val="0"/>
        <w:ind w:firstLine="480"/>
        <w:textAlignment w:val="auto"/>
        <w:rPr>
          <w:rFonts w:hint="eastAsia"/>
          <w:b/>
          <w:bCs/>
          <w:i w:val="0"/>
          <w:iCs w:val="0"/>
          <w:color w:val="auto"/>
          <w:highlight w:val="none"/>
          <w:lang w:val="en-US" w:eastAsia="zh-CN"/>
        </w:rPr>
      </w:pPr>
      <w:r>
        <w:rPr>
          <w:rFonts w:hint="eastAsia"/>
          <w:i w:val="0"/>
          <w:iCs w:val="0"/>
          <w:color w:val="auto"/>
          <w:highlight w:val="none"/>
          <w:lang w:val="en-US" w:eastAsia="zh-CN"/>
        </w:rPr>
        <w:t>32.5本项目的非主体、非关键性工作是否允许分包，见“供应商须知前附表”。</w:t>
      </w:r>
      <w:r>
        <w:rPr>
          <w:rFonts w:hint="eastAsia"/>
          <w:i w:val="0"/>
          <w:iCs w:val="0"/>
          <w:color w:val="auto"/>
          <w:highlight w:val="none"/>
        </w:rPr>
        <w:t>供应商未遵守竞争性磋商文件分包规定的，其</w:t>
      </w:r>
      <w:r>
        <w:rPr>
          <w:rFonts w:hint="eastAsia"/>
          <w:b/>
          <w:bCs/>
          <w:i w:val="0"/>
          <w:iCs w:val="0"/>
          <w:color w:val="auto"/>
          <w:highlight w:val="none"/>
        </w:rPr>
        <w:t>响应无效</w:t>
      </w:r>
      <w:r>
        <w:rPr>
          <w:rFonts w:hint="eastAsia"/>
          <w:i w:val="0"/>
          <w:iCs w:val="0"/>
          <w:color w:val="auto"/>
          <w:highlight w:val="none"/>
        </w:rPr>
        <w:t>。</w:t>
      </w:r>
      <w:r>
        <w:rPr>
          <w:rFonts w:hint="eastAsia"/>
          <w:i w:val="0"/>
          <w:iCs w:val="0"/>
          <w:color w:val="auto"/>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b/>
          <w:bCs/>
          <w:i w:val="0"/>
          <w:iCs w:val="0"/>
          <w:color w:val="auto"/>
          <w:highlight w:val="none"/>
          <w:lang w:val="en-US" w:eastAsia="zh-CN"/>
        </w:rPr>
        <w:t>成交无效</w:t>
      </w:r>
      <w:r>
        <w:rPr>
          <w:rFonts w:hint="eastAsia"/>
          <w:i w:val="0"/>
          <w:iCs w:val="0"/>
          <w:color w:val="auto"/>
          <w:highlight w:val="none"/>
          <w:lang w:val="en-US" w:eastAsia="zh-CN"/>
        </w:rPr>
        <w:t>。成交供应商就采购项目和分包项目向采购人负责，分包供应商就分包项目承担责任。</w:t>
      </w:r>
      <w:r>
        <w:rPr>
          <w:rFonts w:hint="eastAsia"/>
          <w:b/>
          <w:bCs/>
          <w:i w:val="0"/>
          <w:iCs w:val="0"/>
          <w:color w:val="auto"/>
          <w:highlight w:val="none"/>
          <w:lang w:val="en-US" w:eastAsia="zh-CN"/>
        </w:rPr>
        <w:t>政府采购合同不能转包。</w:t>
      </w:r>
    </w:p>
    <w:p w14:paraId="0341BE1D">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采购合同履行中，采购人需追加与合同标的相同的</w:t>
      </w:r>
      <w:r>
        <w:rPr>
          <w:rFonts w:hint="eastAsia"/>
          <w:i w:val="0"/>
          <w:iCs w:val="0"/>
          <w:color w:val="auto"/>
          <w:highlight w:val="none"/>
          <w:lang w:val="en-US" w:eastAsia="zh-CN"/>
        </w:rPr>
        <w:t>货物、工程或者服务</w:t>
      </w:r>
      <w:r>
        <w:rPr>
          <w:rFonts w:hint="eastAsia"/>
          <w:i w:val="0"/>
          <w:iCs w:val="0"/>
          <w:color w:val="auto"/>
          <w:highlight w:val="none"/>
        </w:rPr>
        <w:t>的，在不改变合同其他条款的前提下，可以与成交供应商协商签订补充合同，但所有补充合同的采购金额不得超过原合同采购金额的百分之十。</w:t>
      </w:r>
    </w:p>
    <w:p w14:paraId="43E904D8">
      <w:pPr>
        <w:pStyle w:val="34"/>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32.7</w:t>
      </w:r>
      <w:r>
        <w:rPr>
          <w:rFonts w:hint="eastAsia" w:ascii="宋体" w:hAnsi="宋体" w:eastAsia="宋体"/>
          <w:i w:val="0"/>
          <w:iCs w:val="0"/>
          <w:color w:val="auto"/>
          <w:highlight w:val="none"/>
          <w:lang w:val="en-US" w:eastAsia="zh-CN"/>
        </w:rPr>
        <w:t>采购人应于签订合同之日起2个工作日内在政采云平台备案公示。</w:t>
      </w:r>
    </w:p>
    <w:bookmarkEnd w:id="323"/>
    <w:p w14:paraId="4252B453">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7" w:name="_Toc46771673"/>
      <w:bookmarkStart w:id="338" w:name="_Toc109897467"/>
      <w:bookmarkStart w:id="339" w:name="_Toc109900404"/>
      <w:bookmarkStart w:id="340" w:name="_Toc109899985"/>
      <w:bookmarkStart w:id="341" w:name="_Toc109899566"/>
      <w:bookmarkStart w:id="342" w:name="_Toc7322"/>
      <w:bookmarkStart w:id="343" w:name="_Toc163493618"/>
      <w:bookmarkStart w:id="344" w:name="_Toc470172693"/>
      <w:r>
        <w:rPr>
          <w:rFonts w:hint="eastAsia" w:ascii="宋体" w:hAnsi="宋体" w:eastAsia="宋体" w:cs="宋体"/>
          <w:b/>
          <w:bCs/>
          <w:color w:val="auto"/>
          <w:kern w:val="2"/>
          <w:sz w:val="24"/>
          <w:szCs w:val="24"/>
          <w:highlight w:val="none"/>
          <w:lang w:val="en-US" w:eastAsia="zh-CN" w:bidi="ar-SA"/>
        </w:rPr>
        <w:t>（十）质疑和投诉</w:t>
      </w:r>
      <w:bookmarkEnd w:id="337"/>
      <w:bookmarkEnd w:id="338"/>
      <w:bookmarkEnd w:id="339"/>
      <w:bookmarkEnd w:id="340"/>
      <w:bookmarkEnd w:id="341"/>
      <w:bookmarkEnd w:id="342"/>
      <w:bookmarkEnd w:id="343"/>
    </w:p>
    <w:p w14:paraId="000ACFE7">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5" w:name="_Toc109899567"/>
      <w:bookmarkStart w:id="346" w:name="_Toc46772275"/>
      <w:bookmarkStart w:id="347" w:name="_Toc46771674"/>
      <w:bookmarkStart w:id="348" w:name="_Toc48688823"/>
      <w:bookmarkStart w:id="349" w:name="_Toc48846143"/>
      <w:bookmarkStart w:id="350" w:name="_Toc109899986"/>
      <w:bookmarkStart w:id="351" w:name="_Toc51674245"/>
      <w:bookmarkStart w:id="352" w:name="_Toc52962761"/>
      <w:bookmarkStart w:id="353" w:name="_Toc52960587"/>
      <w:bookmarkStart w:id="354" w:name="_Toc109897468"/>
      <w:bookmarkStart w:id="355" w:name="_Toc109900405"/>
      <w:r>
        <w:rPr>
          <w:rFonts w:hint="eastAsia" w:ascii="宋体" w:hAnsi="宋体" w:eastAsia="宋体" w:cs="宋体"/>
          <w:b/>
          <w:bCs/>
          <w:color w:val="auto"/>
          <w:kern w:val="2"/>
          <w:sz w:val="24"/>
          <w:szCs w:val="24"/>
          <w:highlight w:val="none"/>
          <w:lang w:val="en-US" w:eastAsia="zh-CN" w:bidi="ar-SA"/>
        </w:rPr>
        <w:t>33.质疑</w:t>
      </w:r>
      <w:bookmarkEnd w:id="345"/>
      <w:bookmarkEnd w:id="346"/>
      <w:bookmarkEnd w:id="347"/>
      <w:bookmarkEnd w:id="348"/>
      <w:bookmarkEnd w:id="349"/>
      <w:bookmarkEnd w:id="350"/>
      <w:bookmarkEnd w:id="351"/>
      <w:bookmarkEnd w:id="352"/>
      <w:bookmarkEnd w:id="353"/>
      <w:bookmarkEnd w:id="354"/>
      <w:bookmarkEnd w:id="355"/>
    </w:p>
    <w:p w14:paraId="097AA162">
      <w:pPr>
        <w:pStyle w:val="34"/>
        <w:keepNext w:val="0"/>
        <w:keepLines w:val="0"/>
        <w:pageBreakBefore w:val="0"/>
        <w:widowControl w:val="0"/>
        <w:kinsoku/>
        <w:overflowPunct/>
        <w:topLinePunct w:val="0"/>
        <w:autoSpaceDE/>
        <w:autoSpaceDN/>
        <w:bidi w:val="0"/>
        <w:adjustRightInd/>
        <w:textAlignment w:val="auto"/>
        <w:rPr>
          <w:rFonts w:hint="default"/>
          <w:i w:val="0"/>
          <w:iCs w:val="0"/>
          <w:color w:val="auto"/>
          <w:highlight w:val="none"/>
          <w:lang w:val="en-US" w:eastAsia="zh-CN"/>
        </w:rPr>
      </w:pPr>
      <w:r>
        <w:rPr>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lang w:val="zh-CN"/>
        </w:rPr>
        <w:t>.1</w:t>
      </w:r>
      <w:r>
        <w:rPr>
          <w:rFonts w:hint="eastAsia"/>
          <w:i w:val="0"/>
          <w:iCs w:val="0"/>
          <w:color w:val="auto"/>
          <w:highlight w:val="none"/>
        </w:rPr>
        <w:t>供应商认为</w:t>
      </w:r>
      <w:r>
        <w:rPr>
          <w:rFonts w:hint="eastAsia"/>
          <w:i w:val="0"/>
          <w:iCs w:val="0"/>
          <w:color w:val="auto"/>
          <w:highlight w:val="none"/>
          <w:lang w:eastAsia="zh-CN"/>
        </w:rPr>
        <w:t>磋商</w:t>
      </w:r>
      <w:r>
        <w:rPr>
          <w:rFonts w:hint="eastAsia"/>
          <w:i w:val="0"/>
          <w:iCs w:val="0"/>
          <w:color w:val="auto"/>
          <w:highlight w:val="none"/>
        </w:rPr>
        <w:t>文件、</w:t>
      </w:r>
      <w:r>
        <w:rPr>
          <w:rFonts w:hint="eastAsia"/>
          <w:i w:val="0"/>
          <w:iCs w:val="0"/>
          <w:color w:val="auto"/>
          <w:highlight w:val="none"/>
          <w:lang w:eastAsia="zh-CN"/>
        </w:rPr>
        <w:t>评审</w:t>
      </w:r>
      <w:r>
        <w:rPr>
          <w:rFonts w:hint="eastAsia"/>
          <w:i w:val="0"/>
          <w:iCs w:val="0"/>
          <w:color w:val="auto"/>
          <w:highlight w:val="none"/>
        </w:rPr>
        <w:t>过程、成交结果使自己的权益受到损害的，可以在知道或者应知其权益受到损害之日起7个工作日内，以书面形式向采购人、采购代理机构提出质疑</w:t>
      </w:r>
      <w:r>
        <w:rPr>
          <w:rFonts w:hint="eastAsia"/>
          <w:i w:val="0"/>
          <w:iCs w:val="0"/>
          <w:color w:val="auto"/>
          <w:highlight w:val="none"/>
          <w:lang w:eastAsia="zh-CN"/>
        </w:rPr>
        <w:t>，</w:t>
      </w:r>
      <w:r>
        <w:rPr>
          <w:rFonts w:hint="eastAsia"/>
          <w:i w:val="0"/>
          <w:iCs w:val="0"/>
          <w:color w:val="auto"/>
          <w:highlight w:val="none"/>
          <w:lang w:val="en-US" w:eastAsia="zh-CN"/>
        </w:rPr>
        <w:t>详见“供应商须知前附表”</w:t>
      </w:r>
      <w:r>
        <w:rPr>
          <w:rFonts w:hint="eastAsia"/>
          <w:i w:val="0"/>
          <w:iCs w:val="0"/>
          <w:color w:val="auto"/>
          <w:highlight w:val="none"/>
        </w:rPr>
        <w:t>。供应商在法定质疑期内一次性提出针对同一采购程序环节的质疑。</w:t>
      </w:r>
    </w:p>
    <w:p w14:paraId="35972B9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3</w:t>
      </w:r>
      <w:r>
        <w:rPr>
          <w:rFonts w:hint="eastAsia"/>
          <w:i w:val="0"/>
          <w:iCs w:val="0"/>
          <w:color w:val="auto"/>
          <w:highlight w:val="none"/>
        </w:rPr>
        <w:t>.2提出质疑的供应商（以下简称质疑供应商）应当是参与所质疑项目采购活动的供应商。</w:t>
      </w:r>
    </w:p>
    <w:p w14:paraId="6503DC7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33.3</w:t>
      </w:r>
      <w:r>
        <w:rPr>
          <w:rFonts w:hint="eastAsia"/>
          <w:i w:val="0"/>
          <w:iCs w:val="0"/>
          <w:color w:val="auto"/>
          <w:highlight w:val="none"/>
        </w:rPr>
        <w:t>潜在供应商已依法获取其可质疑的</w:t>
      </w:r>
      <w:r>
        <w:rPr>
          <w:rFonts w:hint="eastAsia"/>
          <w:i w:val="0"/>
          <w:iCs w:val="0"/>
          <w:color w:val="auto"/>
          <w:highlight w:val="none"/>
          <w:lang w:eastAsia="zh-CN"/>
        </w:rPr>
        <w:t>磋商</w:t>
      </w:r>
      <w:r>
        <w:rPr>
          <w:rFonts w:hint="eastAsia"/>
          <w:i w:val="0"/>
          <w:iCs w:val="0"/>
          <w:color w:val="auto"/>
          <w:highlight w:val="none"/>
        </w:rPr>
        <w:t>文件的，可以对该文件提出质疑。对</w:t>
      </w:r>
      <w:r>
        <w:rPr>
          <w:rFonts w:hint="eastAsia"/>
          <w:i w:val="0"/>
          <w:iCs w:val="0"/>
          <w:color w:val="auto"/>
          <w:highlight w:val="none"/>
          <w:lang w:eastAsia="zh-CN"/>
        </w:rPr>
        <w:t>磋商</w:t>
      </w:r>
      <w:r>
        <w:rPr>
          <w:rFonts w:hint="eastAsia"/>
          <w:i w:val="0"/>
          <w:iCs w:val="0"/>
          <w:color w:val="auto"/>
          <w:highlight w:val="none"/>
        </w:rPr>
        <w:t>文件提出质疑的，应当在获取</w:t>
      </w:r>
      <w:r>
        <w:rPr>
          <w:rFonts w:hint="eastAsia"/>
          <w:i w:val="0"/>
          <w:iCs w:val="0"/>
          <w:color w:val="auto"/>
          <w:highlight w:val="none"/>
          <w:lang w:eastAsia="zh-CN"/>
        </w:rPr>
        <w:t>磋商</w:t>
      </w:r>
      <w:r>
        <w:rPr>
          <w:rFonts w:hint="eastAsia"/>
          <w:i w:val="0"/>
          <w:iCs w:val="0"/>
          <w:color w:val="auto"/>
          <w:highlight w:val="none"/>
        </w:rPr>
        <w:t>文件或者</w:t>
      </w:r>
      <w:r>
        <w:rPr>
          <w:rFonts w:hint="eastAsia"/>
          <w:i w:val="0"/>
          <w:iCs w:val="0"/>
          <w:color w:val="auto"/>
          <w:highlight w:val="none"/>
          <w:lang w:eastAsia="zh-CN"/>
        </w:rPr>
        <w:t>磋商</w:t>
      </w:r>
      <w:r>
        <w:rPr>
          <w:rFonts w:hint="eastAsia"/>
          <w:i w:val="0"/>
          <w:iCs w:val="0"/>
          <w:color w:val="auto"/>
          <w:highlight w:val="none"/>
        </w:rPr>
        <w:t>文件公告期限届满之日起7个工作日内提出。</w:t>
      </w:r>
    </w:p>
    <w:p w14:paraId="7A916D6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33.4</w:t>
      </w:r>
      <w:r>
        <w:rPr>
          <w:rFonts w:hint="eastAsia"/>
          <w:i w:val="0"/>
          <w:iCs w:val="0"/>
          <w:color w:val="auto"/>
          <w:highlight w:val="none"/>
        </w:rPr>
        <w:t>供应商提出质疑应当提交质疑函和必要的证明材料。质疑函应当包括下列内容：</w:t>
      </w:r>
    </w:p>
    <w:p w14:paraId="57C1F480">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）供应商的姓名或者名称、地址、邮编、联系人及联系电话；</w:t>
      </w:r>
    </w:p>
    <w:p w14:paraId="2B1F4E61">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）质疑项目的名称、编号；</w:t>
      </w:r>
    </w:p>
    <w:p w14:paraId="1AA8BB74">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）具体、明确的质疑事项和与质疑事项相关的请求；</w:t>
      </w:r>
    </w:p>
    <w:p w14:paraId="6456E8B1">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D032AB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）必要的法律依据；</w:t>
      </w:r>
    </w:p>
    <w:p w14:paraId="2E14DE4D">
      <w:pPr>
        <w:pStyle w:val="34"/>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）提出质疑的日期。</w:t>
      </w:r>
    </w:p>
    <w:p w14:paraId="553B627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供应商为自然人的，应当由本人签字；供应商为法人或者其他组织的，应当由法定代表人、主要负责人，或者其授权代表签字或者盖章，并加盖公章。</w:t>
      </w:r>
    </w:p>
    <w:p w14:paraId="5F1352A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.5质疑函不符合上述要求的，采购人或代理机构应书面告知具体事项，质疑人应当按要求进行修改或补充，并在质疑有效期限内提交。</w:t>
      </w:r>
    </w:p>
    <w:p w14:paraId="76BD2AC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rPr>
        <w:t>.</w:t>
      </w:r>
      <w:r>
        <w:rPr>
          <w:rFonts w:hint="eastAsia"/>
          <w:i w:val="0"/>
          <w:iCs w:val="0"/>
          <w:snapToGrid w:val="0"/>
          <w:color w:val="auto"/>
          <w:highlight w:val="none"/>
          <w:lang w:val="en-US" w:eastAsia="zh-CN"/>
        </w:rPr>
        <w:t>6供应商</w:t>
      </w:r>
      <w:r>
        <w:rPr>
          <w:rFonts w:hint="eastAsia"/>
          <w:i w:val="0"/>
          <w:iCs w:val="0"/>
          <w:snapToGrid w:val="0"/>
          <w:color w:val="auto"/>
          <w:highlight w:val="none"/>
        </w:rPr>
        <w:t>进行虚假和恶意</w:t>
      </w:r>
      <w:r>
        <w:rPr>
          <w:rFonts w:hint="eastAsia"/>
          <w:i w:val="0"/>
          <w:iCs w:val="0"/>
          <w:snapToGrid w:val="0"/>
          <w:color w:val="auto"/>
          <w:highlight w:val="none"/>
          <w:lang w:val="en-US" w:eastAsia="zh-CN"/>
        </w:rPr>
        <w:t>质疑投诉</w:t>
      </w:r>
      <w:r>
        <w:rPr>
          <w:rFonts w:hint="eastAsia"/>
          <w:i w:val="0"/>
          <w:iCs w:val="0"/>
          <w:snapToGrid w:val="0"/>
          <w:color w:val="auto"/>
          <w:highlight w:val="none"/>
        </w:rPr>
        <w:t>的，采购代理机构将提请有关部门将其列入不良记录名单，在一至三年内禁止参加政府采购活动，并将处理决定在相关政府采购媒体上公布。</w:t>
      </w:r>
    </w:p>
    <w:p w14:paraId="0077D2B4">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lang w:val="en-US" w:eastAsia="zh-CN"/>
        </w:rPr>
        <w:t>33.7</w:t>
      </w:r>
      <w:r>
        <w:rPr>
          <w:rFonts w:hint="eastAsia"/>
          <w:i w:val="0"/>
          <w:iCs w:val="0"/>
          <w:color w:val="auto"/>
          <w:highlight w:val="none"/>
        </w:rPr>
        <w:t>质疑函</w:t>
      </w:r>
      <w:r>
        <w:rPr>
          <w:rFonts w:hint="eastAsia"/>
          <w:i w:val="0"/>
          <w:iCs w:val="0"/>
          <w:color w:val="auto"/>
          <w:highlight w:val="none"/>
          <w:lang w:val="en-US" w:eastAsia="zh-CN"/>
        </w:rPr>
        <w:t>应当使用中文，并采用财政部门制定的范本。</w:t>
      </w:r>
    </w:p>
    <w:p w14:paraId="007DBE44">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6" w:name="_Toc109900406"/>
      <w:bookmarkStart w:id="357" w:name="_Toc46772276"/>
      <w:bookmarkStart w:id="358" w:name="_Toc46771675"/>
      <w:bookmarkStart w:id="359" w:name="_Toc52960588"/>
      <w:bookmarkStart w:id="360" w:name="_Toc109899568"/>
      <w:bookmarkStart w:id="361" w:name="_Toc109899987"/>
      <w:bookmarkStart w:id="362" w:name="_Toc51674246"/>
      <w:bookmarkStart w:id="363" w:name="_Toc48688824"/>
      <w:bookmarkStart w:id="364" w:name="_Toc52962762"/>
      <w:bookmarkStart w:id="365" w:name="_Toc109897469"/>
      <w:bookmarkStart w:id="366" w:name="_Toc48846144"/>
      <w:r>
        <w:rPr>
          <w:rFonts w:hint="eastAsia" w:ascii="宋体" w:hAnsi="宋体" w:eastAsia="宋体" w:cs="宋体"/>
          <w:b/>
          <w:bCs/>
          <w:color w:val="auto"/>
          <w:kern w:val="2"/>
          <w:sz w:val="24"/>
          <w:szCs w:val="24"/>
          <w:highlight w:val="none"/>
          <w:lang w:val="en-US" w:eastAsia="zh-CN" w:bidi="ar-SA"/>
        </w:rPr>
        <w:t>34.质疑答复</w:t>
      </w:r>
      <w:bookmarkEnd w:id="356"/>
      <w:bookmarkEnd w:id="357"/>
      <w:bookmarkEnd w:id="358"/>
      <w:bookmarkEnd w:id="359"/>
      <w:bookmarkEnd w:id="360"/>
      <w:bookmarkEnd w:id="361"/>
      <w:bookmarkEnd w:id="362"/>
      <w:bookmarkEnd w:id="363"/>
      <w:bookmarkEnd w:id="364"/>
      <w:bookmarkEnd w:id="365"/>
      <w:bookmarkEnd w:id="366"/>
    </w:p>
    <w:p w14:paraId="43D7F91D">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i w:val="0"/>
          <w:iCs w:val="0"/>
          <w:snapToGrid w:val="0"/>
          <w:color w:val="auto"/>
          <w:highlight w:val="none"/>
        </w:rPr>
        <w:t>3</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w:t>
      </w:r>
      <w:r>
        <w:rPr>
          <w:rFonts w:hint="eastAsia" w:ascii="宋体" w:hAnsi="宋体" w:eastAsia="宋体"/>
          <w:i w:val="0"/>
          <w:iCs w:val="0"/>
          <w:color w:val="auto"/>
          <w:highlight w:val="none"/>
        </w:rPr>
        <w:t>采购人、采购代理机构不得拒收质疑供应商在法定质疑期内发出的质疑函，应当在收到质疑函后7个工作日内作出答复，并以书面形式通知质疑供应商和其他有关供应商。</w:t>
      </w:r>
    </w:p>
    <w:p w14:paraId="6776834F">
      <w:pPr>
        <w:pStyle w:val="34"/>
        <w:keepNext w:val="0"/>
        <w:keepLines w:val="0"/>
        <w:pageBreakBefore w:val="0"/>
        <w:widowControl w:val="0"/>
        <w:kinsoku/>
        <w:overflowPunct/>
        <w:topLinePunct w:val="0"/>
        <w:autoSpaceDE/>
        <w:autoSpaceDN/>
        <w:bidi w:val="0"/>
        <w:adjustRightInd/>
        <w:textAlignment w:val="auto"/>
        <w:rPr>
          <w:rFonts w:hint="default"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34.2供应商对评审过程、成交结果提出质疑的，采购人、采购代理机构可以组织原竞争性磋商小组协助答复质疑。</w:t>
      </w:r>
    </w:p>
    <w:p w14:paraId="14E02AAA">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质疑答复应当包括下列内容：</w:t>
      </w:r>
    </w:p>
    <w:p w14:paraId="457CAA68">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1</w:t>
      </w:r>
      <w:r>
        <w:rPr>
          <w:rFonts w:hint="eastAsia" w:ascii="宋体" w:hAnsi="宋体" w:eastAsia="宋体"/>
          <w:i w:val="0"/>
          <w:iCs w:val="0"/>
          <w:color w:val="auto"/>
          <w:highlight w:val="none"/>
          <w:lang w:val="zh-CN" w:eastAsia="zh-CN"/>
        </w:rPr>
        <w:t>）质疑供应商的姓名或者名称；</w:t>
      </w:r>
    </w:p>
    <w:p w14:paraId="462FCFC0">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2</w:t>
      </w:r>
      <w:r>
        <w:rPr>
          <w:rFonts w:hint="eastAsia" w:ascii="宋体" w:hAnsi="宋体" w:eastAsia="宋体"/>
          <w:i w:val="0"/>
          <w:iCs w:val="0"/>
          <w:color w:val="auto"/>
          <w:highlight w:val="none"/>
          <w:lang w:val="zh-CN" w:eastAsia="zh-CN"/>
        </w:rPr>
        <w:t>）收到质疑函的日期、质疑项目名称及编号；</w:t>
      </w:r>
    </w:p>
    <w:p w14:paraId="18D72157">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3</w:t>
      </w:r>
      <w:r>
        <w:rPr>
          <w:rFonts w:hint="eastAsia" w:ascii="宋体" w:hAnsi="宋体" w:eastAsia="宋体"/>
          <w:i w:val="0"/>
          <w:iCs w:val="0"/>
          <w:color w:val="auto"/>
          <w:highlight w:val="none"/>
          <w:lang w:val="zh-CN" w:eastAsia="zh-CN"/>
        </w:rPr>
        <w:t>）质疑事项、质疑答复的具体内容、事实依据和法律依据；</w:t>
      </w:r>
    </w:p>
    <w:p w14:paraId="416368F5">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4</w:t>
      </w:r>
      <w:r>
        <w:rPr>
          <w:rFonts w:hint="eastAsia" w:ascii="宋体" w:hAnsi="宋体" w:eastAsia="宋体"/>
          <w:i w:val="0"/>
          <w:iCs w:val="0"/>
          <w:color w:val="auto"/>
          <w:highlight w:val="none"/>
          <w:lang w:val="zh-CN" w:eastAsia="zh-CN"/>
        </w:rPr>
        <w:t>）告知质疑供应商依法投诉的权利；</w:t>
      </w:r>
    </w:p>
    <w:p w14:paraId="36EE796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5</w:t>
      </w:r>
      <w:r>
        <w:rPr>
          <w:rFonts w:hint="eastAsia" w:ascii="宋体" w:hAnsi="宋体" w:eastAsia="宋体"/>
          <w:i w:val="0"/>
          <w:iCs w:val="0"/>
          <w:color w:val="auto"/>
          <w:highlight w:val="none"/>
          <w:lang w:val="zh-CN" w:eastAsia="zh-CN"/>
        </w:rPr>
        <w:t>）质疑答复人名称；</w:t>
      </w:r>
    </w:p>
    <w:p w14:paraId="7E632C0C">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lang w:val="zh-CN" w:eastAsia="zh-CN"/>
        </w:rPr>
        <w:t>）答复质疑的日期。</w:t>
      </w:r>
    </w:p>
    <w:p w14:paraId="56A5E1E9">
      <w:pPr>
        <w:pStyle w:val="34"/>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en-US" w:eastAsia="zh-CN"/>
        </w:rPr>
        <w:t>34.3</w:t>
      </w:r>
      <w:r>
        <w:rPr>
          <w:rFonts w:hint="eastAsia" w:ascii="宋体" w:hAnsi="宋体" w:eastAsia="宋体"/>
          <w:i w:val="0"/>
          <w:iCs w:val="0"/>
          <w:color w:val="auto"/>
          <w:highlight w:val="none"/>
          <w:lang w:val="zh-CN" w:eastAsia="zh-CN"/>
        </w:rPr>
        <w:t>质疑答复的内容不得涉及商业秘密。</w:t>
      </w:r>
    </w:p>
    <w:p w14:paraId="64A43DE3">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35.投诉</w:t>
      </w:r>
    </w:p>
    <w:p w14:paraId="34C5EAA0">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35.1</w:t>
      </w:r>
      <w:r>
        <w:rPr>
          <w:rFonts w:hint="eastAsia"/>
          <w:i w:val="0"/>
          <w:iCs w:val="0"/>
          <w:color w:val="auto"/>
          <w:highlight w:val="none"/>
        </w:rPr>
        <w:t>质疑供应商对采购人、采购代理机构的答复不满意，或者采购人、采购代理机构未在规定时间内作出答复的，可以在答复期满后15个工作日内向</w:t>
      </w:r>
      <w:r>
        <w:rPr>
          <w:rFonts w:hint="eastAsia"/>
          <w:i w:val="0"/>
          <w:iCs w:val="0"/>
          <w:color w:val="auto"/>
          <w:highlight w:val="none"/>
          <w:lang w:val="en-US" w:eastAsia="zh-CN"/>
        </w:rPr>
        <w:t>同级政府采购监督管理部门</w:t>
      </w:r>
      <w:r>
        <w:rPr>
          <w:rFonts w:hint="eastAsia"/>
          <w:i w:val="0"/>
          <w:iCs w:val="0"/>
          <w:color w:val="auto"/>
          <w:highlight w:val="none"/>
        </w:rPr>
        <w:t>提起投诉。</w:t>
      </w:r>
    </w:p>
    <w:p w14:paraId="7AE3C0F6">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35.2</w:t>
      </w:r>
      <w:r>
        <w:rPr>
          <w:rFonts w:hint="eastAsia"/>
          <w:i w:val="0"/>
          <w:iCs w:val="0"/>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）投诉人和被投诉人的姓名或者名称、通讯地址、邮编、联系人及联系电话；</w:t>
      </w:r>
    </w:p>
    <w:p w14:paraId="1A65A103">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）质疑和质疑答复情况说明及相关证明材料；</w:t>
      </w:r>
    </w:p>
    <w:p w14:paraId="675A6D97">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）具体、明确的投诉事项和与投诉事项相关的投诉请求；</w:t>
      </w:r>
    </w:p>
    <w:p w14:paraId="4A0C1598">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CFD3E01">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）法律依据；</w:t>
      </w:r>
    </w:p>
    <w:p w14:paraId="35FA6A4A">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）提起投诉的日期。</w:t>
      </w:r>
    </w:p>
    <w:p w14:paraId="4FC7C3AB">
      <w:pPr>
        <w:pStyle w:val="34"/>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投诉人为自然人的，应当由本人签字；投诉人为法人或者其他组织的，应当由法定代表人、主要负责人，或者其授权代表签字或者盖章，并加盖公章。</w:t>
      </w:r>
    </w:p>
    <w:p w14:paraId="4DF335BD">
      <w:pPr>
        <w:pStyle w:val="34"/>
        <w:keepNext w:val="0"/>
        <w:keepLines w:val="0"/>
        <w:pageBreakBefore w:val="0"/>
        <w:widowControl w:val="0"/>
        <w:kinsoku/>
        <w:overflowPunct/>
        <w:topLinePunct w:val="0"/>
        <w:autoSpaceDE/>
        <w:autoSpaceDN/>
        <w:bidi w:val="0"/>
        <w:adjustRightInd/>
        <w:textAlignment w:val="auto"/>
        <w:rPr>
          <w:rFonts w:hint="eastAsia"/>
          <w:bCs/>
          <w:i w:val="0"/>
          <w:iCs w:val="0"/>
          <w:color w:val="auto"/>
          <w:highlight w:val="none"/>
        </w:rPr>
      </w:pPr>
      <w:r>
        <w:rPr>
          <w:rFonts w:hint="eastAsia"/>
          <w:i w:val="0"/>
          <w:iCs w:val="0"/>
          <w:color w:val="auto"/>
          <w:highlight w:val="none"/>
          <w:lang w:val="en-US" w:eastAsia="zh-CN"/>
        </w:rPr>
        <w:t>35.3</w:t>
      </w:r>
      <w:r>
        <w:rPr>
          <w:rFonts w:hint="eastAsia"/>
          <w:i w:val="0"/>
          <w:iCs w:val="0"/>
          <w:color w:val="auto"/>
          <w:highlight w:val="none"/>
        </w:rPr>
        <w:t>供应商</w:t>
      </w:r>
      <w:r>
        <w:rPr>
          <w:rFonts w:hint="eastAsia"/>
          <w:i w:val="0"/>
          <w:iCs w:val="0"/>
          <w:color w:val="auto"/>
          <w:highlight w:val="none"/>
          <w:lang w:val="en-US" w:eastAsia="zh-CN"/>
        </w:rPr>
        <w:t>质疑、</w:t>
      </w:r>
      <w:r>
        <w:rPr>
          <w:rFonts w:hint="eastAsia"/>
          <w:i w:val="0"/>
          <w:iCs w:val="0"/>
          <w:color w:val="auto"/>
          <w:highlight w:val="none"/>
        </w:rPr>
        <w:t>投诉</w:t>
      </w:r>
      <w:r>
        <w:rPr>
          <w:rFonts w:hint="eastAsia"/>
          <w:i w:val="0"/>
          <w:iCs w:val="0"/>
          <w:color w:val="auto"/>
          <w:highlight w:val="none"/>
          <w:lang w:val="en-US" w:eastAsia="zh-CN"/>
        </w:rPr>
        <w:t>应当有明确的请求和必要的证明材料</w:t>
      </w:r>
      <w:r>
        <w:rPr>
          <w:rFonts w:hint="eastAsia"/>
          <w:i w:val="0"/>
          <w:iCs w:val="0"/>
          <w:color w:val="auto"/>
          <w:highlight w:val="none"/>
          <w:lang w:eastAsia="zh-CN"/>
        </w:rPr>
        <w:t>。</w:t>
      </w:r>
      <w:r>
        <w:rPr>
          <w:rFonts w:hint="eastAsia"/>
          <w:i w:val="0"/>
          <w:iCs w:val="0"/>
          <w:color w:val="auto"/>
          <w:highlight w:val="none"/>
        </w:rPr>
        <w:t>供应商投诉的事项不得超出</w:t>
      </w:r>
      <w:r>
        <w:rPr>
          <w:rFonts w:hint="eastAsia"/>
          <w:i w:val="0"/>
          <w:iCs w:val="0"/>
          <w:color w:val="auto"/>
          <w:highlight w:val="none"/>
          <w:lang w:val="en-US" w:eastAsia="zh-CN"/>
        </w:rPr>
        <w:t>已</w:t>
      </w:r>
      <w:r>
        <w:rPr>
          <w:rFonts w:hint="eastAsia"/>
          <w:i w:val="0"/>
          <w:iCs w:val="0"/>
          <w:color w:val="auto"/>
          <w:highlight w:val="none"/>
        </w:rPr>
        <w:t>质疑事项的范围，但基于质疑答复内容提出的投诉事项除外</w:t>
      </w:r>
      <w:r>
        <w:rPr>
          <w:rFonts w:hint="eastAsia"/>
          <w:bCs/>
          <w:i w:val="0"/>
          <w:iCs w:val="0"/>
          <w:color w:val="auto"/>
          <w:highlight w:val="none"/>
        </w:rPr>
        <w:t>。</w:t>
      </w:r>
    </w:p>
    <w:p w14:paraId="6BEA34E3">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i w:val="0"/>
          <w:iCs w:val="0"/>
          <w:snapToGrid w:val="0"/>
          <w:color w:val="auto"/>
          <w:highlight w:val="none"/>
          <w:lang w:val="en-US" w:eastAsia="zh-CN"/>
        </w:rPr>
        <w:t>35.4</w:t>
      </w:r>
      <w:r>
        <w:rPr>
          <w:rFonts w:hint="eastAsia"/>
          <w:i w:val="0"/>
          <w:iCs w:val="0"/>
          <w:color w:val="auto"/>
          <w:highlight w:val="none"/>
          <w:lang w:val="en-US" w:eastAsia="zh-CN"/>
        </w:rPr>
        <w:t>投诉书应当使用中文，并采用财政部门制定的范本。</w:t>
      </w:r>
    </w:p>
    <w:bookmarkEnd w:id="100"/>
    <w:bookmarkEnd w:id="344"/>
    <w:p w14:paraId="072EB102">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7" w:name="_Toc12500"/>
      <w:bookmarkStart w:id="368" w:name="_Toc163493619"/>
      <w:bookmarkStart w:id="369" w:name="_Toc109899570"/>
      <w:bookmarkStart w:id="370" w:name="_Toc109900408"/>
      <w:bookmarkStart w:id="371" w:name="_Hlk60570485"/>
      <w:bookmarkStart w:id="372" w:name="_Toc109897471"/>
      <w:bookmarkStart w:id="373" w:name="_Toc109899989"/>
      <w:r>
        <w:rPr>
          <w:rFonts w:hint="eastAsia" w:ascii="宋体" w:hAnsi="宋体" w:eastAsia="宋体" w:cs="宋体"/>
          <w:b/>
          <w:bCs/>
          <w:color w:val="auto"/>
          <w:kern w:val="2"/>
          <w:sz w:val="24"/>
          <w:szCs w:val="24"/>
          <w:highlight w:val="none"/>
          <w:lang w:val="en-US" w:eastAsia="zh-CN" w:bidi="ar-SA"/>
        </w:rPr>
        <w:t>（十一）采购代理服务费</w:t>
      </w:r>
      <w:bookmarkEnd w:id="367"/>
      <w:bookmarkEnd w:id="368"/>
    </w:p>
    <w:p w14:paraId="32832303">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36.收取方式和标准</w:t>
      </w:r>
    </w:p>
    <w:p w14:paraId="0F0CA960">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6</w:t>
      </w:r>
      <w:r>
        <w:rPr>
          <w:rFonts w:hint="eastAsia"/>
          <w:i w:val="0"/>
          <w:iCs w:val="0"/>
          <w:color w:val="auto"/>
          <w:highlight w:val="none"/>
        </w:rPr>
        <w:t>.1采购代理机构按“供应商须知前附表”规定的方式和标准收取采购代理服务费。</w:t>
      </w:r>
    </w:p>
    <w:p w14:paraId="5E6F9613">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4" w:name="_Toc163493620"/>
      <w:bookmarkStart w:id="375" w:name="_Toc20778"/>
      <w:r>
        <w:rPr>
          <w:rFonts w:hint="eastAsia" w:ascii="宋体" w:hAnsi="宋体" w:eastAsia="宋体" w:cs="宋体"/>
          <w:b/>
          <w:bCs/>
          <w:color w:val="auto"/>
          <w:kern w:val="2"/>
          <w:sz w:val="24"/>
          <w:szCs w:val="24"/>
          <w:highlight w:val="none"/>
          <w:lang w:val="en-US" w:eastAsia="zh-CN" w:bidi="ar-SA"/>
        </w:rPr>
        <w:t>（十二）无效响应和终止采购活动</w:t>
      </w:r>
      <w:bookmarkEnd w:id="374"/>
      <w:bookmarkEnd w:id="375"/>
    </w:p>
    <w:p w14:paraId="02780A34">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6" w:name="_Toc140132806"/>
      <w:bookmarkStart w:id="377" w:name="_Toc161600338"/>
      <w:r>
        <w:rPr>
          <w:rFonts w:hint="eastAsia" w:ascii="宋体" w:hAnsi="宋体" w:eastAsia="宋体" w:cs="宋体"/>
          <w:b/>
          <w:bCs/>
          <w:color w:val="auto"/>
          <w:kern w:val="2"/>
          <w:sz w:val="24"/>
          <w:szCs w:val="24"/>
          <w:highlight w:val="none"/>
          <w:lang w:val="en-US" w:eastAsia="zh-CN" w:bidi="ar-SA"/>
        </w:rPr>
        <w:t>37.无效</w:t>
      </w:r>
      <w:bookmarkEnd w:id="376"/>
      <w:bookmarkEnd w:id="377"/>
      <w:r>
        <w:rPr>
          <w:rFonts w:hint="eastAsia" w:ascii="宋体" w:hAnsi="宋体" w:eastAsia="宋体" w:cs="宋体"/>
          <w:b/>
          <w:bCs/>
          <w:color w:val="auto"/>
          <w:kern w:val="2"/>
          <w:sz w:val="24"/>
          <w:szCs w:val="24"/>
          <w:highlight w:val="none"/>
          <w:lang w:val="en-US" w:eastAsia="zh-CN" w:bidi="ar-SA"/>
        </w:rPr>
        <w:t>响应</w:t>
      </w:r>
    </w:p>
    <w:p w14:paraId="132D1B41">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7</w:t>
      </w:r>
      <w:r>
        <w:rPr>
          <w:rFonts w:hint="eastAsia"/>
          <w:i w:val="0"/>
          <w:iCs w:val="0"/>
          <w:color w:val="auto"/>
          <w:highlight w:val="none"/>
        </w:rPr>
        <w:t>.1响应文件存在“第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评审方法及标准”规定的</w:t>
      </w:r>
      <w:r>
        <w:rPr>
          <w:rFonts w:hint="eastAsia"/>
          <w:b/>
          <w:bCs/>
          <w:i w:val="0"/>
          <w:iCs w:val="0"/>
          <w:color w:val="auto"/>
          <w:highlight w:val="none"/>
        </w:rPr>
        <w:t>响应无效</w:t>
      </w:r>
      <w:r>
        <w:rPr>
          <w:rFonts w:hint="eastAsia"/>
          <w:i w:val="0"/>
          <w:iCs w:val="0"/>
          <w:color w:val="auto"/>
          <w:highlight w:val="none"/>
        </w:rPr>
        <w:t>情形的，做</w:t>
      </w:r>
      <w:r>
        <w:rPr>
          <w:rFonts w:hint="eastAsia"/>
          <w:b/>
          <w:bCs/>
          <w:i w:val="0"/>
          <w:iCs w:val="0"/>
          <w:color w:val="auto"/>
          <w:highlight w:val="none"/>
        </w:rPr>
        <w:t>无效响应</w:t>
      </w:r>
      <w:r>
        <w:rPr>
          <w:rFonts w:hint="eastAsia"/>
          <w:i w:val="0"/>
          <w:iCs w:val="0"/>
          <w:color w:val="auto"/>
          <w:highlight w:val="none"/>
        </w:rPr>
        <w:t>处理。</w:t>
      </w:r>
    </w:p>
    <w:p w14:paraId="631C56D4">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38.终止采购活动</w:t>
      </w:r>
    </w:p>
    <w:p w14:paraId="65CAB1F7">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lang w:val="en-US" w:eastAsia="zh-CN"/>
        </w:rPr>
        <w:t>38</w:t>
      </w:r>
      <w:r>
        <w:rPr>
          <w:rFonts w:hint="eastAsia"/>
          <w:i w:val="0"/>
          <w:iCs w:val="0"/>
          <w:color w:val="auto"/>
          <w:highlight w:val="none"/>
        </w:rPr>
        <w:t>.1出现下列情形之一的，应当终止竞争性磋商采购活动，发布项目终止公告并说明原因，重新开展采购活动：</w:t>
      </w:r>
    </w:p>
    <w:p w14:paraId="3F03AB90">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（1）因情况变化，不再符合规定的竞争性磋商采购方式适用情形的；</w:t>
      </w:r>
    </w:p>
    <w:p w14:paraId="34F0BDE0">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（2）出现影响采购公正的违法、违规行为的；</w:t>
      </w:r>
    </w:p>
    <w:p w14:paraId="3EDE2978">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（3）在采购过程中符合要求的供应商或者报价未超过采购预算的供应商不足</w:t>
      </w:r>
      <w:r>
        <w:rPr>
          <w:i w:val="0"/>
          <w:iCs w:val="0"/>
          <w:color w:val="auto"/>
          <w:highlight w:val="none"/>
        </w:rPr>
        <w:t>3家的（市场竞争不充分的科研项目、需要扶持的科技成果转化项目以及政府购买服务项目&lt;含政府和社会资本合作项目&gt;）的</w:t>
      </w:r>
      <w:r>
        <w:rPr>
          <w:rFonts w:hint="eastAsia"/>
          <w:i w:val="0"/>
          <w:iCs w:val="0"/>
          <w:color w:val="auto"/>
          <w:highlight w:val="none"/>
        </w:rPr>
        <w:t>提交最后报价的供应商</w:t>
      </w:r>
      <w:r>
        <w:rPr>
          <w:i w:val="0"/>
          <w:iCs w:val="0"/>
          <w:color w:val="auto"/>
          <w:highlight w:val="none"/>
        </w:rPr>
        <w:t>可以为2家）</w:t>
      </w:r>
      <w:r>
        <w:rPr>
          <w:rFonts w:hint="eastAsia"/>
          <w:i w:val="0"/>
          <w:iCs w:val="0"/>
          <w:color w:val="auto"/>
          <w:highlight w:val="none"/>
        </w:rPr>
        <w:t>。</w:t>
      </w:r>
    </w:p>
    <w:p w14:paraId="62A80F80">
      <w:pPr>
        <w:pStyle w:val="34"/>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38.2在采购活动中因重大变故，采购任务取消的，采购人或者采购代理机构应当终止采购活动，通知所有参加采购活动的供应商，并将项目实施情况和采购任务取消原因报送本级财政部门。</w:t>
      </w:r>
    </w:p>
    <w:p w14:paraId="35C9F5A9">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8" w:name="_Toc140132766"/>
      <w:bookmarkStart w:id="379" w:name="_Toc161600340"/>
      <w:bookmarkStart w:id="380" w:name="_Toc163493621"/>
      <w:bookmarkStart w:id="381" w:name="_Toc24906"/>
      <w:r>
        <w:rPr>
          <w:rFonts w:hint="eastAsia" w:ascii="宋体" w:hAnsi="宋体" w:eastAsia="宋体" w:cs="宋体"/>
          <w:b/>
          <w:bCs/>
          <w:color w:val="auto"/>
          <w:kern w:val="2"/>
          <w:sz w:val="24"/>
          <w:szCs w:val="24"/>
          <w:highlight w:val="none"/>
          <w:lang w:val="en-US" w:eastAsia="zh-CN" w:bidi="ar-SA"/>
        </w:rPr>
        <w:t>（十三）落实政府采购政策</w:t>
      </w:r>
      <w:bookmarkEnd w:id="378"/>
      <w:bookmarkEnd w:id="379"/>
      <w:bookmarkEnd w:id="380"/>
      <w:r>
        <w:rPr>
          <w:rFonts w:hint="eastAsia" w:ascii="宋体" w:hAnsi="宋体" w:eastAsia="宋体" w:cs="宋体"/>
          <w:b/>
          <w:bCs/>
          <w:color w:val="auto"/>
          <w:kern w:val="2"/>
          <w:sz w:val="24"/>
          <w:szCs w:val="24"/>
          <w:highlight w:val="none"/>
          <w:lang w:val="en-US" w:eastAsia="zh-CN" w:bidi="ar-SA"/>
        </w:rPr>
        <w:t>（包括但不限于下列具体政策要求）</w:t>
      </w:r>
      <w:bookmarkEnd w:id="381"/>
    </w:p>
    <w:p w14:paraId="1F7E8604">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2" w:name="_Toc161600342"/>
      <w:r>
        <w:rPr>
          <w:rFonts w:hint="eastAsia" w:ascii="宋体" w:hAnsi="宋体" w:eastAsia="宋体" w:cs="宋体"/>
          <w:b/>
          <w:bCs/>
          <w:color w:val="auto"/>
          <w:kern w:val="2"/>
          <w:sz w:val="24"/>
          <w:szCs w:val="24"/>
          <w:highlight w:val="none"/>
          <w:lang w:val="en-US" w:eastAsia="zh-CN" w:bidi="ar-SA"/>
        </w:rPr>
        <w:t>39.中小企业、监狱企业及残疾人福利性单位</w:t>
      </w:r>
      <w:bookmarkEnd w:id="382"/>
    </w:p>
    <w:p w14:paraId="35BD2DE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eastAsia"/>
          <w:i w:val="0"/>
          <w:iCs w:val="0"/>
          <w:snapToGrid w:val="0"/>
          <w:color w:val="auto"/>
          <w:highlight w:val="none"/>
        </w:rPr>
        <w:t>.1</w:t>
      </w:r>
      <w:r>
        <w:rPr>
          <w:rFonts w:hint="eastAsia"/>
          <w:i w:val="0"/>
          <w:iCs w:val="0"/>
          <w:snapToGrid w:val="0"/>
          <w:color w:val="auto"/>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i w:val="0"/>
          <w:iCs w:val="0"/>
          <w:snapToGrid w:val="0"/>
          <w:color w:val="auto"/>
          <w:highlight w:val="none"/>
          <w:lang w:val="en-US" w:eastAsia="zh-CN"/>
        </w:rPr>
        <w:t>2022</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19 </w:t>
      </w:r>
      <w:r>
        <w:rPr>
          <w:rFonts w:hint="eastAsia"/>
          <w:i w:val="0"/>
          <w:iCs w:val="0"/>
          <w:snapToGrid w:val="0"/>
          <w:color w:val="auto"/>
          <w:highlight w:val="none"/>
          <w:lang w:val="en-US" w:eastAsia="zh-CN"/>
        </w:rPr>
        <w:t>号）、《政府采购促进中小企业发展管理办法》（财库〔</w:t>
      </w:r>
      <w:r>
        <w:rPr>
          <w:rFonts w:hint="default"/>
          <w:i w:val="0"/>
          <w:iCs w:val="0"/>
          <w:snapToGrid w:val="0"/>
          <w:color w:val="auto"/>
          <w:highlight w:val="none"/>
          <w:lang w:val="en-US" w:eastAsia="zh-CN"/>
        </w:rPr>
        <w:t>2020</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46 </w:t>
      </w:r>
      <w:r>
        <w:rPr>
          <w:rFonts w:hint="eastAsia"/>
          <w:i w:val="0"/>
          <w:iCs w:val="0"/>
          <w:snapToGrid w:val="0"/>
          <w:color w:val="auto"/>
          <w:highlight w:val="none"/>
          <w:lang w:val="en-US" w:eastAsia="zh-CN"/>
        </w:rPr>
        <w:t>号）、《关于印发中小企业划型标准规定的通知》（工信部联企业〔</w:t>
      </w:r>
      <w:r>
        <w:rPr>
          <w:rFonts w:hint="default"/>
          <w:i w:val="0"/>
          <w:iCs w:val="0"/>
          <w:snapToGrid w:val="0"/>
          <w:color w:val="auto"/>
          <w:highlight w:val="none"/>
          <w:lang w:val="en-US" w:eastAsia="zh-CN"/>
        </w:rPr>
        <w:t>2011</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300 </w:t>
      </w:r>
      <w:r>
        <w:rPr>
          <w:rFonts w:hint="eastAsia"/>
          <w:i w:val="0"/>
          <w:iCs w:val="0"/>
          <w:snapToGrid w:val="0"/>
          <w:color w:val="auto"/>
          <w:highlight w:val="none"/>
          <w:lang w:val="en-US" w:eastAsia="zh-CN"/>
        </w:rPr>
        <w:t xml:space="preserve">号）、《金融业企业划型标准规定》（〔2015〕309 号）等国务院批准的中小企业划分标准执行。 </w:t>
      </w:r>
    </w:p>
    <w:p w14:paraId="6EB577E7">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eastAsia="zh-CN"/>
        </w:rPr>
      </w:pPr>
      <w:r>
        <w:rPr>
          <w:rFonts w:hint="eastAsia"/>
          <w:i w:val="0"/>
          <w:iCs w:val="0"/>
          <w:snapToGrid w:val="0"/>
          <w:color w:val="auto"/>
          <w:highlight w:val="none"/>
          <w:lang w:val="en-US" w:eastAsia="zh-CN"/>
        </w:rPr>
        <w:t>39</w:t>
      </w:r>
      <w:r>
        <w:rPr>
          <w:rFonts w:hint="eastAsia"/>
          <w:i w:val="0"/>
          <w:iCs w:val="0"/>
          <w:snapToGrid w:val="0"/>
          <w:color w:val="auto"/>
          <w:highlight w:val="none"/>
        </w:rPr>
        <w:t>.</w:t>
      </w:r>
      <w:r>
        <w:rPr>
          <w:rFonts w:hint="eastAsia"/>
          <w:i w:val="0"/>
          <w:iCs w:val="0"/>
          <w:snapToGrid w:val="0"/>
          <w:color w:val="auto"/>
          <w:highlight w:val="none"/>
          <w:lang w:val="en-US" w:eastAsia="zh-CN"/>
        </w:rPr>
        <w:t>2</w:t>
      </w:r>
      <w:r>
        <w:rPr>
          <w:rFonts w:hint="eastAsia"/>
          <w:i w:val="0"/>
          <w:iCs w:val="0"/>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i w:val="0"/>
          <w:iCs w:val="0"/>
          <w:snapToGrid w:val="0"/>
          <w:color w:val="auto"/>
          <w:highlight w:val="none"/>
          <w:lang w:eastAsia="zh-CN"/>
        </w:rPr>
        <w:t>需享受中小企业相关政策的，且</w:t>
      </w:r>
      <w:r>
        <w:rPr>
          <w:rFonts w:hint="eastAsia"/>
          <w:i w:val="0"/>
          <w:iCs w:val="0"/>
          <w:snapToGrid w:val="0"/>
          <w:color w:val="auto"/>
          <w:highlight w:val="none"/>
        </w:rPr>
        <w:t>符合上述文件规定的，</w:t>
      </w:r>
      <w:r>
        <w:rPr>
          <w:rFonts w:hint="eastAsia"/>
          <w:i w:val="0"/>
          <w:iCs w:val="0"/>
          <w:snapToGrid w:val="0"/>
          <w:color w:val="auto"/>
          <w:highlight w:val="none"/>
          <w:lang w:eastAsia="zh-CN"/>
        </w:rPr>
        <w:t>应按本磋商文件规定格式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w:t>
      </w:r>
      <w:r>
        <w:rPr>
          <w:rFonts w:hint="eastAsia"/>
          <w:i w:val="0"/>
          <w:iCs w:val="0"/>
          <w:snapToGrid w:val="0"/>
          <w:color w:val="auto"/>
          <w:highlight w:val="none"/>
        </w:rPr>
        <w:t>，评审时，磋商小组将依据</w:t>
      </w:r>
      <w:r>
        <w:rPr>
          <w:rFonts w:hint="eastAsia"/>
          <w:i w:val="0"/>
          <w:iCs w:val="0"/>
          <w:snapToGrid w:val="0"/>
          <w:color w:val="auto"/>
          <w:highlight w:val="none"/>
          <w:lang w:eastAsia="zh-CN"/>
        </w:rPr>
        <w:t>本磋商文件</w:t>
      </w:r>
      <w:r>
        <w:rPr>
          <w:rFonts w:hint="eastAsia"/>
          <w:i w:val="0"/>
          <w:iCs w:val="0"/>
          <w:snapToGrid w:val="0"/>
          <w:color w:val="auto"/>
          <w:highlight w:val="none"/>
        </w:rPr>
        <w:t>“供应商须知前附表”规定的报价扣除比例，对供应商报价进行价格扣除，用扣除后的价格参与评审</w:t>
      </w:r>
      <w:r>
        <w:rPr>
          <w:rFonts w:hint="eastAsia"/>
          <w:i w:val="0"/>
          <w:iCs w:val="0"/>
          <w:snapToGrid w:val="0"/>
          <w:color w:val="auto"/>
          <w:highlight w:val="none"/>
          <w:lang w:eastAsia="zh-CN"/>
        </w:rPr>
        <w:t>；磋商公告中明确项目专门面向中小企业采购的，“</w:t>
      </w:r>
      <w:r>
        <w:rPr>
          <w:rFonts w:hint="eastAsia"/>
          <w:i w:val="0"/>
          <w:iCs w:val="0"/>
          <w:snapToGrid w:val="0"/>
          <w:color w:val="auto"/>
          <w:highlight w:val="none"/>
        </w:rPr>
        <w:t>中小企业声明函</w:t>
      </w:r>
      <w:r>
        <w:rPr>
          <w:rFonts w:hint="eastAsia"/>
          <w:i w:val="0"/>
          <w:iCs w:val="0"/>
          <w:snapToGrid w:val="0"/>
          <w:color w:val="auto"/>
          <w:highlight w:val="none"/>
          <w:lang w:eastAsia="zh-CN"/>
        </w:rPr>
        <w:t>”为资格要求文件，</w:t>
      </w:r>
      <w:r>
        <w:rPr>
          <w:rFonts w:hint="eastAsia"/>
          <w:i w:val="0"/>
          <w:iCs w:val="0"/>
          <w:snapToGrid w:val="0"/>
          <w:color w:val="auto"/>
          <w:highlight w:val="none"/>
        </w:rPr>
        <w:t>供应商</w:t>
      </w:r>
      <w:r>
        <w:rPr>
          <w:rFonts w:hint="eastAsia"/>
          <w:i w:val="0"/>
          <w:iCs w:val="0"/>
          <w:snapToGrid w:val="0"/>
          <w:color w:val="auto"/>
          <w:highlight w:val="none"/>
          <w:lang w:eastAsia="zh-CN"/>
        </w:rPr>
        <w:t>参与磋商须按本磋商文件规定格式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”等作为资格证明文件。</w:t>
      </w:r>
    </w:p>
    <w:p w14:paraId="4D5E12BD">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 xml:space="preserve">39.3供应商提供的货物、工程或者服务符合下列情形的，享受中小企业扶持政策： </w:t>
      </w:r>
    </w:p>
    <w:p w14:paraId="28856AB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1</w:t>
      </w:r>
      <w:r>
        <w:rPr>
          <w:rFonts w:hint="eastAsia"/>
          <w:i w:val="0"/>
          <w:iCs w:val="0"/>
          <w:snapToGrid w:val="0"/>
          <w:color w:val="auto"/>
          <w:highlight w:val="none"/>
          <w:lang w:val="en-US" w:eastAsia="zh-CN"/>
        </w:rPr>
        <w:t xml:space="preserve">在货物采购项目中，货物由中小企业制造，即货物由中小企业生产且使用该中小企业商号或者注册商标； </w:t>
      </w:r>
    </w:p>
    <w:p w14:paraId="54A96D92">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2</w:t>
      </w:r>
      <w:r>
        <w:rPr>
          <w:rFonts w:hint="eastAsia"/>
          <w:i w:val="0"/>
          <w:iCs w:val="0"/>
          <w:snapToGrid w:val="0"/>
          <w:color w:val="auto"/>
          <w:highlight w:val="none"/>
          <w:lang w:val="en-US" w:eastAsia="zh-CN"/>
        </w:rPr>
        <w:t xml:space="preserve">在工程采购项目中，工程由中小企业承建，即工程施工单位为中小企业； </w:t>
      </w:r>
    </w:p>
    <w:p w14:paraId="48F17DE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3</w:t>
      </w:r>
      <w:r>
        <w:rPr>
          <w:rFonts w:hint="eastAsia"/>
          <w:i w:val="0"/>
          <w:iCs w:val="0"/>
          <w:snapToGrid w:val="0"/>
          <w:color w:val="auto"/>
          <w:highlight w:val="none"/>
          <w:lang w:val="en-US" w:eastAsia="zh-CN"/>
        </w:rPr>
        <w:t>在服务采购项目中，服务由中小企业承接，即提供服务的人员为中小企业依照《中华人民共和国劳动合同法》订立劳动合同的从业人员。</w:t>
      </w:r>
    </w:p>
    <w:p w14:paraId="6564F25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i w:val="0"/>
          <w:iCs w:val="0"/>
          <w:snapToGrid w:val="0"/>
          <w:color w:val="auto"/>
          <w:highlight w:val="none"/>
          <w:lang w:val="en-US" w:eastAsia="zh-CN"/>
        </w:rPr>
        <w:t>.</w:t>
      </w:r>
      <w:r>
        <w:rPr>
          <w:rFonts w:hint="eastAsia"/>
          <w:i w:val="0"/>
          <w:iCs w:val="0"/>
          <w:snapToGrid w:val="0"/>
          <w:color w:val="auto"/>
          <w:highlight w:val="none"/>
          <w:lang w:val="en-US" w:eastAsia="zh-CN"/>
        </w:rPr>
        <w:t>4</w:t>
      </w:r>
      <w:r>
        <w:rPr>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在货物采购项目中，供应商提供的货物既有中小企业制造货物，也有大型企业制造货物的，不享受中小企业扶持政策。 </w:t>
      </w:r>
    </w:p>
    <w:p w14:paraId="4ACE7CFF">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5</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以联合体形式参加政府采购活动，联合体各方均为中小企业的，联合体视同中小企业。其中，联合体各方均为小微企业的，联合体视同小微企业。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6</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 监狱管理局、戒毒管理局的企业。 </w:t>
      </w:r>
    </w:p>
    <w:p w14:paraId="46CE3FE3">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D1C25">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安置的残疾人占本单位在职职工人数的比例不低于 </w:t>
      </w:r>
      <w:r>
        <w:rPr>
          <w:rFonts w:hint="default"/>
          <w:i w:val="0"/>
          <w:iCs w:val="0"/>
          <w:snapToGrid w:val="0"/>
          <w:color w:val="auto"/>
          <w:highlight w:val="none"/>
          <w:lang w:val="en-US" w:eastAsia="zh-CN"/>
        </w:rPr>
        <w:t xml:space="preserve">25% </w:t>
      </w:r>
      <w:r>
        <w:rPr>
          <w:rFonts w:hint="eastAsia"/>
          <w:i w:val="0"/>
          <w:iCs w:val="0"/>
          <w:snapToGrid w:val="0"/>
          <w:color w:val="auto"/>
          <w:highlight w:val="none"/>
          <w:lang w:val="en-US" w:eastAsia="zh-CN"/>
        </w:rPr>
        <w:t xml:space="preserve">（含 </w:t>
      </w:r>
      <w:r>
        <w:rPr>
          <w:rFonts w:hint="default"/>
          <w:i w:val="0"/>
          <w:iCs w:val="0"/>
          <w:snapToGrid w:val="0"/>
          <w:color w:val="auto"/>
          <w:highlight w:val="none"/>
          <w:lang w:val="en-US" w:eastAsia="zh-CN"/>
        </w:rPr>
        <w:t>25%</w:t>
      </w:r>
      <w:r>
        <w:rPr>
          <w:rFonts w:hint="eastAsia"/>
          <w:i w:val="0"/>
          <w:iCs w:val="0"/>
          <w:snapToGrid w:val="0"/>
          <w:color w:val="auto"/>
          <w:highlight w:val="none"/>
          <w:lang w:val="en-US" w:eastAsia="zh-CN"/>
        </w:rPr>
        <w:t xml:space="preserve">），并且安置的残疾人人数不少于 </w:t>
      </w:r>
      <w:r>
        <w:rPr>
          <w:rFonts w:hint="default"/>
          <w:i w:val="0"/>
          <w:iCs w:val="0"/>
          <w:snapToGrid w:val="0"/>
          <w:color w:val="auto"/>
          <w:highlight w:val="none"/>
          <w:lang w:val="en-US" w:eastAsia="zh-CN"/>
        </w:rPr>
        <w:t xml:space="preserve">10 </w:t>
      </w:r>
      <w:r>
        <w:rPr>
          <w:rFonts w:hint="eastAsia"/>
          <w:i w:val="0"/>
          <w:iCs w:val="0"/>
          <w:snapToGrid w:val="0"/>
          <w:color w:val="auto"/>
          <w:highlight w:val="none"/>
          <w:lang w:val="en-US" w:eastAsia="zh-CN"/>
        </w:rPr>
        <w:t xml:space="preserve">人（含 </w:t>
      </w:r>
      <w:r>
        <w:rPr>
          <w:rFonts w:hint="default"/>
          <w:i w:val="0"/>
          <w:iCs w:val="0"/>
          <w:snapToGrid w:val="0"/>
          <w:color w:val="auto"/>
          <w:highlight w:val="none"/>
          <w:lang w:val="en-US" w:eastAsia="zh-CN"/>
        </w:rPr>
        <w:t>10</w:t>
      </w:r>
      <w:r>
        <w:rPr>
          <w:rFonts w:hint="eastAsia"/>
          <w:i w:val="0"/>
          <w:iCs w:val="0"/>
          <w:snapToGrid w:val="0"/>
          <w:color w:val="auto"/>
          <w:highlight w:val="none"/>
          <w:lang w:val="en-US" w:eastAsia="zh-CN"/>
        </w:rPr>
        <w:t xml:space="preserve">人）； </w:t>
      </w:r>
    </w:p>
    <w:p w14:paraId="69558579">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依法与安置的每位残疾人签订了1年以上（含1年）的劳动合同或服务协议； </w:t>
      </w:r>
    </w:p>
    <w:p w14:paraId="40185FCE">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 xml:space="preserve">为安置的每位残疾人按月足额缴纳了基本养老保险、基本医疗保险、失业保险、工伤保险和生育保险等社会保险费； </w:t>
      </w:r>
    </w:p>
    <w:p w14:paraId="45EC5F9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 xml:space="preserve">通过银行等金融机构向安置的每位残疾人，按月支付了不低于单位所在区县适用的经省级人民政府批准的月最低工资标准的工资； </w:t>
      </w:r>
    </w:p>
    <w:p w14:paraId="1C5031C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.5 </w:t>
      </w:r>
      <w:r>
        <w:rPr>
          <w:rFonts w:hint="eastAsia"/>
          <w:i w:val="0"/>
          <w:iCs w:val="0"/>
          <w:snapToGrid w:val="0"/>
          <w:color w:val="auto"/>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78AAEEE">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.6 </w:t>
      </w:r>
      <w:r>
        <w:rPr>
          <w:rFonts w:hint="eastAsia"/>
          <w:i w:val="0"/>
          <w:iCs w:val="0"/>
          <w:snapToGrid w:val="0"/>
          <w:color w:val="auto"/>
          <w:highlight w:val="none"/>
          <w:lang w:val="en-US" w:eastAsia="zh-CN"/>
        </w:rPr>
        <w:t>前款所称残疾人是指法定劳动年龄内，持有《中华人民共和国残疾人证》或者《中华人民共和国残疾军人证（</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至 </w:t>
      </w:r>
      <w:r>
        <w:rPr>
          <w:rFonts w:hint="default"/>
          <w:i w:val="0"/>
          <w:iCs w:val="0"/>
          <w:snapToGrid w:val="0"/>
          <w:color w:val="auto"/>
          <w:highlight w:val="none"/>
          <w:lang w:val="en-US" w:eastAsia="zh-CN"/>
        </w:rPr>
        <w:t xml:space="preserve">8 </w:t>
      </w:r>
      <w:r>
        <w:rPr>
          <w:rFonts w:hint="eastAsia"/>
          <w:i w:val="0"/>
          <w:iCs w:val="0"/>
          <w:snapToGrid w:val="0"/>
          <w:color w:val="auto"/>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2D1237DB">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8</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本项目是否专门面向中小企业预留采购份额见“第一章 竞争性磋商邀请”。</w:t>
      </w:r>
    </w:p>
    <w:p w14:paraId="5A70CB6C">
      <w:pPr>
        <w:pStyle w:val="34"/>
        <w:keepNext w:val="0"/>
        <w:keepLines w:val="0"/>
        <w:pageBreakBefore w:val="0"/>
        <w:widowControl w:val="0"/>
        <w:kinsoku/>
        <w:overflowPunct/>
        <w:topLinePunct w:val="0"/>
        <w:bidi w:val="0"/>
        <w:ind w:firstLine="480"/>
        <w:textAlignment w:val="auto"/>
        <w:rPr>
          <w:rFonts w:hint="eastAsia"/>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9</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采购标的对应的中小企业划分标准所属行业见“供应商须知前附表”。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10小微企业价格评审优惠的政策调整：见“第四章 评审方法及标准”。</w:t>
      </w:r>
    </w:p>
    <w:p w14:paraId="76C0345E">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3" w:name="_Toc161600343"/>
      <w:r>
        <w:rPr>
          <w:rFonts w:hint="eastAsia" w:ascii="宋体" w:hAnsi="宋体" w:eastAsia="宋体" w:cs="宋体"/>
          <w:b/>
          <w:bCs/>
          <w:color w:val="auto"/>
          <w:kern w:val="2"/>
          <w:sz w:val="24"/>
          <w:szCs w:val="24"/>
          <w:highlight w:val="none"/>
          <w:lang w:val="en-US" w:eastAsia="zh-CN" w:bidi="ar-SA"/>
        </w:rPr>
        <w:t>40.政府采购节能产品、环境标志产品</w:t>
      </w:r>
      <w:bookmarkEnd w:id="383"/>
    </w:p>
    <w:p w14:paraId="64FC5172">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i w:val="0"/>
          <w:iCs w:val="0"/>
          <w:snapToGrid w:val="0"/>
          <w:color w:val="auto"/>
          <w:highlight w:val="none"/>
          <w:lang w:val="en-US" w:eastAsia="zh-CN"/>
        </w:rPr>
        <w:t>2019</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9 </w:t>
      </w:r>
      <w:r>
        <w:rPr>
          <w:rFonts w:hint="eastAsia"/>
          <w:i w:val="0"/>
          <w:iCs w:val="0"/>
          <w:snapToGrid w:val="0"/>
          <w:color w:val="auto"/>
          <w:highlight w:val="none"/>
          <w:lang w:val="en-US" w:eastAsia="zh-CN"/>
        </w:rPr>
        <w:t xml:space="preserve">号）、《关于印发环境标志产品政府采购品目清单的通知》（财库〔2019〕18号）、《关于印发节能产品政府采购品目清单的通知》（财库〔2019〕19号）的规定。 </w:t>
      </w:r>
    </w:p>
    <w:p w14:paraId="017FF1A4">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如本项目采购产品属于实施政府强制采购品目清单范围的节能产品，则供应商所报产品必须获得国家确定的认证机构出具的、处于有效期之内的节能产品认证证书，否则</w:t>
      </w:r>
      <w:r>
        <w:rPr>
          <w:rFonts w:hint="eastAsia"/>
          <w:b/>
          <w:bCs/>
          <w:i w:val="0"/>
          <w:iCs w:val="0"/>
          <w:snapToGrid w:val="0"/>
          <w:color w:val="auto"/>
          <w:highlight w:val="none"/>
          <w:lang w:val="en-US" w:eastAsia="zh-CN"/>
        </w:rPr>
        <w:t>响应无效</w:t>
      </w:r>
      <w:r>
        <w:rPr>
          <w:rFonts w:hint="eastAsia"/>
          <w:i w:val="0"/>
          <w:iCs w:val="0"/>
          <w:snapToGrid w:val="0"/>
          <w:color w:val="auto"/>
          <w:highlight w:val="none"/>
          <w:lang w:val="en-US" w:eastAsia="zh-CN"/>
        </w:rPr>
        <w:t xml:space="preserve">。 </w:t>
      </w:r>
    </w:p>
    <w:p w14:paraId="73ADF023">
      <w:pPr>
        <w:pStyle w:val="34"/>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非政府强制采购的节能产品或环境标志产品，依据品目清单和认证证书实施政府优先采购。优先采购的具体规定见“第四章 评审方法及标准”（如涉及）。</w:t>
      </w:r>
    </w:p>
    <w:p w14:paraId="1E54CD45">
      <w:pPr>
        <w:pStyle w:val="34"/>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snapToGrid w:val="0"/>
          <w:color w:val="auto"/>
          <w:highlight w:val="none"/>
          <w:lang w:val="en-US" w:eastAsia="zh-CN"/>
        </w:rPr>
        <w:t>40.5 供应商</w:t>
      </w:r>
      <w:r>
        <w:rPr>
          <w:rFonts w:hint="eastAsia"/>
          <w:i w:val="0"/>
          <w:iCs w:val="0"/>
          <w:snapToGrid w:val="0"/>
          <w:color w:val="auto"/>
          <w:highlight w:val="none"/>
        </w:rPr>
        <w:t>所</w:t>
      </w:r>
      <w:r>
        <w:rPr>
          <w:rFonts w:hint="eastAsia"/>
          <w:i w:val="0"/>
          <w:iCs w:val="0"/>
          <w:snapToGrid w:val="0"/>
          <w:color w:val="auto"/>
          <w:highlight w:val="none"/>
          <w:lang w:val="en-US" w:eastAsia="zh-CN"/>
        </w:rPr>
        <w:t>报</w:t>
      </w:r>
      <w:r>
        <w:rPr>
          <w:rFonts w:hint="eastAsia"/>
          <w:i w:val="0"/>
          <w:iCs w:val="0"/>
          <w:snapToGrid w:val="0"/>
          <w:color w:val="auto"/>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i w:val="0"/>
          <w:iCs w:val="0"/>
          <w:snapToGrid w:val="0"/>
          <w:color w:val="auto"/>
          <w:highlight w:val="none"/>
          <w:lang w:val="en-US" w:eastAsia="zh-CN"/>
        </w:rPr>
        <w:t>报</w:t>
      </w:r>
      <w:r>
        <w:rPr>
          <w:rFonts w:hint="eastAsia"/>
          <w:i w:val="0"/>
          <w:iCs w:val="0"/>
          <w:snapToGrid w:val="0"/>
          <w:color w:val="auto"/>
          <w:highlight w:val="none"/>
        </w:rPr>
        <w:t>产品不一致的，视为未提供。属于政府强制采购产品的，</w:t>
      </w:r>
      <w:r>
        <w:rPr>
          <w:i w:val="0"/>
          <w:iCs w:val="0"/>
          <w:snapToGrid w:val="0"/>
          <w:color w:val="auto"/>
          <w:highlight w:val="none"/>
        </w:rPr>
        <w:t>已作为</w:t>
      </w:r>
      <w:r>
        <w:rPr>
          <w:rFonts w:hint="eastAsia"/>
          <w:i w:val="0"/>
          <w:iCs w:val="0"/>
          <w:snapToGrid w:val="0"/>
          <w:color w:val="auto"/>
          <w:highlight w:val="none"/>
          <w:lang w:val="en-US" w:eastAsia="zh-CN"/>
        </w:rPr>
        <w:t>响应</w:t>
      </w:r>
      <w:r>
        <w:rPr>
          <w:i w:val="0"/>
          <w:iCs w:val="0"/>
          <w:snapToGrid w:val="0"/>
          <w:color w:val="auto"/>
          <w:highlight w:val="none"/>
        </w:rPr>
        <w:t>时强制性要求不再给予</w:t>
      </w:r>
      <w:r>
        <w:rPr>
          <w:rFonts w:hint="eastAsia"/>
          <w:i w:val="0"/>
          <w:iCs w:val="0"/>
          <w:snapToGrid w:val="0"/>
          <w:color w:val="auto"/>
          <w:highlight w:val="none"/>
          <w:lang w:val="en-US" w:eastAsia="zh-CN"/>
        </w:rPr>
        <w:t>价格评审优惠</w:t>
      </w:r>
      <w:r>
        <w:rPr>
          <w:rFonts w:hint="eastAsia"/>
          <w:i w:val="0"/>
          <w:iCs w:val="0"/>
          <w:snapToGrid w:val="0"/>
          <w:color w:val="auto"/>
          <w:highlight w:val="none"/>
        </w:rPr>
        <w:t>，未提供认证证书的视为</w:t>
      </w:r>
      <w:r>
        <w:rPr>
          <w:rFonts w:hint="eastAsia"/>
          <w:b/>
          <w:bCs/>
          <w:i w:val="0"/>
          <w:iCs w:val="0"/>
          <w:snapToGrid w:val="0"/>
          <w:color w:val="auto"/>
          <w:highlight w:val="none"/>
        </w:rPr>
        <w:t>无效响应</w:t>
      </w:r>
      <w:r>
        <w:rPr>
          <w:rFonts w:hint="eastAsia"/>
          <w:i w:val="0"/>
          <w:iCs w:val="0"/>
          <w:snapToGrid w:val="0"/>
          <w:color w:val="auto"/>
          <w:highlight w:val="none"/>
        </w:rPr>
        <w:t>。属于</w:t>
      </w:r>
      <w:r>
        <w:rPr>
          <w:rFonts w:hint="eastAsia"/>
          <w:i w:val="0"/>
          <w:iCs w:val="0"/>
          <w:snapToGrid w:val="0"/>
          <w:color w:val="auto"/>
          <w:highlight w:val="none"/>
          <w:lang w:val="en-US" w:eastAsia="zh-CN"/>
        </w:rPr>
        <w:t>优先采购</w:t>
      </w:r>
      <w:r>
        <w:rPr>
          <w:rFonts w:hint="eastAsia"/>
          <w:i w:val="0"/>
          <w:iCs w:val="0"/>
          <w:snapToGrid w:val="0"/>
          <w:color w:val="auto"/>
          <w:highlight w:val="none"/>
        </w:rPr>
        <w:t>节能产品政府采购品目清单、环境标志产品政府采购品目清单</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创新产品</w:t>
      </w:r>
      <w:r>
        <w:rPr>
          <w:rFonts w:hint="eastAsia"/>
          <w:i w:val="0"/>
          <w:iCs w:val="0"/>
          <w:snapToGrid w:val="0"/>
          <w:color w:val="auto"/>
          <w:highlight w:val="none"/>
        </w:rPr>
        <w:t>范围的，按照“</w:t>
      </w:r>
      <w:r>
        <w:rPr>
          <w:rFonts w:hint="eastAsia"/>
          <w:i w:val="0"/>
          <w:iCs w:val="0"/>
          <w:snapToGrid w:val="0"/>
          <w:color w:val="auto"/>
          <w:highlight w:val="none"/>
          <w:lang w:val="en-US" w:eastAsia="zh-CN"/>
        </w:rPr>
        <w:t>第四章 评审方法及标准</w:t>
      </w:r>
      <w:r>
        <w:rPr>
          <w:rFonts w:hint="eastAsia"/>
          <w:i w:val="0"/>
          <w:iCs w:val="0"/>
          <w:snapToGrid w:val="0"/>
          <w:color w:val="auto"/>
          <w:highlight w:val="none"/>
        </w:rPr>
        <w:t>”中相关规定</w:t>
      </w:r>
      <w:r>
        <w:rPr>
          <w:rFonts w:hint="eastAsia"/>
          <w:i w:val="0"/>
          <w:iCs w:val="0"/>
          <w:color w:val="auto"/>
          <w:highlight w:val="none"/>
          <w:lang w:val="en-US" w:eastAsia="zh-CN"/>
        </w:rPr>
        <w:t>在评审时给予</w:t>
      </w:r>
      <w:r>
        <w:rPr>
          <w:rFonts w:hint="eastAsia"/>
          <w:i w:val="0"/>
          <w:iCs w:val="0"/>
          <w:snapToGrid w:val="0"/>
          <w:color w:val="auto"/>
          <w:highlight w:val="none"/>
          <w:lang w:val="en-US" w:eastAsia="zh-CN"/>
        </w:rPr>
        <w:t>价格评审优惠</w:t>
      </w:r>
      <w:r>
        <w:rPr>
          <w:rFonts w:hint="eastAsia"/>
          <w:i w:val="0"/>
          <w:iCs w:val="0"/>
          <w:color w:val="auto"/>
          <w:highlight w:val="none"/>
          <w:lang w:val="en-US" w:eastAsia="zh-CN"/>
        </w:rPr>
        <w:t>，具体详见</w:t>
      </w:r>
      <w:r>
        <w:rPr>
          <w:rFonts w:hint="eastAsia"/>
          <w:i w:val="0"/>
          <w:iCs w:val="0"/>
          <w:snapToGrid w:val="0"/>
          <w:color w:val="auto"/>
          <w:highlight w:val="none"/>
          <w:lang w:val="en-US" w:eastAsia="zh-CN"/>
        </w:rPr>
        <w:t>“供应商须知前附表”及</w:t>
      </w:r>
      <w:r>
        <w:rPr>
          <w:rFonts w:hint="eastAsia"/>
          <w:i w:val="0"/>
          <w:iCs w:val="0"/>
          <w:color w:val="auto"/>
          <w:highlight w:val="none"/>
          <w:lang w:val="en-US" w:eastAsia="zh-CN"/>
        </w:rPr>
        <w:t>“第四章 评审方法及标准”</w:t>
      </w:r>
      <w:r>
        <w:rPr>
          <w:rFonts w:hint="eastAsia"/>
          <w:i w:val="0"/>
          <w:iCs w:val="0"/>
          <w:color w:val="auto"/>
          <w:highlight w:val="none"/>
        </w:rPr>
        <w:t>。</w:t>
      </w:r>
    </w:p>
    <w:p w14:paraId="17C511EA">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41.正版软件</w:t>
      </w:r>
    </w:p>
    <w:p w14:paraId="1F0E8307">
      <w:pPr>
        <w:pStyle w:val="34"/>
        <w:keepNext w:val="0"/>
        <w:keepLines w:val="0"/>
        <w:pageBreakBefore w:val="0"/>
        <w:widowControl w:val="0"/>
        <w:kinsoku/>
        <w:overflowPunct/>
        <w:topLinePunct w:val="0"/>
        <w:autoSpaceDE/>
        <w:autoSpaceDN/>
        <w:bidi w:val="0"/>
        <w:adjustRightInd/>
        <w:snapToGri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41.1 依据《财政部 国家发展改革委 信息产业部关于印发无线局域网产品政府采购实施意见的通知》（财库〔</w:t>
      </w:r>
      <w:r>
        <w:rPr>
          <w:rFonts w:hint="default"/>
          <w:i w:val="0"/>
          <w:iCs w:val="0"/>
          <w:snapToGrid w:val="0"/>
          <w:color w:val="auto"/>
          <w:highlight w:val="none"/>
          <w:lang w:val="en-US" w:eastAsia="zh-CN"/>
        </w:rPr>
        <w:t>2005</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366 </w:t>
      </w:r>
      <w:r>
        <w:rPr>
          <w:rFonts w:hint="eastAsia"/>
          <w:i w:val="0"/>
          <w:iCs w:val="0"/>
          <w:snapToGrid w:val="0"/>
          <w:color w:val="auto"/>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i w:val="0"/>
          <w:iCs w:val="0"/>
          <w:snapToGrid w:val="0"/>
          <w:color w:val="auto"/>
          <w:highlight w:val="none"/>
          <w:lang w:val="en-US" w:eastAsia="zh-CN"/>
        </w:rPr>
        <w:t>响应无效</w:t>
      </w:r>
      <w:r>
        <w:rPr>
          <w:rFonts w:hint="eastAsia"/>
          <w:i w:val="0"/>
          <w:iCs w:val="0"/>
          <w:snapToGrid w:val="0"/>
          <w:color w:val="auto"/>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41.2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42.网络安全专用产品 </w:t>
      </w:r>
    </w:p>
    <w:p w14:paraId="4CF97C4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42.1 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 </w:t>
      </w:r>
    </w:p>
    <w:p w14:paraId="05D0648E">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43.采购需求标准 </w:t>
      </w:r>
    </w:p>
    <w:bookmarkEnd w:id="369"/>
    <w:bookmarkEnd w:id="370"/>
    <w:bookmarkEnd w:id="371"/>
    <w:bookmarkEnd w:id="372"/>
    <w:bookmarkEnd w:id="373"/>
    <w:p w14:paraId="12518086">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bookmarkStart w:id="384" w:name="_Toc109897475"/>
      <w:bookmarkStart w:id="385" w:name="_Toc163493622"/>
      <w:bookmarkStart w:id="386" w:name="_Toc109900412"/>
      <w:bookmarkStart w:id="387" w:name="_Toc109899574"/>
      <w:bookmarkStart w:id="388" w:name="_Toc109899993"/>
      <w:r>
        <w:rPr>
          <w:rFonts w:hint="eastAsia"/>
          <w:i w:val="0"/>
          <w:iCs w:val="0"/>
          <w:snapToGrid w:val="0"/>
          <w:color w:val="auto"/>
          <w:highlight w:val="none"/>
          <w:lang w:val="en-US" w:eastAsia="zh-CN"/>
        </w:rPr>
        <w:t xml:space="preserve">43.1 商品包装、快递包装政府采购需求标准（试行） </w:t>
      </w:r>
    </w:p>
    <w:p w14:paraId="527BC2D1">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43.2 绿色数据中心政府采购需求标准（试行） </w:t>
      </w:r>
    </w:p>
    <w:p w14:paraId="2BAD2545">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43.3台式计算机政府采购需求标准</w:t>
      </w:r>
    </w:p>
    <w:p w14:paraId="7FE94F3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43.4便携式计算机政府采购需求标准</w:t>
      </w:r>
    </w:p>
    <w:p w14:paraId="56D621A3">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43.5一体式计算机政府采购需求标准</w:t>
      </w:r>
    </w:p>
    <w:p w14:paraId="7A06F60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43.6工作站政府采购需求标准</w:t>
      </w:r>
    </w:p>
    <w:p w14:paraId="401E4836">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43.7通用服务器政府采购需求标准</w:t>
      </w:r>
    </w:p>
    <w:p w14:paraId="6FE6FE7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43.8操作系统政府采购需求标准</w:t>
      </w:r>
    </w:p>
    <w:p w14:paraId="71E70859">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43.9数据库政府采购需求标准</w:t>
      </w:r>
    </w:p>
    <w:p w14:paraId="4096E2F1">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43.10物业管理服务政府采购需求标准（办公场所类）（试行）</w:t>
      </w:r>
    </w:p>
    <w:p w14:paraId="0169F247">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9" w:name="_Toc1264"/>
      <w:r>
        <w:rPr>
          <w:rFonts w:hint="eastAsia" w:ascii="宋体" w:hAnsi="宋体" w:eastAsia="宋体" w:cs="宋体"/>
          <w:b/>
          <w:bCs/>
          <w:color w:val="auto"/>
          <w:kern w:val="2"/>
          <w:sz w:val="24"/>
          <w:szCs w:val="24"/>
          <w:highlight w:val="none"/>
          <w:lang w:val="en-US" w:eastAsia="zh-CN" w:bidi="ar-SA"/>
        </w:rPr>
        <w:t>（十四）政府采购合同融资政策</w:t>
      </w:r>
      <w:bookmarkEnd w:id="384"/>
      <w:bookmarkEnd w:id="385"/>
      <w:bookmarkEnd w:id="386"/>
      <w:bookmarkEnd w:id="387"/>
      <w:bookmarkEnd w:id="388"/>
      <w:bookmarkEnd w:id="389"/>
    </w:p>
    <w:p w14:paraId="78CE466D">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0" w:name="_Toc161600345"/>
      <w:bookmarkStart w:id="391" w:name="_Toc109897476"/>
      <w:r>
        <w:rPr>
          <w:rFonts w:hint="eastAsia" w:ascii="宋体" w:hAnsi="宋体" w:eastAsia="宋体" w:cs="宋体"/>
          <w:b/>
          <w:bCs/>
          <w:color w:val="auto"/>
          <w:kern w:val="2"/>
          <w:sz w:val="24"/>
          <w:szCs w:val="24"/>
          <w:highlight w:val="none"/>
          <w:lang w:val="en-US" w:eastAsia="zh-CN" w:bidi="ar-SA"/>
        </w:rPr>
        <w:t>44.政府采购合同融资政策</w:t>
      </w:r>
      <w:bookmarkEnd w:id="390"/>
    </w:p>
    <w:p w14:paraId="59269D30">
      <w:pPr>
        <w:pStyle w:val="34"/>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4</w:t>
      </w:r>
      <w:r>
        <w:rPr>
          <w:rFonts w:hint="eastAsia"/>
          <w:i w:val="0"/>
          <w:iCs w:val="0"/>
          <w:color w:val="auto"/>
          <w:highlight w:val="none"/>
          <w:lang w:val="en-US" w:eastAsia="zh-CN"/>
        </w:rPr>
        <w:t>4</w:t>
      </w:r>
      <w:r>
        <w:rPr>
          <w:rFonts w:hint="eastAsia"/>
          <w:i w:val="0"/>
          <w:iCs w:val="0"/>
          <w:color w:val="auto"/>
          <w:highlight w:val="none"/>
        </w:rPr>
        <w:t>.1政府采购合同融资政策：见供应商须知前附表。</w:t>
      </w:r>
    </w:p>
    <w:p w14:paraId="032E5A3C">
      <w:pPr>
        <w:pStyle w:val="7"/>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2" w:name="_Toc26521"/>
      <w:bookmarkStart w:id="393" w:name="_Toc109899994"/>
      <w:bookmarkStart w:id="394" w:name="_Toc163493623"/>
      <w:bookmarkStart w:id="395" w:name="_Toc109899575"/>
      <w:bookmarkStart w:id="396" w:name="_Toc109900413"/>
      <w:r>
        <w:rPr>
          <w:rFonts w:hint="eastAsia" w:ascii="宋体" w:hAnsi="宋体" w:eastAsia="宋体" w:cs="宋体"/>
          <w:b/>
          <w:bCs/>
          <w:color w:val="auto"/>
          <w:kern w:val="2"/>
          <w:sz w:val="24"/>
          <w:szCs w:val="24"/>
          <w:highlight w:val="none"/>
          <w:lang w:val="en-US" w:eastAsia="zh-CN" w:bidi="ar-SA"/>
        </w:rPr>
        <w:t>（十五）其他</w:t>
      </w:r>
      <w:bookmarkEnd w:id="391"/>
      <w:bookmarkEnd w:id="392"/>
      <w:bookmarkEnd w:id="393"/>
      <w:bookmarkEnd w:id="394"/>
      <w:bookmarkEnd w:id="395"/>
      <w:bookmarkEnd w:id="396"/>
    </w:p>
    <w:p w14:paraId="0C2C4C1A">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7" w:name="_Toc161600347"/>
      <w:r>
        <w:rPr>
          <w:rFonts w:hint="eastAsia" w:ascii="宋体" w:hAnsi="宋体" w:eastAsia="宋体" w:cs="宋体"/>
          <w:b/>
          <w:bCs/>
          <w:color w:val="auto"/>
          <w:kern w:val="2"/>
          <w:sz w:val="24"/>
          <w:szCs w:val="24"/>
          <w:highlight w:val="none"/>
          <w:lang w:val="en-US" w:eastAsia="zh-CN" w:bidi="ar-SA"/>
        </w:rPr>
        <w:t>45.需要补充的其他内容</w:t>
      </w:r>
      <w:bookmarkEnd w:id="397"/>
    </w:p>
    <w:p w14:paraId="3957C993">
      <w:pPr>
        <w:pStyle w:val="34"/>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4</w:t>
      </w:r>
      <w:r>
        <w:rPr>
          <w:rFonts w:hint="eastAsia"/>
          <w:i w:val="0"/>
          <w:iCs w:val="0"/>
          <w:color w:val="auto"/>
          <w:highlight w:val="none"/>
          <w:lang w:val="en-US" w:eastAsia="zh-CN"/>
        </w:rPr>
        <w:t>5</w:t>
      </w:r>
      <w:r>
        <w:rPr>
          <w:rFonts w:hint="eastAsia"/>
          <w:i w:val="0"/>
          <w:iCs w:val="0"/>
          <w:color w:val="auto"/>
          <w:highlight w:val="none"/>
        </w:rPr>
        <w:t>.1需要补充的其他内容：见供应商须知前附表。</w:t>
      </w:r>
    </w:p>
    <w:p w14:paraId="740594BA">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8" w:name="_Toc109899995"/>
      <w:bookmarkStart w:id="399" w:name="_Toc109900414"/>
      <w:bookmarkStart w:id="400" w:name="_Toc109897477"/>
      <w:bookmarkStart w:id="401" w:name="_Toc109899576"/>
      <w:r>
        <w:rPr>
          <w:rFonts w:hint="eastAsia" w:ascii="宋体" w:hAnsi="宋体" w:eastAsia="宋体" w:cs="宋体"/>
          <w:b/>
          <w:bCs/>
          <w:color w:val="auto"/>
          <w:kern w:val="2"/>
          <w:sz w:val="24"/>
          <w:szCs w:val="24"/>
          <w:highlight w:val="none"/>
          <w:lang w:val="en-US" w:eastAsia="zh-CN" w:bidi="ar-SA"/>
        </w:rPr>
        <w:t>46.适用法律</w:t>
      </w:r>
      <w:bookmarkEnd w:id="398"/>
      <w:bookmarkEnd w:id="399"/>
      <w:bookmarkEnd w:id="400"/>
      <w:bookmarkEnd w:id="401"/>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szCs w:val="24"/>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.1</w:t>
      </w:r>
      <w:r>
        <w:rPr>
          <w:rFonts w:hint="eastAsia" w:cs="仿宋_GB2312"/>
          <w:i w:val="0"/>
          <w:iCs w:val="0"/>
          <w:snapToGrid w:val="0"/>
          <w:color w:val="auto"/>
          <w:szCs w:val="24"/>
          <w:highlight w:val="none"/>
          <w:lang w:val="zh-CN"/>
        </w:rPr>
        <w:t>采购人、采购代理机构及供应商的一切采购活动均适用《</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政府采购法实施条例》、</w:t>
      </w:r>
      <w:r>
        <w:rPr>
          <w:rFonts w:hint="eastAsia" w:cs="宋体"/>
          <w:i w:val="0"/>
          <w:iCs w:val="0"/>
          <w:color w:val="auto"/>
          <w:szCs w:val="24"/>
          <w:highlight w:val="none"/>
        </w:rPr>
        <w:t>《政府采购竞争性磋商采购方式管理暂行办法》（财库〔</w:t>
      </w:r>
      <w:r>
        <w:rPr>
          <w:rFonts w:cs="宋体"/>
          <w:i w:val="0"/>
          <w:iCs w:val="0"/>
          <w:color w:val="auto"/>
          <w:szCs w:val="24"/>
          <w:highlight w:val="none"/>
        </w:rPr>
        <w:t>2014〕214号</w:t>
      </w:r>
      <w:r>
        <w:rPr>
          <w:rFonts w:hint="eastAsia" w:cs="宋体"/>
          <w:i w:val="0"/>
          <w:iCs w:val="0"/>
          <w:color w:val="auto"/>
          <w:szCs w:val="24"/>
          <w:highlight w:val="none"/>
        </w:rPr>
        <w:t>）</w:t>
      </w:r>
      <w:r>
        <w:rPr>
          <w:rFonts w:hint="eastAsia" w:cs="仿宋_GB2312"/>
          <w:i w:val="0"/>
          <w:iCs w:val="0"/>
          <w:snapToGrid w:val="0"/>
          <w:color w:val="auto"/>
          <w:szCs w:val="24"/>
          <w:highlight w:val="none"/>
          <w:lang w:val="zh-CN"/>
        </w:rPr>
        <w:t>及相关法律法规。</w:t>
      </w:r>
    </w:p>
    <w:p w14:paraId="7EF83039">
      <w:pPr>
        <w:pStyle w:val="34"/>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.2</w:t>
      </w:r>
      <w:r>
        <w:rPr>
          <w:rFonts w:hint="eastAsia"/>
          <w:i w:val="0"/>
          <w:iCs w:val="0"/>
          <w:snapToGrid w:val="0"/>
          <w:color w:val="auto"/>
          <w:highlight w:val="none"/>
          <w:lang w:val="zh-CN"/>
        </w:rPr>
        <w:t>政府采购合同的履行、违约责任和解决争议的方法等适用《</w:t>
      </w:r>
      <w:r>
        <w:rPr>
          <w:rFonts w:hint="eastAsia"/>
          <w:i w:val="0"/>
          <w:iCs w:val="0"/>
          <w:snapToGrid w:val="0"/>
          <w:color w:val="auto"/>
          <w:highlight w:val="none"/>
        </w:rPr>
        <w:t>中华人民共和国</w:t>
      </w:r>
      <w:r>
        <w:rPr>
          <w:rFonts w:hint="eastAsia"/>
          <w:i w:val="0"/>
          <w:iCs w:val="0"/>
          <w:snapToGrid w:val="0"/>
          <w:color w:val="auto"/>
          <w:highlight w:val="none"/>
          <w:lang w:val="zh-CN"/>
        </w:rPr>
        <w:t>民法典》。</w:t>
      </w:r>
    </w:p>
    <w:p w14:paraId="5A914310">
      <w:pPr>
        <w:pStyle w:val="8"/>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2" w:name="_Toc155185887"/>
      <w:bookmarkStart w:id="403" w:name="_Toc161600349"/>
      <w:r>
        <w:rPr>
          <w:rFonts w:hint="eastAsia" w:ascii="宋体" w:hAnsi="宋体" w:eastAsia="宋体" w:cs="宋体"/>
          <w:b/>
          <w:bCs/>
          <w:color w:val="auto"/>
          <w:kern w:val="2"/>
          <w:sz w:val="24"/>
          <w:szCs w:val="24"/>
          <w:highlight w:val="none"/>
          <w:lang w:val="en-US" w:eastAsia="zh-CN" w:bidi="ar-SA"/>
        </w:rPr>
        <w:t>47.解释权</w:t>
      </w:r>
      <w:bookmarkEnd w:id="402"/>
      <w:bookmarkEnd w:id="403"/>
    </w:p>
    <w:p w14:paraId="02BEF40F">
      <w:pPr>
        <w:pStyle w:val="34"/>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lang w:val="en-US" w:eastAsia="zh-CN"/>
        </w:rPr>
        <w:t>47</w:t>
      </w:r>
      <w:r>
        <w:rPr>
          <w:rFonts w:hint="eastAsia"/>
          <w:i w:val="0"/>
          <w:iCs w:val="0"/>
          <w:snapToGrid w:val="0"/>
          <w:color w:val="auto"/>
          <w:highlight w:val="none"/>
        </w:rPr>
        <w:t>.1本竞争性磋商文件最终解释权归采购人或采购代理机构所有。</w:t>
      </w:r>
    </w:p>
    <w:p w14:paraId="6C8F3CA4">
      <w:pPr>
        <w:pStyle w:val="34"/>
        <w:ind w:left="0" w:leftChars="0" w:firstLine="0" w:firstLineChars="0"/>
        <w:rPr>
          <w:i w:val="0"/>
          <w:iCs w:val="0"/>
          <w:color w:val="auto"/>
          <w:highlight w:val="none"/>
        </w:rPr>
        <w:sectPr>
          <w:footerReference r:id="rId6" w:type="default"/>
          <w:pgSz w:w="11906" w:h="16838"/>
          <w:pgMar w:top="1440" w:right="1800" w:bottom="1440" w:left="1800" w:header="851" w:footer="652" w:gutter="0"/>
          <w:pgNumType w:fmt="numberInDash"/>
          <w:cols w:space="0" w:num="1"/>
          <w:rtlGutter w:val="0"/>
          <w:docGrid w:type="lines" w:linePitch="312" w:charSpace="0"/>
        </w:sectPr>
      </w:pPr>
    </w:p>
    <w:p w14:paraId="39B2275E">
      <w:pPr>
        <w:pStyle w:val="5"/>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04" w:name="_Toc14779"/>
      <w:r>
        <w:rPr>
          <w:rFonts w:hint="eastAsia" w:ascii="宋体" w:hAnsi="宋体" w:eastAsia="宋体" w:cs="宋体"/>
          <w:b/>
          <w:bCs/>
          <w:color w:val="auto"/>
          <w:kern w:val="44"/>
          <w:sz w:val="36"/>
          <w:szCs w:val="36"/>
          <w:highlight w:val="none"/>
          <w:lang w:val="en-US" w:eastAsia="zh-CN" w:bidi="ar-SA"/>
        </w:rPr>
        <w:t>第三章 项目采购需求</w:t>
      </w:r>
      <w:bookmarkEnd w:id="404"/>
    </w:p>
    <w:p w14:paraId="763B1604">
      <w:pPr>
        <w:pStyle w:val="6"/>
        <w:bidi w:val="0"/>
        <w:rPr>
          <w:rFonts w:hint="eastAsia"/>
          <w:sz w:val="24"/>
          <w:szCs w:val="24"/>
          <w:highlight w:val="none"/>
          <w:lang w:val="en-US" w:eastAsia="zh-CN"/>
        </w:rPr>
      </w:pPr>
      <w:bookmarkStart w:id="405" w:name="_Toc27698"/>
      <w:bookmarkStart w:id="406" w:name="_Toc155185889"/>
      <w:bookmarkStart w:id="407" w:name="_Toc140132812"/>
      <w:bookmarkStart w:id="408" w:name="_Toc163492886"/>
      <w:r>
        <w:rPr>
          <w:rFonts w:hint="eastAsia"/>
          <w:sz w:val="24"/>
          <w:szCs w:val="24"/>
          <w:highlight w:val="none"/>
          <w:lang w:val="en-US" w:eastAsia="zh-CN"/>
        </w:rPr>
        <w:t>一、工程概况</w:t>
      </w:r>
      <w:bookmarkEnd w:id="405"/>
    </w:p>
    <w:p w14:paraId="48BAA5B8">
      <w:pPr>
        <w:pStyle w:val="6"/>
        <w:bidi w:val="0"/>
        <w:ind w:firstLine="480" w:firstLineChars="200"/>
        <w:rPr>
          <w:rFonts w:hint="eastAsia"/>
          <w:b w:val="0"/>
          <w:bCs w:val="0"/>
          <w:sz w:val="24"/>
          <w:szCs w:val="24"/>
          <w:highlight w:val="none"/>
          <w:lang w:val="en-US" w:eastAsia="zh-CN"/>
        </w:rPr>
      </w:pPr>
      <w:bookmarkStart w:id="409" w:name="_Toc21672"/>
      <w:r>
        <w:rPr>
          <w:rFonts w:hint="eastAsia"/>
          <w:b w:val="0"/>
          <w:bCs w:val="0"/>
          <w:sz w:val="24"/>
          <w:szCs w:val="24"/>
          <w:highlight w:val="none"/>
          <w:lang w:val="en-US" w:eastAsia="zh-CN"/>
        </w:rPr>
        <w:t>采购需求：车尔臣河水利管理中心水利工程维修养护</w:t>
      </w:r>
    </w:p>
    <w:p w14:paraId="4A1AD0F9">
      <w:pPr>
        <w:pStyle w:val="6"/>
        <w:bidi w:val="0"/>
        <w:rPr>
          <w:rFonts w:hint="eastAsia"/>
          <w:sz w:val="24"/>
          <w:szCs w:val="24"/>
          <w:highlight w:val="none"/>
          <w:lang w:val="en-US" w:eastAsia="zh-CN"/>
        </w:rPr>
      </w:pPr>
      <w:r>
        <w:rPr>
          <w:rFonts w:hint="eastAsia"/>
          <w:sz w:val="24"/>
          <w:szCs w:val="24"/>
          <w:highlight w:val="none"/>
          <w:lang w:val="en-US" w:eastAsia="zh-CN"/>
        </w:rPr>
        <w:t>二、工程内容</w:t>
      </w:r>
      <w:bookmarkEnd w:id="409"/>
      <w:r>
        <w:rPr>
          <w:rFonts w:hint="eastAsia"/>
          <w:sz w:val="24"/>
          <w:szCs w:val="24"/>
          <w:highlight w:val="none"/>
          <w:lang w:val="en-US" w:eastAsia="zh-CN"/>
        </w:rPr>
        <w:t xml:space="preserve"> </w:t>
      </w:r>
    </w:p>
    <w:p w14:paraId="0A9E355F">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1.工程名称：</w:t>
      </w:r>
      <w:r>
        <w:rPr>
          <w:rFonts w:hint="eastAsia"/>
          <w:i w:val="0"/>
          <w:iCs w:val="0"/>
          <w:snapToGrid w:val="0"/>
          <w:color w:val="auto"/>
          <w:highlight w:val="none"/>
          <w:lang w:val="hr-HR" w:eastAsia="zh-CN"/>
        </w:rPr>
        <w:t>塔里木河流域车尔臣河水利管理中心2026年公益性水利工程维修养护项目（第二次）</w:t>
      </w:r>
      <w:r>
        <w:rPr>
          <w:rFonts w:hint="eastAsia"/>
          <w:i w:val="0"/>
          <w:iCs w:val="0"/>
          <w:snapToGrid w:val="0"/>
          <w:color w:val="auto"/>
          <w:highlight w:val="none"/>
          <w:lang w:val="en-US" w:eastAsia="zh-CN"/>
        </w:rPr>
        <w:t xml:space="preserve">  </w:t>
      </w:r>
    </w:p>
    <w:p w14:paraId="2102F02A">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2.现场条件：具备施工条件    </w:t>
      </w:r>
    </w:p>
    <w:p w14:paraId="005A92A8">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3.工程承包范围：车尔臣河水利管理中心水利工程维修养护</w:t>
      </w:r>
    </w:p>
    <w:p w14:paraId="202443EE">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4.工程质量标准：合格</w:t>
      </w:r>
    </w:p>
    <w:p w14:paraId="68F2F91A">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5.工程施工要求：满足国家和行业标准</w:t>
      </w:r>
    </w:p>
    <w:p w14:paraId="06047AB3">
      <w:pPr>
        <w:pStyle w:val="6"/>
        <w:bidi w:val="0"/>
        <w:rPr>
          <w:rFonts w:hint="eastAsia"/>
          <w:sz w:val="24"/>
          <w:szCs w:val="24"/>
          <w:lang w:val="en-US" w:eastAsia="zh-CN"/>
        </w:rPr>
      </w:pPr>
      <w:bookmarkStart w:id="410" w:name="_Toc27746"/>
      <w:r>
        <w:rPr>
          <w:rFonts w:hint="eastAsia"/>
          <w:sz w:val="24"/>
          <w:szCs w:val="24"/>
          <w:lang w:val="en-US" w:eastAsia="zh-CN"/>
        </w:rPr>
        <w:t>三、商务要求</w:t>
      </w:r>
      <w:bookmarkEnd w:id="410"/>
    </w:p>
    <w:p w14:paraId="58AC5670">
      <w:pPr>
        <w:pStyle w:val="34"/>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1.工期要求：</w:t>
      </w:r>
      <w:r>
        <w:rPr>
          <w:rFonts w:hint="eastAsia" w:cs="宋体"/>
          <w:i w:val="0"/>
          <w:iCs w:val="0"/>
          <w:color w:val="auto"/>
          <w:sz w:val="24"/>
          <w:szCs w:val="24"/>
          <w:highlight w:val="none"/>
          <w:lang w:val="en-US" w:eastAsia="zh-CN"/>
        </w:rPr>
        <w:t>自合同签订之日起210日历天</w:t>
      </w:r>
    </w:p>
    <w:p w14:paraId="09D77232">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2.工程地点：且末县车尔臣河</w:t>
      </w:r>
    </w:p>
    <w:p w14:paraId="247F260B">
      <w:pPr>
        <w:pStyle w:val="34"/>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3.工程售后服务要求：满足国家和行业标准</w:t>
      </w:r>
    </w:p>
    <w:p w14:paraId="4BE9B3FA">
      <w:pPr>
        <w:spacing w:line="360" w:lineRule="auto"/>
        <w:jc w:val="left"/>
        <w:rPr>
          <w:rFonts w:hint="eastAsia" w:ascii="宋体" w:hAnsi="宋体"/>
          <w:i w:val="0"/>
          <w:iCs w:val="0"/>
          <w:color w:val="auto"/>
          <w:sz w:val="24"/>
          <w:highlight w:val="none"/>
          <w:u w:val="single"/>
        </w:rPr>
      </w:pPr>
    </w:p>
    <w:p w14:paraId="08CCCB55">
      <w:pPr>
        <w:pStyle w:val="2"/>
        <w:rPr>
          <w:rFonts w:hint="eastAsia" w:ascii="宋体" w:hAnsi="宋体"/>
          <w:i w:val="0"/>
          <w:iCs w:val="0"/>
          <w:color w:val="auto"/>
          <w:sz w:val="24"/>
          <w:highlight w:val="none"/>
          <w:u w:val="single"/>
        </w:rPr>
      </w:pPr>
    </w:p>
    <w:p w14:paraId="7B969D82">
      <w:pPr>
        <w:pStyle w:val="3"/>
        <w:rPr>
          <w:rFonts w:hint="eastAsia" w:ascii="宋体" w:hAnsi="宋体"/>
          <w:i w:val="0"/>
          <w:iCs w:val="0"/>
          <w:color w:val="auto"/>
          <w:sz w:val="24"/>
          <w:highlight w:val="none"/>
          <w:u w:val="single"/>
        </w:rPr>
      </w:pPr>
    </w:p>
    <w:p w14:paraId="16580217">
      <w:pPr>
        <w:pStyle w:val="4"/>
        <w:rPr>
          <w:rFonts w:hint="eastAsia" w:ascii="宋体" w:hAnsi="宋体"/>
          <w:i w:val="0"/>
          <w:iCs w:val="0"/>
          <w:color w:val="auto"/>
          <w:sz w:val="24"/>
          <w:highlight w:val="none"/>
          <w:u w:val="single"/>
        </w:rPr>
      </w:pPr>
    </w:p>
    <w:p w14:paraId="2E201932">
      <w:pPr>
        <w:rPr>
          <w:rFonts w:hint="eastAsia" w:ascii="宋体" w:hAnsi="宋体"/>
          <w:i w:val="0"/>
          <w:iCs w:val="0"/>
          <w:color w:val="auto"/>
          <w:sz w:val="24"/>
          <w:highlight w:val="none"/>
          <w:u w:val="single"/>
        </w:rPr>
      </w:pPr>
    </w:p>
    <w:p w14:paraId="1EB842D3">
      <w:pPr>
        <w:pStyle w:val="2"/>
        <w:rPr>
          <w:rFonts w:hint="eastAsia" w:ascii="宋体" w:hAnsi="宋体"/>
          <w:i w:val="0"/>
          <w:iCs w:val="0"/>
          <w:color w:val="auto"/>
          <w:sz w:val="24"/>
          <w:highlight w:val="none"/>
          <w:u w:val="single"/>
        </w:rPr>
      </w:pPr>
    </w:p>
    <w:p w14:paraId="71AE9240">
      <w:pPr>
        <w:pStyle w:val="3"/>
        <w:rPr>
          <w:rFonts w:hint="eastAsia" w:ascii="宋体" w:hAnsi="宋体"/>
          <w:i w:val="0"/>
          <w:iCs w:val="0"/>
          <w:color w:val="auto"/>
          <w:sz w:val="24"/>
          <w:highlight w:val="none"/>
          <w:u w:val="single"/>
        </w:rPr>
      </w:pPr>
    </w:p>
    <w:p w14:paraId="665CB1BB">
      <w:pPr>
        <w:pStyle w:val="4"/>
        <w:rPr>
          <w:rFonts w:hint="eastAsia" w:ascii="宋体" w:hAnsi="宋体"/>
          <w:i w:val="0"/>
          <w:iCs w:val="0"/>
          <w:color w:val="auto"/>
          <w:sz w:val="24"/>
          <w:highlight w:val="none"/>
          <w:u w:val="single"/>
        </w:rPr>
      </w:pPr>
    </w:p>
    <w:p w14:paraId="569487FA">
      <w:pPr>
        <w:rPr>
          <w:rFonts w:hint="eastAsia"/>
        </w:rPr>
      </w:pPr>
    </w:p>
    <w:bookmarkEnd w:id="406"/>
    <w:bookmarkEnd w:id="407"/>
    <w:bookmarkEnd w:id="408"/>
    <w:p w14:paraId="28FA2165">
      <w:pPr>
        <w:pStyle w:val="5"/>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11" w:name="_Toc21090"/>
      <w:r>
        <w:rPr>
          <w:rFonts w:hint="eastAsia" w:ascii="宋体" w:hAnsi="宋体" w:eastAsia="宋体" w:cs="宋体"/>
          <w:b/>
          <w:bCs/>
          <w:color w:val="auto"/>
          <w:kern w:val="44"/>
          <w:sz w:val="36"/>
          <w:szCs w:val="36"/>
          <w:highlight w:val="none"/>
          <w:lang w:val="en-US" w:eastAsia="zh-CN" w:bidi="ar-SA"/>
        </w:rPr>
        <w:t>第四章 评审方法及标准</w:t>
      </w:r>
      <w:bookmarkEnd w:id="411"/>
    </w:p>
    <w:p w14:paraId="3C2D8384">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12" w:name="_Toc18136"/>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12"/>
    </w:p>
    <w:p w14:paraId="53640E9C">
      <w:pPr>
        <w:pStyle w:val="34"/>
        <w:ind w:firstLine="480"/>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13" w:name="_Toc1479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13"/>
    </w:p>
    <w:p w14:paraId="25412360">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14" w:name="_Toc13629"/>
      <w:bookmarkStart w:id="415"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14"/>
      <w:bookmarkEnd w:id="415"/>
    </w:p>
    <w:p w14:paraId="64549C54">
      <w:pPr>
        <w:tabs>
          <w:tab w:val="left" w:pos="312"/>
        </w:tabs>
        <w:wordWrap w:val="0"/>
        <w:adjustRightInd w:val="0"/>
        <w:snapToGrid w:val="0"/>
        <w:ind w:firstLine="480" w:firstLineChars="200"/>
        <w:rPr>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34DAF073">
      <w:pPr>
        <w:pStyle w:val="34"/>
        <w:ind w:firstLine="480"/>
        <w:rPr>
          <w:i w:val="0"/>
          <w:iCs w:val="0"/>
          <w:color w:val="auto"/>
          <w:highlight w:val="none"/>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480155A">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16" w:name="_Toc13955"/>
      <w:bookmarkStart w:id="417" w:name="_Toc163493635"/>
      <w:bookmarkStart w:id="418" w:name="_Hlk158124046"/>
      <w:bookmarkStart w:id="419" w:name="_Toc102114946"/>
      <w:bookmarkStart w:id="420" w:name="_Toc102116178"/>
      <w:bookmarkStart w:id="421" w:name="_Toc102119879"/>
      <w:bookmarkStart w:id="422" w:name="_Toc102057744"/>
      <w:bookmarkStart w:id="423" w:name="_Toc102116048"/>
      <w:bookmarkStart w:id="424" w:name="_Toc102056244"/>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16"/>
      <w:bookmarkEnd w:id="417"/>
    </w:p>
    <w:p w14:paraId="4E589A43">
      <w:pPr>
        <w:pStyle w:val="34"/>
        <w:ind w:firstLine="480"/>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4"/>
        <w:ind w:firstLine="480"/>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18"/>
    <w:p w14:paraId="27E4E052">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25" w:name="_Toc163493636"/>
      <w:bookmarkStart w:id="426" w:name="_Toc18013"/>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磋商程序</w:t>
      </w:r>
      <w:bookmarkEnd w:id="425"/>
      <w:bookmarkEnd w:id="426"/>
    </w:p>
    <w:p w14:paraId="3B21DF86">
      <w:pPr>
        <w:pStyle w:val="34"/>
        <w:ind w:firstLine="480"/>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1.第一轮磋商</w:t>
      </w:r>
    </w:p>
    <w:p w14:paraId="2DE3353A">
      <w:pPr>
        <w:pStyle w:val="34"/>
        <w:ind w:firstLine="480"/>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51723349">
      <w:pPr>
        <w:pStyle w:val="34"/>
        <w:ind w:firstLine="480"/>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71EE9FD4">
      <w:pPr>
        <w:pStyle w:val="34"/>
        <w:ind w:firstLine="480"/>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5261153F">
      <w:pPr>
        <w:pStyle w:val="34"/>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4"/>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2.多轮磋商</w:t>
      </w:r>
    </w:p>
    <w:p w14:paraId="07D8F4C4">
      <w:pPr>
        <w:pStyle w:val="34"/>
        <w:ind w:firstLine="480"/>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4"/>
        <w:ind w:firstLine="480"/>
        <w:rPr>
          <w:i w:val="0"/>
          <w:iCs w:val="0"/>
          <w:color w:val="auto"/>
          <w:sz w:val="28"/>
          <w:highlight w:val="none"/>
        </w:rPr>
      </w:pPr>
      <w:r>
        <w:rPr>
          <w:rFonts w:hint="eastAsia"/>
          <w:i w:val="0"/>
          <w:iCs w:val="0"/>
          <w:color w:val="auto"/>
          <w:highlight w:val="none"/>
        </w:rPr>
        <w:t>2</w:t>
      </w:r>
      <w:r>
        <w:rPr>
          <w:i w:val="0"/>
          <w:iCs w:val="0"/>
          <w:color w:val="auto"/>
          <w:highlight w:val="none"/>
        </w:rPr>
        <w:t>.3</w:t>
      </w:r>
      <w:r>
        <w:rPr>
          <w:rFonts w:hint="eastAsia"/>
          <w:i w:val="0"/>
          <w:iCs w:val="0"/>
          <w:color w:val="auto"/>
          <w:highlight w:val="none"/>
        </w:rPr>
        <w:t>磋商程序同第一轮磋商。</w:t>
      </w:r>
    </w:p>
    <w:p w14:paraId="47413248">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7172DA31">
      <w:pPr>
        <w:pStyle w:val="34"/>
        <w:ind w:firstLine="480"/>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443FE82F">
      <w:pPr>
        <w:pStyle w:val="34"/>
        <w:ind w:firstLine="480"/>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8592F04">
      <w:pPr>
        <w:pStyle w:val="34"/>
        <w:ind w:firstLine="480"/>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24098F81">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21548021">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4E1BDE3A">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4EE75050">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2FC6DFE7">
      <w:pPr>
        <w:pStyle w:val="34"/>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5DE843A7">
      <w:pPr>
        <w:pStyle w:val="34"/>
        <w:ind w:firstLine="480"/>
        <w:rPr>
          <w:rFonts w:ascii="宋体" w:hAnsi="宋体" w:eastAsia="宋体"/>
          <w:i w:val="0"/>
          <w:iCs w:val="0"/>
          <w:color w:val="auto"/>
          <w:highlight w:val="none"/>
        </w:rPr>
      </w:pP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b/>
          <w:bCs/>
          <w:i w:val="0"/>
          <w:iCs w:val="0"/>
          <w:color w:val="auto"/>
          <w:highlight w:val="none"/>
          <w:lang w:val="zh-CN"/>
        </w:rPr>
        <w:t>无效</w:t>
      </w:r>
      <w:r>
        <w:rPr>
          <w:rFonts w:hint="eastAsia" w:ascii="宋体" w:hAnsi="宋体" w:eastAsia="宋体"/>
          <w:b/>
          <w:bCs/>
          <w:i w:val="0"/>
          <w:iCs w:val="0"/>
          <w:color w:val="auto"/>
          <w:highlight w:val="none"/>
          <w:lang w:val="zh-CN"/>
        </w:rPr>
        <w:t>响应</w:t>
      </w:r>
      <w:r>
        <w:rPr>
          <w:rFonts w:hint="eastAsia" w:ascii="宋体" w:hAnsi="宋体" w:eastAsia="宋体"/>
          <w:i w:val="0"/>
          <w:iCs w:val="0"/>
          <w:color w:val="auto"/>
          <w:highlight w:val="none"/>
          <w:lang w:val="zh-CN"/>
        </w:rPr>
        <w:t>处理</w:t>
      </w:r>
      <w:r>
        <w:rPr>
          <w:rFonts w:ascii="宋体" w:hAnsi="宋体" w:eastAsia="宋体"/>
          <w:i w:val="0"/>
          <w:iCs w:val="0"/>
          <w:color w:val="auto"/>
          <w:highlight w:val="none"/>
          <w:lang w:val="zh-CN"/>
        </w:rPr>
        <w:t>。</w:t>
      </w:r>
    </w:p>
    <w:p w14:paraId="492B1BCC">
      <w:pPr>
        <w:tabs>
          <w:tab w:val="left" w:pos="993"/>
        </w:tabs>
        <w:wordWrap w:val="0"/>
        <w:adjustRightInd w:val="0"/>
        <w:snapToGrid w:val="0"/>
        <w:ind w:firstLine="480" w:firstLineChars="200"/>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w:t>
      </w:r>
      <w:r>
        <w:rPr>
          <w:rFonts w:hint="eastAsia"/>
          <w:i w:val="0"/>
          <w:iCs w:val="0"/>
          <w:color w:val="auto"/>
          <w:highlight w:val="none"/>
          <w:lang w:val="en-US" w:eastAsia="zh-CN"/>
        </w:rPr>
        <w:t>，</w:t>
      </w:r>
      <w:r>
        <w:rPr>
          <w:rFonts w:hint="eastAsia" w:ascii="宋体" w:hAnsi="宋体" w:eastAsia="宋体"/>
          <w:i w:val="0"/>
          <w:iCs w:val="0"/>
          <w:color w:val="auto"/>
          <w:highlight w:val="none"/>
          <w:lang w:val="en-US" w:eastAsia="zh-CN"/>
        </w:rPr>
        <w:t>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27" w:name="_Toc102119880"/>
      <w:bookmarkStart w:id="428" w:name="_Toc102114947"/>
      <w:bookmarkStart w:id="429" w:name="_Toc102116049"/>
      <w:bookmarkStart w:id="430" w:name="_Toc102057745"/>
      <w:bookmarkStart w:id="431" w:name="_Toc102116179"/>
      <w:bookmarkStart w:id="432" w:name="_Toc102056245"/>
      <w:r>
        <w:rPr>
          <w:rFonts w:hint="eastAsia" w:ascii="宋体" w:hAnsi="宋体" w:eastAsia="宋体" w:cs="宋体"/>
          <w:b/>
          <w:bCs/>
          <w:color w:val="auto"/>
          <w:kern w:val="2"/>
          <w:sz w:val="24"/>
          <w:szCs w:val="24"/>
          <w:highlight w:val="none"/>
          <w:lang w:val="en-US" w:eastAsia="zh-CN" w:bidi="ar-SA"/>
        </w:rPr>
        <w:t>4.商务技术评审</w:t>
      </w:r>
    </w:p>
    <w:p w14:paraId="2D2ED263">
      <w:pPr>
        <w:pStyle w:val="34"/>
        <w:ind w:firstLine="480"/>
        <w:rPr>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19"/>
    <w:bookmarkEnd w:id="420"/>
    <w:bookmarkEnd w:id="421"/>
    <w:bookmarkEnd w:id="422"/>
    <w:bookmarkEnd w:id="423"/>
    <w:bookmarkEnd w:id="424"/>
    <w:bookmarkEnd w:id="427"/>
    <w:bookmarkEnd w:id="428"/>
    <w:bookmarkEnd w:id="429"/>
    <w:bookmarkEnd w:id="430"/>
    <w:bookmarkEnd w:id="431"/>
    <w:bookmarkEnd w:id="432"/>
    <w:p w14:paraId="11B2A59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3" w:name="_Toc102056247"/>
      <w:bookmarkStart w:id="434" w:name="_Toc102116181"/>
      <w:bookmarkStart w:id="435" w:name="_Toc102119882"/>
      <w:bookmarkStart w:id="436" w:name="_Toc102116051"/>
      <w:bookmarkStart w:id="437" w:name="_Toc102057747"/>
      <w:bookmarkStart w:id="438" w:name="_Toc102114949"/>
      <w:r>
        <w:rPr>
          <w:rFonts w:hint="eastAsia" w:ascii="宋体" w:hAnsi="宋体" w:eastAsia="宋体" w:cs="宋体"/>
          <w:b/>
          <w:bCs/>
          <w:color w:val="auto"/>
          <w:kern w:val="2"/>
          <w:sz w:val="24"/>
          <w:szCs w:val="24"/>
          <w:highlight w:val="none"/>
          <w:lang w:val="en-US" w:eastAsia="zh-CN" w:bidi="ar-SA"/>
        </w:rPr>
        <w:t>5.报价评</w:t>
      </w:r>
      <w:bookmarkEnd w:id="433"/>
      <w:bookmarkEnd w:id="434"/>
      <w:bookmarkEnd w:id="435"/>
      <w:bookmarkEnd w:id="436"/>
      <w:bookmarkEnd w:id="437"/>
      <w:bookmarkEnd w:id="438"/>
      <w:r>
        <w:rPr>
          <w:rFonts w:hint="eastAsia" w:ascii="宋体" w:hAnsi="宋体" w:eastAsia="宋体" w:cs="宋体"/>
          <w:b/>
          <w:bCs/>
          <w:color w:val="auto"/>
          <w:kern w:val="2"/>
          <w:sz w:val="24"/>
          <w:szCs w:val="24"/>
          <w:highlight w:val="none"/>
          <w:lang w:val="en-US" w:eastAsia="zh-CN" w:bidi="ar-SA"/>
        </w:rPr>
        <w:t>审</w:t>
      </w:r>
    </w:p>
    <w:p w14:paraId="055B48E8">
      <w:pPr>
        <w:pStyle w:val="34"/>
        <w:ind w:firstLine="480"/>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工程</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34"/>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5.1.1供应商应根据答疑内容在规定的时间内提供说明和相关证明材料，磋商小组认定相关证明材料对此报价的说明或者证明材料可以佐证此报价的工程质量和具有诚信履约能力，予以通过审查；</w:t>
      </w:r>
    </w:p>
    <w:p w14:paraId="61371D00">
      <w:pPr>
        <w:pStyle w:val="34"/>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5.1.2供应商提供的说明或者证明材料必须按照国家相关规定，逐项对其报价作详细陈述，并由法定代表人或者其授权代表签字确认并加盖公章；</w:t>
      </w:r>
    </w:p>
    <w:p w14:paraId="3E3AF71F">
      <w:pPr>
        <w:pStyle w:val="34"/>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5.1.3供应商不能合理说明或者不能提供相关证明材料的，由磋商小组认定该供应商以低于成本报价竞标，有可能影响工程质量或者不能诚信履约，应当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4914FC82">
      <w:pPr>
        <w:pStyle w:val="34"/>
        <w:ind w:firstLine="480"/>
        <w:rPr>
          <w:i w:val="0"/>
          <w:iCs w:val="0"/>
          <w:color w:val="auto"/>
          <w:highlight w:val="none"/>
          <w:lang w:val="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22BF777A">
      <w:pPr>
        <w:pStyle w:val="34"/>
        <w:ind w:firstLine="480"/>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F4B5526">
      <w:pPr>
        <w:pStyle w:val="34"/>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残疾人福利性单位、采购产品纳入创新产品应用示范推荐目录内企业、采购产品获得节能产品或环境标志产品认证证书的企业报价按照本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供应商须知前附表”中的规定扣除，用扣除后的价格计算评审基准价。</w:t>
      </w:r>
    </w:p>
    <w:p w14:paraId="72014FEF">
      <w:pPr>
        <w:pStyle w:val="34"/>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4"/>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60984AA9">
      <w:pPr>
        <w:pStyle w:val="34"/>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19B743D0">
      <w:pPr>
        <w:pStyle w:val="34"/>
        <w:numPr>
          <w:ilvl w:val="0"/>
          <w:numId w:val="0"/>
        </w:numPr>
        <w:shd w:val="clear" w:color="auto" w:fill="FFFFFF" w:themeFill="background1"/>
        <w:ind w:firstLine="480" w:firstLineChars="200"/>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145719F7">
      <w:pPr>
        <w:pStyle w:val="34"/>
        <w:numPr>
          <w:ilvl w:val="0"/>
          <w:numId w:val="0"/>
        </w:numPr>
        <w:shd w:val="clear" w:color="auto" w:fill="FFFFFF" w:themeFill="background1"/>
        <w:ind w:firstLine="480" w:firstLineChars="200"/>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7D70505D">
      <w:pPr>
        <w:pStyle w:val="34"/>
        <w:ind w:firstLine="480"/>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75AC352D">
      <w:pPr>
        <w:pStyle w:val="34"/>
        <w:ind w:firstLine="480"/>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72A4C42D">
      <w:pPr>
        <w:pStyle w:val="34"/>
        <w:ind w:firstLine="480"/>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576E9827">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9" w:name="_Toc102119884"/>
      <w:bookmarkStart w:id="440" w:name="_Toc102116053"/>
      <w:bookmarkStart w:id="441" w:name="_Toc102056249"/>
      <w:bookmarkStart w:id="442" w:name="_Toc102114951"/>
      <w:bookmarkStart w:id="443" w:name="_Toc102057749"/>
      <w:bookmarkStart w:id="444" w:name="_Toc102116183"/>
      <w:bookmarkStart w:id="445" w:name="_Toc102114952"/>
      <w:bookmarkStart w:id="446" w:name="_Toc102056250"/>
      <w:bookmarkStart w:id="447" w:name="_Toc102116054"/>
      <w:bookmarkStart w:id="448" w:name="_Toc102119885"/>
      <w:bookmarkStart w:id="449" w:name="_Toc102116184"/>
      <w:bookmarkStart w:id="450" w:name="_Toc102057750"/>
      <w:r>
        <w:rPr>
          <w:rFonts w:hint="eastAsia" w:ascii="宋体" w:hAnsi="宋体" w:eastAsia="宋体" w:cs="宋体"/>
          <w:b/>
          <w:bCs/>
          <w:color w:val="auto"/>
          <w:kern w:val="2"/>
          <w:sz w:val="24"/>
          <w:szCs w:val="24"/>
          <w:highlight w:val="none"/>
          <w:lang w:val="en-US" w:eastAsia="zh-CN" w:bidi="ar-SA"/>
        </w:rPr>
        <w:t>6.计分办法</w:t>
      </w:r>
      <w:bookmarkEnd w:id="439"/>
      <w:bookmarkEnd w:id="440"/>
      <w:bookmarkEnd w:id="441"/>
      <w:bookmarkEnd w:id="442"/>
      <w:bookmarkEnd w:id="443"/>
      <w:bookmarkEnd w:id="444"/>
      <w:r>
        <w:rPr>
          <w:rFonts w:hint="eastAsia" w:ascii="宋体" w:hAnsi="宋体" w:eastAsia="宋体" w:cs="宋体"/>
          <w:b/>
          <w:bCs/>
          <w:color w:val="auto"/>
          <w:kern w:val="2"/>
          <w:sz w:val="24"/>
          <w:szCs w:val="24"/>
          <w:highlight w:val="none"/>
          <w:lang w:val="en-US" w:eastAsia="zh-CN" w:bidi="ar-SA"/>
        </w:rPr>
        <w:t>及复核</w:t>
      </w:r>
    </w:p>
    <w:p w14:paraId="3C92B2FD">
      <w:pPr>
        <w:pStyle w:val="34"/>
        <w:ind w:firstLine="480"/>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ED690F0">
      <w:pPr>
        <w:pStyle w:val="34"/>
        <w:ind w:firstLine="480"/>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4"/>
        <w:ind w:firstLine="480"/>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3DE5652F">
      <w:pPr>
        <w:pStyle w:val="34"/>
        <w:ind w:firstLine="480"/>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37EA074D">
      <w:pPr>
        <w:pStyle w:val="34"/>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5B7DD6FF">
      <w:pPr>
        <w:pStyle w:val="34"/>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3B75BF42">
      <w:pPr>
        <w:pStyle w:val="34"/>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10B8F738">
      <w:pPr>
        <w:pStyle w:val="34"/>
        <w:ind w:firstLine="480"/>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502A4CD0">
      <w:pPr>
        <w:pStyle w:val="34"/>
        <w:ind w:firstLine="480"/>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4"/>
        <w:ind w:firstLine="480"/>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6.5采购人或者采购代理机构不得通过对供应商进行考察等方式改变评审结果。</w:t>
      </w:r>
    </w:p>
    <w:p w14:paraId="1F8EBB86">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7.评审报告</w:t>
      </w:r>
      <w:bookmarkEnd w:id="445"/>
      <w:bookmarkEnd w:id="446"/>
      <w:bookmarkEnd w:id="447"/>
      <w:bookmarkEnd w:id="448"/>
      <w:bookmarkEnd w:id="449"/>
      <w:bookmarkEnd w:id="450"/>
    </w:p>
    <w:p w14:paraId="2AE7A31A">
      <w:pPr>
        <w:pStyle w:val="34"/>
        <w:ind w:firstLine="480"/>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从质量和服务均能满足磋商文件实质性要求的供应商中，按照综合得分由高到低的顺序推荐3名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；得分相同且最后报价相同的，按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p>
    <w:p w14:paraId="110BB818">
      <w:pPr>
        <w:pStyle w:val="34"/>
        <w:ind w:firstLine="480"/>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8.响应无效的情形</w:t>
      </w:r>
    </w:p>
    <w:p w14:paraId="21B88F58">
      <w:pPr>
        <w:keepNext w:val="0"/>
        <w:keepLines w:val="0"/>
        <w:widowControl/>
        <w:suppressLineNumbers w:val="0"/>
        <w:ind w:firstLine="480" w:firstLineChars="200"/>
        <w:jc w:val="left"/>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4"/>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4"/>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56"/>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6F68AA68">
      <w:pPr>
        <w:pStyle w:val="34"/>
        <w:ind w:firstLine="480"/>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8"/>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51" w:name="_Toc102056218"/>
      <w:bookmarkStart w:id="452" w:name="_Toc102114920"/>
      <w:bookmarkStart w:id="453" w:name="_Toc102116152"/>
      <w:bookmarkStart w:id="454" w:name="_Toc102119853"/>
      <w:bookmarkStart w:id="455" w:name="_Toc102116022"/>
      <w:bookmarkStart w:id="456" w:name="_Toc102057718"/>
      <w:r>
        <w:rPr>
          <w:rFonts w:hint="eastAsia" w:ascii="宋体" w:hAnsi="宋体" w:eastAsia="宋体" w:cs="宋体"/>
          <w:b/>
          <w:bCs/>
          <w:color w:val="auto"/>
          <w:kern w:val="2"/>
          <w:sz w:val="24"/>
          <w:szCs w:val="24"/>
          <w:highlight w:val="none"/>
          <w:lang w:val="en-US" w:eastAsia="zh-CN" w:bidi="ar-SA"/>
        </w:rPr>
        <w:t>9.停止评审的情形</w:t>
      </w:r>
      <w:bookmarkEnd w:id="451"/>
      <w:bookmarkEnd w:id="452"/>
      <w:bookmarkEnd w:id="453"/>
      <w:bookmarkEnd w:id="454"/>
      <w:bookmarkEnd w:id="455"/>
      <w:bookmarkEnd w:id="456"/>
    </w:p>
    <w:p w14:paraId="58A3D9D5">
      <w:pPr>
        <w:keepNext w:val="0"/>
        <w:keepLines w:val="0"/>
        <w:widowControl/>
        <w:suppressLineNumbers w:val="0"/>
        <w:ind w:firstLine="480" w:firstLineChars="200"/>
        <w:jc w:val="left"/>
        <w:rPr>
          <w:rFonts w:hint="eastAsia" w:ascii="宋体" w:hAnsi="宋体" w:eastAsia="宋体" w:cstheme="minorBidi"/>
          <w:i w:val="0"/>
          <w:iCs w:val="0"/>
          <w:color w:val="auto"/>
          <w:kern w:val="2"/>
          <w:sz w:val="24"/>
          <w:szCs w:val="22"/>
          <w:highlight w:val="none"/>
          <w:lang w:val="zh-CN" w:eastAsia="zh-CN" w:bidi="ar-SA"/>
        </w:rPr>
      </w:pPr>
      <w:r>
        <w:rPr>
          <w:rFonts w:hint="eastAsia"/>
          <w:i w:val="0"/>
          <w:iCs w:val="0"/>
          <w:color w:val="auto"/>
          <w:highlight w:val="none"/>
          <w:lang w:val="en-US" w:eastAsia="zh-CN"/>
        </w:rPr>
        <w:t>9</w:t>
      </w:r>
      <w:r>
        <w:rPr>
          <w:i w:val="0"/>
          <w:iCs w:val="0"/>
          <w:color w:val="auto"/>
          <w:highlight w:val="none"/>
          <w:lang w:val="zh-CN"/>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4"/>
        <w:ind w:firstLine="480"/>
        <w:rPr>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57" w:name="_Toc20411"/>
      <w:bookmarkStart w:id="458" w:name="_Toc163493639"/>
      <w:bookmarkStart w:id="459" w:name="_Toc15649034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57"/>
    </w:p>
    <w:p w14:paraId="5672636A">
      <w:pPr>
        <w:pStyle w:val="6"/>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60" w:name="_Toc2791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60"/>
    </w:p>
    <w:p w14:paraId="32B0EEA1">
      <w:pPr>
        <w:pStyle w:val="7"/>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61" w:name="_Toc163493638"/>
      <w:bookmarkStart w:id="462" w:name="_Toc31800"/>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61"/>
      <w:bookmarkEnd w:id="462"/>
    </w:p>
    <w:tbl>
      <w:tblPr>
        <w:tblStyle w:val="28"/>
        <w:tblW w:w="5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19"/>
        <w:gridCol w:w="1884"/>
        <w:gridCol w:w="5539"/>
        <w:gridCol w:w="1608"/>
      </w:tblGrid>
      <w:tr w14:paraId="7C6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416" w:type="pct"/>
            <w:shd w:val="clear" w:color="auto" w:fill="D8D8D8" w:themeFill="background1" w:themeFillShade="D9"/>
            <w:vAlign w:val="center"/>
          </w:tcPr>
          <w:p w14:paraId="6BBF1BDC">
            <w:pPr>
              <w:pStyle w:val="45"/>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956" w:type="pct"/>
            <w:shd w:val="clear" w:color="auto" w:fill="D8D8D8" w:themeFill="background1" w:themeFillShade="D9"/>
            <w:vAlign w:val="center"/>
          </w:tcPr>
          <w:p w14:paraId="20249EEC">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811" w:type="pct"/>
            <w:shd w:val="clear" w:color="auto" w:fill="D8D8D8" w:themeFill="background1" w:themeFillShade="D9"/>
            <w:vAlign w:val="center"/>
          </w:tcPr>
          <w:p w14:paraId="47534B1D">
            <w:pPr>
              <w:pStyle w:val="45"/>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816" w:type="pct"/>
            <w:shd w:val="clear" w:color="auto" w:fill="D8D8D8" w:themeFill="background1" w:themeFillShade="D9"/>
            <w:vAlign w:val="center"/>
          </w:tcPr>
          <w:p w14:paraId="5D4AD6EF">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6C6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16" w:type="pct"/>
            <w:shd w:val="clear" w:color="auto" w:fill="FFFFFF" w:themeFill="background1"/>
            <w:vAlign w:val="center"/>
          </w:tcPr>
          <w:p w14:paraId="7201FEF3">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w:t>
            </w:r>
          </w:p>
        </w:tc>
        <w:tc>
          <w:tcPr>
            <w:tcW w:w="956" w:type="pct"/>
            <w:shd w:val="clear" w:color="auto" w:fill="FFFFFF" w:themeFill="background1"/>
            <w:vAlign w:val="center"/>
          </w:tcPr>
          <w:p w14:paraId="43A32E96">
            <w:pPr>
              <w:pStyle w:val="4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满足《政府采购 </w:t>
            </w:r>
          </w:p>
          <w:p w14:paraId="1849245B">
            <w:pPr>
              <w:pStyle w:val="4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法》第二十二条 </w:t>
            </w:r>
          </w:p>
          <w:p w14:paraId="351E8011">
            <w:pPr>
              <w:pStyle w:val="4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规定</w:t>
            </w:r>
          </w:p>
        </w:tc>
        <w:tc>
          <w:tcPr>
            <w:tcW w:w="2811" w:type="pct"/>
            <w:shd w:val="clear" w:color="auto" w:fill="FFFFFF" w:themeFill="background1"/>
            <w:vAlign w:val="center"/>
          </w:tcPr>
          <w:p w14:paraId="06CFC71C">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具体规定见“第一章 竞争性磋商公告”</w:t>
            </w:r>
          </w:p>
        </w:tc>
        <w:tc>
          <w:tcPr>
            <w:tcW w:w="816" w:type="pct"/>
            <w:shd w:val="clear" w:color="auto" w:fill="FFFFFF" w:themeFill="background1"/>
            <w:vAlign w:val="center"/>
          </w:tcPr>
          <w:p w14:paraId="00E688CB">
            <w:pPr>
              <w:pStyle w:val="45"/>
              <w:spacing w:line="240" w:lineRule="auto"/>
              <w:jc w:val="center"/>
              <w:rPr>
                <w:rFonts w:hint="eastAsia" w:ascii="宋体" w:hAnsi="宋体" w:eastAsia="宋体" w:cs="宋体"/>
                <w:b/>
                <w:bCs/>
                <w:i w:val="0"/>
                <w:iCs w:val="0"/>
                <w:color w:val="auto"/>
                <w:sz w:val="24"/>
                <w:szCs w:val="24"/>
                <w:highlight w:val="none"/>
              </w:rPr>
            </w:pPr>
          </w:p>
        </w:tc>
      </w:tr>
      <w:tr w14:paraId="46A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624" w:hRule="atLeast"/>
          <w:jc w:val="center"/>
        </w:trPr>
        <w:tc>
          <w:tcPr>
            <w:tcW w:w="416" w:type="pct"/>
            <w:shd w:val="clear" w:color="auto" w:fill="FFFFFF" w:themeFill="background1"/>
            <w:vAlign w:val="center"/>
          </w:tcPr>
          <w:p w14:paraId="272B18EE">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1-1</w:t>
            </w:r>
          </w:p>
        </w:tc>
        <w:tc>
          <w:tcPr>
            <w:tcW w:w="956" w:type="pct"/>
            <w:shd w:val="clear" w:color="auto" w:fill="FFFFFF" w:themeFill="background1"/>
            <w:vAlign w:val="center"/>
          </w:tcPr>
          <w:p w14:paraId="40132D29">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营业执照等证明文件</w:t>
            </w:r>
          </w:p>
        </w:tc>
        <w:tc>
          <w:tcPr>
            <w:tcW w:w="2811" w:type="pct"/>
            <w:shd w:val="clear" w:color="auto" w:fill="FFFFFF" w:themeFill="background1"/>
            <w:vAlign w:val="center"/>
          </w:tcPr>
          <w:p w14:paraId="417B75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供应商为企业（包括合伙企业）的，应提供有效的“营业执照”； </w:t>
            </w:r>
          </w:p>
          <w:p w14:paraId="55CBD2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供应商为事业单位的，应提供有效的“事业单位法人证书” ； </w:t>
            </w:r>
          </w:p>
          <w:p w14:paraId="633CFB81">
            <w:pPr>
              <w:keepNext w:val="0"/>
              <w:keepLines w:val="0"/>
              <w:pageBreakBefore w:val="0"/>
              <w:widowControl/>
              <w:suppressLineNumbers w:val="0"/>
              <w:tabs>
                <w:tab w:val="left" w:pos="5280"/>
              </w:tabs>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供应商是非企业机构的，应提供有效的“执业许可证”、“登记证书”等证明文件； </w:t>
            </w:r>
          </w:p>
          <w:p w14:paraId="41E5D4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rPr>
            </w:pPr>
            <w:r>
              <w:rPr>
                <w:rFonts w:hint="eastAsia" w:ascii="宋体" w:hAnsi="宋体" w:eastAsia="宋体" w:cs="宋体"/>
                <w:i w:val="0"/>
                <w:iCs w:val="0"/>
                <w:color w:val="auto"/>
                <w:spacing w:val="-6"/>
                <w:kern w:val="0"/>
                <w:sz w:val="24"/>
                <w:szCs w:val="24"/>
                <w:highlight w:val="none"/>
                <w:lang w:val="en-US" w:eastAsia="zh-CN" w:bidi="ar"/>
              </w:rPr>
              <w:t xml:space="preserve">供应商是个体工商户的，应提供有效的“个体工商户营业执照”； </w:t>
            </w:r>
          </w:p>
          <w:p w14:paraId="0D7A6E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pacing w:val="-11"/>
                <w:kern w:val="0"/>
                <w:sz w:val="24"/>
                <w:szCs w:val="24"/>
                <w:highlight w:val="none"/>
                <w:lang w:val="en-US" w:eastAsia="zh-CN" w:bidi="ar"/>
              </w:rPr>
              <w:t>是自然人的，应提供有效的自然人身份证明。</w:t>
            </w:r>
          </w:p>
        </w:tc>
        <w:tc>
          <w:tcPr>
            <w:tcW w:w="816" w:type="pct"/>
            <w:shd w:val="clear" w:color="auto" w:fill="FFFFFF" w:themeFill="background1"/>
            <w:vAlign w:val="center"/>
          </w:tcPr>
          <w:p w14:paraId="3E8CCB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提供证明文件的电子件或电子证照</w:t>
            </w:r>
          </w:p>
        </w:tc>
      </w:tr>
      <w:tr w14:paraId="2FD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atLeast"/>
          <w:jc w:val="center"/>
        </w:trPr>
        <w:tc>
          <w:tcPr>
            <w:tcW w:w="416" w:type="pct"/>
            <w:shd w:val="clear" w:color="auto" w:fill="FFFFFF" w:themeFill="background1"/>
            <w:vAlign w:val="center"/>
          </w:tcPr>
          <w:p w14:paraId="1EC766D2">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1-2</w:t>
            </w:r>
          </w:p>
        </w:tc>
        <w:tc>
          <w:tcPr>
            <w:tcW w:w="956" w:type="pct"/>
            <w:shd w:val="clear" w:color="auto" w:fill="FFFFFF" w:themeFill="background1"/>
            <w:vAlign w:val="center"/>
          </w:tcPr>
          <w:p w14:paraId="1897038F">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z w:val="24"/>
                <w:szCs w:val="24"/>
                <w:highlight w:val="none"/>
                <w:lang w:val="en-US" w:eastAsia="zh-CN"/>
              </w:rPr>
              <w:t>信用承诺</w:t>
            </w:r>
          </w:p>
        </w:tc>
        <w:tc>
          <w:tcPr>
            <w:tcW w:w="2811" w:type="pct"/>
            <w:shd w:val="clear" w:color="auto" w:fill="FFFFFF" w:themeFill="background1"/>
            <w:vAlign w:val="center"/>
          </w:tcPr>
          <w:p w14:paraId="5FA76516">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提供了符合竞争性磋商文件要求的《</w:t>
            </w:r>
            <w:r>
              <w:rPr>
                <w:rFonts w:hint="eastAsia"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val="en-US" w:eastAsia="zh-CN"/>
              </w:rPr>
              <w:t>政府采购供应商信用承诺函》。</w:t>
            </w:r>
          </w:p>
        </w:tc>
        <w:tc>
          <w:tcPr>
            <w:tcW w:w="816" w:type="pct"/>
            <w:shd w:val="clear" w:color="auto" w:fill="FFFFFF" w:themeFill="background1"/>
            <w:vAlign w:val="center"/>
          </w:tcPr>
          <w:p w14:paraId="13D533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格式见《第六章 响应文件格式》</w:t>
            </w:r>
          </w:p>
        </w:tc>
      </w:tr>
      <w:tr w14:paraId="6D95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68" w:hRule="atLeast"/>
          <w:jc w:val="center"/>
        </w:trPr>
        <w:tc>
          <w:tcPr>
            <w:tcW w:w="416" w:type="pct"/>
            <w:shd w:val="clear" w:color="auto" w:fill="FFFFFF" w:themeFill="background1"/>
            <w:vAlign w:val="center"/>
          </w:tcPr>
          <w:p w14:paraId="7A441417">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1-3</w:t>
            </w:r>
          </w:p>
        </w:tc>
        <w:tc>
          <w:tcPr>
            <w:tcW w:w="956" w:type="pct"/>
            <w:shd w:val="clear" w:color="auto" w:fill="FFFFFF" w:themeFill="background1"/>
            <w:vAlign w:val="center"/>
          </w:tcPr>
          <w:p w14:paraId="2F4D8F33">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z w:val="24"/>
                <w:szCs w:val="24"/>
                <w:highlight w:val="none"/>
                <w:lang w:val="en-US" w:eastAsia="zh-CN"/>
              </w:rPr>
              <w:t>信用记录查询</w:t>
            </w:r>
          </w:p>
        </w:tc>
        <w:tc>
          <w:tcPr>
            <w:tcW w:w="2811" w:type="pct"/>
            <w:shd w:val="clear" w:color="auto" w:fill="FFFFFF" w:themeFill="background1"/>
            <w:vAlign w:val="center"/>
          </w:tcPr>
          <w:p w14:paraId="0FA05322">
            <w:pPr>
              <w:pStyle w:val="45"/>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查询渠道：信用中国网站和中国政府采购网（ www.creditchina.gov.cn 、www.ccgp.gov.cn）；</w:t>
            </w:r>
            <w:r>
              <w:rPr>
                <w:rFonts w:hint="eastAsia" w:ascii="宋体" w:hAnsi="宋体" w:eastAsia="宋体" w:cs="宋体"/>
                <w:i w:val="0"/>
                <w:iCs w:val="0"/>
                <w:color w:val="auto"/>
                <w:sz w:val="24"/>
                <w:szCs w:val="24"/>
                <w:highlight w:val="none"/>
                <w:lang w:val="en-US" w:eastAsia="zh-CN"/>
              </w:rPr>
              <w:t xml:space="preserve"> </w:t>
            </w:r>
          </w:p>
          <w:p w14:paraId="198882E0">
            <w:pPr>
              <w:pStyle w:val="45"/>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截止时间：递交响应文件截止时间以后、资格审查阶段对供应商信用记录的实际查询时间； </w:t>
            </w:r>
          </w:p>
          <w:p w14:paraId="700722A6">
            <w:pPr>
              <w:pStyle w:val="45"/>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 xml:space="preserve">信用信息查询记录和证据留存具体方式：查询结果网页打印页作为查询记录和证据，与其他采购文件一并保存； </w:t>
            </w:r>
          </w:p>
          <w:p w14:paraId="577D4994">
            <w:pPr>
              <w:pStyle w:val="45"/>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信用记录的使用原则：经认定被列入失信被执行人、重大税收违法失信主体、政府采购严重违法失信行为记录名单的</w:t>
            </w: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spacing w:val="-6"/>
                <w:sz w:val="24"/>
                <w:szCs w:val="24"/>
                <w:highlight w:val="none"/>
                <w:lang w:val="en-US" w:eastAsia="zh-CN"/>
              </w:rPr>
              <w:t>，</w:t>
            </w:r>
            <w:r>
              <w:rPr>
                <w:rFonts w:hint="eastAsia" w:ascii="宋体" w:hAnsi="宋体" w:eastAsia="宋体" w:cs="宋体"/>
                <w:b/>
                <w:bCs/>
                <w:i w:val="0"/>
                <w:iCs w:val="0"/>
                <w:color w:val="auto"/>
                <w:spacing w:val="-6"/>
                <w:sz w:val="24"/>
                <w:szCs w:val="24"/>
                <w:highlight w:val="none"/>
                <w:lang w:val="en-US" w:eastAsia="zh-CN"/>
              </w:rPr>
              <w:t>其磋商响应无效</w:t>
            </w:r>
            <w:r>
              <w:rPr>
                <w:rFonts w:hint="eastAsia" w:ascii="宋体" w:hAnsi="宋体" w:eastAsia="宋体" w:cs="宋体"/>
                <w:i w:val="0"/>
                <w:iCs w:val="0"/>
                <w:color w:val="auto"/>
                <w:spacing w:val="-6"/>
                <w:sz w:val="24"/>
                <w:szCs w:val="24"/>
                <w:highlight w:val="none"/>
                <w:lang w:val="en-US" w:eastAsia="zh-CN"/>
              </w:rPr>
              <w:t>。联合体形式响应的，联合体成员存在不良信用记录，视同联合体存在不良信用记录。</w:t>
            </w:r>
          </w:p>
        </w:tc>
        <w:tc>
          <w:tcPr>
            <w:tcW w:w="816" w:type="pct"/>
            <w:shd w:val="clear" w:color="auto" w:fill="FFFFFF" w:themeFill="background1"/>
            <w:vAlign w:val="center"/>
          </w:tcPr>
          <w:p w14:paraId="4F4393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无须</w:t>
            </w:r>
            <w:r>
              <w:rPr>
                <w:rFonts w:hint="eastAsia" w:ascii="宋体" w:hAnsi="宋体" w:eastAsia="宋体" w:cs="宋体"/>
                <w:i w:val="0"/>
                <w:iCs w:val="0"/>
                <w:color w:val="auto"/>
                <w:spacing w:val="-6"/>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提供，由采购人或采购代理机构查询。</w:t>
            </w:r>
          </w:p>
          <w:p w14:paraId="405A3C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727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416" w:type="pct"/>
            <w:shd w:val="clear" w:color="auto" w:fill="FFFFFF" w:themeFill="background1"/>
            <w:vAlign w:val="center"/>
          </w:tcPr>
          <w:p w14:paraId="004A5DB4">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1-4</w:t>
            </w:r>
          </w:p>
        </w:tc>
        <w:tc>
          <w:tcPr>
            <w:tcW w:w="956" w:type="pct"/>
            <w:shd w:val="clear" w:color="auto" w:fill="FFFFFF" w:themeFill="background1"/>
            <w:vAlign w:val="center"/>
          </w:tcPr>
          <w:p w14:paraId="5897B1A2">
            <w:pPr>
              <w:pStyle w:val="4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2811" w:type="pct"/>
            <w:shd w:val="clear" w:color="auto" w:fill="FFFFFF" w:themeFill="background1"/>
            <w:vAlign w:val="center"/>
          </w:tcPr>
          <w:p w14:paraId="385FFF97">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法律、行政法规规定的其他条件</w:t>
            </w:r>
          </w:p>
        </w:tc>
        <w:tc>
          <w:tcPr>
            <w:tcW w:w="816" w:type="pct"/>
            <w:shd w:val="clear" w:color="auto" w:fill="FFFFFF" w:themeFill="background1"/>
            <w:vAlign w:val="center"/>
          </w:tcPr>
          <w:p w14:paraId="2A6362E1">
            <w:pPr>
              <w:pStyle w:val="45"/>
              <w:spacing w:line="240" w:lineRule="auto"/>
              <w:jc w:val="center"/>
              <w:rPr>
                <w:rFonts w:hint="eastAsia" w:ascii="宋体" w:hAnsi="宋体" w:eastAsia="宋体" w:cs="宋体"/>
                <w:b/>
                <w:bCs/>
                <w:i w:val="0"/>
                <w:iCs w:val="0"/>
                <w:color w:val="auto"/>
                <w:sz w:val="24"/>
                <w:szCs w:val="24"/>
                <w:highlight w:val="none"/>
              </w:rPr>
            </w:pPr>
          </w:p>
        </w:tc>
      </w:tr>
      <w:tr w14:paraId="08B7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2" w:hRule="atLeast"/>
          <w:jc w:val="center"/>
        </w:trPr>
        <w:tc>
          <w:tcPr>
            <w:tcW w:w="416" w:type="pct"/>
            <w:shd w:val="clear" w:color="auto" w:fill="FFFFFF" w:themeFill="background1"/>
            <w:vAlign w:val="center"/>
          </w:tcPr>
          <w:p w14:paraId="01F04192">
            <w:pPr>
              <w:pStyle w:val="45"/>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2</w:t>
            </w:r>
          </w:p>
        </w:tc>
        <w:tc>
          <w:tcPr>
            <w:tcW w:w="956" w:type="pct"/>
            <w:shd w:val="clear" w:color="auto" w:fill="FFFFFF" w:themeFill="background1"/>
            <w:vAlign w:val="center"/>
          </w:tcPr>
          <w:p w14:paraId="7CE95C7E">
            <w:pPr>
              <w:pStyle w:val="4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落实政府采购政策需满足的资格要求</w:t>
            </w:r>
          </w:p>
        </w:tc>
        <w:tc>
          <w:tcPr>
            <w:tcW w:w="2811" w:type="pct"/>
            <w:shd w:val="clear" w:color="auto" w:fill="FFFFFF" w:themeFill="background1"/>
            <w:vAlign w:val="center"/>
          </w:tcPr>
          <w:p w14:paraId="3AB391B0">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具体要求见“第一章 竞争性磋商公告”</w:t>
            </w:r>
          </w:p>
        </w:tc>
        <w:tc>
          <w:tcPr>
            <w:tcW w:w="816" w:type="pct"/>
            <w:shd w:val="clear" w:color="auto" w:fill="FFFFFF" w:themeFill="background1"/>
            <w:vAlign w:val="center"/>
          </w:tcPr>
          <w:p w14:paraId="5641E503">
            <w:pPr>
              <w:pStyle w:val="45"/>
              <w:spacing w:line="240" w:lineRule="auto"/>
              <w:jc w:val="center"/>
              <w:rPr>
                <w:rFonts w:hint="eastAsia" w:ascii="宋体" w:hAnsi="宋体" w:eastAsia="宋体" w:cs="宋体"/>
                <w:b/>
                <w:bCs/>
                <w:i w:val="0"/>
                <w:iCs w:val="0"/>
                <w:color w:val="auto"/>
                <w:sz w:val="24"/>
                <w:szCs w:val="24"/>
                <w:highlight w:val="none"/>
              </w:rPr>
            </w:pPr>
          </w:p>
        </w:tc>
      </w:tr>
      <w:tr w14:paraId="481A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2" w:hRule="atLeast"/>
          <w:jc w:val="center"/>
        </w:trPr>
        <w:tc>
          <w:tcPr>
            <w:tcW w:w="416" w:type="pct"/>
            <w:shd w:val="clear" w:color="auto" w:fill="FFFFFF" w:themeFill="background1"/>
            <w:vAlign w:val="center"/>
          </w:tcPr>
          <w:p w14:paraId="63C14FEE">
            <w:pPr>
              <w:pStyle w:val="45"/>
              <w:spacing w:line="240" w:lineRule="auto"/>
              <w:jc w:val="center"/>
              <w:rPr>
                <w:rFonts w:hint="default" w:ascii="宋体" w:hAnsi="宋体" w:eastAsia="宋体" w:cs="宋体"/>
                <w:b/>
                <w:bCs/>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3</w:t>
            </w:r>
          </w:p>
        </w:tc>
        <w:tc>
          <w:tcPr>
            <w:tcW w:w="956" w:type="pct"/>
            <w:shd w:val="clear" w:color="auto" w:fill="FFFFFF" w:themeFill="background1"/>
            <w:vAlign w:val="center"/>
          </w:tcPr>
          <w:p w14:paraId="4A32E491">
            <w:pPr>
              <w:pStyle w:val="45"/>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资格条件</w:t>
            </w:r>
          </w:p>
        </w:tc>
        <w:tc>
          <w:tcPr>
            <w:tcW w:w="2811" w:type="pct"/>
            <w:shd w:val="clear" w:color="auto" w:fill="FFFFFF" w:themeFill="background1"/>
            <w:vAlign w:val="center"/>
          </w:tcPr>
          <w:p w14:paraId="3F7B11B9">
            <w:pPr>
              <w:pStyle w:val="45"/>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须具备有效的</w:t>
            </w:r>
            <w:r>
              <w:rPr>
                <w:rFonts w:hint="eastAsia" w:cs="宋体"/>
                <w:i w:val="0"/>
                <w:iCs w:val="0"/>
                <w:color w:val="auto"/>
                <w:sz w:val="24"/>
                <w:szCs w:val="24"/>
                <w:highlight w:val="none"/>
                <w:lang w:val="en-US" w:eastAsia="zh-CN"/>
              </w:rPr>
              <w:t>水利水电</w:t>
            </w:r>
            <w:r>
              <w:rPr>
                <w:rFonts w:hint="eastAsia" w:ascii="宋体" w:hAnsi="宋体" w:eastAsia="宋体" w:cs="宋体"/>
                <w:i w:val="0"/>
                <w:iCs w:val="0"/>
                <w:color w:val="auto"/>
                <w:sz w:val="24"/>
                <w:szCs w:val="24"/>
                <w:highlight w:val="none"/>
                <w:lang w:val="en-US" w:eastAsia="zh-CN"/>
              </w:rPr>
              <w:t>工程施工总承包</w:t>
            </w:r>
            <w:r>
              <w:rPr>
                <w:rFonts w:hint="eastAsia" w:cs="宋体"/>
                <w:i w:val="0"/>
                <w:iCs w:val="0"/>
                <w:color w:val="auto"/>
                <w:sz w:val="24"/>
                <w:szCs w:val="24"/>
                <w:highlight w:val="none"/>
                <w:lang w:val="en-US" w:eastAsia="zh-CN"/>
              </w:rPr>
              <w:t>贰</w:t>
            </w:r>
            <w:r>
              <w:rPr>
                <w:rFonts w:hint="eastAsia" w:ascii="宋体" w:hAnsi="宋体" w:eastAsia="宋体" w:cs="宋体"/>
                <w:i w:val="0"/>
                <w:iCs w:val="0"/>
                <w:color w:val="auto"/>
                <w:sz w:val="24"/>
                <w:szCs w:val="24"/>
                <w:highlight w:val="none"/>
                <w:lang w:val="en-US" w:eastAsia="zh-CN"/>
              </w:rPr>
              <w:t>级（含</w:t>
            </w:r>
            <w:r>
              <w:rPr>
                <w:rFonts w:hint="eastAsia" w:cs="宋体"/>
                <w:i w:val="0"/>
                <w:iCs w:val="0"/>
                <w:color w:val="auto"/>
                <w:sz w:val="24"/>
                <w:szCs w:val="24"/>
                <w:highlight w:val="none"/>
                <w:lang w:val="en-US" w:eastAsia="zh-CN"/>
              </w:rPr>
              <w:t>贰</w:t>
            </w:r>
            <w:r>
              <w:rPr>
                <w:rFonts w:hint="eastAsia" w:ascii="宋体" w:hAnsi="宋体" w:eastAsia="宋体" w:cs="宋体"/>
                <w:i w:val="0"/>
                <w:iCs w:val="0"/>
                <w:color w:val="auto"/>
                <w:sz w:val="24"/>
                <w:szCs w:val="24"/>
                <w:highlight w:val="none"/>
                <w:lang w:val="en-US" w:eastAsia="zh-CN"/>
              </w:rPr>
              <w:t>级）及以上资质</w:t>
            </w:r>
            <w:r>
              <w:rPr>
                <w:rFonts w:hint="eastAsia" w:cs="宋体"/>
                <w:i w:val="0"/>
                <w:iCs w:val="0"/>
                <w:color w:val="auto"/>
                <w:sz w:val="24"/>
                <w:szCs w:val="24"/>
                <w:highlight w:val="none"/>
                <w:lang w:val="en-US" w:eastAsia="zh-CN"/>
              </w:rPr>
              <w:t>，项目负责人：须具备有效的水利工程二级（含）及以上注册建造师执业资格，且有效的安全生产考核合格证（B 类），且未担任其他在施建设工程项目的项目负责人。 </w:t>
            </w:r>
          </w:p>
        </w:tc>
        <w:tc>
          <w:tcPr>
            <w:tcW w:w="816" w:type="pct"/>
            <w:shd w:val="clear" w:color="auto" w:fill="FFFFFF" w:themeFill="background1"/>
            <w:vAlign w:val="center"/>
          </w:tcPr>
          <w:p w14:paraId="2182E1B6">
            <w:pPr>
              <w:pStyle w:val="45"/>
              <w:spacing w:line="240" w:lineRule="auto"/>
              <w:jc w:val="center"/>
              <w:rPr>
                <w:rFonts w:hint="eastAsia" w:ascii="宋体" w:hAnsi="宋体" w:eastAsia="宋体" w:cs="宋体"/>
                <w:b/>
                <w:bCs/>
                <w:i w:val="0"/>
                <w:iCs w:val="0"/>
                <w:color w:val="auto"/>
                <w:sz w:val="24"/>
                <w:szCs w:val="24"/>
                <w:highlight w:val="none"/>
              </w:rPr>
            </w:pPr>
          </w:p>
        </w:tc>
      </w:tr>
    </w:tbl>
    <w:p w14:paraId="53A41A5F">
      <w:pPr>
        <w:spacing w:line="360" w:lineRule="auto"/>
        <w:rPr>
          <w:b/>
          <w:bCs/>
          <w:i w:val="0"/>
          <w:iCs w:val="0"/>
          <w:color w:val="auto"/>
          <w:sz w:val="21"/>
          <w:szCs w:val="21"/>
          <w:highlight w:val="none"/>
        </w:rPr>
      </w:pPr>
      <w:r>
        <w:rPr>
          <w:rFonts w:hint="eastAsia"/>
          <w:b/>
          <w:bCs/>
          <w:i w:val="0"/>
          <w:iCs w:val="0"/>
          <w:color w:val="auto"/>
          <w:sz w:val="21"/>
          <w:szCs w:val="21"/>
          <w:highlight w:val="none"/>
        </w:rPr>
        <w:t>备注：</w:t>
      </w:r>
    </w:p>
    <w:p w14:paraId="509818B3">
      <w:pPr>
        <w:pStyle w:val="38"/>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7CBBBAE9">
      <w:pPr>
        <w:pStyle w:val="38"/>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0FB875AC">
      <w:pPr>
        <w:pStyle w:val="34"/>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6C038B85">
      <w:pPr>
        <w:pStyle w:val="34"/>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42E61A75">
      <w:pPr>
        <w:pStyle w:val="38"/>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613615CA">
      <w:pPr>
        <w:pStyle w:val="7"/>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63" w:name="_Toc7933"/>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58"/>
      <w:bookmarkEnd w:id="459"/>
      <w:bookmarkEnd w:id="463"/>
    </w:p>
    <w:tbl>
      <w:tblPr>
        <w:tblStyle w:val="28"/>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1"/>
        <w:gridCol w:w="1302"/>
        <w:gridCol w:w="5488"/>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restart"/>
            <w:shd w:val="clear" w:color="auto" w:fill="D8D8D8" w:themeFill="background1" w:themeFillShade="D9"/>
            <w:vAlign w:val="center"/>
          </w:tcPr>
          <w:p w14:paraId="3B188FC3">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7" w:type="pct"/>
            <w:vMerge w:val="restart"/>
            <w:shd w:val="clear" w:color="auto" w:fill="D8D8D8" w:themeFill="background1" w:themeFillShade="D9"/>
            <w:vAlign w:val="center"/>
          </w:tcPr>
          <w:p w14:paraId="44B32FDC">
            <w:pPr>
              <w:pStyle w:val="45"/>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1" w:type="pct"/>
            <w:vMerge w:val="continue"/>
            <w:shd w:val="clear" w:color="auto" w:fill="D8D8D8" w:themeFill="background1" w:themeFillShade="D9"/>
            <w:vAlign w:val="center"/>
          </w:tcPr>
          <w:p w14:paraId="1859AA86">
            <w:pPr>
              <w:pStyle w:val="45"/>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5"/>
              <w:jc w:val="center"/>
              <w:rPr>
                <w:rFonts w:hint="eastAsia" w:ascii="宋体" w:hAnsi="宋体" w:eastAsia="宋体" w:cs="宋体"/>
                <w:b/>
                <w:bCs/>
                <w:i w:val="0"/>
                <w:iCs w:val="0"/>
                <w:color w:val="auto"/>
                <w:sz w:val="21"/>
                <w:szCs w:val="21"/>
                <w:highlight w:val="none"/>
                <w:lang w:val="zh-CN"/>
              </w:rPr>
            </w:pPr>
          </w:p>
        </w:tc>
        <w:tc>
          <w:tcPr>
            <w:tcW w:w="2967" w:type="pct"/>
            <w:vMerge w:val="continue"/>
            <w:shd w:val="clear" w:color="auto" w:fill="D8D8D8" w:themeFill="background1" w:themeFillShade="D9"/>
            <w:vAlign w:val="center"/>
          </w:tcPr>
          <w:p w14:paraId="2128C077">
            <w:pPr>
              <w:pStyle w:val="45"/>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themeFill="background1" w:themeFillShade="D9"/>
            <w:vAlign w:val="center"/>
          </w:tcPr>
          <w:p w14:paraId="0CAA21D7">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5"/>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71" w:type="pct"/>
            <w:shd w:val="clear" w:color="auto" w:fill="auto"/>
            <w:vAlign w:val="center"/>
          </w:tcPr>
          <w:p w14:paraId="4A515C07">
            <w:pPr>
              <w:pStyle w:val="45"/>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5E0E3062">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7" w:type="pct"/>
            <w:shd w:val="clear" w:color="auto" w:fill="auto"/>
            <w:vAlign w:val="center"/>
          </w:tcPr>
          <w:p w14:paraId="0FA4ED80">
            <w:pPr>
              <w:pStyle w:val="45"/>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p>
        </w:tc>
        <w:tc>
          <w:tcPr>
            <w:tcW w:w="468" w:type="pct"/>
            <w:shd w:val="clear" w:color="auto" w:fill="auto"/>
            <w:vAlign w:val="center"/>
          </w:tcPr>
          <w:p w14:paraId="1E1F1EB1">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5325BAA">
            <w:pPr>
              <w:pStyle w:val="45"/>
              <w:rPr>
                <w:rFonts w:hint="eastAsia" w:ascii="宋体" w:hAnsi="宋体" w:eastAsia="宋体" w:cs="宋体"/>
                <w:i w:val="0"/>
                <w:iCs w:val="0"/>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1" w:type="pct"/>
            <w:shd w:val="clear" w:color="auto" w:fill="auto"/>
            <w:vAlign w:val="center"/>
          </w:tcPr>
          <w:p w14:paraId="48860C47">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2</w:t>
            </w:r>
          </w:p>
        </w:tc>
        <w:tc>
          <w:tcPr>
            <w:tcW w:w="704" w:type="pct"/>
            <w:vAlign w:val="center"/>
          </w:tcPr>
          <w:p w14:paraId="31EA832C">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磋商响应性报价</w:t>
            </w:r>
          </w:p>
        </w:tc>
        <w:tc>
          <w:tcPr>
            <w:tcW w:w="2967" w:type="pct"/>
            <w:shd w:val="clear" w:color="auto" w:fill="auto"/>
            <w:vAlign w:val="center"/>
          </w:tcPr>
          <w:p w14:paraId="02D97709">
            <w:pPr>
              <w:pStyle w:val="45"/>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供应商报价未超过磋商文件中规定的最高限价或者预算金额的</w:t>
            </w:r>
          </w:p>
        </w:tc>
        <w:tc>
          <w:tcPr>
            <w:tcW w:w="468" w:type="pct"/>
            <w:shd w:val="clear" w:color="auto" w:fill="auto"/>
            <w:vAlign w:val="center"/>
          </w:tcPr>
          <w:p w14:paraId="18835E98">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2826E79">
            <w:pPr>
              <w:pStyle w:val="45"/>
              <w:rPr>
                <w:rFonts w:hint="eastAsia" w:ascii="宋体" w:hAnsi="宋体" w:eastAsia="宋体" w:cs="宋体"/>
                <w:i w:val="0"/>
                <w:iCs w:val="0"/>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1" w:type="pct"/>
            <w:shd w:val="clear" w:color="auto" w:fill="auto"/>
            <w:vAlign w:val="center"/>
          </w:tcPr>
          <w:p w14:paraId="0D25BA5B">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3</w:t>
            </w:r>
          </w:p>
        </w:tc>
        <w:tc>
          <w:tcPr>
            <w:tcW w:w="704" w:type="pct"/>
            <w:vAlign w:val="center"/>
          </w:tcPr>
          <w:p w14:paraId="6B53D7DD">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虚假材料</w:t>
            </w:r>
          </w:p>
        </w:tc>
        <w:tc>
          <w:tcPr>
            <w:tcW w:w="2967" w:type="pct"/>
            <w:shd w:val="clear" w:color="auto" w:fill="auto"/>
            <w:vAlign w:val="center"/>
          </w:tcPr>
          <w:p w14:paraId="3C241A91">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p>
        </w:tc>
        <w:tc>
          <w:tcPr>
            <w:tcW w:w="468" w:type="pct"/>
            <w:shd w:val="clear" w:color="auto" w:fill="auto"/>
            <w:vAlign w:val="center"/>
          </w:tcPr>
          <w:p w14:paraId="4B513014">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48AFA180">
            <w:pPr>
              <w:pStyle w:val="45"/>
              <w:rPr>
                <w:rFonts w:hint="eastAsia" w:ascii="宋体" w:hAnsi="宋体" w:eastAsia="宋体" w:cs="宋体"/>
                <w:i w:val="0"/>
                <w:iCs w:val="0"/>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1" w:type="pct"/>
            <w:shd w:val="clear" w:color="auto" w:fill="auto"/>
            <w:vAlign w:val="center"/>
          </w:tcPr>
          <w:p w14:paraId="6C002E13">
            <w:pPr>
              <w:pStyle w:val="45"/>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sz w:val="21"/>
                <w:szCs w:val="21"/>
                <w:highlight w:val="none"/>
                <w:lang w:val="en-US" w:eastAsia="zh-CN"/>
              </w:rPr>
              <w:t>4</w:t>
            </w:r>
          </w:p>
        </w:tc>
        <w:tc>
          <w:tcPr>
            <w:tcW w:w="704" w:type="pct"/>
            <w:vAlign w:val="center"/>
          </w:tcPr>
          <w:p w14:paraId="5C91A4A7">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响应文件的澄清、说明、补正</w:t>
            </w:r>
          </w:p>
        </w:tc>
        <w:tc>
          <w:tcPr>
            <w:tcW w:w="2967" w:type="pct"/>
            <w:shd w:val="clear" w:color="auto" w:fill="auto"/>
            <w:vAlign w:val="center"/>
          </w:tcPr>
          <w:p w14:paraId="3E6052BB">
            <w:pPr>
              <w:pStyle w:val="45"/>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p>
        </w:tc>
        <w:tc>
          <w:tcPr>
            <w:tcW w:w="468" w:type="pct"/>
            <w:shd w:val="clear" w:color="auto" w:fill="auto"/>
            <w:vAlign w:val="center"/>
          </w:tcPr>
          <w:p w14:paraId="1EA81190">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94B23D">
            <w:pPr>
              <w:pStyle w:val="45"/>
              <w:rPr>
                <w:rFonts w:hint="eastAsia" w:ascii="宋体" w:hAnsi="宋体" w:eastAsia="宋体" w:cs="宋体"/>
                <w:i w:val="0"/>
                <w:iCs w:val="0"/>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1" w:type="pct"/>
            <w:shd w:val="clear" w:color="auto" w:fill="auto"/>
            <w:vAlign w:val="center"/>
          </w:tcPr>
          <w:p w14:paraId="09617D9C">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5</w:t>
            </w:r>
          </w:p>
        </w:tc>
        <w:tc>
          <w:tcPr>
            <w:tcW w:w="704" w:type="pct"/>
            <w:vAlign w:val="center"/>
          </w:tcPr>
          <w:p w14:paraId="2016E93A">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供应商影响评审</w:t>
            </w:r>
          </w:p>
        </w:tc>
        <w:tc>
          <w:tcPr>
            <w:tcW w:w="2967" w:type="pct"/>
            <w:shd w:val="clear" w:color="auto" w:fill="auto"/>
            <w:vAlign w:val="center"/>
          </w:tcPr>
          <w:p w14:paraId="50B76BB4">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468" w:type="pct"/>
            <w:shd w:val="clear" w:color="auto" w:fill="auto"/>
            <w:vAlign w:val="center"/>
          </w:tcPr>
          <w:p w14:paraId="75DB24A7">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D6DA84C">
            <w:pPr>
              <w:pStyle w:val="45"/>
              <w:rPr>
                <w:rFonts w:hint="eastAsia" w:ascii="宋体" w:hAnsi="宋体" w:eastAsia="宋体" w:cs="宋体"/>
                <w:i w:val="0"/>
                <w:iCs w:val="0"/>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32BD4A6">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6</w:t>
            </w:r>
          </w:p>
        </w:tc>
        <w:tc>
          <w:tcPr>
            <w:tcW w:w="704" w:type="pct"/>
            <w:vAlign w:val="center"/>
          </w:tcPr>
          <w:p w14:paraId="56EEFE7E">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附加条件</w:t>
            </w:r>
          </w:p>
        </w:tc>
        <w:tc>
          <w:tcPr>
            <w:tcW w:w="2967" w:type="pct"/>
            <w:shd w:val="clear" w:color="auto" w:fill="auto"/>
            <w:vAlign w:val="center"/>
          </w:tcPr>
          <w:p w14:paraId="618DB2FB">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3E4201A">
            <w:pPr>
              <w:pStyle w:val="45"/>
              <w:rPr>
                <w:rFonts w:hint="eastAsia" w:ascii="宋体" w:hAnsi="宋体" w:eastAsia="宋体" w:cs="宋体"/>
                <w:i w:val="0"/>
                <w:iCs w:val="0"/>
                <w:color w:val="auto"/>
                <w:sz w:val="21"/>
                <w:szCs w:val="21"/>
                <w:highlight w:val="none"/>
                <w:lang w:val="zh-CN"/>
              </w:rPr>
            </w:pPr>
          </w:p>
        </w:tc>
      </w:tr>
      <w:tr w14:paraId="681D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23D8C9D">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7</w:t>
            </w:r>
          </w:p>
        </w:tc>
        <w:tc>
          <w:tcPr>
            <w:tcW w:w="704" w:type="pct"/>
            <w:shd w:val="clear" w:color="auto" w:fill="auto"/>
            <w:vAlign w:val="center"/>
          </w:tcPr>
          <w:p w14:paraId="39D684C7">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工程量清单</w:t>
            </w:r>
          </w:p>
        </w:tc>
        <w:tc>
          <w:tcPr>
            <w:tcW w:w="2967" w:type="pct"/>
            <w:shd w:val="clear" w:color="auto" w:fill="auto"/>
            <w:vAlign w:val="center"/>
          </w:tcPr>
          <w:p w14:paraId="5050123A">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未改变磋商文件提供工程量清单中的项目编码、项目名称、项目特征、计量单位和工程量的</w:t>
            </w:r>
          </w:p>
        </w:tc>
        <w:tc>
          <w:tcPr>
            <w:tcW w:w="468" w:type="pct"/>
            <w:shd w:val="clear" w:color="auto" w:fill="auto"/>
            <w:vAlign w:val="center"/>
          </w:tcPr>
          <w:p w14:paraId="68B59918">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69FE525">
            <w:pPr>
              <w:pStyle w:val="45"/>
              <w:rPr>
                <w:rFonts w:hint="eastAsia" w:ascii="宋体" w:hAnsi="宋体" w:eastAsia="宋体" w:cs="宋体"/>
                <w:i w:val="0"/>
                <w:iCs w:val="0"/>
                <w:color w:val="auto"/>
                <w:sz w:val="21"/>
                <w:szCs w:val="21"/>
                <w:highlight w:val="none"/>
                <w:lang w:val="zh-CN"/>
              </w:rPr>
            </w:pPr>
          </w:p>
        </w:tc>
      </w:tr>
      <w:tr w14:paraId="5A8F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26A2A042">
            <w:pPr>
              <w:pStyle w:val="45"/>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8</w:t>
            </w:r>
          </w:p>
        </w:tc>
        <w:tc>
          <w:tcPr>
            <w:tcW w:w="704" w:type="pct"/>
            <w:shd w:val="clear" w:color="auto" w:fill="auto"/>
            <w:vAlign w:val="center"/>
          </w:tcPr>
          <w:p w14:paraId="60C87E39">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不可竞争费</w:t>
            </w:r>
          </w:p>
        </w:tc>
        <w:tc>
          <w:tcPr>
            <w:tcW w:w="2967" w:type="pct"/>
            <w:shd w:val="clear" w:color="auto" w:fill="auto"/>
            <w:vAlign w:val="center"/>
          </w:tcPr>
          <w:p w14:paraId="341E17CE">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未改动规费、税金及安全文明施工费中“环境保护费、文明施工费、安全施工费”等不可竞争费的计费基础和费率的</w:t>
            </w:r>
          </w:p>
        </w:tc>
        <w:tc>
          <w:tcPr>
            <w:tcW w:w="468" w:type="pct"/>
            <w:shd w:val="clear" w:color="auto" w:fill="auto"/>
            <w:vAlign w:val="center"/>
          </w:tcPr>
          <w:p w14:paraId="06D8A276">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BCCA9D3">
            <w:pPr>
              <w:pStyle w:val="45"/>
              <w:rPr>
                <w:rFonts w:hint="eastAsia" w:ascii="宋体" w:hAnsi="宋体" w:eastAsia="宋体" w:cs="宋体"/>
                <w:i w:val="0"/>
                <w:iCs w:val="0"/>
                <w:color w:val="auto"/>
                <w:sz w:val="21"/>
                <w:szCs w:val="21"/>
                <w:highlight w:val="none"/>
                <w:lang w:val="zh-CN"/>
              </w:rPr>
            </w:pPr>
          </w:p>
        </w:tc>
      </w:tr>
      <w:tr w14:paraId="116B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4D7CA5EE">
            <w:pPr>
              <w:pStyle w:val="45"/>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9</w:t>
            </w:r>
          </w:p>
        </w:tc>
        <w:tc>
          <w:tcPr>
            <w:tcW w:w="704" w:type="pct"/>
            <w:shd w:val="clear" w:color="auto" w:fill="auto"/>
            <w:vAlign w:val="center"/>
          </w:tcPr>
          <w:p w14:paraId="4DAFF46B">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暂估价</w:t>
            </w:r>
          </w:p>
        </w:tc>
        <w:tc>
          <w:tcPr>
            <w:tcW w:w="2967" w:type="pct"/>
            <w:shd w:val="clear" w:color="auto" w:fill="auto"/>
            <w:vAlign w:val="center"/>
          </w:tcPr>
          <w:p w14:paraId="4631CD40">
            <w:pPr>
              <w:pStyle w:val="45"/>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未改动暂列金、专业工程暂估价的；未改动材料、设备等暂估单价的</w:t>
            </w:r>
          </w:p>
        </w:tc>
        <w:tc>
          <w:tcPr>
            <w:tcW w:w="468" w:type="pct"/>
            <w:shd w:val="clear" w:color="auto" w:fill="auto"/>
            <w:vAlign w:val="center"/>
          </w:tcPr>
          <w:p w14:paraId="0CDC72D6">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43A811F5">
            <w:pPr>
              <w:pStyle w:val="45"/>
              <w:rPr>
                <w:rFonts w:hint="eastAsia" w:ascii="宋体" w:hAnsi="宋体" w:eastAsia="宋体" w:cs="宋体"/>
                <w:i w:val="0"/>
                <w:iCs w:val="0"/>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1" w:type="pct"/>
            <w:shd w:val="clear" w:color="auto" w:fill="auto"/>
            <w:vAlign w:val="center"/>
          </w:tcPr>
          <w:p w14:paraId="3CD6AABE">
            <w:pPr>
              <w:pStyle w:val="45"/>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10</w:t>
            </w:r>
          </w:p>
        </w:tc>
        <w:tc>
          <w:tcPr>
            <w:tcW w:w="704" w:type="pct"/>
            <w:vAlign w:val="center"/>
          </w:tcPr>
          <w:p w14:paraId="40726A5F">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其他无效情形</w:t>
            </w:r>
          </w:p>
        </w:tc>
        <w:tc>
          <w:tcPr>
            <w:tcW w:w="2967" w:type="pct"/>
            <w:shd w:val="clear" w:color="auto" w:fill="auto"/>
            <w:vAlign w:val="center"/>
          </w:tcPr>
          <w:p w14:paraId="05CC0303">
            <w:pPr>
              <w:pStyle w:val="45"/>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3A44DE13">
            <w:pPr>
              <w:pStyle w:val="45"/>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D1C94D8">
            <w:pPr>
              <w:pStyle w:val="45"/>
              <w:rPr>
                <w:rFonts w:hint="eastAsia" w:ascii="宋体" w:hAnsi="宋体" w:eastAsia="宋体" w:cs="宋体"/>
                <w:i w:val="0"/>
                <w:iCs w:val="0"/>
                <w:color w:val="auto"/>
                <w:sz w:val="21"/>
                <w:szCs w:val="21"/>
                <w:highlight w:val="none"/>
                <w:lang w:val="zh-CN"/>
              </w:rPr>
            </w:pPr>
          </w:p>
        </w:tc>
      </w:tr>
    </w:tbl>
    <w:p w14:paraId="0A735208">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49A6B297">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2579F8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4230CCFE">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039C59A">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ascii="宋体" w:hAnsi="宋体" w:cs="宋体"/>
          <w:b/>
          <w:color w:val="auto"/>
          <w:sz w:val="24"/>
          <w:highlight w:val="none"/>
        </w:rPr>
        <w:t>检查</w:t>
      </w:r>
      <w:r>
        <w:rPr>
          <w:rFonts w:hint="eastAsia" w:cs="宋体"/>
          <w:b/>
          <w:color w:val="auto"/>
          <w:sz w:val="24"/>
          <w:highlight w:val="none"/>
          <w:lang w:val="en-US" w:eastAsia="zh-CN"/>
        </w:rPr>
        <w:t>-</w:t>
      </w:r>
      <w:r>
        <w:rPr>
          <w:rFonts w:hint="eastAsia" w:ascii="宋体" w:hAnsi="宋体" w:cs="宋体"/>
          <w:b/>
          <w:color w:val="auto"/>
          <w:sz w:val="24"/>
          <w:highlight w:val="none"/>
        </w:rPr>
        <w:t>附表</w:t>
      </w:r>
    </w:p>
    <w:p w14:paraId="5B0DC6FD">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464" w:name="_Toc29921"/>
      <w:r>
        <w:rPr>
          <w:rFonts w:hint="eastAsia" w:ascii="宋体" w:hAnsi="宋体" w:eastAsia="宋体" w:cstheme="minorBidi"/>
          <w:b/>
          <w:bCs/>
          <w:color w:val="auto"/>
          <w:kern w:val="2"/>
          <w:sz w:val="28"/>
          <w:szCs w:val="28"/>
          <w:highlight w:val="none"/>
          <w:lang w:val="zh-CN" w:eastAsia="zh-CN" w:bidi="ar-SA"/>
        </w:rPr>
        <w:t>实质性响应一览表</w:t>
      </w:r>
      <w:bookmarkEnd w:id="464"/>
    </w:p>
    <w:p w14:paraId="24AB75D6">
      <w:pPr>
        <w:shd w:val="clear" w:color="auto" w:fill="FFFFFF"/>
        <w:tabs>
          <w:tab w:val="left" w:pos="3045"/>
        </w:tabs>
        <w:autoSpaceDE w:val="0"/>
        <w:autoSpaceDN w:val="0"/>
        <w:adjustRightInd w:val="0"/>
        <w:snapToGrid w:val="0"/>
        <w:spacing w:line="360" w:lineRule="exact"/>
        <w:jc w:val="center"/>
        <w:rPr>
          <w:rFonts w:hint="eastAsia" w:ascii="宋体" w:hAnsi="宋体" w:cs="宋体"/>
          <w:b/>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400FC2BB">
      <w:pPr>
        <w:pStyle w:val="23"/>
        <w:rPr>
          <w:rFonts w:hint="eastAsia" w:ascii="宋体" w:hAnsi="宋体" w:cs="宋体"/>
          <w:color w:val="auto"/>
          <w:highlight w:val="none"/>
        </w:rPr>
      </w:pPr>
    </w:p>
    <w:tbl>
      <w:tblPr>
        <w:tblStyle w:val="28"/>
        <w:tblW w:w="5173"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326"/>
        <w:gridCol w:w="3215"/>
        <w:gridCol w:w="1920"/>
        <w:gridCol w:w="684"/>
      </w:tblGrid>
      <w:tr w14:paraId="14042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381" w:type="pct"/>
            <w:vMerge w:val="restart"/>
            <w:noWrap w:val="0"/>
            <w:vAlign w:val="center"/>
          </w:tcPr>
          <w:p w14:paraId="7974C54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序号</w:t>
            </w:r>
          </w:p>
        </w:tc>
        <w:tc>
          <w:tcPr>
            <w:tcW w:w="3141" w:type="pct"/>
            <w:gridSpan w:val="2"/>
            <w:noWrap w:val="0"/>
            <w:vAlign w:val="center"/>
          </w:tcPr>
          <w:p w14:paraId="4F7905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磋商</w:t>
            </w:r>
            <w:r>
              <w:rPr>
                <w:rFonts w:hint="eastAsia" w:ascii="宋体" w:hAnsi="宋体" w:eastAsia="宋体" w:cs="宋体"/>
                <w:i w:val="0"/>
                <w:iCs w:val="0"/>
                <w:color w:val="auto"/>
                <w:sz w:val="21"/>
                <w:szCs w:val="21"/>
                <w:highlight w:val="none"/>
              </w:rPr>
              <w:t>文件要求的实质性响应内容</w:t>
            </w:r>
          </w:p>
        </w:tc>
        <w:tc>
          <w:tcPr>
            <w:tcW w:w="1088" w:type="pct"/>
            <w:vMerge w:val="restart"/>
            <w:noWrap w:val="0"/>
            <w:vAlign w:val="center"/>
          </w:tcPr>
          <w:p w14:paraId="1DFD5A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供应商</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文件具体</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rPr>
              <w:t>内容</w:t>
            </w:r>
          </w:p>
        </w:tc>
        <w:tc>
          <w:tcPr>
            <w:tcW w:w="387" w:type="pct"/>
            <w:vMerge w:val="restart"/>
            <w:noWrap w:val="0"/>
            <w:vAlign w:val="center"/>
          </w:tcPr>
          <w:p w14:paraId="182E98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备注</w:t>
            </w:r>
          </w:p>
        </w:tc>
      </w:tr>
      <w:tr w14:paraId="3C4C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81" w:type="pct"/>
            <w:vMerge w:val="continue"/>
            <w:noWrap w:val="0"/>
            <w:vAlign w:val="center"/>
          </w:tcPr>
          <w:p w14:paraId="72371D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rPr>
            </w:pPr>
          </w:p>
        </w:tc>
        <w:tc>
          <w:tcPr>
            <w:tcW w:w="1318" w:type="pct"/>
            <w:shd w:val="clear" w:color="auto" w:fill="auto"/>
            <w:noWrap w:val="0"/>
            <w:vAlign w:val="center"/>
          </w:tcPr>
          <w:p w14:paraId="1BF208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实质性要求</w:t>
            </w:r>
          </w:p>
        </w:tc>
        <w:tc>
          <w:tcPr>
            <w:tcW w:w="1822" w:type="pct"/>
            <w:shd w:val="clear" w:color="auto" w:fill="auto"/>
            <w:noWrap w:val="0"/>
            <w:vAlign w:val="center"/>
          </w:tcPr>
          <w:p w14:paraId="7E16D5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磋商文件中的规定</w:t>
            </w:r>
          </w:p>
        </w:tc>
        <w:tc>
          <w:tcPr>
            <w:tcW w:w="1088" w:type="pct"/>
            <w:vMerge w:val="continue"/>
            <w:noWrap w:val="0"/>
            <w:vAlign w:val="center"/>
          </w:tcPr>
          <w:p w14:paraId="70107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c>
          <w:tcPr>
            <w:tcW w:w="387" w:type="pct"/>
            <w:vMerge w:val="continue"/>
            <w:noWrap w:val="0"/>
            <w:vAlign w:val="center"/>
          </w:tcPr>
          <w:p w14:paraId="34815FA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eastAsia="zh-CN"/>
              </w:rPr>
            </w:pPr>
          </w:p>
        </w:tc>
      </w:tr>
      <w:tr w14:paraId="6468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381" w:type="pct"/>
            <w:noWrap w:val="0"/>
            <w:vAlign w:val="center"/>
          </w:tcPr>
          <w:p w14:paraId="1D030E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p>
        </w:tc>
        <w:tc>
          <w:tcPr>
            <w:tcW w:w="1318" w:type="pct"/>
            <w:noWrap w:val="0"/>
            <w:vAlign w:val="center"/>
          </w:tcPr>
          <w:p w14:paraId="2AE01BE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响应文件</w:t>
            </w:r>
            <w:r>
              <w:rPr>
                <w:rFonts w:hint="eastAsia" w:ascii="宋体" w:hAnsi="宋体" w:eastAsia="宋体" w:cs="宋体"/>
                <w:i w:val="0"/>
                <w:iCs w:val="0"/>
                <w:color w:val="auto"/>
                <w:sz w:val="21"/>
                <w:szCs w:val="21"/>
                <w:highlight w:val="none"/>
              </w:rPr>
              <w:t>有效期</w:t>
            </w:r>
          </w:p>
        </w:tc>
        <w:tc>
          <w:tcPr>
            <w:tcW w:w="1822" w:type="pct"/>
            <w:noWrap w:val="0"/>
            <w:vAlign w:val="center"/>
          </w:tcPr>
          <w:p w14:paraId="27457AC5">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（磋商文件关于响应文件有效期的规定）</w:t>
            </w:r>
          </w:p>
        </w:tc>
        <w:tc>
          <w:tcPr>
            <w:tcW w:w="1088" w:type="pct"/>
            <w:noWrap w:val="0"/>
            <w:vAlign w:val="center"/>
          </w:tcPr>
          <w:p w14:paraId="1B8FC5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en-US" w:eastAsia="zh-CN"/>
              </w:rPr>
              <w:t>供应商在</w:t>
            </w:r>
            <w:r>
              <w:rPr>
                <w:rFonts w:hint="eastAsia" w:ascii="宋体" w:hAnsi="宋体" w:eastAsia="宋体" w:cs="宋体"/>
                <w:i w:val="0"/>
                <w:iCs w:val="0"/>
                <w:color w:val="auto"/>
                <w:sz w:val="21"/>
                <w:szCs w:val="21"/>
                <w:highlight w:val="none"/>
              </w:rPr>
              <w:t>此处填写</w:t>
            </w:r>
            <w:r>
              <w:rPr>
                <w:rFonts w:hint="eastAsia" w:ascii="宋体" w:hAnsi="宋体" w:eastAsia="宋体" w:cs="宋体"/>
                <w:i w:val="0"/>
                <w:iCs w:val="0"/>
                <w:color w:val="auto"/>
                <w:sz w:val="21"/>
                <w:szCs w:val="21"/>
                <w:highlight w:val="none"/>
                <w:lang w:eastAsia="zh-CN"/>
              </w:rPr>
              <w:t>响应</w:t>
            </w:r>
            <w:r>
              <w:rPr>
                <w:rFonts w:hint="eastAsia" w:ascii="宋体" w:hAnsi="宋体" w:eastAsia="宋体" w:cs="宋体"/>
                <w:i w:val="0"/>
                <w:iCs w:val="0"/>
                <w:color w:val="auto"/>
                <w:sz w:val="21"/>
                <w:szCs w:val="21"/>
                <w:highlight w:val="none"/>
                <w:lang w:val="en-US" w:eastAsia="zh-CN"/>
              </w:rPr>
              <w:t>文件的相关内容</w:t>
            </w:r>
            <w:r>
              <w:rPr>
                <w:rFonts w:hint="eastAsia" w:ascii="宋体" w:hAnsi="宋体" w:eastAsia="宋体" w:cs="宋体"/>
                <w:i w:val="0"/>
                <w:iCs w:val="0"/>
                <w:color w:val="auto"/>
                <w:sz w:val="21"/>
                <w:szCs w:val="21"/>
                <w:highlight w:val="none"/>
                <w:lang w:eastAsia="zh-CN"/>
              </w:rPr>
              <w:t>】</w:t>
            </w:r>
          </w:p>
        </w:tc>
        <w:tc>
          <w:tcPr>
            <w:tcW w:w="387" w:type="pct"/>
            <w:noWrap w:val="0"/>
            <w:vAlign w:val="center"/>
          </w:tcPr>
          <w:p w14:paraId="7AC0423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160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501E13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w:t>
            </w:r>
          </w:p>
        </w:tc>
        <w:tc>
          <w:tcPr>
            <w:tcW w:w="1318" w:type="pct"/>
            <w:noWrap w:val="0"/>
            <w:vAlign w:val="center"/>
          </w:tcPr>
          <w:p w14:paraId="492C10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投标供应商名称 投标 </w:t>
            </w:r>
          </w:p>
          <w:p w14:paraId="1C4995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供应商名称与营业执照 </w:t>
            </w:r>
          </w:p>
          <w:p w14:paraId="26E58E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一致。</w:t>
            </w:r>
          </w:p>
        </w:tc>
        <w:tc>
          <w:tcPr>
            <w:tcW w:w="1822" w:type="pct"/>
            <w:noWrap w:val="0"/>
            <w:vAlign w:val="center"/>
          </w:tcPr>
          <w:p w14:paraId="46004BE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投标供应商名称 投标供应商名 </w:t>
            </w:r>
          </w:p>
          <w:p w14:paraId="18D5519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称与营业执照一致。</w:t>
            </w:r>
          </w:p>
        </w:tc>
        <w:tc>
          <w:tcPr>
            <w:tcW w:w="1088" w:type="pct"/>
            <w:noWrap w:val="0"/>
            <w:vAlign w:val="center"/>
          </w:tcPr>
          <w:p w14:paraId="0ED460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79B8A0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CBB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28CC6CF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w:t>
            </w:r>
          </w:p>
        </w:tc>
        <w:tc>
          <w:tcPr>
            <w:tcW w:w="1318" w:type="pct"/>
            <w:noWrap w:val="0"/>
            <w:vAlign w:val="center"/>
          </w:tcPr>
          <w:p w14:paraId="1C9AFC6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响应文件编制</w:t>
            </w:r>
          </w:p>
        </w:tc>
        <w:tc>
          <w:tcPr>
            <w:tcW w:w="1822" w:type="pct"/>
            <w:noWrap w:val="0"/>
            <w:vAlign w:val="center"/>
          </w:tcPr>
          <w:p w14:paraId="16D68F0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按照竞争性磋商文件要求的格 </w:t>
            </w:r>
          </w:p>
          <w:p w14:paraId="20281C1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式及内容编制响应文件，未删 </w:t>
            </w:r>
          </w:p>
          <w:p w14:paraId="2C8EAD8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0"/>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减响应文件格式内容。</w:t>
            </w:r>
          </w:p>
        </w:tc>
        <w:tc>
          <w:tcPr>
            <w:tcW w:w="1088" w:type="pct"/>
            <w:noWrap w:val="0"/>
            <w:vAlign w:val="center"/>
          </w:tcPr>
          <w:p w14:paraId="5A56FEB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135B649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F3F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3FE9665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4</w:t>
            </w:r>
          </w:p>
        </w:tc>
        <w:tc>
          <w:tcPr>
            <w:tcW w:w="1318" w:type="pct"/>
            <w:noWrap w:val="0"/>
            <w:vAlign w:val="center"/>
          </w:tcPr>
          <w:p w14:paraId="669576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投标有效期</w:t>
            </w:r>
          </w:p>
        </w:tc>
        <w:tc>
          <w:tcPr>
            <w:tcW w:w="1822" w:type="pct"/>
            <w:noWrap w:val="0"/>
            <w:vAlign w:val="center"/>
          </w:tcPr>
          <w:p w14:paraId="21B96E9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符合投标人须知前附表对投标 </w:t>
            </w:r>
          </w:p>
          <w:p w14:paraId="6F44934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有效期的规定。</w:t>
            </w:r>
          </w:p>
        </w:tc>
        <w:tc>
          <w:tcPr>
            <w:tcW w:w="1088" w:type="pct"/>
            <w:noWrap w:val="0"/>
            <w:vAlign w:val="center"/>
          </w:tcPr>
          <w:p w14:paraId="56E63E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3CC63F8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2BA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727A18F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5</w:t>
            </w:r>
          </w:p>
        </w:tc>
        <w:tc>
          <w:tcPr>
            <w:tcW w:w="1318" w:type="pct"/>
            <w:noWrap w:val="0"/>
            <w:vAlign w:val="center"/>
          </w:tcPr>
          <w:p w14:paraId="20EF89D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服务期</w:t>
            </w:r>
          </w:p>
        </w:tc>
        <w:tc>
          <w:tcPr>
            <w:tcW w:w="1822" w:type="pct"/>
            <w:noWrap w:val="0"/>
            <w:vAlign w:val="center"/>
          </w:tcPr>
          <w:p w14:paraId="758DAE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 xml:space="preserve">满足竞争性磋商文件规定的服 </w:t>
            </w:r>
          </w:p>
          <w:p w14:paraId="36BB14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务期要求。</w:t>
            </w:r>
          </w:p>
        </w:tc>
        <w:tc>
          <w:tcPr>
            <w:tcW w:w="1088" w:type="pct"/>
            <w:noWrap w:val="0"/>
            <w:vAlign w:val="center"/>
          </w:tcPr>
          <w:p w14:paraId="419B9AA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5A561DC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578D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1BF776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6</w:t>
            </w:r>
          </w:p>
        </w:tc>
        <w:tc>
          <w:tcPr>
            <w:tcW w:w="1318" w:type="pct"/>
            <w:noWrap w:val="0"/>
            <w:vAlign w:val="center"/>
          </w:tcPr>
          <w:p w14:paraId="744B405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磋商响应性报价</w:t>
            </w:r>
          </w:p>
        </w:tc>
        <w:tc>
          <w:tcPr>
            <w:tcW w:w="1822" w:type="pct"/>
            <w:noWrap w:val="0"/>
            <w:vAlign w:val="center"/>
          </w:tcPr>
          <w:p w14:paraId="25EE7CD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供应商报价未超过磋商文件中 规定的最高限价或者预算金额 </w:t>
            </w:r>
          </w:p>
          <w:p w14:paraId="1FC6D68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的</w:t>
            </w:r>
          </w:p>
        </w:tc>
        <w:tc>
          <w:tcPr>
            <w:tcW w:w="1088" w:type="pct"/>
            <w:noWrap w:val="0"/>
            <w:vAlign w:val="center"/>
          </w:tcPr>
          <w:p w14:paraId="2A85F15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61702B2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651E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259529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7</w:t>
            </w:r>
          </w:p>
        </w:tc>
        <w:tc>
          <w:tcPr>
            <w:tcW w:w="1318" w:type="pct"/>
            <w:noWrap w:val="0"/>
            <w:vAlign w:val="center"/>
          </w:tcPr>
          <w:p w14:paraId="3D20E2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虚假材料</w:t>
            </w:r>
          </w:p>
        </w:tc>
        <w:tc>
          <w:tcPr>
            <w:tcW w:w="1822" w:type="pct"/>
            <w:noWrap w:val="0"/>
            <w:vAlign w:val="center"/>
          </w:tcPr>
          <w:p w14:paraId="535CE2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响应文件未提供虚假材料的</w:t>
            </w:r>
          </w:p>
        </w:tc>
        <w:tc>
          <w:tcPr>
            <w:tcW w:w="1088" w:type="pct"/>
            <w:noWrap w:val="0"/>
            <w:vAlign w:val="center"/>
          </w:tcPr>
          <w:p w14:paraId="47072BF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181830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38E1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6E2567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8</w:t>
            </w:r>
          </w:p>
        </w:tc>
        <w:tc>
          <w:tcPr>
            <w:tcW w:w="1318" w:type="pct"/>
            <w:shd w:val="clear" w:color="auto" w:fill="auto"/>
            <w:noWrap w:val="0"/>
            <w:vAlign w:val="center"/>
          </w:tcPr>
          <w:p w14:paraId="5982B57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附加条件</w:t>
            </w:r>
          </w:p>
        </w:tc>
        <w:tc>
          <w:tcPr>
            <w:tcW w:w="1822" w:type="pct"/>
            <w:noWrap w:val="0"/>
            <w:vAlign w:val="center"/>
          </w:tcPr>
          <w:p w14:paraId="4CCA2C6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响应文件没有采购人不能接受 </w:t>
            </w:r>
          </w:p>
          <w:p w14:paraId="46A782D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的附加条件的</w:t>
            </w:r>
          </w:p>
        </w:tc>
        <w:tc>
          <w:tcPr>
            <w:tcW w:w="1088" w:type="pct"/>
            <w:noWrap w:val="0"/>
            <w:vAlign w:val="center"/>
          </w:tcPr>
          <w:p w14:paraId="479DF9B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4938D17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r w14:paraId="3172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81" w:type="pct"/>
            <w:noWrap w:val="0"/>
            <w:vAlign w:val="center"/>
          </w:tcPr>
          <w:p w14:paraId="734670C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1"/>
                <w:szCs w:val="21"/>
                <w:highlight w:val="none"/>
                <w:lang w:val="en-US" w:eastAsia="zh-CN"/>
              </w:rPr>
            </w:pPr>
            <w:r>
              <w:rPr>
                <w:rFonts w:hint="eastAsia" w:cs="宋体"/>
                <w:i w:val="0"/>
                <w:iCs w:val="0"/>
                <w:color w:val="auto"/>
                <w:sz w:val="21"/>
                <w:szCs w:val="21"/>
                <w:highlight w:val="none"/>
                <w:lang w:val="en-US" w:eastAsia="zh-CN"/>
              </w:rPr>
              <w:t>9</w:t>
            </w:r>
          </w:p>
        </w:tc>
        <w:tc>
          <w:tcPr>
            <w:tcW w:w="1318" w:type="pct"/>
            <w:shd w:val="clear" w:color="auto" w:fill="auto"/>
            <w:noWrap w:val="0"/>
            <w:vAlign w:val="center"/>
          </w:tcPr>
          <w:p w14:paraId="5915F2C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en-US" w:eastAsia="zh-CN"/>
              </w:rPr>
              <w:t>其他无效情形</w:t>
            </w:r>
          </w:p>
        </w:tc>
        <w:tc>
          <w:tcPr>
            <w:tcW w:w="1822" w:type="pct"/>
            <w:noWrap w:val="0"/>
            <w:vAlign w:val="center"/>
          </w:tcPr>
          <w:p w14:paraId="33A6832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未出现法律、法规、规章以及 </w:t>
            </w:r>
          </w:p>
          <w:p w14:paraId="5F48F1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lang w:val="en-US" w:eastAsia="zh-CN"/>
              </w:rPr>
              <w:t xml:space="preserve">本磋商文件规定属于响应无效 </w:t>
            </w:r>
          </w:p>
          <w:p w14:paraId="2DEDC0A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lang w:val="en-US" w:eastAsia="zh-CN"/>
              </w:rPr>
              <w:t>的其他情形。</w:t>
            </w:r>
          </w:p>
        </w:tc>
        <w:tc>
          <w:tcPr>
            <w:tcW w:w="1088" w:type="pct"/>
            <w:noWrap w:val="0"/>
            <w:vAlign w:val="center"/>
          </w:tcPr>
          <w:p w14:paraId="39B7B4C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c>
          <w:tcPr>
            <w:tcW w:w="387" w:type="pct"/>
            <w:noWrap w:val="0"/>
            <w:vAlign w:val="center"/>
          </w:tcPr>
          <w:p w14:paraId="66C2D3E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i w:val="0"/>
                <w:iCs w:val="0"/>
                <w:color w:val="auto"/>
                <w:sz w:val="21"/>
                <w:szCs w:val="21"/>
                <w:highlight w:val="none"/>
              </w:rPr>
            </w:pPr>
          </w:p>
        </w:tc>
      </w:tr>
    </w:tbl>
    <w:p w14:paraId="58BB9BCB">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5DFE4AA9">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02ECD2C">
      <w:pPr>
        <w:rPr>
          <w:rFonts w:hint="eastAsia"/>
          <w:i w:val="0"/>
          <w:iCs w:val="0"/>
          <w:color w:val="auto"/>
          <w:highlight w:val="none"/>
          <w:lang w:val="zh-CN" w:eastAsia="zh-CN"/>
        </w:rPr>
      </w:pPr>
      <w:r>
        <w:rPr>
          <w:rFonts w:hint="eastAsia"/>
          <w:b/>
          <w:bCs/>
          <w:i w:val="0"/>
          <w:iCs w:val="0"/>
          <w:color w:val="auto"/>
          <w:sz w:val="21"/>
          <w:szCs w:val="21"/>
          <w:highlight w:val="none"/>
          <w:lang w:val="en-US" w:eastAsia="zh-CN"/>
        </w:rPr>
        <w:t>注：“实质性响应一览表”中的内容为参考，可根据项目情况自行设置。</w:t>
      </w:r>
    </w:p>
    <w:p w14:paraId="3D420025">
      <w:pPr>
        <w:pStyle w:val="7"/>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65" w:name="_Toc27596"/>
      <w:bookmarkStart w:id="466" w:name="_Toc16349364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评分标准</w:t>
      </w:r>
      <w:bookmarkEnd w:id="465"/>
      <w:bookmarkEnd w:id="466"/>
    </w:p>
    <w:tbl>
      <w:tblPr>
        <w:tblStyle w:val="28"/>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914"/>
        <w:gridCol w:w="1896"/>
        <w:gridCol w:w="1570"/>
        <w:gridCol w:w="3061"/>
        <w:gridCol w:w="1015"/>
      </w:tblGrid>
      <w:tr w14:paraId="3ADFAD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gridSpan w:val="2"/>
            <w:tcBorders>
              <w:top w:val="outset" w:color="auto" w:sz="6" w:space="0"/>
              <w:left w:val="outset" w:color="auto" w:sz="6" w:space="0"/>
              <w:bottom w:val="outset" w:color="auto" w:sz="6" w:space="0"/>
              <w:right w:val="outset" w:color="auto" w:sz="6" w:space="0"/>
            </w:tcBorders>
            <w:noWrap w:val="0"/>
            <w:vAlign w:val="center"/>
          </w:tcPr>
          <w:p w14:paraId="0C0894A1">
            <w:pPr>
              <w:pStyle w:val="65"/>
              <w:jc w:val="center"/>
              <w:rPr>
                <w:rFonts w:ascii="仿宋" w:hAnsi="仿宋" w:eastAsia="仿宋"/>
              </w:rPr>
            </w:pPr>
            <w:r>
              <w:rPr>
                <w:rFonts w:ascii="仿宋" w:hAnsi="仿宋" w:eastAsia="仿宋" w:cs="宋体"/>
                <w:b/>
              </w:rPr>
              <w:t>评分因素</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B25B34E">
            <w:pPr>
              <w:pStyle w:val="65"/>
              <w:jc w:val="center"/>
              <w:rPr>
                <w:rFonts w:ascii="仿宋" w:hAnsi="仿宋" w:eastAsia="仿宋"/>
              </w:rPr>
            </w:pPr>
            <w:r>
              <w:rPr>
                <w:rFonts w:ascii="仿宋" w:hAnsi="仿宋" w:eastAsia="仿宋" w:cs="宋体"/>
                <w:b/>
              </w:rPr>
              <w:t>评分点</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239BC21">
            <w:pPr>
              <w:pStyle w:val="65"/>
              <w:jc w:val="center"/>
              <w:rPr>
                <w:rFonts w:ascii="仿宋" w:hAnsi="仿宋" w:eastAsia="仿宋"/>
              </w:rPr>
            </w:pPr>
            <w:r>
              <w:rPr>
                <w:rFonts w:ascii="仿宋" w:hAnsi="仿宋" w:eastAsia="仿宋" w:cs="宋体"/>
                <w:b/>
              </w:rPr>
              <w:t>评分标准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6113250">
            <w:pPr>
              <w:pStyle w:val="65"/>
              <w:jc w:val="center"/>
              <w:rPr>
                <w:rFonts w:ascii="仿宋" w:hAnsi="仿宋" w:eastAsia="仿宋"/>
              </w:rPr>
            </w:pPr>
            <w:r>
              <w:rPr>
                <w:rFonts w:ascii="仿宋" w:hAnsi="仿宋" w:eastAsia="仿宋" w:cs="宋体"/>
                <w:b/>
              </w:rPr>
              <w:t>权重分配</w:t>
            </w:r>
          </w:p>
        </w:tc>
      </w:tr>
      <w:tr w14:paraId="44F187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600CECA1">
            <w:pPr>
              <w:pStyle w:val="65"/>
              <w:rPr>
                <w:rFonts w:ascii="仿宋" w:hAnsi="仿宋" w:eastAsia="仿宋"/>
              </w:rPr>
            </w:pPr>
            <w:r>
              <w:rPr>
                <w:rFonts w:ascii="仿宋" w:hAnsi="仿宋" w:eastAsia="仿宋" w:cs="宋体"/>
              </w:rPr>
              <w:t>详细评审</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8765DEC">
            <w:pPr>
              <w:pStyle w:val="65"/>
              <w:jc w:val="center"/>
              <w:rPr>
                <w:rFonts w:ascii="仿宋" w:hAnsi="仿宋" w:eastAsia="仿宋"/>
              </w:rPr>
            </w:pPr>
            <w:r>
              <w:rPr>
                <w:rFonts w:ascii="仿宋" w:hAnsi="仿宋" w:eastAsia="仿宋" w:cs="宋体"/>
              </w:rPr>
              <w:t>价格评审（</w:t>
            </w:r>
            <w:r>
              <w:rPr>
                <w:rFonts w:hint="eastAsia" w:ascii="仿宋" w:hAnsi="仿宋" w:eastAsia="仿宋" w:cs="宋体"/>
              </w:rPr>
              <w:t>30分</w:t>
            </w:r>
            <w:r>
              <w:rPr>
                <w:rFonts w:ascii="仿宋" w:hAnsi="仿宋" w:eastAsia="仿宋" w:cs="宋体"/>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2D8DC9E">
            <w:pPr>
              <w:pStyle w:val="65"/>
              <w:rPr>
                <w:rFonts w:ascii="仿宋" w:hAnsi="仿宋" w:eastAsia="仿宋"/>
              </w:rPr>
            </w:pPr>
            <w:r>
              <w:rPr>
                <w:rFonts w:ascii="仿宋" w:hAnsi="仿宋" w:eastAsia="仿宋" w:cs="宋体"/>
              </w:rPr>
              <w:t>投标报价（</w:t>
            </w:r>
            <w:r>
              <w:rPr>
                <w:rFonts w:hint="eastAsia" w:ascii="仿宋" w:hAnsi="仿宋" w:eastAsia="仿宋" w:cs="宋体"/>
              </w:rPr>
              <w:t>30分</w:t>
            </w:r>
            <w:r>
              <w:rPr>
                <w:rFonts w:ascii="仿宋" w:hAnsi="仿宋" w:eastAsia="仿宋" w:cs="宋体"/>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783F87D">
            <w:pPr>
              <w:pStyle w:val="65"/>
              <w:rPr>
                <w:rFonts w:ascii="仿宋" w:hAnsi="仿宋" w:eastAsia="仿宋"/>
              </w:rPr>
            </w:pPr>
            <w:r>
              <w:rPr>
                <w:rFonts w:ascii="仿宋" w:hAnsi="仿宋" w:eastAsia="仿宋" w:cs="宋体"/>
              </w:rPr>
              <w:t>评标基准价=有效投标报价的最低值，投标报价得分=（评标基准价/投标报价）×</w:t>
            </w:r>
            <w:r>
              <w:rPr>
                <w:rFonts w:hint="eastAsia" w:ascii="仿宋" w:hAnsi="仿宋" w:eastAsia="仿宋" w:cs="宋体"/>
              </w:rPr>
              <w:t>最大分值</w:t>
            </w:r>
            <w:r>
              <w:rPr>
                <w:rFonts w:ascii="仿宋" w:hAnsi="仿宋" w:eastAsia="仿宋" w:cs="宋体"/>
              </w:rPr>
              <w:t>。有效投标报价为通过初步审查的供应商报价</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9792B3A">
            <w:pPr>
              <w:pStyle w:val="65"/>
              <w:rPr>
                <w:rFonts w:ascii="仿宋" w:hAnsi="仿宋" w:eastAsia="仿宋"/>
              </w:rPr>
            </w:pPr>
            <w:r>
              <w:rPr>
                <w:rFonts w:ascii="仿宋" w:hAnsi="仿宋" w:eastAsia="仿宋" w:cs="宋体"/>
              </w:rPr>
              <w:t>30.00</w:t>
            </w:r>
          </w:p>
        </w:tc>
      </w:tr>
      <w:tr w14:paraId="451FF0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4A5CDDF2">
            <w:pPr>
              <w:pStyle w:val="65"/>
              <w:rPr>
                <w:rFonts w:ascii="仿宋" w:hAnsi="仿宋" w:eastAsia="仿宋"/>
              </w:rPr>
            </w:pP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560B4374">
            <w:pPr>
              <w:pStyle w:val="65"/>
              <w:jc w:val="center"/>
              <w:rPr>
                <w:rFonts w:ascii="仿宋" w:hAnsi="仿宋" w:eastAsia="仿宋"/>
              </w:rPr>
            </w:pPr>
            <w:r>
              <w:rPr>
                <w:rFonts w:ascii="仿宋" w:hAnsi="仿宋" w:eastAsia="仿宋" w:cs="宋体"/>
              </w:rPr>
              <w:t>商务标评审（</w:t>
            </w:r>
            <w:r>
              <w:rPr>
                <w:rFonts w:hint="eastAsia" w:ascii="仿宋" w:hAnsi="仿宋" w:eastAsia="仿宋" w:cs="宋体"/>
              </w:rPr>
              <w:t>18分</w:t>
            </w:r>
            <w:r>
              <w:rPr>
                <w:rFonts w:ascii="仿宋" w:hAnsi="仿宋" w:eastAsia="仿宋" w:cs="宋体"/>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27763E2">
            <w:pPr>
              <w:pStyle w:val="65"/>
              <w:rPr>
                <w:rFonts w:hint="eastAsia" w:ascii="仿宋" w:hAnsi="仿宋" w:eastAsia="仿宋"/>
              </w:rPr>
            </w:pPr>
            <w:r>
              <w:rPr>
                <w:rFonts w:ascii="仿宋" w:hAnsi="仿宋" w:eastAsia="仿宋" w:cs="宋体"/>
              </w:rPr>
              <w:t>近三年类似项目</w:t>
            </w:r>
            <w:r>
              <w:rPr>
                <w:rFonts w:hint="eastAsia" w:ascii="仿宋" w:hAnsi="仿宋" w:eastAsia="仿宋" w:cs="宋体"/>
              </w:rPr>
              <w:t>（2分）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B38EA3C">
            <w:pPr>
              <w:pStyle w:val="65"/>
              <w:rPr>
                <w:rFonts w:ascii="仿宋" w:hAnsi="仿宋" w:eastAsia="仿宋"/>
              </w:rPr>
            </w:pPr>
            <w:r>
              <w:rPr>
                <w:rFonts w:hint="eastAsia" w:ascii="仿宋" w:hAnsi="仿宋" w:eastAsia="仿宋" w:cs="宋体"/>
              </w:rPr>
              <w:t>近三年有类 似项目业绩的，每一项得1分，最高2分。注：需提供业绩证明材料（中标/成交通知书或合同协议书 ）</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7E6FF2B2">
            <w:pPr>
              <w:pStyle w:val="65"/>
              <w:rPr>
                <w:rFonts w:ascii="仿宋" w:hAnsi="仿宋" w:eastAsia="仿宋"/>
              </w:rPr>
            </w:pPr>
            <w:r>
              <w:rPr>
                <w:rFonts w:hint="eastAsia" w:ascii="仿宋" w:hAnsi="仿宋" w:eastAsia="仿宋" w:cs="宋体"/>
              </w:rPr>
              <w:t>18</w:t>
            </w:r>
            <w:r>
              <w:rPr>
                <w:rFonts w:ascii="仿宋" w:hAnsi="仿宋" w:eastAsia="仿宋" w:cs="宋体"/>
              </w:rPr>
              <w:t>.00</w:t>
            </w:r>
          </w:p>
        </w:tc>
      </w:tr>
      <w:tr w14:paraId="1135EF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1EB38F91">
            <w:pPr>
              <w:pStyle w:val="65"/>
              <w:rPr>
                <w:rFonts w:ascii="仿宋" w:hAnsi="仿宋" w:eastAsia="仿宋"/>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13A55B7A">
            <w:pPr>
              <w:pStyle w:val="65"/>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B7FDAA1">
            <w:pPr>
              <w:pStyle w:val="65"/>
              <w:rPr>
                <w:rFonts w:hint="eastAsia" w:ascii="仿宋" w:hAnsi="仿宋" w:eastAsia="仿宋"/>
              </w:rPr>
            </w:pPr>
            <w:r>
              <w:rPr>
                <w:rFonts w:hint="eastAsia" w:ascii="仿宋" w:hAnsi="仿宋" w:eastAsia="仿宋" w:cs="宋体"/>
              </w:rPr>
              <w:t>项目管理机构（8分）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3F6D791">
            <w:pPr>
              <w:pStyle w:val="65"/>
              <w:rPr>
                <w:rFonts w:ascii="仿宋" w:hAnsi="仿宋" w:eastAsia="仿宋"/>
              </w:rPr>
            </w:pPr>
            <w:r>
              <w:rPr>
                <w:rFonts w:hint="eastAsia" w:ascii="仿宋" w:hAnsi="仿宋" w:eastAsia="仿宋"/>
              </w:rPr>
              <w:t>拟派本项目机构设置人员配置齐全、分工合理，满足本项目工作需求，岗位职责清晰，得满分8分，每缺少一项扣2分，每有一处内容缺陷扣1分。（内容缺陷是指：非专门针对本项目或不适用项目特性的情形、内容不完整或缺少关键节点、内容前后矛盾、涉及的规范及标准错误、不利于项 目实施、不可能实现的情形等任意一种情形）</w:t>
            </w: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060E7270">
            <w:pPr>
              <w:pStyle w:val="65"/>
              <w:rPr>
                <w:rFonts w:ascii="仿宋" w:hAnsi="仿宋" w:eastAsia="仿宋"/>
              </w:rPr>
            </w:pPr>
          </w:p>
        </w:tc>
      </w:tr>
      <w:tr w14:paraId="7FE5C5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0C862D67">
            <w:pPr>
              <w:pStyle w:val="65"/>
              <w:rPr>
                <w:rFonts w:ascii="仿宋" w:hAnsi="仿宋" w:eastAsia="仿宋"/>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75CC1AC2">
            <w:pPr>
              <w:pStyle w:val="65"/>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B020E70">
            <w:pPr>
              <w:pStyle w:val="65"/>
              <w:rPr>
                <w:rFonts w:hint="eastAsia" w:ascii="仿宋" w:hAnsi="仿宋" w:eastAsia="仿宋"/>
              </w:rPr>
            </w:pPr>
            <w:r>
              <w:rPr>
                <w:rFonts w:ascii="仿宋" w:hAnsi="仿宋" w:eastAsia="仿宋" w:cs="宋体"/>
              </w:rPr>
              <w:t>承诺及优惠条</w:t>
            </w:r>
            <w:r>
              <w:rPr>
                <w:rFonts w:hint="eastAsia" w:ascii="仿宋" w:hAnsi="仿宋" w:eastAsia="仿宋" w:cs="宋体"/>
              </w:rPr>
              <w:t>件（8分）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8FC781B">
            <w:pPr>
              <w:pStyle w:val="65"/>
              <w:rPr>
                <w:rFonts w:ascii="仿宋" w:hAnsi="仿宋" w:eastAsia="仿宋"/>
              </w:rPr>
            </w:pPr>
            <w:r>
              <w:rPr>
                <w:rFonts w:ascii="仿宋" w:hAnsi="仿宋" w:eastAsia="仿宋"/>
              </w:rPr>
              <w:t>承诺有保修违约经济处罚且措施可行得</w:t>
            </w:r>
            <w:r>
              <w:rPr>
                <w:rFonts w:hint="eastAsia" w:ascii="仿宋" w:hAnsi="仿宋" w:eastAsia="仿宋"/>
                <w:lang w:val="en-US" w:eastAsia="zh-CN"/>
              </w:rPr>
              <w:t>4</w:t>
            </w:r>
            <w:r>
              <w:rPr>
                <w:rFonts w:ascii="仿宋" w:hAnsi="仿宋" w:eastAsia="仿宋"/>
              </w:rPr>
              <w:t>分，承诺达到优质质量标准、并有切实可行质量保证措施得</w:t>
            </w:r>
            <w:r>
              <w:rPr>
                <w:rFonts w:hint="eastAsia" w:ascii="仿宋" w:hAnsi="仿宋" w:eastAsia="仿宋"/>
                <w:lang w:val="en-US" w:eastAsia="zh-CN"/>
              </w:rPr>
              <w:t>4</w:t>
            </w:r>
            <w:r>
              <w:rPr>
                <w:rFonts w:ascii="仿宋" w:hAnsi="仿宋" w:eastAsia="仿宋"/>
              </w:rPr>
              <w:t>分，</w:t>
            </w:r>
            <w:r>
              <w:rPr>
                <w:rFonts w:hint="eastAsia" w:ascii="仿宋" w:hAnsi="仿宋" w:eastAsia="仿宋"/>
              </w:rPr>
              <w:t>满分8分。方案不合理、表述不充分每有一条扣1分，未提供的不得分。(备注：不合理指方案简略、阐述不清楚且存在不适用本项目实际情况的情形，项目名称、实施地点、内容前后不一致、前后逻辑错误、涉及的规范或标准错误、直接套用其他项目内容的)</w:t>
            </w: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780C55F6">
            <w:pPr>
              <w:pStyle w:val="65"/>
              <w:rPr>
                <w:rFonts w:ascii="仿宋" w:hAnsi="仿宋" w:eastAsia="仿宋"/>
              </w:rPr>
            </w:pPr>
          </w:p>
        </w:tc>
      </w:tr>
      <w:tr w14:paraId="7964B88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336"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7D0E5E80">
            <w:pPr>
              <w:pStyle w:val="65"/>
              <w:rPr>
                <w:rFonts w:ascii="仿宋" w:hAnsi="仿宋" w:eastAsia="仿宋"/>
              </w:rPr>
            </w:pP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6DC67ED2">
            <w:pPr>
              <w:pStyle w:val="65"/>
              <w:jc w:val="center"/>
              <w:rPr>
                <w:rFonts w:ascii="仿宋" w:hAnsi="仿宋" w:eastAsia="仿宋"/>
              </w:rPr>
            </w:pPr>
            <w:r>
              <w:rPr>
                <w:rFonts w:ascii="仿宋" w:hAnsi="仿宋" w:eastAsia="仿宋" w:cs="宋体"/>
              </w:rPr>
              <w:t>技术标评审（</w:t>
            </w:r>
            <w:r>
              <w:rPr>
                <w:rFonts w:hint="eastAsia" w:ascii="仿宋" w:hAnsi="仿宋" w:eastAsia="仿宋" w:cs="宋体"/>
              </w:rPr>
              <w:t>52分</w:t>
            </w:r>
            <w:r>
              <w:rPr>
                <w:rFonts w:ascii="仿宋" w:hAnsi="仿宋" w:eastAsia="仿宋" w:cs="宋体"/>
              </w:rPr>
              <w:t>）</w:t>
            </w:r>
          </w:p>
        </w:tc>
        <w:tc>
          <w:tcPr>
            <w:tcW w:w="0" w:type="auto"/>
            <w:tcBorders>
              <w:top w:val="outset" w:color="auto" w:sz="6" w:space="0"/>
              <w:left w:val="outset" w:color="auto" w:sz="6" w:space="0"/>
              <w:bottom w:val="single" w:color="auto" w:sz="4" w:space="0"/>
              <w:right w:val="outset" w:color="auto" w:sz="6" w:space="0"/>
            </w:tcBorders>
            <w:noWrap w:val="0"/>
            <w:vAlign w:val="center"/>
          </w:tcPr>
          <w:p w14:paraId="3464C887">
            <w:pPr>
              <w:pStyle w:val="65"/>
              <w:jc w:val="center"/>
              <w:rPr>
                <w:rFonts w:ascii="仿宋" w:hAnsi="仿宋" w:eastAsia="仿宋" w:cs="宋体"/>
              </w:rPr>
            </w:pPr>
            <w:r>
              <w:rPr>
                <w:rFonts w:ascii="仿宋" w:hAnsi="仿宋" w:eastAsia="仿宋" w:cs="宋体"/>
              </w:rPr>
              <w:t>施工组织实施</w:t>
            </w:r>
          </w:p>
          <w:p w14:paraId="2E8CCE0A">
            <w:pPr>
              <w:pStyle w:val="65"/>
              <w:jc w:val="center"/>
              <w:rPr>
                <w:rFonts w:hint="eastAsia" w:ascii="仿宋" w:hAnsi="仿宋" w:eastAsia="仿宋" w:cs="宋体"/>
              </w:rPr>
            </w:pPr>
            <w:r>
              <w:rPr>
                <w:rFonts w:hint="eastAsia" w:ascii="仿宋" w:hAnsi="仿宋" w:eastAsia="仿宋" w:cs="宋体"/>
              </w:rPr>
              <w:t>（10分）</w:t>
            </w:r>
          </w:p>
        </w:tc>
        <w:tc>
          <w:tcPr>
            <w:tcW w:w="0" w:type="auto"/>
            <w:tcBorders>
              <w:top w:val="outset" w:color="auto" w:sz="6" w:space="0"/>
              <w:left w:val="outset" w:color="auto" w:sz="6" w:space="0"/>
              <w:bottom w:val="single" w:color="auto" w:sz="4" w:space="0"/>
              <w:right w:val="outset" w:color="auto" w:sz="6" w:space="0"/>
            </w:tcBorders>
            <w:noWrap w:val="0"/>
            <w:vAlign w:val="center"/>
          </w:tcPr>
          <w:p w14:paraId="09E87335">
            <w:pPr>
              <w:pStyle w:val="65"/>
              <w:rPr>
                <w:rFonts w:ascii="仿宋" w:hAnsi="仿宋" w:eastAsia="仿宋"/>
              </w:rPr>
            </w:pPr>
            <w:r>
              <w:rPr>
                <w:rFonts w:hint="eastAsia" w:ascii="仿宋" w:hAnsi="仿宋" w:eastAsia="仿宋" w:cs="宋体"/>
              </w:rPr>
              <w:t>从施工方法先进性、施工设备、劳动力计划合理性、确保工程质量、工期、安全措施、文明施工措施可信度方面进行评分，以上5项全面可行的得满分10分，缺少一项扣2分，扣完为止。</w:t>
            </w:r>
            <w:r>
              <w:rPr>
                <w:rFonts w:hint="eastAsia" w:ascii="仿宋" w:hAnsi="仿宋" w:eastAsia="仿宋"/>
              </w:rPr>
              <w:t>方案不合理、表述不充分每有一条扣1分，未提供的不得分。(备注：不合理指方案简略、阐述不清楚且存在不适用本项目实际情况的情形，项目名称、实施地点、内容前后不一致、前后逻辑错误、涉及的规范或标准错误、直接套用其他项目内容的)</w:t>
            </w:r>
          </w:p>
        </w:tc>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1EC9B9CA">
            <w:pPr>
              <w:pStyle w:val="65"/>
              <w:rPr>
                <w:rFonts w:ascii="仿宋" w:hAnsi="仿宋" w:eastAsia="仿宋"/>
              </w:rPr>
            </w:pPr>
            <w:r>
              <w:rPr>
                <w:rFonts w:hint="eastAsia" w:ascii="仿宋" w:hAnsi="仿宋" w:eastAsia="仿宋" w:cs="宋体"/>
              </w:rPr>
              <w:t>52</w:t>
            </w:r>
            <w:r>
              <w:rPr>
                <w:rFonts w:ascii="仿宋" w:hAnsi="仿宋" w:eastAsia="仿宋" w:cs="宋体"/>
              </w:rPr>
              <w:t>.00</w:t>
            </w:r>
          </w:p>
        </w:tc>
      </w:tr>
      <w:tr w14:paraId="5DEAC9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696"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6ADDA5F8">
            <w:pPr>
              <w:pStyle w:val="65"/>
              <w:rPr>
                <w:rFonts w:ascii="仿宋" w:hAnsi="仿宋" w:eastAsia="仿宋"/>
              </w:rPr>
            </w:pPr>
          </w:p>
        </w:tc>
        <w:tc>
          <w:tcPr>
            <w:tcW w:w="0" w:type="auto"/>
            <w:vMerge w:val="continue"/>
            <w:tcBorders>
              <w:left w:val="outset" w:color="auto" w:sz="6" w:space="0"/>
              <w:right w:val="outset" w:color="auto" w:sz="6" w:space="0"/>
            </w:tcBorders>
            <w:noWrap w:val="0"/>
            <w:vAlign w:val="center"/>
          </w:tcPr>
          <w:p w14:paraId="3F3CDD84">
            <w:pPr>
              <w:pStyle w:val="65"/>
              <w:jc w:val="center"/>
              <w:rPr>
                <w:rFonts w:ascii="仿宋" w:hAnsi="仿宋" w:eastAsia="仿宋" w:cs="宋体"/>
              </w:rPr>
            </w:pPr>
          </w:p>
        </w:tc>
        <w:tc>
          <w:tcPr>
            <w:tcW w:w="928" w:type="pct"/>
            <w:tcBorders>
              <w:top w:val="single" w:color="auto" w:sz="4" w:space="0"/>
              <w:left w:val="outset" w:color="auto" w:sz="6" w:space="0"/>
              <w:bottom w:val="outset" w:color="auto" w:sz="6" w:space="0"/>
              <w:right w:val="outset" w:color="auto" w:sz="6" w:space="0"/>
            </w:tcBorders>
            <w:noWrap w:val="0"/>
            <w:vAlign w:val="center"/>
          </w:tcPr>
          <w:p w14:paraId="58822441">
            <w:pPr>
              <w:jc w:val="center"/>
              <w:rPr>
                <w:rFonts w:hint="eastAsia" w:ascii="仿宋" w:hAnsi="仿宋" w:eastAsia="仿宋" w:cs="仿宋"/>
                <w:bCs/>
                <w:color w:val="000000"/>
                <w:kern w:val="0"/>
                <w:sz w:val="24"/>
              </w:rPr>
            </w:pPr>
            <w:r>
              <w:rPr>
                <w:rFonts w:hint="eastAsia" w:ascii="仿宋" w:hAnsi="仿宋" w:eastAsia="仿宋" w:cs="仿宋"/>
                <w:bCs/>
                <w:color w:val="000000"/>
                <w:kern w:val="0"/>
                <w:sz w:val="24"/>
              </w:rPr>
              <w:t>施工组织设计</w:t>
            </w:r>
          </w:p>
          <w:p w14:paraId="408DBA91">
            <w:pPr>
              <w:jc w:val="center"/>
              <w:rPr>
                <w:rFonts w:ascii="仿宋" w:hAnsi="仿宋" w:eastAsia="仿宋" w:cs="宋体"/>
              </w:rPr>
            </w:pPr>
            <w:r>
              <w:rPr>
                <w:rFonts w:hint="eastAsia" w:ascii="仿宋" w:hAnsi="仿宋" w:eastAsia="仿宋" w:cs="仿宋"/>
                <w:bCs/>
                <w:color w:val="000000"/>
                <w:sz w:val="24"/>
              </w:rPr>
              <w:t>（12分）</w:t>
            </w:r>
          </w:p>
        </w:tc>
        <w:tc>
          <w:tcPr>
            <w:tcW w:w="1810" w:type="pct"/>
            <w:tcBorders>
              <w:top w:val="single" w:color="auto" w:sz="4" w:space="0"/>
              <w:left w:val="outset" w:color="auto" w:sz="6" w:space="0"/>
              <w:bottom w:val="outset" w:color="auto" w:sz="6" w:space="0"/>
              <w:right w:val="outset" w:color="auto" w:sz="6" w:space="0"/>
            </w:tcBorders>
            <w:noWrap w:val="0"/>
            <w:vAlign w:val="center"/>
          </w:tcPr>
          <w:p w14:paraId="44E7352D">
            <w:pPr>
              <w:rPr>
                <w:rFonts w:hint="eastAsia" w:ascii="仿宋" w:hAnsi="仿宋" w:eastAsia="仿宋" w:cs="宋体"/>
              </w:rPr>
            </w:pPr>
            <w:r>
              <w:rPr>
                <w:rFonts w:hint="eastAsia" w:ascii="仿宋" w:hAnsi="仿宋" w:eastAsia="仿宋" w:cs="仿宋"/>
                <w:bCs/>
                <w:color w:val="000000"/>
                <w:kern w:val="0"/>
                <w:sz w:val="24"/>
              </w:rPr>
              <w:t>施工进度控制网络（附图）得4分；施工现场平面布置（附图）得4分；工序与主体及其他专业衔接合理，关键节点控制措施可行得4分。不提供，不满足不得分。方案不合理、表述不充分每有一条扣2分，未提供的不得分。(备注：不合理指方案简略、阐述不清楚且存在不适用本项目实际情况的情形，项目名称、实施地点、内容前后不一致、前后逻辑错误、涉及的规范或标准错误、直接套用其他项目内容的)</w:t>
            </w:r>
          </w:p>
        </w:tc>
        <w:tc>
          <w:tcPr>
            <w:tcW w:w="0" w:type="auto"/>
            <w:vMerge w:val="continue"/>
            <w:tcBorders>
              <w:left w:val="outset" w:color="auto" w:sz="6" w:space="0"/>
              <w:right w:val="outset" w:color="auto" w:sz="6" w:space="0"/>
            </w:tcBorders>
            <w:noWrap w:val="0"/>
            <w:vAlign w:val="center"/>
          </w:tcPr>
          <w:p w14:paraId="4DC649C0">
            <w:pPr>
              <w:pStyle w:val="65"/>
              <w:rPr>
                <w:rFonts w:hint="eastAsia" w:ascii="仿宋" w:hAnsi="仿宋" w:eastAsia="仿宋" w:cs="宋体"/>
              </w:rPr>
            </w:pPr>
          </w:p>
        </w:tc>
      </w:tr>
      <w:tr w14:paraId="4DD0BF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09644F66">
            <w:pPr>
              <w:pStyle w:val="65"/>
              <w:rPr>
                <w:rFonts w:ascii="仿宋" w:hAnsi="仿宋" w:eastAsia="仿宋"/>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4995D78B">
            <w:pPr>
              <w:pStyle w:val="65"/>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C01DC52">
            <w:pPr>
              <w:pStyle w:val="65"/>
              <w:jc w:val="center"/>
              <w:rPr>
                <w:rFonts w:ascii="仿宋" w:hAnsi="仿宋" w:eastAsia="仿宋" w:cs="宋体"/>
              </w:rPr>
            </w:pPr>
            <w:r>
              <w:rPr>
                <w:rFonts w:ascii="仿宋" w:hAnsi="仿宋" w:eastAsia="仿宋" w:cs="宋体"/>
              </w:rPr>
              <w:t>施工进度计划</w:t>
            </w:r>
          </w:p>
          <w:p w14:paraId="660AC8CA">
            <w:pPr>
              <w:pStyle w:val="65"/>
              <w:jc w:val="center"/>
              <w:rPr>
                <w:rFonts w:hint="eastAsia" w:ascii="仿宋" w:hAnsi="仿宋" w:eastAsia="仿宋" w:cs="宋体"/>
              </w:rPr>
            </w:pPr>
            <w:r>
              <w:rPr>
                <w:rFonts w:hint="eastAsia" w:ascii="仿宋" w:hAnsi="仿宋" w:eastAsia="仿宋" w:cs="宋体"/>
              </w:rPr>
              <w:t>（12分）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39CCEA6">
            <w:pPr>
              <w:pStyle w:val="65"/>
              <w:rPr>
                <w:rFonts w:ascii="仿宋" w:hAnsi="仿宋" w:eastAsia="仿宋"/>
              </w:rPr>
            </w:pPr>
            <w:r>
              <w:rPr>
                <w:rFonts w:hint="eastAsia" w:ascii="仿宋" w:hAnsi="仿宋" w:eastAsia="仿宋" w:cs="宋体"/>
              </w:rPr>
              <w:t>施工总进度计划合理得3分；平面布置合理得3分；涉及主要内容齐全措施计划详尽得6分，满分12分。方案不合理、表述不充分每有一条扣2分，未提供的不得分。(备注：不合理指方案简略、阐述不清楚且存在不适用本项目实际情况的情形，项目名称、实施地点、内容前后不一致、前后逻辑错误、涉及的规范或标准错误、直接套用其他项目内容的)</w:t>
            </w: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1E5A3F63">
            <w:pPr>
              <w:pStyle w:val="65"/>
              <w:rPr>
                <w:rFonts w:ascii="仿宋" w:hAnsi="仿宋" w:eastAsia="仿宋"/>
              </w:rPr>
            </w:pPr>
          </w:p>
        </w:tc>
      </w:tr>
      <w:tr w14:paraId="369B78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3B4AF356">
            <w:pPr>
              <w:pStyle w:val="65"/>
              <w:rPr>
                <w:rFonts w:ascii="仿宋" w:hAnsi="仿宋" w:eastAsia="仿宋"/>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1C84A449">
            <w:pPr>
              <w:pStyle w:val="65"/>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3A3444D7">
            <w:pPr>
              <w:pStyle w:val="65"/>
              <w:jc w:val="center"/>
              <w:rPr>
                <w:rFonts w:ascii="仿宋" w:hAnsi="仿宋" w:eastAsia="仿宋" w:cs="宋体"/>
              </w:rPr>
            </w:pPr>
            <w:r>
              <w:rPr>
                <w:rFonts w:ascii="仿宋" w:hAnsi="仿宋" w:eastAsia="仿宋" w:cs="宋体"/>
              </w:rPr>
              <w:t>质量、安全保证体系及措施</w:t>
            </w:r>
          </w:p>
          <w:p w14:paraId="67B6EE1F">
            <w:pPr>
              <w:pStyle w:val="65"/>
              <w:jc w:val="center"/>
              <w:rPr>
                <w:rFonts w:ascii="仿宋" w:hAnsi="仿宋" w:eastAsia="仿宋"/>
              </w:rPr>
            </w:pPr>
            <w:r>
              <w:rPr>
                <w:rFonts w:hint="eastAsia" w:ascii="仿宋" w:hAnsi="仿宋" w:eastAsia="仿宋" w:cs="宋体"/>
              </w:rPr>
              <w:t>（10分）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8D2B5BD">
            <w:pPr>
              <w:pStyle w:val="65"/>
              <w:rPr>
                <w:rFonts w:ascii="仿宋" w:hAnsi="仿宋" w:eastAsia="仿宋"/>
              </w:rPr>
            </w:pPr>
            <w:r>
              <w:rPr>
                <w:rFonts w:hint="eastAsia" w:ascii="仿宋" w:hAnsi="仿宋" w:eastAsia="仿宋"/>
              </w:rPr>
              <w:t>工程项目的质保体系健全得4分；工程的安全措施得力3分；安保体系健全有效得3分；满分10分。方案不合理、表述不充分每有一条扣2分，未提供的不得分。(备注：不合理指方案简略、阐述不清楚且存在不适用本项目实际情况的情形，项目名称、实施地点、内容前后不一致、前后逻辑错误、涉及的规范或标准错误、直接套用其他项目内容的)</w:t>
            </w: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03040124">
            <w:pPr>
              <w:pStyle w:val="65"/>
              <w:rPr>
                <w:rFonts w:ascii="仿宋" w:hAnsi="仿宋" w:eastAsia="仿宋"/>
              </w:rPr>
            </w:pPr>
          </w:p>
        </w:tc>
      </w:tr>
      <w:tr w14:paraId="7818108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796217B9">
            <w:pPr>
              <w:pStyle w:val="65"/>
              <w:rPr>
                <w:rFonts w:ascii="仿宋" w:hAnsi="仿宋" w:eastAsia="仿宋"/>
              </w:rPr>
            </w:pP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1AB0F885">
            <w:pPr>
              <w:pStyle w:val="65"/>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5D1A5BF2">
            <w:pPr>
              <w:pStyle w:val="65"/>
              <w:jc w:val="center"/>
              <w:rPr>
                <w:rFonts w:ascii="仿宋" w:hAnsi="仿宋" w:eastAsia="仿宋" w:cs="宋体"/>
              </w:rPr>
            </w:pPr>
            <w:r>
              <w:rPr>
                <w:rFonts w:ascii="仿宋" w:hAnsi="仿宋" w:eastAsia="仿宋" w:cs="宋体"/>
              </w:rPr>
              <w:t>劳动力和材料投入计划及其保证措施</w:t>
            </w:r>
          </w:p>
          <w:p w14:paraId="54A2A3FE">
            <w:pPr>
              <w:pStyle w:val="65"/>
              <w:jc w:val="center"/>
              <w:rPr>
                <w:rFonts w:hint="eastAsia" w:ascii="仿宋" w:hAnsi="仿宋" w:eastAsia="仿宋" w:cs="宋体"/>
              </w:rPr>
            </w:pPr>
            <w:r>
              <w:rPr>
                <w:rFonts w:hint="eastAsia" w:ascii="仿宋" w:hAnsi="仿宋" w:eastAsia="仿宋" w:cs="宋体"/>
              </w:rPr>
              <w:t>（8分）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26CD207">
            <w:pPr>
              <w:pStyle w:val="65"/>
              <w:rPr>
                <w:rFonts w:ascii="仿宋" w:hAnsi="仿宋" w:eastAsia="仿宋"/>
              </w:rPr>
            </w:pPr>
            <w:r>
              <w:rPr>
                <w:rFonts w:hint="eastAsia" w:ascii="仿宋" w:hAnsi="仿宋" w:eastAsia="仿宋"/>
              </w:rPr>
              <w:t>在确保工程质量前提下，有降低成本、缩短工期、减轻劳动强度提高进度提案者得8分。方案不合理、表述不充分每有一条扣1分，未提供的不得分。(备注：不合理指方案简略、阐述不清楚且存在不适用本项目实际情况的情形，项目名称、实施地点、内容前后不一致、前后逻辑错误、涉及的规范或标准错误、直接套用其他项目内容的)</w:t>
            </w:r>
          </w:p>
        </w:tc>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2FEA96A1">
            <w:pPr>
              <w:pStyle w:val="65"/>
              <w:rPr>
                <w:rFonts w:ascii="仿宋" w:hAnsi="仿宋" w:eastAsia="仿宋"/>
              </w:rPr>
            </w:pPr>
          </w:p>
        </w:tc>
      </w:tr>
      <w:tr w14:paraId="79394E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restart"/>
            <w:tcBorders>
              <w:top w:val="outset" w:color="auto" w:sz="6" w:space="0"/>
              <w:left w:val="outset" w:color="auto" w:sz="6" w:space="0"/>
              <w:bottom w:val="outset" w:color="auto" w:sz="6" w:space="0"/>
              <w:right w:val="outset" w:color="auto" w:sz="6" w:space="0"/>
            </w:tcBorders>
            <w:noWrap w:val="0"/>
            <w:vAlign w:val="center"/>
          </w:tcPr>
          <w:p w14:paraId="00A895B6">
            <w:pPr>
              <w:pStyle w:val="65"/>
              <w:jc w:val="center"/>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509DD50E">
            <w:pPr>
              <w:pStyle w:val="65"/>
              <w:jc w:val="center"/>
              <w:rPr>
                <w:rFonts w:ascii="仿宋" w:hAnsi="仿宋" w:eastAsia="仿宋"/>
              </w:rPr>
            </w:pPr>
            <w:r>
              <w:rPr>
                <w:rFonts w:ascii="仿宋" w:hAnsi="仿宋" w:eastAsia="仿宋" w:cs="宋体"/>
              </w:rPr>
              <w:t>合计</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3674177">
            <w:pPr>
              <w:pStyle w:val="65"/>
              <w:jc w:val="center"/>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1EF50575">
            <w:pPr>
              <w:pStyle w:val="65"/>
              <w:jc w:val="center"/>
              <w:rPr>
                <w:rFonts w:ascii="仿宋" w:hAnsi="仿宋" w:eastAsia="仿宋"/>
              </w:rPr>
            </w:pPr>
          </w:p>
        </w:tc>
        <w:tc>
          <w:tcPr>
            <w:tcW w:w="0" w:type="auto"/>
            <w:tcBorders>
              <w:top w:val="outset" w:color="auto" w:sz="6" w:space="0"/>
              <w:left w:val="outset" w:color="auto" w:sz="6" w:space="0"/>
              <w:bottom w:val="outset" w:color="auto" w:sz="6" w:space="0"/>
              <w:right w:val="outset" w:color="auto" w:sz="6" w:space="0"/>
            </w:tcBorders>
            <w:noWrap w:val="0"/>
            <w:vAlign w:val="center"/>
          </w:tcPr>
          <w:p w14:paraId="5360EDC9">
            <w:pPr>
              <w:pStyle w:val="65"/>
              <w:jc w:val="center"/>
              <w:rPr>
                <w:rFonts w:ascii="仿宋" w:hAnsi="仿宋" w:eastAsia="仿宋"/>
              </w:rPr>
            </w:pPr>
            <w:r>
              <w:rPr>
                <w:rFonts w:ascii="仿宋" w:hAnsi="仿宋" w:eastAsia="仿宋" w:cs="宋体"/>
              </w:rPr>
              <w:t>100</w:t>
            </w:r>
          </w:p>
        </w:tc>
      </w:tr>
      <w:tr w14:paraId="65EA270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84" w:hRule="atLeast"/>
        </w:trPr>
        <w:tc>
          <w:tcPr>
            <w:tcW w:w="0" w:type="auto"/>
            <w:vMerge w:val="continue"/>
            <w:tcBorders>
              <w:top w:val="outset" w:color="auto" w:sz="6" w:space="0"/>
              <w:left w:val="outset" w:color="auto" w:sz="6" w:space="0"/>
              <w:bottom w:val="outset" w:color="auto" w:sz="6" w:space="0"/>
              <w:right w:val="outset" w:color="auto" w:sz="6" w:space="0"/>
            </w:tcBorders>
            <w:noWrap w:val="0"/>
            <w:vAlign w:val="center"/>
          </w:tcPr>
          <w:p w14:paraId="589D3FB0">
            <w:pPr>
              <w:pStyle w:val="65"/>
              <w:jc w:val="center"/>
              <w:rPr>
                <w:rFonts w:ascii="仿宋" w:hAnsi="仿宋" w:eastAsia="仿宋"/>
              </w:rPr>
            </w:pPr>
          </w:p>
        </w:tc>
        <w:tc>
          <w:tcPr>
            <w:tcW w:w="0" w:type="auto"/>
            <w:gridSpan w:val="4"/>
            <w:tcBorders>
              <w:top w:val="outset" w:color="auto" w:sz="6" w:space="0"/>
              <w:left w:val="outset" w:color="auto" w:sz="6" w:space="0"/>
              <w:bottom w:val="outset" w:color="auto" w:sz="6" w:space="0"/>
              <w:right w:val="outset" w:color="auto" w:sz="6" w:space="0"/>
            </w:tcBorders>
            <w:noWrap w:val="0"/>
            <w:vAlign w:val="center"/>
          </w:tcPr>
          <w:p w14:paraId="3FC0BB27">
            <w:pPr>
              <w:pStyle w:val="65"/>
              <w:rPr>
                <w:rFonts w:ascii="仿宋" w:hAnsi="仿宋" w:eastAsia="仿宋"/>
              </w:rPr>
            </w:pPr>
            <w:r>
              <w:rPr>
                <w:rFonts w:ascii="仿宋" w:hAnsi="仿宋" w:eastAsia="仿宋" w:cs="宋体"/>
              </w:rPr>
              <w:t>注： 1、计算过程中，算术平均值保留2位小数（百分比亦取2位小数），第三位小数四舍五入。</w:t>
            </w:r>
            <w:r>
              <w:rPr>
                <w:rFonts w:ascii="仿宋" w:hAnsi="仿宋" w:eastAsia="仿宋" w:cs="宋体"/>
              </w:rPr>
              <w:br w:type="textWrapping"/>
            </w:r>
            <w:r>
              <w:rPr>
                <w:rFonts w:ascii="仿宋" w:hAnsi="仿宋" w:eastAsia="仿宋" w:cs="宋体"/>
              </w:rPr>
              <w:t>2、供应商的最终得分为：所有评委对其评分的算术平均值。</w:t>
            </w:r>
          </w:p>
        </w:tc>
      </w:tr>
    </w:tbl>
    <w:p w14:paraId="2B094946">
      <w:pPr>
        <w:pStyle w:val="2"/>
        <w:rPr>
          <w:rFonts w:hint="eastAsia"/>
          <w:i w:val="0"/>
          <w:iCs w:val="0"/>
          <w:color w:val="auto"/>
          <w:highlight w:val="none"/>
          <w:lang w:val="zh-CN" w:eastAsia="zh-CN"/>
        </w:rPr>
      </w:pPr>
    </w:p>
    <w:p w14:paraId="602FAA87">
      <w:pPr>
        <w:rPr>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641B48DF">
      <w:pPr>
        <w:pStyle w:val="5"/>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i w:val="0"/>
          <w:iCs w:val="0"/>
          <w:color w:val="auto"/>
          <w:highlight w:val="none"/>
        </w:rPr>
      </w:pPr>
      <w:bookmarkStart w:id="467" w:name="_Toc17336"/>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467"/>
    </w:p>
    <w:p w14:paraId="0F73DEB3">
      <w:pPr>
        <w:wordWrap w:val="0"/>
        <w:spacing w:line="240" w:lineRule="auto"/>
        <w:ind w:firstLine="480" w:firstLineChars="200"/>
        <w:jc w:val="left"/>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snapToGrid w:val="0"/>
          <w:color w:val="auto"/>
          <w:kern w:val="0"/>
          <w:sz w:val="24"/>
          <w:szCs w:val="24"/>
          <w:highlight w:val="none"/>
        </w:rPr>
        <w:t>参考住房城乡建设部、原国家工商行政管理总局制定的《建设工程施工合同（示范文本）（GF-2017-0201）</w:t>
      </w:r>
      <w:r>
        <w:rPr>
          <w:rFonts w:hint="eastAsia" w:ascii="宋体" w:hAnsi="宋体" w:eastAsia="宋体" w:cs="宋体"/>
          <w:i w:val="0"/>
          <w:iCs w:val="0"/>
          <w:snapToGrid w:val="0"/>
          <w:color w:val="auto"/>
          <w:kern w:val="0"/>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 xml:space="preserve"> </w:t>
      </w:r>
    </w:p>
    <w:p w14:paraId="51E629DD">
      <w:pPr>
        <w:wordWrap w:val="0"/>
        <w:spacing w:line="240" w:lineRule="auto"/>
        <w:rPr>
          <w:bCs/>
          <w:i w:val="0"/>
          <w:iCs w:val="0"/>
          <w:color w:val="auto"/>
          <w:sz w:val="28"/>
          <w:szCs w:val="28"/>
          <w:highlight w:val="none"/>
        </w:rPr>
      </w:pPr>
      <w:r>
        <w:rPr>
          <w:rFonts w:hint="eastAsia" w:ascii="宋体" w:hAnsi="宋体" w:eastAsia="宋体" w:cs="宋体"/>
          <w:bCs/>
          <w:i w:val="0"/>
          <w:iCs w:val="0"/>
          <w:color w:val="auto"/>
          <w:sz w:val="24"/>
          <w:szCs w:val="24"/>
          <w:highlight w:val="none"/>
          <w:lang w:val="zh-CN"/>
        </w:rPr>
        <w:t>合同编号：</w:t>
      </w:r>
      <w:r>
        <w:rPr>
          <w:rFonts w:hint="eastAsia" w:ascii="宋体" w:hAnsi="宋体" w:eastAsia="宋体" w:cs="宋体"/>
          <w:bCs/>
          <w:i w:val="0"/>
          <w:iCs w:val="0"/>
          <w:color w:val="auto"/>
          <w:sz w:val="24"/>
          <w:szCs w:val="24"/>
          <w:highlight w:val="none"/>
          <w:u w:val="single"/>
        </w:rPr>
        <w:t xml:space="preserve">              </w:t>
      </w:r>
    </w:p>
    <w:p w14:paraId="5C1E293D">
      <w:pPr>
        <w:snapToGrid w:val="0"/>
        <w:spacing w:line="240" w:lineRule="auto"/>
        <w:ind w:firstLine="480" w:firstLineChars="200"/>
        <w:jc w:val="left"/>
        <w:rPr>
          <w:rFonts w:hint="eastAsia" w:ascii="宋体" w:hAnsi="宋体" w:eastAsia="宋体"/>
          <w:i w:val="0"/>
          <w:iCs w:val="0"/>
          <w:snapToGrid w:val="0"/>
          <w:color w:val="auto"/>
          <w:kern w:val="0"/>
          <w:sz w:val="24"/>
          <w:szCs w:val="20"/>
          <w:highlight w:val="none"/>
        </w:rPr>
      </w:pPr>
      <w:bookmarkStart w:id="468" w:name="_Toc3995"/>
    </w:p>
    <w:p w14:paraId="515E6EB0">
      <w:pPr>
        <w:keepNext/>
        <w:keepLines/>
        <w:numPr>
          <w:ilvl w:val="1"/>
          <w:numId w:val="0"/>
        </w:numPr>
        <w:snapToGrid w:val="0"/>
        <w:spacing w:before="100" w:line="360" w:lineRule="auto"/>
        <w:jc w:val="center"/>
        <w:rPr>
          <w:rFonts w:ascii="宋体" w:hAnsi="宋体" w:cs="宋体"/>
          <w:b/>
          <w:bCs/>
          <w:i w:val="0"/>
          <w:iCs w:val="0"/>
          <w:snapToGrid w:val="0"/>
          <w:color w:val="auto"/>
          <w:kern w:val="44"/>
          <w:sz w:val="36"/>
          <w:szCs w:val="36"/>
          <w:highlight w:val="none"/>
        </w:rPr>
      </w:pPr>
      <w:bookmarkStart w:id="469" w:name="_Toc32130"/>
      <w:bookmarkStart w:id="470" w:name="_Toc97299497"/>
      <w:r>
        <w:rPr>
          <w:rFonts w:hint="eastAsia" w:ascii="宋体" w:hAnsi="宋体" w:cs="宋体"/>
          <w:b/>
          <w:bCs/>
          <w:i w:val="0"/>
          <w:iCs w:val="0"/>
          <w:snapToGrid w:val="0"/>
          <w:color w:val="auto"/>
          <w:kern w:val="44"/>
          <w:sz w:val="36"/>
          <w:szCs w:val="36"/>
          <w:highlight w:val="none"/>
        </w:rPr>
        <w:t>第一部分  合同协议书</w:t>
      </w:r>
      <w:bookmarkEnd w:id="469"/>
      <w:bookmarkEnd w:id="470"/>
    </w:p>
    <w:p w14:paraId="7F33F97F">
      <w:pPr>
        <w:snapToGrid w:val="0"/>
        <w:spacing w:line="360" w:lineRule="auto"/>
        <w:ind w:firstLine="470" w:firstLineChars="196"/>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发包人（全称）：</w:t>
      </w:r>
      <w:r>
        <w:rPr>
          <w:rFonts w:hint="eastAsia" w:ascii="宋体" w:hAnsi="宋体" w:cs="宋体"/>
          <w:i w:val="0"/>
          <w:iCs w:val="0"/>
          <w:snapToGrid w:val="0"/>
          <w:color w:val="auto"/>
          <w:kern w:val="0"/>
          <w:sz w:val="24"/>
          <w:highlight w:val="none"/>
          <w:u w:val="single"/>
        </w:rPr>
        <w:t xml:space="preserve">    </w:t>
      </w:r>
      <w:bookmarkStart w:id="471" w:name="SOA_hhxys_fbr"/>
      <w:r>
        <w:rPr>
          <w:rFonts w:hint="eastAsia" w:ascii="宋体" w:hAnsi="宋体" w:cs="宋体"/>
          <w:i w:val="0"/>
          <w:iCs w:val="0"/>
          <w:snapToGrid w:val="0"/>
          <w:color w:val="auto"/>
          <w:kern w:val="0"/>
          <w:sz w:val="24"/>
          <w:highlight w:val="none"/>
          <w:u w:val="single"/>
        </w:rPr>
        <w:t xml:space="preserve">                  </w:t>
      </w:r>
      <w:bookmarkEnd w:id="471"/>
      <w:r>
        <w:rPr>
          <w:rFonts w:hint="eastAsia" w:ascii="宋体" w:hAnsi="宋体" w:cs="宋体"/>
          <w:i w:val="0"/>
          <w:iCs w:val="0"/>
          <w:snapToGrid w:val="0"/>
          <w:color w:val="auto"/>
          <w:kern w:val="0"/>
          <w:sz w:val="24"/>
          <w:highlight w:val="none"/>
          <w:u w:val="single"/>
        </w:rPr>
        <w:t xml:space="preserve"> </w:t>
      </w:r>
    </w:p>
    <w:p w14:paraId="38EF0FE7">
      <w:pPr>
        <w:snapToGrid w:val="0"/>
        <w:spacing w:line="360" w:lineRule="auto"/>
        <w:ind w:firstLine="470" w:firstLineChars="196"/>
        <w:rPr>
          <w:rFonts w:ascii="宋体" w:hAnsi="宋体" w:cs="宋体"/>
          <w:b/>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承包人（全称）：</w:t>
      </w:r>
      <w:r>
        <w:rPr>
          <w:rFonts w:hint="eastAsia" w:ascii="宋体" w:hAnsi="宋体" w:cs="宋体"/>
          <w:i w:val="0"/>
          <w:iCs w:val="0"/>
          <w:snapToGrid w:val="0"/>
          <w:color w:val="auto"/>
          <w:kern w:val="0"/>
          <w:sz w:val="24"/>
          <w:highlight w:val="none"/>
          <w:u w:val="single"/>
        </w:rPr>
        <w:t xml:space="preserve">                  </w:t>
      </w:r>
      <w:bookmarkStart w:id="472" w:name="SOA_hhxys_cbr"/>
      <w:r>
        <w:rPr>
          <w:rFonts w:hint="eastAsia" w:ascii="宋体" w:hAnsi="宋体" w:cs="宋体"/>
          <w:i w:val="0"/>
          <w:iCs w:val="0"/>
          <w:snapToGrid w:val="0"/>
          <w:color w:val="auto"/>
          <w:kern w:val="0"/>
          <w:sz w:val="24"/>
          <w:highlight w:val="none"/>
          <w:u w:val="single"/>
        </w:rPr>
        <w:t xml:space="preserve">  </w:t>
      </w:r>
      <w:r>
        <w:rPr>
          <w:rFonts w:hint="eastAsia" w:ascii="宋体" w:hAnsi="宋体" w:cs="宋体"/>
          <w:b/>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u w:val="single"/>
        </w:rPr>
        <w:t xml:space="preserve">    </w:t>
      </w:r>
      <w:bookmarkEnd w:id="472"/>
      <w:r>
        <w:rPr>
          <w:rFonts w:hint="eastAsia" w:ascii="宋体" w:hAnsi="宋体" w:cs="宋体"/>
          <w:i w:val="0"/>
          <w:iCs w:val="0"/>
          <w:snapToGrid w:val="0"/>
          <w:color w:val="auto"/>
          <w:kern w:val="0"/>
          <w:sz w:val="24"/>
          <w:highlight w:val="none"/>
          <w:u w:val="single"/>
        </w:rPr>
        <w:t xml:space="preserve">   </w:t>
      </w:r>
    </w:p>
    <w:p w14:paraId="47424FF0">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根据《中华人民共和国民法典》、《中华人民共和国建筑法》及有关法律规定，遵循平等、自愿、公平和诚实信用的原则，双方就</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工程施工及有关事项协商一致，共同达成如下协议：</w:t>
      </w:r>
    </w:p>
    <w:p w14:paraId="19628630">
      <w:pPr>
        <w:snapToGrid w:val="0"/>
        <w:spacing w:before="24" w:beforeLines="10" w:after="24" w:afterLines="10" w:line="360" w:lineRule="auto"/>
        <w:outlineLvl w:val="1"/>
        <w:rPr>
          <w:rFonts w:ascii="宋体" w:hAnsi="宋体" w:cs="宋体"/>
          <w:b/>
          <w:bCs/>
          <w:i w:val="0"/>
          <w:iCs w:val="0"/>
          <w:snapToGrid w:val="0"/>
          <w:color w:val="auto"/>
          <w:kern w:val="0"/>
          <w:sz w:val="24"/>
          <w:highlight w:val="none"/>
        </w:rPr>
      </w:pPr>
      <w:bookmarkStart w:id="473" w:name="_Toc361220410"/>
      <w:bookmarkStart w:id="474" w:name="_Toc21153"/>
      <w:bookmarkStart w:id="475" w:name="_Toc97299498"/>
      <w:r>
        <w:rPr>
          <w:rFonts w:hint="eastAsia" w:ascii="宋体" w:hAnsi="宋体" w:cs="宋体"/>
          <w:b/>
          <w:bCs/>
          <w:i w:val="0"/>
          <w:iCs w:val="0"/>
          <w:snapToGrid w:val="0"/>
          <w:color w:val="auto"/>
          <w:kern w:val="0"/>
          <w:sz w:val="24"/>
          <w:highlight w:val="none"/>
        </w:rPr>
        <w:t>一、工程概况</w:t>
      </w:r>
      <w:bookmarkEnd w:id="473"/>
      <w:bookmarkEnd w:id="474"/>
      <w:bookmarkEnd w:id="475"/>
    </w:p>
    <w:p w14:paraId="09411BC5">
      <w:pPr>
        <w:snapToGrid w:val="0"/>
        <w:spacing w:line="360" w:lineRule="auto"/>
        <w:ind w:firstLine="470" w:firstLineChars="196"/>
        <w:rPr>
          <w:rFonts w:ascii="宋体" w:hAnsi="宋体" w:cs="宋体"/>
          <w:i w:val="0"/>
          <w:iCs w:val="0"/>
          <w:snapToGrid w:val="0"/>
          <w:color w:val="auto"/>
          <w:kern w:val="0"/>
          <w:sz w:val="24"/>
          <w:highlight w:val="none"/>
          <w:u w:val="single"/>
        </w:rPr>
      </w:pPr>
      <w:r>
        <w:rPr>
          <w:rFonts w:hint="eastAsia" w:ascii="宋体" w:hAnsi="宋体" w:cs="宋体"/>
          <w:bCs/>
          <w:i w:val="0"/>
          <w:iCs w:val="0"/>
          <w:snapToGrid w:val="0"/>
          <w:color w:val="auto"/>
          <w:kern w:val="0"/>
          <w:sz w:val="24"/>
          <w:highlight w:val="none"/>
        </w:rPr>
        <w:t>1.工程名称</w:t>
      </w:r>
      <w:r>
        <w:rPr>
          <w:rFonts w:hint="eastAsia" w:ascii="宋体" w:hAnsi="宋体" w:cs="宋体"/>
          <w:i w:val="0"/>
          <w:iCs w:val="0"/>
          <w:snapToGrid w:val="0"/>
          <w:color w:val="auto"/>
          <w:kern w:val="0"/>
          <w:sz w:val="24"/>
          <w:highlight w:val="none"/>
        </w:rPr>
        <w:t>：</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w:t>
      </w:r>
    </w:p>
    <w:p w14:paraId="5DE332EB">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2.工程地点：</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w:t>
      </w:r>
    </w:p>
    <w:p w14:paraId="59121CED">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3.工程立项批准文号：</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w:t>
      </w:r>
    </w:p>
    <w:p w14:paraId="405FCAF8">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4.资金来源：</w:t>
      </w:r>
      <w:r>
        <w:rPr>
          <w:rFonts w:hint="eastAsia" w:ascii="宋体" w:hAnsi="宋体" w:cs="宋体"/>
          <w:i w:val="0"/>
          <w:iCs w:val="0"/>
          <w:snapToGrid w:val="0"/>
          <w:color w:val="auto"/>
          <w:kern w:val="0"/>
          <w:sz w:val="24"/>
          <w:highlight w:val="none"/>
          <w:u w:val="single"/>
        </w:rPr>
        <w:t>        </w:t>
      </w:r>
      <w:r>
        <w:rPr>
          <w:rFonts w:hint="eastAsia" w:ascii="宋体" w:hAnsi="宋体" w:cs="宋体"/>
          <w:bCs/>
          <w:i w:val="0"/>
          <w:iCs w:val="0"/>
          <w:snapToGrid w:val="0"/>
          <w:color w:val="auto"/>
          <w:kern w:val="0"/>
          <w:sz w:val="24"/>
          <w:highlight w:val="none"/>
        </w:rPr>
        <w:t>。</w:t>
      </w:r>
    </w:p>
    <w:p w14:paraId="4C2AA162">
      <w:pPr>
        <w:snapToGrid w:val="0"/>
        <w:spacing w:line="360" w:lineRule="auto"/>
        <w:ind w:firstLine="463" w:firstLineChars="193"/>
        <w:rPr>
          <w:rFonts w:ascii="宋体" w:hAnsi="宋体" w:cs="宋体"/>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 xml:space="preserve">5.工程内容：                           </w:t>
      </w:r>
      <w:r>
        <w:rPr>
          <w:rFonts w:hint="eastAsia" w:ascii="宋体" w:hAnsi="宋体" w:cs="宋体"/>
          <w:i w:val="0"/>
          <w:iCs w:val="0"/>
          <w:snapToGrid w:val="0"/>
          <w:color w:val="auto"/>
          <w:kern w:val="0"/>
          <w:sz w:val="24"/>
          <w:highlight w:val="none"/>
        </w:rPr>
        <w:t xml:space="preserve"> </w:t>
      </w:r>
    </w:p>
    <w:p w14:paraId="3EE9B044">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6.工程承包范围：</w:t>
      </w:r>
    </w:p>
    <w:p w14:paraId="01ACADCB">
      <w:pPr>
        <w:snapToGrid w:val="0"/>
        <w:spacing w:line="360" w:lineRule="auto"/>
        <w:outlineLvl w:val="1"/>
        <w:rPr>
          <w:rFonts w:ascii="宋体" w:hAnsi="宋体" w:cs="宋体"/>
          <w:b/>
          <w:bCs/>
          <w:i w:val="0"/>
          <w:iCs w:val="0"/>
          <w:snapToGrid w:val="0"/>
          <w:color w:val="auto"/>
          <w:kern w:val="0"/>
          <w:sz w:val="24"/>
          <w:highlight w:val="none"/>
        </w:rPr>
      </w:pPr>
      <w:bookmarkStart w:id="476" w:name="_Toc15307"/>
      <w:bookmarkStart w:id="477" w:name="_Toc97299499"/>
      <w:bookmarkStart w:id="478" w:name="_Toc361220411"/>
      <w:r>
        <w:rPr>
          <w:rFonts w:hint="eastAsia" w:ascii="宋体" w:hAnsi="宋体" w:cs="宋体"/>
          <w:b/>
          <w:bCs/>
          <w:i w:val="0"/>
          <w:iCs w:val="0"/>
          <w:snapToGrid w:val="0"/>
          <w:color w:val="auto"/>
          <w:kern w:val="0"/>
          <w:sz w:val="24"/>
          <w:highlight w:val="none"/>
        </w:rPr>
        <w:t>二、合同工期</w:t>
      </w:r>
      <w:bookmarkEnd w:id="476"/>
      <w:bookmarkEnd w:id="477"/>
      <w:bookmarkEnd w:id="478"/>
    </w:p>
    <w:p w14:paraId="152C4E24">
      <w:pPr>
        <w:snapToGrid w:val="0"/>
        <w:spacing w:line="360" w:lineRule="auto"/>
        <w:ind w:firstLine="459"/>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计划开工日期：</w:t>
      </w:r>
      <w:r>
        <w:rPr>
          <w:rFonts w:hint="eastAsia" w:cs="宋体"/>
          <w:i w:val="0"/>
          <w:iCs w:val="0"/>
          <w:snapToGrid w:val="0"/>
          <w:color w:val="auto"/>
          <w:kern w:val="0"/>
          <w:sz w:val="24"/>
          <w:highlight w:val="none"/>
          <w:u w:val="single"/>
          <w:lang w:val="en-US" w:eastAsia="zh-CN"/>
        </w:rPr>
        <w:t xml:space="preserve">   </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年</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月</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日；</w:t>
      </w:r>
    </w:p>
    <w:p w14:paraId="45FA3E38">
      <w:pPr>
        <w:snapToGrid w:val="0"/>
        <w:spacing w:line="360" w:lineRule="auto"/>
        <w:ind w:firstLine="459"/>
        <w:rPr>
          <w:rFonts w:ascii="宋体" w:hAnsi="宋体" w:cs="宋体"/>
          <w:i w:val="0"/>
          <w:iCs w:val="0"/>
          <w:snapToGrid w:val="0"/>
          <w:color w:val="auto"/>
          <w:kern w:val="0"/>
          <w:sz w:val="24"/>
          <w:highlight w:val="none"/>
        </w:rPr>
      </w:pPr>
      <w:bookmarkStart w:id="479" w:name="SOA_hhxys_jgn"/>
      <w:r>
        <w:rPr>
          <w:rFonts w:hint="eastAsia" w:ascii="宋体" w:hAnsi="宋体" w:cs="宋体"/>
          <w:i w:val="0"/>
          <w:iCs w:val="0"/>
          <w:snapToGrid w:val="0"/>
          <w:color w:val="auto"/>
          <w:kern w:val="0"/>
          <w:sz w:val="24"/>
          <w:highlight w:val="none"/>
        </w:rPr>
        <w:t>计划竣工日期：</w:t>
      </w:r>
      <w:r>
        <w:rPr>
          <w:rFonts w:hint="eastAsia" w:cs="宋体"/>
          <w:i w:val="0"/>
          <w:iCs w:val="0"/>
          <w:snapToGrid w:val="0"/>
          <w:color w:val="auto"/>
          <w:kern w:val="0"/>
          <w:sz w:val="24"/>
          <w:highlight w:val="none"/>
          <w:u w:val="single"/>
          <w:lang w:val="en-US" w:eastAsia="zh-CN"/>
        </w:rPr>
        <w:t xml:space="preserve">   </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年</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月</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日；</w:t>
      </w:r>
      <w:bookmarkEnd w:id="479"/>
    </w:p>
    <w:p w14:paraId="407B3DD0">
      <w:pPr>
        <w:snapToGrid w:val="0"/>
        <w:spacing w:line="360" w:lineRule="auto"/>
        <w:ind w:firstLine="459"/>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工期总日历天数：</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天。工期总日历天数与根据前述计划开竣工日期计算的工期天数不一致的，以工期总日历天数为准。</w:t>
      </w:r>
    </w:p>
    <w:p w14:paraId="46F2E2FB">
      <w:pPr>
        <w:snapToGrid w:val="0"/>
        <w:spacing w:line="360" w:lineRule="auto"/>
        <w:outlineLvl w:val="1"/>
        <w:rPr>
          <w:rFonts w:ascii="宋体" w:hAnsi="宋体" w:cs="宋体"/>
          <w:b/>
          <w:bCs/>
          <w:i w:val="0"/>
          <w:iCs w:val="0"/>
          <w:snapToGrid w:val="0"/>
          <w:color w:val="auto"/>
          <w:kern w:val="0"/>
          <w:sz w:val="24"/>
          <w:highlight w:val="none"/>
        </w:rPr>
      </w:pPr>
      <w:bookmarkStart w:id="480" w:name="_Toc361220412"/>
      <w:bookmarkStart w:id="481" w:name="_Toc28874"/>
      <w:bookmarkStart w:id="482" w:name="_Toc97299500"/>
      <w:r>
        <w:rPr>
          <w:rFonts w:hint="eastAsia" w:ascii="宋体" w:hAnsi="宋体" w:cs="宋体"/>
          <w:b/>
          <w:bCs/>
          <w:i w:val="0"/>
          <w:iCs w:val="0"/>
          <w:snapToGrid w:val="0"/>
          <w:color w:val="auto"/>
          <w:kern w:val="0"/>
          <w:sz w:val="24"/>
          <w:highlight w:val="none"/>
        </w:rPr>
        <w:t>三、质量标准</w:t>
      </w:r>
      <w:bookmarkEnd w:id="480"/>
      <w:bookmarkEnd w:id="481"/>
      <w:bookmarkEnd w:id="482"/>
    </w:p>
    <w:p w14:paraId="0F052729">
      <w:pPr>
        <w:snapToGrid w:val="0"/>
        <w:spacing w:line="360" w:lineRule="auto"/>
        <w:ind w:firstLine="459"/>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工程质量符合</w:t>
      </w:r>
      <w:r>
        <w:rPr>
          <w:rFonts w:hint="eastAsia" w:ascii="宋体" w:hAnsi="宋体" w:cs="宋体"/>
          <w:i w:val="0"/>
          <w:iCs w:val="0"/>
          <w:snapToGrid w:val="0"/>
          <w:color w:val="auto"/>
          <w:kern w:val="0"/>
          <w:sz w:val="24"/>
          <w:highlight w:val="none"/>
          <w:u w:val="single"/>
        </w:rPr>
        <w:t></w:t>
      </w:r>
      <w:bookmarkStart w:id="483" w:name="SOA_hhxys_zlbz"/>
      <w:r>
        <w:rPr>
          <w:rFonts w:hint="eastAsia" w:ascii="宋体" w:hAnsi="宋体" w:cs="宋体"/>
          <w:i w:val="0"/>
          <w:iCs w:val="0"/>
          <w:snapToGrid w:val="0"/>
          <w:color w:val="auto"/>
          <w:kern w:val="0"/>
          <w:sz w:val="24"/>
          <w:highlight w:val="none"/>
          <w:u w:val="single"/>
        </w:rPr>
        <w:t xml:space="preserve">       </w:t>
      </w:r>
      <w:bookmarkEnd w:id="483"/>
      <w:r>
        <w:rPr>
          <w:rFonts w:hint="eastAsia" w:ascii="宋体" w:hAnsi="宋体" w:cs="宋体"/>
          <w:i w:val="0"/>
          <w:iCs w:val="0"/>
          <w:snapToGrid w:val="0"/>
          <w:color w:val="auto"/>
          <w:kern w:val="0"/>
          <w:sz w:val="24"/>
          <w:highlight w:val="none"/>
          <w:u w:val="single"/>
        </w:rPr>
        <w:t></w:t>
      </w:r>
      <w:r>
        <w:rPr>
          <w:rFonts w:hint="eastAsia" w:ascii="宋体" w:hAnsi="宋体" w:cs="宋体"/>
          <w:i w:val="0"/>
          <w:iCs w:val="0"/>
          <w:snapToGrid w:val="0"/>
          <w:color w:val="auto"/>
          <w:kern w:val="0"/>
          <w:sz w:val="24"/>
          <w:highlight w:val="none"/>
        </w:rPr>
        <w:t>标准。</w:t>
      </w:r>
    </w:p>
    <w:p w14:paraId="394C2841">
      <w:pPr>
        <w:snapToGrid w:val="0"/>
        <w:spacing w:line="360" w:lineRule="auto"/>
        <w:outlineLvl w:val="1"/>
        <w:rPr>
          <w:rFonts w:ascii="宋体" w:hAnsi="宋体" w:cs="宋体"/>
          <w:b/>
          <w:bCs/>
          <w:i w:val="0"/>
          <w:iCs w:val="0"/>
          <w:snapToGrid w:val="0"/>
          <w:color w:val="auto"/>
          <w:kern w:val="0"/>
          <w:sz w:val="24"/>
          <w:highlight w:val="none"/>
        </w:rPr>
      </w:pPr>
      <w:bookmarkStart w:id="484" w:name="_Toc10697"/>
      <w:bookmarkStart w:id="485" w:name="_Toc361220413"/>
      <w:bookmarkStart w:id="486" w:name="_Toc97299501"/>
      <w:r>
        <w:rPr>
          <w:rFonts w:hint="eastAsia" w:ascii="宋体" w:hAnsi="宋体" w:cs="宋体"/>
          <w:b/>
          <w:bCs/>
          <w:i w:val="0"/>
          <w:iCs w:val="0"/>
          <w:snapToGrid w:val="0"/>
          <w:color w:val="auto"/>
          <w:kern w:val="0"/>
          <w:sz w:val="24"/>
          <w:highlight w:val="none"/>
        </w:rPr>
        <w:t>四、签约合同价与合同价格形式</w:t>
      </w:r>
      <w:bookmarkEnd w:id="484"/>
      <w:bookmarkEnd w:id="485"/>
      <w:bookmarkEnd w:id="486"/>
    </w:p>
    <w:p w14:paraId="73B3EAD9">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1.签约合同价为：</w:t>
      </w:r>
    </w:p>
    <w:p w14:paraId="79A46C83">
      <w:pPr>
        <w:snapToGrid w:val="0"/>
        <w:spacing w:line="360" w:lineRule="auto"/>
        <w:ind w:firstLine="600" w:firstLineChars="25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人民币（大写）</w:t>
      </w:r>
      <w:bookmarkStart w:id="487" w:name="SOA_hhxys_htjdx"/>
      <w:r>
        <w:rPr>
          <w:rFonts w:hint="eastAsia" w:ascii="宋体" w:hAnsi="宋体" w:cs="宋体"/>
          <w:i w:val="0"/>
          <w:iCs w:val="0"/>
          <w:snapToGrid w:val="0"/>
          <w:color w:val="auto"/>
          <w:kern w:val="0"/>
          <w:sz w:val="24"/>
          <w:highlight w:val="none"/>
          <w:u w:val="single"/>
        </w:rPr>
        <w:t xml:space="preserve">                   </w:t>
      </w:r>
      <w:bookmarkEnd w:id="487"/>
      <w:r>
        <w:rPr>
          <w:rFonts w:hint="eastAsia" w:ascii="宋体" w:hAnsi="宋体" w:cs="宋体"/>
          <w:i w:val="0"/>
          <w:iCs w:val="0"/>
          <w:snapToGrid w:val="0"/>
          <w:color w:val="auto"/>
          <w:kern w:val="0"/>
          <w:sz w:val="24"/>
          <w:highlight w:val="none"/>
        </w:rPr>
        <w:t>(¥</w:t>
      </w:r>
      <w:r>
        <w:rPr>
          <w:rFonts w:hint="eastAsia" w:ascii="宋体" w:hAnsi="宋体" w:cs="宋体"/>
          <w:i w:val="0"/>
          <w:iCs w:val="0"/>
          <w:snapToGrid w:val="0"/>
          <w:color w:val="auto"/>
          <w:kern w:val="0"/>
          <w:sz w:val="24"/>
          <w:highlight w:val="none"/>
          <w:u w:val="single"/>
        </w:rPr>
        <w:t xml:space="preserve"> </w:t>
      </w:r>
      <w:bookmarkStart w:id="488" w:name="SOA_hhxys_htjxx"/>
      <w:r>
        <w:rPr>
          <w:rFonts w:hint="eastAsia" w:ascii="宋体" w:hAnsi="宋体" w:cs="宋体"/>
          <w:i w:val="0"/>
          <w:iCs w:val="0"/>
          <w:snapToGrid w:val="0"/>
          <w:color w:val="auto"/>
          <w:kern w:val="0"/>
          <w:sz w:val="24"/>
          <w:highlight w:val="none"/>
          <w:u w:val="single"/>
        </w:rPr>
        <w:t xml:space="preserve">            </w:t>
      </w:r>
      <w:bookmarkEnd w:id="488"/>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元)；</w:t>
      </w:r>
    </w:p>
    <w:p w14:paraId="39AEEDD2">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其中：</w:t>
      </w:r>
    </w:p>
    <w:p w14:paraId="62DB156E">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（1）安全文明施工费：</w:t>
      </w:r>
    </w:p>
    <w:p w14:paraId="0978259E">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人民币（大写）</w:t>
      </w:r>
      <w:bookmarkStart w:id="489" w:name="SOA_hhxys_wmsgfdx"/>
      <w:r>
        <w:rPr>
          <w:rFonts w:hint="eastAsia" w:ascii="宋体" w:hAnsi="宋体" w:cs="宋体"/>
          <w:i w:val="0"/>
          <w:iCs w:val="0"/>
          <w:snapToGrid w:val="0"/>
          <w:color w:val="auto"/>
          <w:kern w:val="0"/>
          <w:sz w:val="24"/>
          <w:highlight w:val="none"/>
          <w:u w:val="single"/>
        </w:rPr>
        <w:t xml:space="preserve">                </w:t>
      </w:r>
      <w:bookmarkEnd w:id="489"/>
      <w:r>
        <w:rPr>
          <w:rFonts w:hint="eastAsia" w:ascii="宋体" w:hAnsi="宋体" w:cs="宋体"/>
          <w:i w:val="0"/>
          <w:iCs w:val="0"/>
          <w:snapToGrid w:val="0"/>
          <w:color w:val="auto"/>
          <w:kern w:val="0"/>
          <w:sz w:val="24"/>
          <w:highlight w:val="none"/>
        </w:rPr>
        <w:t>(¥</w:t>
      </w:r>
      <w:bookmarkStart w:id="490" w:name="SOA_hhxys_wmsgfxx"/>
      <w:r>
        <w:rPr>
          <w:rFonts w:hint="eastAsia" w:ascii="宋体" w:hAnsi="宋体" w:cs="宋体"/>
          <w:i w:val="0"/>
          <w:iCs w:val="0"/>
          <w:snapToGrid w:val="0"/>
          <w:color w:val="auto"/>
          <w:kern w:val="0"/>
          <w:sz w:val="24"/>
          <w:highlight w:val="none"/>
          <w:u w:val="single"/>
        </w:rPr>
        <w:t xml:space="preserve">                  </w:t>
      </w:r>
      <w:bookmarkEnd w:id="490"/>
      <w:r>
        <w:rPr>
          <w:rFonts w:hint="eastAsia" w:ascii="宋体" w:hAnsi="宋体" w:cs="宋体"/>
          <w:i w:val="0"/>
          <w:iCs w:val="0"/>
          <w:snapToGrid w:val="0"/>
          <w:color w:val="auto"/>
          <w:kern w:val="0"/>
          <w:sz w:val="24"/>
          <w:highlight w:val="none"/>
        </w:rPr>
        <w:t>元)；</w:t>
      </w:r>
    </w:p>
    <w:p w14:paraId="3BC2C1B8">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（2）材料和工程设备暂估价金额：</w:t>
      </w:r>
    </w:p>
    <w:p w14:paraId="0F60F132">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人民币（大写）</w:t>
      </w:r>
      <w:bookmarkStart w:id="491" w:name="SOA_hhxys_sbzgjdx"/>
      <w:r>
        <w:rPr>
          <w:rFonts w:hint="eastAsia" w:ascii="宋体" w:hAnsi="宋体" w:cs="宋体"/>
          <w:i w:val="0"/>
          <w:iCs w:val="0"/>
          <w:snapToGrid w:val="0"/>
          <w:color w:val="auto"/>
          <w:kern w:val="0"/>
          <w:sz w:val="24"/>
          <w:highlight w:val="none"/>
          <w:u w:val="single"/>
        </w:rPr>
        <w:t xml:space="preserve">       </w:t>
      </w:r>
      <w:bookmarkEnd w:id="491"/>
      <w:r>
        <w:rPr>
          <w:rFonts w:hint="eastAsia" w:ascii="宋体" w:hAnsi="宋体" w:cs="宋体"/>
          <w:i w:val="0"/>
          <w:iCs w:val="0"/>
          <w:snapToGrid w:val="0"/>
          <w:color w:val="auto"/>
          <w:kern w:val="0"/>
          <w:sz w:val="24"/>
          <w:highlight w:val="none"/>
        </w:rPr>
        <w:t>(¥</w:t>
      </w:r>
      <w:bookmarkStart w:id="492" w:name="SOA_hhxys_sbzgjxx"/>
      <w:r>
        <w:rPr>
          <w:rFonts w:hint="eastAsia" w:ascii="宋体" w:hAnsi="宋体" w:cs="宋体"/>
          <w:i w:val="0"/>
          <w:iCs w:val="0"/>
          <w:snapToGrid w:val="0"/>
          <w:color w:val="auto"/>
          <w:kern w:val="0"/>
          <w:sz w:val="24"/>
          <w:highlight w:val="none"/>
          <w:u w:val="single"/>
        </w:rPr>
        <w:t xml:space="preserve">      </w:t>
      </w:r>
      <w:bookmarkEnd w:id="492"/>
      <w:r>
        <w:rPr>
          <w:rFonts w:hint="eastAsia" w:ascii="宋体" w:hAnsi="宋体" w:cs="宋体"/>
          <w:i w:val="0"/>
          <w:iCs w:val="0"/>
          <w:snapToGrid w:val="0"/>
          <w:color w:val="auto"/>
          <w:kern w:val="0"/>
          <w:sz w:val="24"/>
          <w:highlight w:val="none"/>
        </w:rPr>
        <w:t>元)；</w:t>
      </w:r>
    </w:p>
    <w:p w14:paraId="57398F34">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（3）专业工程暂估价金额：</w:t>
      </w:r>
    </w:p>
    <w:p w14:paraId="0ED52EE4">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人民币（大写）</w:t>
      </w:r>
      <w:bookmarkStart w:id="493" w:name="SOA_hhxys_gczgjdx"/>
      <w:r>
        <w:rPr>
          <w:rFonts w:hint="eastAsia" w:ascii="宋体" w:hAnsi="宋体" w:cs="宋体"/>
          <w:i w:val="0"/>
          <w:iCs w:val="0"/>
          <w:snapToGrid w:val="0"/>
          <w:color w:val="auto"/>
          <w:kern w:val="0"/>
          <w:sz w:val="24"/>
          <w:highlight w:val="none"/>
          <w:u w:val="single"/>
        </w:rPr>
        <w:t xml:space="preserve">       </w:t>
      </w:r>
      <w:bookmarkEnd w:id="493"/>
      <w:r>
        <w:rPr>
          <w:rFonts w:hint="eastAsia" w:ascii="宋体" w:hAnsi="宋体" w:cs="宋体"/>
          <w:i w:val="0"/>
          <w:iCs w:val="0"/>
          <w:snapToGrid w:val="0"/>
          <w:color w:val="auto"/>
          <w:kern w:val="0"/>
          <w:sz w:val="24"/>
          <w:highlight w:val="none"/>
        </w:rPr>
        <w:t>(¥</w:t>
      </w:r>
      <w:bookmarkStart w:id="494" w:name="SOA_hhxys_gczgjxx"/>
      <w:r>
        <w:rPr>
          <w:rFonts w:hint="eastAsia" w:ascii="宋体" w:hAnsi="宋体" w:cs="宋体"/>
          <w:i w:val="0"/>
          <w:iCs w:val="0"/>
          <w:snapToGrid w:val="0"/>
          <w:color w:val="auto"/>
          <w:kern w:val="0"/>
          <w:sz w:val="24"/>
          <w:highlight w:val="none"/>
          <w:u w:val="single"/>
        </w:rPr>
        <w:t xml:space="preserve">       </w:t>
      </w:r>
      <w:bookmarkEnd w:id="494"/>
      <w:r>
        <w:rPr>
          <w:rFonts w:hint="eastAsia" w:ascii="宋体" w:hAnsi="宋体" w:cs="宋体"/>
          <w:i w:val="0"/>
          <w:iCs w:val="0"/>
          <w:snapToGrid w:val="0"/>
          <w:color w:val="auto"/>
          <w:kern w:val="0"/>
          <w:sz w:val="24"/>
          <w:highlight w:val="none"/>
        </w:rPr>
        <w:t>元)；</w:t>
      </w:r>
    </w:p>
    <w:p w14:paraId="1BA638F3">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（4）暂列金额：</w:t>
      </w:r>
    </w:p>
    <w:p w14:paraId="714CA6D3">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 xml:space="preserve"> 人民币（大写）</w:t>
      </w:r>
      <w:bookmarkStart w:id="495" w:name="SOA_hhxys_zljedx"/>
      <w:r>
        <w:rPr>
          <w:rFonts w:hint="eastAsia" w:ascii="宋体" w:hAnsi="宋体" w:cs="宋体"/>
          <w:i w:val="0"/>
          <w:iCs w:val="0"/>
          <w:snapToGrid w:val="0"/>
          <w:color w:val="auto"/>
          <w:kern w:val="0"/>
          <w:sz w:val="24"/>
          <w:highlight w:val="none"/>
          <w:u w:val="single"/>
        </w:rPr>
        <w:t xml:space="preserve">       </w:t>
      </w:r>
      <w:bookmarkEnd w:id="495"/>
      <w:r>
        <w:rPr>
          <w:rFonts w:hint="eastAsia" w:ascii="宋体" w:hAnsi="宋体" w:cs="宋体"/>
          <w:i w:val="0"/>
          <w:iCs w:val="0"/>
          <w:snapToGrid w:val="0"/>
          <w:color w:val="auto"/>
          <w:kern w:val="0"/>
          <w:sz w:val="24"/>
          <w:highlight w:val="none"/>
        </w:rPr>
        <w:t>(¥</w:t>
      </w:r>
      <w:bookmarkStart w:id="496" w:name="SOA_hhxys_zljexx"/>
      <w:r>
        <w:rPr>
          <w:rFonts w:hint="eastAsia" w:ascii="宋体" w:hAnsi="宋体" w:cs="宋体"/>
          <w:i w:val="0"/>
          <w:iCs w:val="0"/>
          <w:snapToGrid w:val="0"/>
          <w:color w:val="auto"/>
          <w:kern w:val="0"/>
          <w:sz w:val="24"/>
          <w:highlight w:val="none"/>
          <w:u w:val="single"/>
        </w:rPr>
        <w:t xml:space="preserve">        </w:t>
      </w:r>
      <w:bookmarkEnd w:id="496"/>
      <w:r>
        <w:rPr>
          <w:rFonts w:hint="eastAsia" w:ascii="宋体" w:hAnsi="宋体" w:cs="宋体"/>
          <w:i w:val="0"/>
          <w:iCs w:val="0"/>
          <w:snapToGrid w:val="0"/>
          <w:color w:val="auto"/>
          <w:kern w:val="0"/>
          <w:sz w:val="24"/>
          <w:highlight w:val="none"/>
        </w:rPr>
        <w:t>元)。</w:t>
      </w:r>
    </w:p>
    <w:p w14:paraId="635BFF11">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2.合同价格形式：</w:t>
      </w:r>
      <w:r>
        <w:rPr>
          <w:rFonts w:hint="eastAsia" w:ascii="宋体" w:hAnsi="宋体" w:cs="宋体"/>
          <w:i w:val="0"/>
          <w:iCs w:val="0"/>
          <w:snapToGrid w:val="0"/>
          <w:color w:val="auto"/>
          <w:kern w:val="0"/>
          <w:sz w:val="24"/>
          <w:highlight w:val="none"/>
          <w:u w:val="single"/>
        </w:rPr>
        <w:t></w:t>
      </w:r>
      <w:bookmarkStart w:id="497" w:name="SOA_hhxys_htjgxs"/>
      <w:r>
        <w:rPr>
          <w:rFonts w:hint="eastAsia" w:ascii="宋体" w:hAnsi="宋体" w:cs="宋体"/>
          <w:i w:val="0"/>
          <w:iCs w:val="0"/>
          <w:snapToGrid w:val="0"/>
          <w:color w:val="auto"/>
          <w:kern w:val="0"/>
          <w:sz w:val="24"/>
          <w:highlight w:val="none"/>
          <w:u w:val="single"/>
        </w:rPr>
        <w:t xml:space="preserve">  </w:t>
      </w:r>
      <w:bookmarkEnd w:id="497"/>
      <w:r>
        <w:rPr>
          <w:rFonts w:hint="eastAsia" w:ascii="宋体" w:hAnsi="宋体" w:cs="宋体"/>
          <w:i w:val="0"/>
          <w:iCs w:val="0"/>
          <w:snapToGrid w:val="0"/>
          <w:color w:val="auto"/>
          <w:kern w:val="0"/>
          <w:sz w:val="24"/>
          <w:highlight w:val="none"/>
          <w:u w:val="single"/>
        </w:rPr>
        <w:t xml:space="preserve">      </w:t>
      </w:r>
      <w:r>
        <w:rPr>
          <w:rFonts w:hint="eastAsia" w:ascii="宋体" w:hAnsi="宋体" w:cs="宋体"/>
          <w:i w:val="0"/>
          <w:iCs w:val="0"/>
          <w:snapToGrid w:val="0"/>
          <w:color w:val="auto"/>
          <w:kern w:val="0"/>
          <w:sz w:val="24"/>
          <w:highlight w:val="none"/>
        </w:rPr>
        <w:t>。</w:t>
      </w:r>
    </w:p>
    <w:p w14:paraId="2CEB4D83">
      <w:pPr>
        <w:snapToGrid w:val="0"/>
        <w:spacing w:line="360" w:lineRule="auto"/>
        <w:outlineLvl w:val="1"/>
        <w:rPr>
          <w:rFonts w:ascii="宋体" w:hAnsi="宋体" w:cs="宋体"/>
          <w:b/>
          <w:bCs/>
          <w:i w:val="0"/>
          <w:iCs w:val="0"/>
          <w:snapToGrid w:val="0"/>
          <w:color w:val="auto"/>
          <w:kern w:val="0"/>
          <w:sz w:val="24"/>
          <w:highlight w:val="none"/>
        </w:rPr>
      </w:pPr>
      <w:bookmarkStart w:id="498" w:name="_Toc14982"/>
      <w:bookmarkStart w:id="499" w:name="_Toc97299502"/>
      <w:bookmarkStart w:id="500" w:name="_Toc361220414"/>
      <w:r>
        <w:rPr>
          <w:rFonts w:hint="eastAsia" w:ascii="宋体" w:hAnsi="宋体" w:cs="宋体"/>
          <w:b/>
          <w:bCs/>
          <w:i w:val="0"/>
          <w:iCs w:val="0"/>
          <w:snapToGrid w:val="0"/>
          <w:color w:val="auto"/>
          <w:kern w:val="0"/>
          <w:sz w:val="24"/>
          <w:highlight w:val="none"/>
        </w:rPr>
        <w:t>五、项目经理</w:t>
      </w:r>
      <w:bookmarkEnd w:id="498"/>
      <w:bookmarkEnd w:id="499"/>
      <w:bookmarkEnd w:id="500"/>
    </w:p>
    <w:p w14:paraId="6F44B125">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承包人项目经理：</w:t>
      </w:r>
      <w:r>
        <w:rPr>
          <w:rFonts w:hint="eastAsia" w:ascii="宋体" w:hAnsi="宋体" w:cs="宋体"/>
          <w:i w:val="0"/>
          <w:iCs w:val="0"/>
          <w:snapToGrid w:val="0"/>
          <w:color w:val="auto"/>
          <w:kern w:val="0"/>
          <w:sz w:val="24"/>
          <w:highlight w:val="none"/>
          <w:u w:val="single"/>
        </w:rPr>
        <w:t></w:t>
      </w:r>
      <w:bookmarkStart w:id="501" w:name="SOA_hhxys_cbrxmjl"/>
      <w:r>
        <w:rPr>
          <w:rFonts w:hint="eastAsia" w:ascii="宋体" w:hAnsi="宋体" w:cs="宋体"/>
          <w:i w:val="0"/>
          <w:iCs w:val="0"/>
          <w:snapToGrid w:val="0"/>
          <w:color w:val="auto"/>
          <w:kern w:val="0"/>
          <w:sz w:val="24"/>
          <w:highlight w:val="none"/>
          <w:u w:val="single"/>
        </w:rPr>
        <w:t xml:space="preserve">        </w:t>
      </w:r>
      <w:bookmarkEnd w:id="501"/>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w:t>
      </w:r>
    </w:p>
    <w:p w14:paraId="249DCCBC">
      <w:pPr>
        <w:snapToGrid w:val="0"/>
        <w:spacing w:line="360" w:lineRule="auto"/>
        <w:outlineLvl w:val="1"/>
        <w:rPr>
          <w:rFonts w:ascii="宋体" w:hAnsi="宋体" w:cs="宋体"/>
          <w:b/>
          <w:bCs/>
          <w:i w:val="0"/>
          <w:iCs w:val="0"/>
          <w:snapToGrid w:val="0"/>
          <w:color w:val="auto"/>
          <w:kern w:val="0"/>
          <w:sz w:val="24"/>
          <w:highlight w:val="none"/>
        </w:rPr>
      </w:pPr>
      <w:bookmarkStart w:id="502" w:name="_Toc97299503"/>
      <w:bookmarkStart w:id="503" w:name="_Toc18964"/>
      <w:bookmarkStart w:id="504" w:name="_Toc361220415"/>
      <w:r>
        <w:rPr>
          <w:rFonts w:hint="eastAsia" w:ascii="宋体" w:hAnsi="宋体" w:cs="宋体"/>
          <w:b/>
          <w:bCs/>
          <w:i w:val="0"/>
          <w:iCs w:val="0"/>
          <w:snapToGrid w:val="0"/>
          <w:color w:val="auto"/>
          <w:kern w:val="0"/>
          <w:sz w:val="24"/>
          <w:highlight w:val="none"/>
        </w:rPr>
        <w:t>六、合同文件构成</w:t>
      </w:r>
      <w:bookmarkEnd w:id="502"/>
      <w:bookmarkEnd w:id="503"/>
      <w:bookmarkEnd w:id="504"/>
    </w:p>
    <w:p w14:paraId="6F61A73A">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本协议书与下列文件一起构成合同文件：</w:t>
      </w:r>
    </w:p>
    <w:p w14:paraId="30A8861D">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（1）成交通知书（如果有）；</w:t>
      </w:r>
    </w:p>
    <w:p w14:paraId="58358F46">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（2）响应函及其附录（如果有）； </w:t>
      </w:r>
    </w:p>
    <w:p w14:paraId="197C32B8">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（3）专用合同条款及其附件；</w:t>
      </w:r>
    </w:p>
    <w:p w14:paraId="6E5121B8">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（4）通用合同条款；</w:t>
      </w:r>
    </w:p>
    <w:p w14:paraId="7C357E14">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（5）技术标准和要求；</w:t>
      </w:r>
    </w:p>
    <w:p w14:paraId="7BCD769A">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（6）图纸；</w:t>
      </w:r>
    </w:p>
    <w:p w14:paraId="4973F6AA">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（7）已标价工程量清单或预算书；</w:t>
      </w:r>
    </w:p>
    <w:p w14:paraId="23400E7C">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（8）其他合同文件。</w:t>
      </w:r>
    </w:p>
    <w:p w14:paraId="379CEF91">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在合同订立及履行过程中形成的与合同有关的文件均构成合同文件组成部分。</w:t>
      </w:r>
    </w:p>
    <w:p w14:paraId="5475BFB3">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7E62229">
      <w:pPr>
        <w:snapToGrid w:val="0"/>
        <w:spacing w:line="360" w:lineRule="auto"/>
        <w:outlineLvl w:val="1"/>
        <w:rPr>
          <w:rFonts w:ascii="宋体" w:hAnsi="宋体" w:cs="宋体"/>
          <w:b/>
          <w:bCs/>
          <w:i w:val="0"/>
          <w:iCs w:val="0"/>
          <w:snapToGrid w:val="0"/>
          <w:color w:val="auto"/>
          <w:kern w:val="0"/>
          <w:sz w:val="24"/>
          <w:highlight w:val="none"/>
        </w:rPr>
      </w:pPr>
      <w:bookmarkStart w:id="505" w:name="_Toc14152"/>
      <w:bookmarkStart w:id="506" w:name="_Toc97299504"/>
      <w:bookmarkStart w:id="507" w:name="_Toc361220416"/>
      <w:r>
        <w:rPr>
          <w:rFonts w:hint="eastAsia" w:ascii="宋体" w:hAnsi="宋体" w:cs="宋体"/>
          <w:b/>
          <w:bCs/>
          <w:i w:val="0"/>
          <w:iCs w:val="0"/>
          <w:snapToGrid w:val="0"/>
          <w:color w:val="auto"/>
          <w:kern w:val="0"/>
          <w:sz w:val="24"/>
          <w:highlight w:val="none"/>
        </w:rPr>
        <w:t>七、承诺</w:t>
      </w:r>
      <w:bookmarkEnd w:id="505"/>
      <w:bookmarkEnd w:id="506"/>
      <w:bookmarkEnd w:id="507"/>
    </w:p>
    <w:p w14:paraId="64644888">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1.发包人承诺按照法律规定履行项目审批手续、筹集工程建设资金并按照合同约定的期限和方式支付合同价款。</w:t>
      </w:r>
    </w:p>
    <w:p w14:paraId="33DFCE87">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152B17E5">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3.发包人和承包人通过</w:t>
      </w:r>
      <w:r>
        <w:rPr>
          <w:rFonts w:hint="eastAsia"/>
          <w:i w:val="0"/>
          <w:iCs w:val="0"/>
          <w:color w:val="auto"/>
          <w:highlight w:val="none"/>
        </w:rPr>
        <w:t>政府采购</w:t>
      </w:r>
      <w:r>
        <w:rPr>
          <w:rFonts w:hint="eastAsia" w:ascii="宋体" w:hAnsi="宋体" w:cs="宋体"/>
          <w:bCs/>
          <w:i w:val="0"/>
          <w:iCs w:val="0"/>
          <w:snapToGrid w:val="0"/>
          <w:color w:val="auto"/>
          <w:kern w:val="0"/>
          <w:sz w:val="24"/>
          <w:highlight w:val="none"/>
        </w:rPr>
        <w:t>形式签订合同的，双方理解并承诺不再就同一工程另行签订与合同实质性内容相背离的协议。</w:t>
      </w:r>
    </w:p>
    <w:p w14:paraId="0363D6D6">
      <w:pPr>
        <w:snapToGrid w:val="0"/>
        <w:spacing w:line="360" w:lineRule="auto"/>
        <w:outlineLvl w:val="1"/>
        <w:rPr>
          <w:rFonts w:ascii="宋体" w:hAnsi="宋体" w:cs="宋体"/>
          <w:b/>
          <w:bCs/>
          <w:i w:val="0"/>
          <w:iCs w:val="0"/>
          <w:snapToGrid w:val="0"/>
          <w:color w:val="auto"/>
          <w:kern w:val="0"/>
          <w:sz w:val="24"/>
          <w:highlight w:val="none"/>
        </w:rPr>
      </w:pPr>
      <w:bookmarkStart w:id="508" w:name="_Toc361220417"/>
      <w:bookmarkStart w:id="509" w:name="_Toc97299505"/>
      <w:bookmarkStart w:id="510" w:name="_Toc14469"/>
      <w:r>
        <w:rPr>
          <w:rFonts w:hint="eastAsia" w:ascii="宋体" w:hAnsi="宋体" w:cs="宋体"/>
          <w:b/>
          <w:bCs/>
          <w:i w:val="0"/>
          <w:iCs w:val="0"/>
          <w:snapToGrid w:val="0"/>
          <w:color w:val="auto"/>
          <w:kern w:val="0"/>
          <w:sz w:val="24"/>
          <w:highlight w:val="none"/>
        </w:rPr>
        <w:t>八、词语含义</w:t>
      </w:r>
      <w:bookmarkEnd w:id="508"/>
      <w:bookmarkEnd w:id="509"/>
      <w:bookmarkEnd w:id="510"/>
    </w:p>
    <w:p w14:paraId="20FBC850">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本协议书中词语含义与第二部分通用合同条款中赋予的含义相同。</w:t>
      </w:r>
    </w:p>
    <w:p w14:paraId="36924867">
      <w:pPr>
        <w:snapToGrid w:val="0"/>
        <w:spacing w:line="360" w:lineRule="auto"/>
        <w:outlineLvl w:val="1"/>
        <w:rPr>
          <w:rFonts w:ascii="宋体" w:hAnsi="宋体" w:cs="宋体"/>
          <w:b/>
          <w:bCs/>
          <w:i w:val="0"/>
          <w:iCs w:val="0"/>
          <w:snapToGrid w:val="0"/>
          <w:color w:val="auto"/>
          <w:kern w:val="0"/>
          <w:sz w:val="24"/>
          <w:highlight w:val="none"/>
        </w:rPr>
      </w:pPr>
      <w:bookmarkStart w:id="511" w:name="_Toc97299506"/>
      <w:bookmarkStart w:id="512" w:name="_Toc361220418"/>
      <w:bookmarkStart w:id="513" w:name="_Toc17646"/>
      <w:r>
        <w:rPr>
          <w:rFonts w:hint="eastAsia" w:ascii="宋体" w:hAnsi="宋体" w:cs="宋体"/>
          <w:b/>
          <w:bCs/>
          <w:i w:val="0"/>
          <w:iCs w:val="0"/>
          <w:snapToGrid w:val="0"/>
          <w:color w:val="auto"/>
          <w:kern w:val="0"/>
          <w:sz w:val="24"/>
          <w:highlight w:val="none"/>
        </w:rPr>
        <w:t>九、签订时间</w:t>
      </w:r>
      <w:bookmarkEnd w:id="511"/>
      <w:bookmarkEnd w:id="512"/>
      <w:bookmarkEnd w:id="513"/>
    </w:p>
    <w:p w14:paraId="6F6CA562">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本合同于</w:t>
      </w:r>
      <w:bookmarkStart w:id="514" w:name="SOA_hhxys_htqdn"/>
      <w:r>
        <w:rPr>
          <w:rFonts w:hint="eastAsia" w:ascii="宋体" w:hAnsi="宋体" w:cs="宋体"/>
          <w:bCs/>
          <w:i w:val="0"/>
          <w:iCs w:val="0"/>
          <w:snapToGrid w:val="0"/>
          <w:color w:val="auto"/>
          <w:kern w:val="0"/>
          <w:sz w:val="24"/>
          <w:highlight w:val="none"/>
          <w:u w:val="single"/>
        </w:rPr>
        <w:t xml:space="preserve">      </w:t>
      </w:r>
      <w:bookmarkEnd w:id="514"/>
      <w:r>
        <w:rPr>
          <w:rFonts w:hint="eastAsia" w:ascii="宋体" w:hAnsi="宋体" w:cs="宋体"/>
          <w:bCs/>
          <w:i w:val="0"/>
          <w:iCs w:val="0"/>
          <w:snapToGrid w:val="0"/>
          <w:color w:val="auto"/>
          <w:kern w:val="0"/>
          <w:sz w:val="24"/>
          <w:highlight w:val="none"/>
        </w:rPr>
        <w:t>年</w:t>
      </w:r>
      <w:bookmarkStart w:id="515" w:name="SOA_hhxys_htqdy"/>
      <w:r>
        <w:rPr>
          <w:rFonts w:hint="eastAsia" w:ascii="宋体" w:hAnsi="宋体" w:cs="宋体"/>
          <w:bCs/>
          <w:i w:val="0"/>
          <w:iCs w:val="0"/>
          <w:snapToGrid w:val="0"/>
          <w:color w:val="auto"/>
          <w:kern w:val="0"/>
          <w:sz w:val="24"/>
          <w:highlight w:val="none"/>
          <w:u w:val="single"/>
        </w:rPr>
        <w:t xml:space="preserve">      </w:t>
      </w:r>
      <w:bookmarkEnd w:id="515"/>
      <w:r>
        <w:rPr>
          <w:rFonts w:hint="eastAsia" w:ascii="宋体" w:hAnsi="宋体" w:cs="宋体"/>
          <w:bCs/>
          <w:i w:val="0"/>
          <w:iCs w:val="0"/>
          <w:snapToGrid w:val="0"/>
          <w:color w:val="auto"/>
          <w:kern w:val="0"/>
          <w:sz w:val="24"/>
          <w:highlight w:val="none"/>
        </w:rPr>
        <w:t>月</w:t>
      </w:r>
      <w:bookmarkStart w:id="516" w:name="SOA_hhxys_htqdr"/>
      <w:r>
        <w:rPr>
          <w:rFonts w:hint="eastAsia" w:ascii="宋体" w:hAnsi="宋体" w:cs="宋体"/>
          <w:bCs/>
          <w:i w:val="0"/>
          <w:iCs w:val="0"/>
          <w:snapToGrid w:val="0"/>
          <w:color w:val="auto"/>
          <w:kern w:val="0"/>
          <w:sz w:val="24"/>
          <w:highlight w:val="none"/>
          <w:u w:val="single"/>
        </w:rPr>
        <w:t xml:space="preserve">      </w:t>
      </w:r>
      <w:bookmarkEnd w:id="516"/>
      <w:r>
        <w:rPr>
          <w:rFonts w:hint="eastAsia" w:ascii="宋体" w:hAnsi="宋体" w:cs="宋体"/>
          <w:bCs/>
          <w:i w:val="0"/>
          <w:iCs w:val="0"/>
          <w:snapToGrid w:val="0"/>
          <w:color w:val="auto"/>
          <w:kern w:val="0"/>
          <w:sz w:val="24"/>
          <w:highlight w:val="none"/>
        </w:rPr>
        <w:t>日签订。</w:t>
      </w:r>
    </w:p>
    <w:p w14:paraId="4D0182F0">
      <w:pPr>
        <w:snapToGrid w:val="0"/>
        <w:spacing w:line="360" w:lineRule="auto"/>
        <w:outlineLvl w:val="1"/>
        <w:rPr>
          <w:rFonts w:ascii="宋体" w:hAnsi="宋体" w:cs="宋体"/>
          <w:b/>
          <w:bCs/>
          <w:i w:val="0"/>
          <w:iCs w:val="0"/>
          <w:snapToGrid w:val="0"/>
          <w:color w:val="auto"/>
          <w:kern w:val="0"/>
          <w:sz w:val="24"/>
          <w:highlight w:val="none"/>
        </w:rPr>
      </w:pPr>
      <w:bookmarkStart w:id="517" w:name="_Toc97299507"/>
      <w:bookmarkStart w:id="518" w:name="_Toc361220419"/>
      <w:bookmarkStart w:id="519" w:name="_Toc28485"/>
      <w:r>
        <w:rPr>
          <w:rFonts w:hint="eastAsia" w:ascii="宋体" w:hAnsi="宋体" w:cs="宋体"/>
          <w:b/>
          <w:bCs/>
          <w:i w:val="0"/>
          <w:iCs w:val="0"/>
          <w:snapToGrid w:val="0"/>
          <w:color w:val="auto"/>
          <w:kern w:val="0"/>
          <w:sz w:val="24"/>
          <w:highlight w:val="none"/>
        </w:rPr>
        <w:t>十、签订地点</w:t>
      </w:r>
      <w:bookmarkEnd w:id="517"/>
      <w:bookmarkEnd w:id="518"/>
      <w:bookmarkEnd w:id="519"/>
    </w:p>
    <w:p w14:paraId="65ABA8B1">
      <w:pPr>
        <w:snapToGrid w:val="0"/>
        <w:spacing w:line="360" w:lineRule="auto"/>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 xml:space="preserve">    本合同在</w:t>
      </w:r>
      <w:r>
        <w:rPr>
          <w:rFonts w:hint="eastAsia" w:ascii="宋体" w:hAnsi="宋体" w:cs="宋体"/>
          <w:bCs/>
          <w:i w:val="0"/>
          <w:iCs w:val="0"/>
          <w:snapToGrid w:val="0"/>
          <w:color w:val="auto"/>
          <w:kern w:val="0"/>
          <w:sz w:val="24"/>
          <w:highlight w:val="none"/>
          <w:u w:val="single"/>
        </w:rPr>
        <w:t xml:space="preserve">   </w:t>
      </w:r>
      <w:bookmarkStart w:id="520" w:name="SOA_zyht_htqddd"/>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u w:val="single"/>
          <w:lang w:val="en-US" w:eastAsia="zh-CN"/>
        </w:rPr>
        <w:t xml:space="preserve">   </w:t>
      </w:r>
      <w:r>
        <w:rPr>
          <w:rFonts w:hint="eastAsia" w:ascii="宋体" w:hAnsi="宋体" w:cs="宋体"/>
          <w:bCs/>
          <w:i w:val="0"/>
          <w:iCs w:val="0"/>
          <w:snapToGrid w:val="0"/>
          <w:color w:val="auto"/>
          <w:kern w:val="0"/>
          <w:sz w:val="24"/>
          <w:highlight w:val="none"/>
          <w:u w:val="single"/>
        </w:rPr>
        <w:t xml:space="preserve">   </w:t>
      </w:r>
      <w:bookmarkEnd w:id="520"/>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签订。</w:t>
      </w:r>
    </w:p>
    <w:p w14:paraId="0593BD86">
      <w:pPr>
        <w:snapToGrid w:val="0"/>
        <w:spacing w:line="360" w:lineRule="auto"/>
        <w:outlineLvl w:val="1"/>
        <w:rPr>
          <w:rFonts w:ascii="宋体" w:hAnsi="宋体" w:cs="宋体"/>
          <w:b/>
          <w:bCs/>
          <w:i w:val="0"/>
          <w:iCs w:val="0"/>
          <w:snapToGrid w:val="0"/>
          <w:color w:val="auto"/>
          <w:kern w:val="0"/>
          <w:sz w:val="24"/>
          <w:highlight w:val="none"/>
        </w:rPr>
      </w:pPr>
      <w:bookmarkStart w:id="521" w:name="_Toc361220420"/>
      <w:bookmarkStart w:id="522" w:name="_Toc16826"/>
      <w:bookmarkStart w:id="523" w:name="_Toc97299508"/>
      <w:r>
        <w:rPr>
          <w:rFonts w:hint="eastAsia" w:ascii="宋体" w:hAnsi="宋体" w:cs="宋体"/>
          <w:b/>
          <w:bCs/>
          <w:i w:val="0"/>
          <w:iCs w:val="0"/>
          <w:snapToGrid w:val="0"/>
          <w:color w:val="auto"/>
          <w:kern w:val="0"/>
          <w:sz w:val="24"/>
          <w:highlight w:val="none"/>
        </w:rPr>
        <w:t>十一、补充协议</w:t>
      </w:r>
      <w:bookmarkEnd w:id="521"/>
      <w:bookmarkEnd w:id="522"/>
      <w:bookmarkEnd w:id="523"/>
    </w:p>
    <w:p w14:paraId="1EE2D987">
      <w:pPr>
        <w:snapToGrid w:val="0"/>
        <w:spacing w:line="360" w:lineRule="auto"/>
        <w:ind w:firstLine="480" w:firstLineChars="200"/>
        <w:rPr>
          <w:rFonts w:ascii="宋体" w:hAnsi="宋体" w:cs="宋体"/>
          <w:b/>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合同未尽事宜，合同当事人另行签订补充协议，补充协议是合同的组成部分。</w:t>
      </w:r>
    </w:p>
    <w:p w14:paraId="5896CC47">
      <w:pPr>
        <w:snapToGrid w:val="0"/>
        <w:spacing w:line="360" w:lineRule="auto"/>
        <w:outlineLvl w:val="1"/>
        <w:rPr>
          <w:rFonts w:ascii="宋体" w:hAnsi="宋体" w:cs="宋体"/>
          <w:b/>
          <w:bCs/>
          <w:i w:val="0"/>
          <w:iCs w:val="0"/>
          <w:snapToGrid w:val="0"/>
          <w:color w:val="auto"/>
          <w:kern w:val="0"/>
          <w:sz w:val="24"/>
          <w:highlight w:val="none"/>
        </w:rPr>
      </w:pPr>
      <w:bookmarkStart w:id="524" w:name="_Toc21854"/>
      <w:bookmarkStart w:id="525" w:name="_Toc97299509"/>
      <w:bookmarkStart w:id="526" w:name="_Toc361220421"/>
      <w:r>
        <w:rPr>
          <w:rFonts w:hint="eastAsia" w:ascii="宋体" w:hAnsi="宋体" w:cs="宋体"/>
          <w:b/>
          <w:bCs/>
          <w:i w:val="0"/>
          <w:iCs w:val="0"/>
          <w:snapToGrid w:val="0"/>
          <w:color w:val="auto"/>
          <w:kern w:val="0"/>
          <w:sz w:val="24"/>
          <w:highlight w:val="none"/>
        </w:rPr>
        <w:t>十二、合同生效</w:t>
      </w:r>
      <w:bookmarkEnd w:id="524"/>
      <w:bookmarkEnd w:id="525"/>
      <w:bookmarkEnd w:id="526"/>
    </w:p>
    <w:p w14:paraId="304533CE">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本合同自</w:t>
      </w:r>
      <w:r>
        <w:rPr>
          <w:rFonts w:hint="eastAsia" w:ascii="宋体" w:hAnsi="宋体" w:cs="宋体"/>
          <w:bCs/>
          <w:i w:val="0"/>
          <w:iCs w:val="0"/>
          <w:snapToGrid w:val="0"/>
          <w:color w:val="auto"/>
          <w:kern w:val="0"/>
          <w:sz w:val="24"/>
          <w:highlight w:val="none"/>
          <w:u w:val="single"/>
        </w:rPr>
        <w:t xml:space="preserve">  </w:t>
      </w:r>
      <w:bookmarkStart w:id="527" w:name="SOA_hhxys_htsx"/>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u w:val="single"/>
        </w:rPr>
        <w:t xml:space="preserve">   </w:t>
      </w:r>
      <w:bookmarkEnd w:id="527"/>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生效。</w:t>
      </w:r>
    </w:p>
    <w:p w14:paraId="441A508F">
      <w:pPr>
        <w:snapToGrid w:val="0"/>
        <w:spacing w:line="360" w:lineRule="auto"/>
        <w:outlineLvl w:val="1"/>
        <w:rPr>
          <w:rFonts w:ascii="宋体" w:hAnsi="宋体" w:cs="宋体"/>
          <w:b/>
          <w:bCs/>
          <w:i w:val="0"/>
          <w:iCs w:val="0"/>
          <w:snapToGrid w:val="0"/>
          <w:color w:val="auto"/>
          <w:kern w:val="0"/>
          <w:sz w:val="24"/>
          <w:highlight w:val="none"/>
        </w:rPr>
      </w:pPr>
      <w:bookmarkStart w:id="528" w:name="_Toc361220422"/>
      <w:bookmarkStart w:id="529" w:name="_Toc15126"/>
      <w:bookmarkStart w:id="530" w:name="_Toc97299510"/>
      <w:r>
        <w:rPr>
          <w:rFonts w:hint="eastAsia" w:ascii="宋体" w:hAnsi="宋体" w:cs="宋体"/>
          <w:b/>
          <w:bCs/>
          <w:i w:val="0"/>
          <w:iCs w:val="0"/>
          <w:snapToGrid w:val="0"/>
          <w:color w:val="auto"/>
          <w:kern w:val="0"/>
          <w:sz w:val="24"/>
          <w:highlight w:val="none"/>
        </w:rPr>
        <w:t>十三、合同份数</w:t>
      </w:r>
      <w:bookmarkEnd w:id="528"/>
      <w:bookmarkEnd w:id="529"/>
      <w:bookmarkEnd w:id="530"/>
    </w:p>
    <w:p w14:paraId="27CE0E25">
      <w:pPr>
        <w:snapToGrid w:val="0"/>
        <w:spacing w:line="360" w:lineRule="auto"/>
        <w:ind w:left="240" w:leftChars="100" w:firstLine="240" w:firstLineChars="1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本合同一式</w:t>
      </w:r>
      <w:r>
        <w:rPr>
          <w:rFonts w:hint="eastAsia" w:ascii="宋体" w:hAnsi="宋体" w:cs="宋体"/>
          <w:b/>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份，均具有同等法律效力，发包人执</w:t>
      </w:r>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份，承包人执</w:t>
      </w:r>
      <w:r>
        <w:rPr>
          <w:rFonts w:hint="eastAsia" w:ascii="宋体" w:hAnsi="宋体" w:cs="宋体"/>
          <w:b/>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份。</w:t>
      </w:r>
    </w:p>
    <w:p w14:paraId="04342E85">
      <w:pPr>
        <w:snapToGrid w:val="0"/>
        <w:spacing w:line="240" w:lineRule="auto"/>
        <w:ind w:firstLine="480" w:firstLineChars="200"/>
        <w:rPr>
          <w:rFonts w:ascii="宋体" w:hAnsi="宋体" w:cs="宋体"/>
          <w:i w:val="0"/>
          <w:iCs w:val="0"/>
          <w:snapToGrid w:val="0"/>
          <w:color w:val="auto"/>
          <w:kern w:val="0"/>
          <w:sz w:val="24"/>
          <w:highlight w:val="none"/>
        </w:rPr>
      </w:pPr>
    </w:p>
    <w:p w14:paraId="5E925518">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发包人：  (公章)</w:t>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承包人：  (公章)</w:t>
      </w:r>
    </w:p>
    <w:p w14:paraId="28690781">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i w:val="0"/>
          <w:iCs w:val="0"/>
          <w:snapToGrid w:val="0"/>
          <w:color w:val="auto"/>
          <w:kern w:val="0"/>
          <w:sz w:val="24"/>
          <w:highlight w:val="none"/>
        </w:rPr>
        <w:t>法定代表人或其委托代理人：</w:t>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法定代表人或其委托代理人：</w:t>
      </w:r>
    </w:p>
    <w:p w14:paraId="401364E4">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（签字）</w:t>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（签字）</w:t>
      </w:r>
    </w:p>
    <w:p w14:paraId="39E290F1">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组织机构代码：</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组织机构代码：</w:t>
      </w:r>
      <w:bookmarkStart w:id="531" w:name="SOA_hhxys_zjjgdm1"/>
      <w:r>
        <w:rPr>
          <w:rFonts w:hint="eastAsia" w:ascii="宋体" w:hAnsi="宋体" w:cs="宋体"/>
          <w:i w:val="0"/>
          <w:iCs w:val="0"/>
          <w:snapToGrid w:val="0"/>
          <w:color w:val="auto"/>
          <w:kern w:val="0"/>
          <w:sz w:val="24"/>
          <w:highlight w:val="none"/>
          <w:u w:val="single"/>
        </w:rPr>
        <w:t xml:space="preserve">      </w:t>
      </w:r>
      <w:bookmarkEnd w:id="531"/>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696AA923">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地  址：</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地  址：</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5BD90B8E">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邮政编码：</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邮政编码：</w:t>
      </w:r>
      <w:bookmarkStart w:id="532" w:name="SOA_hhxys_cbryb"/>
      <w:r>
        <w:rPr>
          <w:rFonts w:hint="eastAsia" w:ascii="宋体" w:hAnsi="宋体" w:cs="宋体"/>
          <w:i w:val="0"/>
          <w:iCs w:val="0"/>
          <w:snapToGrid w:val="0"/>
          <w:color w:val="auto"/>
          <w:kern w:val="0"/>
          <w:sz w:val="24"/>
          <w:highlight w:val="none"/>
          <w:u w:val="single"/>
        </w:rPr>
        <w:t xml:space="preserve">             </w:t>
      </w:r>
      <w:bookmarkEnd w:id="532"/>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699A114F">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法定代表人：</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法定代表人：</w:t>
      </w:r>
      <w:bookmarkStart w:id="533" w:name="SOA_hhxys_fddbr1"/>
      <w:r>
        <w:rPr>
          <w:rFonts w:hint="eastAsia" w:ascii="宋体" w:hAnsi="宋体" w:cs="宋体"/>
          <w:i w:val="0"/>
          <w:iCs w:val="0"/>
          <w:snapToGrid w:val="0"/>
          <w:color w:val="auto"/>
          <w:kern w:val="0"/>
          <w:sz w:val="24"/>
          <w:highlight w:val="none"/>
          <w:u w:val="single"/>
        </w:rPr>
        <w:t xml:space="preserve">     </w:t>
      </w:r>
      <w:bookmarkEnd w:id="533"/>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218DD656">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委托代理人：</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委托代理人：</w:t>
      </w:r>
      <w:bookmarkStart w:id="534" w:name="SOA_hhxys_wtdlr1"/>
      <w:r>
        <w:rPr>
          <w:rFonts w:hint="eastAsia" w:ascii="宋体" w:hAnsi="宋体" w:cs="宋体"/>
          <w:i w:val="0"/>
          <w:iCs w:val="0"/>
          <w:snapToGrid w:val="0"/>
          <w:color w:val="auto"/>
          <w:kern w:val="0"/>
          <w:sz w:val="24"/>
          <w:highlight w:val="none"/>
          <w:u w:val="single"/>
        </w:rPr>
        <w:t xml:space="preserve">    </w:t>
      </w:r>
      <w:bookmarkEnd w:id="534"/>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7B9421DF">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电  话：</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电  话：</w:t>
      </w:r>
      <w:bookmarkStart w:id="535" w:name="SOA_hhxys_cbrdh"/>
      <w:r>
        <w:rPr>
          <w:rFonts w:hint="eastAsia" w:ascii="宋体" w:hAnsi="宋体" w:cs="宋体"/>
          <w:i w:val="0"/>
          <w:iCs w:val="0"/>
          <w:snapToGrid w:val="0"/>
          <w:color w:val="auto"/>
          <w:kern w:val="0"/>
          <w:sz w:val="24"/>
          <w:highlight w:val="none"/>
          <w:u w:val="single"/>
        </w:rPr>
        <w:t xml:space="preserve">            </w:t>
      </w:r>
      <w:bookmarkEnd w:id="535"/>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350B1205">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传  真：</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传  真：</w:t>
      </w:r>
      <w:bookmarkStart w:id="536" w:name="SOA_hhxys_cbrcz"/>
      <w:r>
        <w:rPr>
          <w:rFonts w:hint="eastAsia" w:ascii="宋体" w:hAnsi="宋体" w:cs="宋体"/>
          <w:i w:val="0"/>
          <w:iCs w:val="0"/>
          <w:snapToGrid w:val="0"/>
          <w:color w:val="auto"/>
          <w:kern w:val="0"/>
          <w:sz w:val="24"/>
          <w:highlight w:val="none"/>
          <w:u w:val="single"/>
        </w:rPr>
        <w:t xml:space="preserve">              </w:t>
      </w:r>
      <w:bookmarkEnd w:id="536"/>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02444A1A">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电子信箱：</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电子信箱：</w:t>
      </w:r>
      <w:bookmarkStart w:id="537" w:name="SOA_hhxys_cbrdzxx"/>
      <w:r>
        <w:rPr>
          <w:rFonts w:hint="eastAsia" w:ascii="宋体" w:hAnsi="宋体" w:cs="宋体"/>
          <w:i w:val="0"/>
          <w:iCs w:val="0"/>
          <w:snapToGrid w:val="0"/>
          <w:color w:val="auto"/>
          <w:kern w:val="0"/>
          <w:sz w:val="24"/>
          <w:highlight w:val="none"/>
          <w:u w:val="single"/>
        </w:rPr>
        <w:t xml:space="preserve">      </w:t>
      </w:r>
      <w:bookmarkEnd w:id="537"/>
      <w:r>
        <w:rPr>
          <w:rFonts w:hint="eastAsia" w:ascii="宋体" w:hAnsi="宋体" w:cs="宋体"/>
          <w:i w:val="0"/>
          <w:iCs w:val="0"/>
          <w:snapToGrid w:val="0"/>
          <w:color w:val="auto"/>
          <w:kern w:val="0"/>
          <w:sz w:val="24"/>
          <w:highlight w:val="none"/>
          <w:u w:val="single"/>
        </w:rPr>
        <w:t xml:space="preserve">  </w:t>
      </w:r>
    </w:p>
    <w:p w14:paraId="1386A444">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开户银行：</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开户银行：</w:t>
      </w:r>
      <w:r>
        <w:rPr>
          <w:rFonts w:hint="eastAsia" w:ascii="宋体" w:hAnsi="宋体" w:cs="宋体"/>
          <w:i w:val="0"/>
          <w:iCs w:val="0"/>
          <w:snapToGrid w:val="0"/>
          <w:color w:val="auto"/>
          <w:kern w:val="0"/>
          <w:sz w:val="24"/>
          <w:highlight w:val="none"/>
          <w:u w:val="single"/>
        </w:rPr>
        <w:t xml:space="preserve">                 </w:t>
      </w:r>
    </w:p>
    <w:p w14:paraId="409CFABA">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账  号：</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账  号：</w:t>
      </w:r>
      <w:r>
        <w:rPr>
          <w:rFonts w:hint="eastAsia" w:ascii="宋体" w:hAnsi="宋体" w:cs="宋体"/>
          <w:i w:val="0"/>
          <w:iCs w:val="0"/>
          <w:snapToGrid w:val="0"/>
          <w:color w:val="auto"/>
          <w:kern w:val="0"/>
          <w:sz w:val="24"/>
          <w:highlight w:val="none"/>
          <w:u w:val="single"/>
        </w:rPr>
        <w:t></w:t>
      </w:r>
      <w:bookmarkStart w:id="538" w:name="SOA_hhxys_cbrzh"/>
      <w:r>
        <w:rPr>
          <w:rFonts w:hint="eastAsia" w:ascii="宋体" w:hAnsi="宋体" w:cs="宋体"/>
          <w:i w:val="0"/>
          <w:iCs w:val="0"/>
          <w:snapToGrid w:val="0"/>
          <w:color w:val="auto"/>
          <w:kern w:val="0"/>
          <w:sz w:val="24"/>
          <w:highlight w:val="none"/>
          <w:u w:val="single"/>
        </w:rPr>
        <w:t xml:space="preserve"> </w:t>
      </w:r>
      <w:bookmarkEnd w:id="538"/>
      <w:r>
        <w:rPr>
          <w:rFonts w:hint="eastAsia" w:ascii="宋体" w:hAnsi="宋体" w:cs="宋体"/>
          <w:i w:val="0"/>
          <w:iCs w:val="0"/>
          <w:snapToGrid w:val="0"/>
          <w:color w:val="auto"/>
          <w:kern w:val="0"/>
          <w:sz w:val="24"/>
          <w:highlight w:val="none"/>
          <w:u w:val="single"/>
        </w:rPr>
        <w:t xml:space="preserve">        </w:t>
      </w:r>
    </w:p>
    <w:p w14:paraId="0B60C93B">
      <w:pPr>
        <w:keepNext/>
        <w:keepLines/>
        <w:numPr>
          <w:ilvl w:val="0"/>
          <w:numId w:val="1"/>
        </w:numPr>
        <w:spacing w:before="100" w:line="240" w:lineRule="auto"/>
        <w:jc w:val="center"/>
        <w:outlineLvl w:val="1"/>
        <w:rPr>
          <w:rFonts w:hint="eastAsia" w:ascii="宋体" w:hAnsi="宋体" w:cs="宋体"/>
          <w:b/>
          <w:bCs/>
          <w:i w:val="0"/>
          <w:iCs w:val="0"/>
          <w:snapToGrid w:val="0"/>
          <w:color w:val="auto"/>
          <w:kern w:val="44"/>
          <w:sz w:val="36"/>
          <w:szCs w:val="36"/>
          <w:highlight w:val="none"/>
        </w:rPr>
      </w:pPr>
      <w:r>
        <w:rPr>
          <w:rFonts w:hint="eastAsia" w:ascii="宋体" w:hAnsi="宋体" w:cs="宋体"/>
          <w:i w:val="0"/>
          <w:iCs w:val="0"/>
          <w:snapToGrid w:val="0"/>
          <w:color w:val="auto"/>
          <w:kern w:val="0"/>
          <w:sz w:val="24"/>
          <w:highlight w:val="none"/>
        </w:rPr>
        <w:br w:type="page"/>
      </w:r>
      <w:bookmarkStart w:id="539" w:name="_Toc31640"/>
      <w:bookmarkStart w:id="540" w:name="_Toc97299511"/>
      <w:bookmarkStart w:id="541" w:name="_Toc69485879"/>
      <w:bookmarkStart w:id="542" w:name="_Toc8952"/>
      <w:r>
        <w:rPr>
          <w:rFonts w:hint="eastAsia" w:ascii="宋体" w:hAnsi="宋体" w:cs="宋体"/>
          <w:b/>
          <w:bCs/>
          <w:i w:val="0"/>
          <w:iCs w:val="0"/>
          <w:snapToGrid w:val="0"/>
          <w:color w:val="auto"/>
          <w:kern w:val="44"/>
          <w:sz w:val="36"/>
          <w:szCs w:val="36"/>
          <w:highlight w:val="none"/>
        </w:rPr>
        <w:t xml:space="preserve"> 通用</w:t>
      </w:r>
      <w:r>
        <w:rPr>
          <w:rFonts w:hint="eastAsia" w:cs="宋体"/>
          <w:b/>
          <w:bCs/>
          <w:i w:val="0"/>
          <w:iCs w:val="0"/>
          <w:snapToGrid w:val="0"/>
          <w:color w:val="auto"/>
          <w:kern w:val="44"/>
          <w:sz w:val="36"/>
          <w:szCs w:val="36"/>
          <w:highlight w:val="none"/>
          <w:lang w:val="en-US" w:eastAsia="zh-CN"/>
        </w:rPr>
        <w:t>合同</w:t>
      </w:r>
      <w:r>
        <w:rPr>
          <w:rFonts w:hint="eastAsia" w:ascii="宋体" w:hAnsi="宋体" w:cs="宋体"/>
          <w:b/>
          <w:bCs/>
          <w:i w:val="0"/>
          <w:iCs w:val="0"/>
          <w:snapToGrid w:val="0"/>
          <w:color w:val="auto"/>
          <w:kern w:val="44"/>
          <w:sz w:val="36"/>
          <w:szCs w:val="36"/>
          <w:highlight w:val="none"/>
        </w:rPr>
        <w:t>条款</w:t>
      </w:r>
      <w:bookmarkEnd w:id="539"/>
      <w:bookmarkEnd w:id="540"/>
      <w:bookmarkEnd w:id="541"/>
      <w:bookmarkEnd w:id="542"/>
      <w:bookmarkStart w:id="543" w:name="_Toc97299512"/>
      <w:bookmarkStart w:id="544" w:name="_Toc8278"/>
      <w:bookmarkStart w:id="545" w:name="_Toc69485880"/>
      <w:bookmarkStart w:id="546" w:name="_Toc28514"/>
    </w:p>
    <w:p w14:paraId="51227EAC">
      <w:pPr>
        <w:keepNext/>
        <w:keepLines/>
        <w:numPr>
          <w:ilvl w:val="0"/>
          <w:numId w:val="1"/>
        </w:numPr>
        <w:spacing w:before="100" w:line="240" w:lineRule="auto"/>
        <w:jc w:val="center"/>
        <w:outlineLvl w:val="1"/>
        <w:rPr>
          <w:rFonts w:ascii="宋体" w:hAnsi="宋体" w:cs="宋体"/>
          <w:b/>
          <w:bCs/>
          <w:i w:val="0"/>
          <w:iCs w:val="0"/>
          <w:snapToGrid w:val="0"/>
          <w:color w:val="auto"/>
          <w:kern w:val="44"/>
          <w:sz w:val="36"/>
          <w:szCs w:val="36"/>
          <w:highlight w:val="none"/>
        </w:rPr>
      </w:pPr>
      <w:r>
        <w:rPr>
          <w:rFonts w:hint="eastAsia" w:ascii="宋体" w:hAnsi="宋体" w:cs="宋体"/>
          <w:b/>
          <w:bCs/>
          <w:i w:val="0"/>
          <w:iCs w:val="0"/>
          <w:snapToGrid w:val="0"/>
          <w:color w:val="auto"/>
          <w:kern w:val="44"/>
          <w:sz w:val="36"/>
          <w:szCs w:val="36"/>
          <w:highlight w:val="none"/>
        </w:rPr>
        <w:t>第三部分  专用</w:t>
      </w:r>
      <w:r>
        <w:rPr>
          <w:rFonts w:hint="eastAsia" w:cs="宋体"/>
          <w:b/>
          <w:bCs/>
          <w:i w:val="0"/>
          <w:iCs w:val="0"/>
          <w:snapToGrid w:val="0"/>
          <w:color w:val="auto"/>
          <w:kern w:val="44"/>
          <w:sz w:val="36"/>
          <w:szCs w:val="36"/>
          <w:highlight w:val="none"/>
          <w:lang w:val="en-US" w:eastAsia="zh-CN"/>
        </w:rPr>
        <w:t>合同</w:t>
      </w:r>
      <w:r>
        <w:rPr>
          <w:rFonts w:hint="eastAsia" w:ascii="宋体" w:hAnsi="宋体" w:cs="宋体"/>
          <w:b/>
          <w:bCs/>
          <w:i w:val="0"/>
          <w:iCs w:val="0"/>
          <w:snapToGrid w:val="0"/>
          <w:color w:val="auto"/>
          <w:kern w:val="44"/>
          <w:sz w:val="36"/>
          <w:szCs w:val="36"/>
          <w:highlight w:val="none"/>
        </w:rPr>
        <w:t>条款</w:t>
      </w:r>
      <w:bookmarkEnd w:id="543"/>
      <w:bookmarkEnd w:id="544"/>
      <w:bookmarkEnd w:id="545"/>
      <w:bookmarkEnd w:id="546"/>
    </w:p>
    <w:p w14:paraId="2A7D2666">
      <w:pPr>
        <w:keepNext/>
        <w:numPr>
          <w:ilvl w:val="3"/>
          <w:numId w:val="0"/>
        </w:numPr>
        <w:tabs>
          <w:tab w:val="left" w:pos="864"/>
        </w:tabs>
        <w:snapToGrid w:val="0"/>
        <w:spacing w:line="360" w:lineRule="auto"/>
        <w:ind w:left="426" w:hanging="420"/>
        <w:outlineLvl w:val="3"/>
        <w:rPr>
          <w:rFonts w:ascii="宋体" w:hAnsi="宋体"/>
          <w:b/>
          <w:i w:val="0"/>
          <w:iCs w:val="0"/>
          <w:color w:val="auto"/>
          <w:szCs w:val="21"/>
          <w:highlight w:val="none"/>
        </w:rPr>
      </w:pPr>
      <w:bookmarkStart w:id="547" w:name="_Toc351203633"/>
      <w:r>
        <w:rPr>
          <w:rFonts w:hint="eastAsia" w:ascii="宋体" w:hAnsi="宋体"/>
          <w:b/>
          <w:i w:val="0"/>
          <w:iCs w:val="0"/>
          <w:color w:val="auto"/>
          <w:szCs w:val="21"/>
          <w:highlight w:val="none"/>
        </w:rPr>
        <w:t>1</w:t>
      </w:r>
      <w:bookmarkStart w:id="548" w:name="_Toc297048342"/>
      <w:bookmarkStart w:id="549" w:name="_Toc296944495"/>
      <w:bookmarkStart w:id="550" w:name="_Toc296346657"/>
      <w:bookmarkStart w:id="551" w:name="_Toc297120456"/>
      <w:bookmarkStart w:id="552" w:name="_Toc292559361"/>
      <w:bookmarkStart w:id="553" w:name="_Toc292559866"/>
      <w:bookmarkStart w:id="554" w:name="_Toc296891196"/>
      <w:bookmarkStart w:id="555" w:name="_Toc296503156"/>
      <w:bookmarkStart w:id="556" w:name="_Toc296890984"/>
      <w:bookmarkStart w:id="557" w:name="_Toc296347155"/>
      <w:r>
        <w:rPr>
          <w:rFonts w:hint="eastAsia" w:ascii="宋体" w:hAnsi="宋体"/>
          <w:b/>
          <w:i w:val="0"/>
          <w:iCs w:val="0"/>
          <w:color w:val="auto"/>
          <w:szCs w:val="21"/>
          <w:highlight w:val="none"/>
        </w:rPr>
        <w:t>. 一般约定</w:t>
      </w:r>
      <w:bookmarkEnd w:id="547"/>
    </w:p>
    <w:bookmarkEnd w:id="548"/>
    <w:bookmarkEnd w:id="549"/>
    <w:bookmarkEnd w:id="550"/>
    <w:bookmarkEnd w:id="551"/>
    <w:bookmarkEnd w:id="552"/>
    <w:bookmarkEnd w:id="553"/>
    <w:bookmarkEnd w:id="554"/>
    <w:bookmarkEnd w:id="555"/>
    <w:bookmarkEnd w:id="556"/>
    <w:bookmarkEnd w:id="557"/>
    <w:p w14:paraId="3C712BE1">
      <w:pPr>
        <w:snapToGrid w:val="0"/>
        <w:spacing w:line="360" w:lineRule="auto"/>
        <w:ind w:firstLine="420" w:firstLineChars="175"/>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 词语定义</w:t>
      </w:r>
    </w:p>
    <w:p w14:paraId="2C54F627">
      <w:pPr>
        <w:snapToGrid w:val="0"/>
        <w:spacing w:line="360" w:lineRule="auto"/>
        <w:ind w:firstLine="420" w:firstLineChars="175"/>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1.1.1合同</w:t>
      </w:r>
    </w:p>
    <w:p w14:paraId="3F69F0F8">
      <w:pPr>
        <w:shd w:val="clear" w:color="auto" w:fill="FAFAFA"/>
        <w:snapToGrid w:val="0"/>
        <w:spacing w:line="360" w:lineRule="auto"/>
        <w:ind w:firstLine="470" w:firstLineChars="196"/>
        <w:rPr>
          <w:rFonts w:ascii="宋体" w:hAnsi="宋体"/>
          <w:b/>
          <w:i w:val="0"/>
          <w:iCs w:val="0"/>
          <w:snapToGrid w:val="0"/>
          <w:color w:val="auto"/>
          <w:kern w:val="0"/>
          <w:szCs w:val="21"/>
          <w:highlight w:val="none"/>
          <w:u w:val="single"/>
        </w:rPr>
      </w:pPr>
      <w:r>
        <w:rPr>
          <w:rFonts w:hint="eastAsia" w:ascii="宋体" w:hAnsi="宋体"/>
          <w:i w:val="0"/>
          <w:iCs w:val="0"/>
          <w:snapToGrid w:val="0"/>
          <w:color w:val="auto"/>
          <w:kern w:val="0"/>
          <w:szCs w:val="21"/>
          <w:highlight w:val="none"/>
        </w:rPr>
        <w:t>1.1.1.10其他合同文件包括：</w:t>
      </w:r>
      <w:r>
        <w:rPr>
          <w:rFonts w:hint="eastAsia" w:ascii="宋体" w:hAnsi="宋体"/>
          <w:i w:val="0"/>
          <w:iCs w:val="0"/>
          <w:snapToGrid w:val="0"/>
          <w:color w:val="auto"/>
          <w:kern w:val="0"/>
          <w:szCs w:val="21"/>
          <w:highlight w:val="none"/>
          <w:u w:val="single"/>
        </w:rPr>
        <w:t xml:space="preserve">                             </w:t>
      </w:r>
    </w:p>
    <w:p w14:paraId="6306CA7F">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1.1.2 合同当事人及其他相关方</w:t>
      </w:r>
    </w:p>
    <w:p w14:paraId="007556F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1.1.2.4监理人：</w:t>
      </w:r>
    </w:p>
    <w:p w14:paraId="53A77E3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名    称：</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4B02B89F">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资质类别和等级：</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164D3B6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22B02DF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6E41AE7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BE2BE64">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1.1.2.5 设计人：</w:t>
      </w:r>
    </w:p>
    <w:p w14:paraId="3FDB59DE">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名    称：</w:t>
      </w:r>
      <w:r>
        <w:rPr>
          <w:rFonts w:hint="eastAsia" w:ascii="宋体" w:hAnsi="宋体" w:cs="仿宋_GB2312"/>
          <w:i w:val="0"/>
          <w:iCs w:val="0"/>
          <w:snapToGrid w:val="0"/>
          <w:color w:val="auto"/>
          <w:kern w:val="0"/>
          <w:szCs w:val="21"/>
          <w:highlight w:val="none"/>
          <w:u w:val="single"/>
        </w:rPr>
        <w:t xml:space="preserve">                       </w:t>
      </w:r>
      <w:r>
        <w:rPr>
          <w:rFonts w:hint="eastAsia" w:cs="仿宋_GB2312"/>
          <w:i w:val="0"/>
          <w:iCs w:val="0"/>
          <w:snapToGrid w:val="0"/>
          <w:color w:val="auto"/>
          <w:kern w:val="0"/>
          <w:szCs w:val="21"/>
          <w:highlight w:val="none"/>
          <w:u w:val="single"/>
          <w:lang w:val="en-US" w:eastAsia="zh-CN"/>
        </w:rPr>
        <w:t xml:space="preserve">        </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2FD5F111">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资质类别和等级：</w:t>
      </w:r>
      <w:r>
        <w:rPr>
          <w:rFonts w:hint="eastAsia" w:ascii="宋体" w:hAnsi="宋体" w:cs="仿宋_GB2312"/>
          <w:i w:val="0"/>
          <w:iCs w:val="0"/>
          <w:snapToGrid w:val="0"/>
          <w:color w:val="auto"/>
          <w:kern w:val="0"/>
          <w:szCs w:val="21"/>
          <w:highlight w:val="none"/>
          <w:u w:val="single"/>
        </w:rPr>
        <w:t xml:space="preserve">                  </w:t>
      </w:r>
      <w:r>
        <w:rPr>
          <w:rFonts w:hint="eastAsia" w:cs="仿宋_GB2312"/>
          <w:i w:val="0"/>
          <w:iCs w:val="0"/>
          <w:snapToGrid w:val="0"/>
          <w:color w:val="auto"/>
          <w:kern w:val="0"/>
          <w:szCs w:val="21"/>
          <w:highlight w:val="none"/>
          <w:u w:val="single"/>
          <w:lang w:val="en-US" w:eastAsia="zh-CN"/>
        </w:rPr>
        <w:t xml:space="preserve">   </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0"/>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rPr>
        <w:t>；</w:t>
      </w:r>
    </w:p>
    <w:p w14:paraId="613079C7">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联系电话：</w:t>
      </w:r>
      <w:r>
        <w:rPr>
          <w:rFonts w:hint="eastAsia" w:ascii="宋体" w:hAnsi="宋体" w:cs="仿宋_GB2312"/>
          <w:i w:val="0"/>
          <w:iCs w:val="0"/>
          <w:snapToGrid w:val="0"/>
          <w:color w:val="auto"/>
          <w:kern w:val="0"/>
          <w:szCs w:val="21"/>
          <w:highlight w:val="none"/>
          <w:u w:val="single"/>
        </w:rPr>
        <w:t>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09EC5F02">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电子信箱：</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7FC1BE71">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通信地址：</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lang w:val="en-US" w:eastAsia="zh-CN"/>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rPr>
        <w:t>。</w:t>
      </w:r>
    </w:p>
    <w:p w14:paraId="65378AB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1.1.3 工程和设备</w:t>
      </w:r>
    </w:p>
    <w:p w14:paraId="6D3685D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1.1.3.7 作为施工现场组成部分的其他场所包括：</w:t>
      </w:r>
      <w:r>
        <w:rPr>
          <w:rFonts w:hint="eastAsia" w:ascii="宋体" w:hAnsi="宋体" w:cs="宋体"/>
          <w:i w:val="0"/>
          <w:iCs w:val="0"/>
          <w:color w:val="auto"/>
          <w:szCs w:val="21"/>
          <w:highlight w:val="none"/>
          <w:u w:val="single"/>
        </w:rPr>
        <w:t xml:space="preserve">            </w:t>
      </w:r>
      <w:r>
        <w:rPr>
          <w:rFonts w:hint="eastAsia" w:ascii="宋体" w:hAnsi="宋体" w:cs="宋体"/>
          <w:i w:val="0"/>
          <w:iCs w:val="0"/>
          <w:color w:val="auto"/>
          <w:szCs w:val="21"/>
          <w:highlight w:val="none"/>
        </w:rPr>
        <w:t>。</w:t>
      </w:r>
    </w:p>
    <w:p w14:paraId="0162226C">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1.1.3.9 永久占地包括：</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p>
    <w:p w14:paraId="607DBB11">
      <w:pPr>
        <w:adjustRightInd/>
        <w:snapToGrid w:val="0"/>
        <w:spacing w:line="360" w:lineRule="auto"/>
        <w:ind w:firstLine="480" w:firstLineChars="200"/>
        <w:jc w:val="left"/>
        <w:rPr>
          <w:rFonts w:ascii="宋体" w:hAnsi="宋体" w:cs="宋体"/>
          <w:i w:val="0"/>
          <w:iCs w:val="0"/>
          <w:snapToGrid w:val="0"/>
          <w:color w:val="auto"/>
          <w:kern w:val="0"/>
          <w:szCs w:val="21"/>
          <w:highlight w:val="none"/>
        </w:rPr>
      </w:pPr>
      <w:r>
        <w:rPr>
          <w:rFonts w:hint="eastAsia" w:ascii="宋体" w:hAnsi="宋体" w:cs="宋体"/>
          <w:i w:val="0"/>
          <w:iCs w:val="0"/>
          <w:color w:val="auto"/>
          <w:kern w:val="0"/>
          <w:szCs w:val="21"/>
          <w:highlight w:val="none"/>
        </w:rPr>
        <w:t>1.1.3.10 临时占地包括：</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p>
    <w:p w14:paraId="443DC4E5">
      <w:pPr>
        <w:snapToGrid w:val="0"/>
        <w:spacing w:line="360" w:lineRule="auto"/>
        <w:ind w:firstLine="480" w:firstLineChars="200"/>
        <w:rPr>
          <w:rFonts w:ascii="宋体" w:hAnsi="宋体" w:cs="宋体"/>
          <w:i w:val="0"/>
          <w:iCs w:val="0"/>
          <w:snapToGrid w:val="0"/>
          <w:color w:val="auto"/>
          <w:kern w:val="0"/>
          <w:szCs w:val="21"/>
          <w:highlight w:val="none"/>
        </w:rPr>
      </w:pPr>
      <w:r>
        <w:rPr>
          <w:rFonts w:hint="eastAsia" w:ascii="宋体" w:hAnsi="宋体" w:cs="宋体"/>
          <w:i w:val="0"/>
          <w:iCs w:val="0"/>
          <w:snapToGrid w:val="0"/>
          <w:color w:val="auto"/>
          <w:kern w:val="0"/>
          <w:szCs w:val="21"/>
          <w:highlight w:val="none"/>
        </w:rPr>
        <w:t xml:space="preserve">1.3法律 </w:t>
      </w:r>
    </w:p>
    <w:p w14:paraId="414B7E84">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适用于合同的其他规范性文件：</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A36EB97">
      <w:pPr>
        <w:autoSpaceDE w:val="0"/>
        <w:autoSpaceDN w:val="0"/>
        <w:snapToGrid w:val="0"/>
        <w:spacing w:line="360" w:lineRule="auto"/>
        <w:ind w:firstLine="480" w:firstLineChars="200"/>
        <w:jc w:val="left"/>
        <w:rPr>
          <w:rFonts w:ascii="宋体" w:hAnsi="宋体" w:cs="宋体"/>
          <w:i w:val="0"/>
          <w:iCs w:val="0"/>
          <w:snapToGrid w:val="0"/>
          <w:color w:val="auto"/>
          <w:kern w:val="0"/>
          <w:szCs w:val="21"/>
          <w:highlight w:val="none"/>
        </w:rPr>
      </w:pPr>
      <w:r>
        <w:rPr>
          <w:rFonts w:hint="eastAsia" w:ascii="宋体" w:hAnsi="宋体" w:cs="宋体"/>
          <w:i w:val="0"/>
          <w:iCs w:val="0"/>
          <w:snapToGrid w:val="0"/>
          <w:color w:val="auto"/>
          <w:kern w:val="0"/>
          <w:szCs w:val="21"/>
          <w:highlight w:val="none"/>
        </w:rPr>
        <w:t>1.4 标准和规范</w:t>
      </w:r>
    </w:p>
    <w:p w14:paraId="735980BF">
      <w:pPr>
        <w:snapToGrid w:val="0"/>
        <w:spacing w:line="360" w:lineRule="auto"/>
        <w:ind w:firstLine="480" w:firstLineChars="200"/>
        <w:rPr>
          <w:rFonts w:ascii="宋体" w:hAnsi="宋体"/>
          <w:b/>
          <w:i w:val="0"/>
          <w:iCs w:val="0"/>
          <w:snapToGrid w:val="0"/>
          <w:color w:val="auto"/>
          <w:kern w:val="0"/>
          <w:szCs w:val="21"/>
          <w:highlight w:val="none"/>
          <w:u w:val="single"/>
        </w:rPr>
      </w:pPr>
      <w:r>
        <w:rPr>
          <w:rFonts w:hint="eastAsia" w:ascii="宋体" w:hAnsi="宋体"/>
          <w:i w:val="0"/>
          <w:iCs w:val="0"/>
          <w:snapToGrid w:val="0"/>
          <w:color w:val="auto"/>
          <w:kern w:val="0"/>
          <w:szCs w:val="21"/>
          <w:highlight w:val="none"/>
        </w:rPr>
        <w:t>1.4.1适用于工程的标准规范包括：</w:t>
      </w:r>
      <w:r>
        <w:rPr>
          <w:rFonts w:hint="eastAsia" w:ascii="宋体" w:hAnsi="宋体"/>
          <w:b/>
          <w:i w:val="0"/>
          <w:iCs w:val="0"/>
          <w:snapToGrid w:val="0"/>
          <w:color w:val="auto"/>
          <w:kern w:val="0"/>
          <w:szCs w:val="21"/>
          <w:highlight w:val="none"/>
          <w:u w:val="single"/>
        </w:rPr>
        <w:t xml:space="preserve">    </w:t>
      </w:r>
      <w:r>
        <w:rPr>
          <w:rFonts w:hint="eastAsia" w:ascii="宋体" w:hAnsi="宋体"/>
          <w:b/>
          <w:i w:val="0"/>
          <w:iCs w:val="0"/>
          <w:snapToGrid w:val="0"/>
          <w:color w:val="auto"/>
          <w:kern w:val="0"/>
          <w:szCs w:val="21"/>
          <w:highlight w:val="none"/>
          <w:u w:val="single"/>
          <w:lang w:val="en-US" w:eastAsia="zh-CN"/>
        </w:rPr>
        <w:t xml:space="preserve">                </w:t>
      </w:r>
      <w:r>
        <w:rPr>
          <w:rFonts w:hint="eastAsia" w:ascii="宋体" w:hAnsi="宋体"/>
          <w:b/>
          <w:i w:val="0"/>
          <w:iCs w:val="0"/>
          <w:snapToGrid w:val="0"/>
          <w:color w:val="auto"/>
          <w:kern w:val="0"/>
          <w:szCs w:val="21"/>
          <w:highlight w:val="none"/>
          <w:u w:val="single"/>
        </w:rPr>
        <w:t xml:space="preserve">   </w:t>
      </w:r>
      <w:r>
        <w:rPr>
          <w:rFonts w:hint="eastAsia" w:ascii="Arial" w:hAnsi="Arial" w:cs="Arial"/>
          <w:i w:val="0"/>
          <w:iCs w:val="0"/>
          <w:snapToGrid w:val="0"/>
          <w:color w:val="auto"/>
          <w:kern w:val="0"/>
          <w:szCs w:val="21"/>
          <w:highlight w:val="none"/>
          <w:u w:val="none"/>
        </w:rPr>
        <w:t>。</w:t>
      </w:r>
    </w:p>
    <w:p w14:paraId="0EE4202E">
      <w:pPr>
        <w:snapToGrid w:val="0"/>
        <w:spacing w:line="360" w:lineRule="auto"/>
        <w:ind w:firstLine="480" w:firstLineChars="200"/>
        <w:rPr>
          <w:rFonts w:ascii="宋体" w:hAnsi="宋体"/>
          <w:i w:val="0"/>
          <w:iCs w:val="0"/>
          <w:snapToGrid w:val="0"/>
          <w:color w:val="auto"/>
          <w:kern w:val="0"/>
          <w:szCs w:val="21"/>
          <w:highlight w:val="none"/>
          <w:u w:val="single"/>
        </w:rPr>
      </w:pPr>
      <w:r>
        <w:rPr>
          <w:rFonts w:hint="eastAsia" w:ascii="宋体" w:hAnsi="宋体"/>
          <w:i w:val="0"/>
          <w:iCs w:val="0"/>
          <w:snapToGrid w:val="0"/>
          <w:color w:val="auto"/>
          <w:kern w:val="0"/>
          <w:szCs w:val="21"/>
          <w:highlight w:val="none"/>
        </w:rPr>
        <w:t>1.4.2 发包人提供国外标准、规范的名称：</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2F38071E">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发包人提供国外标准、规范的份数：</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3275CA0E">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发包人提供国外标准、规范的名称：</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lang w:val="en-US" w:eastAsia="zh-CN"/>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16E38D46">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1.4.3发包人对工程的技术标准和功能要求的特殊要求：</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lang w:val="en-US" w:eastAsia="zh-CN"/>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466A1633">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1.5 合同文件的优先顺序</w:t>
      </w:r>
    </w:p>
    <w:p w14:paraId="40AED7D2">
      <w:pPr>
        <w:autoSpaceDE w:val="0"/>
        <w:autoSpaceDN w:val="0"/>
        <w:snapToGrid w:val="0"/>
        <w:spacing w:line="360" w:lineRule="auto"/>
        <w:ind w:firstLine="480" w:firstLineChars="200"/>
        <w:jc w:val="left"/>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合同文件组成及优先顺序为：</w:t>
      </w:r>
    </w:p>
    <w:p w14:paraId="65238E71">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（1）合同协议书</w:t>
      </w:r>
      <w:r>
        <w:rPr>
          <w:rFonts w:hint="eastAsia" w:ascii="宋体" w:hAnsi="宋体"/>
          <w:b/>
          <w:i w:val="0"/>
          <w:iCs w:val="0"/>
          <w:snapToGrid w:val="0"/>
          <w:color w:val="auto"/>
          <w:kern w:val="0"/>
          <w:szCs w:val="21"/>
          <w:highlight w:val="none"/>
        </w:rPr>
        <w:t>；</w:t>
      </w:r>
    </w:p>
    <w:p w14:paraId="42A226EB">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（2）成交通知书（或项目发承包基本情况表）</w:t>
      </w:r>
      <w:r>
        <w:rPr>
          <w:rFonts w:hint="eastAsia" w:ascii="宋体" w:hAnsi="宋体"/>
          <w:b/>
          <w:i w:val="0"/>
          <w:iCs w:val="0"/>
          <w:snapToGrid w:val="0"/>
          <w:color w:val="auto"/>
          <w:kern w:val="0"/>
          <w:szCs w:val="21"/>
          <w:highlight w:val="none"/>
        </w:rPr>
        <w:t>；</w:t>
      </w:r>
    </w:p>
    <w:p w14:paraId="2B6E5F8B">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（3）磋商响应文件及磋商记录（如果有）</w:t>
      </w:r>
      <w:r>
        <w:rPr>
          <w:rFonts w:hint="eastAsia" w:ascii="宋体" w:hAnsi="宋体"/>
          <w:b/>
          <w:i w:val="0"/>
          <w:iCs w:val="0"/>
          <w:snapToGrid w:val="0"/>
          <w:color w:val="auto"/>
          <w:kern w:val="0"/>
          <w:szCs w:val="21"/>
          <w:highlight w:val="none"/>
        </w:rPr>
        <w:t>；</w:t>
      </w:r>
    </w:p>
    <w:p w14:paraId="39D7B199">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（4）专用合同条款及其附件</w:t>
      </w:r>
      <w:r>
        <w:rPr>
          <w:rFonts w:hint="eastAsia" w:ascii="宋体" w:hAnsi="宋体"/>
          <w:b/>
          <w:i w:val="0"/>
          <w:iCs w:val="0"/>
          <w:snapToGrid w:val="0"/>
          <w:color w:val="auto"/>
          <w:kern w:val="0"/>
          <w:szCs w:val="21"/>
          <w:highlight w:val="none"/>
        </w:rPr>
        <w:t>；</w:t>
      </w:r>
    </w:p>
    <w:p w14:paraId="4635D5A1">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（5）通用合同条款</w:t>
      </w:r>
      <w:r>
        <w:rPr>
          <w:rFonts w:hint="eastAsia" w:ascii="宋体" w:hAnsi="宋体"/>
          <w:b/>
          <w:i w:val="0"/>
          <w:iCs w:val="0"/>
          <w:snapToGrid w:val="0"/>
          <w:color w:val="auto"/>
          <w:kern w:val="0"/>
          <w:szCs w:val="21"/>
          <w:highlight w:val="none"/>
        </w:rPr>
        <w:t>；</w:t>
      </w:r>
    </w:p>
    <w:p w14:paraId="3207F971">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（6）技术标准和要求</w:t>
      </w:r>
      <w:r>
        <w:rPr>
          <w:rFonts w:hint="eastAsia" w:ascii="宋体" w:hAnsi="宋体"/>
          <w:b/>
          <w:i w:val="0"/>
          <w:iCs w:val="0"/>
          <w:snapToGrid w:val="0"/>
          <w:color w:val="auto"/>
          <w:kern w:val="0"/>
          <w:szCs w:val="21"/>
          <w:highlight w:val="none"/>
        </w:rPr>
        <w:t>；</w:t>
      </w:r>
    </w:p>
    <w:p w14:paraId="738EB4B4">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（7）图纸（如有） ；</w:t>
      </w:r>
    </w:p>
    <w:p w14:paraId="1B5240AF">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（8）已标价工程量清单或预算书</w:t>
      </w:r>
      <w:r>
        <w:rPr>
          <w:rFonts w:hint="eastAsia" w:ascii="宋体" w:hAnsi="宋体"/>
          <w:b/>
          <w:i w:val="0"/>
          <w:iCs w:val="0"/>
          <w:snapToGrid w:val="0"/>
          <w:color w:val="auto"/>
          <w:kern w:val="0"/>
          <w:szCs w:val="21"/>
          <w:highlight w:val="none"/>
        </w:rPr>
        <w:t>；</w:t>
      </w:r>
    </w:p>
    <w:p w14:paraId="4472C2C4">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（9）其他合同文件</w:t>
      </w:r>
      <w:r>
        <w:rPr>
          <w:rFonts w:hint="eastAsia" w:ascii="宋体" w:hAnsi="宋体"/>
          <w:b/>
          <w:i w:val="0"/>
          <w:iCs w:val="0"/>
          <w:snapToGrid w:val="0"/>
          <w:color w:val="auto"/>
          <w:kern w:val="0"/>
          <w:szCs w:val="21"/>
          <w:highlight w:val="none"/>
        </w:rPr>
        <w:t>：</w:t>
      </w:r>
    </w:p>
    <w:p w14:paraId="17447732">
      <w:pPr>
        <w:snapToGrid w:val="0"/>
        <w:spacing w:line="360" w:lineRule="auto"/>
        <w:ind w:firstLine="718" w:firstLineChars="2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①施工组织设计</w:t>
      </w:r>
      <w:r>
        <w:rPr>
          <w:rFonts w:hint="eastAsia" w:ascii="宋体" w:hAnsi="宋体"/>
          <w:b/>
          <w:i w:val="0"/>
          <w:iCs w:val="0"/>
          <w:snapToGrid w:val="0"/>
          <w:color w:val="auto"/>
          <w:kern w:val="0"/>
          <w:szCs w:val="21"/>
          <w:highlight w:val="none"/>
        </w:rPr>
        <w:t>；</w:t>
      </w:r>
    </w:p>
    <w:p w14:paraId="29D92021">
      <w:pPr>
        <w:snapToGrid w:val="0"/>
        <w:spacing w:line="360" w:lineRule="auto"/>
        <w:ind w:firstLine="718" w:firstLineChars="2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②其他：采购文件（含采购工程量清单）及采购答疑（如果有）。</w:t>
      </w:r>
    </w:p>
    <w:p w14:paraId="557F9532">
      <w:pPr>
        <w:snapToGrid w:val="0"/>
        <w:spacing w:line="360" w:lineRule="auto"/>
        <w:ind w:firstLine="480" w:firstLineChars="200"/>
        <w:outlineLvl w:val="0"/>
        <w:rPr>
          <w:rFonts w:ascii="宋体" w:hAnsi="宋体" w:cs="宋体"/>
          <w:i w:val="0"/>
          <w:iCs w:val="0"/>
          <w:color w:val="auto"/>
          <w:szCs w:val="21"/>
          <w:highlight w:val="none"/>
        </w:rPr>
      </w:pPr>
      <w:bookmarkStart w:id="558" w:name="_Toc20576"/>
      <w:r>
        <w:rPr>
          <w:rFonts w:hint="eastAsia" w:ascii="宋体" w:hAnsi="宋体" w:cs="宋体"/>
          <w:i w:val="0"/>
          <w:iCs w:val="0"/>
          <w:color w:val="auto"/>
          <w:szCs w:val="21"/>
          <w:highlight w:val="none"/>
        </w:rPr>
        <w:t>1.6 图纸和承包人文件</w:t>
      </w:r>
      <w:bookmarkEnd w:id="558"/>
      <w:r>
        <w:rPr>
          <w:rFonts w:hint="eastAsia" w:ascii="宋体" w:hAnsi="宋体" w:cs="宋体"/>
          <w:i w:val="0"/>
          <w:iCs w:val="0"/>
          <w:color w:val="auto"/>
          <w:szCs w:val="21"/>
          <w:highlight w:val="none"/>
        </w:rPr>
        <w:tab/>
      </w:r>
    </w:p>
    <w:p w14:paraId="5C8ABF1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1.6.1 图纸的提供</w:t>
      </w:r>
    </w:p>
    <w:p w14:paraId="7F8201D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发包人向承包人提供图纸的期限：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rPr>
        <w:t>；</w:t>
      </w:r>
    </w:p>
    <w:p w14:paraId="47B74D2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发包人向承包人提供图纸的数量：</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CD31E4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发包人向承包人提供图纸的内容：</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BC5194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1.6.4 承包人文件</w:t>
      </w:r>
    </w:p>
    <w:p w14:paraId="119C250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需要由承包人提供的文件，包括：</w:t>
      </w:r>
      <w:r>
        <w:rPr>
          <w:rFonts w:hint="eastAsia" w:ascii="宋体" w:hAnsi="宋体" w:cs="宋体"/>
          <w:i w:val="0"/>
          <w:iCs w:val="0"/>
          <w:color w:val="auto"/>
          <w:szCs w:val="21"/>
          <w:highlight w:val="none"/>
          <w:u w:val="single"/>
        </w:rPr>
        <w:t></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E9E7EB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承包人提供的文件的期限为：</w:t>
      </w:r>
      <w:r>
        <w:rPr>
          <w:rFonts w:hint="eastAsia" w:ascii="宋体" w:hAnsi="宋体" w:cs="宋体"/>
          <w:i w:val="0"/>
          <w:iCs w:val="0"/>
          <w:color w:val="auto"/>
          <w:szCs w:val="21"/>
          <w:highlight w:val="none"/>
          <w:u w:val="single"/>
        </w:rPr>
        <w:t xml:space="preserve"> 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155146E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承包人提供的文件的数量为：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C10D24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承包人提供的文件的形式为：</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rPr>
        <w:t>；</w:t>
      </w:r>
    </w:p>
    <w:p w14:paraId="42FDE73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发包人审批承包人文件的期限：</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EA6DF0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1.6.5 现场图纸准备</w:t>
      </w:r>
    </w:p>
    <w:p w14:paraId="14B59BC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关于现场图纸准备的约定：</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445BE49C">
      <w:pPr>
        <w:snapToGrid w:val="0"/>
        <w:spacing w:line="360" w:lineRule="auto"/>
        <w:ind w:firstLine="480" w:firstLineChars="200"/>
        <w:outlineLvl w:val="0"/>
        <w:rPr>
          <w:rFonts w:ascii="宋体" w:hAnsi="宋体" w:cs="宋体"/>
          <w:i w:val="0"/>
          <w:iCs w:val="0"/>
          <w:color w:val="auto"/>
          <w:szCs w:val="21"/>
          <w:highlight w:val="none"/>
        </w:rPr>
      </w:pPr>
      <w:bookmarkStart w:id="559" w:name="_Toc9063"/>
      <w:r>
        <w:rPr>
          <w:rFonts w:hint="eastAsia" w:ascii="宋体" w:hAnsi="宋体" w:cs="宋体"/>
          <w:i w:val="0"/>
          <w:iCs w:val="0"/>
          <w:color w:val="auto"/>
          <w:szCs w:val="21"/>
          <w:highlight w:val="none"/>
        </w:rPr>
        <w:t>1.7 联络</w:t>
      </w:r>
      <w:bookmarkEnd w:id="559"/>
    </w:p>
    <w:p w14:paraId="03B0AF8F">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1.7.1发包人和承包人应当在</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天内将与合同有关的通知、批准、证明、证书、指示、指令、要求、请求、同意、意见、确定和决定等书面函件送达对方当事人。</w:t>
      </w:r>
    </w:p>
    <w:p w14:paraId="0E1BB0AA">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1.7.2 发包人接收文件的地点：</w:t>
      </w:r>
      <w:r>
        <w:rPr>
          <w:rFonts w:hint="eastAsia" w:ascii="宋体" w:hAnsi="宋体" w:cs="宋体"/>
          <w:i w:val="0"/>
          <w:iCs w:val="0"/>
          <w:color w:val="auto"/>
          <w:szCs w:val="21"/>
          <w:highlight w:val="none"/>
          <w:u w:val="single"/>
        </w:rPr>
        <w:t>      </w:t>
      </w:r>
      <w:r>
        <w:rPr>
          <w:rFonts w:hint="eastAsia" w:ascii="宋体" w:hAnsi="宋体" w:cs="宋体"/>
          <w:i w:val="0"/>
          <w:iCs w:val="0"/>
          <w:color w:val="auto"/>
          <w:kern w:val="0"/>
          <w:szCs w:val="21"/>
          <w:highlight w:val="none"/>
        </w:rPr>
        <w:t>；</w:t>
      </w:r>
    </w:p>
    <w:p w14:paraId="3F9B7486">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发包人指定的接收人为：</w:t>
      </w:r>
      <w:r>
        <w:rPr>
          <w:rFonts w:hint="eastAsia" w:ascii="宋体" w:hAnsi="宋体" w:cs="宋体"/>
          <w:i w:val="0"/>
          <w:iCs w:val="0"/>
          <w:color w:val="auto"/>
          <w:szCs w:val="21"/>
          <w:highlight w:val="none"/>
          <w:u w:val="single"/>
        </w:rPr>
        <w:t>               </w:t>
      </w:r>
      <w:r>
        <w:rPr>
          <w:rFonts w:hint="eastAsia" w:ascii="宋体" w:hAnsi="宋体" w:cs="宋体"/>
          <w:i w:val="0"/>
          <w:iCs w:val="0"/>
          <w:color w:val="auto"/>
          <w:kern w:val="0"/>
          <w:szCs w:val="21"/>
          <w:highlight w:val="none"/>
        </w:rPr>
        <w:t>。</w:t>
      </w:r>
    </w:p>
    <w:p w14:paraId="7A0D013D">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承包人接收文件的地点：</w:t>
      </w:r>
      <w:r>
        <w:rPr>
          <w:rFonts w:hint="eastAsia" w:ascii="宋体" w:hAnsi="宋体" w:cs="宋体"/>
          <w:i w:val="0"/>
          <w:iCs w:val="0"/>
          <w:color w:val="auto"/>
          <w:szCs w:val="21"/>
          <w:highlight w:val="none"/>
          <w:u w:val="single"/>
        </w:rPr>
        <w:t>             </w:t>
      </w:r>
      <w:r>
        <w:rPr>
          <w:rFonts w:hint="eastAsia" w:ascii="宋体" w:hAnsi="宋体" w:cs="宋体"/>
          <w:i w:val="0"/>
          <w:iCs w:val="0"/>
          <w:color w:val="auto"/>
          <w:kern w:val="0"/>
          <w:szCs w:val="21"/>
          <w:highlight w:val="none"/>
        </w:rPr>
        <w:t>；</w:t>
      </w:r>
    </w:p>
    <w:p w14:paraId="19315D74">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承包人指定的接收人为：</w:t>
      </w:r>
      <w:r>
        <w:rPr>
          <w:rFonts w:hint="eastAsia" w:ascii="宋体" w:hAnsi="宋体" w:cs="宋体"/>
          <w:i w:val="0"/>
          <w:iCs w:val="0"/>
          <w:color w:val="auto"/>
          <w:szCs w:val="21"/>
          <w:highlight w:val="none"/>
          <w:u w:val="single"/>
        </w:rPr>
        <w:t>             </w:t>
      </w:r>
      <w:r>
        <w:rPr>
          <w:rFonts w:hint="eastAsia" w:ascii="宋体" w:hAnsi="宋体" w:cs="宋体"/>
          <w:i w:val="0"/>
          <w:iCs w:val="0"/>
          <w:color w:val="auto"/>
          <w:kern w:val="0"/>
          <w:szCs w:val="21"/>
          <w:highlight w:val="none"/>
        </w:rPr>
        <w:t>。</w:t>
      </w:r>
    </w:p>
    <w:p w14:paraId="40050EA0">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监理人接收文件的地点：</w:t>
      </w:r>
      <w:r>
        <w:rPr>
          <w:rFonts w:hint="eastAsia" w:ascii="宋体" w:hAnsi="宋体" w:cs="宋体"/>
          <w:i w:val="0"/>
          <w:iCs w:val="0"/>
          <w:color w:val="auto"/>
          <w:szCs w:val="21"/>
          <w:highlight w:val="none"/>
          <w:u w:val="single"/>
        </w:rPr>
        <w:t>            </w:t>
      </w:r>
      <w:r>
        <w:rPr>
          <w:rFonts w:hint="eastAsia" w:ascii="宋体" w:hAnsi="宋体" w:cs="宋体"/>
          <w:i w:val="0"/>
          <w:iCs w:val="0"/>
          <w:color w:val="auto"/>
          <w:kern w:val="0"/>
          <w:szCs w:val="21"/>
          <w:highlight w:val="none"/>
        </w:rPr>
        <w:t>；</w:t>
      </w:r>
    </w:p>
    <w:p w14:paraId="1128288D">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监理人指定的接收人为：</w:t>
      </w:r>
      <w:r>
        <w:rPr>
          <w:rFonts w:hint="eastAsia" w:ascii="宋体" w:hAnsi="宋体" w:cs="宋体"/>
          <w:i w:val="0"/>
          <w:iCs w:val="0"/>
          <w:color w:val="auto"/>
          <w:szCs w:val="21"/>
          <w:highlight w:val="none"/>
          <w:u w:val="single"/>
        </w:rPr>
        <w:t>            </w:t>
      </w:r>
      <w:r>
        <w:rPr>
          <w:rFonts w:hint="eastAsia" w:ascii="宋体" w:hAnsi="宋体" w:cs="宋体"/>
          <w:i w:val="0"/>
          <w:iCs w:val="0"/>
          <w:color w:val="auto"/>
          <w:kern w:val="0"/>
          <w:szCs w:val="21"/>
          <w:highlight w:val="none"/>
        </w:rPr>
        <w:t>。</w:t>
      </w:r>
    </w:p>
    <w:p w14:paraId="0E3C3170">
      <w:pPr>
        <w:snapToGrid w:val="0"/>
        <w:spacing w:line="360" w:lineRule="auto"/>
        <w:ind w:firstLine="480" w:firstLineChars="200"/>
        <w:outlineLvl w:val="0"/>
        <w:rPr>
          <w:rFonts w:ascii="宋体" w:hAnsi="宋体" w:cs="宋体"/>
          <w:i w:val="0"/>
          <w:iCs w:val="0"/>
          <w:color w:val="auto"/>
          <w:szCs w:val="21"/>
          <w:highlight w:val="none"/>
        </w:rPr>
      </w:pPr>
      <w:bookmarkStart w:id="560" w:name="_Toc11838"/>
      <w:r>
        <w:rPr>
          <w:rFonts w:hint="eastAsia" w:ascii="宋体" w:hAnsi="宋体" w:cs="宋体"/>
          <w:i w:val="0"/>
          <w:iCs w:val="0"/>
          <w:color w:val="auto"/>
          <w:szCs w:val="21"/>
          <w:highlight w:val="none"/>
        </w:rPr>
        <w:t>1.10 交通运输</w:t>
      </w:r>
      <w:bookmarkEnd w:id="560"/>
    </w:p>
    <w:p w14:paraId="67997656">
      <w:pPr>
        <w:snapToGrid w:val="0"/>
        <w:spacing w:line="360" w:lineRule="auto"/>
        <w:ind w:firstLine="480" w:firstLineChars="200"/>
        <w:outlineLvl w:val="0"/>
        <w:rPr>
          <w:rFonts w:ascii="宋体" w:hAnsi="宋体" w:cs="宋体"/>
          <w:i w:val="0"/>
          <w:iCs w:val="0"/>
          <w:color w:val="auto"/>
          <w:szCs w:val="21"/>
          <w:highlight w:val="none"/>
        </w:rPr>
      </w:pPr>
      <w:bookmarkStart w:id="561" w:name="_Toc4128"/>
      <w:r>
        <w:rPr>
          <w:rFonts w:hint="eastAsia" w:ascii="宋体" w:hAnsi="宋体" w:cs="宋体"/>
          <w:i w:val="0"/>
          <w:iCs w:val="0"/>
          <w:color w:val="auto"/>
          <w:szCs w:val="21"/>
          <w:highlight w:val="none"/>
        </w:rPr>
        <w:t>1</w:t>
      </w:r>
      <w:bookmarkStart w:id="562" w:name="_Toc300934943"/>
      <w:bookmarkStart w:id="563" w:name="_Toc303539100"/>
      <w:bookmarkStart w:id="564" w:name="_Toc312677986"/>
      <w:bookmarkStart w:id="565" w:name="_Toc318581155"/>
      <w:bookmarkStart w:id="566" w:name="_Toc304295521"/>
      <w:r>
        <w:rPr>
          <w:rFonts w:hint="eastAsia" w:ascii="宋体" w:hAnsi="宋体" w:cs="宋体"/>
          <w:i w:val="0"/>
          <w:iCs w:val="0"/>
          <w:color w:val="auto"/>
          <w:szCs w:val="21"/>
          <w:highlight w:val="none"/>
        </w:rPr>
        <w:t>.10.1 出入现场的权利</w:t>
      </w:r>
      <w:bookmarkEnd w:id="561"/>
    </w:p>
    <w:p w14:paraId="43A3216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关于出入现场的权利的约定：</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bookmarkEnd w:id="562"/>
    <w:bookmarkEnd w:id="563"/>
    <w:bookmarkEnd w:id="564"/>
    <w:bookmarkEnd w:id="565"/>
    <w:bookmarkEnd w:id="566"/>
    <w:p w14:paraId="4D9C9B36">
      <w:pPr>
        <w:snapToGrid w:val="0"/>
        <w:spacing w:line="360" w:lineRule="auto"/>
        <w:ind w:firstLine="480" w:firstLineChars="200"/>
        <w:jc w:val="left"/>
        <w:outlineLvl w:val="0"/>
        <w:rPr>
          <w:rFonts w:ascii="宋体" w:hAnsi="宋体" w:cs="宋体"/>
          <w:i w:val="0"/>
          <w:iCs w:val="0"/>
          <w:color w:val="auto"/>
          <w:szCs w:val="21"/>
          <w:highlight w:val="none"/>
        </w:rPr>
      </w:pPr>
      <w:bookmarkStart w:id="567" w:name="_Toc30902"/>
      <w:r>
        <w:rPr>
          <w:rFonts w:hint="eastAsia" w:ascii="宋体" w:hAnsi="宋体" w:cs="宋体"/>
          <w:i w:val="0"/>
          <w:iCs w:val="0"/>
          <w:color w:val="auto"/>
          <w:szCs w:val="21"/>
          <w:highlight w:val="none"/>
        </w:rPr>
        <w:t>1</w:t>
      </w:r>
      <w:bookmarkStart w:id="568" w:name="_Toc312677987"/>
      <w:bookmarkStart w:id="569" w:name="_Toc304295522"/>
      <w:bookmarkStart w:id="570" w:name="_Toc300934944"/>
      <w:bookmarkStart w:id="571" w:name="_Toc318581156"/>
      <w:bookmarkStart w:id="572" w:name="_Toc303539101"/>
      <w:r>
        <w:rPr>
          <w:rFonts w:hint="eastAsia" w:ascii="宋体" w:hAnsi="宋体" w:cs="宋体"/>
          <w:i w:val="0"/>
          <w:iCs w:val="0"/>
          <w:color w:val="auto"/>
          <w:szCs w:val="21"/>
          <w:highlight w:val="none"/>
        </w:rPr>
        <w:t>.10.3 场内交通</w:t>
      </w:r>
      <w:bookmarkEnd w:id="567"/>
    </w:p>
    <w:p w14:paraId="0BFBECE5">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关于场外交通和场内交通的边界的约定：</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268B3B6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关于发包人向承包人免费提供满足工程施工需要的场内道路和交通设施的约定：</w:t>
      </w:r>
      <w:r>
        <w:rPr>
          <w:rFonts w:hint="eastAsia" w:ascii="宋体" w:hAnsi="宋体" w:cs="宋体"/>
          <w:i w:val="0"/>
          <w:iCs w:val="0"/>
          <w:color w:val="auto"/>
          <w:szCs w:val="21"/>
          <w:highlight w:val="none"/>
          <w:u w:val="single"/>
        </w:rPr>
        <w:t>                           </w:t>
      </w:r>
      <w:r>
        <w:rPr>
          <w:rFonts w:hint="eastAsia" w:ascii="宋体" w:hAnsi="宋体" w:cs="宋体"/>
          <w:i w:val="0"/>
          <w:iCs w:val="0"/>
          <w:color w:val="auto"/>
          <w:szCs w:val="21"/>
          <w:highlight w:val="none"/>
        </w:rPr>
        <w:t>。</w:t>
      </w:r>
      <w:bookmarkEnd w:id="568"/>
      <w:bookmarkEnd w:id="569"/>
      <w:bookmarkEnd w:id="570"/>
      <w:bookmarkEnd w:id="571"/>
      <w:bookmarkEnd w:id="572"/>
      <w:r>
        <w:rPr>
          <w:rFonts w:hint="eastAsia" w:ascii="宋体" w:hAnsi="宋体" w:cs="宋体"/>
          <w:i w:val="0"/>
          <w:iCs w:val="0"/>
          <w:color w:val="auto"/>
          <w:szCs w:val="21"/>
          <w:highlight w:val="none"/>
        </w:rPr>
        <w:t xml:space="preserve">  </w:t>
      </w:r>
      <w:bookmarkStart w:id="573" w:name="_Toc318581157"/>
    </w:p>
    <w:p w14:paraId="4EC14B0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1.10.4超大件和超重件的运输</w:t>
      </w:r>
    </w:p>
    <w:p w14:paraId="5CC98DF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运输超大件或超重件所需的道路和桥梁临时加固改造费用和其他有关费用由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承担。</w:t>
      </w:r>
    </w:p>
    <w:bookmarkEnd w:id="573"/>
    <w:p w14:paraId="0141343D">
      <w:pPr>
        <w:snapToGrid w:val="0"/>
        <w:spacing w:line="360" w:lineRule="auto"/>
        <w:ind w:firstLine="480" w:firstLineChars="200"/>
        <w:outlineLvl w:val="0"/>
        <w:rPr>
          <w:rFonts w:ascii="宋体" w:hAnsi="宋体" w:cs="宋体"/>
          <w:i w:val="0"/>
          <w:iCs w:val="0"/>
          <w:color w:val="auto"/>
          <w:szCs w:val="21"/>
          <w:highlight w:val="none"/>
        </w:rPr>
      </w:pPr>
      <w:bookmarkStart w:id="574" w:name="_Toc5104"/>
      <w:r>
        <w:rPr>
          <w:rFonts w:hint="eastAsia" w:ascii="宋体" w:hAnsi="宋体" w:cs="宋体"/>
          <w:i w:val="0"/>
          <w:iCs w:val="0"/>
          <w:color w:val="auto"/>
          <w:szCs w:val="21"/>
          <w:highlight w:val="none"/>
        </w:rPr>
        <w:t>1.11 知识产权</w:t>
      </w:r>
      <w:bookmarkEnd w:id="574"/>
    </w:p>
    <w:p w14:paraId="29FC937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i w:val="0"/>
          <w:iCs w:val="0"/>
          <w:color w:val="auto"/>
          <w:szCs w:val="21"/>
          <w:highlight w:val="none"/>
          <w:u w:val="single"/>
        </w:rPr>
        <w:t xml:space="preserve">                                             </w:t>
      </w:r>
      <w:r>
        <w:rPr>
          <w:rFonts w:hint="eastAsia" w:ascii="宋体" w:hAnsi="宋体" w:cs="宋体"/>
          <w:i w:val="0"/>
          <w:iCs w:val="0"/>
          <w:color w:val="auto"/>
          <w:szCs w:val="21"/>
          <w:highlight w:val="none"/>
        </w:rPr>
        <w:t>。</w:t>
      </w:r>
    </w:p>
    <w:p w14:paraId="75768CD5">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关于发包人提供的上述文件的使用限制的要求：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AB2C8E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1.11.2 关于承包人为实施工程所编制文件的著作权的归属：</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712DE1E">
      <w:pPr>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关于承包人提供的上述文件的使用限制的要求：</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9FA9557">
      <w:pPr>
        <w:snapToGrid w:val="0"/>
        <w:spacing w:line="360" w:lineRule="auto"/>
        <w:ind w:firstLine="480" w:firstLineChars="200"/>
        <w:outlineLvl w:val="0"/>
        <w:rPr>
          <w:rFonts w:ascii="宋体" w:hAnsi="宋体" w:cs="宋体"/>
          <w:i w:val="0"/>
          <w:iCs w:val="0"/>
          <w:color w:val="auto"/>
          <w:kern w:val="0"/>
          <w:szCs w:val="21"/>
          <w:highlight w:val="none"/>
        </w:rPr>
      </w:pPr>
      <w:bookmarkStart w:id="575" w:name="_Toc1087"/>
      <w:r>
        <w:rPr>
          <w:rFonts w:hint="eastAsia" w:ascii="宋体" w:hAnsi="宋体" w:cs="宋体"/>
          <w:i w:val="0"/>
          <w:iCs w:val="0"/>
          <w:color w:val="auto"/>
          <w:szCs w:val="21"/>
          <w:highlight w:val="none"/>
        </w:rPr>
        <w:t>1.11.4 承包人在施工过程中所采用的专利、专有技术、技术秘密的使用费的承担方式：</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bookmarkEnd w:id="575"/>
    </w:p>
    <w:p w14:paraId="57289F2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1.13工程量清单错误的修正</w:t>
      </w:r>
    </w:p>
    <w:p w14:paraId="117AE25D">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出现工程量清单错误时，是否调整合同价格：</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w:t>
      </w:r>
    </w:p>
    <w:p w14:paraId="3C989C8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允许调整合同价格的工程量偏差范围：</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p>
    <w:p w14:paraId="4E38D810">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576" w:name="_Toc351203634"/>
      <w:r>
        <w:rPr>
          <w:rFonts w:hint="eastAsia" w:ascii="宋体" w:hAnsi="宋体" w:eastAsia="宋体"/>
          <w:b/>
          <w:i w:val="0"/>
          <w:iCs w:val="0"/>
          <w:color w:val="auto"/>
          <w:szCs w:val="21"/>
          <w:highlight w:val="none"/>
        </w:rPr>
        <w:t>2</w:t>
      </w:r>
      <w:bookmarkStart w:id="577" w:name="_Toc296891197"/>
      <w:bookmarkStart w:id="578" w:name="_Toc297048343"/>
      <w:bookmarkStart w:id="579" w:name="_Toc296944496"/>
      <w:bookmarkStart w:id="580" w:name="_Toc296503157"/>
      <w:bookmarkStart w:id="581" w:name="_Toc296346658"/>
      <w:bookmarkStart w:id="582" w:name="_Toc296347156"/>
      <w:bookmarkStart w:id="583" w:name="_Toc292559867"/>
      <w:bookmarkStart w:id="584" w:name="_Toc292559362"/>
      <w:bookmarkStart w:id="585" w:name="_Toc296890985"/>
      <w:bookmarkStart w:id="586" w:name="_Toc297120457"/>
      <w:r>
        <w:rPr>
          <w:rFonts w:hint="eastAsia" w:ascii="宋体" w:hAnsi="宋体" w:eastAsia="宋体"/>
          <w:b/>
          <w:i w:val="0"/>
          <w:iCs w:val="0"/>
          <w:color w:val="auto"/>
          <w:szCs w:val="21"/>
          <w:highlight w:val="none"/>
        </w:rPr>
        <w:t>. 发包人</w:t>
      </w:r>
      <w:bookmarkEnd w:id="576"/>
    </w:p>
    <w:bookmarkEnd w:id="577"/>
    <w:bookmarkEnd w:id="578"/>
    <w:bookmarkEnd w:id="579"/>
    <w:bookmarkEnd w:id="580"/>
    <w:bookmarkEnd w:id="581"/>
    <w:bookmarkEnd w:id="582"/>
    <w:bookmarkEnd w:id="583"/>
    <w:bookmarkEnd w:id="584"/>
    <w:bookmarkEnd w:id="585"/>
    <w:bookmarkEnd w:id="586"/>
    <w:p w14:paraId="63847A8E">
      <w:pPr>
        <w:snapToGrid w:val="0"/>
        <w:spacing w:line="360" w:lineRule="auto"/>
        <w:ind w:firstLine="480" w:firstLineChars="200"/>
        <w:outlineLvl w:val="0"/>
        <w:rPr>
          <w:rFonts w:ascii="宋体" w:hAnsi="宋体" w:cs="宋体"/>
          <w:i w:val="0"/>
          <w:iCs w:val="0"/>
          <w:color w:val="auto"/>
          <w:szCs w:val="21"/>
          <w:highlight w:val="none"/>
        </w:rPr>
      </w:pPr>
      <w:bookmarkStart w:id="587" w:name="_Toc27275"/>
      <w:r>
        <w:rPr>
          <w:rFonts w:hint="eastAsia" w:ascii="宋体" w:hAnsi="宋体" w:cs="宋体"/>
          <w:i w:val="0"/>
          <w:iCs w:val="0"/>
          <w:color w:val="auto"/>
          <w:szCs w:val="21"/>
          <w:highlight w:val="none"/>
        </w:rPr>
        <w:t>2.2 发包人代表</w:t>
      </w:r>
      <w:bookmarkEnd w:id="587"/>
    </w:p>
    <w:p w14:paraId="53E2C11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发包人代表：</w:t>
      </w:r>
    </w:p>
    <w:p w14:paraId="6CF0925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姓    名：</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63CB1E3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身份证号：</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6F25704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职    务：</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106615D">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  </w:t>
      </w:r>
      <w:r>
        <w:rPr>
          <w:rFonts w:hint="eastAsia" w:ascii="宋体" w:hAnsi="宋体" w:cs="宋体"/>
          <w:i w:val="0"/>
          <w:iCs w:val="0"/>
          <w:color w:val="auto"/>
          <w:szCs w:val="21"/>
          <w:highlight w:val="none"/>
        </w:rPr>
        <w:t>；</w:t>
      </w:r>
    </w:p>
    <w:p w14:paraId="524B7F0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   </w:t>
      </w:r>
      <w:r>
        <w:rPr>
          <w:rFonts w:hint="eastAsia" w:ascii="宋体" w:hAnsi="宋体" w:cs="宋体"/>
          <w:i w:val="0"/>
          <w:iCs w:val="0"/>
          <w:color w:val="auto"/>
          <w:szCs w:val="21"/>
          <w:highlight w:val="none"/>
        </w:rPr>
        <w:t>；</w:t>
      </w:r>
    </w:p>
    <w:p w14:paraId="39384D1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A2F3015">
      <w:pPr>
        <w:snapToGrid w:val="0"/>
        <w:spacing w:line="360" w:lineRule="auto"/>
        <w:ind w:firstLine="480" w:firstLineChars="200"/>
        <w:rPr>
          <w:rFonts w:ascii="宋体" w:hAnsi="宋体" w:cs="宋体"/>
          <w:b/>
          <w:i w:val="0"/>
          <w:iCs w:val="0"/>
          <w:color w:val="auto"/>
          <w:szCs w:val="21"/>
          <w:highlight w:val="none"/>
        </w:rPr>
      </w:pPr>
      <w:r>
        <w:rPr>
          <w:rFonts w:hint="eastAsia" w:ascii="宋体" w:hAnsi="宋体" w:cs="宋体"/>
          <w:i w:val="0"/>
          <w:iCs w:val="0"/>
          <w:color w:val="auto"/>
          <w:szCs w:val="21"/>
          <w:highlight w:val="none"/>
        </w:rPr>
        <w:t>发包人对发包人代表的授权范围如下：</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08EDACF">
      <w:pPr>
        <w:snapToGrid w:val="0"/>
        <w:spacing w:line="360" w:lineRule="auto"/>
        <w:ind w:firstLine="480" w:firstLineChars="200"/>
        <w:outlineLvl w:val="0"/>
        <w:rPr>
          <w:rFonts w:ascii="宋体" w:hAnsi="宋体" w:cs="宋体"/>
          <w:i w:val="0"/>
          <w:iCs w:val="0"/>
          <w:color w:val="auto"/>
          <w:szCs w:val="21"/>
          <w:highlight w:val="none"/>
        </w:rPr>
      </w:pPr>
      <w:bookmarkStart w:id="588" w:name="_Toc23152"/>
      <w:r>
        <w:rPr>
          <w:rFonts w:hint="eastAsia" w:ascii="宋体" w:hAnsi="宋体" w:cs="宋体"/>
          <w:i w:val="0"/>
          <w:iCs w:val="0"/>
          <w:color w:val="auto"/>
          <w:szCs w:val="21"/>
          <w:highlight w:val="none"/>
        </w:rPr>
        <w:t>2.4 施工现场、施工条件和基础资料的提供</w:t>
      </w:r>
      <w:bookmarkEnd w:id="588"/>
    </w:p>
    <w:p w14:paraId="1C617C5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2.4.1 提供施工现场</w:t>
      </w:r>
    </w:p>
    <w:p w14:paraId="23FE037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关于发包人移交施工现场的期限要求：</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281D477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2.4.2 提供施工条件</w:t>
      </w:r>
    </w:p>
    <w:p w14:paraId="2BD74CD5">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关于发包人应负责提供施工所需要的条件，包括：</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6326BB2B">
      <w:pPr>
        <w:snapToGrid w:val="0"/>
        <w:spacing w:line="360" w:lineRule="auto"/>
        <w:ind w:firstLine="480" w:firstLineChars="200"/>
        <w:outlineLvl w:val="0"/>
        <w:rPr>
          <w:rFonts w:ascii="宋体" w:hAnsi="宋体" w:cs="宋体"/>
          <w:i w:val="0"/>
          <w:iCs w:val="0"/>
          <w:color w:val="auto"/>
          <w:szCs w:val="21"/>
          <w:highlight w:val="none"/>
        </w:rPr>
      </w:pPr>
      <w:bookmarkStart w:id="589" w:name="_Toc2324"/>
      <w:r>
        <w:rPr>
          <w:rFonts w:hint="eastAsia" w:ascii="宋体" w:hAnsi="宋体" w:cs="宋体"/>
          <w:i w:val="0"/>
          <w:iCs w:val="0"/>
          <w:color w:val="auto"/>
          <w:szCs w:val="21"/>
          <w:highlight w:val="none"/>
        </w:rPr>
        <w:t>2.5 资金来源证明及支付担保</w:t>
      </w:r>
      <w:bookmarkEnd w:id="589"/>
    </w:p>
    <w:p w14:paraId="55D95DC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发包人提供资金来源证明的期限要求：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0D0BFA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发包人是否提供支付担保：</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8766388">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发包人提供支付担保的形式：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4FF7C46">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590" w:name="_Toc351203635"/>
      <w:r>
        <w:rPr>
          <w:rFonts w:hint="eastAsia" w:ascii="宋体" w:hAnsi="宋体" w:eastAsia="宋体"/>
          <w:b/>
          <w:i w:val="0"/>
          <w:iCs w:val="0"/>
          <w:color w:val="auto"/>
          <w:szCs w:val="21"/>
          <w:highlight w:val="none"/>
        </w:rPr>
        <w:t>3</w:t>
      </w:r>
      <w:bookmarkStart w:id="591" w:name="_Toc292559868"/>
      <w:bookmarkStart w:id="592" w:name="_Toc296346659"/>
      <w:bookmarkStart w:id="593" w:name="_Toc296891198"/>
      <w:bookmarkStart w:id="594" w:name="_Toc296347157"/>
      <w:bookmarkStart w:id="595" w:name="_Toc292559363"/>
      <w:bookmarkStart w:id="596" w:name="_Toc296503158"/>
      <w:bookmarkStart w:id="597" w:name="_Toc297120458"/>
      <w:bookmarkStart w:id="598" w:name="_Toc297048344"/>
      <w:bookmarkStart w:id="599" w:name="_Toc296944497"/>
      <w:bookmarkStart w:id="600" w:name="_Toc296890986"/>
      <w:r>
        <w:rPr>
          <w:rFonts w:hint="eastAsia" w:ascii="宋体" w:hAnsi="宋体" w:eastAsia="宋体"/>
          <w:b/>
          <w:i w:val="0"/>
          <w:iCs w:val="0"/>
          <w:color w:val="auto"/>
          <w:szCs w:val="21"/>
          <w:highlight w:val="none"/>
        </w:rPr>
        <w:t>. 承包人</w:t>
      </w:r>
      <w:bookmarkEnd w:id="590"/>
    </w:p>
    <w:bookmarkEnd w:id="591"/>
    <w:bookmarkEnd w:id="592"/>
    <w:bookmarkEnd w:id="593"/>
    <w:bookmarkEnd w:id="594"/>
    <w:bookmarkEnd w:id="595"/>
    <w:bookmarkEnd w:id="596"/>
    <w:bookmarkEnd w:id="597"/>
    <w:bookmarkEnd w:id="598"/>
    <w:bookmarkEnd w:id="599"/>
    <w:bookmarkEnd w:id="600"/>
    <w:p w14:paraId="55B0159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3.1 承包人的一般义务</w:t>
      </w:r>
    </w:p>
    <w:p w14:paraId="3FE9237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（9）</w:t>
      </w:r>
      <w:r>
        <w:rPr>
          <w:rFonts w:hint="eastAsia" w:ascii="宋体" w:hAnsi="宋体" w:cs="宋体"/>
          <w:i w:val="0"/>
          <w:iCs w:val="0"/>
          <w:color w:val="auto"/>
          <w:szCs w:val="21"/>
          <w:highlight w:val="none"/>
        </w:rPr>
        <w:t>承包人提交的竣工资料的内容：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C99943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承包人需要提交的竣工资料套数：</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6E9112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承包人提交的竣工资料的费用承担：</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C4C52C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承包人提交的竣工资料移交时间：</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2C04B0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承包人提交的竣工资料形式要求：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3E99C4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（10）承包人应履行的其他义务：</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7977E8D">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3.2 项目经理</w:t>
      </w:r>
    </w:p>
    <w:p w14:paraId="0647B85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 xml:space="preserve">3.2.1 </w:t>
      </w:r>
      <w:r>
        <w:rPr>
          <w:rFonts w:hint="eastAsia" w:ascii="宋体" w:hAnsi="宋体" w:cs="宋体"/>
          <w:i w:val="0"/>
          <w:iCs w:val="0"/>
          <w:color w:val="auto"/>
          <w:szCs w:val="21"/>
          <w:highlight w:val="none"/>
        </w:rPr>
        <w:t>项目经理：</w:t>
      </w:r>
    </w:p>
    <w:p w14:paraId="256B3BE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姓    名：</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3E1D65B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身份证号：</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1376FAB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建造师执业资格等级：</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1A86E24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建造师注册证书号：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3C739B0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建造师执业印章号：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365ECA8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安全生产考核合格证书号：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6F039582">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7C40A81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2DBB1AF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421EB37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承包人对项目经理的授权范围如下：</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51850D2">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关于项目经理每月在施工现场的时间要求：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CF219ED">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承包人未提交劳动合同，以及没有为项目经理缴纳社会保险证明的违约责任：</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1637C32C">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项目经理未经批准，擅自离开施工现场的违约责任：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AD300E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3.2.3 承包人擅自更换项目经理的违约责任：</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3E4E0BF8">
      <w:pPr>
        <w:snapToGrid w:val="0"/>
        <w:spacing w:line="360" w:lineRule="auto"/>
        <w:outlineLvl w:val="0"/>
        <w:rPr>
          <w:rFonts w:ascii="宋体" w:hAnsi="宋体" w:cs="宋体"/>
          <w:i w:val="0"/>
          <w:iCs w:val="0"/>
          <w:color w:val="auto"/>
          <w:szCs w:val="21"/>
          <w:highlight w:val="none"/>
        </w:rPr>
      </w:pPr>
      <w:r>
        <w:rPr>
          <w:rFonts w:hint="eastAsia" w:ascii="宋体" w:hAnsi="宋体" w:cs="宋体"/>
          <w:i w:val="0"/>
          <w:iCs w:val="0"/>
          <w:color w:val="auto"/>
          <w:szCs w:val="21"/>
          <w:highlight w:val="none"/>
        </w:rPr>
        <w:t xml:space="preserve">    </w:t>
      </w:r>
      <w:bookmarkStart w:id="601" w:name="_Toc3616"/>
      <w:r>
        <w:rPr>
          <w:rFonts w:hint="eastAsia" w:ascii="宋体" w:hAnsi="宋体" w:cs="宋体"/>
          <w:i w:val="0"/>
          <w:iCs w:val="0"/>
          <w:color w:val="auto"/>
          <w:szCs w:val="21"/>
          <w:highlight w:val="none"/>
        </w:rPr>
        <w:t>3.2.4 承包人无正当理由拒绝更换项目经理的违约责任：</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bookmarkEnd w:id="601"/>
    </w:p>
    <w:p w14:paraId="137C447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 承包人人员</w:t>
      </w:r>
    </w:p>
    <w:p w14:paraId="32DDCEB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3.3.1 承包人提交项目管理机构及施工现场管理人员安排报告的期限：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4BF9D1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3.3.3 承包人无正当理由拒绝撤换主要施工管理人员的违约责任：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8F16032">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3.3.4 承包人主要施工管理人员离开施工现场的批准要求：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F74303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3.3.5承包人擅自更换主要施工管理人员的违约责任：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C559B8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承包人主要施工管理人员擅自离开施工现场的违约责任：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C09239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w:t>
      </w:r>
      <w:bookmarkStart w:id="602" w:name="_Toc312677988"/>
      <w:bookmarkStart w:id="603" w:name="_Toc297048345"/>
      <w:bookmarkStart w:id="604" w:name="_Toc296891199"/>
      <w:bookmarkStart w:id="605" w:name="_Toc292559869"/>
      <w:bookmarkStart w:id="606" w:name="_Toc297120459"/>
      <w:bookmarkStart w:id="607" w:name="_Toc296346660"/>
      <w:bookmarkStart w:id="608" w:name="_Toc296890987"/>
      <w:bookmarkStart w:id="609" w:name="_Toc296503159"/>
      <w:bookmarkStart w:id="610" w:name="_Toc296944498"/>
      <w:bookmarkStart w:id="611" w:name="_Toc300934945"/>
      <w:bookmarkStart w:id="612" w:name="_Toc292559364"/>
      <w:bookmarkStart w:id="613" w:name="_Toc304295523"/>
      <w:bookmarkStart w:id="614" w:name="_Toc297216151"/>
      <w:bookmarkStart w:id="615" w:name="_Toc296347158"/>
      <w:bookmarkStart w:id="616" w:name="_Toc297123492"/>
      <w:bookmarkStart w:id="617" w:name="_Toc303539102"/>
      <w:r>
        <w:rPr>
          <w:rFonts w:hint="eastAsia" w:ascii="宋体" w:hAnsi="宋体" w:cs="宋体"/>
          <w:i w:val="0"/>
          <w:iCs w:val="0"/>
          <w:color w:val="auto"/>
          <w:szCs w:val="21"/>
          <w:highlight w:val="none"/>
        </w:rPr>
        <w:t>.5 分包</w:t>
      </w:r>
    </w:p>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14:paraId="67E88EE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w:t>
      </w:r>
      <w:bookmarkStart w:id="618" w:name="_Toc296346661"/>
      <w:bookmarkStart w:id="619" w:name="_Toc292559870"/>
      <w:bookmarkStart w:id="620" w:name="_Toc296503160"/>
      <w:bookmarkStart w:id="621" w:name="_Toc296347159"/>
      <w:bookmarkStart w:id="622" w:name="_Toc303539103"/>
      <w:bookmarkStart w:id="623" w:name="_Toc296944499"/>
      <w:bookmarkStart w:id="624" w:name="_Toc292559365"/>
      <w:bookmarkStart w:id="625" w:name="_Toc296890988"/>
      <w:bookmarkStart w:id="626" w:name="_Toc297123493"/>
      <w:bookmarkStart w:id="627" w:name="_Toc297120460"/>
      <w:bookmarkStart w:id="628" w:name="_Toc300934946"/>
      <w:bookmarkStart w:id="629" w:name="_Toc296891200"/>
      <w:bookmarkStart w:id="630" w:name="_Toc304295524"/>
      <w:bookmarkStart w:id="631" w:name="_Toc297216152"/>
      <w:bookmarkStart w:id="632" w:name="_Toc297048346"/>
      <w:bookmarkStart w:id="633" w:name="_Toc312677989"/>
      <w:bookmarkStart w:id="634" w:name="_Toc318581158"/>
      <w:r>
        <w:rPr>
          <w:rFonts w:hint="eastAsia" w:ascii="宋体" w:hAnsi="宋体" w:cs="宋体"/>
          <w:i w:val="0"/>
          <w:iCs w:val="0"/>
          <w:color w:val="auto"/>
          <w:szCs w:val="21"/>
          <w:highlight w:val="none"/>
        </w:rPr>
        <w:t>.5.1 分包的一般约定</w:t>
      </w:r>
    </w:p>
    <w:p w14:paraId="0147483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禁止分包的工程包括：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D34490E">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主体结构、关键性工作的范围：</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Start w:id="635" w:name="_Toc303539104"/>
      <w:bookmarkStart w:id="636" w:name="_Toc300934947"/>
      <w:bookmarkStart w:id="637" w:name="_Toc296890989"/>
      <w:bookmarkStart w:id="638" w:name="_Toc297123494"/>
      <w:bookmarkStart w:id="639" w:name="_Toc304295525"/>
      <w:bookmarkStart w:id="640" w:name="_Toc296346662"/>
      <w:bookmarkStart w:id="641" w:name="_Toc296347160"/>
      <w:bookmarkStart w:id="642" w:name="_Toc297048347"/>
      <w:bookmarkStart w:id="643" w:name="_Toc296503161"/>
      <w:bookmarkStart w:id="644" w:name="_Toc296891201"/>
      <w:bookmarkStart w:id="645" w:name="_Toc297120461"/>
      <w:bookmarkStart w:id="646" w:name="_Toc296944500"/>
      <w:bookmarkStart w:id="647" w:name="_Toc297216153"/>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01A5B7AE">
      <w:pPr>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 xml:space="preserve">    3</w:t>
      </w:r>
      <w:bookmarkStart w:id="648" w:name="_Toc312677990"/>
      <w:bookmarkStart w:id="649" w:name="_Toc318581159"/>
      <w:r>
        <w:rPr>
          <w:rFonts w:hint="eastAsia" w:ascii="宋体" w:hAnsi="宋体" w:cs="宋体"/>
          <w:i w:val="0"/>
          <w:iCs w:val="0"/>
          <w:color w:val="auto"/>
          <w:szCs w:val="21"/>
          <w:highlight w:val="none"/>
        </w:rPr>
        <w:t>.5.2分包的确定</w:t>
      </w:r>
    </w:p>
    <w:p w14:paraId="0130AEFF">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允许分包的专业工程包括：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7B52C1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其他关于分包的约定：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42D325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3.5.4 分包合同价款</w:t>
      </w:r>
    </w:p>
    <w:p w14:paraId="64B0BE8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关于分包合同价款支付的约定：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648"/>
    <w:bookmarkEnd w:id="649"/>
    <w:p w14:paraId="41E000E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3.6 工程照管与成品、半成品保护</w:t>
      </w:r>
    </w:p>
    <w:p w14:paraId="4E1A39AF">
      <w:pPr>
        <w:snapToGrid w:val="0"/>
        <w:spacing w:line="360" w:lineRule="auto"/>
        <w:ind w:firstLine="480" w:firstLineChars="200"/>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承包人负责照管工程及工程相关的材料、工程设备的起始时间：</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79AE8A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3.7 履约担保</w:t>
      </w:r>
    </w:p>
    <w:p w14:paraId="42ADE16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承包人是否提供履约担保：</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B226BE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承包人提供履约担保的形式、金额及期限的：</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6DD0C45">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650" w:name="_Toc351203636"/>
      <w:r>
        <w:rPr>
          <w:rFonts w:hint="eastAsia" w:ascii="宋体" w:hAnsi="宋体" w:eastAsia="宋体"/>
          <w:b/>
          <w:i w:val="0"/>
          <w:iCs w:val="0"/>
          <w:color w:val="auto"/>
          <w:szCs w:val="21"/>
          <w:highlight w:val="none"/>
        </w:rPr>
        <w:t>4</w:t>
      </w:r>
      <w:bookmarkStart w:id="651" w:name="_Toc296347161"/>
      <w:bookmarkStart w:id="652" w:name="_Toc296890990"/>
      <w:bookmarkStart w:id="653" w:name="_Toc292559366"/>
      <w:bookmarkStart w:id="654" w:name="_Toc267251413"/>
      <w:bookmarkStart w:id="655" w:name="_Toc297048348"/>
      <w:bookmarkStart w:id="656" w:name="_Toc297120462"/>
      <w:bookmarkStart w:id="657" w:name="_Toc296503162"/>
      <w:bookmarkStart w:id="658" w:name="_Toc296944501"/>
      <w:bookmarkStart w:id="659" w:name="_Toc292559871"/>
      <w:bookmarkStart w:id="660" w:name="_Toc296346663"/>
      <w:bookmarkStart w:id="661" w:name="_Toc296891202"/>
      <w:r>
        <w:rPr>
          <w:rFonts w:hint="eastAsia" w:ascii="宋体" w:hAnsi="宋体" w:eastAsia="宋体"/>
          <w:b/>
          <w:i w:val="0"/>
          <w:iCs w:val="0"/>
          <w:color w:val="auto"/>
          <w:szCs w:val="21"/>
          <w:highlight w:val="none"/>
        </w:rPr>
        <w:t>. 监</w:t>
      </w:r>
      <w:bookmarkEnd w:id="651"/>
      <w:bookmarkEnd w:id="652"/>
      <w:bookmarkEnd w:id="653"/>
      <w:bookmarkEnd w:id="654"/>
      <w:bookmarkEnd w:id="655"/>
      <w:bookmarkEnd w:id="656"/>
      <w:bookmarkEnd w:id="657"/>
      <w:bookmarkEnd w:id="658"/>
      <w:bookmarkEnd w:id="659"/>
      <w:bookmarkEnd w:id="660"/>
      <w:bookmarkEnd w:id="661"/>
      <w:r>
        <w:rPr>
          <w:rFonts w:hint="eastAsia" w:ascii="宋体" w:hAnsi="宋体" w:eastAsia="宋体"/>
          <w:b/>
          <w:i w:val="0"/>
          <w:iCs w:val="0"/>
          <w:color w:val="auto"/>
          <w:szCs w:val="21"/>
          <w:highlight w:val="none"/>
        </w:rPr>
        <w:t>理人</w:t>
      </w:r>
      <w:bookmarkEnd w:id="650"/>
    </w:p>
    <w:p w14:paraId="21D4D19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4.1监理人的一般规定</w:t>
      </w:r>
    </w:p>
    <w:p w14:paraId="11F6DF5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关于监理人的监理内容：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1A5069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关于监理人的监理权限：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54B9CEFA">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关于监理人在施工现场的办公场所、生活场所的提供和费用承担的约定：</w:t>
      </w:r>
      <w:r>
        <w:rPr>
          <w:rFonts w:hint="eastAsia" w:ascii="宋体" w:hAnsi="宋体" w:cs="宋体"/>
          <w:i w:val="0"/>
          <w:iCs w:val="0"/>
          <w:color w:val="auto"/>
          <w:szCs w:val="21"/>
          <w:highlight w:val="none"/>
          <w:u w:val="single"/>
        </w:rPr>
        <w:t xml:space="preserve">                                                </w:t>
      </w:r>
    </w:p>
    <w:p w14:paraId="62AA2673">
      <w:pPr>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7F081C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4.2 监理人员</w:t>
      </w:r>
    </w:p>
    <w:p w14:paraId="6D33F04F">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总监理工程师：</w:t>
      </w:r>
    </w:p>
    <w:p w14:paraId="63D3938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姓    名：</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460662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职    务：</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6C097FF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监理工程师执业资格证书号：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70C253D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5DA7527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8843FB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39C5F0C5">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关于监理人的其他约定：</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3BFA350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4.4 商定或确定</w:t>
      </w:r>
    </w:p>
    <w:p w14:paraId="66D05D7E">
      <w:pPr>
        <w:snapToGrid w:val="0"/>
        <w:spacing w:line="360" w:lineRule="auto"/>
        <w:ind w:firstLine="480" w:firstLineChars="200"/>
        <w:rPr>
          <w:rFonts w:ascii="宋体" w:hAnsi="宋体" w:cs="宋体"/>
          <w:i w:val="0"/>
          <w:iCs w:val="0"/>
          <w:color w:val="auto"/>
          <w:szCs w:val="21"/>
          <w:highlight w:val="none"/>
        </w:rPr>
      </w:pPr>
      <w:bookmarkStart w:id="662" w:name="_Toc267251418"/>
      <w:r>
        <w:rPr>
          <w:rFonts w:hint="eastAsia" w:ascii="宋体" w:hAnsi="宋体" w:cs="宋体"/>
          <w:i w:val="0"/>
          <w:iCs w:val="0"/>
          <w:color w:val="auto"/>
          <w:szCs w:val="21"/>
          <w:highlight w:val="none"/>
        </w:rPr>
        <w:t>在发包人和承包人不能通过协商达成一致意见时，发包人授权监理人对以下事项进行确定：</w:t>
      </w:r>
    </w:p>
    <w:p w14:paraId="2A4799E6">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02975BE">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444419E">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1BF7C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663" w:name="_Toc351203637"/>
      <w:r>
        <w:rPr>
          <w:rFonts w:hint="eastAsia" w:ascii="宋体" w:hAnsi="宋体" w:eastAsia="宋体"/>
          <w:b/>
          <w:i w:val="0"/>
          <w:iCs w:val="0"/>
          <w:color w:val="auto"/>
          <w:szCs w:val="21"/>
          <w:highlight w:val="none"/>
        </w:rPr>
        <w:t>5</w:t>
      </w:r>
      <w:bookmarkEnd w:id="662"/>
      <w:bookmarkStart w:id="664" w:name="_Toc296944502"/>
      <w:bookmarkStart w:id="665" w:name="_Toc296890991"/>
      <w:bookmarkStart w:id="666" w:name="_Toc292559367"/>
      <w:bookmarkStart w:id="667" w:name="_Toc297120463"/>
      <w:bookmarkStart w:id="668" w:name="_Toc292559872"/>
      <w:bookmarkStart w:id="669" w:name="_Toc296347162"/>
      <w:bookmarkStart w:id="670" w:name="_Toc296346664"/>
      <w:bookmarkStart w:id="671" w:name="_Toc296891203"/>
      <w:bookmarkStart w:id="672" w:name="_Toc297048349"/>
      <w:bookmarkStart w:id="673" w:name="_Toc296503163"/>
      <w:r>
        <w:rPr>
          <w:rFonts w:hint="eastAsia" w:ascii="宋体" w:hAnsi="宋体" w:eastAsia="宋体"/>
          <w:b/>
          <w:i w:val="0"/>
          <w:iCs w:val="0"/>
          <w:color w:val="auto"/>
          <w:szCs w:val="21"/>
          <w:highlight w:val="none"/>
        </w:rPr>
        <w:t>. 工程质量</w:t>
      </w:r>
      <w:bookmarkEnd w:id="663"/>
    </w:p>
    <w:p w14:paraId="1FBF1D66">
      <w:pPr>
        <w:snapToGrid w:val="0"/>
        <w:spacing w:line="360" w:lineRule="auto"/>
        <w:ind w:firstLine="480" w:firstLineChars="200"/>
        <w:outlineLvl w:val="0"/>
        <w:rPr>
          <w:rFonts w:ascii="宋体" w:hAnsi="宋体" w:cs="宋体"/>
          <w:i w:val="0"/>
          <w:iCs w:val="0"/>
          <w:color w:val="auto"/>
          <w:szCs w:val="21"/>
          <w:highlight w:val="none"/>
        </w:rPr>
      </w:pPr>
      <w:bookmarkStart w:id="674" w:name="_Toc26688"/>
      <w:r>
        <w:rPr>
          <w:rFonts w:hint="eastAsia" w:ascii="宋体" w:hAnsi="宋体" w:cs="宋体"/>
          <w:i w:val="0"/>
          <w:iCs w:val="0"/>
          <w:color w:val="auto"/>
          <w:szCs w:val="21"/>
          <w:highlight w:val="none"/>
        </w:rPr>
        <w:t>5.1 质量要求</w:t>
      </w:r>
      <w:bookmarkEnd w:id="674"/>
    </w:p>
    <w:p w14:paraId="620E353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5</w:t>
      </w:r>
      <w:bookmarkStart w:id="675" w:name="_Toc312677997"/>
      <w:bookmarkStart w:id="676" w:name="_Toc304295527"/>
      <w:bookmarkStart w:id="677" w:name="_Toc318581164"/>
      <w:bookmarkStart w:id="678" w:name="_Toc300934949"/>
      <w:bookmarkStart w:id="679" w:name="_Toc303539106"/>
      <w:bookmarkStart w:id="680" w:name="_Toc297123496"/>
      <w:bookmarkStart w:id="681" w:name="_Toc297216155"/>
      <w:r>
        <w:rPr>
          <w:rFonts w:hint="eastAsia" w:ascii="宋体" w:hAnsi="宋体" w:cs="宋体"/>
          <w:i w:val="0"/>
          <w:iCs w:val="0"/>
          <w:color w:val="auto"/>
          <w:szCs w:val="21"/>
          <w:highlight w:val="none"/>
        </w:rPr>
        <w:t>.1.1 特殊质量标准和要求：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005F3E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关于工程奖项的约定：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A78BAD2">
      <w:pPr>
        <w:snapToGrid w:val="0"/>
        <w:spacing w:line="360" w:lineRule="auto"/>
        <w:ind w:firstLine="480" w:firstLineChars="200"/>
        <w:outlineLvl w:val="0"/>
        <w:rPr>
          <w:rFonts w:ascii="宋体" w:hAnsi="宋体" w:cs="宋体"/>
          <w:i w:val="0"/>
          <w:iCs w:val="0"/>
          <w:color w:val="auto"/>
          <w:szCs w:val="21"/>
          <w:highlight w:val="none"/>
        </w:rPr>
      </w:pPr>
      <w:bookmarkStart w:id="682" w:name="_Toc2435"/>
      <w:r>
        <w:rPr>
          <w:rFonts w:hint="eastAsia" w:ascii="宋体" w:hAnsi="宋体" w:cs="宋体"/>
          <w:i w:val="0"/>
          <w:iCs w:val="0"/>
          <w:color w:val="auto"/>
          <w:szCs w:val="21"/>
          <w:highlight w:val="none"/>
        </w:rPr>
        <w:t>5.3 隐蔽工程检查</w:t>
      </w:r>
      <w:bookmarkEnd w:id="682"/>
    </w:p>
    <w:p w14:paraId="68D7D97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5.3.2承包人提前通知监理人隐蔽工程检查的期限的约定：</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1300CD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监理人不能按时进行检查时，应提前</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小时提交书面延期要求。</w:t>
      </w:r>
    </w:p>
    <w:p w14:paraId="6A67D38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关于延期最长不得超过：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w:t>
      </w:r>
    </w:p>
    <w:p w14:paraId="4170AE1F">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683" w:name="_Toc351203638"/>
      <w:r>
        <w:rPr>
          <w:rFonts w:hint="eastAsia" w:ascii="宋体" w:hAnsi="宋体" w:eastAsia="宋体"/>
          <w:b/>
          <w:i w:val="0"/>
          <w:iCs w:val="0"/>
          <w:color w:val="auto"/>
          <w:szCs w:val="21"/>
          <w:highlight w:val="none"/>
        </w:rPr>
        <w:t>6. 安全文明施工与环境保护</w:t>
      </w:r>
      <w:bookmarkEnd w:id="683"/>
    </w:p>
    <w:p w14:paraId="62BBD7D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6.1安全文明施工</w:t>
      </w:r>
    </w:p>
    <w:p w14:paraId="2EB90A4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6.1.1 项目安全生产的达标目标及相应事项的约定：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B69BAB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6.1.4 关于治安保卫的特别约定：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3E2ADF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关于编制施工场地治安管理计划的约定：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EB56B0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6.1.5 文明施工</w:t>
      </w:r>
    </w:p>
    <w:p w14:paraId="5B6ADCC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合同当事人对文明施工的要求：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BEEFE3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6.1.6 关于安全文明施工费支付比例和支付期限的约定：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675"/>
    <w:bookmarkEnd w:id="676"/>
    <w:bookmarkEnd w:id="677"/>
    <w:bookmarkEnd w:id="678"/>
    <w:bookmarkEnd w:id="679"/>
    <w:bookmarkEnd w:id="680"/>
    <w:bookmarkEnd w:id="681"/>
    <w:p w14:paraId="75315CCD">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684" w:name="_Toc351203639"/>
      <w:r>
        <w:rPr>
          <w:rFonts w:hint="eastAsia" w:ascii="宋体" w:hAnsi="宋体" w:eastAsia="宋体"/>
          <w:b/>
          <w:i w:val="0"/>
          <w:iCs w:val="0"/>
          <w:color w:val="auto"/>
          <w:szCs w:val="21"/>
          <w:highlight w:val="none"/>
        </w:rPr>
        <w:t>7. 工期和进度</w:t>
      </w:r>
      <w:bookmarkEnd w:id="684"/>
    </w:p>
    <w:p w14:paraId="4E6055FF">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7.1 施工组织设计</w:t>
      </w:r>
    </w:p>
    <w:p w14:paraId="75F90055">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7.1.1 合</w:t>
      </w:r>
      <w:r>
        <w:rPr>
          <w:rFonts w:hint="eastAsia" w:ascii="宋体" w:hAnsi="宋体" w:cs="宋体"/>
          <w:i w:val="0"/>
          <w:iCs w:val="0"/>
          <w:color w:val="auto"/>
          <w:kern w:val="0"/>
          <w:szCs w:val="21"/>
          <w:highlight w:val="none"/>
        </w:rPr>
        <w:t>同当事人约定的施工组织设计应包括的其他内容：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6F2581">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 xml:space="preserve">7.1.2 </w:t>
      </w:r>
      <w:r>
        <w:rPr>
          <w:rFonts w:hint="eastAsia" w:ascii="宋体" w:hAnsi="宋体" w:cs="宋体"/>
          <w:i w:val="0"/>
          <w:iCs w:val="0"/>
          <w:color w:val="auto"/>
          <w:kern w:val="0"/>
          <w:szCs w:val="21"/>
          <w:highlight w:val="none"/>
        </w:rPr>
        <w:t>施工组织设计的提交和修改</w:t>
      </w:r>
    </w:p>
    <w:p w14:paraId="5C3DC281">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承包人提交详细施工组织设计的期限的约定：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000ECA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发包人和监理人在收到详细的施工组织设计后确认或提出修改意见的期限：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CB92CF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685" w:name="_Toc303539123"/>
      <w:bookmarkStart w:id="686" w:name="_Toc300934966"/>
      <w:bookmarkStart w:id="687" w:name="_Toc297216173"/>
      <w:bookmarkStart w:id="688" w:name="_Toc312678005"/>
      <w:bookmarkStart w:id="689" w:name="_Toc297123514"/>
      <w:bookmarkStart w:id="690" w:name="_Toc312677479"/>
      <w:bookmarkStart w:id="691" w:name="_Toc304295541"/>
      <w:r>
        <w:rPr>
          <w:rFonts w:hint="eastAsia" w:ascii="宋体" w:hAnsi="宋体" w:cs="宋体"/>
          <w:i w:val="0"/>
          <w:iCs w:val="0"/>
          <w:color w:val="auto"/>
          <w:szCs w:val="21"/>
          <w:highlight w:val="none"/>
        </w:rPr>
        <w:t>.2 施工进度计划</w:t>
      </w:r>
    </w:p>
    <w:p w14:paraId="6D020F8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7.2.2 施工进度计划的修订</w:t>
      </w:r>
    </w:p>
    <w:p w14:paraId="6B2A95F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发包人和监理人在收到修订的施工进度计划后确认或提出修改意见的期限：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467F62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7.3 开工</w:t>
      </w:r>
    </w:p>
    <w:p w14:paraId="60A37C0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7.3.1 开工准备</w:t>
      </w:r>
    </w:p>
    <w:p w14:paraId="794EA852">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关于承包人提交</w:t>
      </w:r>
      <w:r>
        <w:rPr>
          <w:rFonts w:hint="eastAsia" w:ascii="宋体" w:hAnsi="宋体" w:cs="宋体"/>
          <w:i w:val="0"/>
          <w:iCs w:val="0"/>
          <w:color w:val="auto"/>
          <w:kern w:val="0"/>
          <w:szCs w:val="21"/>
          <w:highlight w:val="none"/>
        </w:rPr>
        <w:t>工程开工报审表的期限：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E4BB16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关于发包人应完成的其他开工准备工作及期限：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30438B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关于承包人应完成的其他开工准备工作及期限：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FF295F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7.3.2开工通知</w:t>
      </w:r>
    </w:p>
    <w:p w14:paraId="2E36C50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因发包人原因造成监理人未能在计划开工日期之日起</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天内发出开工通知的，承包人有权提出价格调整要求，或者解除合同。</w:t>
      </w:r>
    </w:p>
    <w:bookmarkEnd w:id="685"/>
    <w:bookmarkEnd w:id="686"/>
    <w:bookmarkEnd w:id="687"/>
    <w:bookmarkEnd w:id="688"/>
    <w:bookmarkEnd w:id="689"/>
    <w:bookmarkEnd w:id="690"/>
    <w:bookmarkEnd w:id="691"/>
    <w:p w14:paraId="2F7E5AE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7.4 测量放线</w:t>
      </w:r>
    </w:p>
    <w:p w14:paraId="22682B9A">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7.4.1发包人通过监理人向承包人提供测量基准点、基准线和水准点及其书面资料的期限：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41D9672">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692" w:name="_Toc312677484"/>
      <w:bookmarkStart w:id="693" w:name="_Toc297123516"/>
      <w:bookmarkStart w:id="694" w:name="_Toc304295546"/>
      <w:bookmarkStart w:id="695" w:name="_Toc303539125"/>
      <w:bookmarkStart w:id="696" w:name="_Toc297216175"/>
      <w:bookmarkStart w:id="697" w:name="_Toc300934968"/>
      <w:bookmarkStart w:id="698" w:name="_Toc312678010"/>
      <w:r>
        <w:rPr>
          <w:rFonts w:hint="eastAsia" w:ascii="宋体" w:hAnsi="宋体" w:cs="宋体"/>
          <w:i w:val="0"/>
          <w:iCs w:val="0"/>
          <w:color w:val="auto"/>
          <w:szCs w:val="21"/>
          <w:highlight w:val="none"/>
        </w:rPr>
        <w:t>.5 工期延误</w:t>
      </w:r>
    </w:p>
    <w:bookmarkEnd w:id="692"/>
    <w:bookmarkEnd w:id="693"/>
    <w:bookmarkEnd w:id="694"/>
    <w:bookmarkEnd w:id="695"/>
    <w:bookmarkEnd w:id="696"/>
    <w:bookmarkEnd w:id="697"/>
    <w:bookmarkEnd w:id="698"/>
    <w:p w14:paraId="2688631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7.5.1 因发包人原因导致工期延误</w:t>
      </w:r>
    </w:p>
    <w:p w14:paraId="0756082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（7）因发包人原因导致工期延误的其他情形：</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76F3B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699" w:name="_Toc318581169"/>
      <w:bookmarkStart w:id="700" w:name="_Toc312678012"/>
      <w:bookmarkStart w:id="701" w:name="_Toc312677486"/>
      <w:bookmarkStart w:id="702" w:name="_Toc303539127"/>
      <w:bookmarkStart w:id="703" w:name="_Toc297123518"/>
      <w:bookmarkStart w:id="704" w:name="_Toc297216177"/>
      <w:bookmarkStart w:id="705" w:name="_Toc304295548"/>
      <w:bookmarkStart w:id="706" w:name="_Toc300934970"/>
      <w:r>
        <w:rPr>
          <w:rFonts w:hint="eastAsia" w:ascii="宋体" w:hAnsi="宋体" w:cs="宋体"/>
          <w:i w:val="0"/>
          <w:iCs w:val="0"/>
          <w:color w:val="auto"/>
          <w:szCs w:val="21"/>
          <w:highlight w:val="none"/>
        </w:rPr>
        <w:t>.5.2 因承包人原因导致工期延误</w:t>
      </w:r>
    </w:p>
    <w:bookmarkEnd w:id="699"/>
    <w:bookmarkEnd w:id="700"/>
    <w:bookmarkEnd w:id="701"/>
    <w:p w14:paraId="326C6FF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w:t>
      </w:r>
      <w:bookmarkStart w:id="707" w:name="_Toc312678013"/>
      <w:bookmarkStart w:id="708" w:name="_Toc312677487"/>
      <w:bookmarkStart w:id="709" w:name="_Toc318581170"/>
      <w:r>
        <w:rPr>
          <w:rFonts w:hint="eastAsia" w:ascii="宋体" w:hAnsi="宋体" w:cs="宋体"/>
          <w:i w:val="0"/>
          <w:iCs w:val="0"/>
          <w:color w:val="auto"/>
          <w:szCs w:val="21"/>
          <w:highlight w:val="none"/>
        </w:rPr>
        <w:t>承包人原因造成工期延误，逾期竣工违约金的计算方法为：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bookmarkEnd w:id="702"/>
      <w:bookmarkEnd w:id="703"/>
      <w:bookmarkEnd w:id="704"/>
      <w:bookmarkEnd w:id="705"/>
      <w:bookmarkEnd w:id="706"/>
      <w:bookmarkEnd w:id="707"/>
      <w:bookmarkEnd w:id="708"/>
    </w:p>
    <w:bookmarkEnd w:id="709"/>
    <w:p w14:paraId="37E1D8B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因承包人原因造成工期延误，逾</w:t>
      </w:r>
      <w:bookmarkStart w:id="710" w:name="_Toc312678014"/>
      <w:bookmarkStart w:id="711" w:name="_Toc318581171"/>
      <w:r>
        <w:rPr>
          <w:rFonts w:hint="eastAsia" w:ascii="宋体" w:hAnsi="宋体" w:cs="宋体"/>
          <w:i w:val="0"/>
          <w:iCs w:val="0"/>
          <w:color w:val="auto"/>
          <w:szCs w:val="21"/>
          <w:highlight w:val="none"/>
        </w:rPr>
        <w:t>期竣工违约金的上限：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710"/>
    <w:bookmarkEnd w:id="711"/>
    <w:p w14:paraId="759D444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712" w:name="_Toc297216178"/>
      <w:bookmarkStart w:id="713" w:name="_Toc303539128"/>
      <w:bookmarkStart w:id="714" w:name="_Toc297123519"/>
      <w:bookmarkStart w:id="715" w:name="_Toc304295549"/>
      <w:bookmarkStart w:id="716" w:name="_Toc312678015"/>
      <w:bookmarkStart w:id="717" w:name="_Toc300934971"/>
      <w:r>
        <w:rPr>
          <w:rFonts w:hint="eastAsia" w:ascii="宋体" w:hAnsi="宋体" w:cs="宋体"/>
          <w:i w:val="0"/>
          <w:iCs w:val="0"/>
          <w:color w:val="auto"/>
          <w:szCs w:val="21"/>
          <w:highlight w:val="none"/>
        </w:rPr>
        <w:t>.6 不</w:t>
      </w:r>
      <w:bookmarkEnd w:id="712"/>
      <w:bookmarkEnd w:id="713"/>
      <w:bookmarkEnd w:id="714"/>
      <w:bookmarkEnd w:id="715"/>
      <w:bookmarkEnd w:id="716"/>
      <w:bookmarkEnd w:id="717"/>
      <w:r>
        <w:rPr>
          <w:rFonts w:hint="eastAsia" w:ascii="宋体" w:hAnsi="宋体" w:cs="宋体"/>
          <w:i w:val="0"/>
          <w:iCs w:val="0"/>
          <w:color w:val="auto"/>
          <w:szCs w:val="21"/>
          <w:highlight w:val="none"/>
        </w:rPr>
        <w:t>利物质条件</w:t>
      </w:r>
    </w:p>
    <w:p w14:paraId="33A5B349">
      <w:pPr>
        <w:snapToGrid w:val="0"/>
        <w:spacing w:line="360" w:lineRule="auto"/>
        <w:ind w:firstLine="480" w:firstLineChars="200"/>
        <w:jc w:val="left"/>
        <w:rPr>
          <w:rFonts w:ascii="宋体" w:hAnsi="宋体" w:cs="宋体"/>
          <w:i w:val="0"/>
          <w:iCs w:val="0"/>
          <w:color w:val="auto"/>
          <w:szCs w:val="21"/>
          <w:highlight w:val="none"/>
        </w:rPr>
      </w:pPr>
      <w:bookmarkStart w:id="718" w:name="_Toc304295550"/>
      <w:bookmarkStart w:id="719" w:name="_Toc297216179"/>
      <w:bookmarkStart w:id="720" w:name="_Toc318581172"/>
      <w:bookmarkStart w:id="721" w:name="_Toc303539129"/>
      <w:bookmarkStart w:id="722" w:name="_Toc297123520"/>
      <w:bookmarkStart w:id="723" w:name="_Toc312678016"/>
      <w:bookmarkStart w:id="724" w:name="_Toc300934972"/>
      <w:r>
        <w:rPr>
          <w:rFonts w:hint="eastAsia" w:ascii="宋体" w:hAnsi="宋体" w:cs="宋体"/>
          <w:i w:val="0"/>
          <w:iCs w:val="0"/>
          <w:color w:val="auto"/>
          <w:szCs w:val="21"/>
          <w:highlight w:val="none"/>
        </w:rPr>
        <w:t>不利物质条件的其他情形和有关约定：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718"/>
    <w:bookmarkEnd w:id="719"/>
    <w:bookmarkEnd w:id="720"/>
    <w:bookmarkEnd w:id="721"/>
    <w:bookmarkEnd w:id="722"/>
    <w:bookmarkEnd w:id="723"/>
    <w:bookmarkEnd w:id="724"/>
    <w:p w14:paraId="78052D0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725" w:name="_Toc304295551"/>
      <w:bookmarkStart w:id="726" w:name="_Toc297123521"/>
      <w:bookmarkStart w:id="727" w:name="_Toc300934973"/>
      <w:bookmarkStart w:id="728" w:name="_Toc303539130"/>
      <w:bookmarkStart w:id="729" w:name="_Toc312678017"/>
      <w:bookmarkStart w:id="730" w:name="_Toc297216180"/>
      <w:r>
        <w:rPr>
          <w:rFonts w:hint="eastAsia" w:ascii="宋体" w:hAnsi="宋体" w:cs="宋体"/>
          <w:i w:val="0"/>
          <w:iCs w:val="0"/>
          <w:color w:val="auto"/>
          <w:szCs w:val="21"/>
          <w:highlight w:val="none"/>
        </w:rPr>
        <w:t>.7异常恶劣的气候条件</w:t>
      </w:r>
    </w:p>
    <w:bookmarkEnd w:id="725"/>
    <w:bookmarkEnd w:id="726"/>
    <w:bookmarkEnd w:id="727"/>
    <w:bookmarkEnd w:id="728"/>
    <w:bookmarkEnd w:id="729"/>
    <w:bookmarkEnd w:id="730"/>
    <w:p w14:paraId="1F14D22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发包人和承包人同意以下情形视为异常恶劣的气候条件：</w:t>
      </w:r>
    </w:p>
    <w:p w14:paraId="60FAE74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5E46F2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928F07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（3）</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1C5BC2B">
      <w:pPr>
        <w:snapToGrid w:val="0"/>
        <w:spacing w:line="360" w:lineRule="auto"/>
        <w:ind w:firstLine="480" w:firstLineChars="200"/>
        <w:outlineLvl w:val="0"/>
        <w:rPr>
          <w:rFonts w:ascii="宋体" w:hAnsi="宋体" w:cs="宋体"/>
          <w:i w:val="0"/>
          <w:iCs w:val="0"/>
          <w:color w:val="auto"/>
          <w:szCs w:val="21"/>
          <w:highlight w:val="none"/>
        </w:rPr>
      </w:pPr>
      <w:bookmarkStart w:id="731" w:name="_Toc5248"/>
      <w:r>
        <w:rPr>
          <w:rFonts w:hint="eastAsia" w:ascii="宋体" w:hAnsi="宋体" w:cs="宋体"/>
          <w:i w:val="0"/>
          <w:iCs w:val="0"/>
          <w:color w:val="auto"/>
          <w:szCs w:val="21"/>
          <w:highlight w:val="none"/>
        </w:rPr>
        <w:t>7.9 提前竣工的奖励</w:t>
      </w:r>
      <w:bookmarkEnd w:id="731"/>
    </w:p>
    <w:p w14:paraId="4320DDD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7.9.2提前竣工的奖励：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236766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732" w:name="_Toc351203640"/>
      <w:r>
        <w:rPr>
          <w:rFonts w:hint="eastAsia" w:ascii="宋体" w:hAnsi="宋体" w:eastAsia="宋体"/>
          <w:b/>
          <w:i w:val="0"/>
          <w:iCs w:val="0"/>
          <w:color w:val="auto"/>
          <w:szCs w:val="21"/>
          <w:highlight w:val="none"/>
        </w:rPr>
        <w:t>8. 材料与设备</w:t>
      </w:r>
      <w:bookmarkEnd w:id="732"/>
    </w:p>
    <w:bookmarkEnd w:id="664"/>
    <w:bookmarkEnd w:id="665"/>
    <w:bookmarkEnd w:id="666"/>
    <w:bookmarkEnd w:id="667"/>
    <w:bookmarkEnd w:id="668"/>
    <w:bookmarkEnd w:id="669"/>
    <w:bookmarkEnd w:id="670"/>
    <w:bookmarkEnd w:id="671"/>
    <w:bookmarkEnd w:id="672"/>
    <w:bookmarkEnd w:id="673"/>
    <w:p w14:paraId="4D14F46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8</w:t>
      </w:r>
      <w:bookmarkStart w:id="733" w:name="_Toc312677493"/>
      <w:bookmarkStart w:id="734" w:name="_Toc292559372"/>
      <w:bookmarkStart w:id="735" w:name="_Toc297120467"/>
      <w:bookmarkStart w:id="736" w:name="_Toc296944506"/>
      <w:bookmarkStart w:id="737" w:name="_Toc297123527"/>
      <w:bookmarkStart w:id="738" w:name="_Toc296347166"/>
      <w:bookmarkStart w:id="739" w:name="_Toc280868654"/>
      <w:bookmarkStart w:id="740" w:name="_Toc303539136"/>
      <w:bookmarkStart w:id="741" w:name="_Toc312678019"/>
      <w:bookmarkStart w:id="742" w:name="_Toc296503167"/>
      <w:bookmarkStart w:id="743" w:name="_Toc300934979"/>
      <w:bookmarkStart w:id="744" w:name="_Toc296346668"/>
      <w:bookmarkStart w:id="745" w:name="_Toc296891207"/>
      <w:bookmarkStart w:id="746" w:name="_Toc297048353"/>
      <w:bookmarkStart w:id="747" w:name="_Toc304295556"/>
      <w:bookmarkStart w:id="748" w:name="_Toc297216186"/>
      <w:bookmarkStart w:id="749" w:name="_Toc292559877"/>
      <w:bookmarkStart w:id="750" w:name="_Toc296890995"/>
      <w:bookmarkStart w:id="751" w:name="_Toc267251424"/>
      <w:bookmarkStart w:id="752" w:name="_Toc280868656"/>
      <w:bookmarkStart w:id="753" w:name="_Toc280868655"/>
      <w:r>
        <w:rPr>
          <w:rFonts w:hint="eastAsia" w:ascii="宋体" w:hAnsi="宋体" w:cs="宋体"/>
          <w:i w:val="0"/>
          <w:iCs w:val="0"/>
          <w:color w:val="auto"/>
          <w:szCs w:val="21"/>
          <w:highlight w:val="none"/>
        </w:rPr>
        <w:t>.4材料与工程设备的保管与使用</w:t>
      </w:r>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14:paraId="387A64D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8</w:t>
      </w:r>
      <w:bookmarkStart w:id="754" w:name="_Toc292559878"/>
      <w:bookmarkStart w:id="755" w:name="_Toc292559373"/>
      <w:bookmarkStart w:id="756" w:name="_Toc297123528"/>
      <w:bookmarkStart w:id="757" w:name="_Toc312677494"/>
      <w:bookmarkStart w:id="758" w:name="_Toc297048354"/>
      <w:bookmarkStart w:id="759" w:name="_Toc296891208"/>
      <w:bookmarkStart w:id="760" w:name="_Toc304295557"/>
      <w:bookmarkStart w:id="761" w:name="_Toc297120468"/>
      <w:bookmarkStart w:id="762" w:name="_Toc312678020"/>
      <w:bookmarkStart w:id="763" w:name="_Toc296346669"/>
      <w:bookmarkStart w:id="764" w:name="_Toc296503168"/>
      <w:bookmarkStart w:id="765" w:name="_Toc296944507"/>
      <w:bookmarkStart w:id="766" w:name="_Toc297216187"/>
      <w:bookmarkStart w:id="767" w:name="_Toc303539137"/>
      <w:bookmarkStart w:id="768" w:name="_Toc296890996"/>
      <w:bookmarkStart w:id="769" w:name="_Toc296347167"/>
      <w:bookmarkStart w:id="770" w:name="_Toc318581173"/>
      <w:bookmarkStart w:id="771" w:name="_Toc300934980"/>
      <w:r>
        <w:rPr>
          <w:rFonts w:hint="eastAsia" w:ascii="宋体" w:hAnsi="宋体" w:cs="宋体"/>
          <w:i w:val="0"/>
          <w:iCs w:val="0"/>
          <w:color w:val="auto"/>
          <w:szCs w:val="21"/>
          <w:highlight w:val="none"/>
        </w:rPr>
        <w:t>.4.1发包人供应的材料设备的保管费用的承担：</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bookmarkEnd w:id="754"/>
      <w:bookmarkEnd w:id="755"/>
    </w:p>
    <w:p w14:paraId="0D837672">
      <w:pPr>
        <w:snapToGrid w:val="0"/>
        <w:spacing w:line="360" w:lineRule="auto"/>
        <w:ind w:firstLine="480" w:firstLineChars="200"/>
        <w:outlineLvl w:val="0"/>
        <w:rPr>
          <w:rFonts w:ascii="宋体" w:hAnsi="宋体" w:cs="宋体"/>
          <w:i w:val="0"/>
          <w:iCs w:val="0"/>
          <w:color w:val="auto"/>
          <w:szCs w:val="21"/>
          <w:highlight w:val="none"/>
        </w:rPr>
      </w:pPr>
      <w:bookmarkStart w:id="772" w:name="_Toc28202"/>
      <w:r>
        <w:rPr>
          <w:rFonts w:hint="eastAsia" w:ascii="宋体" w:hAnsi="宋体" w:cs="宋体"/>
          <w:i w:val="0"/>
          <w:iCs w:val="0"/>
          <w:color w:val="auto"/>
          <w:szCs w:val="21"/>
          <w:highlight w:val="none"/>
        </w:rPr>
        <w:t>8.6 样品</w:t>
      </w:r>
      <w:bookmarkEnd w:id="772"/>
    </w:p>
    <w:p w14:paraId="01735D1B">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8.6.1</w:t>
      </w:r>
      <w:r>
        <w:rPr>
          <w:rFonts w:hint="eastAsia" w:ascii="宋体" w:hAnsi="宋体" w:cs="宋体"/>
          <w:i w:val="0"/>
          <w:iCs w:val="0"/>
          <w:color w:val="auto"/>
          <w:kern w:val="0"/>
          <w:szCs w:val="21"/>
          <w:highlight w:val="none"/>
        </w:rPr>
        <w:tab/>
      </w:r>
      <w:r>
        <w:rPr>
          <w:rFonts w:hint="eastAsia" w:ascii="宋体" w:hAnsi="宋体" w:cs="宋体"/>
          <w:i w:val="0"/>
          <w:iCs w:val="0"/>
          <w:color w:val="auto"/>
          <w:kern w:val="0"/>
          <w:szCs w:val="21"/>
          <w:highlight w:val="none"/>
        </w:rPr>
        <w:t>样品的报送与封存</w:t>
      </w:r>
    </w:p>
    <w:p w14:paraId="3196E917">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需要承包人报送样品的材料或工程设备，样品的种类、名称、规格、数量要求：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860474C">
      <w:pPr>
        <w:snapToGrid w:val="0"/>
        <w:spacing w:line="360" w:lineRule="auto"/>
        <w:ind w:firstLine="480" w:firstLineChars="200"/>
        <w:outlineLvl w:val="0"/>
        <w:rPr>
          <w:rFonts w:ascii="宋体" w:hAnsi="宋体" w:cs="宋体"/>
          <w:i w:val="0"/>
          <w:iCs w:val="0"/>
          <w:color w:val="auto"/>
          <w:szCs w:val="21"/>
          <w:highlight w:val="none"/>
        </w:rPr>
      </w:pPr>
      <w:bookmarkStart w:id="773" w:name="_Toc23675"/>
      <w:r>
        <w:rPr>
          <w:rFonts w:hint="eastAsia" w:ascii="宋体" w:hAnsi="宋体" w:cs="宋体"/>
          <w:i w:val="0"/>
          <w:iCs w:val="0"/>
          <w:color w:val="auto"/>
          <w:szCs w:val="21"/>
          <w:highlight w:val="none"/>
        </w:rPr>
        <w:t>8.8 施工设备和临时设施</w:t>
      </w:r>
      <w:bookmarkEnd w:id="773"/>
    </w:p>
    <w:p w14:paraId="6CF76ADE">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8.8.1 承包人提供的施工设备和临时设施</w:t>
      </w:r>
    </w:p>
    <w:p w14:paraId="2933B207">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关于修建临时设施费用承担的约定：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14:paraId="52C2A70B">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774" w:name="_Toc351203641"/>
      <w:r>
        <w:rPr>
          <w:rFonts w:hint="eastAsia" w:ascii="宋体" w:hAnsi="宋体" w:eastAsia="宋体"/>
          <w:b/>
          <w:i w:val="0"/>
          <w:iCs w:val="0"/>
          <w:color w:val="auto"/>
          <w:szCs w:val="21"/>
          <w:highlight w:val="none"/>
        </w:rPr>
        <w:t>9</w:t>
      </w:r>
      <w:bookmarkEnd w:id="751"/>
      <w:bookmarkEnd w:id="752"/>
      <w:bookmarkEnd w:id="753"/>
      <w:bookmarkStart w:id="775" w:name="_Toc312678021"/>
      <w:bookmarkStart w:id="776" w:name="_Toc312677495"/>
      <w:bookmarkStart w:id="777" w:name="_Toc303539139"/>
      <w:bookmarkStart w:id="778" w:name="_Toc297123533"/>
      <w:bookmarkStart w:id="779" w:name="_Toc297216192"/>
      <w:bookmarkStart w:id="780" w:name="_Toc300934982"/>
      <w:bookmarkStart w:id="781" w:name="_Toc304295559"/>
      <w:bookmarkStart w:id="782" w:name="_Toc296891213"/>
      <w:bookmarkStart w:id="783" w:name="_Toc296346674"/>
      <w:bookmarkStart w:id="784" w:name="_Toc297048359"/>
      <w:bookmarkStart w:id="785" w:name="_Toc292559883"/>
      <w:bookmarkStart w:id="786" w:name="_Toc296944512"/>
      <w:bookmarkStart w:id="787" w:name="_Toc297120473"/>
      <w:bookmarkStart w:id="788" w:name="_Toc296347172"/>
      <w:bookmarkStart w:id="789" w:name="_Toc296891001"/>
      <w:bookmarkStart w:id="790" w:name="_Toc296503173"/>
      <w:bookmarkStart w:id="791" w:name="_Toc267251427"/>
      <w:bookmarkStart w:id="792" w:name="_Toc267251428"/>
      <w:bookmarkStart w:id="793" w:name="_Toc292559378"/>
      <w:r>
        <w:rPr>
          <w:rFonts w:hint="eastAsia" w:ascii="宋体" w:hAnsi="宋体" w:eastAsia="宋体"/>
          <w:b/>
          <w:i w:val="0"/>
          <w:iCs w:val="0"/>
          <w:color w:val="auto"/>
          <w:szCs w:val="21"/>
          <w:highlight w:val="none"/>
        </w:rPr>
        <w:t>. 试验与检验</w:t>
      </w:r>
      <w:bookmarkEnd w:id="774"/>
    </w:p>
    <w:bookmarkEnd w:id="775"/>
    <w:bookmarkEnd w:id="776"/>
    <w:bookmarkEnd w:id="777"/>
    <w:bookmarkEnd w:id="778"/>
    <w:bookmarkEnd w:id="779"/>
    <w:bookmarkEnd w:id="780"/>
    <w:bookmarkEnd w:id="781"/>
    <w:p w14:paraId="3028251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9</w:t>
      </w:r>
      <w:bookmarkStart w:id="794" w:name="_Toc304295560"/>
      <w:bookmarkStart w:id="795" w:name="_Toc297216193"/>
      <w:bookmarkStart w:id="796" w:name="_Toc312677496"/>
      <w:bookmarkStart w:id="797" w:name="_Toc312678022"/>
      <w:bookmarkStart w:id="798" w:name="_Toc303539140"/>
      <w:bookmarkStart w:id="799" w:name="_Toc300934983"/>
      <w:bookmarkStart w:id="800" w:name="_Toc297123534"/>
      <w:r>
        <w:rPr>
          <w:rFonts w:hint="eastAsia" w:ascii="宋体" w:hAnsi="宋体" w:cs="宋体"/>
          <w:i w:val="0"/>
          <w:iCs w:val="0"/>
          <w:color w:val="auto"/>
          <w:szCs w:val="21"/>
          <w:highlight w:val="none"/>
        </w:rPr>
        <w:t>.1试验设备与试验人员</w:t>
      </w:r>
    </w:p>
    <w:bookmarkEnd w:id="794"/>
    <w:bookmarkEnd w:id="795"/>
    <w:bookmarkEnd w:id="796"/>
    <w:bookmarkEnd w:id="797"/>
    <w:bookmarkEnd w:id="798"/>
    <w:bookmarkEnd w:id="799"/>
    <w:bookmarkEnd w:id="800"/>
    <w:p w14:paraId="0439538E">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9</w:t>
      </w:r>
      <w:bookmarkStart w:id="801" w:name="_Toc303539141"/>
      <w:bookmarkStart w:id="802" w:name="_Toc297123535"/>
      <w:bookmarkStart w:id="803" w:name="_Toc304295561"/>
      <w:bookmarkStart w:id="804" w:name="_Toc297216194"/>
      <w:bookmarkStart w:id="805" w:name="_Toc312677497"/>
      <w:bookmarkStart w:id="806" w:name="_Toc312678023"/>
      <w:bookmarkStart w:id="807" w:name="_Toc300934984"/>
      <w:bookmarkStart w:id="808" w:name="_Toc318581174"/>
      <w:r>
        <w:rPr>
          <w:rFonts w:hint="eastAsia" w:ascii="宋体" w:hAnsi="宋体" w:cs="宋体"/>
          <w:i w:val="0"/>
          <w:iCs w:val="0"/>
          <w:color w:val="auto"/>
          <w:szCs w:val="21"/>
          <w:highlight w:val="none"/>
        </w:rPr>
        <w:t>.1.2 试验设备</w:t>
      </w:r>
    </w:p>
    <w:p w14:paraId="4452DB2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施工现场需要配置的试验场所：</w:t>
      </w:r>
      <w:bookmarkEnd w:id="801"/>
      <w:bookmarkEnd w:id="802"/>
      <w:bookmarkEnd w:id="803"/>
      <w:bookmarkEnd w:id="804"/>
      <w:bookmarkEnd w:id="805"/>
      <w:bookmarkEnd w:id="806"/>
      <w:bookmarkEnd w:id="807"/>
      <w:bookmarkStart w:id="809" w:name="_Toc303539142"/>
      <w:bookmarkStart w:id="810" w:name="_Toc297216195"/>
      <w:bookmarkStart w:id="811" w:name="_Toc312678024"/>
      <w:bookmarkStart w:id="812" w:name="_Toc297123536"/>
      <w:bookmarkStart w:id="813" w:name="_Toc300934985"/>
      <w:bookmarkStart w:id="814" w:name="_Toc304295562"/>
      <w:bookmarkStart w:id="815" w:name="_Toc312677498"/>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49A2634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施工现场需要配备的试验设备：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E29C7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施工现场需要具备的其他试验条件：</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DDEDBC2">
      <w:pPr>
        <w:snapToGrid w:val="0"/>
        <w:spacing w:line="360" w:lineRule="auto"/>
        <w:ind w:firstLine="480" w:firstLineChars="200"/>
        <w:outlineLvl w:val="0"/>
        <w:rPr>
          <w:rFonts w:ascii="宋体" w:hAnsi="宋体" w:cs="宋体"/>
          <w:i w:val="0"/>
          <w:iCs w:val="0"/>
          <w:color w:val="auto"/>
          <w:szCs w:val="21"/>
          <w:highlight w:val="none"/>
        </w:rPr>
      </w:pPr>
      <w:bookmarkStart w:id="816" w:name="_Toc7697"/>
      <w:r>
        <w:rPr>
          <w:rFonts w:hint="eastAsia" w:ascii="宋体" w:hAnsi="宋体" w:cs="宋体"/>
          <w:i w:val="0"/>
          <w:iCs w:val="0"/>
          <w:color w:val="auto"/>
          <w:szCs w:val="21"/>
          <w:highlight w:val="none"/>
        </w:rPr>
        <w:t>9.4 现场工艺试验</w:t>
      </w:r>
      <w:bookmarkEnd w:id="816"/>
      <w:r>
        <w:rPr>
          <w:rFonts w:hint="eastAsia" w:ascii="宋体" w:hAnsi="宋体" w:cs="宋体"/>
          <w:i w:val="0"/>
          <w:iCs w:val="0"/>
          <w:color w:val="auto"/>
          <w:szCs w:val="21"/>
          <w:highlight w:val="none"/>
        </w:rPr>
        <w:t xml:space="preserve"> </w:t>
      </w:r>
    </w:p>
    <w:p w14:paraId="4EAE04F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现场工艺试验的有关约定：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808"/>
    <w:bookmarkEnd w:id="809"/>
    <w:bookmarkEnd w:id="810"/>
    <w:bookmarkEnd w:id="811"/>
    <w:bookmarkEnd w:id="812"/>
    <w:bookmarkEnd w:id="813"/>
    <w:bookmarkEnd w:id="814"/>
    <w:bookmarkEnd w:id="815"/>
    <w:p w14:paraId="6F860306">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817" w:name="_Toc351203642"/>
      <w:r>
        <w:rPr>
          <w:rFonts w:hint="eastAsia" w:ascii="宋体" w:hAnsi="宋体" w:eastAsia="宋体"/>
          <w:b/>
          <w:i w:val="0"/>
          <w:iCs w:val="0"/>
          <w:color w:val="auto"/>
          <w:szCs w:val="21"/>
          <w:highlight w:val="none"/>
        </w:rPr>
        <w:t>1</w:t>
      </w:r>
      <w:bookmarkEnd w:id="782"/>
      <w:bookmarkEnd w:id="783"/>
      <w:bookmarkEnd w:id="784"/>
      <w:bookmarkEnd w:id="785"/>
      <w:bookmarkEnd w:id="786"/>
      <w:bookmarkEnd w:id="787"/>
      <w:bookmarkEnd w:id="788"/>
      <w:bookmarkEnd w:id="789"/>
      <w:bookmarkEnd w:id="790"/>
      <w:bookmarkEnd w:id="791"/>
      <w:bookmarkEnd w:id="792"/>
      <w:bookmarkEnd w:id="793"/>
      <w:bookmarkStart w:id="818" w:name="_Toc303539146"/>
      <w:bookmarkStart w:id="819" w:name="_Toc296503193"/>
      <w:bookmarkStart w:id="820" w:name="_Toc297123540"/>
      <w:bookmarkStart w:id="821" w:name="_Toc296891021"/>
      <w:bookmarkStart w:id="822" w:name="_Toc296944532"/>
      <w:bookmarkStart w:id="823" w:name="_Toc297120493"/>
      <w:bookmarkStart w:id="824" w:name="_Toc297048379"/>
      <w:bookmarkStart w:id="825" w:name="_Toc292559398"/>
      <w:bookmarkStart w:id="826" w:name="_Toc300934989"/>
      <w:bookmarkStart w:id="827" w:name="_Toc296891233"/>
      <w:bookmarkStart w:id="828" w:name="_Toc296346694"/>
      <w:bookmarkStart w:id="829" w:name="_Toc292559903"/>
      <w:bookmarkStart w:id="830" w:name="_Toc296347192"/>
      <w:bookmarkStart w:id="831" w:name="_Toc304295566"/>
      <w:bookmarkStart w:id="832" w:name="_Toc297216199"/>
      <w:bookmarkStart w:id="833" w:name="_Toc312678025"/>
      <w:bookmarkStart w:id="834" w:name="_Toc312677499"/>
      <w:bookmarkStart w:id="835" w:name="_Toc267251441"/>
      <w:bookmarkStart w:id="836" w:name="_Toc267251439"/>
      <w:bookmarkStart w:id="837" w:name="_Toc267251437"/>
      <w:bookmarkStart w:id="838" w:name="_Toc267251433"/>
      <w:bookmarkStart w:id="839" w:name="_Toc267251440"/>
      <w:bookmarkStart w:id="840" w:name="_Toc267251435"/>
      <w:bookmarkStart w:id="841" w:name="_Toc267251442"/>
      <w:r>
        <w:rPr>
          <w:rFonts w:hint="eastAsia" w:ascii="宋体" w:hAnsi="宋体" w:eastAsia="宋体"/>
          <w:b/>
          <w:i w:val="0"/>
          <w:iCs w:val="0"/>
          <w:color w:val="auto"/>
          <w:szCs w:val="21"/>
          <w:highlight w:val="none"/>
        </w:rPr>
        <w:t>0. 变更</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bookmarkEnd w:id="833"/>
    <w:bookmarkEnd w:id="834"/>
    <w:p w14:paraId="5D8A800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Start w:id="842" w:name="_Toc304295567"/>
      <w:bookmarkStart w:id="843" w:name="_Toc296346695"/>
      <w:bookmarkStart w:id="844" w:name="_Toc296891234"/>
      <w:bookmarkStart w:id="845" w:name="_Toc296347193"/>
      <w:bookmarkStart w:id="846" w:name="_Toc297216200"/>
      <w:bookmarkStart w:id="847" w:name="_Toc292559904"/>
      <w:bookmarkStart w:id="848" w:name="_Toc300934990"/>
      <w:bookmarkStart w:id="849" w:name="_Toc303539147"/>
      <w:bookmarkStart w:id="850" w:name="_Toc297048380"/>
      <w:bookmarkStart w:id="851" w:name="_Toc296503194"/>
      <w:bookmarkStart w:id="852" w:name="_Toc296891022"/>
      <w:bookmarkStart w:id="853" w:name="_Toc312678026"/>
      <w:bookmarkStart w:id="854" w:name="_Toc297120494"/>
      <w:bookmarkStart w:id="855" w:name="_Toc297123541"/>
      <w:bookmarkStart w:id="856" w:name="_Toc292559399"/>
      <w:bookmarkStart w:id="857" w:name="_Toc296944533"/>
      <w:bookmarkStart w:id="858" w:name="_Toc312677500"/>
      <w:r>
        <w:rPr>
          <w:rFonts w:hint="eastAsia" w:ascii="宋体" w:hAnsi="宋体" w:cs="宋体"/>
          <w:i w:val="0"/>
          <w:iCs w:val="0"/>
          <w:color w:val="auto"/>
          <w:szCs w:val="21"/>
          <w:highlight w:val="none"/>
        </w:rPr>
        <w:t>0.1变更的范围</w:t>
      </w:r>
    </w:p>
    <w:p w14:paraId="5D446C4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关于变更的范围的约定：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053B732">
      <w:pPr>
        <w:snapToGrid w:val="0"/>
        <w:spacing w:line="360" w:lineRule="auto"/>
        <w:ind w:firstLine="480" w:firstLineChars="200"/>
        <w:outlineLvl w:val="0"/>
        <w:rPr>
          <w:rFonts w:ascii="宋体" w:hAnsi="宋体" w:cs="宋体"/>
          <w:i w:val="0"/>
          <w:iCs w:val="0"/>
          <w:color w:val="auto"/>
          <w:szCs w:val="21"/>
          <w:highlight w:val="none"/>
        </w:rPr>
      </w:pPr>
      <w:bookmarkStart w:id="859" w:name="_Toc30817"/>
      <w:r>
        <w:rPr>
          <w:rFonts w:hint="eastAsia" w:ascii="宋体" w:hAnsi="宋体" w:cs="宋体"/>
          <w:i w:val="0"/>
          <w:iCs w:val="0"/>
          <w:color w:val="auto"/>
          <w:szCs w:val="21"/>
          <w:highlight w:val="none"/>
        </w:rPr>
        <w:t>10.4 变更估价</w:t>
      </w:r>
      <w:bookmarkEnd w:id="859"/>
    </w:p>
    <w:p w14:paraId="36792FE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10.4.1 变更估价原则</w:t>
      </w:r>
    </w:p>
    <w:p w14:paraId="5F9B4744">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 xml:space="preserve">关于变更估价的约定: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CBDFDD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Start w:id="860" w:name="_Toc297120497"/>
      <w:bookmarkStart w:id="861" w:name="_Toc296346698"/>
      <w:bookmarkStart w:id="862" w:name="_Toc297048383"/>
      <w:bookmarkStart w:id="863" w:name="_Toc296891025"/>
      <w:bookmarkStart w:id="864" w:name="_Toc303539150"/>
      <w:bookmarkStart w:id="865" w:name="_Toc296347196"/>
      <w:bookmarkStart w:id="866" w:name="_Toc297123544"/>
      <w:bookmarkStart w:id="867" w:name="_Toc296503197"/>
      <w:bookmarkStart w:id="868" w:name="_Toc297216203"/>
      <w:bookmarkStart w:id="869" w:name="_Toc296944536"/>
      <w:bookmarkStart w:id="870" w:name="_Toc292559402"/>
      <w:bookmarkStart w:id="871" w:name="_Toc292559907"/>
      <w:bookmarkStart w:id="872" w:name="_Toc296891237"/>
      <w:bookmarkStart w:id="873" w:name="_Toc300934993"/>
      <w:bookmarkStart w:id="874" w:name="_Toc312678029"/>
      <w:bookmarkStart w:id="875" w:name="_Toc304295570"/>
      <w:bookmarkStart w:id="876" w:name="_Toc312677503"/>
      <w:r>
        <w:rPr>
          <w:rFonts w:hint="eastAsia" w:ascii="宋体" w:hAnsi="宋体" w:cs="宋体"/>
          <w:i w:val="0"/>
          <w:iCs w:val="0"/>
          <w:color w:val="auto"/>
          <w:szCs w:val="21"/>
          <w:highlight w:val="none"/>
        </w:rPr>
        <w:t>0.5承</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Start w:id="877" w:name="_Toc296346704"/>
      <w:bookmarkStart w:id="878" w:name="_Toc296891243"/>
      <w:bookmarkStart w:id="879" w:name="_Toc292559913"/>
      <w:bookmarkStart w:id="880" w:name="_Toc297048389"/>
      <w:bookmarkStart w:id="881" w:name="_Toc303539151"/>
      <w:bookmarkStart w:id="882" w:name="_Toc296347202"/>
      <w:bookmarkStart w:id="883" w:name="_Toc297216204"/>
      <w:bookmarkStart w:id="884" w:name="_Toc296944542"/>
      <w:bookmarkStart w:id="885" w:name="_Toc296891031"/>
      <w:bookmarkStart w:id="886" w:name="_Toc300934994"/>
      <w:bookmarkStart w:id="887" w:name="_Toc297120503"/>
      <w:bookmarkStart w:id="888" w:name="_Toc297123545"/>
      <w:bookmarkStart w:id="889" w:name="_Toc296503203"/>
      <w:bookmarkStart w:id="890" w:name="_Toc292559408"/>
      <w:r>
        <w:rPr>
          <w:rFonts w:hint="eastAsia" w:ascii="宋体" w:hAnsi="宋体" w:cs="宋体"/>
          <w:i w:val="0"/>
          <w:iCs w:val="0"/>
          <w:color w:val="auto"/>
          <w:szCs w:val="21"/>
          <w:highlight w:val="none"/>
        </w:rPr>
        <w:t>包人的合理化建议</w:t>
      </w:r>
    </w:p>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14:paraId="4FA1B6A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监理人审查承包人合理化建议的期限：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840B1F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发包人审批承包人合理化建议的期限：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088A9B3">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承</w:t>
      </w:r>
      <w:bookmarkStart w:id="891" w:name="_Toc303539152"/>
      <w:bookmarkStart w:id="892" w:name="_Toc296346705"/>
      <w:bookmarkStart w:id="893" w:name="_Toc297120504"/>
      <w:bookmarkStart w:id="894" w:name="_Toc297123546"/>
      <w:bookmarkStart w:id="895" w:name="_Toc296891032"/>
      <w:bookmarkStart w:id="896" w:name="_Toc296503204"/>
      <w:bookmarkStart w:id="897" w:name="_Toc300934995"/>
      <w:bookmarkStart w:id="898" w:name="_Toc297216205"/>
      <w:bookmarkStart w:id="899" w:name="_Toc312677504"/>
      <w:bookmarkStart w:id="900" w:name="_Toc297048390"/>
      <w:bookmarkStart w:id="901" w:name="_Toc296944543"/>
      <w:bookmarkStart w:id="902" w:name="_Toc292559409"/>
      <w:bookmarkStart w:id="903" w:name="_Toc318581175"/>
      <w:bookmarkStart w:id="904" w:name="_Toc296347203"/>
      <w:bookmarkStart w:id="905" w:name="_Toc292559914"/>
      <w:bookmarkStart w:id="906" w:name="_Toc296891244"/>
      <w:bookmarkStart w:id="907" w:name="_Toc304295571"/>
      <w:bookmarkStart w:id="908" w:name="_Toc312678030"/>
      <w:r>
        <w:rPr>
          <w:rFonts w:hint="eastAsia" w:ascii="宋体" w:hAnsi="宋体" w:cs="宋体"/>
          <w:i w:val="0"/>
          <w:iCs w:val="0"/>
          <w:color w:val="auto"/>
          <w:szCs w:val="21"/>
          <w:highlight w:val="none"/>
        </w:rPr>
        <w:t>包人提出的合理化建议降低了合同价格或者提高了工程经济效益的奖励的方法和金额为：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14:paraId="7D40C3DF">
      <w:pPr>
        <w:snapToGrid w:val="0"/>
        <w:spacing w:line="360" w:lineRule="auto"/>
        <w:ind w:firstLine="480" w:firstLineChars="200"/>
        <w:outlineLvl w:val="0"/>
        <w:rPr>
          <w:rFonts w:ascii="宋体" w:hAnsi="宋体" w:cs="宋体"/>
          <w:i w:val="0"/>
          <w:iCs w:val="0"/>
          <w:color w:val="auto"/>
          <w:szCs w:val="21"/>
          <w:highlight w:val="none"/>
        </w:rPr>
      </w:pPr>
      <w:bookmarkStart w:id="909" w:name="_Toc32296"/>
      <w:r>
        <w:rPr>
          <w:rFonts w:hint="eastAsia" w:ascii="宋体" w:hAnsi="宋体" w:cs="宋体"/>
          <w:i w:val="0"/>
          <w:iCs w:val="0"/>
          <w:color w:val="auto"/>
          <w:szCs w:val="21"/>
          <w:highlight w:val="none"/>
        </w:rPr>
        <w:t>1</w:t>
      </w:r>
      <w:bookmarkStart w:id="910" w:name="_Toc296347198"/>
      <w:bookmarkStart w:id="911" w:name="_Toc297048385"/>
      <w:bookmarkStart w:id="912" w:name="_Toc296346700"/>
      <w:bookmarkStart w:id="913" w:name="_Toc292559909"/>
      <w:bookmarkStart w:id="914" w:name="_Toc297216207"/>
      <w:bookmarkStart w:id="915" w:name="_Toc312677507"/>
      <w:bookmarkStart w:id="916" w:name="_Toc296503199"/>
      <w:bookmarkStart w:id="917" w:name="_Toc312678033"/>
      <w:bookmarkStart w:id="918" w:name="_Toc292559404"/>
      <w:bookmarkStart w:id="919" w:name="_Toc304295574"/>
      <w:bookmarkStart w:id="920" w:name="_Toc303539154"/>
      <w:bookmarkStart w:id="921" w:name="_Toc296891239"/>
      <w:bookmarkStart w:id="922" w:name="_Toc297123548"/>
      <w:bookmarkStart w:id="923" w:name="_Toc296944538"/>
      <w:bookmarkStart w:id="924" w:name="_Toc300934997"/>
      <w:bookmarkStart w:id="925" w:name="_Toc296891027"/>
      <w:bookmarkStart w:id="926" w:name="_Toc297120499"/>
      <w:r>
        <w:rPr>
          <w:rFonts w:hint="eastAsia" w:ascii="宋体" w:hAnsi="宋体" w:cs="宋体"/>
          <w:i w:val="0"/>
          <w:iCs w:val="0"/>
          <w:color w:val="auto"/>
          <w:szCs w:val="21"/>
          <w:highlight w:val="none"/>
        </w:rPr>
        <w:t>0.7 暂估价</w:t>
      </w:r>
      <w:bookmarkEnd w:id="909"/>
    </w:p>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14:paraId="09E4F3F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暂</w:t>
      </w:r>
      <w:bookmarkStart w:id="927" w:name="_Toc312678034"/>
      <w:bookmarkStart w:id="928" w:name="_Toc312677508"/>
      <w:bookmarkStart w:id="929" w:name="_Toc318581176"/>
      <w:r>
        <w:rPr>
          <w:rFonts w:hint="eastAsia" w:ascii="宋体" w:hAnsi="宋体" w:cs="宋体"/>
          <w:i w:val="0"/>
          <w:iCs w:val="0"/>
          <w:color w:val="auto"/>
          <w:kern w:val="0"/>
          <w:szCs w:val="21"/>
          <w:highlight w:val="none"/>
        </w:rPr>
        <w:t>估价材料和工程设备的明细详见附件11：《</w:t>
      </w:r>
      <w:r>
        <w:rPr>
          <w:rFonts w:hint="eastAsia" w:ascii="宋体" w:hAnsi="宋体" w:cs="宋体"/>
          <w:i w:val="0"/>
          <w:iCs w:val="0"/>
          <w:color w:val="auto"/>
          <w:szCs w:val="21"/>
          <w:highlight w:val="none"/>
        </w:rPr>
        <w:t>暂估价一览表》</w:t>
      </w:r>
      <w:r>
        <w:rPr>
          <w:rFonts w:hint="eastAsia" w:ascii="宋体" w:hAnsi="宋体" w:cs="宋体"/>
          <w:i w:val="0"/>
          <w:iCs w:val="0"/>
          <w:color w:val="auto"/>
          <w:kern w:val="0"/>
          <w:szCs w:val="21"/>
          <w:highlight w:val="none"/>
        </w:rPr>
        <w:t>。</w:t>
      </w:r>
    </w:p>
    <w:bookmarkEnd w:id="927"/>
    <w:bookmarkEnd w:id="928"/>
    <w:bookmarkEnd w:id="929"/>
    <w:p w14:paraId="4319A7A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Start w:id="930" w:name="_Toc318581177"/>
      <w:bookmarkStart w:id="931" w:name="_Toc312677509"/>
      <w:bookmarkStart w:id="932" w:name="_Toc312678035"/>
      <w:r>
        <w:rPr>
          <w:rFonts w:hint="eastAsia" w:ascii="宋体" w:hAnsi="宋体" w:cs="宋体"/>
          <w:i w:val="0"/>
          <w:iCs w:val="0"/>
          <w:color w:val="auto"/>
          <w:szCs w:val="21"/>
          <w:highlight w:val="none"/>
        </w:rPr>
        <w:t>0.7.1 依法必须招标的暂估价项目</w:t>
      </w:r>
    </w:p>
    <w:bookmarkEnd w:id="930"/>
    <w:bookmarkEnd w:id="931"/>
    <w:bookmarkEnd w:id="932"/>
    <w:p w14:paraId="583038C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对于依法必须招标的暂估价项目的确认和批准采取第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种方式确定。</w:t>
      </w:r>
    </w:p>
    <w:p w14:paraId="0FFE7AB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10.7.2 不属于依法必须招标的暂估价项目</w:t>
      </w:r>
    </w:p>
    <w:p w14:paraId="53AFFAC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对于不属于依法必须招标的暂估价项目的确认和批准采取第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种方式确定。</w:t>
      </w:r>
    </w:p>
    <w:p w14:paraId="628F6C56">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第3种方式：</w:t>
      </w:r>
      <w:r>
        <w:rPr>
          <w:rFonts w:hint="eastAsia" w:ascii="宋体" w:hAnsi="宋体" w:cs="宋体"/>
          <w:i w:val="0"/>
          <w:iCs w:val="0"/>
          <w:color w:val="auto"/>
          <w:kern w:val="0"/>
          <w:szCs w:val="21"/>
          <w:highlight w:val="none"/>
        </w:rPr>
        <w:t>承包人直接实施的暂估价项目</w:t>
      </w:r>
    </w:p>
    <w:p w14:paraId="6AB30BE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承包人直接实施的暂估价项目的约定：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B1A4C7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10.8 暂列金额</w:t>
      </w:r>
    </w:p>
    <w:p w14:paraId="3FFD9575">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合同当事人关于暂列金额使用的约定：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w:t>
      </w:r>
    </w:p>
    <w:p w14:paraId="5136B7F3">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933" w:name="_Toc351203643"/>
      <w:r>
        <w:rPr>
          <w:rFonts w:hint="eastAsia" w:ascii="宋体" w:hAnsi="宋体" w:eastAsia="宋体"/>
          <w:b/>
          <w:i w:val="0"/>
          <w:iCs w:val="0"/>
          <w:color w:val="auto"/>
          <w:szCs w:val="21"/>
          <w:highlight w:val="none"/>
        </w:rPr>
        <w:t>11. 价格调整</w:t>
      </w:r>
      <w:bookmarkEnd w:id="933"/>
    </w:p>
    <w:p w14:paraId="0C5BD9DA">
      <w:pPr>
        <w:snapToGrid w:val="0"/>
        <w:spacing w:line="360" w:lineRule="auto"/>
        <w:ind w:firstLine="480" w:firstLineChars="200"/>
        <w:rPr>
          <w:rFonts w:ascii="宋体" w:hAnsi="宋体" w:cs="宋体"/>
          <w:i w:val="0"/>
          <w:iCs w:val="0"/>
          <w:color w:val="auto"/>
          <w:szCs w:val="21"/>
          <w:highlight w:val="none"/>
        </w:rPr>
      </w:pPr>
      <w:bookmarkStart w:id="934" w:name="_Toc297120501"/>
      <w:bookmarkStart w:id="935" w:name="_Toc297123550"/>
      <w:bookmarkStart w:id="936" w:name="_Toc304295577"/>
      <w:bookmarkStart w:id="937" w:name="_Toc292559406"/>
      <w:bookmarkStart w:id="938" w:name="_Toc303539157"/>
      <w:bookmarkStart w:id="939" w:name="_Toc312678039"/>
      <w:bookmarkStart w:id="940" w:name="_Toc300935000"/>
      <w:bookmarkStart w:id="941" w:name="_Toc292559911"/>
      <w:bookmarkStart w:id="942" w:name="_Toc296891241"/>
      <w:bookmarkStart w:id="943" w:name="_Toc296503201"/>
      <w:bookmarkStart w:id="944" w:name="_Toc296944540"/>
      <w:bookmarkStart w:id="945" w:name="_Toc297216209"/>
      <w:bookmarkStart w:id="946" w:name="_Toc296347200"/>
      <w:bookmarkStart w:id="947" w:name="_Toc297048387"/>
      <w:bookmarkStart w:id="948" w:name="_Toc296346702"/>
      <w:bookmarkStart w:id="949" w:name="_Toc296891029"/>
      <w:r>
        <w:rPr>
          <w:rFonts w:hint="eastAsia" w:ascii="宋体" w:hAnsi="宋体" w:cs="宋体"/>
          <w:i w:val="0"/>
          <w:iCs w:val="0"/>
          <w:color w:val="auto"/>
          <w:szCs w:val="21"/>
          <w:highlight w:val="none"/>
        </w:rPr>
        <w:t>11.1 市场价格波动引起的调整</w:t>
      </w:r>
    </w:p>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14:paraId="18E0986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市场价格波动是否调整合同价格的约定：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76BA40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因市场价格波动调整合同价格，采用以下第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种方式对合同价格进行调整：</w:t>
      </w:r>
    </w:p>
    <w:p w14:paraId="6EB94BB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第1种方式：采用价格指数进行价格调整。</w:t>
      </w:r>
    </w:p>
    <w:p w14:paraId="49EC1F9A">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关于各可调因子、定值和变值权重，以及基本价格指数及其来源的约定：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28A45A1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第2种方式：采用造价信息进行价格调整。</w:t>
      </w:r>
    </w:p>
    <w:p w14:paraId="4A6934A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（2）关于基准价格的约定：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887665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%时，或材料单价跌幅以已标价工程量清单或预算书中载明材料单价为基础超过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%时，其超过部分据实调整。</w:t>
      </w:r>
    </w:p>
    <w:p w14:paraId="3BDE1FA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%时，材料单价涨幅以已标价工程量清单或预算书中载明材料单价为基础超过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%时，其超过部分据实调整。</w:t>
      </w:r>
    </w:p>
    <w:p w14:paraId="7D419138">
      <w:pPr>
        <w:snapToGrid w:val="0"/>
        <w:spacing w:line="360" w:lineRule="auto"/>
        <w:ind w:firstLine="645"/>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%时，其超过部分据实调整。</w:t>
      </w:r>
    </w:p>
    <w:p w14:paraId="4470410E">
      <w:pPr>
        <w:snapToGrid w:val="0"/>
        <w:spacing w:line="360" w:lineRule="auto"/>
        <w:ind w:firstLine="645"/>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第3种方式：其他价格调整方式：</w:t>
      </w:r>
      <w:r>
        <w:rPr>
          <w:rFonts w:hint="eastAsia" w:ascii="宋体" w:hAnsi="宋体" w:cs="宋体"/>
          <w:i w:val="0"/>
          <w:iCs w:val="0"/>
          <w:color w:val="auto"/>
          <w:szCs w:val="21"/>
          <w:highlight w:val="none"/>
          <w:u w:val="single"/>
        </w:rPr>
        <w:t xml:space="preserve">                        </w:t>
      </w:r>
    </w:p>
    <w:p w14:paraId="581DFC13">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835"/>
    <w:bookmarkEnd w:id="836"/>
    <w:bookmarkEnd w:id="837"/>
    <w:bookmarkEnd w:id="838"/>
    <w:bookmarkEnd w:id="839"/>
    <w:bookmarkEnd w:id="840"/>
    <w:p w14:paraId="4C3ABED1">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950" w:name="_Toc292559410"/>
      <w:bookmarkStart w:id="951" w:name="_Toc296346706"/>
      <w:bookmarkStart w:id="952" w:name="_Toc297048391"/>
      <w:bookmarkStart w:id="953" w:name="_Toc297120505"/>
      <w:bookmarkStart w:id="954" w:name="_Toc296944544"/>
      <w:bookmarkStart w:id="955" w:name="_Toc296891033"/>
      <w:bookmarkStart w:id="956" w:name="_Toc296503205"/>
      <w:bookmarkStart w:id="957" w:name="_Toc296347204"/>
      <w:bookmarkStart w:id="958" w:name="_Toc296891245"/>
      <w:bookmarkStart w:id="959" w:name="_Toc292559915"/>
      <w:bookmarkStart w:id="960" w:name="_Toc351203644"/>
      <w:bookmarkStart w:id="961" w:name="_Toc300935002"/>
      <w:bookmarkStart w:id="962" w:name="_Toc297123552"/>
      <w:bookmarkStart w:id="963" w:name="_Toc312678040"/>
      <w:bookmarkStart w:id="964" w:name="_Toc297216211"/>
      <w:bookmarkStart w:id="965" w:name="_Toc304295579"/>
      <w:bookmarkStart w:id="966" w:name="_Toc303539159"/>
      <w:r>
        <w:rPr>
          <w:rFonts w:hint="eastAsia" w:ascii="宋体" w:hAnsi="宋体" w:eastAsia="宋体"/>
          <w:b/>
          <w:i w:val="0"/>
          <w:iCs w:val="0"/>
          <w:color w:val="auto"/>
          <w:szCs w:val="21"/>
          <w:highlight w:val="none"/>
        </w:rPr>
        <w:t xml:space="preserve">12. </w:t>
      </w:r>
      <w:bookmarkEnd w:id="950"/>
      <w:bookmarkEnd w:id="951"/>
      <w:bookmarkEnd w:id="952"/>
      <w:bookmarkEnd w:id="953"/>
      <w:bookmarkEnd w:id="954"/>
      <w:bookmarkEnd w:id="955"/>
      <w:bookmarkEnd w:id="956"/>
      <w:bookmarkEnd w:id="957"/>
      <w:bookmarkEnd w:id="958"/>
      <w:bookmarkEnd w:id="959"/>
      <w:r>
        <w:rPr>
          <w:rFonts w:hint="eastAsia" w:ascii="宋体" w:hAnsi="宋体" w:eastAsia="宋体"/>
          <w:b/>
          <w:i w:val="0"/>
          <w:iCs w:val="0"/>
          <w:color w:val="auto"/>
          <w:szCs w:val="21"/>
          <w:highlight w:val="none"/>
        </w:rPr>
        <w:t>合同价格、计量与支付</w:t>
      </w:r>
      <w:bookmarkEnd w:id="960"/>
    </w:p>
    <w:bookmarkEnd w:id="961"/>
    <w:bookmarkEnd w:id="962"/>
    <w:bookmarkEnd w:id="963"/>
    <w:bookmarkEnd w:id="964"/>
    <w:bookmarkEnd w:id="965"/>
    <w:bookmarkEnd w:id="966"/>
    <w:p w14:paraId="1BC2F00F">
      <w:pPr>
        <w:snapToGrid w:val="0"/>
        <w:spacing w:line="360" w:lineRule="auto"/>
        <w:ind w:firstLine="480" w:firstLineChars="200"/>
        <w:rPr>
          <w:rFonts w:ascii="宋体" w:hAnsi="宋体" w:cs="宋体"/>
          <w:i w:val="0"/>
          <w:iCs w:val="0"/>
          <w:color w:val="auto"/>
          <w:szCs w:val="21"/>
          <w:highlight w:val="none"/>
        </w:rPr>
      </w:pPr>
      <w:bookmarkStart w:id="967" w:name="_Toc292559916"/>
      <w:bookmarkStart w:id="968" w:name="_Toc267251461"/>
      <w:bookmarkStart w:id="969" w:name="_Toc292559411"/>
      <w:bookmarkStart w:id="970" w:name="_Toc297048392"/>
      <w:bookmarkStart w:id="971" w:name="_Toc297120506"/>
      <w:bookmarkStart w:id="972" w:name="_Toc296503206"/>
      <w:bookmarkStart w:id="973" w:name="_Toc296891034"/>
      <w:bookmarkStart w:id="974" w:name="_Toc296346707"/>
      <w:bookmarkStart w:id="975" w:name="_Toc296891246"/>
      <w:bookmarkStart w:id="976" w:name="_Toc296944545"/>
      <w:bookmarkStart w:id="977" w:name="_Toc296347205"/>
      <w:bookmarkStart w:id="978" w:name="_Toc303539160"/>
      <w:bookmarkStart w:id="979" w:name="_Toc297216212"/>
      <w:bookmarkStart w:id="980" w:name="_Toc304295580"/>
      <w:bookmarkStart w:id="981" w:name="_Toc300935003"/>
      <w:bookmarkStart w:id="982" w:name="_Toc312678041"/>
      <w:bookmarkStart w:id="983" w:name="_Toc297123553"/>
      <w:r>
        <w:rPr>
          <w:rFonts w:hint="eastAsia" w:ascii="宋体" w:hAnsi="宋体" w:cs="宋体"/>
          <w:i w:val="0"/>
          <w:iCs w:val="0"/>
          <w:color w:val="auto"/>
          <w:szCs w:val="21"/>
          <w:highlight w:val="none"/>
        </w:rPr>
        <w:t>12.1 合</w:t>
      </w:r>
      <w:bookmarkEnd w:id="967"/>
      <w:bookmarkEnd w:id="968"/>
      <w:bookmarkEnd w:id="969"/>
      <w:r>
        <w:rPr>
          <w:rFonts w:hint="eastAsia" w:ascii="宋体" w:hAnsi="宋体" w:cs="宋体"/>
          <w:i w:val="0"/>
          <w:iCs w:val="0"/>
          <w:color w:val="auto"/>
          <w:szCs w:val="21"/>
          <w:highlight w:val="none"/>
        </w:rPr>
        <w:t>同价</w:t>
      </w:r>
      <w:bookmarkEnd w:id="970"/>
      <w:bookmarkEnd w:id="971"/>
      <w:bookmarkEnd w:id="972"/>
      <w:bookmarkEnd w:id="973"/>
      <w:bookmarkEnd w:id="974"/>
      <w:bookmarkEnd w:id="975"/>
      <w:bookmarkEnd w:id="976"/>
      <w:bookmarkEnd w:id="977"/>
      <w:r>
        <w:rPr>
          <w:rFonts w:hint="eastAsia" w:ascii="宋体" w:hAnsi="宋体" w:cs="宋体"/>
          <w:i w:val="0"/>
          <w:iCs w:val="0"/>
          <w:color w:val="auto"/>
          <w:szCs w:val="21"/>
          <w:highlight w:val="none"/>
        </w:rPr>
        <w:t>格形式</w:t>
      </w:r>
    </w:p>
    <w:bookmarkEnd w:id="978"/>
    <w:bookmarkEnd w:id="979"/>
    <w:bookmarkEnd w:id="980"/>
    <w:bookmarkEnd w:id="981"/>
    <w:bookmarkEnd w:id="982"/>
    <w:bookmarkEnd w:id="983"/>
    <w:p w14:paraId="0C76C09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1、单价合同。</w:t>
      </w:r>
    </w:p>
    <w:p w14:paraId="70CB70F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综合单价包含的风险范围：</w:t>
      </w:r>
      <w:r>
        <w:rPr>
          <w:rFonts w:hint="eastAsia" w:ascii="宋体" w:hAnsi="宋体" w:cs="宋体"/>
          <w:i w:val="0"/>
          <w:iCs w:val="0"/>
          <w:color w:val="auto"/>
          <w:szCs w:val="21"/>
          <w:highlight w:val="none"/>
          <w:u w:val="single"/>
        </w:rPr>
        <w:t xml:space="preserve">                               </w:t>
      </w:r>
    </w:p>
    <w:p w14:paraId="35258551">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0E75DF0">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风险费用的计算方法：</w:t>
      </w:r>
      <w:r>
        <w:rPr>
          <w:rFonts w:hint="eastAsia" w:ascii="宋体" w:hAnsi="宋体" w:cs="宋体"/>
          <w:i w:val="0"/>
          <w:iCs w:val="0"/>
          <w:color w:val="auto"/>
          <w:szCs w:val="21"/>
          <w:highlight w:val="none"/>
          <w:u w:val="single"/>
        </w:rPr>
        <w:t xml:space="preserve">                                  </w:t>
      </w:r>
    </w:p>
    <w:p w14:paraId="4506895D">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447B80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风险范围以外合同价格的调整方法：</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493F0E57">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4DD17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2、总价合同。</w:t>
      </w:r>
    </w:p>
    <w:p w14:paraId="140EBF9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总价包含的风险范围：</w:t>
      </w:r>
      <w:r>
        <w:rPr>
          <w:rFonts w:hint="eastAsia" w:ascii="宋体" w:hAnsi="宋体" w:cs="宋体"/>
          <w:i w:val="0"/>
          <w:iCs w:val="0"/>
          <w:color w:val="auto"/>
          <w:szCs w:val="21"/>
          <w:highlight w:val="none"/>
          <w:u w:val="single"/>
        </w:rPr>
        <w:t xml:space="preserve">                                   </w:t>
      </w:r>
    </w:p>
    <w:p w14:paraId="1E6D5234">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8228B28">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风险费用的计算方法：</w:t>
      </w:r>
      <w:r>
        <w:rPr>
          <w:rFonts w:hint="eastAsia" w:ascii="宋体" w:hAnsi="宋体" w:cs="宋体"/>
          <w:i w:val="0"/>
          <w:iCs w:val="0"/>
          <w:color w:val="auto"/>
          <w:szCs w:val="21"/>
          <w:highlight w:val="none"/>
          <w:u w:val="single"/>
        </w:rPr>
        <w:t xml:space="preserve">                                   </w:t>
      </w:r>
    </w:p>
    <w:p w14:paraId="44274B51">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D680F4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风险范围以外合同价格的调整方法：</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15BBE046">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71F107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3、其他价格方式：</w:t>
      </w:r>
      <w:r>
        <w:rPr>
          <w:rFonts w:hint="eastAsia" w:ascii="宋体" w:hAnsi="宋体" w:cs="宋体"/>
          <w:i w:val="0"/>
          <w:iCs w:val="0"/>
          <w:color w:val="auto"/>
          <w:szCs w:val="21"/>
          <w:highlight w:val="none"/>
          <w:u w:val="single"/>
        </w:rPr>
        <w:t xml:space="preserve">                                     </w:t>
      </w:r>
    </w:p>
    <w:p w14:paraId="65BBDF15">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3CB6FD">
      <w:pPr>
        <w:snapToGrid w:val="0"/>
        <w:spacing w:line="360" w:lineRule="auto"/>
        <w:ind w:firstLine="480" w:firstLineChars="200"/>
        <w:rPr>
          <w:rFonts w:ascii="宋体" w:hAnsi="宋体" w:cs="宋体"/>
          <w:i w:val="0"/>
          <w:iCs w:val="0"/>
          <w:color w:val="auto"/>
          <w:szCs w:val="21"/>
          <w:highlight w:val="none"/>
        </w:rPr>
      </w:pPr>
      <w:bookmarkStart w:id="984" w:name="_Toc297216213"/>
      <w:bookmarkStart w:id="985" w:name="_Toc300935004"/>
      <w:bookmarkStart w:id="986" w:name="_Toc304295581"/>
      <w:bookmarkStart w:id="987" w:name="_Toc297123554"/>
      <w:bookmarkStart w:id="988" w:name="_Toc303539161"/>
      <w:bookmarkStart w:id="989" w:name="_Toc312678042"/>
      <w:bookmarkStart w:id="990" w:name="_Toc296944546"/>
      <w:bookmarkStart w:id="991" w:name="_Toc296891035"/>
      <w:bookmarkStart w:id="992" w:name="_Toc296503207"/>
      <w:bookmarkStart w:id="993" w:name="_Toc296891247"/>
      <w:bookmarkStart w:id="994" w:name="_Toc292559917"/>
      <w:bookmarkStart w:id="995" w:name="_Toc297120507"/>
      <w:bookmarkStart w:id="996" w:name="_Toc297048393"/>
      <w:bookmarkStart w:id="997" w:name="_Toc296346708"/>
      <w:bookmarkStart w:id="998" w:name="_Toc296347206"/>
      <w:bookmarkStart w:id="999" w:name="_Toc292559412"/>
      <w:r>
        <w:rPr>
          <w:rFonts w:hint="eastAsia" w:ascii="宋体" w:hAnsi="宋体" w:cs="宋体"/>
          <w:i w:val="0"/>
          <w:iCs w:val="0"/>
          <w:color w:val="auto"/>
          <w:szCs w:val="21"/>
          <w:highlight w:val="none"/>
        </w:rPr>
        <w:t>12.2 预付款</w:t>
      </w:r>
    </w:p>
    <w:bookmarkEnd w:id="984"/>
    <w:bookmarkEnd w:id="985"/>
    <w:bookmarkEnd w:id="986"/>
    <w:bookmarkEnd w:id="987"/>
    <w:bookmarkEnd w:id="988"/>
    <w:bookmarkEnd w:id="989"/>
    <w:p w14:paraId="6EEDF83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12.2.1 预付款的支付</w:t>
      </w:r>
    </w:p>
    <w:p w14:paraId="4F6FCB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预付款支付比例或金额：</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7658E5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预付款支付期限：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72A584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预付款扣回的方式：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E053FB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12.2.2 预付款担保</w:t>
      </w:r>
    </w:p>
    <w:p w14:paraId="220ED00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承包人提交预付款担保的期限：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D7965A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预付款担保的形式为：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990"/>
    <w:bookmarkEnd w:id="991"/>
    <w:bookmarkEnd w:id="992"/>
    <w:bookmarkEnd w:id="993"/>
    <w:bookmarkEnd w:id="994"/>
    <w:bookmarkEnd w:id="995"/>
    <w:bookmarkEnd w:id="996"/>
    <w:bookmarkEnd w:id="997"/>
    <w:bookmarkEnd w:id="998"/>
    <w:bookmarkEnd w:id="999"/>
    <w:p w14:paraId="2352CDC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12.3 计量</w:t>
      </w:r>
    </w:p>
    <w:p w14:paraId="0BA1F9E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12.3.1 计量原则</w:t>
      </w:r>
    </w:p>
    <w:p w14:paraId="31DAE2B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工程量计算规则：</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40C85C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12.3.2 计量周期</w:t>
      </w:r>
    </w:p>
    <w:p w14:paraId="4287A1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关于计量周期的约定：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1B2741E">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12.3.3 单价合同的计量</w:t>
      </w:r>
    </w:p>
    <w:p w14:paraId="72358AD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关于单价合同计量的约定：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66D030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12.3.4 总价合同的计量</w:t>
      </w:r>
    </w:p>
    <w:p w14:paraId="33AA15F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关于总价合同计量的约定：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E5FEDF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12.3.5总价合同采用支付分解表计量支付的，是否适用第</w:t>
      </w:r>
      <w:r>
        <w:rPr>
          <w:rFonts w:hint="eastAsia" w:ascii="宋体" w:hAnsi="宋体" w:cs="宋体"/>
          <w:i w:val="0"/>
          <w:iCs w:val="0"/>
          <w:color w:val="auto"/>
          <w:kern w:val="0"/>
          <w:szCs w:val="21"/>
          <w:highlight w:val="none"/>
        </w:rPr>
        <w:t xml:space="preserve">12.3.4 </w:t>
      </w:r>
      <w:r>
        <w:rPr>
          <w:rFonts w:hint="eastAsia" w:ascii="宋体" w:hAnsi="宋体" w:cs="宋体"/>
          <w:i w:val="0"/>
          <w:iCs w:val="0"/>
          <w:color w:val="auto"/>
          <w:szCs w:val="21"/>
          <w:highlight w:val="none"/>
        </w:rPr>
        <w:t>项</w:t>
      </w:r>
      <w:r>
        <w:rPr>
          <w:rFonts w:hint="eastAsia" w:ascii="宋体" w:hAnsi="宋体" w:cs="宋体"/>
          <w:i w:val="0"/>
          <w:iCs w:val="0"/>
          <w:color w:val="auto"/>
          <w:kern w:val="0"/>
          <w:szCs w:val="21"/>
          <w:highlight w:val="none"/>
        </w:rPr>
        <w:t>〔总价合同的计量〕</w:t>
      </w:r>
      <w:r>
        <w:rPr>
          <w:rFonts w:hint="eastAsia" w:ascii="宋体" w:hAnsi="宋体" w:cs="宋体"/>
          <w:i w:val="0"/>
          <w:iCs w:val="0"/>
          <w:color w:val="auto"/>
          <w:szCs w:val="21"/>
          <w:highlight w:val="none"/>
        </w:rPr>
        <w:t>约定进行计量：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F8219F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12.3.6 其他价格形式合同的计量</w:t>
      </w:r>
    </w:p>
    <w:p w14:paraId="48526392">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其他价格形式的计量方式和程序：</w:t>
      </w:r>
      <w:r>
        <w:rPr>
          <w:rFonts w:hint="eastAsia" w:ascii="宋体" w:hAnsi="宋体" w:cs="宋体"/>
          <w:i w:val="0"/>
          <w:iCs w:val="0"/>
          <w:color w:val="auto"/>
          <w:szCs w:val="21"/>
          <w:highlight w:val="none"/>
          <w:u w:val="single"/>
        </w:rPr>
        <w:t xml:space="preserve">                         </w:t>
      </w:r>
    </w:p>
    <w:p w14:paraId="1826AE7E">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6B5F60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12.4 工程进度款支付</w:t>
      </w:r>
    </w:p>
    <w:p w14:paraId="012EA391">
      <w:pPr>
        <w:snapToGrid w:val="0"/>
        <w:spacing w:line="360" w:lineRule="auto"/>
        <w:ind w:firstLine="480" w:firstLineChars="200"/>
        <w:jc w:val="left"/>
        <w:rPr>
          <w:rFonts w:ascii="宋体" w:hAnsi="宋体" w:cs="宋体"/>
          <w:i w:val="0"/>
          <w:iCs w:val="0"/>
          <w:color w:val="auto"/>
          <w:szCs w:val="21"/>
          <w:highlight w:val="none"/>
        </w:rPr>
      </w:pPr>
      <w:bookmarkStart w:id="1000" w:name="_Toc296346712"/>
      <w:bookmarkStart w:id="1001" w:name="_Toc297120511"/>
      <w:bookmarkStart w:id="1002" w:name="_Toc296944550"/>
      <w:bookmarkStart w:id="1003" w:name="_Toc296347210"/>
      <w:bookmarkStart w:id="1004" w:name="_Toc292559416"/>
      <w:bookmarkStart w:id="1005" w:name="_Toc296503211"/>
      <w:bookmarkStart w:id="1006" w:name="_Toc296891039"/>
      <w:bookmarkStart w:id="1007" w:name="_Toc292559921"/>
      <w:bookmarkStart w:id="1008" w:name="_Toc297123556"/>
      <w:bookmarkStart w:id="1009" w:name="_Toc296891251"/>
      <w:bookmarkStart w:id="1010" w:name="_Toc297048397"/>
      <w:bookmarkStart w:id="1011" w:name="_Toc303539163"/>
      <w:bookmarkStart w:id="1012" w:name="_Toc300935006"/>
      <w:bookmarkStart w:id="1013" w:name="_Toc297216215"/>
      <w:r>
        <w:rPr>
          <w:rFonts w:hint="eastAsia" w:ascii="宋体" w:hAnsi="宋体" w:cs="宋体"/>
          <w:i w:val="0"/>
          <w:iCs w:val="0"/>
          <w:color w:val="auto"/>
          <w:szCs w:val="21"/>
          <w:highlight w:val="none"/>
        </w:rPr>
        <w:t>12.4.1 付款周期</w:t>
      </w:r>
    </w:p>
    <w:p w14:paraId="2485F66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关于付款周期的约定：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697E70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12.4.2 进度付款申请单的编制</w:t>
      </w:r>
    </w:p>
    <w:p w14:paraId="5D690BBA">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关于进度付款申请单编制的约定：</w:t>
      </w:r>
      <w:r>
        <w:rPr>
          <w:rFonts w:hint="eastAsia" w:ascii="宋体" w:hAnsi="宋体" w:cs="宋体"/>
          <w:i w:val="0"/>
          <w:iCs w:val="0"/>
          <w:color w:val="auto"/>
          <w:szCs w:val="21"/>
          <w:highlight w:val="none"/>
          <w:u w:val="single"/>
        </w:rPr>
        <w:t xml:space="preserve">                       </w:t>
      </w:r>
    </w:p>
    <w:p w14:paraId="4C593DC3">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A4573C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r>
        <w:rPr>
          <w:rFonts w:hint="eastAsia" w:ascii="宋体" w:hAnsi="宋体" w:cs="宋体"/>
          <w:i w:val="0"/>
          <w:iCs w:val="0"/>
          <w:color w:val="auto"/>
          <w:szCs w:val="21"/>
          <w:highlight w:val="none"/>
        </w:rPr>
        <w:t>2.4.3 进度付款申请单的提交</w:t>
      </w:r>
    </w:p>
    <w:p w14:paraId="257B998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（1）单价合同进度付款申请单提交的约定：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836D8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（2）总价合同进度付款申请单提交的约定：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FA8E0F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（3）其他价格形式合同进度付款申请单提交的约定：</w:t>
      </w:r>
      <w:r>
        <w:rPr>
          <w:rFonts w:hint="eastAsia" w:ascii="宋体" w:hAnsi="宋体" w:cs="宋体"/>
          <w:i w:val="0"/>
          <w:iCs w:val="0"/>
          <w:color w:val="auto"/>
          <w:szCs w:val="21"/>
          <w:highlight w:val="none"/>
          <w:u w:val="single"/>
        </w:rPr>
        <w:t xml:space="preserve">       </w:t>
      </w:r>
    </w:p>
    <w:p w14:paraId="668FAA4F">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6BAE7F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12.4.4 进度款审核和支付</w:t>
      </w:r>
    </w:p>
    <w:p w14:paraId="52F9B2C8">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（1）监理人审查并报送发包人的期限：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97C7A2C">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发包人完成审批并签发进度款支付证书的期限：</w:t>
      </w:r>
      <w:r>
        <w:rPr>
          <w:rFonts w:hint="eastAsia" w:ascii="宋体" w:hAnsi="宋体" w:cs="宋体"/>
          <w:i w:val="0"/>
          <w:iCs w:val="0"/>
          <w:color w:val="auto"/>
          <w:szCs w:val="21"/>
          <w:highlight w:val="none"/>
          <w:u w:val="single"/>
        </w:rPr>
        <w:t xml:space="preserve">           </w:t>
      </w:r>
    </w:p>
    <w:p w14:paraId="3E27D142">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867DE5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（2）发包人支付进度款的期限：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6C4529C">
      <w:pPr>
        <w:snapToGrid w:val="0"/>
        <w:spacing w:line="360" w:lineRule="auto"/>
        <w:ind w:firstLine="600" w:firstLineChars="25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发包人逾期支付进度款的违约金的计算方式：</w:t>
      </w:r>
      <w:r>
        <w:rPr>
          <w:rFonts w:hint="eastAsia" w:ascii="宋体" w:hAnsi="宋体" w:cs="宋体"/>
          <w:i w:val="0"/>
          <w:iCs w:val="0"/>
          <w:color w:val="auto"/>
          <w:szCs w:val="21"/>
          <w:highlight w:val="none"/>
          <w:u w:val="single"/>
        </w:rPr>
        <w:t xml:space="preserve">            </w:t>
      </w:r>
    </w:p>
    <w:p w14:paraId="69C1773B">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15BAE5B">
      <w:pPr>
        <w:snapToGrid w:val="0"/>
        <w:spacing w:line="360" w:lineRule="auto"/>
        <w:ind w:firstLine="600" w:firstLineChars="25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12.4.6 支付分解表的编制</w:t>
      </w:r>
    </w:p>
    <w:p w14:paraId="2DDE1BC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2、总价合同支付分解表的编制与审批：</w:t>
      </w:r>
      <w:r>
        <w:rPr>
          <w:rFonts w:hint="eastAsia" w:ascii="宋体" w:hAnsi="宋体" w:cs="宋体"/>
          <w:i w:val="0"/>
          <w:iCs w:val="0"/>
          <w:color w:val="auto"/>
          <w:szCs w:val="21"/>
          <w:highlight w:val="none"/>
          <w:u w:val="single"/>
        </w:rPr>
        <w:t xml:space="preserve">                  </w:t>
      </w:r>
    </w:p>
    <w:p w14:paraId="14F10967">
      <w:pPr>
        <w:snapToGrid w:val="0"/>
        <w:spacing w:line="360" w:lineRule="auto"/>
        <w:ind w:left="4200" w:hanging="4800" w:hangingChars="20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B372442">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3、单价合同的总价项目支付分解表的编制与审批：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212255B7">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841"/>
    <w:p w14:paraId="31C266F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014" w:name="_Toc351203645"/>
      <w:bookmarkStart w:id="1015" w:name="_Toc292559424"/>
      <w:bookmarkStart w:id="1016" w:name="_Toc297120519"/>
      <w:bookmarkStart w:id="1017" w:name="_Toc296347218"/>
      <w:bookmarkStart w:id="1018" w:name="_Toc296503219"/>
      <w:bookmarkStart w:id="1019" w:name="_Toc300935015"/>
      <w:bookmarkStart w:id="1020" w:name="_Toc312678053"/>
      <w:bookmarkStart w:id="1021" w:name="_Toc297123564"/>
      <w:bookmarkStart w:id="1022" w:name="_Toc297048405"/>
      <w:bookmarkStart w:id="1023" w:name="_Toc296346720"/>
      <w:bookmarkStart w:id="1024" w:name="_Toc296944558"/>
      <w:bookmarkStart w:id="1025" w:name="_Toc296891259"/>
      <w:bookmarkStart w:id="1026" w:name="_Toc296891047"/>
      <w:bookmarkStart w:id="1027" w:name="_Toc297216223"/>
      <w:bookmarkStart w:id="1028" w:name="_Toc304295593"/>
      <w:bookmarkStart w:id="1029" w:name="_Toc292559929"/>
      <w:bookmarkStart w:id="1030" w:name="_Toc303539172"/>
      <w:r>
        <w:rPr>
          <w:rFonts w:hint="eastAsia" w:ascii="宋体" w:hAnsi="宋体" w:eastAsia="宋体"/>
          <w:b/>
          <w:i w:val="0"/>
          <w:iCs w:val="0"/>
          <w:color w:val="auto"/>
          <w:szCs w:val="21"/>
          <w:highlight w:val="none"/>
        </w:rPr>
        <w:t>13. 验收和工程试车</w:t>
      </w:r>
      <w:bookmarkEnd w:id="1014"/>
    </w:p>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14:paraId="23DF6C0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13.1 分部分项工程验收</w:t>
      </w:r>
    </w:p>
    <w:p w14:paraId="67C8010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13.1.2监理人不能按时进行验收时，应提前</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小时提交书面延期要求。</w:t>
      </w:r>
    </w:p>
    <w:p w14:paraId="7834726D">
      <w:pPr>
        <w:snapToGrid w:val="0"/>
        <w:spacing w:line="360" w:lineRule="auto"/>
        <w:ind w:firstLine="480" w:firstLineChars="200"/>
        <w:jc w:val="left"/>
        <w:rPr>
          <w:rFonts w:ascii="宋体" w:hAnsi="宋体" w:cs="宋体"/>
          <w:b/>
          <w:i w:val="0"/>
          <w:iCs w:val="0"/>
          <w:color w:val="auto"/>
          <w:szCs w:val="21"/>
          <w:highlight w:val="none"/>
        </w:rPr>
      </w:pPr>
      <w:r>
        <w:rPr>
          <w:rFonts w:hint="eastAsia" w:ascii="宋体" w:hAnsi="宋体" w:cs="宋体"/>
          <w:i w:val="0"/>
          <w:iCs w:val="0"/>
          <w:color w:val="auto"/>
          <w:szCs w:val="21"/>
          <w:highlight w:val="none"/>
        </w:rPr>
        <w:t>关于延期最长不得超过：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w:t>
      </w:r>
    </w:p>
    <w:p w14:paraId="2921B1B7">
      <w:pPr>
        <w:snapToGrid w:val="0"/>
        <w:spacing w:line="360" w:lineRule="auto"/>
        <w:ind w:firstLine="480" w:firstLineChars="200"/>
        <w:rPr>
          <w:rFonts w:ascii="宋体" w:hAnsi="宋体" w:cs="宋体"/>
          <w:i w:val="0"/>
          <w:iCs w:val="0"/>
          <w:color w:val="auto"/>
          <w:szCs w:val="21"/>
          <w:highlight w:val="none"/>
        </w:rPr>
      </w:pPr>
      <w:bookmarkStart w:id="1031" w:name="_Toc303539173"/>
      <w:bookmarkStart w:id="1032" w:name="_Toc296347222"/>
      <w:bookmarkStart w:id="1033" w:name="_Toc300935016"/>
      <w:bookmarkStart w:id="1034" w:name="_Toc297120523"/>
      <w:bookmarkStart w:id="1035" w:name="_Toc296891051"/>
      <w:bookmarkStart w:id="1036" w:name="_Toc304295596"/>
      <w:bookmarkStart w:id="1037" w:name="_Toc292559428"/>
      <w:bookmarkStart w:id="1038" w:name="_Toc296944562"/>
      <w:bookmarkStart w:id="1039" w:name="_Toc312678056"/>
      <w:bookmarkStart w:id="1040" w:name="_Toc292559933"/>
      <w:bookmarkStart w:id="1041" w:name="_Toc296891263"/>
      <w:bookmarkStart w:id="1042" w:name="_Toc296503223"/>
      <w:bookmarkStart w:id="1043" w:name="_Toc296346724"/>
      <w:bookmarkStart w:id="1044" w:name="_Toc297123565"/>
      <w:bookmarkStart w:id="1045" w:name="_Toc297216224"/>
      <w:bookmarkStart w:id="1046" w:name="_Toc297048409"/>
      <w:bookmarkStart w:id="1047" w:name="_Toc267251475"/>
      <w:bookmarkStart w:id="1048" w:name="_Toc267251473"/>
      <w:bookmarkStart w:id="1049" w:name="_Toc267251471"/>
      <w:bookmarkStart w:id="1050" w:name="_Toc267251470"/>
      <w:bookmarkStart w:id="1051" w:name="_Toc267251472"/>
      <w:bookmarkStart w:id="1052" w:name="_Toc267251476"/>
      <w:bookmarkStart w:id="1053" w:name="_Toc267251474"/>
      <w:r>
        <w:rPr>
          <w:rFonts w:hint="eastAsia" w:ascii="宋体" w:hAnsi="宋体" w:cs="宋体"/>
          <w:i w:val="0"/>
          <w:iCs w:val="0"/>
          <w:color w:val="auto"/>
          <w:szCs w:val="21"/>
          <w:highlight w:val="none"/>
        </w:rPr>
        <w:t>13.2 竣工验收</w:t>
      </w:r>
    </w:p>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14:paraId="5A8B9FF2">
      <w:pPr>
        <w:snapToGrid w:val="0"/>
        <w:spacing w:line="360" w:lineRule="auto"/>
        <w:ind w:firstLine="480" w:firstLineChars="200"/>
        <w:jc w:val="left"/>
        <w:rPr>
          <w:rFonts w:ascii="宋体" w:hAnsi="宋体" w:cs="宋体"/>
          <w:i w:val="0"/>
          <w:iCs w:val="0"/>
          <w:color w:val="auto"/>
          <w:szCs w:val="21"/>
          <w:highlight w:val="none"/>
        </w:rPr>
      </w:pPr>
      <w:bookmarkStart w:id="1054" w:name="_Toc280868704"/>
      <w:bookmarkStart w:id="1055" w:name="_Toc280868705"/>
      <w:bookmarkStart w:id="1056" w:name="_Toc280868706"/>
      <w:bookmarkStart w:id="1057" w:name="_Toc280868707"/>
      <w:bookmarkStart w:id="1058" w:name="_Toc280868708"/>
      <w:bookmarkStart w:id="1059" w:name="_Toc280868709"/>
      <w:r>
        <w:rPr>
          <w:rFonts w:hint="eastAsia" w:ascii="宋体" w:hAnsi="宋体" w:cs="宋体"/>
          <w:i w:val="0"/>
          <w:iCs w:val="0"/>
          <w:color w:val="auto"/>
          <w:szCs w:val="21"/>
          <w:highlight w:val="none"/>
        </w:rPr>
        <w:t>13.2.2竣工验收程序</w:t>
      </w:r>
    </w:p>
    <w:bookmarkEnd w:id="1054"/>
    <w:p w14:paraId="0F8DD929">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关于竣工验收程序的约定：</w:t>
      </w:r>
      <w:r>
        <w:rPr>
          <w:rFonts w:hint="eastAsia" w:ascii="宋体" w:hAnsi="宋体" w:cs="宋体"/>
          <w:i w:val="0"/>
          <w:iCs w:val="0"/>
          <w:color w:val="auto"/>
          <w:szCs w:val="21"/>
          <w:highlight w:val="none"/>
          <w:u w:val="single"/>
        </w:rPr>
        <w:t xml:space="preserve">                              </w:t>
      </w:r>
    </w:p>
    <w:p w14:paraId="0E272957">
      <w:pPr>
        <w:snapToGrid w:val="0"/>
        <w:spacing w:line="360" w:lineRule="auto"/>
        <w:ind w:left="4200" w:hanging="4800" w:hangingChars="20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0151F9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发包人不按照本项约定组织竣工验收、颁发工程接收证书的违约金的计算方法：</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055"/>
    <w:p w14:paraId="63708EF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13.2.5移交、接收全部与部分工程</w:t>
      </w:r>
    </w:p>
    <w:bookmarkEnd w:id="1056"/>
    <w:p w14:paraId="0790B352">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承包人向发包人移交工程的期限：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D6EDFA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发包人未按本合同约定接收全部或部分工程的，违约金的计算方法为：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057"/>
    <w:p w14:paraId="71247AA6">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承包人未按时移交工程的，违约金的计算方法为：</w:t>
      </w:r>
      <w:r>
        <w:rPr>
          <w:rFonts w:hint="eastAsia" w:ascii="宋体" w:hAnsi="宋体" w:cs="宋体"/>
          <w:i w:val="0"/>
          <w:iCs w:val="0"/>
          <w:color w:val="auto"/>
          <w:szCs w:val="21"/>
          <w:highlight w:val="none"/>
          <w:u w:val="single"/>
        </w:rPr>
        <w:t xml:space="preserve">          </w:t>
      </w:r>
    </w:p>
    <w:p w14:paraId="3E7F6695">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716402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13.3 工程试车</w:t>
      </w:r>
    </w:p>
    <w:bookmarkEnd w:id="1058"/>
    <w:p w14:paraId="7DC2B955">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13.3.1 试车程序</w:t>
      </w:r>
    </w:p>
    <w:p w14:paraId="4BA94431">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工程试车内容：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5FACA3A">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（1）单机无负荷试车费用由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承担；</w:t>
      </w:r>
    </w:p>
    <w:p w14:paraId="7D228A9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（2）无负荷联动试车费用由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承担。</w:t>
      </w:r>
    </w:p>
    <w:p w14:paraId="49AE890A">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13.3.3 投料试车</w:t>
      </w:r>
    </w:p>
    <w:p w14:paraId="237BD63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关于投料试车相关事项的约定：</w:t>
      </w:r>
      <w:r>
        <w:rPr>
          <w:rFonts w:hint="eastAsia" w:ascii="宋体" w:hAnsi="宋体" w:cs="宋体"/>
          <w:i w:val="0"/>
          <w:iCs w:val="0"/>
          <w:color w:val="auto"/>
          <w:szCs w:val="21"/>
          <w:highlight w:val="none"/>
          <w:u w:val="single"/>
        </w:rPr>
        <w:t xml:space="preserve">                           </w:t>
      </w:r>
    </w:p>
    <w:p w14:paraId="135DAAD4">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011BD74">
      <w:pPr>
        <w:snapToGrid w:val="0"/>
        <w:spacing w:line="360" w:lineRule="auto"/>
        <w:ind w:firstLine="480" w:firstLineChars="200"/>
        <w:outlineLvl w:val="0"/>
        <w:rPr>
          <w:rFonts w:ascii="宋体" w:hAnsi="宋体" w:cs="宋体"/>
          <w:i w:val="0"/>
          <w:iCs w:val="0"/>
          <w:color w:val="auto"/>
          <w:szCs w:val="21"/>
          <w:highlight w:val="none"/>
        </w:rPr>
      </w:pPr>
      <w:bookmarkStart w:id="1060" w:name="_Toc6372"/>
      <w:r>
        <w:rPr>
          <w:rFonts w:hint="eastAsia" w:ascii="宋体" w:hAnsi="宋体" w:cs="宋体"/>
          <w:i w:val="0"/>
          <w:iCs w:val="0"/>
          <w:color w:val="auto"/>
          <w:szCs w:val="21"/>
          <w:highlight w:val="none"/>
        </w:rPr>
        <w:t>13.6 竣工退场</w:t>
      </w:r>
      <w:bookmarkEnd w:id="1060"/>
    </w:p>
    <w:p w14:paraId="340A645D">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13.6.1 竣工退场</w:t>
      </w:r>
    </w:p>
    <w:p w14:paraId="4ABFF4D3">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承包人完成竣工退场的期限：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w:t>
      </w:r>
    </w:p>
    <w:p w14:paraId="4422AF4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061" w:name="_Toc351203646"/>
      <w:r>
        <w:rPr>
          <w:rFonts w:hint="eastAsia" w:ascii="宋体" w:hAnsi="宋体" w:eastAsia="宋体"/>
          <w:b/>
          <w:i w:val="0"/>
          <w:iCs w:val="0"/>
          <w:color w:val="auto"/>
          <w:szCs w:val="21"/>
          <w:highlight w:val="none"/>
        </w:rPr>
        <w:t>14. 竣工结算</w:t>
      </w:r>
      <w:bookmarkEnd w:id="1061"/>
    </w:p>
    <w:p w14:paraId="48CFCD9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14.1 竣工结算申请</w:t>
      </w:r>
    </w:p>
    <w:p w14:paraId="138E141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承包人提交竣工结算申请单的期限：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D24B5C5">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竣工结算申请单应包括的内容：</w:t>
      </w:r>
      <w:r>
        <w:rPr>
          <w:rFonts w:hint="eastAsia" w:ascii="宋体" w:hAnsi="宋体" w:cs="宋体"/>
          <w:i w:val="0"/>
          <w:iCs w:val="0"/>
          <w:color w:val="auto"/>
          <w:szCs w:val="21"/>
          <w:highlight w:val="none"/>
          <w:u w:val="single"/>
        </w:rPr>
        <w:t xml:space="preserve">                        </w:t>
      </w:r>
    </w:p>
    <w:p w14:paraId="303A4E56">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E69F0E3">
      <w:pPr>
        <w:snapToGrid w:val="0"/>
        <w:spacing w:line="360" w:lineRule="auto"/>
        <w:ind w:firstLine="480" w:firstLineChars="200"/>
        <w:outlineLvl w:val="0"/>
        <w:rPr>
          <w:rFonts w:ascii="宋体" w:hAnsi="宋体" w:cs="宋体"/>
          <w:i w:val="0"/>
          <w:iCs w:val="0"/>
          <w:color w:val="auto"/>
          <w:szCs w:val="21"/>
          <w:highlight w:val="none"/>
        </w:rPr>
      </w:pPr>
      <w:bookmarkStart w:id="1062" w:name="_Toc17899"/>
      <w:r>
        <w:rPr>
          <w:rFonts w:hint="eastAsia" w:ascii="宋体" w:hAnsi="宋体" w:cs="宋体"/>
          <w:i w:val="0"/>
          <w:iCs w:val="0"/>
          <w:color w:val="auto"/>
          <w:szCs w:val="21"/>
          <w:highlight w:val="none"/>
        </w:rPr>
        <w:t>14.2 竣工结算审核</w:t>
      </w:r>
      <w:bookmarkEnd w:id="1062"/>
    </w:p>
    <w:p w14:paraId="2B909E1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发包人审批竣工付款申请单的期限：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39AE7E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发包人完成竣工付款的期限：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7192C93">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关于竣工付款证书异议部分复核的方式和程序：</w:t>
      </w:r>
      <w:r>
        <w:rPr>
          <w:rFonts w:hint="eastAsia" w:ascii="宋体" w:hAnsi="宋体" w:cs="宋体"/>
          <w:i w:val="0"/>
          <w:iCs w:val="0"/>
          <w:color w:val="auto"/>
          <w:szCs w:val="21"/>
          <w:highlight w:val="none"/>
          <w:u w:val="single"/>
        </w:rPr>
        <w:t xml:space="preserve">          </w:t>
      </w:r>
    </w:p>
    <w:p w14:paraId="1E5FB580">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CCBBAD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14.4 最终结清</w:t>
      </w:r>
    </w:p>
    <w:p w14:paraId="775D7C28">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14.4.1 最终结清申请单</w:t>
      </w:r>
    </w:p>
    <w:p w14:paraId="6CA7EFE4">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承包人提交最终结清申请单的份数：</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8AB517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承包人提交最终结算申请单的期限：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0135148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14.4.2 最终结清证书和支付</w:t>
      </w:r>
    </w:p>
    <w:p w14:paraId="77FA90F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（1）发包人完成最终结清申请单的审批并颁发最终结清证书的期限：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B1C495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（2）发包人完成支付的期限：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047"/>
    <w:bookmarkEnd w:id="1048"/>
    <w:bookmarkEnd w:id="1049"/>
    <w:bookmarkEnd w:id="1050"/>
    <w:bookmarkEnd w:id="1051"/>
    <w:bookmarkEnd w:id="1052"/>
    <w:bookmarkEnd w:id="1053"/>
    <w:bookmarkEnd w:id="1059"/>
    <w:p w14:paraId="093A7D6F">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063" w:name="_Toc351203647"/>
      <w:bookmarkStart w:id="1064" w:name="_Toc267251483"/>
      <w:bookmarkStart w:id="1065" w:name="_Toc267251482"/>
      <w:bookmarkStart w:id="1066" w:name="_Toc267251484"/>
      <w:bookmarkStart w:id="1067" w:name="_Toc267251485"/>
      <w:bookmarkStart w:id="1068" w:name="_Toc267251486"/>
      <w:bookmarkStart w:id="1069" w:name="_Toc267251490"/>
      <w:bookmarkStart w:id="1070" w:name="_Toc267251488"/>
      <w:bookmarkStart w:id="1071" w:name="_Toc267251489"/>
      <w:bookmarkStart w:id="1072" w:name="_Toc267251501"/>
      <w:bookmarkStart w:id="1073" w:name="_Toc267251497"/>
      <w:bookmarkStart w:id="1074" w:name="_Toc267251499"/>
      <w:bookmarkStart w:id="1075" w:name="_Toc267251491"/>
      <w:bookmarkStart w:id="1076" w:name="_Toc267251502"/>
      <w:bookmarkStart w:id="1077" w:name="_Toc267251495"/>
      <w:bookmarkStart w:id="1078" w:name="_Toc267251503"/>
      <w:bookmarkStart w:id="1079" w:name="_Toc267251496"/>
      <w:bookmarkStart w:id="1080" w:name="_Toc267251494"/>
      <w:bookmarkStart w:id="1081" w:name="_Toc267251498"/>
      <w:bookmarkStart w:id="1082" w:name="_Toc267251492"/>
      <w:bookmarkStart w:id="1083" w:name="_Toc267251493"/>
      <w:bookmarkStart w:id="1084" w:name="_Toc267251506"/>
      <w:bookmarkStart w:id="1085" w:name="_Toc267251504"/>
      <w:bookmarkStart w:id="1086" w:name="_Toc267251507"/>
      <w:bookmarkStart w:id="1087" w:name="_Toc267251508"/>
      <w:bookmarkStart w:id="1088" w:name="_Toc267251513"/>
      <w:bookmarkStart w:id="1089" w:name="_Toc267251515"/>
      <w:bookmarkStart w:id="1090" w:name="_Toc267251511"/>
      <w:bookmarkStart w:id="1091" w:name="_Toc267251514"/>
      <w:bookmarkStart w:id="1092" w:name="_Toc267251510"/>
      <w:bookmarkStart w:id="1093" w:name="_Toc267251509"/>
      <w:r>
        <w:rPr>
          <w:rFonts w:hint="eastAsia" w:ascii="宋体" w:hAnsi="宋体" w:eastAsia="宋体"/>
          <w:b/>
          <w:i w:val="0"/>
          <w:iCs w:val="0"/>
          <w:color w:val="auto"/>
          <w:szCs w:val="21"/>
          <w:highlight w:val="none"/>
        </w:rPr>
        <w:t>15. 缺陷责任期与保修</w:t>
      </w:r>
      <w:bookmarkEnd w:id="1063"/>
    </w:p>
    <w:p w14:paraId="2759CA6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15.2缺陷责任期</w:t>
      </w:r>
      <w:bookmarkEnd w:id="1064"/>
    </w:p>
    <w:p w14:paraId="2C42CC2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缺陷责任期的具体期限：</w:t>
      </w:r>
      <w:r>
        <w:rPr>
          <w:rFonts w:hint="eastAsia" w:ascii="宋体" w:hAnsi="宋体" w:cs="宋体"/>
          <w:i w:val="0"/>
          <w:iCs w:val="0"/>
          <w:color w:val="auto"/>
          <w:szCs w:val="21"/>
          <w:highlight w:val="none"/>
          <w:u w:val="single"/>
        </w:rPr>
        <w:t xml:space="preserve">                                </w:t>
      </w:r>
    </w:p>
    <w:p w14:paraId="5960AAFF">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D537EAD">
      <w:pPr>
        <w:snapToGrid w:val="0"/>
        <w:spacing w:line="360" w:lineRule="auto"/>
        <w:ind w:firstLine="480" w:firstLineChars="200"/>
        <w:outlineLvl w:val="0"/>
        <w:rPr>
          <w:rFonts w:ascii="宋体" w:hAnsi="宋体" w:cs="宋体"/>
          <w:i w:val="0"/>
          <w:iCs w:val="0"/>
          <w:color w:val="auto"/>
          <w:szCs w:val="21"/>
          <w:highlight w:val="none"/>
        </w:rPr>
      </w:pPr>
      <w:bookmarkStart w:id="1094" w:name="_Toc723"/>
      <w:r>
        <w:rPr>
          <w:rFonts w:hint="eastAsia" w:ascii="宋体" w:hAnsi="宋体" w:cs="宋体"/>
          <w:i w:val="0"/>
          <w:iCs w:val="0"/>
          <w:color w:val="auto"/>
          <w:szCs w:val="21"/>
          <w:highlight w:val="none"/>
        </w:rPr>
        <w:t>15.3 质量保证金</w:t>
      </w:r>
      <w:bookmarkEnd w:id="1094"/>
    </w:p>
    <w:p w14:paraId="37B0F46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关于是否扣留质量保证金的约定：</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。在工程项目竣工前，承包人按专用合同条款第3.7条提供履约担保的，发包人不得同时预留工程质量保证金。</w:t>
      </w:r>
    </w:p>
    <w:p w14:paraId="622A1151">
      <w:pPr>
        <w:snapToGrid w:val="0"/>
        <w:spacing w:line="360" w:lineRule="auto"/>
        <w:ind w:firstLine="480" w:firstLineChars="200"/>
        <w:jc w:val="left"/>
        <w:outlineLvl w:val="0"/>
        <w:rPr>
          <w:rFonts w:ascii="宋体" w:hAnsi="宋体" w:cs="宋体"/>
          <w:i w:val="0"/>
          <w:iCs w:val="0"/>
          <w:color w:val="auto"/>
          <w:szCs w:val="21"/>
          <w:highlight w:val="none"/>
        </w:rPr>
      </w:pPr>
      <w:bookmarkStart w:id="1095" w:name="_Toc3344"/>
      <w:r>
        <w:rPr>
          <w:rFonts w:hint="eastAsia" w:ascii="宋体" w:hAnsi="宋体" w:cs="宋体"/>
          <w:i w:val="0"/>
          <w:iCs w:val="0"/>
          <w:color w:val="auto"/>
          <w:szCs w:val="21"/>
          <w:highlight w:val="none"/>
        </w:rPr>
        <w:t>15.3.1 承包人提供质量保证金的方式</w:t>
      </w:r>
      <w:bookmarkEnd w:id="1095"/>
    </w:p>
    <w:p w14:paraId="3B9814C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质量保证金采用以下第</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w:t>
      </w:r>
    </w:p>
    <w:p w14:paraId="4907FF4E">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（1）质量保证金保函，保证金额为：</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 xml:space="preserve">； </w:t>
      </w:r>
    </w:p>
    <w:p w14:paraId="2778D8B0">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%的工程款；</w:t>
      </w:r>
    </w:p>
    <w:p w14:paraId="612F1949">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（3）其他方式:</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5B1068E5">
      <w:pPr>
        <w:snapToGrid w:val="0"/>
        <w:spacing w:line="360" w:lineRule="auto"/>
        <w:ind w:firstLine="480" w:firstLineChars="200"/>
        <w:jc w:val="left"/>
        <w:outlineLvl w:val="0"/>
        <w:rPr>
          <w:rFonts w:ascii="宋体" w:hAnsi="宋体" w:cs="宋体"/>
          <w:i w:val="0"/>
          <w:iCs w:val="0"/>
          <w:color w:val="auto"/>
          <w:szCs w:val="21"/>
          <w:highlight w:val="none"/>
        </w:rPr>
      </w:pPr>
      <w:bookmarkStart w:id="1096" w:name="_Toc17579"/>
      <w:r>
        <w:rPr>
          <w:rFonts w:hint="eastAsia" w:ascii="宋体" w:hAnsi="宋体" w:cs="宋体"/>
          <w:i w:val="0"/>
          <w:iCs w:val="0"/>
          <w:color w:val="auto"/>
          <w:szCs w:val="21"/>
          <w:highlight w:val="none"/>
        </w:rPr>
        <w:t>15.3.2 质量保证金的扣留</w:t>
      </w:r>
      <w:bookmarkEnd w:id="1096"/>
      <w:r>
        <w:rPr>
          <w:rFonts w:hint="eastAsia" w:ascii="宋体" w:hAnsi="宋体" w:cs="宋体"/>
          <w:i w:val="0"/>
          <w:iCs w:val="0"/>
          <w:color w:val="auto"/>
          <w:szCs w:val="21"/>
          <w:highlight w:val="none"/>
        </w:rPr>
        <w:t xml:space="preserve"> </w:t>
      </w:r>
    </w:p>
    <w:p w14:paraId="66F83BE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质量保证金的扣留采取以下第</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w:t>
      </w:r>
    </w:p>
    <w:p w14:paraId="735C837C">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（1）在支付工程进度款时逐次扣留，在此情形下，质量保证金的计算基数不包括预付款的支付、扣回以及价格调整的金额；</w:t>
      </w:r>
    </w:p>
    <w:p w14:paraId="60E271F8">
      <w:pPr>
        <w:autoSpaceDE w:val="0"/>
        <w:autoSpaceDN w:val="0"/>
        <w:snapToGrid w:val="0"/>
        <w:spacing w:line="360" w:lineRule="auto"/>
        <w:ind w:firstLine="480" w:firstLineChars="200"/>
        <w:jc w:val="left"/>
        <w:outlineLvl w:val="0"/>
        <w:rPr>
          <w:rFonts w:ascii="宋体" w:hAnsi="宋体" w:cs="宋体"/>
          <w:i w:val="0"/>
          <w:iCs w:val="0"/>
          <w:color w:val="auto"/>
          <w:kern w:val="0"/>
          <w:szCs w:val="21"/>
          <w:highlight w:val="none"/>
        </w:rPr>
      </w:pPr>
      <w:bookmarkStart w:id="1097" w:name="_Toc3925"/>
      <w:r>
        <w:rPr>
          <w:rFonts w:hint="eastAsia" w:ascii="宋体" w:hAnsi="宋体" w:cs="宋体"/>
          <w:i w:val="0"/>
          <w:iCs w:val="0"/>
          <w:color w:val="auto"/>
          <w:kern w:val="0"/>
          <w:szCs w:val="21"/>
          <w:highlight w:val="none"/>
        </w:rPr>
        <w:t>（2）工程竣工结算时一次性扣留质量保证金；</w:t>
      </w:r>
      <w:bookmarkEnd w:id="1097"/>
    </w:p>
    <w:p w14:paraId="125C4020">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（3）其他扣留方式:</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51DA611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关于质量保证金的补充约定：</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bookmarkEnd w:id="1065"/>
    <w:bookmarkEnd w:id="1066"/>
    <w:p w14:paraId="28C16D4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15.4保修</w:t>
      </w:r>
    </w:p>
    <w:bookmarkEnd w:id="1067"/>
    <w:p w14:paraId="64C15439">
      <w:pPr>
        <w:snapToGrid w:val="0"/>
        <w:spacing w:line="360" w:lineRule="auto"/>
        <w:ind w:firstLine="468" w:firstLineChars="195"/>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15.4.1 保修责任</w:t>
      </w:r>
    </w:p>
    <w:p w14:paraId="75D14E15">
      <w:pPr>
        <w:snapToGrid w:val="0"/>
        <w:spacing w:line="360" w:lineRule="auto"/>
        <w:ind w:firstLine="468" w:firstLineChars="195"/>
        <w:jc w:val="left"/>
        <w:rPr>
          <w:rFonts w:ascii="宋体" w:hAnsi="宋体" w:cs="宋体"/>
          <w:i w:val="0"/>
          <w:iCs w:val="0"/>
          <w:color w:val="auto"/>
          <w:kern w:val="0"/>
          <w:szCs w:val="21"/>
          <w:highlight w:val="none"/>
          <w:u w:val="single"/>
        </w:rPr>
      </w:pPr>
      <w:r>
        <w:rPr>
          <w:rFonts w:hint="eastAsia" w:ascii="宋体" w:hAnsi="宋体" w:cs="宋体"/>
          <w:i w:val="0"/>
          <w:iCs w:val="0"/>
          <w:color w:val="auto"/>
          <w:szCs w:val="21"/>
          <w:highlight w:val="none"/>
        </w:rPr>
        <w:t>工程保修期为：</w:t>
      </w:r>
      <w:r>
        <w:rPr>
          <w:rFonts w:hint="eastAsia" w:ascii="宋体" w:hAnsi="宋体" w:cs="宋体"/>
          <w:i w:val="0"/>
          <w:iCs w:val="0"/>
          <w:color w:val="auto"/>
          <w:kern w:val="0"/>
          <w:szCs w:val="21"/>
          <w:highlight w:val="none"/>
          <w:u w:val="single"/>
        </w:rPr>
        <w:t xml:space="preserve">                                        </w:t>
      </w:r>
    </w:p>
    <w:p w14:paraId="3999B7F8">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75C7051">
      <w:pPr>
        <w:snapToGrid w:val="0"/>
        <w:spacing w:line="360" w:lineRule="auto"/>
        <w:ind w:firstLine="468" w:firstLineChars="195"/>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15.4.3 修复通知</w:t>
      </w:r>
    </w:p>
    <w:p w14:paraId="2B3EC8A1">
      <w:pPr>
        <w:snapToGrid w:val="0"/>
        <w:spacing w:line="360" w:lineRule="auto"/>
        <w:ind w:firstLine="468" w:firstLineChars="195"/>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承包人收到保修通知并到达工程现场的合理时间：</w:t>
      </w:r>
      <w:r>
        <w:rPr>
          <w:rFonts w:hint="eastAsia" w:ascii="宋体" w:hAnsi="宋体" w:cs="宋体"/>
          <w:i w:val="0"/>
          <w:iCs w:val="0"/>
          <w:color w:val="auto"/>
          <w:kern w:val="0"/>
          <w:szCs w:val="21"/>
          <w:highlight w:val="none"/>
          <w:u w:val="single"/>
        </w:rPr>
        <w:t xml:space="preserve">          </w:t>
      </w:r>
    </w:p>
    <w:p w14:paraId="7B694E6D">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bookmarkEnd w:id="1068"/>
    <w:bookmarkEnd w:id="1069"/>
    <w:bookmarkEnd w:id="1070"/>
    <w:bookmarkEnd w:id="1071"/>
    <w:p w14:paraId="489CB4FD">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098" w:name="_Toc351203648"/>
      <w:bookmarkStart w:id="1099" w:name="_Toc280868717"/>
      <w:bookmarkStart w:id="1100" w:name="_Toc280868718"/>
      <w:r>
        <w:rPr>
          <w:rFonts w:hint="eastAsia" w:ascii="宋体" w:hAnsi="宋体" w:eastAsia="宋体"/>
          <w:b/>
          <w:i w:val="0"/>
          <w:iCs w:val="0"/>
          <w:color w:val="auto"/>
          <w:szCs w:val="21"/>
          <w:highlight w:val="none"/>
        </w:rPr>
        <w:t>16. 违约</w:t>
      </w:r>
      <w:bookmarkEnd w:id="1098"/>
    </w:p>
    <w:p w14:paraId="3DACB172">
      <w:pPr>
        <w:snapToGrid w:val="0"/>
        <w:spacing w:line="360" w:lineRule="auto"/>
        <w:ind w:firstLine="480" w:firstLineChars="200"/>
        <w:outlineLvl w:val="0"/>
        <w:rPr>
          <w:rFonts w:ascii="宋体" w:hAnsi="宋体" w:cs="宋体"/>
          <w:i w:val="0"/>
          <w:iCs w:val="0"/>
          <w:color w:val="auto"/>
          <w:szCs w:val="21"/>
          <w:highlight w:val="none"/>
        </w:rPr>
      </w:pPr>
      <w:bookmarkStart w:id="1101" w:name="_Toc15772"/>
      <w:r>
        <w:rPr>
          <w:rFonts w:hint="eastAsia" w:ascii="宋体" w:hAnsi="宋体" w:cs="宋体"/>
          <w:i w:val="0"/>
          <w:iCs w:val="0"/>
          <w:color w:val="auto"/>
          <w:szCs w:val="21"/>
          <w:highlight w:val="none"/>
        </w:rPr>
        <w:t>16.1 发包人违约</w:t>
      </w:r>
      <w:bookmarkEnd w:id="1101"/>
    </w:p>
    <w:p w14:paraId="4D50A88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16.1.1发包人违约的情形</w:t>
      </w:r>
    </w:p>
    <w:p w14:paraId="3A21ABD9">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发包人违约的其他情形：</w:t>
      </w:r>
      <w:r>
        <w:rPr>
          <w:rFonts w:hint="eastAsia" w:ascii="宋体" w:hAnsi="宋体" w:cs="宋体"/>
          <w:i w:val="0"/>
          <w:iCs w:val="0"/>
          <w:color w:val="auto"/>
          <w:kern w:val="0"/>
          <w:szCs w:val="21"/>
          <w:highlight w:val="none"/>
          <w:u w:val="single"/>
        </w:rPr>
        <w:t xml:space="preserve">                                </w:t>
      </w:r>
    </w:p>
    <w:p w14:paraId="66CCBD1A">
      <w:pPr>
        <w:snapToGrid w:val="0"/>
        <w:spacing w:line="360" w:lineRule="auto"/>
        <w:ind w:left="1050" w:hanging="1200" w:hangingChars="5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2CEA46D0">
      <w:pPr>
        <w:snapToGrid w:val="0"/>
        <w:spacing w:line="360" w:lineRule="auto"/>
        <w:ind w:left="1050" w:hanging="1200" w:hangingChars="5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 xml:space="preserve">    16.1.2 发包人违约的责任</w:t>
      </w:r>
    </w:p>
    <w:p w14:paraId="34CA036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发包人违约责任的承担方式和计算方法：</w:t>
      </w:r>
    </w:p>
    <w:p w14:paraId="24656F9D">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（1）因发包人原因未能在计划开工日期前7天内下达开工通知的违约责任：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BF80215">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（2）因发包人原因未能按合同约定支付合同价款的违约责任：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9369F07">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（3）发包人违反第10.1款〔变更的范围〕第（2）项约定，自行实施被取消的工作或转由他人实施的违约责任：</w:t>
      </w:r>
      <w:r>
        <w:rPr>
          <w:rFonts w:hint="eastAsia" w:ascii="宋体" w:hAnsi="宋体" w:cs="宋体"/>
          <w:i w:val="0"/>
          <w:iCs w:val="0"/>
          <w:color w:val="auto"/>
          <w:kern w:val="0"/>
          <w:szCs w:val="21"/>
          <w:highlight w:val="none"/>
          <w:u w:val="single"/>
        </w:rPr>
        <w:t xml:space="preserve">              </w:t>
      </w:r>
    </w:p>
    <w:p w14:paraId="40BC0D57">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2C154AE">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96FAF7F">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（5）因发包人违反合同约定造成暂停施工的违约责任：</w:t>
      </w:r>
      <w:r>
        <w:rPr>
          <w:rFonts w:hint="eastAsia" w:ascii="宋体" w:hAnsi="宋体" w:cs="宋体"/>
          <w:i w:val="0"/>
          <w:iCs w:val="0"/>
          <w:color w:val="auto"/>
          <w:kern w:val="0"/>
          <w:szCs w:val="21"/>
          <w:highlight w:val="none"/>
          <w:u w:val="single"/>
        </w:rPr>
        <w:t xml:space="preserve">     </w:t>
      </w:r>
    </w:p>
    <w:p w14:paraId="1396F875">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7C708318">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（6）发包人无正当理由没有在约定期限内发出复工指示，导致承包人无法复工的违约责任：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7FE2883">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（7）其他：</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7ED9EB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16.1.3 因发包人违约解除合同</w:t>
      </w:r>
    </w:p>
    <w:p w14:paraId="002AE9CF">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承包人按16.1.1项〔发包人违约的情形〕约定暂停施工满</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天后发包人仍不纠正其违约行为并致使合同目的不能实现的，承包人有权解除合同。</w:t>
      </w:r>
    </w:p>
    <w:p w14:paraId="084C6910">
      <w:pPr>
        <w:snapToGrid w:val="0"/>
        <w:spacing w:line="360" w:lineRule="auto"/>
        <w:ind w:firstLine="480" w:firstLineChars="200"/>
        <w:outlineLvl w:val="0"/>
        <w:rPr>
          <w:rFonts w:ascii="宋体" w:hAnsi="宋体" w:cs="宋体"/>
          <w:i w:val="0"/>
          <w:iCs w:val="0"/>
          <w:color w:val="auto"/>
          <w:szCs w:val="21"/>
          <w:highlight w:val="none"/>
        </w:rPr>
      </w:pPr>
      <w:bookmarkStart w:id="1102" w:name="_Toc8166"/>
      <w:r>
        <w:rPr>
          <w:rFonts w:hint="eastAsia" w:ascii="宋体" w:hAnsi="宋体" w:cs="宋体"/>
          <w:i w:val="0"/>
          <w:iCs w:val="0"/>
          <w:color w:val="auto"/>
          <w:szCs w:val="21"/>
          <w:highlight w:val="none"/>
        </w:rPr>
        <w:t>16.2 承包人违约</w:t>
      </w:r>
      <w:bookmarkEnd w:id="1102"/>
    </w:p>
    <w:p w14:paraId="51D3314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16.2.1 承包人违约的情形</w:t>
      </w:r>
    </w:p>
    <w:p w14:paraId="18409217">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承包人违约的其他情形：</w:t>
      </w:r>
      <w:r>
        <w:rPr>
          <w:rFonts w:hint="eastAsia" w:ascii="宋体" w:hAnsi="宋体" w:cs="宋体"/>
          <w:i w:val="0"/>
          <w:iCs w:val="0"/>
          <w:color w:val="auto"/>
          <w:kern w:val="0"/>
          <w:szCs w:val="21"/>
          <w:highlight w:val="none"/>
          <w:u w:val="single"/>
        </w:rPr>
        <w:t xml:space="preserve">                                </w:t>
      </w:r>
    </w:p>
    <w:p w14:paraId="431632CF">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2855E5CD">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16.2.2承包人违约的责任</w:t>
      </w:r>
    </w:p>
    <w:p w14:paraId="151D706D">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承包人违约责任的承担方式和计算方法：</w:t>
      </w:r>
      <w:r>
        <w:rPr>
          <w:rFonts w:hint="eastAsia" w:ascii="宋体" w:hAnsi="宋体" w:cs="宋体"/>
          <w:i w:val="0"/>
          <w:iCs w:val="0"/>
          <w:color w:val="auto"/>
          <w:kern w:val="0"/>
          <w:szCs w:val="21"/>
          <w:highlight w:val="none"/>
          <w:u w:val="single"/>
        </w:rPr>
        <w:t xml:space="preserve">                  </w:t>
      </w:r>
    </w:p>
    <w:p w14:paraId="59A6AEE3">
      <w:pPr>
        <w:snapToGrid w:val="0"/>
        <w:spacing w:line="360" w:lineRule="auto"/>
        <w:ind w:left="1050" w:hanging="1200" w:hangingChars="5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r>
        <w:rPr>
          <w:rFonts w:hint="eastAsia" w:ascii="宋体" w:hAnsi="宋体" w:cs="宋体"/>
          <w:i w:val="0"/>
          <w:iCs w:val="0"/>
          <w:color w:val="auto"/>
          <w:szCs w:val="21"/>
          <w:highlight w:val="none"/>
        </w:rPr>
        <w:t xml:space="preserve">    </w:t>
      </w:r>
    </w:p>
    <w:p w14:paraId="32D0353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16.2.3 因承包人违约解除合同</w:t>
      </w:r>
    </w:p>
    <w:p w14:paraId="17A69F4B">
      <w:pPr>
        <w:snapToGrid w:val="0"/>
        <w:spacing w:line="360" w:lineRule="auto"/>
        <w:ind w:firstLine="480" w:firstLineChars="200"/>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关于承包人违约解除合同的特别约定：</w:t>
      </w:r>
      <w:r>
        <w:rPr>
          <w:rFonts w:hint="eastAsia" w:ascii="宋体" w:hAnsi="宋体" w:cs="宋体"/>
          <w:i w:val="0"/>
          <w:iCs w:val="0"/>
          <w:color w:val="auto"/>
          <w:kern w:val="0"/>
          <w:szCs w:val="21"/>
          <w:highlight w:val="none"/>
          <w:u w:val="single"/>
        </w:rPr>
        <w:t xml:space="preserve">                    </w:t>
      </w:r>
    </w:p>
    <w:p w14:paraId="5428D23C">
      <w:pPr>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16183CE">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500B5F3">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103" w:name="_Toc351203649"/>
      <w:r>
        <w:rPr>
          <w:rFonts w:hint="eastAsia" w:ascii="宋体" w:hAnsi="宋体" w:eastAsia="宋体"/>
          <w:b/>
          <w:i w:val="0"/>
          <w:iCs w:val="0"/>
          <w:color w:val="auto"/>
          <w:szCs w:val="21"/>
          <w:highlight w:val="none"/>
        </w:rPr>
        <w:t>17. 不可抗力</w:t>
      </w:r>
      <w:bookmarkEnd w:id="1103"/>
      <w:r>
        <w:rPr>
          <w:rFonts w:hint="eastAsia" w:ascii="宋体" w:hAnsi="宋体" w:eastAsia="宋体"/>
          <w:b/>
          <w:i w:val="0"/>
          <w:iCs w:val="0"/>
          <w:color w:val="auto"/>
          <w:szCs w:val="21"/>
          <w:highlight w:val="none"/>
        </w:rPr>
        <w:t xml:space="preserve"> </w:t>
      </w:r>
      <w:bookmarkEnd w:id="1099"/>
    </w:p>
    <w:p w14:paraId="2993CD4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17.1 不可抗力的确认</w:t>
      </w:r>
    </w:p>
    <w:p w14:paraId="191C20ED">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szCs w:val="21"/>
          <w:highlight w:val="none"/>
        </w:rPr>
        <w:t xml:space="preserve">除通用合同条款约定的不可抗力事件之外，视为不可抗力的其他情形： </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77C71C29">
      <w:pPr>
        <w:snapToGrid w:val="0"/>
        <w:spacing w:line="360" w:lineRule="auto"/>
        <w:ind w:firstLine="480" w:firstLineChars="200"/>
        <w:outlineLvl w:val="0"/>
        <w:rPr>
          <w:rFonts w:ascii="宋体" w:hAnsi="宋体" w:cs="宋体"/>
          <w:i w:val="0"/>
          <w:iCs w:val="0"/>
          <w:color w:val="auto"/>
          <w:szCs w:val="21"/>
          <w:highlight w:val="none"/>
        </w:rPr>
      </w:pPr>
      <w:bookmarkStart w:id="1104" w:name="_Toc10710"/>
      <w:r>
        <w:rPr>
          <w:rFonts w:hint="eastAsia" w:ascii="宋体" w:hAnsi="宋体" w:cs="宋体"/>
          <w:i w:val="0"/>
          <w:iCs w:val="0"/>
          <w:color w:val="auto"/>
          <w:szCs w:val="21"/>
          <w:highlight w:val="none"/>
        </w:rPr>
        <w:t>17.4 因不可抗力解除合同</w:t>
      </w:r>
      <w:bookmarkEnd w:id="1104"/>
    </w:p>
    <w:p w14:paraId="7D7D878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合同解除后，发包人应在商定或确定发包人应支付款项后</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天内完成款项的支付。</w:t>
      </w:r>
    </w:p>
    <w:p w14:paraId="27AAD5EF">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105" w:name="_Toc351203650"/>
      <w:r>
        <w:rPr>
          <w:rFonts w:hint="eastAsia" w:ascii="宋体" w:hAnsi="宋体" w:eastAsia="宋体"/>
          <w:b/>
          <w:i w:val="0"/>
          <w:iCs w:val="0"/>
          <w:color w:val="auto"/>
          <w:szCs w:val="21"/>
          <w:highlight w:val="none"/>
        </w:rPr>
        <w:t>18. 保险</w:t>
      </w:r>
      <w:bookmarkEnd w:id="1105"/>
    </w:p>
    <w:bookmarkEnd w:id="1100"/>
    <w:p w14:paraId="71435C5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18.1 工程保险</w:t>
      </w:r>
    </w:p>
    <w:p w14:paraId="336B7A7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关于工程保险的特别约定：</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26D57F13">
      <w:pPr>
        <w:snapToGrid w:val="0"/>
        <w:spacing w:line="360" w:lineRule="auto"/>
        <w:ind w:firstLine="480" w:firstLineChars="200"/>
        <w:outlineLvl w:val="0"/>
        <w:rPr>
          <w:rFonts w:ascii="宋体" w:hAnsi="宋体" w:cs="宋体"/>
          <w:i w:val="0"/>
          <w:iCs w:val="0"/>
          <w:color w:val="auto"/>
          <w:szCs w:val="21"/>
          <w:highlight w:val="none"/>
        </w:rPr>
      </w:pPr>
      <w:bookmarkStart w:id="1106" w:name="_Toc20745"/>
      <w:r>
        <w:rPr>
          <w:rFonts w:hint="eastAsia" w:ascii="宋体" w:hAnsi="宋体" w:cs="宋体"/>
          <w:i w:val="0"/>
          <w:iCs w:val="0"/>
          <w:color w:val="auto"/>
          <w:szCs w:val="21"/>
          <w:highlight w:val="none"/>
        </w:rPr>
        <w:t>18.3 其他保险</w:t>
      </w:r>
      <w:bookmarkEnd w:id="1106"/>
    </w:p>
    <w:p w14:paraId="0424398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关于其他保险的约定：</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48539230">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承包人是否应为其施工设备等办理财产保险：</w:t>
      </w:r>
      <w:r>
        <w:rPr>
          <w:rFonts w:hint="eastAsia" w:ascii="宋体" w:hAnsi="宋体" w:cs="宋体"/>
          <w:i w:val="0"/>
          <w:iCs w:val="0"/>
          <w:color w:val="auto"/>
          <w:szCs w:val="21"/>
          <w:highlight w:val="none"/>
          <w:u w:val="single"/>
        </w:rPr>
        <w:t xml:space="preserve">              </w:t>
      </w:r>
    </w:p>
    <w:p w14:paraId="3D5BC856">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DCE000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18.7 通知义务</w:t>
      </w:r>
    </w:p>
    <w:p w14:paraId="0CBF6B1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关于变更保险合同时的通知义务的约定：</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072"/>
    <w:bookmarkEnd w:id="1073"/>
    <w:bookmarkEnd w:id="1074"/>
    <w:bookmarkEnd w:id="1075"/>
    <w:bookmarkEnd w:id="1076"/>
    <w:bookmarkEnd w:id="1077"/>
    <w:bookmarkEnd w:id="1078"/>
    <w:bookmarkEnd w:id="1079"/>
    <w:bookmarkEnd w:id="1080"/>
    <w:bookmarkEnd w:id="1081"/>
    <w:bookmarkEnd w:id="1082"/>
    <w:bookmarkEnd w:id="1083"/>
    <w:p w14:paraId="4DEC9C41">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107" w:name="_Toc351203651"/>
      <w:r>
        <w:rPr>
          <w:rFonts w:hint="eastAsia" w:ascii="宋体" w:hAnsi="宋体" w:eastAsia="宋体"/>
          <w:b/>
          <w:i w:val="0"/>
          <w:iCs w:val="0"/>
          <w:color w:val="auto"/>
          <w:szCs w:val="21"/>
          <w:highlight w:val="none"/>
        </w:rPr>
        <w:t>20. 争议解决</w:t>
      </w:r>
      <w:bookmarkEnd w:id="1107"/>
    </w:p>
    <w:bookmarkEnd w:id="1084"/>
    <w:bookmarkEnd w:id="1085"/>
    <w:p w14:paraId="39D18971">
      <w:pPr>
        <w:snapToGrid w:val="0"/>
        <w:spacing w:line="360" w:lineRule="auto"/>
        <w:ind w:firstLine="480" w:firstLineChars="200"/>
        <w:outlineLvl w:val="0"/>
        <w:rPr>
          <w:rFonts w:ascii="宋体" w:hAnsi="宋体" w:cs="宋体"/>
          <w:i w:val="0"/>
          <w:iCs w:val="0"/>
          <w:color w:val="auto"/>
          <w:szCs w:val="21"/>
          <w:highlight w:val="none"/>
        </w:rPr>
      </w:pPr>
      <w:bookmarkStart w:id="1108" w:name="_Toc17946"/>
      <w:r>
        <w:rPr>
          <w:rFonts w:hint="eastAsia" w:ascii="宋体" w:hAnsi="宋体" w:cs="宋体"/>
          <w:i w:val="0"/>
          <w:iCs w:val="0"/>
          <w:color w:val="auto"/>
          <w:szCs w:val="21"/>
          <w:highlight w:val="none"/>
        </w:rPr>
        <w:t>20.3 争</w:t>
      </w:r>
      <w:bookmarkEnd w:id="1086"/>
      <w:r>
        <w:rPr>
          <w:rFonts w:hint="eastAsia" w:ascii="宋体" w:hAnsi="宋体" w:cs="宋体"/>
          <w:i w:val="0"/>
          <w:iCs w:val="0"/>
          <w:color w:val="auto"/>
          <w:szCs w:val="21"/>
          <w:highlight w:val="none"/>
        </w:rPr>
        <w:t>议评审</w:t>
      </w:r>
      <w:bookmarkEnd w:id="1108"/>
    </w:p>
    <w:p w14:paraId="374E4B73">
      <w:pPr>
        <w:snapToGrid w:val="0"/>
        <w:spacing w:line="360" w:lineRule="auto"/>
        <w:ind w:left="170" w:leftChars="71" w:firstLine="360" w:firstLineChars="15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合同当事人是否同意将工程争议提交争议评审小组决定：</w:t>
      </w:r>
      <w:r>
        <w:rPr>
          <w:rFonts w:hint="eastAsia" w:ascii="宋体" w:hAnsi="宋体" w:cs="宋体"/>
          <w:i w:val="0"/>
          <w:iCs w:val="0"/>
          <w:color w:val="auto"/>
          <w:szCs w:val="21"/>
          <w:highlight w:val="none"/>
          <w:u w:val="single"/>
        </w:rPr>
        <w:t xml:space="preserve">    </w:t>
      </w:r>
    </w:p>
    <w:p w14:paraId="743A29B7">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5422248A">
      <w:pPr>
        <w:snapToGrid w:val="0"/>
        <w:spacing w:line="360" w:lineRule="auto"/>
        <w:ind w:firstLine="480" w:firstLineChars="200"/>
        <w:jc w:val="left"/>
        <w:outlineLvl w:val="0"/>
        <w:rPr>
          <w:rFonts w:ascii="宋体" w:hAnsi="宋体" w:cs="宋体"/>
          <w:i w:val="0"/>
          <w:iCs w:val="0"/>
          <w:color w:val="auto"/>
          <w:szCs w:val="21"/>
          <w:highlight w:val="none"/>
        </w:rPr>
      </w:pPr>
      <w:bookmarkStart w:id="1109" w:name="_Toc14814"/>
      <w:r>
        <w:rPr>
          <w:rFonts w:hint="eastAsia" w:ascii="宋体" w:hAnsi="宋体" w:cs="宋体"/>
          <w:i w:val="0"/>
          <w:iCs w:val="0"/>
          <w:color w:val="auto"/>
          <w:szCs w:val="21"/>
          <w:highlight w:val="none"/>
        </w:rPr>
        <w:t>20.3.1 争议评审小组的确定</w:t>
      </w:r>
      <w:bookmarkEnd w:id="1109"/>
    </w:p>
    <w:p w14:paraId="18791145">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争议评审小组成员的确定：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5084D4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选定争议评审员的期限：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46F4DB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争议评审小组成员的报酬承担方式：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A8A44A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其他事项的约定：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AF3E96C">
      <w:pPr>
        <w:autoSpaceDE w:val="0"/>
        <w:autoSpaceDN w:val="0"/>
        <w:snapToGrid w:val="0"/>
        <w:spacing w:line="360" w:lineRule="auto"/>
        <w:ind w:firstLine="480" w:firstLineChars="200"/>
        <w:jc w:val="left"/>
        <w:outlineLvl w:val="0"/>
        <w:rPr>
          <w:rFonts w:ascii="宋体" w:hAnsi="宋体" w:cs="宋体"/>
          <w:i w:val="0"/>
          <w:iCs w:val="0"/>
          <w:color w:val="auto"/>
          <w:kern w:val="0"/>
          <w:szCs w:val="21"/>
          <w:highlight w:val="none"/>
        </w:rPr>
      </w:pPr>
      <w:bookmarkStart w:id="1110" w:name="_Toc27866"/>
      <w:r>
        <w:rPr>
          <w:rFonts w:hint="eastAsia" w:ascii="宋体" w:hAnsi="宋体" w:cs="宋体"/>
          <w:i w:val="0"/>
          <w:iCs w:val="0"/>
          <w:color w:val="auto"/>
          <w:kern w:val="0"/>
          <w:szCs w:val="21"/>
          <w:highlight w:val="none"/>
        </w:rPr>
        <w:t>20.3.2 争议评审小组的决定</w:t>
      </w:r>
      <w:bookmarkEnd w:id="1110"/>
    </w:p>
    <w:p w14:paraId="155E9CD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合同当事人关于本项的约定：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7F1BDE9">
      <w:pPr>
        <w:snapToGrid w:val="0"/>
        <w:spacing w:line="360" w:lineRule="auto"/>
        <w:ind w:firstLine="480" w:firstLineChars="200"/>
        <w:outlineLvl w:val="0"/>
        <w:rPr>
          <w:rFonts w:ascii="宋体" w:hAnsi="宋体" w:cs="宋体"/>
          <w:i w:val="0"/>
          <w:iCs w:val="0"/>
          <w:color w:val="auto"/>
          <w:szCs w:val="21"/>
          <w:highlight w:val="none"/>
        </w:rPr>
      </w:pPr>
      <w:bookmarkStart w:id="1111" w:name="_Toc21374"/>
      <w:r>
        <w:rPr>
          <w:rFonts w:hint="eastAsia" w:ascii="宋体" w:hAnsi="宋体" w:cs="宋体"/>
          <w:i w:val="0"/>
          <w:iCs w:val="0"/>
          <w:color w:val="auto"/>
          <w:szCs w:val="21"/>
          <w:highlight w:val="none"/>
        </w:rPr>
        <w:t>20.4仲裁或诉讼</w:t>
      </w:r>
      <w:bookmarkEnd w:id="1087"/>
      <w:bookmarkEnd w:id="1111"/>
    </w:p>
    <w:p w14:paraId="49325C2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因合同及合同有关事项发生的争议，按下列第（1）种方式解决：</w:t>
      </w:r>
    </w:p>
    <w:p w14:paraId="0DDC48E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（1）向</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rPr>
        <w:t>仲裁委员会申请仲裁；</w:t>
      </w:r>
    </w:p>
    <w:p w14:paraId="1F8BDB4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（2）向</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人民法院起诉。</w:t>
      </w:r>
      <w:bookmarkEnd w:id="1088"/>
      <w:bookmarkEnd w:id="1089"/>
      <w:bookmarkEnd w:id="1090"/>
      <w:bookmarkEnd w:id="1091"/>
      <w:bookmarkEnd w:id="1092"/>
      <w:bookmarkEnd w:id="1093"/>
    </w:p>
    <w:p w14:paraId="59CC7630">
      <w:pPr>
        <w:snapToGrid w:val="0"/>
        <w:spacing w:line="360" w:lineRule="auto"/>
        <w:ind w:firstLine="482"/>
        <w:rPr>
          <w:rFonts w:ascii="宋体" w:hAnsi="宋体"/>
          <w:i w:val="0"/>
          <w:iCs w:val="0"/>
          <w:color w:val="auto"/>
          <w:sz w:val="24"/>
          <w:szCs w:val="24"/>
          <w:highlight w:val="none"/>
        </w:rPr>
      </w:pPr>
      <w:r>
        <w:rPr>
          <w:rFonts w:hint="eastAsia" w:ascii="宋体" w:hAnsi="宋体"/>
          <w:b/>
          <w:i w:val="0"/>
          <w:iCs w:val="0"/>
          <w:color w:val="auto"/>
          <w:sz w:val="24"/>
          <w:szCs w:val="24"/>
          <w:highlight w:val="none"/>
        </w:rPr>
        <w:t>附件：</w:t>
      </w:r>
    </w:p>
    <w:p w14:paraId="3CF873D5">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协议书附件：</w:t>
      </w:r>
    </w:p>
    <w:p w14:paraId="29CF5039">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附件1：承包人承揽工程项目一览表</w:t>
      </w:r>
    </w:p>
    <w:p w14:paraId="405712F6">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专用合同条款附件：</w:t>
      </w:r>
    </w:p>
    <w:p w14:paraId="6291BAFD">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附件2：发包人供应材料设备一览表</w:t>
      </w:r>
    </w:p>
    <w:p w14:paraId="2D1D45D1">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附件3：工程质量保修书</w:t>
      </w:r>
    </w:p>
    <w:p w14:paraId="21E122D7">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附件4：主要建设工程文件目录</w:t>
      </w:r>
    </w:p>
    <w:p w14:paraId="1AEA519D">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附件5：承包人用于本工程施工的机械设备表</w:t>
      </w:r>
    </w:p>
    <w:p w14:paraId="5CEECA37">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附件6：承包人主要施工管理人员表</w:t>
      </w:r>
    </w:p>
    <w:p w14:paraId="02A642BF">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附件7：分包人主要施工管理人员表</w:t>
      </w:r>
    </w:p>
    <w:p w14:paraId="4FB36B9C">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附件8：履约担保格式</w:t>
      </w:r>
    </w:p>
    <w:p w14:paraId="38460D19">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附件9：预付款担保格式</w:t>
      </w:r>
    </w:p>
    <w:p w14:paraId="5E8C36EF">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附件10：支付担保格式</w:t>
      </w:r>
    </w:p>
    <w:p w14:paraId="1AB7EDB8">
      <w:pPr>
        <w:adjustRightInd/>
        <w:snapToGrid w:val="0"/>
        <w:spacing w:line="360" w:lineRule="auto"/>
        <w:ind w:firstLine="424" w:firstLineChars="177"/>
        <w:jc w:val="left"/>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附件11：暂估价一览表</w:t>
      </w:r>
    </w:p>
    <w:p w14:paraId="6DBE351A">
      <w:pPr>
        <w:adjustRightInd/>
        <w:ind w:firstLine="424" w:firstLineChars="177"/>
        <w:jc w:val="left"/>
        <w:rPr>
          <w:rFonts w:ascii="宋体" w:hAnsi="宋体"/>
          <w:i w:val="0"/>
          <w:iCs w:val="0"/>
          <w:snapToGrid w:val="0"/>
          <w:color w:val="auto"/>
          <w:kern w:val="0"/>
          <w:szCs w:val="21"/>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255482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附件1：</w:t>
      </w:r>
    </w:p>
    <w:p w14:paraId="3A9A2EF4">
      <w:pPr>
        <w:adjustRightInd/>
        <w:spacing w:before="120" w:beforeLines="50" w:after="120" w:afterLines="50" w:line="288" w:lineRule="auto"/>
        <w:jc w:val="center"/>
        <w:rPr>
          <w:rFonts w:hint="eastAsia"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83D7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E1BE63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单位工程名称</w:t>
            </w:r>
          </w:p>
        </w:tc>
        <w:tc>
          <w:tcPr>
            <w:tcW w:w="1843" w:type="dxa"/>
            <w:tcBorders>
              <w:top w:val="single" w:color="auto" w:sz="12" w:space="0"/>
              <w:bottom w:val="double" w:color="auto" w:sz="6" w:space="0"/>
            </w:tcBorders>
            <w:noWrap w:val="0"/>
            <w:vAlign w:val="center"/>
          </w:tcPr>
          <w:p w14:paraId="68A1D7D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建设规模</w:t>
            </w:r>
          </w:p>
        </w:tc>
        <w:tc>
          <w:tcPr>
            <w:tcW w:w="1417" w:type="dxa"/>
            <w:tcBorders>
              <w:top w:val="single" w:color="auto" w:sz="12" w:space="0"/>
              <w:bottom w:val="double" w:color="auto" w:sz="6" w:space="0"/>
            </w:tcBorders>
            <w:noWrap w:val="0"/>
            <w:vAlign w:val="center"/>
          </w:tcPr>
          <w:p w14:paraId="40147FC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建筑面积(平方米)</w:t>
            </w:r>
          </w:p>
        </w:tc>
        <w:tc>
          <w:tcPr>
            <w:tcW w:w="2410" w:type="dxa"/>
            <w:tcBorders>
              <w:top w:val="single" w:color="auto" w:sz="12" w:space="0"/>
              <w:bottom w:val="double" w:color="auto" w:sz="6" w:space="0"/>
            </w:tcBorders>
            <w:noWrap w:val="0"/>
            <w:vAlign w:val="center"/>
          </w:tcPr>
          <w:p w14:paraId="2B4250A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结构形式</w:t>
            </w:r>
          </w:p>
        </w:tc>
        <w:tc>
          <w:tcPr>
            <w:tcW w:w="850" w:type="dxa"/>
            <w:tcBorders>
              <w:top w:val="single" w:color="auto" w:sz="12" w:space="0"/>
              <w:bottom w:val="double" w:color="auto" w:sz="6" w:space="0"/>
            </w:tcBorders>
            <w:noWrap w:val="0"/>
            <w:vAlign w:val="center"/>
          </w:tcPr>
          <w:p w14:paraId="10820CF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层数</w:t>
            </w:r>
          </w:p>
        </w:tc>
        <w:tc>
          <w:tcPr>
            <w:tcW w:w="1560" w:type="dxa"/>
            <w:tcBorders>
              <w:top w:val="single" w:color="auto" w:sz="12" w:space="0"/>
              <w:bottom w:val="double" w:color="auto" w:sz="6" w:space="0"/>
            </w:tcBorders>
            <w:noWrap w:val="0"/>
            <w:vAlign w:val="center"/>
          </w:tcPr>
          <w:p w14:paraId="55980F7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生产能力</w:t>
            </w:r>
          </w:p>
        </w:tc>
        <w:tc>
          <w:tcPr>
            <w:tcW w:w="2126" w:type="dxa"/>
            <w:tcBorders>
              <w:top w:val="single" w:color="auto" w:sz="12" w:space="0"/>
              <w:bottom w:val="double" w:color="auto" w:sz="6" w:space="0"/>
            </w:tcBorders>
            <w:noWrap w:val="0"/>
            <w:vAlign w:val="center"/>
          </w:tcPr>
          <w:p w14:paraId="5A65672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设备安装内容</w:t>
            </w:r>
          </w:p>
        </w:tc>
        <w:tc>
          <w:tcPr>
            <w:tcW w:w="1417" w:type="dxa"/>
            <w:tcBorders>
              <w:top w:val="single" w:color="auto" w:sz="12" w:space="0"/>
              <w:bottom w:val="double" w:color="auto" w:sz="6" w:space="0"/>
            </w:tcBorders>
            <w:noWrap w:val="0"/>
            <w:vAlign w:val="center"/>
          </w:tcPr>
          <w:p w14:paraId="43743B9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合同价格（元）</w:t>
            </w:r>
          </w:p>
        </w:tc>
        <w:tc>
          <w:tcPr>
            <w:tcW w:w="851" w:type="dxa"/>
            <w:tcBorders>
              <w:top w:val="single" w:color="auto" w:sz="12" w:space="0"/>
              <w:bottom w:val="double" w:color="auto" w:sz="6" w:space="0"/>
            </w:tcBorders>
            <w:noWrap w:val="0"/>
            <w:vAlign w:val="center"/>
          </w:tcPr>
          <w:p w14:paraId="3477400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开工日期</w:t>
            </w:r>
          </w:p>
        </w:tc>
        <w:tc>
          <w:tcPr>
            <w:tcW w:w="850" w:type="dxa"/>
            <w:tcBorders>
              <w:top w:val="single" w:color="auto" w:sz="12" w:space="0"/>
              <w:bottom w:val="double" w:color="auto" w:sz="6" w:space="0"/>
            </w:tcBorders>
            <w:noWrap w:val="0"/>
            <w:vAlign w:val="center"/>
          </w:tcPr>
          <w:p w14:paraId="09AF8C3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竣工日期</w:t>
            </w:r>
          </w:p>
        </w:tc>
      </w:tr>
      <w:tr w14:paraId="0D6FD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87825F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double" w:color="auto" w:sz="6" w:space="0"/>
              <w:bottom w:val="single" w:color="auto" w:sz="6" w:space="0"/>
            </w:tcBorders>
            <w:noWrap w:val="0"/>
            <w:vAlign w:val="center"/>
          </w:tcPr>
          <w:p w14:paraId="431C271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1A24803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double" w:color="auto" w:sz="6" w:space="0"/>
              <w:bottom w:val="single" w:color="auto" w:sz="6" w:space="0"/>
            </w:tcBorders>
            <w:noWrap w:val="0"/>
            <w:vAlign w:val="center"/>
          </w:tcPr>
          <w:p w14:paraId="4958B35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0DD963B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double" w:color="auto" w:sz="6" w:space="0"/>
              <w:bottom w:val="single" w:color="auto" w:sz="6" w:space="0"/>
            </w:tcBorders>
            <w:noWrap w:val="0"/>
            <w:vAlign w:val="center"/>
          </w:tcPr>
          <w:p w14:paraId="45618E1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double" w:color="auto" w:sz="6" w:space="0"/>
              <w:bottom w:val="single" w:color="auto" w:sz="6" w:space="0"/>
            </w:tcBorders>
            <w:noWrap w:val="0"/>
            <w:vAlign w:val="center"/>
          </w:tcPr>
          <w:p w14:paraId="693A730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66365F7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3A6AF92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06F0710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A6A0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5E1042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5F3EB32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5103849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28D59E6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D16744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490A784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0159821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10E8F22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04ACB39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4CF1D3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E939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95D73B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1D6FD64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7F60F9A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49B1155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764C247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41A006B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7CF2026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4B59E30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3B77D5F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333ECFA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A25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F7CCB2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599B6E2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05A3DE0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3D5D074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8349E7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710067A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4B5232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7E52641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5FD66E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3F86C42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1E06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A6D69B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238D939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3BC7988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27DE06F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1355501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1F17463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3D6B246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7F0125B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644BA7C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180783F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CFCB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1CAF3A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55F745D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065DB5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5B72D56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09900A1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287CE6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59EB8EE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7A6774E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77F554E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3EE0657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D0D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35EC6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013255E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354C245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66C0A33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322E5D6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54179B6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41CA913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53E360A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2C36902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5C29A87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AD9C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CBBE4F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6946CA8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40AB46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52F9EC1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507167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DC6E29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787A95B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17B3885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76D701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7F7B460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FAE2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03522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587F4F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06395A9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1427F11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496105C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5AD23F9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5045027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4AEA401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040A222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4E5555A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7EAC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5712E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35BC30B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6C28FF8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2BA551A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0823DB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752887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641A59D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5E3B291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FE85AE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2D7E6A0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0C87EE1A">
      <w:pPr>
        <w:adjustRightInd/>
        <w:ind w:firstLine="424" w:firstLineChars="177"/>
        <w:jc w:val="left"/>
        <w:rPr>
          <w:rFonts w:ascii="宋体" w:hAnsi="宋体"/>
          <w:i w:val="0"/>
          <w:iCs w:val="0"/>
          <w:snapToGrid w:val="0"/>
          <w:color w:val="auto"/>
          <w:kern w:val="0"/>
          <w:szCs w:val="21"/>
          <w:highlight w:val="none"/>
        </w:rPr>
      </w:pPr>
    </w:p>
    <w:p w14:paraId="0CDFD063">
      <w:pPr>
        <w:spacing w:before="162" w:line="440" w:lineRule="exact"/>
        <w:ind w:firstLine="480"/>
        <w:rPr>
          <w:rFonts w:ascii="宋体" w:hAnsi="宋体"/>
          <w:i w:val="0"/>
          <w:iCs w:val="0"/>
          <w:color w:val="auto"/>
          <w:sz w:val="24"/>
          <w:highlight w:val="none"/>
          <w:u w:val="single"/>
        </w:rPr>
        <w:sectPr>
          <w:pgSz w:w="16838" w:h="11906" w:orient="landscape"/>
          <w:pgMar w:top="1803" w:right="1440" w:bottom="1803" w:left="1440" w:header="851" w:footer="992" w:gutter="0"/>
          <w:pgNumType w:fmt="numberInDash"/>
          <w:cols w:space="0" w:num="1"/>
          <w:rtlGutter w:val="0"/>
          <w:docGrid w:type="lines" w:linePitch="332" w:charSpace="0"/>
        </w:sectPr>
      </w:pPr>
    </w:p>
    <w:p w14:paraId="39AF9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112" w:name="_Toc296346726"/>
      <w:bookmarkStart w:id="1113" w:name="_Toc296347224"/>
      <w:bookmarkStart w:id="1114" w:name="_Toc296891053"/>
      <w:bookmarkStart w:id="1115" w:name="_Toc296503225"/>
      <w:bookmarkStart w:id="1116" w:name="_Toc296891265"/>
      <w:bookmarkStart w:id="1117" w:name="_Toc267261692"/>
      <w:bookmarkStart w:id="1118" w:name="_Toc296944564"/>
      <w:r>
        <w:rPr>
          <w:rFonts w:hint="eastAsia" w:ascii="宋体" w:hAnsi="宋体" w:eastAsia="宋体"/>
          <w:b/>
          <w:bCs/>
          <w:i w:val="0"/>
          <w:iCs w:val="0"/>
          <w:color w:val="auto"/>
          <w:sz w:val="24"/>
          <w:highlight w:val="none"/>
        </w:rPr>
        <w:t>件2：</w:t>
      </w:r>
    </w:p>
    <w:bookmarkEnd w:id="1112"/>
    <w:bookmarkEnd w:id="1113"/>
    <w:bookmarkEnd w:id="1114"/>
    <w:bookmarkEnd w:id="1115"/>
    <w:bookmarkEnd w:id="1116"/>
    <w:bookmarkEnd w:id="1117"/>
    <w:bookmarkEnd w:id="1118"/>
    <w:p w14:paraId="10E1D334">
      <w:pPr>
        <w:adjustRightInd/>
        <w:spacing w:before="120" w:beforeLines="50" w:after="120" w:afterLines="50" w:line="288" w:lineRule="auto"/>
        <w:jc w:val="center"/>
        <w:rPr>
          <w:rFonts w:hint="eastAsia"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发包人供应材料设备一览表</w:t>
      </w:r>
    </w:p>
    <w:tbl>
      <w:tblPr>
        <w:tblStyle w:val="28"/>
        <w:tblW w:w="9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203"/>
        <w:gridCol w:w="781"/>
        <w:gridCol w:w="851"/>
        <w:gridCol w:w="1044"/>
        <w:gridCol w:w="992"/>
        <w:gridCol w:w="851"/>
        <w:gridCol w:w="1228"/>
        <w:gridCol w:w="789"/>
      </w:tblGrid>
      <w:tr w14:paraId="35968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DEC53D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276" w:type="dxa"/>
            <w:tcBorders>
              <w:top w:val="single" w:color="auto" w:sz="12" w:space="0"/>
              <w:bottom w:val="double" w:color="auto" w:sz="6" w:space="0"/>
            </w:tcBorders>
            <w:noWrap w:val="0"/>
            <w:vAlign w:val="center"/>
          </w:tcPr>
          <w:p w14:paraId="085FF9B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 xml:space="preserve">  材料、</w:t>
            </w:r>
          </w:p>
          <w:p w14:paraId="39042CA8">
            <w:pPr>
              <w:pStyle w:val="2"/>
              <w:keepNext/>
              <w:spacing w:after="0" w:line="440" w:lineRule="exact"/>
              <w:ind w:left="0" w:leftChars="0" w:right="63"/>
              <w:jc w:val="both"/>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设备品种</w:t>
            </w:r>
          </w:p>
        </w:tc>
        <w:tc>
          <w:tcPr>
            <w:tcW w:w="1203" w:type="dxa"/>
            <w:tcBorders>
              <w:top w:val="single" w:color="auto" w:sz="12" w:space="0"/>
              <w:bottom w:val="double" w:color="auto" w:sz="6" w:space="0"/>
            </w:tcBorders>
            <w:noWrap w:val="0"/>
            <w:vAlign w:val="center"/>
          </w:tcPr>
          <w:p w14:paraId="69B0DE7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规格型号</w:t>
            </w:r>
          </w:p>
        </w:tc>
        <w:tc>
          <w:tcPr>
            <w:tcW w:w="781" w:type="dxa"/>
            <w:tcBorders>
              <w:top w:val="single" w:color="auto" w:sz="12" w:space="0"/>
              <w:bottom w:val="double" w:color="auto" w:sz="6" w:space="0"/>
            </w:tcBorders>
            <w:noWrap w:val="0"/>
            <w:vAlign w:val="center"/>
          </w:tcPr>
          <w:p w14:paraId="65C7EAD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851" w:type="dxa"/>
            <w:tcBorders>
              <w:top w:val="single" w:color="auto" w:sz="12" w:space="0"/>
              <w:bottom w:val="double" w:color="auto" w:sz="6" w:space="0"/>
            </w:tcBorders>
            <w:noWrap w:val="0"/>
            <w:vAlign w:val="center"/>
          </w:tcPr>
          <w:p w14:paraId="5BAFFB9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044" w:type="dxa"/>
            <w:tcBorders>
              <w:top w:val="single" w:color="auto" w:sz="12" w:space="0"/>
              <w:bottom w:val="double" w:color="auto" w:sz="6" w:space="0"/>
            </w:tcBorders>
            <w:noWrap w:val="0"/>
            <w:vAlign w:val="center"/>
          </w:tcPr>
          <w:p w14:paraId="170DEC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992" w:type="dxa"/>
            <w:tcBorders>
              <w:top w:val="single" w:color="auto" w:sz="12" w:space="0"/>
              <w:bottom w:val="double" w:color="auto" w:sz="6" w:space="0"/>
            </w:tcBorders>
            <w:noWrap w:val="0"/>
            <w:vAlign w:val="center"/>
          </w:tcPr>
          <w:p w14:paraId="7781674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质量等级</w:t>
            </w:r>
          </w:p>
        </w:tc>
        <w:tc>
          <w:tcPr>
            <w:tcW w:w="851" w:type="dxa"/>
            <w:tcBorders>
              <w:top w:val="single" w:color="auto" w:sz="12" w:space="0"/>
              <w:bottom w:val="double" w:color="auto" w:sz="6" w:space="0"/>
            </w:tcBorders>
            <w:noWrap w:val="0"/>
            <w:vAlign w:val="center"/>
          </w:tcPr>
          <w:p w14:paraId="18874B0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供应时间</w:t>
            </w:r>
          </w:p>
        </w:tc>
        <w:tc>
          <w:tcPr>
            <w:tcW w:w="1228" w:type="dxa"/>
            <w:tcBorders>
              <w:top w:val="single" w:color="auto" w:sz="12" w:space="0"/>
              <w:bottom w:val="double" w:color="auto" w:sz="6" w:space="0"/>
            </w:tcBorders>
            <w:noWrap w:val="0"/>
            <w:vAlign w:val="center"/>
          </w:tcPr>
          <w:p w14:paraId="2171531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送达地点</w:t>
            </w:r>
          </w:p>
        </w:tc>
        <w:tc>
          <w:tcPr>
            <w:tcW w:w="789" w:type="dxa"/>
            <w:tcBorders>
              <w:top w:val="single" w:color="auto" w:sz="12" w:space="0"/>
              <w:bottom w:val="double" w:color="auto" w:sz="6" w:space="0"/>
            </w:tcBorders>
            <w:noWrap w:val="0"/>
            <w:vAlign w:val="center"/>
          </w:tcPr>
          <w:p w14:paraId="709D590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2FC1F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269891E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6827DE4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tcBorders>
              <w:top w:val="double" w:color="auto" w:sz="6" w:space="0"/>
              <w:bottom w:val="single" w:color="auto" w:sz="6" w:space="0"/>
            </w:tcBorders>
            <w:noWrap w:val="0"/>
            <w:vAlign w:val="center"/>
          </w:tcPr>
          <w:p w14:paraId="64976AB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tcBorders>
              <w:top w:val="double" w:color="auto" w:sz="6" w:space="0"/>
              <w:bottom w:val="single" w:color="auto" w:sz="6" w:space="0"/>
            </w:tcBorders>
            <w:noWrap w:val="0"/>
            <w:vAlign w:val="center"/>
          </w:tcPr>
          <w:p w14:paraId="6073BD8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2EA2B35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tcBorders>
              <w:top w:val="double" w:color="auto" w:sz="6" w:space="0"/>
              <w:bottom w:val="single" w:color="auto" w:sz="6" w:space="0"/>
            </w:tcBorders>
            <w:noWrap w:val="0"/>
            <w:vAlign w:val="center"/>
          </w:tcPr>
          <w:p w14:paraId="545218E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tcBorders>
              <w:top w:val="double" w:color="auto" w:sz="6" w:space="0"/>
              <w:bottom w:val="single" w:color="auto" w:sz="6" w:space="0"/>
            </w:tcBorders>
            <w:noWrap w:val="0"/>
            <w:vAlign w:val="center"/>
          </w:tcPr>
          <w:p w14:paraId="3B76C56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4FDBED3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tcBorders>
              <w:top w:val="double" w:color="auto" w:sz="6" w:space="0"/>
              <w:bottom w:val="single" w:color="auto" w:sz="6" w:space="0"/>
            </w:tcBorders>
            <w:noWrap w:val="0"/>
            <w:vAlign w:val="center"/>
          </w:tcPr>
          <w:p w14:paraId="4D0C015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tcBorders>
              <w:top w:val="double" w:color="auto" w:sz="6" w:space="0"/>
              <w:bottom w:val="single" w:color="auto" w:sz="6" w:space="0"/>
            </w:tcBorders>
            <w:noWrap w:val="0"/>
            <w:vAlign w:val="center"/>
          </w:tcPr>
          <w:p w14:paraId="5802EF8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A7C4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0B6B6E3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center"/>
          </w:tcPr>
          <w:p w14:paraId="1B299CD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tcBorders>
              <w:top w:val="nil"/>
            </w:tcBorders>
            <w:noWrap w:val="0"/>
            <w:vAlign w:val="center"/>
          </w:tcPr>
          <w:p w14:paraId="04A5AA4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tcBorders>
              <w:top w:val="nil"/>
            </w:tcBorders>
            <w:noWrap w:val="0"/>
            <w:vAlign w:val="center"/>
          </w:tcPr>
          <w:p w14:paraId="7C3C5C0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74217FE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tcBorders>
              <w:top w:val="nil"/>
            </w:tcBorders>
            <w:noWrap w:val="0"/>
            <w:vAlign w:val="center"/>
          </w:tcPr>
          <w:p w14:paraId="47EDE05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tcBorders>
              <w:top w:val="nil"/>
            </w:tcBorders>
            <w:noWrap w:val="0"/>
            <w:vAlign w:val="center"/>
          </w:tcPr>
          <w:p w14:paraId="4D5EE5C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4C956B1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tcBorders>
              <w:top w:val="nil"/>
            </w:tcBorders>
            <w:noWrap w:val="0"/>
            <w:vAlign w:val="center"/>
          </w:tcPr>
          <w:p w14:paraId="6A3F864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tcBorders>
              <w:top w:val="nil"/>
            </w:tcBorders>
            <w:noWrap w:val="0"/>
            <w:vAlign w:val="center"/>
          </w:tcPr>
          <w:p w14:paraId="59909F5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805B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AA6A4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1AE86A5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7558C4F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653C58D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70228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86946E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504BD2E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5B747A9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492150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7D2BB9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A04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ABCE0A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65FA86F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213711F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55F458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1EC13E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97D91D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5D5563F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4D3CA61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E10FB5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157B413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E54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72BAB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3BADD4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540B1DA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A9B655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48738CC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11506CA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2D9CB0B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510E12E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EC8020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0997614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0D6A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02272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4D65F97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6B5FFFD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2C4FC6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7BDA2B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653584D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0B79488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0991C8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5C6B1A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5D62EFC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12C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42808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6FD9997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437CE0F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42E15C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7B9F16B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0EBBFF6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15A6CC8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715F79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780EACE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3E1C75F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EE9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19B0C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545B72C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45631E8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67AB77E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1C5863F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E7BBF0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27BB5F9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138F7B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40206D3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7AD60D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1D6A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0A9153">
            <w:pPr>
              <w:jc w:val="center"/>
              <w:rPr>
                <w:rFonts w:hint="eastAsia" w:ascii="宋体" w:hAnsi="宋体" w:eastAsia="宋体" w:cs="宋体"/>
                <w:i w:val="0"/>
                <w:iCs w:val="0"/>
                <w:color w:val="auto"/>
                <w:sz w:val="24"/>
                <w:szCs w:val="24"/>
                <w:highlight w:val="none"/>
              </w:rPr>
            </w:pPr>
          </w:p>
        </w:tc>
        <w:tc>
          <w:tcPr>
            <w:tcW w:w="1276" w:type="dxa"/>
            <w:noWrap w:val="0"/>
            <w:vAlign w:val="center"/>
          </w:tcPr>
          <w:p w14:paraId="567182A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6B26CE9C">
            <w:pPr>
              <w:jc w:val="center"/>
              <w:rPr>
                <w:rFonts w:hint="eastAsia" w:ascii="宋体" w:hAnsi="宋体" w:eastAsia="宋体" w:cs="宋体"/>
                <w:i w:val="0"/>
                <w:iCs w:val="0"/>
                <w:color w:val="auto"/>
                <w:sz w:val="24"/>
                <w:szCs w:val="24"/>
                <w:highlight w:val="none"/>
              </w:rPr>
            </w:pPr>
          </w:p>
        </w:tc>
        <w:tc>
          <w:tcPr>
            <w:tcW w:w="781" w:type="dxa"/>
            <w:noWrap w:val="0"/>
            <w:vAlign w:val="center"/>
          </w:tcPr>
          <w:p w14:paraId="2B1A79CF">
            <w:pPr>
              <w:jc w:val="center"/>
              <w:rPr>
                <w:rFonts w:hint="eastAsia" w:ascii="宋体" w:hAnsi="宋体" w:eastAsia="宋体" w:cs="宋体"/>
                <w:i w:val="0"/>
                <w:iCs w:val="0"/>
                <w:color w:val="auto"/>
                <w:sz w:val="24"/>
                <w:szCs w:val="24"/>
                <w:highlight w:val="none"/>
              </w:rPr>
            </w:pPr>
          </w:p>
        </w:tc>
        <w:tc>
          <w:tcPr>
            <w:tcW w:w="851" w:type="dxa"/>
            <w:noWrap w:val="0"/>
            <w:vAlign w:val="center"/>
          </w:tcPr>
          <w:p w14:paraId="08A61E22">
            <w:pPr>
              <w:jc w:val="center"/>
              <w:rPr>
                <w:rFonts w:hint="eastAsia" w:ascii="宋体" w:hAnsi="宋体" w:eastAsia="宋体" w:cs="宋体"/>
                <w:i w:val="0"/>
                <w:iCs w:val="0"/>
                <w:color w:val="auto"/>
                <w:sz w:val="24"/>
                <w:szCs w:val="24"/>
                <w:highlight w:val="none"/>
              </w:rPr>
            </w:pPr>
          </w:p>
        </w:tc>
        <w:tc>
          <w:tcPr>
            <w:tcW w:w="1044" w:type="dxa"/>
            <w:noWrap w:val="0"/>
            <w:vAlign w:val="center"/>
          </w:tcPr>
          <w:p w14:paraId="1EF18ABF">
            <w:pPr>
              <w:jc w:val="center"/>
              <w:rPr>
                <w:rFonts w:hint="eastAsia" w:ascii="宋体" w:hAnsi="宋体" w:eastAsia="宋体" w:cs="宋体"/>
                <w:i w:val="0"/>
                <w:iCs w:val="0"/>
                <w:color w:val="auto"/>
                <w:sz w:val="24"/>
                <w:szCs w:val="24"/>
                <w:highlight w:val="none"/>
              </w:rPr>
            </w:pPr>
          </w:p>
        </w:tc>
        <w:tc>
          <w:tcPr>
            <w:tcW w:w="992" w:type="dxa"/>
            <w:noWrap w:val="0"/>
            <w:vAlign w:val="center"/>
          </w:tcPr>
          <w:p w14:paraId="23B56081">
            <w:pPr>
              <w:jc w:val="center"/>
              <w:rPr>
                <w:rFonts w:hint="eastAsia" w:ascii="宋体" w:hAnsi="宋体" w:eastAsia="宋体" w:cs="宋体"/>
                <w:i w:val="0"/>
                <w:iCs w:val="0"/>
                <w:color w:val="auto"/>
                <w:sz w:val="24"/>
                <w:szCs w:val="24"/>
                <w:highlight w:val="none"/>
              </w:rPr>
            </w:pPr>
          </w:p>
        </w:tc>
        <w:tc>
          <w:tcPr>
            <w:tcW w:w="851" w:type="dxa"/>
            <w:noWrap w:val="0"/>
            <w:vAlign w:val="center"/>
          </w:tcPr>
          <w:p w14:paraId="0E2ED518">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74BAF64">
            <w:pPr>
              <w:jc w:val="center"/>
              <w:rPr>
                <w:rFonts w:hint="eastAsia" w:ascii="宋体" w:hAnsi="宋体" w:eastAsia="宋体" w:cs="宋体"/>
                <w:i w:val="0"/>
                <w:iCs w:val="0"/>
                <w:color w:val="auto"/>
                <w:sz w:val="24"/>
                <w:szCs w:val="24"/>
                <w:highlight w:val="none"/>
              </w:rPr>
            </w:pPr>
          </w:p>
        </w:tc>
        <w:tc>
          <w:tcPr>
            <w:tcW w:w="789" w:type="dxa"/>
            <w:noWrap w:val="0"/>
            <w:vAlign w:val="center"/>
          </w:tcPr>
          <w:p w14:paraId="3605A544">
            <w:pPr>
              <w:jc w:val="center"/>
              <w:rPr>
                <w:rFonts w:hint="eastAsia" w:ascii="宋体" w:hAnsi="宋体" w:eastAsia="宋体" w:cs="宋体"/>
                <w:i w:val="0"/>
                <w:iCs w:val="0"/>
                <w:color w:val="auto"/>
                <w:sz w:val="24"/>
                <w:szCs w:val="24"/>
                <w:highlight w:val="none"/>
              </w:rPr>
            </w:pPr>
          </w:p>
        </w:tc>
      </w:tr>
      <w:tr w14:paraId="4380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7998C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5B9787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7337171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4E9DAB4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2BC3E1A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422EF61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4D4E0F5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8924EF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5C83CAB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16D3DB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49B0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7060466">
            <w:pPr>
              <w:jc w:val="center"/>
              <w:rPr>
                <w:rFonts w:hint="eastAsia" w:ascii="宋体" w:hAnsi="宋体" w:eastAsia="宋体" w:cs="宋体"/>
                <w:i w:val="0"/>
                <w:iCs w:val="0"/>
                <w:color w:val="auto"/>
                <w:sz w:val="24"/>
                <w:szCs w:val="24"/>
                <w:highlight w:val="none"/>
              </w:rPr>
            </w:pPr>
          </w:p>
        </w:tc>
        <w:tc>
          <w:tcPr>
            <w:tcW w:w="1276" w:type="dxa"/>
            <w:noWrap w:val="0"/>
            <w:vAlign w:val="center"/>
          </w:tcPr>
          <w:p w14:paraId="67F0D8E9">
            <w:pPr>
              <w:jc w:val="center"/>
              <w:rPr>
                <w:rFonts w:hint="eastAsia" w:ascii="宋体" w:hAnsi="宋体" w:eastAsia="宋体" w:cs="宋体"/>
                <w:i w:val="0"/>
                <w:iCs w:val="0"/>
                <w:color w:val="auto"/>
                <w:sz w:val="24"/>
                <w:szCs w:val="24"/>
                <w:highlight w:val="none"/>
              </w:rPr>
            </w:pPr>
          </w:p>
        </w:tc>
        <w:tc>
          <w:tcPr>
            <w:tcW w:w="1203" w:type="dxa"/>
            <w:noWrap w:val="0"/>
            <w:vAlign w:val="center"/>
          </w:tcPr>
          <w:p w14:paraId="4DF41E5C">
            <w:pPr>
              <w:jc w:val="center"/>
              <w:rPr>
                <w:rFonts w:hint="eastAsia" w:ascii="宋体" w:hAnsi="宋体" w:eastAsia="宋体" w:cs="宋体"/>
                <w:i w:val="0"/>
                <w:iCs w:val="0"/>
                <w:color w:val="auto"/>
                <w:sz w:val="24"/>
                <w:szCs w:val="24"/>
                <w:highlight w:val="none"/>
              </w:rPr>
            </w:pPr>
          </w:p>
        </w:tc>
        <w:tc>
          <w:tcPr>
            <w:tcW w:w="781" w:type="dxa"/>
            <w:noWrap w:val="0"/>
            <w:vAlign w:val="center"/>
          </w:tcPr>
          <w:p w14:paraId="69A946CD">
            <w:pPr>
              <w:jc w:val="center"/>
              <w:rPr>
                <w:rFonts w:hint="eastAsia" w:ascii="宋体" w:hAnsi="宋体" w:eastAsia="宋体" w:cs="宋体"/>
                <w:i w:val="0"/>
                <w:iCs w:val="0"/>
                <w:color w:val="auto"/>
                <w:sz w:val="24"/>
                <w:szCs w:val="24"/>
                <w:highlight w:val="none"/>
              </w:rPr>
            </w:pPr>
          </w:p>
        </w:tc>
        <w:tc>
          <w:tcPr>
            <w:tcW w:w="851" w:type="dxa"/>
            <w:noWrap w:val="0"/>
            <w:vAlign w:val="center"/>
          </w:tcPr>
          <w:p w14:paraId="1AFF91ED">
            <w:pPr>
              <w:jc w:val="center"/>
              <w:rPr>
                <w:rFonts w:hint="eastAsia" w:ascii="宋体" w:hAnsi="宋体" w:eastAsia="宋体" w:cs="宋体"/>
                <w:i w:val="0"/>
                <w:iCs w:val="0"/>
                <w:color w:val="auto"/>
                <w:sz w:val="24"/>
                <w:szCs w:val="24"/>
                <w:highlight w:val="none"/>
              </w:rPr>
            </w:pPr>
          </w:p>
        </w:tc>
        <w:tc>
          <w:tcPr>
            <w:tcW w:w="1044" w:type="dxa"/>
            <w:noWrap w:val="0"/>
            <w:vAlign w:val="center"/>
          </w:tcPr>
          <w:p w14:paraId="3F0B1EEC">
            <w:pPr>
              <w:jc w:val="center"/>
              <w:rPr>
                <w:rFonts w:hint="eastAsia" w:ascii="宋体" w:hAnsi="宋体" w:eastAsia="宋体" w:cs="宋体"/>
                <w:i w:val="0"/>
                <w:iCs w:val="0"/>
                <w:color w:val="auto"/>
                <w:sz w:val="24"/>
                <w:szCs w:val="24"/>
                <w:highlight w:val="none"/>
              </w:rPr>
            </w:pPr>
          </w:p>
        </w:tc>
        <w:tc>
          <w:tcPr>
            <w:tcW w:w="992" w:type="dxa"/>
            <w:noWrap w:val="0"/>
            <w:vAlign w:val="center"/>
          </w:tcPr>
          <w:p w14:paraId="58236AA7">
            <w:pPr>
              <w:jc w:val="center"/>
              <w:rPr>
                <w:rFonts w:hint="eastAsia" w:ascii="宋体" w:hAnsi="宋体" w:eastAsia="宋体" w:cs="宋体"/>
                <w:i w:val="0"/>
                <w:iCs w:val="0"/>
                <w:color w:val="auto"/>
                <w:sz w:val="24"/>
                <w:szCs w:val="24"/>
                <w:highlight w:val="none"/>
              </w:rPr>
            </w:pPr>
          </w:p>
        </w:tc>
        <w:tc>
          <w:tcPr>
            <w:tcW w:w="851" w:type="dxa"/>
            <w:noWrap w:val="0"/>
            <w:vAlign w:val="center"/>
          </w:tcPr>
          <w:p w14:paraId="798F1D7D">
            <w:pPr>
              <w:jc w:val="center"/>
              <w:rPr>
                <w:rFonts w:hint="eastAsia" w:ascii="宋体" w:hAnsi="宋体" w:eastAsia="宋体" w:cs="宋体"/>
                <w:i w:val="0"/>
                <w:iCs w:val="0"/>
                <w:color w:val="auto"/>
                <w:sz w:val="24"/>
                <w:szCs w:val="24"/>
                <w:highlight w:val="none"/>
              </w:rPr>
            </w:pPr>
          </w:p>
        </w:tc>
        <w:tc>
          <w:tcPr>
            <w:tcW w:w="1228" w:type="dxa"/>
            <w:noWrap w:val="0"/>
            <w:vAlign w:val="center"/>
          </w:tcPr>
          <w:p w14:paraId="3F0A332B">
            <w:pPr>
              <w:jc w:val="center"/>
              <w:rPr>
                <w:rFonts w:hint="eastAsia" w:ascii="宋体" w:hAnsi="宋体" w:eastAsia="宋体" w:cs="宋体"/>
                <w:i w:val="0"/>
                <w:iCs w:val="0"/>
                <w:color w:val="auto"/>
                <w:sz w:val="24"/>
                <w:szCs w:val="24"/>
                <w:highlight w:val="none"/>
              </w:rPr>
            </w:pPr>
          </w:p>
        </w:tc>
        <w:tc>
          <w:tcPr>
            <w:tcW w:w="789" w:type="dxa"/>
            <w:noWrap w:val="0"/>
            <w:vAlign w:val="center"/>
          </w:tcPr>
          <w:p w14:paraId="68CDF3AB">
            <w:pPr>
              <w:jc w:val="center"/>
              <w:rPr>
                <w:rFonts w:hint="eastAsia" w:ascii="宋体" w:hAnsi="宋体" w:eastAsia="宋体" w:cs="宋体"/>
                <w:i w:val="0"/>
                <w:iCs w:val="0"/>
                <w:color w:val="auto"/>
                <w:sz w:val="24"/>
                <w:szCs w:val="24"/>
                <w:highlight w:val="none"/>
              </w:rPr>
            </w:pPr>
          </w:p>
        </w:tc>
      </w:tr>
      <w:tr w14:paraId="4AE5A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720E318">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44CF0C2">
            <w:pPr>
              <w:jc w:val="center"/>
              <w:rPr>
                <w:rFonts w:hint="eastAsia" w:ascii="宋体" w:hAnsi="宋体" w:eastAsia="宋体" w:cs="宋体"/>
                <w:i w:val="0"/>
                <w:iCs w:val="0"/>
                <w:color w:val="auto"/>
                <w:sz w:val="24"/>
                <w:szCs w:val="24"/>
                <w:highlight w:val="none"/>
              </w:rPr>
            </w:pPr>
          </w:p>
        </w:tc>
        <w:tc>
          <w:tcPr>
            <w:tcW w:w="1203" w:type="dxa"/>
            <w:noWrap w:val="0"/>
            <w:vAlign w:val="center"/>
          </w:tcPr>
          <w:p w14:paraId="1078E9DC">
            <w:pPr>
              <w:jc w:val="center"/>
              <w:rPr>
                <w:rFonts w:hint="eastAsia" w:ascii="宋体" w:hAnsi="宋体" w:eastAsia="宋体" w:cs="宋体"/>
                <w:i w:val="0"/>
                <w:iCs w:val="0"/>
                <w:color w:val="auto"/>
                <w:sz w:val="24"/>
                <w:szCs w:val="24"/>
                <w:highlight w:val="none"/>
              </w:rPr>
            </w:pPr>
          </w:p>
        </w:tc>
        <w:tc>
          <w:tcPr>
            <w:tcW w:w="781" w:type="dxa"/>
            <w:noWrap w:val="0"/>
            <w:vAlign w:val="center"/>
          </w:tcPr>
          <w:p w14:paraId="1E39183F">
            <w:pPr>
              <w:jc w:val="center"/>
              <w:rPr>
                <w:rFonts w:hint="eastAsia" w:ascii="宋体" w:hAnsi="宋体" w:eastAsia="宋体" w:cs="宋体"/>
                <w:i w:val="0"/>
                <w:iCs w:val="0"/>
                <w:color w:val="auto"/>
                <w:sz w:val="24"/>
                <w:szCs w:val="24"/>
                <w:highlight w:val="none"/>
              </w:rPr>
            </w:pPr>
          </w:p>
        </w:tc>
        <w:tc>
          <w:tcPr>
            <w:tcW w:w="851" w:type="dxa"/>
            <w:noWrap w:val="0"/>
            <w:vAlign w:val="center"/>
          </w:tcPr>
          <w:p w14:paraId="2342B13F">
            <w:pPr>
              <w:jc w:val="center"/>
              <w:rPr>
                <w:rFonts w:hint="eastAsia" w:ascii="宋体" w:hAnsi="宋体" w:eastAsia="宋体" w:cs="宋体"/>
                <w:i w:val="0"/>
                <w:iCs w:val="0"/>
                <w:color w:val="auto"/>
                <w:sz w:val="24"/>
                <w:szCs w:val="24"/>
                <w:highlight w:val="none"/>
              </w:rPr>
            </w:pPr>
          </w:p>
        </w:tc>
        <w:tc>
          <w:tcPr>
            <w:tcW w:w="1044" w:type="dxa"/>
            <w:noWrap w:val="0"/>
            <w:vAlign w:val="center"/>
          </w:tcPr>
          <w:p w14:paraId="34D57641">
            <w:pPr>
              <w:jc w:val="center"/>
              <w:rPr>
                <w:rFonts w:hint="eastAsia" w:ascii="宋体" w:hAnsi="宋体" w:eastAsia="宋体" w:cs="宋体"/>
                <w:i w:val="0"/>
                <w:iCs w:val="0"/>
                <w:color w:val="auto"/>
                <w:sz w:val="24"/>
                <w:szCs w:val="24"/>
                <w:highlight w:val="none"/>
              </w:rPr>
            </w:pPr>
          </w:p>
        </w:tc>
        <w:tc>
          <w:tcPr>
            <w:tcW w:w="992" w:type="dxa"/>
            <w:noWrap w:val="0"/>
            <w:vAlign w:val="center"/>
          </w:tcPr>
          <w:p w14:paraId="09F8E9B1">
            <w:pPr>
              <w:jc w:val="center"/>
              <w:rPr>
                <w:rFonts w:hint="eastAsia" w:ascii="宋体" w:hAnsi="宋体" w:eastAsia="宋体" w:cs="宋体"/>
                <w:i w:val="0"/>
                <w:iCs w:val="0"/>
                <w:color w:val="auto"/>
                <w:sz w:val="24"/>
                <w:szCs w:val="24"/>
                <w:highlight w:val="none"/>
              </w:rPr>
            </w:pPr>
          </w:p>
        </w:tc>
        <w:tc>
          <w:tcPr>
            <w:tcW w:w="851" w:type="dxa"/>
            <w:noWrap w:val="0"/>
            <w:vAlign w:val="center"/>
          </w:tcPr>
          <w:p w14:paraId="65B392E8">
            <w:pPr>
              <w:jc w:val="center"/>
              <w:rPr>
                <w:rFonts w:hint="eastAsia" w:ascii="宋体" w:hAnsi="宋体" w:eastAsia="宋体" w:cs="宋体"/>
                <w:i w:val="0"/>
                <w:iCs w:val="0"/>
                <w:color w:val="auto"/>
                <w:sz w:val="24"/>
                <w:szCs w:val="24"/>
                <w:highlight w:val="none"/>
              </w:rPr>
            </w:pPr>
          </w:p>
        </w:tc>
        <w:tc>
          <w:tcPr>
            <w:tcW w:w="1228" w:type="dxa"/>
            <w:noWrap w:val="0"/>
            <w:vAlign w:val="center"/>
          </w:tcPr>
          <w:p w14:paraId="6A085F2B">
            <w:pPr>
              <w:jc w:val="center"/>
              <w:rPr>
                <w:rFonts w:hint="eastAsia" w:ascii="宋体" w:hAnsi="宋体" w:eastAsia="宋体" w:cs="宋体"/>
                <w:i w:val="0"/>
                <w:iCs w:val="0"/>
                <w:color w:val="auto"/>
                <w:sz w:val="24"/>
                <w:szCs w:val="24"/>
                <w:highlight w:val="none"/>
              </w:rPr>
            </w:pPr>
          </w:p>
        </w:tc>
        <w:tc>
          <w:tcPr>
            <w:tcW w:w="789" w:type="dxa"/>
            <w:noWrap w:val="0"/>
            <w:vAlign w:val="center"/>
          </w:tcPr>
          <w:p w14:paraId="43CA8FCB">
            <w:pPr>
              <w:jc w:val="center"/>
              <w:rPr>
                <w:rFonts w:hint="eastAsia" w:ascii="宋体" w:hAnsi="宋体" w:eastAsia="宋体" w:cs="宋体"/>
                <w:i w:val="0"/>
                <w:iCs w:val="0"/>
                <w:color w:val="auto"/>
                <w:sz w:val="24"/>
                <w:szCs w:val="24"/>
                <w:highlight w:val="none"/>
              </w:rPr>
            </w:pPr>
          </w:p>
        </w:tc>
      </w:tr>
      <w:tr w14:paraId="55E0A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52FABEF">
            <w:pPr>
              <w:jc w:val="center"/>
              <w:rPr>
                <w:rFonts w:hint="eastAsia" w:ascii="宋体" w:hAnsi="宋体" w:eastAsia="宋体" w:cs="宋体"/>
                <w:i w:val="0"/>
                <w:iCs w:val="0"/>
                <w:color w:val="auto"/>
                <w:sz w:val="24"/>
                <w:szCs w:val="24"/>
                <w:highlight w:val="none"/>
              </w:rPr>
            </w:pPr>
          </w:p>
        </w:tc>
        <w:tc>
          <w:tcPr>
            <w:tcW w:w="1276" w:type="dxa"/>
            <w:noWrap w:val="0"/>
            <w:vAlign w:val="center"/>
          </w:tcPr>
          <w:p w14:paraId="37D4C50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11D81497">
            <w:pPr>
              <w:jc w:val="center"/>
              <w:rPr>
                <w:rFonts w:hint="eastAsia" w:ascii="宋体" w:hAnsi="宋体" w:eastAsia="宋体" w:cs="宋体"/>
                <w:i w:val="0"/>
                <w:iCs w:val="0"/>
                <w:color w:val="auto"/>
                <w:sz w:val="24"/>
                <w:szCs w:val="24"/>
                <w:highlight w:val="none"/>
              </w:rPr>
            </w:pPr>
          </w:p>
        </w:tc>
        <w:tc>
          <w:tcPr>
            <w:tcW w:w="781" w:type="dxa"/>
            <w:noWrap w:val="0"/>
            <w:vAlign w:val="center"/>
          </w:tcPr>
          <w:p w14:paraId="2EADDAE2">
            <w:pPr>
              <w:jc w:val="center"/>
              <w:rPr>
                <w:rFonts w:hint="eastAsia" w:ascii="宋体" w:hAnsi="宋体" w:eastAsia="宋体" w:cs="宋体"/>
                <w:i w:val="0"/>
                <w:iCs w:val="0"/>
                <w:color w:val="auto"/>
                <w:sz w:val="24"/>
                <w:szCs w:val="24"/>
                <w:highlight w:val="none"/>
              </w:rPr>
            </w:pPr>
          </w:p>
        </w:tc>
        <w:tc>
          <w:tcPr>
            <w:tcW w:w="851" w:type="dxa"/>
            <w:noWrap w:val="0"/>
            <w:vAlign w:val="center"/>
          </w:tcPr>
          <w:p w14:paraId="5D0BC46E">
            <w:pPr>
              <w:jc w:val="center"/>
              <w:rPr>
                <w:rFonts w:hint="eastAsia" w:ascii="宋体" w:hAnsi="宋体" w:eastAsia="宋体" w:cs="宋体"/>
                <w:i w:val="0"/>
                <w:iCs w:val="0"/>
                <w:color w:val="auto"/>
                <w:sz w:val="24"/>
                <w:szCs w:val="24"/>
                <w:highlight w:val="none"/>
              </w:rPr>
            </w:pPr>
          </w:p>
        </w:tc>
        <w:tc>
          <w:tcPr>
            <w:tcW w:w="1044" w:type="dxa"/>
            <w:noWrap w:val="0"/>
            <w:vAlign w:val="center"/>
          </w:tcPr>
          <w:p w14:paraId="145BE9AB">
            <w:pPr>
              <w:jc w:val="center"/>
              <w:rPr>
                <w:rFonts w:hint="eastAsia" w:ascii="宋体" w:hAnsi="宋体" w:eastAsia="宋体" w:cs="宋体"/>
                <w:i w:val="0"/>
                <w:iCs w:val="0"/>
                <w:color w:val="auto"/>
                <w:sz w:val="24"/>
                <w:szCs w:val="24"/>
                <w:highlight w:val="none"/>
              </w:rPr>
            </w:pPr>
          </w:p>
        </w:tc>
        <w:tc>
          <w:tcPr>
            <w:tcW w:w="992" w:type="dxa"/>
            <w:noWrap w:val="0"/>
            <w:vAlign w:val="center"/>
          </w:tcPr>
          <w:p w14:paraId="50EE8AE2">
            <w:pPr>
              <w:jc w:val="center"/>
              <w:rPr>
                <w:rFonts w:hint="eastAsia" w:ascii="宋体" w:hAnsi="宋体" w:eastAsia="宋体" w:cs="宋体"/>
                <w:i w:val="0"/>
                <w:iCs w:val="0"/>
                <w:color w:val="auto"/>
                <w:sz w:val="24"/>
                <w:szCs w:val="24"/>
                <w:highlight w:val="none"/>
              </w:rPr>
            </w:pPr>
          </w:p>
        </w:tc>
        <w:tc>
          <w:tcPr>
            <w:tcW w:w="851" w:type="dxa"/>
            <w:noWrap w:val="0"/>
            <w:vAlign w:val="center"/>
          </w:tcPr>
          <w:p w14:paraId="0B39D8EC">
            <w:pPr>
              <w:jc w:val="center"/>
              <w:rPr>
                <w:rFonts w:hint="eastAsia" w:ascii="宋体" w:hAnsi="宋体" w:eastAsia="宋体" w:cs="宋体"/>
                <w:i w:val="0"/>
                <w:iCs w:val="0"/>
                <w:color w:val="auto"/>
                <w:sz w:val="24"/>
                <w:szCs w:val="24"/>
                <w:highlight w:val="none"/>
              </w:rPr>
            </w:pPr>
          </w:p>
        </w:tc>
        <w:tc>
          <w:tcPr>
            <w:tcW w:w="1228" w:type="dxa"/>
            <w:noWrap w:val="0"/>
            <w:vAlign w:val="center"/>
          </w:tcPr>
          <w:p w14:paraId="7255A859">
            <w:pPr>
              <w:jc w:val="center"/>
              <w:rPr>
                <w:rFonts w:hint="eastAsia" w:ascii="宋体" w:hAnsi="宋体" w:eastAsia="宋体" w:cs="宋体"/>
                <w:i w:val="0"/>
                <w:iCs w:val="0"/>
                <w:color w:val="auto"/>
                <w:sz w:val="24"/>
                <w:szCs w:val="24"/>
                <w:highlight w:val="none"/>
              </w:rPr>
            </w:pPr>
          </w:p>
        </w:tc>
        <w:tc>
          <w:tcPr>
            <w:tcW w:w="789" w:type="dxa"/>
            <w:noWrap w:val="0"/>
            <w:vAlign w:val="center"/>
          </w:tcPr>
          <w:p w14:paraId="47DC6432">
            <w:pPr>
              <w:jc w:val="center"/>
              <w:rPr>
                <w:rFonts w:hint="eastAsia" w:ascii="宋体" w:hAnsi="宋体" w:eastAsia="宋体" w:cs="宋体"/>
                <w:i w:val="0"/>
                <w:iCs w:val="0"/>
                <w:color w:val="auto"/>
                <w:sz w:val="24"/>
                <w:szCs w:val="24"/>
                <w:highlight w:val="none"/>
              </w:rPr>
            </w:pPr>
          </w:p>
        </w:tc>
      </w:tr>
      <w:tr w14:paraId="539C2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304F15C">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E608DA9">
            <w:pPr>
              <w:jc w:val="center"/>
              <w:rPr>
                <w:rFonts w:hint="eastAsia" w:ascii="宋体" w:hAnsi="宋体" w:eastAsia="宋体" w:cs="宋体"/>
                <w:i w:val="0"/>
                <w:iCs w:val="0"/>
                <w:color w:val="auto"/>
                <w:sz w:val="24"/>
                <w:szCs w:val="24"/>
                <w:highlight w:val="none"/>
              </w:rPr>
            </w:pPr>
          </w:p>
        </w:tc>
        <w:tc>
          <w:tcPr>
            <w:tcW w:w="1203" w:type="dxa"/>
            <w:noWrap w:val="0"/>
            <w:vAlign w:val="center"/>
          </w:tcPr>
          <w:p w14:paraId="353FA388">
            <w:pPr>
              <w:jc w:val="center"/>
              <w:rPr>
                <w:rFonts w:hint="eastAsia" w:ascii="宋体" w:hAnsi="宋体" w:eastAsia="宋体" w:cs="宋体"/>
                <w:i w:val="0"/>
                <w:iCs w:val="0"/>
                <w:color w:val="auto"/>
                <w:sz w:val="24"/>
                <w:szCs w:val="24"/>
                <w:highlight w:val="none"/>
              </w:rPr>
            </w:pPr>
          </w:p>
        </w:tc>
        <w:tc>
          <w:tcPr>
            <w:tcW w:w="781" w:type="dxa"/>
            <w:noWrap w:val="0"/>
            <w:vAlign w:val="center"/>
          </w:tcPr>
          <w:p w14:paraId="7A35BF5A">
            <w:pPr>
              <w:jc w:val="center"/>
              <w:rPr>
                <w:rFonts w:hint="eastAsia" w:ascii="宋体" w:hAnsi="宋体" w:eastAsia="宋体" w:cs="宋体"/>
                <w:i w:val="0"/>
                <w:iCs w:val="0"/>
                <w:color w:val="auto"/>
                <w:sz w:val="24"/>
                <w:szCs w:val="24"/>
                <w:highlight w:val="none"/>
              </w:rPr>
            </w:pPr>
          </w:p>
        </w:tc>
        <w:tc>
          <w:tcPr>
            <w:tcW w:w="851" w:type="dxa"/>
            <w:noWrap w:val="0"/>
            <w:vAlign w:val="center"/>
          </w:tcPr>
          <w:p w14:paraId="7699A661">
            <w:pPr>
              <w:jc w:val="center"/>
              <w:rPr>
                <w:rFonts w:hint="eastAsia" w:ascii="宋体" w:hAnsi="宋体" w:eastAsia="宋体" w:cs="宋体"/>
                <w:i w:val="0"/>
                <w:iCs w:val="0"/>
                <w:color w:val="auto"/>
                <w:sz w:val="24"/>
                <w:szCs w:val="24"/>
                <w:highlight w:val="none"/>
              </w:rPr>
            </w:pPr>
          </w:p>
        </w:tc>
        <w:tc>
          <w:tcPr>
            <w:tcW w:w="1044" w:type="dxa"/>
            <w:noWrap w:val="0"/>
            <w:vAlign w:val="center"/>
          </w:tcPr>
          <w:p w14:paraId="433049F9">
            <w:pPr>
              <w:jc w:val="center"/>
              <w:rPr>
                <w:rFonts w:hint="eastAsia" w:ascii="宋体" w:hAnsi="宋体" w:eastAsia="宋体" w:cs="宋体"/>
                <w:i w:val="0"/>
                <w:iCs w:val="0"/>
                <w:color w:val="auto"/>
                <w:sz w:val="24"/>
                <w:szCs w:val="24"/>
                <w:highlight w:val="none"/>
              </w:rPr>
            </w:pPr>
          </w:p>
        </w:tc>
        <w:tc>
          <w:tcPr>
            <w:tcW w:w="992" w:type="dxa"/>
            <w:noWrap w:val="0"/>
            <w:vAlign w:val="center"/>
          </w:tcPr>
          <w:p w14:paraId="7408AD82">
            <w:pPr>
              <w:jc w:val="center"/>
              <w:rPr>
                <w:rFonts w:hint="eastAsia" w:ascii="宋体" w:hAnsi="宋体" w:eastAsia="宋体" w:cs="宋体"/>
                <w:i w:val="0"/>
                <w:iCs w:val="0"/>
                <w:color w:val="auto"/>
                <w:sz w:val="24"/>
                <w:szCs w:val="24"/>
                <w:highlight w:val="none"/>
              </w:rPr>
            </w:pPr>
          </w:p>
        </w:tc>
        <w:tc>
          <w:tcPr>
            <w:tcW w:w="851" w:type="dxa"/>
            <w:noWrap w:val="0"/>
            <w:vAlign w:val="center"/>
          </w:tcPr>
          <w:p w14:paraId="77CE376D">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283F2BF">
            <w:pPr>
              <w:jc w:val="center"/>
              <w:rPr>
                <w:rFonts w:hint="eastAsia" w:ascii="宋体" w:hAnsi="宋体" w:eastAsia="宋体" w:cs="宋体"/>
                <w:i w:val="0"/>
                <w:iCs w:val="0"/>
                <w:color w:val="auto"/>
                <w:sz w:val="24"/>
                <w:szCs w:val="24"/>
                <w:highlight w:val="none"/>
              </w:rPr>
            </w:pPr>
          </w:p>
        </w:tc>
        <w:tc>
          <w:tcPr>
            <w:tcW w:w="789" w:type="dxa"/>
            <w:noWrap w:val="0"/>
            <w:vAlign w:val="center"/>
          </w:tcPr>
          <w:p w14:paraId="3D7AE12A">
            <w:pPr>
              <w:jc w:val="center"/>
              <w:rPr>
                <w:rFonts w:hint="eastAsia" w:ascii="宋体" w:hAnsi="宋体" w:eastAsia="宋体" w:cs="宋体"/>
                <w:i w:val="0"/>
                <w:iCs w:val="0"/>
                <w:color w:val="auto"/>
                <w:sz w:val="24"/>
                <w:szCs w:val="24"/>
                <w:highlight w:val="none"/>
              </w:rPr>
            </w:pPr>
          </w:p>
        </w:tc>
      </w:tr>
      <w:tr w14:paraId="7AE3E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176E5F">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88DE2D1">
            <w:pPr>
              <w:jc w:val="center"/>
              <w:rPr>
                <w:rFonts w:hint="eastAsia" w:ascii="宋体" w:hAnsi="宋体" w:eastAsia="宋体" w:cs="宋体"/>
                <w:i w:val="0"/>
                <w:iCs w:val="0"/>
                <w:color w:val="auto"/>
                <w:sz w:val="24"/>
                <w:szCs w:val="24"/>
                <w:highlight w:val="none"/>
              </w:rPr>
            </w:pPr>
          </w:p>
        </w:tc>
        <w:tc>
          <w:tcPr>
            <w:tcW w:w="1203" w:type="dxa"/>
            <w:noWrap w:val="0"/>
            <w:vAlign w:val="center"/>
          </w:tcPr>
          <w:p w14:paraId="64FBF9B6">
            <w:pPr>
              <w:jc w:val="center"/>
              <w:rPr>
                <w:rFonts w:hint="eastAsia" w:ascii="宋体" w:hAnsi="宋体" w:eastAsia="宋体" w:cs="宋体"/>
                <w:i w:val="0"/>
                <w:iCs w:val="0"/>
                <w:color w:val="auto"/>
                <w:sz w:val="24"/>
                <w:szCs w:val="24"/>
                <w:highlight w:val="none"/>
              </w:rPr>
            </w:pPr>
          </w:p>
        </w:tc>
        <w:tc>
          <w:tcPr>
            <w:tcW w:w="781" w:type="dxa"/>
            <w:noWrap w:val="0"/>
            <w:vAlign w:val="center"/>
          </w:tcPr>
          <w:p w14:paraId="54D5B9FB">
            <w:pPr>
              <w:jc w:val="center"/>
              <w:rPr>
                <w:rFonts w:hint="eastAsia" w:ascii="宋体" w:hAnsi="宋体" w:eastAsia="宋体" w:cs="宋体"/>
                <w:i w:val="0"/>
                <w:iCs w:val="0"/>
                <w:color w:val="auto"/>
                <w:sz w:val="24"/>
                <w:szCs w:val="24"/>
                <w:highlight w:val="none"/>
              </w:rPr>
            </w:pPr>
          </w:p>
        </w:tc>
        <w:tc>
          <w:tcPr>
            <w:tcW w:w="851" w:type="dxa"/>
            <w:noWrap w:val="0"/>
            <w:vAlign w:val="center"/>
          </w:tcPr>
          <w:p w14:paraId="74110CE6">
            <w:pPr>
              <w:jc w:val="center"/>
              <w:rPr>
                <w:rFonts w:hint="eastAsia" w:ascii="宋体" w:hAnsi="宋体" w:eastAsia="宋体" w:cs="宋体"/>
                <w:i w:val="0"/>
                <w:iCs w:val="0"/>
                <w:color w:val="auto"/>
                <w:sz w:val="24"/>
                <w:szCs w:val="24"/>
                <w:highlight w:val="none"/>
              </w:rPr>
            </w:pPr>
          </w:p>
        </w:tc>
        <w:tc>
          <w:tcPr>
            <w:tcW w:w="1044" w:type="dxa"/>
            <w:noWrap w:val="0"/>
            <w:vAlign w:val="center"/>
          </w:tcPr>
          <w:p w14:paraId="66B88BE3">
            <w:pPr>
              <w:jc w:val="center"/>
              <w:rPr>
                <w:rFonts w:hint="eastAsia" w:ascii="宋体" w:hAnsi="宋体" w:eastAsia="宋体" w:cs="宋体"/>
                <w:i w:val="0"/>
                <w:iCs w:val="0"/>
                <w:color w:val="auto"/>
                <w:sz w:val="24"/>
                <w:szCs w:val="24"/>
                <w:highlight w:val="none"/>
              </w:rPr>
            </w:pPr>
          </w:p>
        </w:tc>
        <w:tc>
          <w:tcPr>
            <w:tcW w:w="992" w:type="dxa"/>
            <w:noWrap w:val="0"/>
            <w:vAlign w:val="center"/>
          </w:tcPr>
          <w:p w14:paraId="4F24F2BA">
            <w:pPr>
              <w:jc w:val="center"/>
              <w:rPr>
                <w:rFonts w:hint="eastAsia" w:ascii="宋体" w:hAnsi="宋体" w:eastAsia="宋体" w:cs="宋体"/>
                <w:i w:val="0"/>
                <w:iCs w:val="0"/>
                <w:color w:val="auto"/>
                <w:sz w:val="24"/>
                <w:szCs w:val="24"/>
                <w:highlight w:val="none"/>
              </w:rPr>
            </w:pPr>
          </w:p>
        </w:tc>
        <w:tc>
          <w:tcPr>
            <w:tcW w:w="851" w:type="dxa"/>
            <w:noWrap w:val="0"/>
            <w:vAlign w:val="center"/>
          </w:tcPr>
          <w:p w14:paraId="19391326">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6B1E7CE">
            <w:pPr>
              <w:jc w:val="center"/>
              <w:rPr>
                <w:rFonts w:hint="eastAsia" w:ascii="宋体" w:hAnsi="宋体" w:eastAsia="宋体" w:cs="宋体"/>
                <w:i w:val="0"/>
                <w:iCs w:val="0"/>
                <w:color w:val="auto"/>
                <w:sz w:val="24"/>
                <w:szCs w:val="24"/>
                <w:highlight w:val="none"/>
              </w:rPr>
            </w:pPr>
          </w:p>
        </w:tc>
        <w:tc>
          <w:tcPr>
            <w:tcW w:w="789" w:type="dxa"/>
            <w:noWrap w:val="0"/>
            <w:vAlign w:val="center"/>
          </w:tcPr>
          <w:p w14:paraId="4E8D6870">
            <w:pPr>
              <w:jc w:val="center"/>
              <w:rPr>
                <w:rFonts w:hint="eastAsia" w:ascii="宋体" w:hAnsi="宋体" w:eastAsia="宋体" w:cs="宋体"/>
                <w:i w:val="0"/>
                <w:iCs w:val="0"/>
                <w:color w:val="auto"/>
                <w:sz w:val="24"/>
                <w:szCs w:val="24"/>
                <w:highlight w:val="none"/>
              </w:rPr>
            </w:pPr>
          </w:p>
        </w:tc>
      </w:tr>
      <w:tr w14:paraId="351E8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CA01DB">
            <w:pPr>
              <w:jc w:val="center"/>
              <w:rPr>
                <w:rFonts w:hint="eastAsia" w:ascii="宋体" w:hAnsi="宋体" w:eastAsia="宋体" w:cs="宋体"/>
                <w:i w:val="0"/>
                <w:iCs w:val="0"/>
                <w:color w:val="auto"/>
                <w:sz w:val="24"/>
                <w:szCs w:val="24"/>
                <w:highlight w:val="none"/>
              </w:rPr>
            </w:pPr>
          </w:p>
        </w:tc>
        <w:tc>
          <w:tcPr>
            <w:tcW w:w="1276" w:type="dxa"/>
            <w:noWrap w:val="0"/>
            <w:vAlign w:val="center"/>
          </w:tcPr>
          <w:p w14:paraId="22DA7B13">
            <w:pPr>
              <w:jc w:val="center"/>
              <w:rPr>
                <w:rFonts w:hint="eastAsia" w:ascii="宋体" w:hAnsi="宋体" w:eastAsia="宋体" w:cs="宋体"/>
                <w:i w:val="0"/>
                <w:iCs w:val="0"/>
                <w:color w:val="auto"/>
                <w:sz w:val="24"/>
                <w:szCs w:val="24"/>
                <w:highlight w:val="none"/>
              </w:rPr>
            </w:pPr>
          </w:p>
        </w:tc>
        <w:tc>
          <w:tcPr>
            <w:tcW w:w="1203" w:type="dxa"/>
            <w:noWrap w:val="0"/>
            <w:vAlign w:val="center"/>
          </w:tcPr>
          <w:p w14:paraId="5473E62B">
            <w:pPr>
              <w:jc w:val="center"/>
              <w:rPr>
                <w:rFonts w:hint="eastAsia" w:ascii="宋体" w:hAnsi="宋体" w:eastAsia="宋体" w:cs="宋体"/>
                <w:i w:val="0"/>
                <w:iCs w:val="0"/>
                <w:color w:val="auto"/>
                <w:sz w:val="24"/>
                <w:szCs w:val="24"/>
                <w:highlight w:val="none"/>
              </w:rPr>
            </w:pPr>
          </w:p>
        </w:tc>
        <w:tc>
          <w:tcPr>
            <w:tcW w:w="781" w:type="dxa"/>
            <w:noWrap w:val="0"/>
            <w:vAlign w:val="center"/>
          </w:tcPr>
          <w:p w14:paraId="6D727BD7">
            <w:pPr>
              <w:jc w:val="center"/>
              <w:rPr>
                <w:rFonts w:hint="eastAsia" w:ascii="宋体" w:hAnsi="宋体" w:eastAsia="宋体" w:cs="宋体"/>
                <w:i w:val="0"/>
                <w:iCs w:val="0"/>
                <w:color w:val="auto"/>
                <w:sz w:val="24"/>
                <w:szCs w:val="24"/>
                <w:highlight w:val="none"/>
              </w:rPr>
            </w:pPr>
          </w:p>
        </w:tc>
        <w:tc>
          <w:tcPr>
            <w:tcW w:w="851" w:type="dxa"/>
            <w:noWrap w:val="0"/>
            <w:vAlign w:val="center"/>
          </w:tcPr>
          <w:p w14:paraId="6C6429BF">
            <w:pPr>
              <w:jc w:val="center"/>
              <w:rPr>
                <w:rFonts w:hint="eastAsia" w:ascii="宋体" w:hAnsi="宋体" w:eastAsia="宋体" w:cs="宋体"/>
                <w:i w:val="0"/>
                <w:iCs w:val="0"/>
                <w:color w:val="auto"/>
                <w:sz w:val="24"/>
                <w:szCs w:val="24"/>
                <w:highlight w:val="none"/>
              </w:rPr>
            </w:pPr>
          </w:p>
        </w:tc>
        <w:tc>
          <w:tcPr>
            <w:tcW w:w="1044" w:type="dxa"/>
            <w:noWrap w:val="0"/>
            <w:vAlign w:val="center"/>
          </w:tcPr>
          <w:p w14:paraId="70FFB11D">
            <w:pPr>
              <w:jc w:val="center"/>
              <w:rPr>
                <w:rFonts w:hint="eastAsia" w:ascii="宋体" w:hAnsi="宋体" w:eastAsia="宋体" w:cs="宋体"/>
                <w:i w:val="0"/>
                <w:iCs w:val="0"/>
                <w:color w:val="auto"/>
                <w:sz w:val="24"/>
                <w:szCs w:val="24"/>
                <w:highlight w:val="none"/>
              </w:rPr>
            </w:pPr>
          </w:p>
        </w:tc>
        <w:tc>
          <w:tcPr>
            <w:tcW w:w="992" w:type="dxa"/>
            <w:noWrap w:val="0"/>
            <w:vAlign w:val="center"/>
          </w:tcPr>
          <w:p w14:paraId="5B136F88">
            <w:pPr>
              <w:jc w:val="center"/>
              <w:rPr>
                <w:rFonts w:hint="eastAsia" w:ascii="宋体" w:hAnsi="宋体" w:eastAsia="宋体" w:cs="宋体"/>
                <w:i w:val="0"/>
                <w:iCs w:val="0"/>
                <w:color w:val="auto"/>
                <w:sz w:val="24"/>
                <w:szCs w:val="24"/>
                <w:highlight w:val="none"/>
              </w:rPr>
            </w:pPr>
          </w:p>
        </w:tc>
        <w:tc>
          <w:tcPr>
            <w:tcW w:w="851" w:type="dxa"/>
            <w:noWrap w:val="0"/>
            <w:vAlign w:val="center"/>
          </w:tcPr>
          <w:p w14:paraId="092E1AEF">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5F00258">
            <w:pPr>
              <w:jc w:val="center"/>
              <w:rPr>
                <w:rFonts w:hint="eastAsia" w:ascii="宋体" w:hAnsi="宋体" w:eastAsia="宋体" w:cs="宋体"/>
                <w:i w:val="0"/>
                <w:iCs w:val="0"/>
                <w:color w:val="auto"/>
                <w:sz w:val="24"/>
                <w:szCs w:val="24"/>
                <w:highlight w:val="none"/>
              </w:rPr>
            </w:pPr>
          </w:p>
        </w:tc>
        <w:tc>
          <w:tcPr>
            <w:tcW w:w="789" w:type="dxa"/>
            <w:noWrap w:val="0"/>
            <w:vAlign w:val="center"/>
          </w:tcPr>
          <w:p w14:paraId="0F2EEED8">
            <w:pPr>
              <w:jc w:val="center"/>
              <w:rPr>
                <w:rFonts w:hint="eastAsia" w:ascii="宋体" w:hAnsi="宋体" w:eastAsia="宋体" w:cs="宋体"/>
                <w:i w:val="0"/>
                <w:iCs w:val="0"/>
                <w:color w:val="auto"/>
                <w:sz w:val="24"/>
                <w:szCs w:val="24"/>
                <w:highlight w:val="none"/>
              </w:rPr>
            </w:pPr>
          </w:p>
        </w:tc>
      </w:tr>
      <w:tr w14:paraId="23E40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A349E4">
            <w:pPr>
              <w:jc w:val="center"/>
              <w:rPr>
                <w:rFonts w:hint="eastAsia" w:ascii="宋体" w:hAnsi="宋体" w:eastAsia="宋体" w:cs="宋体"/>
                <w:i w:val="0"/>
                <w:iCs w:val="0"/>
                <w:color w:val="auto"/>
                <w:sz w:val="24"/>
                <w:szCs w:val="24"/>
                <w:highlight w:val="none"/>
              </w:rPr>
            </w:pPr>
          </w:p>
        </w:tc>
        <w:tc>
          <w:tcPr>
            <w:tcW w:w="1276" w:type="dxa"/>
            <w:noWrap w:val="0"/>
            <w:vAlign w:val="center"/>
          </w:tcPr>
          <w:p w14:paraId="352B4025">
            <w:pPr>
              <w:jc w:val="center"/>
              <w:rPr>
                <w:rFonts w:hint="eastAsia" w:ascii="宋体" w:hAnsi="宋体" w:eastAsia="宋体" w:cs="宋体"/>
                <w:i w:val="0"/>
                <w:iCs w:val="0"/>
                <w:color w:val="auto"/>
                <w:sz w:val="24"/>
                <w:szCs w:val="24"/>
                <w:highlight w:val="none"/>
              </w:rPr>
            </w:pPr>
          </w:p>
        </w:tc>
        <w:tc>
          <w:tcPr>
            <w:tcW w:w="1203" w:type="dxa"/>
            <w:noWrap w:val="0"/>
            <w:vAlign w:val="center"/>
          </w:tcPr>
          <w:p w14:paraId="5D0BDF80">
            <w:pPr>
              <w:jc w:val="center"/>
              <w:rPr>
                <w:rFonts w:hint="eastAsia" w:ascii="宋体" w:hAnsi="宋体" w:eastAsia="宋体" w:cs="宋体"/>
                <w:i w:val="0"/>
                <w:iCs w:val="0"/>
                <w:color w:val="auto"/>
                <w:sz w:val="24"/>
                <w:szCs w:val="24"/>
                <w:highlight w:val="none"/>
              </w:rPr>
            </w:pPr>
          </w:p>
        </w:tc>
        <w:tc>
          <w:tcPr>
            <w:tcW w:w="781" w:type="dxa"/>
            <w:noWrap w:val="0"/>
            <w:vAlign w:val="center"/>
          </w:tcPr>
          <w:p w14:paraId="145C200A">
            <w:pPr>
              <w:jc w:val="center"/>
              <w:rPr>
                <w:rFonts w:hint="eastAsia" w:ascii="宋体" w:hAnsi="宋体" w:eastAsia="宋体" w:cs="宋体"/>
                <w:i w:val="0"/>
                <w:iCs w:val="0"/>
                <w:color w:val="auto"/>
                <w:sz w:val="24"/>
                <w:szCs w:val="24"/>
                <w:highlight w:val="none"/>
              </w:rPr>
            </w:pPr>
          </w:p>
        </w:tc>
        <w:tc>
          <w:tcPr>
            <w:tcW w:w="851" w:type="dxa"/>
            <w:noWrap w:val="0"/>
            <w:vAlign w:val="center"/>
          </w:tcPr>
          <w:p w14:paraId="069DE622">
            <w:pPr>
              <w:jc w:val="center"/>
              <w:rPr>
                <w:rFonts w:hint="eastAsia" w:ascii="宋体" w:hAnsi="宋体" w:eastAsia="宋体" w:cs="宋体"/>
                <w:i w:val="0"/>
                <w:iCs w:val="0"/>
                <w:color w:val="auto"/>
                <w:sz w:val="24"/>
                <w:szCs w:val="24"/>
                <w:highlight w:val="none"/>
              </w:rPr>
            </w:pPr>
          </w:p>
        </w:tc>
        <w:tc>
          <w:tcPr>
            <w:tcW w:w="1044" w:type="dxa"/>
            <w:noWrap w:val="0"/>
            <w:vAlign w:val="center"/>
          </w:tcPr>
          <w:p w14:paraId="4FBC1B98">
            <w:pPr>
              <w:jc w:val="center"/>
              <w:rPr>
                <w:rFonts w:hint="eastAsia" w:ascii="宋体" w:hAnsi="宋体" w:eastAsia="宋体" w:cs="宋体"/>
                <w:i w:val="0"/>
                <w:iCs w:val="0"/>
                <w:color w:val="auto"/>
                <w:sz w:val="24"/>
                <w:szCs w:val="24"/>
                <w:highlight w:val="none"/>
              </w:rPr>
            </w:pPr>
          </w:p>
        </w:tc>
        <w:tc>
          <w:tcPr>
            <w:tcW w:w="992" w:type="dxa"/>
            <w:noWrap w:val="0"/>
            <w:vAlign w:val="center"/>
          </w:tcPr>
          <w:p w14:paraId="1CA75764">
            <w:pPr>
              <w:jc w:val="center"/>
              <w:rPr>
                <w:rFonts w:hint="eastAsia" w:ascii="宋体" w:hAnsi="宋体" w:eastAsia="宋体" w:cs="宋体"/>
                <w:i w:val="0"/>
                <w:iCs w:val="0"/>
                <w:color w:val="auto"/>
                <w:sz w:val="24"/>
                <w:szCs w:val="24"/>
                <w:highlight w:val="none"/>
              </w:rPr>
            </w:pPr>
          </w:p>
        </w:tc>
        <w:tc>
          <w:tcPr>
            <w:tcW w:w="851" w:type="dxa"/>
            <w:noWrap w:val="0"/>
            <w:vAlign w:val="center"/>
          </w:tcPr>
          <w:p w14:paraId="1DA705FB">
            <w:pPr>
              <w:jc w:val="center"/>
              <w:rPr>
                <w:rFonts w:hint="eastAsia" w:ascii="宋体" w:hAnsi="宋体" w:eastAsia="宋体" w:cs="宋体"/>
                <w:i w:val="0"/>
                <w:iCs w:val="0"/>
                <w:color w:val="auto"/>
                <w:sz w:val="24"/>
                <w:szCs w:val="24"/>
                <w:highlight w:val="none"/>
              </w:rPr>
            </w:pPr>
          </w:p>
        </w:tc>
        <w:tc>
          <w:tcPr>
            <w:tcW w:w="1228" w:type="dxa"/>
            <w:noWrap w:val="0"/>
            <w:vAlign w:val="center"/>
          </w:tcPr>
          <w:p w14:paraId="7BF9B9A4">
            <w:pPr>
              <w:jc w:val="center"/>
              <w:rPr>
                <w:rFonts w:hint="eastAsia" w:ascii="宋体" w:hAnsi="宋体" w:eastAsia="宋体" w:cs="宋体"/>
                <w:i w:val="0"/>
                <w:iCs w:val="0"/>
                <w:color w:val="auto"/>
                <w:sz w:val="24"/>
                <w:szCs w:val="24"/>
                <w:highlight w:val="none"/>
              </w:rPr>
            </w:pPr>
          </w:p>
        </w:tc>
        <w:tc>
          <w:tcPr>
            <w:tcW w:w="789" w:type="dxa"/>
            <w:noWrap w:val="0"/>
            <w:vAlign w:val="center"/>
          </w:tcPr>
          <w:p w14:paraId="682C42FD">
            <w:pPr>
              <w:jc w:val="center"/>
              <w:rPr>
                <w:rFonts w:hint="eastAsia" w:ascii="宋体" w:hAnsi="宋体" w:eastAsia="宋体" w:cs="宋体"/>
                <w:i w:val="0"/>
                <w:iCs w:val="0"/>
                <w:color w:val="auto"/>
                <w:sz w:val="24"/>
                <w:szCs w:val="24"/>
                <w:highlight w:val="none"/>
              </w:rPr>
            </w:pPr>
          </w:p>
        </w:tc>
      </w:tr>
      <w:tr w14:paraId="4E1A6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C961AA9">
            <w:pPr>
              <w:jc w:val="center"/>
              <w:rPr>
                <w:rFonts w:hint="eastAsia" w:ascii="宋体" w:hAnsi="宋体" w:eastAsia="宋体" w:cs="宋体"/>
                <w:i w:val="0"/>
                <w:iCs w:val="0"/>
                <w:color w:val="auto"/>
                <w:sz w:val="24"/>
                <w:szCs w:val="24"/>
                <w:highlight w:val="none"/>
              </w:rPr>
            </w:pPr>
          </w:p>
        </w:tc>
        <w:tc>
          <w:tcPr>
            <w:tcW w:w="1276" w:type="dxa"/>
            <w:noWrap w:val="0"/>
            <w:vAlign w:val="center"/>
          </w:tcPr>
          <w:p w14:paraId="603FE08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0618FB7E">
            <w:pPr>
              <w:jc w:val="center"/>
              <w:rPr>
                <w:rFonts w:hint="eastAsia" w:ascii="宋体" w:hAnsi="宋体" w:eastAsia="宋体" w:cs="宋体"/>
                <w:i w:val="0"/>
                <w:iCs w:val="0"/>
                <w:color w:val="auto"/>
                <w:sz w:val="24"/>
                <w:szCs w:val="24"/>
                <w:highlight w:val="none"/>
              </w:rPr>
            </w:pPr>
          </w:p>
        </w:tc>
        <w:tc>
          <w:tcPr>
            <w:tcW w:w="781" w:type="dxa"/>
            <w:noWrap w:val="0"/>
            <w:vAlign w:val="center"/>
          </w:tcPr>
          <w:p w14:paraId="2FAF108B">
            <w:pPr>
              <w:jc w:val="center"/>
              <w:rPr>
                <w:rFonts w:hint="eastAsia" w:ascii="宋体" w:hAnsi="宋体" w:eastAsia="宋体" w:cs="宋体"/>
                <w:i w:val="0"/>
                <w:iCs w:val="0"/>
                <w:color w:val="auto"/>
                <w:sz w:val="24"/>
                <w:szCs w:val="24"/>
                <w:highlight w:val="none"/>
              </w:rPr>
            </w:pPr>
          </w:p>
        </w:tc>
        <w:tc>
          <w:tcPr>
            <w:tcW w:w="851" w:type="dxa"/>
            <w:noWrap w:val="0"/>
            <w:vAlign w:val="center"/>
          </w:tcPr>
          <w:p w14:paraId="3F5420B1">
            <w:pPr>
              <w:jc w:val="center"/>
              <w:rPr>
                <w:rFonts w:hint="eastAsia" w:ascii="宋体" w:hAnsi="宋体" w:eastAsia="宋体" w:cs="宋体"/>
                <w:i w:val="0"/>
                <w:iCs w:val="0"/>
                <w:color w:val="auto"/>
                <w:sz w:val="24"/>
                <w:szCs w:val="24"/>
                <w:highlight w:val="none"/>
              </w:rPr>
            </w:pPr>
          </w:p>
        </w:tc>
        <w:tc>
          <w:tcPr>
            <w:tcW w:w="1044" w:type="dxa"/>
            <w:noWrap w:val="0"/>
            <w:vAlign w:val="center"/>
          </w:tcPr>
          <w:p w14:paraId="5CC5CC96">
            <w:pPr>
              <w:jc w:val="center"/>
              <w:rPr>
                <w:rFonts w:hint="eastAsia" w:ascii="宋体" w:hAnsi="宋体" w:eastAsia="宋体" w:cs="宋体"/>
                <w:i w:val="0"/>
                <w:iCs w:val="0"/>
                <w:color w:val="auto"/>
                <w:sz w:val="24"/>
                <w:szCs w:val="24"/>
                <w:highlight w:val="none"/>
              </w:rPr>
            </w:pPr>
          </w:p>
        </w:tc>
        <w:tc>
          <w:tcPr>
            <w:tcW w:w="992" w:type="dxa"/>
            <w:noWrap w:val="0"/>
            <w:vAlign w:val="center"/>
          </w:tcPr>
          <w:p w14:paraId="753D3284">
            <w:pPr>
              <w:jc w:val="center"/>
              <w:rPr>
                <w:rFonts w:hint="eastAsia" w:ascii="宋体" w:hAnsi="宋体" w:eastAsia="宋体" w:cs="宋体"/>
                <w:i w:val="0"/>
                <w:iCs w:val="0"/>
                <w:color w:val="auto"/>
                <w:sz w:val="24"/>
                <w:szCs w:val="24"/>
                <w:highlight w:val="none"/>
              </w:rPr>
            </w:pPr>
          </w:p>
        </w:tc>
        <w:tc>
          <w:tcPr>
            <w:tcW w:w="851" w:type="dxa"/>
            <w:noWrap w:val="0"/>
            <w:vAlign w:val="center"/>
          </w:tcPr>
          <w:p w14:paraId="3728E3D7">
            <w:pPr>
              <w:jc w:val="center"/>
              <w:rPr>
                <w:rFonts w:hint="eastAsia" w:ascii="宋体" w:hAnsi="宋体" w:eastAsia="宋体" w:cs="宋体"/>
                <w:i w:val="0"/>
                <w:iCs w:val="0"/>
                <w:color w:val="auto"/>
                <w:sz w:val="24"/>
                <w:szCs w:val="24"/>
                <w:highlight w:val="none"/>
              </w:rPr>
            </w:pPr>
          </w:p>
        </w:tc>
        <w:tc>
          <w:tcPr>
            <w:tcW w:w="1228" w:type="dxa"/>
            <w:noWrap w:val="0"/>
            <w:vAlign w:val="center"/>
          </w:tcPr>
          <w:p w14:paraId="52B302C7">
            <w:pPr>
              <w:jc w:val="center"/>
              <w:rPr>
                <w:rFonts w:hint="eastAsia" w:ascii="宋体" w:hAnsi="宋体" w:eastAsia="宋体" w:cs="宋体"/>
                <w:i w:val="0"/>
                <w:iCs w:val="0"/>
                <w:color w:val="auto"/>
                <w:sz w:val="24"/>
                <w:szCs w:val="24"/>
                <w:highlight w:val="none"/>
              </w:rPr>
            </w:pPr>
          </w:p>
        </w:tc>
        <w:tc>
          <w:tcPr>
            <w:tcW w:w="789" w:type="dxa"/>
            <w:noWrap w:val="0"/>
            <w:vAlign w:val="center"/>
          </w:tcPr>
          <w:p w14:paraId="313F999B">
            <w:pPr>
              <w:jc w:val="center"/>
              <w:rPr>
                <w:rFonts w:hint="eastAsia" w:ascii="宋体" w:hAnsi="宋体" w:eastAsia="宋体" w:cs="宋体"/>
                <w:i w:val="0"/>
                <w:iCs w:val="0"/>
                <w:color w:val="auto"/>
                <w:sz w:val="24"/>
                <w:szCs w:val="24"/>
                <w:highlight w:val="none"/>
              </w:rPr>
            </w:pPr>
          </w:p>
        </w:tc>
      </w:tr>
    </w:tbl>
    <w:p w14:paraId="79911EC1">
      <w:pPr>
        <w:spacing w:line="440" w:lineRule="exact"/>
        <w:rPr>
          <w:rFonts w:ascii="Times New Roman" w:hAnsi="Times New Roman" w:eastAsia="仿宋_GB2312"/>
          <w:i w:val="0"/>
          <w:iCs w:val="0"/>
          <w:color w:val="auto"/>
          <w:sz w:val="30"/>
          <w:szCs w:val="30"/>
          <w:highlight w:val="none"/>
        </w:rPr>
      </w:pPr>
    </w:p>
    <w:p w14:paraId="76A40C0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4462375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69997DFC">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3CC6C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119" w:name="_Toc296891266"/>
      <w:bookmarkStart w:id="1120" w:name="_Toc296891054"/>
      <w:bookmarkStart w:id="1121" w:name="_Toc296503226"/>
      <w:bookmarkStart w:id="1122" w:name="_Toc267261693"/>
      <w:bookmarkStart w:id="1123" w:name="_Toc296944565"/>
      <w:bookmarkStart w:id="1124" w:name="_Toc296346727"/>
      <w:bookmarkStart w:id="1125" w:name="_Toc296347225"/>
      <w:r>
        <w:rPr>
          <w:rFonts w:hint="eastAsia" w:ascii="宋体" w:hAnsi="宋体" w:eastAsia="宋体"/>
          <w:b/>
          <w:bCs/>
          <w:i w:val="0"/>
          <w:iCs w:val="0"/>
          <w:color w:val="auto"/>
          <w:sz w:val="24"/>
          <w:highlight w:val="none"/>
        </w:rPr>
        <w:t>件3：</w:t>
      </w:r>
      <w:bookmarkEnd w:id="1119"/>
      <w:bookmarkEnd w:id="1120"/>
      <w:bookmarkEnd w:id="1121"/>
      <w:bookmarkEnd w:id="1122"/>
      <w:bookmarkEnd w:id="1123"/>
      <w:bookmarkEnd w:id="1124"/>
      <w:bookmarkEnd w:id="1125"/>
      <w:r>
        <w:rPr>
          <w:rFonts w:hint="eastAsia" w:ascii="宋体" w:hAnsi="宋体" w:eastAsia="宋体"/>
          <w:b/>
          <w:bCs/>
          <w:i w:val="0"/>
          <w:iCs w:val="0"/>
          <w:color w:val="auto"/>
          <w:sz w:val="24"/>
          <w:highlight w:val="none"/>
        </w:rPr>
        <w:t xml:space="preserve">    </w:t>
      </w:r>
    </w:p>
    <w:p w14:paraId="1AB7F94F">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工程质量保修书</w:t>
      </w:r>
    </w:p>
    <w:p w14:paraId="5E51B3D1">
      <w:pPr>
        <w:spacing w:line="44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35AFF9A7">
      <w:pP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承包人（全称）：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7588B493">
      <w:pPr>
        <w:spacing w:line="440" w:lineRule="exact"/>
        <w:rPr>
          <w:rFonts w:hint="eastAsia" w:ascii="宋体" w:hAnsi="宋体" w:eastAsia="宋体" w:cs="宋体"/>
          <w:i w:val="0"/>
          <w:iCs w:val="0"/>
          <w:color w:val="auto"/>
          <w:sz w:val="24"/>
          <w:szCs w:val="24"/>
          <w:highlight w:val="none"/>
        </w:rPr>
      </w:pPr>
    </w:p>
    <w:p w14:paraId="6184E86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发包人和承包人根据《中华人民共和国建筑法》和《建设工程质量管理条例》，经协商一致就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（工程全称）签订工程质量保修书。</w:t>
      </w:r>
    </w:p>
    <w:p w14:paraId="3A0F892B">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126" w:name="_Toc24954"/>
      <w:r>
        <w:rPr>
          <w:rFonts w:hint="eastAsia" w:ascii="宋体" w:hAnsi="宋体" w:eastAsia="宋体" w:cs="宋体"/>
          <w:i w:val="0"/>
          <w:iCs w:val="0"/>
          <w:color w:val="auto"/>
          <w:sz w:val="24"/>
          <w:szCs w:val="24"/>
          <w:highlight w:val="none"/>
        </w:rPr>
        <w:t>一、工程质量保修范围和内容</w:t>
      </w:r>
      <w:bookmarkEnd w:id="1126"/>
    </w:p>
    <w:p w14:paraId="07B9A92A">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承包人在质量保修期内，按照有关法律规定和合同约定，承担工程质量保修责任。</w:t>
      </w:r>
    </w:p>
    <w:p w14:paraId="25057CDA">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21472F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97DBC9">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　　</w:t>
      </w:r>
      <w:bookmarkStart w:id="1127" w:name="_Toc28609"/>
      <w:r>
        <w:rPr>
          <w:rFonts w:hint="eastAsia" w:ascii="宋体" w:hAnsi="宋体" w:eastAsia="宋体" w:cs="宋体"/>
          <w:i w:val="0"/>
          <w:iCs w:val="0"/>
          <w:color w:val="auto"/>
          <w:sz w:val="24"/>
          <w:szCs w:val="24"/>
          <w:highlight w:val="none"/>
        </w:rPr>
        <w:t>二、质量保修期</w:t>
      </w:r>
      <w:bookmarkEnd w:id="1127"/>
    </w:p>
    <w:p w14:paraId="58A5329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根据《建设工程质量管理条例》及有关规定，工程的质量保修期如下：</w:t>
      </w:r>
    </w:p>
    <w:p w14:paraId="24E0C643">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1．地基基础工程和主体结构工程为设计文件规定的工程合理使用年限；</w:t>
      </w:r>
    </w:p>
    <w:p w14:paraId="664CCD7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2．屋面防水工程、有防水要求的卫生间、房间和外墙面的防渗为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18F6883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3．装修工程为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4557A5FC">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4．电气管线、给排水管道、设备安装工程为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7C76BB57">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5．供热与供冷系统为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个采暖期、供冷期；</w:t>
      </w:r>
    </w:p>
    <w:p w14:paraId="14EE6B29">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6．住宅小区内的给排水设施、道路等配套工程为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37476351">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7．其他项目保修期限约定如下：</w:t>
      </w:r>
    </w:p>
    <w:p w14:paraId="11C9A2A6">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9F35B4E">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质量保修期自工程竣工验收合格之日起计算。</w:t>
      </w:r>
    </w:p>
    <w:p w14:paraId="2D6A7C42">
      <w:pPr>
        <w:spacing w:line="360" w:lineRule="auto"/>
        <w:ind w:firstLine="480" w:firstLineChars="200"/>
        <w:outlineLvl w:val="0"/>
        <w:rPr>
          <w:rFonts w:hint="eastAsia" w:ascii="宋体" w:hAnsi="宋体" w:eastAsia="宋体" w:cs="宋体"/>
          <w:i w:val="0"/>
          <w:iCs w:val="0"/>
          <w:color w:val="auto"/>
          <w:sz w:val="24"/>
          <w:szCs w:val="24"/>
          <w:highlight w:val="none"/>
        </w:rPr>
      </w:pPr>
      <w:bookmarkStart w:id="1128" w:name="_Toc25193"/>
      <w:r>
        <w:rPr>
          <w:rFonts w:hint="eastAsia" w:ascii="宋体" w:hAnsi="宋体" w:eastAsia="宋体" w:cs="宋体"/>
          <w:i w:val="0"/>
          <w:iCs w:val="0"/>
          <w:color w:val="auto"/>
          <w:sz w:val="24"/>
          <w:szCs w:val="24"/>
          <w:highlight w:val="none"/>
        </w:rPr>
        <w:t>三、缺陷责任期</w:t>
      </w:r>
      <w:bookmarkEnd w:id="1128"/>
    </w:p>
    <w:p w14:paraId="00ED8AF1">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工程缺陷责任期为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个月，缺陷责任期自工程通过竣工验收之日起计算。单位工程先于全部工程进行验收，单位工程缺陷责任期自单位工程验收合格之日起算。</w:t>
      </w:r>
    </w:p>
    <w:p w14:paraId="7124D8B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缺陷责任期终止后，发包人应退还剩余的质量保证金。</w:t>
      </w:r>
    </w:p>
    <w:p w14:paraId="6B096E88">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1129" w:name="_Toc8041"/>
      <w:r>
        <w:rPr>
          <w:rFonts w:hint="eastAsia" w:ascii="宋体" w:hAnsi="宋体" w:eastAsia="宋体" w:cs="宋体"/>
          <w:i w:val="0"/>
          <w:iCs w:val="0"/>
          <w:color w:val="auto"/>
          <w:sz w:val="24"/>
          <w:szCs w:val="24"/>
          <w:highlight w:val="none"/>
        </w:rPr>
        <w:t>四、质量保修责任</w:t>
      </w:r>
      <w:bookmarkEnd w:id="1129"/>
    </w:p>
    <w:p w14:paraId="5EC47F0C">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1．属于保修范围、内容的项目，承包人应当在接到保修通知之日起7天内派人保修。承包人不在约定期限内派人保修的，发包人可以委托他人修理。</w:t>
      </w:r>
    </w:p>
    <w:p w14:paraId="3D4B1F51">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2．发生紧急事故需抢修的，承包人在接到事故通知后，应当立即到达事故现场抢修。</w:t>
      </w:r>
    </w:p>
    <w:p w14:paraId="143D8DA8">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A4E937">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4．质量保修完成后，由发包人组织验收。</w:t>
      </w:r>
    </w:p>
    <w:p w14:paraId="5A2242F3">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130" w:name="_Toc8491"/>
      <w:r>
        <w:rPr>
          <w:rFonts w:hint="eastAsia" w:ascii="宋体" w:hAnsi="宋体" w:eastAsia="宋体" w:cs="宋体"/>
          <w:i w:val="0"/>
          <w:iCs w:val="0"/>
          <w:color w:val="auto"/>
          <w:sz w:val="24"/>
          <w:szCs w:val="24"/>
          <w:highlight w:val="none"/>
        </w:rPr>
        <w:t>五、保修费用</w:t>
      </w:r>
      <w:bookmarkEnd w:id="1130"/>
    </w:p>
    <w:p w14:paraId="3BD6DE3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保修费用由造成质量缺陷的责任方承担。</w:t>
      </w:r>
    </w:p>
    <w:p w14:paraId="3C541017">
      <w:pPr>
        <w:spacing w:line="360" w:lineRule="auto"/>
        <w:ind w:firstLine="600"/>
        <w:jc w:val="left"/>
        <w:outlineLvl w:val="0"/>
        <w:rPr>
          <w:rFonts w:hint="eastAsia" w:ascii="宋体" w:hAnsi="宋体" w:eastAsia="宋体" w:cs="宋体"/>
          <w:i w:val="0"/>
          <w:iCs w:val="0"/>
          <w:color w:val="auto"/>
          <w:sz w:val="24"/>
          <w:szCs w:val="24"/>
          <w:highlight w:val="none"/>
          <w:u w:val="single"/>
        </w:rPr>
      </w:pPr>
      <w:bookmarkStart w:id="1131" w:name="_Toc19089"/>
      <w:r>
        <w:rPr>
          <w:rFonts w:hint="eastAsia" w:ascii="宋体" w:hAnsi="宋体" w:eastAsia="宋体" w:cs="宋体"/>
          <w:b/>
          <w:i w:val="0"/>
          <w:iCs w:val="0"/>
          <w:color w:val="auto"/>
          <w:sz w:val="24"/>
          <w:szCs w:val="24"/>
          <w:highlight w:val="none"/>
        </w:rPr>
        <w:t>六</w:t>
      </w:r>
      <w:r>
        <w:rPr>
          <w:rFonts w:hint="eastAsia" w:ascii="宋体" w:hAnsi="宋体" w:eastAsia="宋体" w:cs="宋体"/>
          <w:i w:val="0"/>
          <w:iCs w:val="0"/>
          <w:color w:val="auto"/>
          <w:sz w:val="24"/>
          <w:szCs w:val="24"/>
          <w:highlight w:val="none"/>
        </w:rPr>
        <w:t>、双方约定的其他工程质量保修事项：</w:t>
      </w:r>
      <w:bookmarkEnd w:id="1131"/>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3ED5BCA5">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7842628">
      <w:pPr>
        <w:spacing w:line="360" w:lineRule="auto"/>
        <w:ind w:firstLine="456" w:firstLineChars="19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工程质量保修书由发包人、承包人在工程竣工验收前共同签署，作为施工合同附件，其有效期限至保修期满。</w:t>
      </w:r>
    </w:p>
    <w:p w14:paraId="7FF8AE6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发包人(公章)：</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 xml:space="preserve"> 承包人(公章)：</w:t>
      </w:r>
      <w:r>
        <w:rPr>
          <w:rFonts w:hint="eastAsia" w:ascii="宋体" w:hAnsi="宋体" w:eastAsia="宋体" w:cs="宋体"/>
          <w:i w:val="0"/>
          <w:iCs w:val="0"/>
          <w:color w:val="auto"/>
          <w:sz w:val="24"/>
          <w:szCs w:val="24"/>
          <w:highlight w:val="none"/>
          <w:u w:val="single"/>
        </w:rPr>
        <w:t xml:space="preserve">           </w:t>
      </w:r>
    </w:p>
    <w:p w14:paraId="37B94679">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地  址：</w:t>
      </w:r>
      <w:r>
        <w:rPr>
          <w:rFonts w:hint="eastAsia" w:ascii="宋体" w:hAnsi="宋体" w:eastAsia="宋体" w:cs="宋体"/>
          <w:i w:val="0"/>
          <w:iCs w:val="0"/>
          <w:color w:val="auto"/>
          <w:sz w:val="24"/>
          <w:szCs w:val="24"/>
          <w:highlight w:val="none"/>
          <w:u w:val="single"/>
        </w:rPr>
        <w:t xml:space="preserve">       </w:t>
      </w:r>
    </w:p>
    <w:p w14:paraId="7D34C193">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法定代表人(签字)：</w:t>
      </w:r>
      <w:r>
        <w:rPr>
          <w:rFonts w:hint="eastAsia" w:ascii="宋体" w:hAnsi="宋体" w:eastAsia="宋体" w:cs="宋体"/>
          <w:i w:val="0"/>
          <w:iCs w:val="0"/>
          <w:color w:val="auto"/>
          <w:sz w:val="24"/>
          <w:szCs w:val="24"/>
          <w:highlight w:val="none"/>
          <w:u w:val="single"/>
        </w:rPr>
        <w:t xml:space="preserve">       </w:t>
      </w:r>
    </w:p>
    <w:p w14:paraId="139E77A2">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委托代理人(签字)：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委托代理人(签字)：</w:t>
      </w:r>
      <w:r>
        <w:rPr>
          <w:rFonts w:hint="eastAsia" w:ascii="宋体" w:hAnsi="宋体" w:eastAsia="宋体" w:cs="宋体"/>
          <w:i w:val="0"/>
          <w:iCs w:val="0"/>
          <w:color w:val="auto"/>
          <w:sz w:val="24"/>
          <w:szCs w:val="24"/>
          <w:highlight w:val="none"/>
          <w:u w:val="single"/>
        </w:rPr>
        <w:t xml:space="preserve">       </w:t>
      </w:r>
    </w:p>
    <w:p w14:paraId="2F052413">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电  话：</w:t>
      </w:r>
      <w:r>
        <w:rPr>
          <w:rFonts w:hint="eastAsia" w:ascii="宋体" w:hAnsi="宋体" w:eastAsia="宋体" w:cs="宋体"/>
          <w:i w:val="0"/>
          <w:iCs w:val="0"/>
          <w:color w:val="auto"/>
          <w:sz w:val="24"/>
          <w:szCs w:val="24"/>
          <w:highlight w:val="none"/>
          <w:u w:val="single"/>
        </w:rPr>
        <w:t xml:space="preserve">     </w:t>
      </w:r>
    </w:p>
    <w:p w14:paraId="7F8053D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传  真：</w:t>
      </w:r>
      <w:r>
        <w:rPr>
          <w:rFonts w:hint="eastAsia" w:ascii="宋体" w:hAnsi="宋体" w:eastAsia="宋体" w:cs="宋体"/>
          <w:i w:val="0"/>
          <w:iCs w:val="0"/>
          <w:color w:val="auto"/>
          <w:sz w:val="24"/>
          <w:szCs w:val="24"/>
          <w:highlight w:val="none"/>
          <w:u w:val="single"/>
        </w:rPr>
        <w:t xml:space="preserve">     </w:t>
      </w:r>
    </w:p>
    <w:p w14:paraId="6B44798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p w14:paraId="54F744A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  号：</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账  号：</w:t>
      </w:r>
      <w:r>
        <w:rPr>
          <w:rFonts w:hint="eastAsia" w:ascii="宋体" w:hAnsi="宋体" w:eastAsia="宋体" w:cs="宋体"/>
          <w:i w:val="0"/>
          <w:iCs w:val="0"/>
          <w:color w:val="auto"/>
          <w:sz w:val="24"/>
          <w:szCs w:val="24"/>
          <w:highlight w:val="none"/>
          <w:u w:val="single"/>
        </w:rPr>
        <w:t xml:space="preserve">     </w:t>
      </w:r>
    </w:p>
    <w:p w14:paraId="22E3CE03">
      <w:pPr>
        <w:spacing w:line="360" w:lineRule="auto"/>
        <w:rPr>
          <w:rFonts w:hint="eastAsia" w:ascii="宋体" w:hAnsi="宋体" w:eastAsia="宋体"/>
          <w:b/>
          <w:bCs/>
          <w:i w:val="0"/>
          <w:iCs w:val="0"/>
          <w:color w:val="auto"/>
          <w:sz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r>
        <w:rPr>
          <w:rFonts w:ascii="Times New Roman" w:hAnsi="Times New Roman" w:eastAsia="仿宋_GB2312"/>
          <w:b/>
          <w:i w:val="0"/>
          <w:iCs w:val="0"/>
          <w:color w:val="auto"/>
          <w:sz w:val="30"/>
          <w:szCs w:val="30"/>
          <w:highlight w:val="none"/>
        </w:rPr>
        <w:br w:type="page"/>
      </w:r>
      <w:r>
        <w:rPr>
          <w:rFonts w:hint="eastAsia" w:ascii="宋体" w:hAnsi="宋体" w:eastAsia="宋体"/>
          <w:b/>
          <w:bCs/>
          <w:i w:val="0"/>
          <w:iCs w:val="0"/>
          <w:color w:val="auto"/>
          <w:sz w:val="24"/>
          <w:highlight w:val="none"/>
        </w:rPr>
        <w:t>附件4：</w:t>
      </w:r>
    </w:p>
    <w:p w14:paraId="18BE2F6B">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主要建设工程文件目录</w:t>
      </w:r>
    </w:p>
    <w:tbl>
      <w:tblPr>
        <w:tblStyle w:val="28"/>
        <w:tblW w:w="8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439"/>
      </w:tblGrid>
      <w:tr w14:paraId="4C7A1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CC4DB7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文件名称</w:t>
            </w:r>
          </w:p>
        </w:tc>
        <w:tc>
          <w:tcPr>
            <w:tcW w:w="1276" w:type="dxa"/>
            <w:tcBorders>
              <w:top w:val="single" w:color="auto" w:sz="12" w:space="0"/>
              <w:bottom w:val="double" w:color="auto" w:sz="6" w:space="0"/>
            </w:tcBorders>
            <w:noWrap w:val="0"/>
            <w:vAlign w:val="center"/>
          </w:tcPr>
          <w:p w14:paraId="5957300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套数</w:t>
            </w:r>
          </w:p>
        </w:tc>
        <w:tc>
          <w:tcPr>
            <w:tcW w:w="1450" w:type="dxa"/>
            <w:tcBorders>
              <w:top w:val="single" w:color="auto" w:sz="12" w:space="0"/>
              <w:bottom w:val="double" w:color="auto" w:sz="6" w:space="0"/>
            </w:tcBorders>
            <w:noWrap w:val="0"/>
            <w:vAlign w:val="center"/>
          </w:tcPr>
          <w:p w14:paraId="1D5D089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费用（元）</w:t>
            </w:r>
          </w:p>
        </w:tc>
        <w:tc>
          <w:tcPr>
            <w:tcW w:w="1243" w:type="dxa"/>
            <w:tcBorders>
              <w:top w:val="single" w:color="auto" w:sz="12" w:space="0"/>
              <w:bottom w:val="double" w:color="auto" w:sz="6" w:space="0"/>
            </w:tcBorders>
            <w:noWrap w:val="0"/>
            <w:vAlign w:val="center"/>
          </w:tcPr>
          <w:p w14:paraId="7EE8063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w:t>
            </w:r>
          </w:p>
        </w:tc>
        <w:tc>
          <w:tcPr>
            <w:tcW w:w="1450" w:type="dxa"/>
            <w:tcBorders>
              <w:top w:val="single" w:color="auto" w:sz="12" w:space="0"/>
              <w:bottom w:val="double" w:color="auto" w:sz="6" w:space="0"/>
            </w:tcBorders>
            <w:noWrap w:val="0"/>
            <w:vAlign w:val="top"/>
          </w:tcPr>
          <w:p w14:paraId="16B9E4C3">
            <w:pPr>
              <w:spacing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移交时间</w:t>
            </w:r>
          </w:p>
        </w:tc>
        <w:tc>
          <w:tcPr>
            <w:tcW w:w="1439" w:type="dxa"/>
            <w:tcBorders>
              <w:top w:val="single" w:color="auto" w:sz="12" w:space="0"/>
              <w:bottom w:val="double" w:color="auto" w:sz="6" w:space="0"/>
            </w:tcBorders>
            <w:noWrap w:val="0"/>
            <w:vAlign w:val="top"/>
          </w:tcPr>
          <w:p w14:paraId="5997E7E2">
            <w:pPr>
              <w:spacing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责任人</w:t>
            </w:r>
          </w:p>
        </w:tc>
      </w:tr>
      <w:tr w14:paraId="1DB44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7E283B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754E4C8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75698EA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tcBorders>
              <w:top w:val="double" w:color="auto" w:sz="6" w:space="0"/>
              <w:bottom w:val="single" w:color="auto" w:sz="6" w:space="0"/>
            </w:tcBorders>
            <w:noWrap w:val="0"/>
            <w:vAlign w:val="center"/>
          </w:tcPr>
          <w:p w14:paraId="05E858D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740B80E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tcBorders>
              <w:top w:val="double" w:color="auto" w:sz="6" w:space="0"/>
              <w:bottom w:val="single" w:color="auto" w:sz="6" w:space="0"/>
            </w:tcBorders>
            <w:noWrap w:val="0"/>
            <w:vAlign w:val="center"/>
          </w:tcPr>
          <w:p w14:paraId="68CEBC1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1A6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C9530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center"/>
          </w:tcPr>
          <w:p w14:paraId="576394D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nil"/>
            </w:tcBorders>
            <w:noWrap w:val="0"/>
            <w:vAlign w:val="center"/>
          </w:tcPr>
          <w:p w14:paraId="1A36D86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tcBorders>
              <w:top w:val="nil"/>
            </w:tcBorders>
            <w:noWrap w:val="0"/>
            <w:vAlign w:val="center"/>
          </w:tcPr>
          <w:p w14:paraId="0944AF8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nil"/>
            </w:tcBorders>
            <w:noWrap w:val="0"/>
            <w:vAlign w:val="center"/>
          </w:tcPr>
          <w:p w14:paraId="75A3BBC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tcBorders>
              <w:top w:val="nil"/>
            </w:tcBorders>
            <w:noWrap w:val="0"/>
            <w:vAlign w:val="center"/>
          </w:tcPr>
          <w:p w14:paraId="75C282B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ECDB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FBC673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12399C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4BFB687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5DA45B8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1953A3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1A9A101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5E6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8C1F38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10DE48E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4827672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0030410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2BA9A74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514C29E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DB6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B4E142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33AE82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90926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1368B2F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B77032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313312E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6783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AD8EB4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73202A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2F7BE4B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349AAF9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18E6C8F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1E8AEA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3C7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0117ED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43E6FCB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C09812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7488123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5B65B4F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454BCAD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D2A0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69F341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C5F0B9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E5897A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3B485F2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2928EC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2354198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2A0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5077C34">
            <w:pPr>
              <w:rPr>
                <w:rFonts w:hint="eastAsia" w:ascii="宋体" w:hAnsi="宋体" w:eastAsia="宋体" w:cs="宋体"/>
                <w:i w:val="0"/>
                <w:iCs w:val="0"/>
                <w:color w:val="auto"/>
                <w:sz w:val="24"/>
                <w:szCs w:val="24"/>
                <w:highlight w:val="none"/>
              </w:rPr>
            </w:pPr>
          </w:p>
        </w:tc>
        <w:tc>
          <w:tcPr>
            <w:tcW w:w="1276" w:type="dxa"/>
            <w:noWrap w:val="0"/>
            <w:vAlign w:val="top"/>
          </w:tcPr>
          <w:p w14:paraId="5E3BB35C">
            <w:pPr>
              <w:rPr>
                <w:rFonts w:hint="eastAsia" w:ascii="宋体" w:hAnsi="宋体" w:eastAsia="宋体" w:cs="宋体"/>
                <w:i w:val="0"/>
                <w:iCs w:val="0"/>
                <w:color w:val="auto"/>
                <w:sz w:val="24"/>
                <w:szCs w:val="24"/>
                <w:highlight w:val="none"/>
              </w:rPr>
            </w:pPr>
          </w:p>
        </w:tc>
        <w:tc>
          <w:tcPr>
            <w:tcW w:w="1450" w:type="dxa"/>
            <w:noWrap w:val="0"/>
            <w:vAlign w:val="top"/>
          </w:tcPr>
          <w:p w14:paraId="529EB0A1">
            <w:pPr>
              <w:rPr>
                <w:rFonts w:hint="eastAsia" w:ascii="宋体" w:hAnsi="宋体" w:eastAsia="宋体" w:cs="宋体"/>
                <w:i w:val="0"/>
                <w:iCs w:val="0"/>
                <w:color w:val="auto"/>
                <w:sz w:val="24"/>
                <w:szCs w:val="24"/>
                <w:highlight w:val="none"/>
              </w:rPr>
            </w:pPr>
          </w:p>
        </w:tc>
        <w:tc>
          <w:tcPr>
            <w:tcW w:w="1243" w:type="dxa"/>
            <w:noWrap w:val="0"/>
            <w:vAlign w:val="top"/>
          </w:tcPr>
          <w:p w14:paraId="33A53878">
            <w:pPr>
              <w:rPr>
                <w:rFonts w:hint="eastAsia" w:ascii="宋体" w:hAnsi="宋体" w:eastAsia="宋体" w:cs="宋体"/>
                <w:i w:val="0"/>
                <w:iCs w:val="0"/>
                <w:color w:val="auto"/>
                <w:sz w:val="24"/>
                <w:szCs w:val="24"/>
                <w:highlight w:val="none"/>
              </w:rPr>
            </w:pPr>
          </w:p>
        </w:tc>
        <w:tc>
          <w:tcPr>
            <w:tcW w:w="1450" w:type="dxa"/>
            <w:noWrap w:val="0"/>
            <w:vAlign w:val="top"/>
          </w:tcPr>
          <w:p w14:paraId="523D1E92">
            <w:pPr>
              <w:rPr>
                <w:rFonts w:hint="eastAsia" w:ascii="宋体" w:hAnsi="宋体" w:eastAsia="宋体" w:cs="宋体"/>
                <w:i w:val="0"/>
                <w:iCs w:val="0"/>
                <w:color w:val="auto"/>
                <w:sz w:val="24"/>
                <w:szCs w:val="24"/>
                <w:highlight w:val="none"/>
              </w:rPr>
            </w:pPr>
          </w:p>
        </w:tc>
        <w:tc>
          <w:tcPr>
            <w:tcW w:w="1439" w:type="dxa"/>
            <w:noWrap w:val="0"/>
            <w:vAlign w:val="top"/>
          </w:tcPr>
          <w:p w14:paraId="72E6D7EA">
            <w:pPr>
              <w:rPr>
                <w:rFonts w:hint="eastAsia" w:ascii="宋体" w:hAnsi="宋体" w:eastAsia="宋体" w:cs="宋体"/>
                <w:i w:val="0"/>
                <w:iCs w:val="0"/>
                <w:color w:val="auto"/>
                <w:sz w:val="24"/>
                <w:szCs w:val="24"/>
                <w:highlight w:val="none"/>
              </w:rPr>
            </w:pPr>
          </w:p>
        </w:tc>
      </w:tr>
      <w:tr w14:paraId="57501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E50B8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54C4D5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FFFFFC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7FC6086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870211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00A863F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C5E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4E1BC7A">
            <w:pPr>
              <w:rPr>
                <w:rFonts w:hint="eastAsia" w:ascii="宋体" w:hAnsi="宋体" w:eastAsia="宋体" w:cs="宋体"/>
                <w:i w:val="0"/>
                <w:iCs w:val="0"/>
                <w:color w:val="auto"/>
                <w:sz w:val="24"/>
                <w:szCs w:val="24"/>
                <w:highlight w:val="none"/>
              </w:rPr>
            </w:pPr>
          </w:p>
        </w:tc>
        <w:tc>
          <w:tcPr>
            <w:tcW w:w="1276" w:type="dxa"/>
            <w:noWrap w:val="0"/>
            <w:vAlign w:val="top"/>
          </w:tcPr>
          <w:p w14:paraId="107A21C7">
            <w:pPr>
              <w:rPr>
                <w:rFonts w:hint="eastAsia" w:ascii="宋体" w:hAnsi="宋体" w:eastAsia="宋体" w:cs="宋体"/>
                <w:i w:val="0"/>
                <w:iCs w:val="0"/>
                <w:color w:val="auto"/>
                <w:sz w:val="24"/>
                <w:szCs w:val="24"/>
                <w:highlight w:val="none"/>
              </w:rPr>
            </w:pPr>
          </w:p>
        </w:tc>
        <w:tc>
          <w:tcPr>
            <w:tcW w:w="1450" w:type="dxa"/>
            <w:noWrap w:val="0"/>
            <w:vAlign w:val="top"/>
          </w:tcPr>
          <w:p w14:paraId="60A6C80E">
            <w:pPr>
              <w:rPr>
                <w:rFonts w:hint="eastAsia" w:ascii="宋体" w:hAnsi="宋体" w:eastAsia="宋体" w:cs="宋体"/>
                <w:i w:val="0"/>
                <w:iCs w:val="0"/>
                <w:color w:val="auto"/>
                <w:sz w:val="24"/>
                <w:szCs w:val="24"/>
                <w:highlight w:val="none"/>
              </w:rPr>
            </w:pPr>
          </w:p>
        </w:tc>
        <w:tc>
          <w:tcPr>
            <w:tcW w:w="1243" w:type="dxa"/>
            <w:noWrap w:val="0"/>
            <w:vAlign w:val="top"/>
          </w:tcPr>
          <w:p w14:paraId="5CF0D34E">
            <w:pPr>
              <w:rPr>
                <w:rFonts w:hint="eastAsia" w:ascii="宋体" w:hAnsi="宋体" w:eastAsia="宋体" w:cs="宋体"/>
                <w:i w:val="0"/>
                <w:iCs w:val="0"/>
                <w:color w:val="auto"/>
                <w:sz w:val="24"/>
                <w:szCs w:val="24"/>
                <w:highlight w:val="none"/>
              </w:rPr>
            </w:pPr>
          </w:p>
        </w:tc>
        <w:tc>
          <w:tcPr>
            <w:tcW w:w="1450" w:type="dxa"/>
            <w:noWrap w:val="0"/>
            <w:vAlign w:val="top"/>
          </w:tcPr>
          <w:p w14:paraId="63ECE55E">
            <w:pPr>
              <w:rPr>
                <w:rFonts w:hint="eastAsia" w:ascii="宋体" w:hAnsi="宋体" w:eastAsia="宋体" w:cs="宋体"/>
                <w:i w:val="0"/>
                <w:iCs w:val="0"/>
                <w:color w:val="auto"/>
                <w:sz w:val="24"/>
                <w:szCs w:val="24"/>
                <w:highlight w:val="none"/>
              </w:rPr>
            </w:pPr>
          </w:p>
        </w:tc>
        <w:tc>
          <w:tcPr>
            <w:tcW w:w="1439" w:type="dxa"/>
            <w:noWrap w:val="0"/>
            <w:vAlign w:val="top"/>
          </w:tcPr>
          <w:p w14:paraId="55070C96">
            <w:pPr>
              <w:rPr>
                <w:rFonts w:hint="eastAsia" w:ascii="宋体" w:hAnsi="宋体" w:eastAsia="宋体" w:cs="宋体"/>
                <w:i w:val="0"/>
                <w:iCs w:val="0"/>
                <w:color w:val="auto"/>
                <w:sz w:val="24"/>
                <w:szCs w:val="24"/>
                <w:highlight w:val="none"/>
              </w:rPr>
            </w:pPr>
          </w:p>
        </w:tc>
      </w:tr>
      <w:tr w14:paraId="52928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3B5298">
            <w:pPr>
              <w:rPr>
                <w:rFonts w:hint="eastAsia" w:ascii="宋体" w:hAnsi="宋体" w:eastAsia="宋体" w:cs="宋体"/>
                <w:i w:val="0"/>
                <w:iCs w:val="0"/>
                <w:color w:val="auto"/>
                <w:sz w:val="24"/>
                <w:szCs w:val="24"/>
                <w:highlight w:val="none"/>
              </w:rPr>
            </w:pPr>
          </w:p>
        </w:tc>
        <w:tc>
          <w:tcPr>
            <w:tcW w:w="1276" w:type="dxa"/>
            <w:noWrap w:val="0"/>
            <w:vAlign w:val="top"/>
          </w:tcPr>
          <w:p w14:paraId="01EB6481">
            <w:pPr>
              <w:rPr>
                <w:rFonts w:hint="eastAsia" w:ascii="宋体" w:hAnsi="宋体" w:eastAsia="宋体" w:cs="宋体"/>
                <w:i w:val="0"/>
                <w:iCs w:val="0"/>
                <w:color w:val="auto"/>
                <w:sz w:val="24"/>
                <w:szCs w:val="24"/>
                <w:highlight w:val="none"/>
              </w:rPr>
            </w:pPr>
          </w:p>
        </w:tc>
        <w:tc>
          <w:tcPr>
            <w:tcW w:w="1450" w:type="dxa"/>
            <w:noWrap w:val="0"/>
            <w:vAlign w:val="top"/>
          </w:tcPr>
          <w:p w14:paraId="694374E9">
            <w:pPr>
              <w:rPr>
                <w:rFonts w:hint="eastAsia" w:ascii="宋体" w:hAnsi="宋体" w:eastAsia="宋体" w:cs="宋体"/>
                <w:i w:val="0"/>
                <w:iCs w:val="0"/>
                <w:color w:val="auto"/>
                <w:sz w:val="24"/>
                <w:szCs w:val="24"/>
                <w:highlight w:val="none"/>
              </w:rPr>
            </w:pPr>
          </w:p>
        </w:tc>
        <w:tc>
          <w:tcPr>
            <w:tcW w:w="1243" w:type="dxa"/>
            <w:noWrap w:val="0"/>
            <w:vAlign w:val="top"/>
          </w:tcPr>
          <w:p w14:paraId="2C83347A">
            <w:pPr>
              <w:rPr>
                <w:rFonts w:hint="eastAsia" w:ascii="宋体" w:hAnsi="宋体" w:eastAsia="宋体" w:cs="宋体"/>
                <w:i w:val="0"/>
                <w:iCs w:val="0"/>
                <w:color w:val="auto"/>
                <w:sz w:val="24"/>
                <w:szCs w:val="24"/>
                <w:highlight w:val="none"/>
              </w:rPr>
            </w:pPr>
          </w:p>
        </w:tc>
        <w:tc>
          <w:tcPr>
            <w:tcW w:w="1450" w:type="dxa"/>
            <w:noWrap w:val="0"/>
            <w:vAlign w:val="top"/>
          </w:tcPr>
          <w:p w14:paraId="146F112E">
            <w:pPr>
              <w:rPr>
                <w:rFonts w:hint="eastAsia" w:ascii="宋体" w:hAnsi="宋体" w:eastAsia="宋体" w:cs="宋体"/>
                <w:i w:val="0"/>
                <w:iCs w:val="0"/>
                <w:color w:val="auto"/>
                <w:sz w:val="24"/>
                <w:szCs w:val="24"/>
                <w:highlight w:val="none"/>
              </w:rPr>
            </w:pPr>
          </w:p>
        </w:tc>
        <w:tc>
          <w:tcPr>
            <w:tcW w:w="1439" w:type="dxa"/>
            <w:noWrap w:val="0"/>
            <w:vAlign w:val="top"/>
          </w:tcPr>
          <w:p w14:paraId="5A629D78">
            <w:pPr>
              <w:rPr>
                <w:rFonts w:hint="eastAsia" w:ascii="宋体" w:hAnsi="宋体" w:eastAsia="宋体" w:cs="宋体"/>
                <w:i w:val="0"/>
                <w:iCs w:val="0"/>
                <w:color w:val="auto"/>
                <w:sz w:val="24"/>
                <w:szCs w:val="24"/>
                <w:highlight w:val="none"/>
              </w:rPr>
            </w:pPr>
          </w:p>
        </w:tc>
      </w:tr>
      <w:tr w14:paraId="5CF83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ABE446">
            <w:pPr>
              <w:rPr>
                <w:rFonts w:hint="eastAsia" w:ascii="宋体" w:hAnsi="宋体" w:eastAsia="宋体" w:cs="宋体"/>
                <w:i w:val="0"/>
                <w:iCs w:val="0"/>
                <w:color w:val="auto"/>
                <w:sz w:val="24"/>
                <w:szCs w:val="24"/>
                <w:highlight w:val="none"/>
              </w:rPr>
            </w:pPr>
          </w:p>
        </w:tc>
        <w:tc>
          <w:tcPr>
            <w:tcW w:w="1276" w:type="dxa"/>
            <w:noWrap w:val="0"/>
            <w:vAlign w:val="top"/>
          </w:tcPr>
          <w:p w14:paraId="0F6051AB">
            <w:pPr>
              <w:rPr>
                <w:rFonts w:hint="eastAsia" w:ascii="宋体" w:hAnsi="宋体" w:eastAsia="宋体" w:cs="宋体"/>
                <w:i w:val="0"/>
                <w:iCs w:val="0"/>
                <w:color w:val="auto"/>
                <w:sz w:val="24"/>
                <w:szCs w:val="24"/>
                <w:highlight w:val="none"/>
              </w:rPr>
            </w:pPr>
          </w:p>
        </w:tc>
        <w:tc>
          <w:tcPr>
            <w:tcW w:w="1450" w:type="dxa"/>
            <w:noWrap w:val="0"/>
            <w:vAlign w:val="top"/>
          </w:tcPr>
          <w:p w14:paraId="0677C952">
            <w:pPr>
              <w:rPr>
                <w:rFonts w:hint="eastAsia" w:ascii="宋体" w:hAnsi="宋体" w:eastAsia="宋体" w:cs="宋体"/>
                <w:i w:val="0"/>
                <w:iCs w:val="0"/>
                <w:color w:val="auto"/>
                <w:sz w:val="24"/>
                <w:szCs w:val="24"/>
                <w:highlight w:val="none"/>
              </w:rPr>
            </w:pPr>
          </w:p>
        </w:tc>
        <w:tc>
          <w:tcPr>
            <w:tcW w:w="1243" w:type="dxa"/>
            <w:noWrap w:val="0"/>
            <w:vAlign w:val="top"/>
          </w:tcPr>
          <w:p w14:paraId="1926E1D4">
            <w:pPr>
              <w:rPr>
                <w:rFonts w:hint="eastAsia" w:ascii="宋体" w:hAnsi="宋体" w:eastAsia="宋体" w:cs="宋体"/>
                <w:i w:val="0"/>
                <w:iCs w:val="0"/>
                <w:color w:val="auto"/>
                <w:sz w:val="24"/>
                <w:szCs w:val="24"/>
                <w:highlight w:val="none"/>
              </w:rPr>
            </w:pPr>
          </w:p>
        </w:tc>
        <w:tc>
          <w:tcPr>
            <w:tcW w:w="1450" w:type="dxa"/>
            <w:noWrap w:val="0"/>
            <w:vAlign w:val="top"/>
          </w:tcPr>
          <w:p w14:paraId="421D5A73">
            <w:pPr>
              <w:rPr>
                <w:rFonts w:hint="eastAsia" w:ascii="宋体" w:hAnsi="宋体" w:eastAsia="宋体" w:cs="宋体"/>
                <w:i w:val="0"/>
                <w:iCs w:val="0"/>
                <w:color w:val="auto"/>
                <w:sz w:val="24"/>
                <w:szCs w:val="24"/>
                <w:highlight w:val="none"/>
              </w:rPr>
            </w:pPr>
          </w:p>
        </w:tc>
        <w:tc>
          <w:tcPr>
            <w:tcW w:w="1439" w:type="dxa"/>
            <w:noWrap w:val="0"/>
            <w:vAlign w:val="top"/>
          </w:tcPr>
          <w:p w14:paraId="707470D4">
            <w:pPr>
              <w:rPr>
                <w:rFonts w:hint="eastAsia" w:ascii="宋体" w:hAnsi="宋体" w:eastAsia="宋体" w:cs="宋体"/>
                <w:i w:val="0"/>
                <w:iCs w:val="0"/>
                <w:color w:val="auto"/>
                <w:sz w:val="24"/>
                <w:szCs w:val="24"/>
                <w:highlight w:val="none"/>
              </w:rPr>
            </w:pPr>
          </w:p>
        </w:tc>
      </w:tr>
      <w:tr w14:paraId="61C76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5F9973">
            <w:pPr>
              <w:rPr>
                <w:rFonts w:hint="eastAsia" w:ascii="宋体" w:hAnsi="宋体" w:eastAsia="宋体" w:cs="宋体"/>
                <w:i w:val="0"/>
                <w:iCs w:val="0"/>
                <w:color w:val="auto"/>
                <w:sz w:val="24"/>
                <w:szCs w:val="24"/>
                <w:highlight w:val="none"/>
              </w:rPr>
            </w:pPr>
          </w:p>
        </w:tc>
        <w:tc>
          <w:tcPr>
            <w:tcW w:w="1276" w:type="dxa"/>
            <w:noWrap w:val="0"/>
            <w:vAlign w:val="top"/>
          </w:tcPr>
          <w:p w14:paraId="25C41D68">
            <w:pPr>
              <w:rPr>
                <w:rFonts w:hint="eastAsia" w:ascii="宋体" w:hAnsi="宋体" w:eastAsia="宋体" w:cs="宋体"/>
                <w:i w:val="0"/>
                <w:iCs w:val="0"/>
                <w:color w:val="auto"/>
                <w:sz w:val="24"/>
                <w:szCs w:val="24"/>
                <w:highlight w:val="none"/>
              </w:rPr>
            </w:pPr>
          </w:p>
        </w:tc>
        <w:tc>
          <w:tcPr>
            <w:tcW w:w="1450" w:type="dxa"/>
            <w:noWrap w:val="0"/>
            <w:vAlign w:val="top"/>
          </w:tcPr>
          <w:p w14:paraId="75D8993A">
            <w:pPr>
              <w:rPr>
                <w:rFonts w:hint="eastAsia" w:ascii="宋体" w:hAnsi="宋体" w:eastAsia="宋体" w:cs="宋体"/>
                <w:i w:val="0"/>
                <w:iCs w:val="0"/>
                <w:color w:val="auto"/>
                <w:sz w:val="24"/>
                <w:szCs w:val="24"/>
                <w:highlight w:val="none"/>
              </w:rPr>
            </w:pPr>
          </w:p>
        </w:tc>
        <w:tc>
          <w:tcPr>
            <w:tcW w:w="1243" w:type="dxa"/>
            <w:noWrap w:val="0"/>
            <w:vAlign w:val="top"/>
          </w:tcPr>
          <w:p w14:paraId="4C605ABA">
            <w:pPr>
              <w:rPr>
                <w:rFonts w:hint="eastAsia" w:ascii="宋体" w:hAnsi="宋体" w:eastAsia="宋体" w:cs="宋体"/>
                <w:i w:val="0"/>
                <w:iCs w:val="0"/>
                <w:color w:val="auto"/>
                <w:sz w:val="24"/>
                <w:szCs w:val="24"/>
                <w:highlight w:val="none"/>
              </w:rPr>
            </w:pPr>
          </w:p>
        </w:tc>
        <w:tc>
          <w:tcPr>
            <w:tcW w:w="1450" w:type="dxa"/>
            <w:noWrap w:val="0"/>
            <w:vAlign w:val="top"/>
          </w:tcPr>
          <w:p w14:paraId="3E0A1797">
            <w:pPr>
              <w:rPr>
                <w:rFonts w:hint="eastAsia" w:ascii="宋体" w:hAnsi="宋体" w:eastAsia="宋体" w:cs="宋体"/>
                <w:i w:val="0"/>
                <w:iCs w:val="0"/>
                <w:color w:val="auto"/>
                <w:sz w:val="24"/>
                <w:szCs w:val="24"/>
                <w:highlight w:val="none"/>
              </w:rPr>
            </w:pPr>
          </w:p>
        </w:tc>
        <w:tc>
          <w:tcPr>
            <w:tcW w:w="1439" w:type="dxa"/>
            <w:noWrap w:val="0"/>
            <w:vAlign w:val="top"/>
          </w:tcPr>
          <w:p w14:paraId="3A4A5001">
            <w:pPr>
              <w:rPr>
                <w:rFonts w:hint="eastAsia" w:ascii="宋体" w:hAnsi="宋体" w:eastAsia="宋体" w:cs="宋体"/>
                <w:i w:val="0"/>
                <w:iCs w:val="0"/>
                <w:color w:val="auto"/>
                <w:sz w:val="24"/>
                <w:szCs w:val="24"/>
                <w:highlight w:val="none"/>
              </w:rPr>
            </w:pPr>
          </w:p>
        </w:tc>
      </w:tr>
      <w:tr w14:paraId="11C82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B39AB9">
            <w:pPr>
              <w:rPr>
                <w:rFonts w:hint="eastAsia" w:ascii="宋体" w:hAnsi="宋体" w:eastAsia="宋体" w:cs="宋体"/>
                <w:i w:val="0"/>
                <w:iCs w:val="0"/>
                <w:color w:val="auto"/>
                <w:sz w:val="24"/>
                <w:szCs w:val="24"/>
                <w:highlight w:val="none"/>
              </w:rPr>
            </w:pPr>
          </w:p>
        </w:tc>
        <w:tc>
          <w:tcPr>
            <w:tcW w:w="1276" w:type="dxa"/>
            <w:noWrap w:val="0"/>
            <w:vAlign w:val="top"/>
          </w:tcPr>
          <w:p w14:paraId="72F29370">
            <w:pPr>
              <w:rPr>
                <w:rFonts w:hint="eastAsia" w:ascii="宋体" w:hAnsi="宋体" w:eastAsia="宋体" w:cs="宋体"/>
                <w:i w:val="0"/>
                <w:iCs w:val="0"/>
                <w:color w:val="auto"/>
                <w:sz w:val="24"/>
                <w:szCs w:val="24"/>
                <w:highlight w:val="none"/>
              </w:rPr>
            </w:pPr>
          </w:p>
        </w:tc>
        <w:tc>
          <w:tcPr>
            <w:tcW w:w="1450" w:type="dxa"/>
            <w:noWrap w:val="0"/>
            <w:vAlign w:val="top"/>
          </w:tcPr>
          <w:p w14:paraId="6C7CA2EE">
            <w:pPr>
              <w:rPr>
                <w:rFonts w:hint="eastAsia" w:ascii="宋体" w:hAnsi="宋体" w:eastAsia="宋体" w:cs="宋体"/>
                <w:i w:val="0"/>
                <w:iCs w:val="0"/>
                <w:color w:val="auto"/>
                <w:sz w:val="24"/>
                <w:szCs w:val="24"/>
                <w:highlight w:val="none"/>
              </w:rPr>
            </w:pPr>
          </w:p>
        </w:tc>
        <w:tc>
          <w:tcPr>
            <w:tcW w:w="1243" w:type="dxa"/>
            <w:noWrap w:val="0"/>
            <w:vAlign w:val="top"/>
          </w:tcPr>
          <w:p w14:paraId="0CE49A3E">
            <w:pPr>
              <w:rPr>
                <w:rFonts w:hint="eastAsia" w:ascii="宋体" w:hAnsi="宋体" w:eastAsia="宋体" w:cs="宋体"/>
                <w:i w:val="0"/>
                <w:iCs w:val="0"/>
                <w:color w:val="auto"/>
                <w:sz w:val="24"/>
                <w:szCs w:val="24"/>
                <w:highlight w:val="none"/>
              </w:rPr>
            </w:pPr>
          </w:p>
        </w:tc>
        <w:tc>
          <w:tcPr>
            <w:tcW w:w="1450" w:type="dxa"/>
            <w:noWrap w:val="0"/>
            <w:vAlign w:val="top"/>
          </w:tcPr>
          <w:p w14:paraId="1CE62A85">
            <w:pPr>
              <w:rPr>
                <w:rFonts w:hint="eastAsia" w:ascii="宋体" w:hAnsi="宋体" w:eastAsia="宋体" w:cs="宋体"/>
                <w:i w:val="0"/>
                <w:iCs w:val="0"/>
                <w:color w:val="auto"/>
                <w:sz w:val="24"/>
                <w:szCs w:val="24"/>
                <w:highlight w:val="none"/>
              </w:rPr>
            </w:pPr>
          </w:p>
        </w:tc>
        <w:tc>
          <w:tcPr>
            <w:tcW w:w="1439" w:type="dxa"/>
            <w:noWrap w:val="0"/>
            <w:vAlign w:val="top"/>
          </w:tcPr>
          <w:p w14:paraId="299CAF4C">
            <w:pPr>
              <w:rPr>
                <w:rFonts w:hint="eastAsia" w:ascii="宋体" w:hAnsi="宋体" w:eastAsia="宋体" w:cs="宋体"/>
                <w:i w:val="0"/>
                <w:iCs w:val="0"/>
                <w:color w:val="auto"/>
                <w:sz w:val="24"/>
                <w:szCs w:val="24"/>
                <w:highlight w:val="none"/>
              </w:rPr>
            </w:pPr>
          </w:p>
        </w:tc>
      </w:tr>
      <w:tr w14:paraId="0773B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CA6838">
            <w:pPr>
              <w:rPr>
                <w:rFonts w:hint="eastAsia" w:ascii="宋体" w:hAnsi="宋体" w:eastAsia="宋体" w:cs="宋体"/>
                <w:i w:val="0"/>
                <w:iCs w:val="0"/>
                <w:color w:val="auto"/>
                <w:sz w:val="24"/>
                <w:szCs w:val="24"/>
                <w:highlight w:val="none"/>
              </w:rPr>
            </w:pPr>
          </w:p>
        </w:tc>
        <w:tc>
          <w:tcPr>
            <w:tcW w:w="1276" w:type="dxa"/>
            <w:noWrap w:val="0"/>
            <w:vAlign w:val="top"/>
          </w:tcPr>
          <w:p w14:paraId="580DAD90">
            <w:pPr>
              <w:rPr>
                <w:rFonts w:hint="eastAsia" w:ascii="宋体" w:hAnsi="宋体" w:eastAsia="宋体" w:cs="宋体"/>
                <w:i w:val="0"/>
                <w:iCs w:val="0"/>
                <w:color w:val="auto"/>
                <w:sz w:val="24"/>
                <w:szCs w:val="24"/>
                <w:highlight w:val="none"/>
              </w:rPr>
            </w:pPr>
          </w:p>
        </w:tc>
        <w:tc>
          <w:tcPr>
            <w:tcW w:w="1450" w:type="dxa"/>
            <w:noWrap w:val="0"/>
            <w:vAlign w:val="top"/>
          </w:tcPr>
          <w:p w14:paraId="398324D2">
            <w:pPr>
              <w:rPr>
                <w:rFonts w:hint="eastAsia" w:ascii="宋体" w:hAnsi="宋体" w:eastAsia="宋体" w:cs="宋体"/>
                <w:i w:val="0"/>
                <w:iCs w:val="0"/>
                <w:color w:val="auto"/>
                <w:sz w:val="24"/>
                <w:szCs w:val="24"/>
                <w:highlight w:val="none"/>
              </w:rPr>
            </w:pPr>
          </w:p>
        </w:tc>
        <w:tc>
          <w:tcPr>
            <w:tcW w:w="1243" w:type="dxa"/>
            <w:noWrap w:val="0"/>
            <w:vAlign w:val="top"/>
          </w:tcPr>
          <w:p w14:paraId="12D14A9C">
            <w:pPr>
              <w:rPr>
                <w:rFonts w:hint="eastAsia" w:ascii="宋体" w:hAnsi="宋体" w:eastAsia="宋体" w:cs="宋体"/>
                <w:i w:val="0"/>
                <w:iCs w:val="0"/>
                <w:color w:val="auto"/>
                <w:sz w:val="24"/>
                <w:szCs w:val="24"/>
                <w:highlight w:val="none"/>
              </w:rPr>
            </w:pPr>
          </w:p>
        </w:tc>
        <w:tc>
          <w:tcPr>
            <w:tcW w:w="1450" w:type="dxa"/>
            <w:noWrap w:val="0"/>
            <w:vAlign w:val="top"/>
          </w:tcPr>
          <w:p w14:paraId="7F2B50A4">
            <w:pPr>
              <w:rPr>
                <w:rFonts w:hint="eastAsia" w:ascii="宋体" w:hAnsi="宋体" w:eastAsia="宋体" w:cs="宋体"/>
                <w:i w:val="0"/>
                <w:iCs w:val="0"/>
                <w:color w:val="auto"/>
                <w:sz w:val="24"/>
                <w:szCs w:val="24"/>
                <w:highlight w:val="none"/>
              </w:rPr>
            </w:pPr>
          </w:p>
        </w:tc>
        <w:tc>
          <w:tcPr>
            <w:tcW w:w="1439" w:type="dxa"/>
            <w:noWrap w:val="0"/>
            <w:vAlign w:val="top"/>
          </w:tcPr>
          <w:p w14:paraId="142F32E3">
            <w:pPr>
              <w:rPr>
                <w:rFonts w:hint="eastAsia" w:ascii="宋体" w:hAnsi="宋体" w:eastAsia="宋体" w:cs="宋体"/>
                <w:i w:val="0"/>
                <w:iCs w:val="0"/>
                <w:color w:val="auto"/>
                <w:sz w:val="24"/>
                <w:szCs w:val="24"/>
                <w:highlight w:val="none"/>
              </w:rPr>
            </w:pPr>
          </w:p>
        </w:tc>
      </w:tr>
      <w:tr w14:paraId="283B8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BD6313">
            <w:pPr>
              <w:rPr>
                <w:rFonts w:hint="eastAsia" w:ascii="宋体" w:hAnsi="宋体" w:eastAsia="宋体" w:cs="宋体"/>
                <w:i w:val="0"/>
                <w:iCs w:val="0"/>
                <w:color w:val="auto"/>
                <w:sz w:val="24"/>
                <w:szCs w:val="24"/>
                <w:highlight w:val="none"/>
              </w:rPr>
            </w:pPr>
          </w:p>
        </w:tc>
        <w:tc>
          <w:tcPr>
            <w:tcW w:w="1276" w:type="dxa"/>
            <w:noWrap w:val="0"/>
            <w:vAlign w:val="top"/>
          </w:tcPr>
          <w:p w14:paraId="14B4470A">
            <w:pPr>
              <w:rPr>
                <w:rFonts w:hint="eastAsia" w:ascii="宋体" w:hAnsi="宋体" w:eastAsia="宋体" w:cs="宋体"/>
                <w:i w:val="0"/>
                <w:iCs w:val="0"/>
                <w:color w:val="auto"/>
                <w:sz w:val="24"/>
                <w:szCs w:val="24"/>
                <w:highlight w:val="none"/>
              </w:rPr>
            </w:pPr>
          </w:p>
        </w:tc>
        <w:tc>
          <w:tcPr>
            <w:tcW w:w="1450" w:type="dxa"/>
            <w:noWrap w:val="0"/>
            <w:vAlign w:val="top"/>
          </w:tcPr>
          <w:p w14:paraId="1084FF7A">
            <w:pPr>
              <w:rPr>
                <w:rFonts w:hint="eastAsia" w:ascii="宋体" w:hAnsi="宋体" w:eastAsia="宋体" w:cs="宋体"/>
                <w:i w:val="0"/>
                <w:iCs w:val="0"/>
                <w:color w:val="auto"/>
                <w:sz w:val="24"/>
                <w:szCs w:val="24"/>
                <w:highlight w:val="none"/>
              </w:rPr>
            </w:pPr>
          </w:p>
        </w:tc>
        <w:tc>
          <w:tcPr>
            <w:tcW w:w="1243" w:type="dxa"/>
            <w:noWrap w:val="0"/>
            <w:vAlign w:val="top"/>
          </w:tcPr>
          <w:p w14:paraId="1EEC3479">
            <w:pPr>
              <w:rPr>
                <w:rFonts w:hint="eastAsia" w:ascii="宋体" w:hAnsi="宋体" w:eastAsia="宋体" w:cs="宋体"/>
                <w:i w:val="0"/>
                <w:iCs w:val="0"/>
                <w:color w:val="auto"/>
                <w:sz w:val="24"/>
                <w:szCs w:val="24"/>
                <w:highlight w:val="none"/>
              </w:rPr>
            </w:pPr>
          </w:p>
        </w:tc>
        <w:tc>
          <w:tcPr>
            <w:tcW w:w="1450" w:type="dxa"/>
            <w:noWrap w:val="0"/>
            <w:vAlign w:val="top"/>
          </w:tcPr>
          <w:p w14:paraId="605E270F">
            <w:pPr>
              <w:rPr>
                <w:rFonts w:hint="eastAsia" w:ascii="宋体" w:hAnsi="宋体" w:eastAsia="宋体" w:cs="宋体"/>
                <w:i w:val="0"/>
                <w:iCs w:val="0"/>
                <w:color w:val="auto"/>
                <w:sz w:val="24"/>
                <w:szCs w:val="24"/>
                <w:highlight w:val="none"/>
              </w:rPr>
            </w:pPr>
          </w:p>
        </w:tc>
        <w:tc>
          <w:tcPr>
            <w:tcW w:w="1439" w:type="dxa"/>
            <w:noWrap w:val="0"/>
            <w:vAlign w:val="top"/>
          </w:tcPr>
          <w:p w14:paraId="798C6CD2">
            <w:pPr>
              <w:rPr>
                <w:rFonts w:hint="eastAsia" w:ascii="宋体" w:hAnsi="宋体" w:eastAsia="宋体" w:cs="宋体"/>
                <w:i w:val="0"/>
                <w:iCs w:val="0"/>
                <w:color w:val="auto"/>
                <w:sz w:val="24"/>
                <w:szCs w:val="24"/>
                <w:highlight w:val="none"/>
              </w:rPr>
            </w:pPr>
          </w:p>
        </w:tc>
      </w:tr>
      <w:tr w14:paraId="69BF4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464D29">
            <w:pPr>
              <w:rPr>
                <w:rFonts w:hint="eastAsia" w:ascii="宋体" w:hAnsi="宋体" w:eastAsia="宋体" w:cs="宋体"/>
                <w:i w:val="0"/>
                <w:iCs w:val="0"/>
                <w:color w:val="auto"/>
                <w:sz w:val="24"/>
                <w:szCs w:val="24"/>
                <w:highlight w:val="none"/>
              </w:rPr>
            </w:pPr>
          </w:p>
        </w:tc>
        <w:tc>
          <w:tcPr>
            <w:tcW w:w="1276" w:type="dxa"/>
            <w:noWrap w:val="0"/>
            <w:vAlign w:val="top"/>
          </w:tcPr>
          <w:p w14:paraId="27999102">
            <w:pPr>
              <w:rPr>
                <w:rFonts w:hint="eastAsia" w:ascii="宋体" w:hAnsi="宋体" w:eastAsia="宋体" w:cs="宋体"/>
                <w:i w:val="0"/>
                <w:iCs w:val="0"/>
                <w:color w:val="auto"/>
                <w:sz w:val="24"/>
                <w:szCs w:val="24"/>
                <w:highlight w:val="none"/>
              </w:rPr>
            </w:pPr>
          </w:p>
        </w:tc>
        <w:tc>
          <w:tcPr>
            <w:tcW w:w="1450" w:type="dxa"/>
            <w:noWrap w:val="0"/>
            <w:vAlign w:val="top"/>
          </w:tcPr>
          <w:p w14:paraId="40082F7C">
            <w:pPr>
              <w:rPr>
                <w:rFonts w:hint="eastAsia" w:ascii="宋体" w:hAnsi="宋体" w:eastAsia="宋体" w:cs="宋体"/>
                <w:i w:val="0"/>
                <w:iCs w:val="0"/>
                <w:color w:val="auto"/>
                <w:sz w:val="24"/>
                <w:szCs w:val="24"/>
                <w:highlight w:val="none"/>
              </w:rPr>
            </w:pPr>
          </w:p>
        </w:tc>
        <w:tc>
          <w:tcPr>
            <w:tcW w:w="1243" w:type="dxa"/>
            <w:noWrap w:val="0"/>
            <w:vAlign w:val="top"/>
          </w:tcPr>
          <w:p w14:paraId="5B1C0421">
            <w:pPr>
              <w:rPr>
                <w:rFonts w:hint="eastAsia" w:ascii="宋体" w:hAnsi="宋体" w:eastAsia="宋体" w:cs="宋体"/>
                <w:i w:val="0"/>
                <w:iCs w:val="0"/>
                <w:color w:val="auto"/>
                <w:sz w:val="24"/>
                <w:szCs w:val="24"/>
                <w:highlight w:val="none"/>
              </w:rPr>
            </w:pPr>
          </w:p>
        </w:tc>
        <w:tc>
          <w:tcPr>
            <w:tcW w:w="1450" w:type="dxa"/>
            <w:noWrap w:val="0"/>
            <w:vAlign w:val="top"/>
          </w:tcPr>
          <w:p w14:paraId="23FD3938">
            <w:pPr>
              <w:rPr>
                <w:rFonts w:hint="eastAsia" w:ascii="宋体" w:hAnsi="宋体" w:eastAsia="宋体" w:cs="宋体"/>
                <w:i w:val="0"/>
                <w:iCs w:val="0"/>
                <w:color w:val="auto"/>
                <w:sz w:val="24"/>
                <w:szCs w:val="24"/>
                <w:highlight w:val="none"/>
              </w:rPr>
            </w:pPr>
          </w:p>
        </w:tc>
        <w:tc>
          <w:tcPr>
            <w:tcW w:w="1439" w:type="dxa"/>
            <w:noWrap w:val="0"/>
            <w:vAlign w:val="top"/>
          </w:tcPr>
          <w:p w14:paraId="51C664D3">
            <w:pPr>
              <w:rPr>
                <w:rFonts w:hint="eastAsia" w:ascii="宋体" w:hAnsi="宋体" w:eastAsia="宋体" w:cs="宋体"/>
                <w:i w:val="0"/>
                <w:iCs w:val="0"/>
                <w:color w:val="auto"/>
                <w:sz w:val="24"/>
                <w:szCs w:val="24"/>
                <w:highlight w:val="none"/>
              </w:rPr>
            </w:pPr>
          </w:p>
        </w:tc>
      </w:tr>
      <w:tr w14:paraId="41AA4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F104D6">
            <w:pPr>
              <w:rPr>
                <w:rFonts w:hint="eastAsia" w:ascii="宋体" w:hAnsi="宋体" w:eastAsia="宋体" w:cs="宋体"/>
                <w:i w:val="0"/>
                <w:iCs w:val="0"/>
                <w:color w:val="auto"/>
                <w:sz w:val="24"/>
                <w:szCs w:val="24"/>
                <w:highlight w:val="none"/>
              </w:rPr>
            </w:pPr>
          </w:p>
        </w:tc>
        <w:tc>
          <w:tcPr>
            <w:tcW w:w="1276" w:type="dxa"/>
            <w:noWrap w:val="0"/>
            <w:vAlign w:val="top"/>
          </w:tcPr>
          <w:p w14:paraId="209D3DC5">
            <w:pPr>
              <w:rPr>
                <w:rFonts w:hint="eastAsia" w:ascii="宋体" w:hAnsi="宋体" w:eastAsia="宋体" w:cs="宋体"/>
                <w:i w:val="0"/>
                <w:iCs w:val="0"/>
                <w:color w:val="auto"/>
                <w:sz w:val="24"/>
                <w:szCs w:val="24"/>
                <w:highlight w:val="none"/>
              </w:rPr>
            </w:pPr>
          </w:p>
        </w:tc>
        <w:tc>
          <w:tcPr>
            <w:tcW w:w="1450" w:type="dxa"/>
            <w:noWrap w:val="0"/>
            <w:vAlign w:val="top"/>
          </w:tcPr>
          <w:p w14:paraId="3B114A91">
            <w:pPr>
              <w:rPr>
                <w:rFonts w:hint="eastAsia" w:ascii="宋体" w:hAnsi="宋体" w:eastAsia="宋体" w:cs="宋体"/>
                <w:i w:val="0"/>
                <w:iCs w:val="0"/>
                <w:color w:val="auto"/>
                <w:sz w:val="24"/>
                <w:szCs w:val="24"/>
                <w:highlight w:val="none"/>
              </w:rPr>
            </w:pPr>
          </w:p>
        </w:tc>
        <w:tc>
          <w:tcPr>
            <w:tcW w:w="1243" w:type="dxa"/>
            <w:noWrap w:val="0"/>
            <w:vAlign w:val="top"/>
          </w:tcPr>
          <w:p w14:paraId="67FC52A9">
            <w:pPr>
              <w:rPr>
                <w:rFonts w:hint="eastAsia" w:ascii="宋体" w:hAnsi="宋体" w:eastAsia="宋体" w:cs="宋体"/>
                <w:i w:val="0"/>
                <w:iCs w:val="0"/>
                <w:color w:val="auto"/>
                <w:sz w:val="24"/>
                <w:szCs w:val="24"/>
                <w:highlight w:val="none"/>
              </w:rPr>
            </w:pPr>
          </w:p>
        </w:tc>
        <w:tc>
          <w:tcPr>
            <w:tcW w:w="1450" w:type="dxa"/>
            <w:noWrap w:val="0"/>
            <w:vAlign w:val="top"/>
          </w:tcPr>
          <w:p w14:paraId="244860DB">
            <w:pPr>
              <w:rPr>
                <w:rFonts w:hint="eastAsia" w:ascii="宋体" w:hAnsi="宋体" w:eastAsia="宋体" w:cs="宋体"/>
                <w:i w:val="0"/>
                <w:iCs w:val="0"/>
                <w:color w:val="auto"/>
                <w:sz w:val="24"/>
                <w:szCs w:val="24"/>
                <w:highlight w:val="none"/>
              </w:rPr>
            </w:pPr>
          </w:p>
        </w:tc>
        <w:tc>
          <w:tcPr>
            <w:tcW w:w="1439" w:type="dxa"/>
            <w:noWrap w:val="0"/>
            <w:vAlign w:val="top"/>
          </w:tcPr>
          <w:p w14:paraId="6BCD4EDE">
            <w:pPr>
              <w:rPr>
                <w:rFonts w:hint="eastAsia" w:ascii="宋体" w:hAnsi="宋体" w:eastAsia="宋体" w:cs="宋体"/>
                <w:i w:val="0"/>
                <w:iCs w:val="0"/>
                <w:color w:val="auto"/>
                <w:sz w:val="24"/>
                <w:szCs w:val="24"/>
                <w:highlight w:val="none"/>
              </w:rPr>
            </w:pPr>
          </w:p>
        </w:tc>
      </w:tr>
    </w:tbl>
    <w:p w14:paraId="1854EF70">
      <w:pPr>
        <w:spacing w:line="440" w:lineRule="exact"/>
        <w:rPr>
          <w:rFonts w:hint="eastAsia" w:ascii="Times New Roman" w:hAnsi="Times New Roman" w:eastAsia="仿宋_GB2312"/>
          <w:i w:val="0"/>
          <w:iCs w:val="0"/>
          <w:color w:val="auto"/>
          <w:sz w:val="30"/>
          <w:szCs w:val="30"/>
          <w:highlight w:val="none"/>
        </w:rPr>
      </w:pPr>
    </w:p>
    <w:p w14:paraId="352D78B9">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r>
        <w:rPr>
          <w:rFonts w:hint="eastAsia" w:ascii="宋体" w:hAnsi="宋体" w:eastAsia="宋体"/>
          <w:b/>
          <w:bCs/>
          <w:i w:val="0"/>
          <w:iCs w:val="0"/>
          <w:color w:val="auto"/>
          <w:sz w:val="24"/>
          <w:highlight w:val="none"/>
        </w:rPr>
        <w:t>附</w:t>
      </w:r>
      <w:bookmarkStart w:id="1132" w:name="_Toc296346728"/>
      <w:bookmarkStart w:id="1133" w:name="_Toc296891055"/>
      <w:bookmarkStart w:id="1134" w:name="_Toc296891267"/>
      <w:bookmarkStart w:id="1135" w:name="_Toc267261698"/>
      <w:bookmarkStart w:id="1136" w:name="_Toc296503227"/>
      <w:bookmarkStart w:id="1137" w:name="_Toc296347226"/>
      <w:bookmarkStart w:id="1138" w:name="_Toc296944566"/>
      <w:r>
        <w:rPr>
          <w:rFonts w:hint="eastAsia" w:ascii="宋体" w:hAnsi="宋体" w:eastAsia="宋体"/>
          <w:b/>
          <w:bCs/>
          <w:i w:val="0"/>
          <w:iCs w:val="0"/>
          <w:color w:val="auto"/>
          <w:sz w:val="24"/>
          <w:highlight w:val="none"/>
        </w:rPr>
        <w:t>件5：</w:t>
      </w:r>
    </w:p>
    <w:bookmarkEnd w:id="1132"/>
    <w:bookmarkEnd w:id="1133"/>
    <w:bookmarkEnd w:id="1134"/>
    <w:bookmarkEnd w:id="1135"/>
    <w:bookmarkEnd w:id="1136"/>
    <w:bookmarkEnd w:id="1137"/>
    <w:bookmarkEnd w:id="1138"/>
    <w:p w14:paraId="02F06814">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承包人用于本工程施工的机械设备表</w:t>
      </w:r>
    </w:p>
    <w:tbl>
      <w:tblPr>
        <w:tblStyle w:val="28"/>
        <w:tblW w:w="93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7"/>
        <w:gridCol w:w="1418"/>
        <w:gridCol w:w="850"/>
        <w:gridCol w:w="1058"/>
        <w:gridCol w:w="880"/>
        <w:gridCol w:w="1020"/>
        <w:gridCol w:w="1480"/>
        <w:gridCol w:w="1020"/>
        <w:gridCol w:w="921"/>
      </w:tblGrid>
      <w:tr w14:paraId="23336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727" w:type="dxa"/>
            <w:tcBorders>
              <w:top w:val="single" w:color="auto" w:sz="12" w:space="0"/>
              <w:bottom w:val="double" w:color="auto" w:sz="6" w:space="0"/>
            </w:tcBorders>
            <w:noWrap w:val="0"/>
            <w:vAlign w:val="center"/>
          </w:tcPr>
          <w:p w14:paraId="0B884E6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418" w:type="dxa"/>
            <w:tcBorders>
              <w:top w:val="single" w:color="auto" w:sz="12" w:space="0"/>
              <w:bottom w:val="double" w:color="auto" w:sz="6" w:space="0"/>
            </w:tcBorders>
            <w:noWrap w:val="0"/>
            <w:vAlign w:val="center"/>
          </w:tcPr>
          <w:p w14:paraId="11AE604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机械或设备名称</w:t>
            </w:r>
          </w:p>
        </w:tc>
        <w:tc>
          <w:tcPr>
            <w:tcW w:w="850" w:type="dxa"/>
            <w:tcBorders>
              <w:top w:val="single" w:color="auto" w:sz="12" w:space="0"/>
              <w:bottom w:val="double" w:color="auto" w:sz="6" w:space="0"/>
            </w:tcBorders>
            <w:noWrap w:val="0"/>
            <w:vAlign w:val="center"/>
          </w:tcPr>
          <w:p w14:paraId="0A2034C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规格型号</w:t>
            </w:r>
          </w:p>
        </w:tc>
        <w:tc>
          <w:tcPr>
            <w:tcW w:w="1058" w:type="dxa"/>
            <w:tcBorders>
              <w:top w:val="single" w:color="auto" w:sz="12" w:space="0"/>
              <w:bottom w:val="double" w:color="auto" w:sz="6" w:space="0"/>
            </w:tcBorders>
            <w:noWrap w:val="0"/>
            <w:vAlign w:val="center"/>
          </w:tcPr>
          <w:p w14:paraId="23AD169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880" w:type="dxa"/>
            <w:tcBorders>
              <w:top w:val="single" w:color="auto" w:sz="12" w:space="0"/>
              <w:bottom w:val="double" w:color="auto" w:sz="6" w:space="0"/>
            </w:tcBorders>
            <w:noWrap w:val="0"/>
            <w:vAlign w:val="center"/>
          </w:tcPr>
          <w:p w14:paraId="78D8152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产地</w:t>
            </w:r>
          </w:p>
        </w:tc>
        <w:tc>
          <w:tcPr>
            <w:tcW w:w="1020" w:type="dxa"/>
            <w:tcBorders>
              <w:top w:val="single" w:color="auto" w:sz="12" w:space="0"/>
              <w:bottom w:val="double" w:color="auto" w:sz="6" w:space="0"/>
            </w:tcBorders>
            <w:noWrap w:val="0"/>
            <w:vAlign w:val="center"/>
          </w:tcPr>
          <w:p w14:paraId="6C68261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制造年份</w:t>
            </w:r>
          </w:p>
        </w:tc>
        <w:tc>
          <w:tcPr>
            <w:tcW w:w="1480" w:type="dxa"/>
            <w:tcBorders>
              <w:top w:val="single" w:color="auto" w:sz="12" w:space="0"/>
              <w:bottom w:val="double" w:color="auto" w:sz="6" w:space="0"/>
            </w:tcBorders>
            <w:noWrap w:val="0"/>
            <w:vAlign w:val="center"/>
          </w:tcPr>
          <w:p w14:paraId="3D45449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额定功率(kW)</w:t>
            </w:r>
          </w:p>
        </w:tc>
        <w:tc>
          <w:tcPr>
            <w:tcW w:w="1020" w:type="dxa"/>
            <w:tcBorders>
              <w:top w:val="single" w:color="auto" w:sz="12" w:space="0"/>
              <w:bottom w:val="double" w:color="auto" w:sz="6" w:space="0"/>
            </w:tcBorders>
            <w:noWrap w:val="0"/>
            <w:vAlign w:val="center"/>
          </w:tcPr>
          <w:p w14:paraId="5B3463C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生产能力</w:t>
            </w:r>
          </w:p>
        </w:tc>
        <w:tc>
          <w:tcPr>
            <w:tcW w:w="921" w:type="dxa"/>
            <w:tcBorders>
              <w:top w:val="single" w:color="auto" w:sz="12" w:space="0"/>
              <w:bottom w:val="double" w:color="auto" w:sz="6" w:space="0"/>
            </w:tcBorders>
            <w:noWrap w:val="0"/>
            <w:vAlign w:val="center"/>
          </w:tcPr>
          <w:p w14:paraId="74E741F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173D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tcBorders>
              <w:top w:val="double" w:color="auto" w:sz="6" w:space="0"/>
              <w:bottom w:val="single" w:color="auto" w:sz="6" w:space="0"/>
            </w:tcBorders>
            <w:noWrap w:val="0"/>
            <w:vAlign w:val="center"/>
          </w:tcPr>
          <w:p w14:paraId="53A1FC7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center"/>
          </w:tcPr>
          <w:p w14:paraId="7D3A256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300C3C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tcBorders>
              <w:top w:val="double" w:color="auto" w:sz="6" w:space="0"/>
              <w:bottom w:val="single" w:color="auto" w:sz="6" w:space="0"/>
            </w:tcBorders>
            <w:noWrap w:val="0"/>
            <w:vAlign w:val="center"/>
          </w:tcPr>
          <w:p w14:paraId="5F6DB6A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tcBorders>
              <w:top w:val="double" w:color="auto" w:sz="6" w:space="0"/>
              <w:bottom w:val="single" w:color="auto" w:sz="6" w:space="0"/>
            </w:tcBorders>
            <w:noWrap w:val="0"/>
            <w:vAlign w:val="center"/>
          </w:tcPr>
          <w:p w14:paraId="263DAE4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1A58EC3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tcBorders>
              <w:top w:val="double" w:color="auto" w:sz="6" w:space="0"/>
              <w:bottom w:val="single" w:color="auto" w:sz="6" w:space="0"/>
            </w:tcBorders>
            <w:noWrap w:val="0"/>
            <w:vAlign w:val="center"/>
          </w:tcPr>
          <w:p w14:paraId="3845F44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54955F8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tcBorders>
              <w:top w:val="double" w:color="auto" w:sz="6" w:space="0"/>
              <w:bottom w:val="single" w:color="auto" w:sz="6" w:space="0"/>
            </w:tcBorders>
            <w:noWrap w:val="0"/>
            <w:vAlign w:val="center"/>
          </w:tcPr>
          <w:p w14:paraId="2D9B472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640A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tcBorders>
              <w:top w:val="nil"/>
            </w:tcBorders>
            <w:noWrap w:val="0"/>
            <w:vAlign w:val="center"/>
          </w:tcPr>
          <w:p w14:paraId="5E1B14C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center"/>
          </w:tcPr>
          <w:p w14:paraId="091EAA3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438D81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tcBorders>
              <w:top w:val="nil"/>
            </w:tcBorders>
            <w:noWrap w:val="0"/>
            <w:vAlign w:val="center"/>
          </w:tcPr>
          <w:p w14:paraId="6ABEB95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tcBorders>
              <w:top w:val="nil"/>
            </w:tcBorders>
            <w:noWrap w:val="0"/>
            <w:vAlign w:val="center"/>
          </w:tcPr>
          <w:p w14:paraId="41E1EA5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nil"/>
            </w:tcBorders>
            <w:noWrap w:val="0"/>
            <w:vAlign w:val="center"/>
          </w:tcPr>
          <w:p w14:paraId="5AAADC9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tcBorders>
              <w:top w:val="nil"/>
            </w:tcBorders>
            <w:noWrap w:val="0"/>
            <w:vAlign w:val="center"/>
          </w:tcPr>
          <w:p w14:paraId="4B95F8E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nil"/>
            </w:tcBorders>
            <w:noWrap w:val="0"/>
            <w:vAlign w:val="center"/>
          </w:tcPr>
          <w:p w14:paraId="07D35AE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tcBorders>
              <w:top w:val="nil"/>
            </w:tcBorders>
            <w:noWrap w:val="0"/>
            <w:vAlign w:val="center"/>
          </w:tcPr>
          <w:p w14:paraId="4521BC4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47A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7B74138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7A07A43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B41A47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35E50FE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41433DB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20830F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44923A3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79BC418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40DC3D6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7C6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41C118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80682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9B5420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380D182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73D7EF2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C38541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3238706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4E58CA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07055C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3C10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32F407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F98F0B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D5CF08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090744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74ECAC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1DB4F68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251B55F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688E72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38177EB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00B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3497BD9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169F90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477F272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44698CF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131D7D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343CC09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58BA1B8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AEE1B5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4B855CF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5835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78C636F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2041CEC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7E9D0B1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4A163BF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31FD512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1056C70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3D75BA4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E972C4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34B560F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C10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005AE6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627374A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2C42B0E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1B8BE1D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493DA2E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3ACDFCB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4FC2B8D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422D1E8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204EBC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787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600EB14">
            <w:pPr>
              <w:rPr>
                <w:rFonts w:hint="eastAsia" w:ascii="宋体" w:hAnsi="宋体" w:eastAsia="宋体" w:cs="宋体"/>
                <w:i w:val="0"/>
                <w:iCs w:val="0"/>
                <w:color w:val="auto"/>
                <w:sz w:val="24"/>
                <w:szCs w:val="24"/>
                <w:highlight w:val="none"/>
              </w:rPr>
            </w:pPr>
          </w:p>
        </w:tc>
        <w:tc>
          <w:tcPr>
            <w:tcW w:w="1418" w:type="dxa"/>
            <w:noWrap w:val="0"/>
            <w:vAlign w:val="top"/>
          </w:tcPr>
          <w:p w14:paraId="7B14F891">
            <w:pPr>
              <w:rPr>
                <w:rFonts w:hint="eastAsia" w:ascii="宋体" w:hAnsi="宋体" w:eastAsia="宋体" w:cs="宋体"/>
                <w:i w:val="0"/>
                <w:iCs w:val="0"/>
                <w:color w:val="auto"/>
                <w:sz w:val="24"/>
                <w:szCs w:val="24"/>
                <w:highlight w:val="none"/>
              </w:rPr>
            </w:pPr>
          </w:p>
        </w:tc>
        <w:tc>
          <w:tcPr>
            <w:tcW w:w="850" w:type="dxa"/>
            <w:noWrap w:val="0"/>
            <w:vAlign w:val="top"/>
          </w:tcPr>
          <w:p w14:paraId="7509FF5F">
            <w:pPr>
              <w:rPr>
                <w:rFonts w:hint="eastAsia" w:ascii="宋体" w:hAnsi="宋体" w:eastAsia="宋体" w:cs="宋体"/>
                <w:i w:val="0"/>
                <w:iCs w:val="0"/>
                <w:color w:val="auto"/>
                <w:sz w:val="24"/>
                <w:szCs w:val="24"/>
                <w:highlight w:val="none"/>
              </w:rPr>
            </w:pPr>
          </w:p>
        </w:tc>
        <w:tc>
          <w:tcPr>
            <w:tcW w:w="1058" w:type="dxa"/>
            <w:noWrap w:val="0"/>
            <w:vAlign w:val="top"/>
          </w:tcPr>
          <w:p w14:paraId="0E8AF84C">
            <w:pPr>
              <w:rPr>
                <w:rFonts w:hint="eastAsia" w:ascii="宋体" w:hAnsi="宋体" w:eastAsia="宋体" w:cs="宋体"/>
                <w:i w:val="0"/>
                <w:iCs w:val="0"/>
                <w:color w:val="auto"/>
                <w:sz w:val="24"/>
                <w:szCs w:val="24"/>
                <w:highlight w:val="none"/>
              </w:rPr>
            </w:pPr>
          </w:p>
        </w:tc>
        <w:tc>
          <w:tcPr>
            <w:tcW w:w="880" w:type="dxa"/>
            <w:noWrap w:val="0"/>
            <w:vAlign w:val="top"/>
          </w:tcPr>
          <w:p w14:paraId="7554B8C6">
            <w:pPr>
              <w:rPr>
                <w:rFonts w:hint="eastAsia" w:ascii="宋体" w:hAnsi="宋体" w:eastAsia="宋体" w:cs="宋体"/>
                <w:i w:val="0"/>
                <w:iCs w:val="0"/>
                <w:color w:val="auto"/>
                <w:sz w:val="24"/>
                <w:szCs w:val="24"/>
                <w:highlight w:val="none"/>
              </w:rPr>
            </w:pPr>
          </w:p>
        </w:tc>
        <w:tc>
          <w:tcPr>
            <w:tcW w:w="1020" w:type="dxa"/>
            <w:noWrap w:val="0"/>
            <w:vAlign w:val="top"/>
          </w:tcPr>
          <w:p w14:paraId="69BEA88C">
            <w:pPr>
              <w:rPr>
                <w:rFonts w:hint="eastAsia" w:ascii="宋体" w:hAnsi="宋体" w:eastAsia="宋体" w:cs="宋体"/>
                <w:i w:val="0"/>
                <w:iCs w:val="0"/>
                <w:color w:val="auto"/>
                <w:sz w:val="24"/>
                <w:szCs w:val="24"/>
                <w:highlight w:val="none"/>
              </w:rPr>
            </w:pPr>
          </w:p>
        </w:tc>
        <w:tc>
          <w:tcPr>
            <w:tcW w:w="1480" w:type="dxa"/>
            <w:noWrap w:val="0"/>
            <w:vAlign w:val="top"/>
          </w:tcPr>
          <w:p w14:paraId="54F78AD0">
            <w:pPr>
              <w:rPr>
                <w:rFonts w:hint="eastAsia" w:ascii="宋体" w:hAnsi="宋体" w:eastAsia="宋体" w:cs="宋体"/>
                <w:i w:val="0"/>
                <w:iCs w:val="0"/>
                <w:color w:val="auto"/>
                <w:sz w:val="24"/>
                <w:szCs w:val="24"/>
                <w:highlight w:val="none"/>
              </w:rPr>
            </w:pPr>
          </w:p>
        </w:tc>
        <w:tc>
          <w:tcPr>
            <w:tcW w:w="1020" w:type="dxa"/>
            <w:noWrap w:val="0"/>
            <w:vAlign w:val="top"/>
          </w:tcPr>
          <w:p w14:paraId="3FF8BFE8">
            <w:pPr>
              <w:rPr>
                <w:rFonts w:hint="eastAsia" w:ascii="宋体" w:hAnsi="宋体" w:eastAsia="宋体" w:cs="宋体"/>
                <w:i w:val="0"/>
                <w:iCs w:val="0"/>
                <w:color w:val="auto"/>
                <w:sz w:val="24"/>
                <w:szCs w:val="24"/>
                <w:highlight w:val="none"/>
              </w:rPr>
            </w:pPr>
          </w:p>
        </w:tc>
        <w:tc>
          <w:tcPr>
            <w:tcW w:w="921" w:type="dxa"/>
            <w:noWrap w:val="0"/>
            <w:vAlign w:val="top"/>
          </w:tcPr>
          <w:p w14:paraId="2A3A2F67">
            <w:pPr>
              <w:rPr>
                <w:rFonts w:hint="eastAsia" w:ascii="宋体" w:hAnsi="宋体" w:eastAsia="宋体" w:cs="宋体"/>
                <w:i w:val="0"/>
                <w:iCs w:val="0"/>
                <w:color w:val="auto"/>
                <w:sz w:val="24"/>
                <w:szCs w:val="24"/>
                <w:highlight w:val="none"/>
              </w:rPr>
            </w:pPr>
          </w:p>
        </w:tc>
      </w:tr>
      <w:tr w14:paraId="6BFA3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0246107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05C803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5D78440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6D8D5B9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AF5FD4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60407B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5FE513F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3050D2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54974D8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A7E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063EFE76">
            <w:pPr>
              <w:rPr>
                <w:rFonts w:hint="eastAsia" w:ascii="宋体" w:hAnsi="宋体" w:eastAsia="宋体" w:cs="宋体"/>
                <w:i w:val="0"/>
                <w:iCs w:val="0"/>
                <w:color w:val="auto"/>
                <w:sz w:val="24"/>
                <w:szCs w:val="24"/>
                <w:highlight w:val="none"/>
              </w:rPr>
            </w:pPr>
          </w:p>
        </w:tc>
        <w:tc>
          <w:tcPr>
            <w:tcW w:w="1418" w:type="dxa"/>
            <w:noWrap w:val="0"/>
            <w:vAlign w:val="top"/>
          </w:tcPr>
          <w:p w14:paraId="7B13F7C1">
            <w:pPr>
              <w:rPr>
                <w:rFonts w:hint="eastAsia" w:ascii="宋体" w:hAnsi="宋体" w:eastAsia="宋体" w:cs="宋体"/>
                <w:i w:val="0"/>
                <w:iCs w:val="0"/>
                <w:color w:val="auto"/>
                <w:sz w:val="24"/>
                <w:szCs w:val="24"/>
                <w:highlight w:val="none"/>
              </w:rPr>
            </w:pPr>
          </w:p>
        </w:tc>
        <w:tc>
          <w:tcPr>
            <w:tcW w:w="850" w:type="dxa"/>
            <w:noWrap w:val="0"/>
            <w:vAlign w:val="top"/>
          </w:tcPr>
          <w:p w14:paraId="706ACF37">
            <w:pPr>
              <w:rPr>
                <w:rFonts w:hint="eastAsia" w:ascii="宋体" w:hAnsi="宋体" w:eastAsia="宋体" w:cs="宋体"/>
                <w:i w:val="0"/>
                <w:iCs w:val="0"/>
                <w:color w:val="auto"/>
                <w:sz w:val="24"/>
                <w:szCs w:val="24"/>
                <w:highlight w:val="none"/>
              </w:rPr>
            </w:pPr>
          </w:p>
        </w:tc>
        <w:tc>
          <w:tcPr>
            <w:tcW w:w="1058" w:type="dxa"/>
            <w:noWrap w:val="0"/>
            <w:vAlign w:val="top"/>
          </w:tcPr>
          <w:p w14:paraId="35FB3589">
            <w:pPr>
              <w:rPr>
                <w:rFonts w:hint="eastAsia" w:ascii="宋体" w:hAnsi="宋体" w:eastAsia="宋体" w:cs="宋体"/>
                <w:i w:val="0"/>
                <w:iCs w:val="0"/>
                <w:color w:val="auto"/>
                <w:sz w:val="24"/>
                <w:szCs w:val="24"/>
                <w:highlight w:val="none"/>
              </w:rPr>
            </w:pPr>
          </w:p>
        </w:tc>
        <w:tc>
          <w:tcPr>
            <w:tcW w:w="880" w:type="dxa"/>
            <w:noWrap w:val="0"/>
            <w:vAlign w:val="top"/>
          </w:tcPr>
          <w:p w14:paraId="7ADAD9BE">
            <w:pPr>
              <w:rPr>
                <w:rFonts w:hint="eastAsia" w:ascii="宋体" w:hAnsi="宋体" w:eastAsia="宋体" w:cs="宋体"/>
                <w:i w:val="0"/>
                <w:iCs w:val="0"/>
                <w:color w:val="auto"/>
                <w:sz w:val="24"/>
                <w:szCs w:val="24"/>
                <w:highlight w:val="none"/>
              </w:rPr>
            </w:pPr>
          </w:p>
        </w:tc>
        <w:tc>
          <w:tcPr>
            <w:tcW w:w="1020" w:type="dxa"/>
            <w:noWrap w:val="0"/>
            <w:vAlign w:val="top"/>
          </w:tcPr>
          <w:p w14:paraId="056E0173">
            <w:pPr>
              <w:rPr>
                <w:rFonts w:hint="eastAsia" w:ascii="宋体" w:hAnsi="宋体" w:eastAsia="宋体" w:cs="宋体"/>
                <w:i w:val="0"/>
                <w:iCs w:val="0"/>
                <w:color w:val="auto"/>
                <w:sz w:val="24"/>
                <w:szCs w:val="24"/>
                <w:highlight w:val="none"/>
              </w:rPr>
            </w:pPr>
          </w:p>
        </w:tc>
        <w:tc>
          <w:tcPr>
            <w:tcW w:w="1480" w:type="dxa"/>
            <w:noWrap w:val="0"/>
            <w:vAlign w:val="top"/>
          </w:tcPr>
          <w:p w14:paraId="598EEEA9">
            <w:pPr>
              <w:rPr>
                <w:rFonts w:hint="eastAsia" w:ascii="宋体" w:hAnsi="宋体" w:eastAsia="宋体" w:cs="宋体"/>
                <w:i w:val="0"/>
                <w:iCs w:val="0"/>
                <w:color w:val="auto"/>
                <w:sz w:val="24"/>
                <w:szCs w:val="24"/>
                <w:highlight w:val="none"/>
              </w:rPr>
            </w:pPr>
          </w:p>
        </w:tc>
        <w:tc>
          <w:tcPr>
            <w:tcW w:w="1020" w:type="dxa"/>
            <w:noWrap w:val="0"/>
            <w:vAlign w:val="top"/>
          </w:tcPr>
          <w:p w14:paraId="149EE784">
            <w:pPr>
              <w:rPr>
                <w:rFonts w:hint="eastAsia" w:ascii="宋体" w:hAnsi="宋体" w:eastAsia="宋体" w:cs="宋体"/>
                <w:i w:val="0"/>
                <w:iCs w:val="0"/>
                <w:color w:val="auto"/>
                <w:sz w:val="24"/>
                <w:szCs w:val="24"/>
                <w:highlight w:val="none"/>
              </w:rPr>
            </w:pPr>
          </w:p>
        </w:tc>
        <w:tc>
          <w:tcPr>
            <w:tcW w:w="921" w:type="dxa"/>
            <w:noWrap w:val="0"/>
            <w:vAlign w:val="top"/>
          </w:tcPr>
          <w:p w14:paraId="67C3AAD8">
            <w:pPr>
              <w:rPr>
                <w:rFonts w:hint="eastAsia" w:ascii="宋体" w:hAnsi="宋体" w:eastAsia="宋体" w:cs="宋体"/>
                <w:i w:val="0"/>
                <w:iCs w:val="0"/>
                <w:color w:val="auto"/>
                <w:sz w:val="24"/>
                <w:szCs w:val="24"/>
                <w:highlight w:val="none"/>
              </w:rPr>
            </w:pPr>
          </w:p>
        </w:tc>
      </w:tr>
      <w:tr w14:paraId="7B6C8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299334E3">
            <w:pPr>
              <w:rPr>
                <w:rFonts w:hint="eastAsia" w:ascii="宋体" w:hAnsi="宋体" w:eastAsia="宋体" w:cs="宋体"/>
                <w:i w:val="0"/>
                <w:iCs w:val="0"/>
                <w:color w:val="auto"/>
                <w:sz w:val="24"/>
                <w:szCs w:val="24"/>
                <w:highlight w:val="none"/>
              </w:rPr>
            </w:pPr>
          </w:p>
        </w:tc>
        <w:tc>
          <w:tcPr>
            <w:tcW w:w="1418" w:type="dxa"/>
            <w:noWrap w:val="0"/>
            <w:vAlign w:val="top"/>
          </w:tcPr>
          <w:p w14:paraId="66919C83">
            <w:pPr>
              <w:rPr>
                <w:rFonts w:hint="eastAsia" w:ascii="宋体" w:hAnsi="宋体" w:eastAsia="宋体" w:cs="宋体"/>
                <w:i w:val="0"/>
                <w:iCs w:val="0"/>
                <w:color w:val="auto"/>
                <w:sz w:val="24"/>
                <w:szCs w:val="24"/>
                <w:highlight w:val="none"/>
              </w:rPr>
            </w:pPr>
          </w:p>
        </w:tc>
        <w:tc>
          <w:tcPr>
            <w:tcW w:w="850" w:type="dxa"/>
            <w:noWrap w:val="0"/>
            <w:vAlign w:val="top"/>
          </w:tcPr>
          <w:p w14:paraId="751510E9">
            <w:pPr>
              <w:rPr>
                <w:rFonts w:hint="eastAsia" w:ascii="宋体" w:hAnsi="宋体" w:eastAsia="宋体" w:cs="宋体"/>
                <w:i w:val="0"/>
                <w:iCs w:val="0"/>
                <w:color w:val="auto"/>
                <w:sz w:val="24"/>
                <w:szCs w:val="24"/>
                <w:highlight w:val="none"/>
              </w:rPr>
            </w:pPr>
          </w:p>
        </w:tc>
        <w:tc>
          <w:tcPr>
            <w:tcW w:w="1058" w:type="dxa"/>
            <w:noWrap w:val="0"/>
            <w:vAlign w:val="top"/>
          </w:tcPr>
          <w:p w14:paraId="68054087">
            <w:pPr>
              <w:rPr>
                <w:rFonts w:hint="eastAsia" w:ascii="宋体" w:hAnsi="宋体" w:eastAsia="宋体" w:cs="宋体"/>
                <w:i w:val="0"/>
                <w:iCs w:val="0"/>
                <w:color w:val="auto"/>
                <w:sz w:val="24"/>
                <w:szCs w:val="24"/>
                <w:highlight w:val="none"/>
              </w:rPr>
            </w:pPr>
          </w:p>
        </w:tc>
        <w:tc>
          <w:tcPr>
            <w:tcW w:w="880" w:type="dxa"/>
            <w:noWrap w:val="0"/>
            <w:vAlign w:val="top"/>
          </w:tcPr>
          <w:p w14:paraId="440E8163">
            <w:pPr>
              <w:rPr>
                <w:rFonts w:hint="eastAsia" w:ascii="宋体" w:hAnsi="宋体" w:eastAsia="宋体" w:cs="宋体"/>
                <w:i w:val="0"/>
                <w:iCs w:val="0"/>
                <w:color w:val="auto"/>
                <w:sz w:val="24"/>
                <w:szCs w:val="24"/>
                <w:highlight w:val="none"/>
              </w:rPr>
            </w:pPr>
          </w:p>
        </w:tc>
        <w:tc>
          <w:tcPr>
            <w:tcW w:w="1020" w:type="dxa"/>
            <w:noWrap w:val="0"/>
            <w:vAlign w:val="top"/>
          </w:tcPr>
          <w:p w14:paraId="213EE7E5">
            <w:pPr>
              <w:rPr>
                <w:rFonts w:hint="eastAsia" w:ascii="宋体" w:hAnsi="宋体" w:eastAsia="宋体" w:cs="宋体"/>
                <w:i w:val="0"/>
                <w:iCs w:val="0"/>
                <w:color w:val="auto"/>
                <w:sz w:val="24"/>
                <w:szCs w:val="24"/>
                <w:highlight w:val="none"/>
              </w:rPr>
            </w:pPr>
          </w:p>
        </w:tc>
        <w:tc>
          <w:tcPr>
            <w:tcW w:w="1480" w:type="dxa"/>
            <w:noWrap w:val="0"/>
            <w:vAlign w:val="top"/>
          </w:tcPr>
          <w:p w14:paraId="5FA6D47E">
            <w:pPr>
              <w:rPr>
                <w:rFonts w:hint="eastAsia" w:ascii="宋体" w:hAnsi="宋体" w:eastAsia="宋体" w:cs="宋体"/>
                <w:i w:val="0"/>
                <w:iCs w:val="0"/>
                <w:color w:val="auto"/>
                <w:sz w:val="24"/>
                <w:szCs w:val="24"/>
                <w:highlight w:val="none"/>
              </w:rPr>
            </w:pPr>
          </w:p>
        </w:tc>
        <w:tc>
          <w:tcPr>
            <w:tcW w:w="1020" w:type="dxa"/>
            <w:noWrap w:val="0"/>
            <w:vAlign w:val="top"/>
          </w:tcPr>
          <w:p w14:paraId="45AA32A3">
            <w:pPr>
              <w:rPr>
                <w:rFonts w:hint="eastAsia" w:ascii="宋体" w:hAnsi="宋体" w:eastAsia="宋体" w:cs="宋体"/>
                <w:i w:val="0"/>
                <w:iCs w:val="0"/>
                <w:color w:val="auto"/>
                <w:sz w:val="24"/>
                <w:szCs w:val="24"/>
                <w:highlight w:val="none"/>
              </w:rPr>
            </w:pPr>
          </w:p>
        </w:tc>
        <w:tc>
          <w:tcPr>
            <w:tcW w:w="921" w:type="dxa"/>
            <w:noWrap w:val="0"/>
            <w:vAlign w:val="top"/>
          </w:tcPr>
          <w:p w14:paraId="7A192B5A">
            <w:pPr>
              <w:rPr>
                <w:rFonts w:hint="eastAsia" w:ascii="宋体" w:hAnsi="宋体" w:eastAsia="宋体" w:cs="宋体"/>
                <w:i w:val="0"/>
                <w:iCs w:val="0"/>
                <w:color w:val="auto"/>
                <w:sz w:val="24"/>
                <w:szCs w:val="24"/>
                <w:highlight w:val="none"/>
              </w:rPr>
            </w:pPr>
          </w:p>
        </w:tc>
      </w:tr>
      <w:tr w14:paraId="20E66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112C08FC">
            <w:pPr>
              <w:rPr>
                <w:rFonts w:hint="eastAsia" w:ascii="宋体" w:hAnsi="宋体" w:eastAsia="宋体" w:cs="宋体"/>
                <w:i w:val="0"/>
                <w:iCs w:val="0"/>
                <w:color w:val="auto"/>
                <w:sz w:val="24"/>
                <w:szCs w:val="24"/>
                <w:highlight w:val="none"/>
              </w:rPr>
            </w:pPr>
          </w:p>
        </w:tc>
        <w:tc>
          <w:tcPr>
            <w:tcW w:w="1418" w:type="dxa"/>
            <w:noWrap w:val="0"/>
            <w:vAlign w:val="top"/>
          </w:tcPr>
          <w:p w14:paraId="6CF1187A">
            <w:pPr>
              <w:rPr>
                <w:rFonts w:hint="eastAsia" w:ascii="宋体" w:hAnsi="宋体" w:eastAsia="宋体" w:cs="宋体"/>
                <w:i w:val="0"/>
                <w:iCs w:val="0"/>
                <w:color w:val="auto"/>
                <w:sz w:val="24"/>
                <w:szCs w:val="24"/>
                <w:highlight w:val="none"/>
              </w:rPr>
            </w:pPr>
          </w:p>
        </w:tc>
        <w:tc>
          <w:tcPr>
            <w:tcW w:w="850" w:type="dxa"/>
            <w:noWrap w:val="0"/>
            <w:vAlign w:val="top"/>
          </w:tcPr>
          <w:p w14:paraId="12CF80E2">
            <w:pPr>
              <w:rPr>
                <w:rFonts w:hint="eastAsia" w:ascii="宋体" w:hAnsi="宋体" w:eastAsia="宋体" w:cs="宋体"/>
                <w:i w:val="0"/>
                <w:iCs w:val="0"/>
                <w:color w:val="auto"/>
                <w:sz w:val="24"/>
                <w:szCs w:val="24"/>
                <w:highlight w:val="none"/>
              </w:rPr>
            </w:pPr>
          </w:p>
        </w:tc>
        <w:tc>
          <w:tcPr>
            <w:tcW w:w="1058" w:type="dxa"/>
            <w:noWrap w:val="0"/>
            <w:vAlign w:val="top"/>
          </w:tcPr>
          <w:p w14:paraId="13364AED">
            <w:pPr>
              <w:rPr>
                <w:rFonts w:hint="eastAsia" w:ascii="宋体" w:hAnsi="宋体" w:eastAsia="宋体" w:cs="宋体"/>
                <w:i w:val="0"/>
                <w:iCs w:val="0"/>
                <w:color w:val="auto"/>
                <w:sz w:val="24"/>
                <w:szCs w:val="24"/>
                <w:highlight w:val="none"/>
              </w:rPr>
            </w:pPr>
          </w:p>
        </w:tc>
        <w:tc>
          <w:tcPr>
            <w:tcW w:w="880" w:type="dxa"/>
            <w:noWrap w:val="0"/>
            <w:vAlign w:val="top"/>
          </w:tcPr>
          <w:p w14:paraId="664BD19C">
            <w:pPr>
              <w:rPr>
                <w:rFonts w:hint="eastAsia" w:ascii="宋体" w:hAnsi="宋体" w:eastAsia="宋体" w:cs="宋体"/>
                <w:i w:val="0"/>
                <w:iCs w:val="0"/>
                <w:color w:val="auto"/>
                <w:sz w:val="24"/>
                <w:szCs w:val="24"/>
                <w:highlight w:val="none"/>
              </w:rPr>
            </w:pPr>
          </w:p>
        </w:tc>
        <w:tc>
          <w:tcPr>
            <w:tcW w:w="1020" w:type="dxa"/>
            <w:noWrap w:val="0"/>
            <w:vAlign w:val="top"/>
          </w:tcPr>
          <w:p w14:paraId="6EEBF379">
            <w:pPr>
              <w:rPr>
                <w:rFonts w:hint="eastAsia" w:ascii="宋体" w:hAnsi="宋体" w:eastAsia="宋体" w:cs="宋体"/>
                <w:i w:val="0"/>
                <w:iCs w:val="0"/>
                <w:color w:val="auto"/>
                <w:sz w:val="24"/>
                <w:szCs w:val="24"/>
                <w:highlight w:val="none"/>
              </w:rPr>
            </w:pPr>
          </w:p>
        </w:tc>
        <w:tc>
          <w:tcPr>
            <w:tcW w:w="1480" w:type="dxa"/>
            <w:noWrap w:val="0"/>
            <w:vAlign w:val="top"/>
          </w:tcPr>
          <w:p w14:paraId="7AED002F">
            <w:pPr>
              <w:rPr>
                <w:rFonts w:hint="eastAsia" w:ascii="宋体" w:hAnsi="宋体" w:eastAsia="宋体" w:cs="宋体"/>
                <w:i w:val="0"/>
                <w:iCs w:val="0"/>
                <w:color w:val="auto"/>
                <w:sz w:val="24"/>
                <w:szCs w:val="24"/>
                <w:highlight w:val="none"/>
              </w:rPr>
            </w:pPr>
          </w:p>
        </w:tc>
        <w:tc>
          <w:tcPr>
            <w:tcW w:w="1020" w:type="dxa"/>
            <w:noWrap w:val="0"/>
            <w:vAlign w:val="top"/>
          </w:tcPr>
          <w:p w14:paraId="63300599">
            <w:pPr>
              <w:rPr>
                <w:rFonts w:hint="eastAsia" w:ascii="宋体" w:hAnsi="宋体" w:eastAsia="宋体" w:cs="宋体"/>
                <w:i w:val="0"/>
                <w:iCs w:val="0"/>
                <w:color w:val="auto"/>
                <w:sz w:val="24"/>
                <w:szCs w:val="24"/>
                <w:highlight w:val="none"/>
              </w:rPr>
            </w:pPr>
          </w:p>
        </w:tc>
        <w:tc>
          <w:tcPr>
            <w:tcW w:w="921" w:type="dxa"/>
            <w:noWrap w:val="0"/>
            <w:vAlign w:val="top"/>
          </w:tcPr>
          <w:p w14:paraId="0BA08474">
            <w:pPr>
              <w:rPr>
                <w:rFonts w:hint="eastAsia" w:ascii="宋体" w:hAnsi="宋体" w:eastAsia="宋体" w:cs="宋体"/>
                <w:i w:val="0"/>
                <w:iCs w:val="0"/>
                <w:color w:val="auto"/>
                <w:sz w:val="24"/>
                <w:szCs w:val="24"/>
                <w:highlight w:val="none"/>
              </w:rPr>
            </w:pPr>
          </w:p>
        </w:tc>
      </w:tr>
      <w:tr w14:paraId="6EB9A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06F66F4">
            <w:pPr>
              <w:rPr>
                <w:rFonts w:hint="eastAsia" w:ascii="宋体" w:hAnsi="宋体" w:eastAsia="宋体" w:cs="宋体"/>
                <w:i w:val="0"/>
                <w:iCs w:val="0"/>
                <w:color w:val="auto"/>
                <w:sz w:val="24"/>
                <w:szCs w:val="24"/>
                <w:highlight w:val="none"/>
              </w:rPr>
            </w:pPr>
          </w:p>
        </w:tc>
        <w:tc>
          <w:tcPr>
            <w:tcW w:w="1418" w:type="dxa"/>
            <w:noWrap w:val="0"/>
            <w:vAlign w:val="top"/>
          </w:tcPr>
          <w:p w14:paraId="0BDC6533">
            <w:pPr>
              <w:rPr>
                <w:rFonts w:hint="eastAsia" w:ascii="宋体" w:hAnsi="宋体" w:eastAsia="宋体" w:cs="宋体"/>
                <w:i w:val="0"/>
                <w:iCs w:val="0"/>
                <w:color w:val="auto"/>
                <w:sz w:val="24"/>
                <w:szCs w:val="24"/>
                <w:highlight w:val="none"/>
              </w:rPr>
            </w:pPr>
          </w:p>
        </w:tc>
        <w:tc>
          <w:tcPr>
            <w:tcW w:w="850" w:type="dxa"/>
            <w:noWrap w:val="0"/>
            <w:vAlign w:val="top"/>
          </w:tcPr>
          <w:p w14:paraId="1A120462">
            <w:pPr>
              <w:rPr>
                <w:rFonts w:hint="eastAsia" w:ascii="宋体" w:hAnsi="宋体" w:eastAsia="宋体" w:cs="宋体"/>
                <w:i w:val="0"/>
                <w:iCs w:val="0"/>
                <w:color w:val="auto"/>
                <w:sz w:val="24"/>
                <w:szCs w:val="24"/>
                <w:highlight w:val="none"/>
              </w:rPr>
            </w:pPr>
          </w:p>
        </w:tc>
        <w:tc>
          <w:tcPr>
            <w:tcW w:w="1058" w:type="dxa"/>
            <w:noWrap w:val="0"/>
            <w:vAlign w:val="top"/>
          </w:tcPr>
          <w:p w14:paraId="51E4798E">
            <w:pPr>
              <w:rPr>
                <w:rFonts w:hint="eastAsia" w:ascii="宋体" w:hAnsi="宋体" w:eastAsia="宋体" w:cs="宋体"/>
                <w:i w:val="0"/>
                <w:iCs w:val="0"/>
                <w:color w:val="auto"/>
                <w:sz w:val="24"/>
                <w:szCs w:val="24"/>
                <w:highlight w:val="none"/>
              </w:rPr>
            </w:pPr>
          </w:p>
        </w:tc>
        <w:tc>
          <w:tcPr>
            <w:tcW w:w="880" w:type="dxa"/>
            <w:noWrap w:val="0"/>
            <w:vAlign w:val="top"/>
          </w:tcPr>
          <w:p w14:paraId="635FC9CD">
            <w:pPr>
              <w:rPr>
                <w:rFonts w:hint="eastAsia" w:ascii="宋体" w:hAnsi="宋体" w:eastAsia="宋体" w:cs="宋体"/>
                <w:i w:val="0"/>
                <w:iCs w:val="0"/>
                <w:color w:val="auto"/>
                <w:sz w:val="24"/>
                <w:szCs w:val="24"/>
                <w:highlight w:val="none"/>
              </w:rPr>
            </w:pPr>
          </w:p>
        </w:tc>
        <w:tc>
          <w:tcPr>
            <w:tcW w:w="1020" w:type="dxa"/>
            <w:noWrap w:val="0"/>
            <w:vAlign w:val="top"/>
          </w:tcPr>
          <w:p w14:paraId="5C9C94A1">
            <w:pPr>
              <w:rPr>
                <w:rFonts w:hint="eastAsia" w:ascii="宋体" w:hAnsi="宋体" w:eastAsia="宋体" w:cs="宋体"/>
                <w:i w:val="0"/>
                <w:iCs w:val="0"/>
                <w:color w:val="auto"/>
                <w:sz w:val="24"/>
                <w:szCs w:val="24"/>
                <w:highlight w:val="none"/>
              </w:rPr>
            </w:pPr>
          </w:p>
        </w:tc>
        <w:tc>
          <w:tcPr>
            <w:tcW w:w="1480" w:type="dxa"/>
            <w:noWrap w:val="0"/>
            <w:vAlign w:val="top"/>
          </w:tcPr>
          <w:p w14:paraId="034FDD7B">
            <w:pPr>
              <w:rPr>
                <w:rFonts w:hint="eastAsia" w:ascii="宋体" w:hAnsi="宋体" w:eastAsia="宋体" w:cs="宋体"/>
                <w:i w:val="0"/>
                <w:iCs w:val="0"/>
                <w:color w:val="auto"/>
                <w:sz w:val="24"/>
                <w:szCs w:val="24"/>
                <w:highlight w:val="none"/>
              </w:rPr>
            </w:pPr>
          </w:p>
        </w:tc>
        <w:tc>
          <w:tcPr>
            <w:tcW w:w="1020" w:type="dxa"/>
            <w:noWrap w:val="0"/>
            <w:vAlign w:val="top"/>
          </w:tcPr>
          <w:p w14:paraId="5FA2D7A4">
            <w:pPr>
              <w:rPr>
                <w:rFonts w:hint="eastAsia" w:ascii="宋体" w:hAnsi="宋体" w:eastAsia="宋体" w:cs="宋体"/>
                <w:i w:val="0"/>
                <w:iCs w:val="0"/>
                <w:color w:val="auto"/>
                <w:sz w:val="24"/>
                <w:szCs w:val="24"/>
                <w:highlight w:val="none"/>
              </w:rPr>
            </w:pPr>
          </w:p>
        </w:tc>
        <w:tc>
          <w:tcPr>
            <w:tcW w:w="921" w:type="dxa"/>
            <w:noWrap w:val="0"/>
            <w:vAlign w:val="top"/>
          </w:tcPr>
          <w:p w14:paraId="7FC22042">
            <w:pPr>
              <w:rPr>
                <w:rFonts w:hint="eastAsia" w:ascii="宋体" w:hAnsi="宋体" w:eastAsia="宋体" w:cs="宋体"/>
                <w:i w:val="0"/>
                <w:iCs w:val="0"/>
                <w:color w:val="auto"/>
                <w:sz w:val="24"/>
                <w:szCs w:val="24"/>
                <w:highlight w:val="none"/>
              </w:rPr>
            </w:pPr>
          </w:p>
        </w:tc>
      </w:tr>
      <w:tr w14:paraId="77158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492DE697">
            <w:pPr>
              <w:rPr>
                <w:rFonts w:hint="eastAsia" w:ascii="宋体" w:hAnsi="宋体" w:eastAsia="宋体" w:cs="宋体"/>
                <w:i w:val="0"/>
                <w:iCs w:val="0"/>
                <w:color w:val="auto"/>
                <w:sz w:val="24"/>
                <w:szCs w:val="24"/>
                <w:highlight w:val="none"/>
              </w:rPr>
            </w:pPr>
          </w:p>
        </w:tc>
        <w:tc>
          <w:tcPr>
            <w:tcW w:w="1418" w:type="dxa"/>
            <w:noWrap w:val="0"/>
            <w:vAlign w:val="top"/>
          </w:tcPr>
          <w:p w14:paraId="5BFF11E2">
            <w:pPr>
              <w:rPr>
                <w:rFonts w:hint="eastAsia" w:ascii="宋体" w:hAnsi="宋体" w:eastAsia="宋体" w:cs="宋体"/>
                <w:i w:val="0"/>
                <w:iCs w:val="0"/>
                <w:color w:val="auto"/>
                <w:sz w:val="24"/>
                <w:szCs w:val="24"/>
                <w:highlight w:val="none"/>
              </w:rPr>
            </w:pPr>
          </w:p>
        </w:tc>
        <w:tc>
          <w:tcPr>
            <w:tcW w:w="850" w:type="dxa"/>
            <w:noWrap w:val="0"/>
            <w:vAlign w:val="top"/>
          </w:tcPr>
          <w:p w14:paraId="6E65B506">
            <w:pPr>
              <w:rPr>
                <w:rFonts w:hint="eastAsia" w:ascii="宋体" w:hAnsi="宋体" w:eastAsia="宋体" w:cs="宋体"/>
                <w:i w:val="0"/>
                <w:iCs w:val="0"/>
                <w:color w:val="auto"/>
                <w:sz w:val="24"/>
                <w:szCs w:val="24"/>
                <w:highlight w:val="none"/>
              </w:rPr>
            </w:pPr>
          </w:p>
        </w:tc>
        <w:tc>
          <w:tcPr>
            <w:tcW w:w="1058" w:type="dxa"/>
            <w:noWrap w:val="0"/>
            <w:vAlign w:val="top"/>
          </w:tcPr>
          <w:p w14:paraId="69155E4C">
            <w:pPr>
              <w:rPr>
                <w:rFonts w:hint="eastAsia" w:ascii="宋体" w:hAnsi="宋体" w:eastAsia="宋体" w:cs="宋体"/>
                <w:i w:val="0"/>
                <w:iCs w:val="0"/>
                <w:color w:val="auto"/>
                <w:sz w:val="24"/>
                <w:szCs w:val="24"/>
                <w:highlight w:val="none"/>
              </w:rPr>
            </w:pPr>
          </w:p>
        </w:tc>
        <w:tc>
          <w:tcPr>
            <w:tcW w:w="880" w:type="dxa"/>
            <w:noWrap w:val="0"/>
            <w:vAlign w:val="top"/>
          </w:tcPr>
          <w:p w14:paraId="0329DFDC">
            <w:pPr>
              <w:rPr>
                <w:rFonts w:hint="eastAsia" w:ascii="宋体" w:hAnsi="宋体" w:eastAsia="宋体" w:cs="宋体"/>
                <w:i w:val="0"/>
                <w:iCs w:val="0"/>
                <w:color w:val="auto"/>
                <w:sz w:val="24"/>
                <w:szCs w:val="24"/>
                <w:highlight w:val="none"/>
              </w:rPr>
            </w:pPr>
          </w:p>
        </w:tc>
        <w:tc>
          <w:tcPr>
            <w:tcW w:w="1020" w:type="dxa"/>
            <w:noWrap w:val="0"/>
            <w:vAlign w:val="top"/>
          </w:tcPr>
          <w:p w14:paraId="371C170E">
            <w:pPr>
              <w:rPr>
                <w:rFonts w:hint="eastAsia" w:ascii="宋体" w:hAnsi="宋体" w:eastAsia="宋体" w:cs="宋体"/>
                <w:i w:val="0"/>
                <w:iCs w:val="0"/>
                <w:color w:val="auto"/>
                <w:sz w:val="24"/>
                <w:szCs w:val="24"/>
                <w:highlight w:val="none"/>
              </w:rPr>
            </w:pPr>
          </w:p>
        </w:tc>
        <w:tc>
          <w:tcPr>
            <w:tcW w:w="1480" w:type="dxa"/>
            <w:noWrap w:val="0"/>
            <w:vAlign w:val="top"/>
          </w:tcPr>
          <w:p w14:paraId="1D34717E">
            <w:pPr>
              <w:rPr>
                <w:rFonts w:hint="eastAsia" w:ascii="宋体" w:hAnsi="宋体" w:eastAsia="宋体" w:cs="宋体"/>
                <w:i w:val="0"/>
                <w:iCs w:val="0"/>
                <w:color w:val="auto"/>
                <w:sz w:val="24"/>
                <w:szCs w:val="24"/>
                <w:highlight w:val="none"/>
              </w:rPr>
            </w:pPr>
          </w:p>
        </w:tc>
        <w:tc>
          <w:tcPr>
            <w:tcW w:w="1020" w:type="dxa"/>
            <w:noWrap w:val="0"/>
            <w:vAlign w:val="top"/>
          </w:tcPr>
          <w:p w14:paraId="41875498">
            <w:pPr>
              <w:rPr>
                <w:rFonts w:hint="eastAsia" w:ascii="宋体" w:hAnsi="宋体" w:eastAsia="宋体" w:cs="宋体"/>
                <w:i w:val="0"/>
                <w:iCs w:val="0"/>
                <w:color w:val="auto"/>
                <w:sz w:val="24"/>
                <w:szCs w:val="24"/>
                <w:highlight w:val="none"/>
              </w:rPr>
            </w:pPr>
          </w:p>
        </w:tc>
        <w:tc>
          <w:tcPr>
            <w:tcW w:w="921" w:type="dxa"/>
            <w:noWrap w:val="0"/>
            <w:vAlign w:val="top"/>
          </w:tcPr>
          <w:p w14:paraId="7B01BAAE">
            <w:pPr>
              <w:rPr>
                <w:rFonts w:hint="eastAsia" w:ascii="宋体" w:hAnsi="宋体" w:eastAsia="宋体" w:cs="宋体"/>
                <w:i w:val="0"/>
                <w:iCs w:val="0"/>
                <w:color w:val="auto"/>
                <w:sz w:val="24"/>
                <w:szCs w:val="24"/>
                <w:highlight w:val="none"/>
              </w:rPr>
            </w:pPr>
          </w:p>
        </w:tc>
      </w:tr>
      <w:tr w14:paraId="45BBF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2F103F9F">
            <w:pPr>
              <w:rPr>
                <w:rFonts w:hint="eastAsia" w:ascii="宋体" w:hAnsi="宋体" w:eastAsia="宋体" w:cs="宋体"/>
                <w:i w:val="0"/>
                <w:iCs w:val="0"/>
                <w:color w:val="auto"/>
                <w:sz w:val="24"/>
                <w:szCs w:val="24"/>
                <w:highlight w:val="none"/>
              </w:rPr>
            </w:pPr>
          </w:p>
        </w:tc>
        <w:tc>
          <w:tcPr>
            <w:tcW w:w="1418" w:type="dxa"/>
            <w:noWrap w:val="0"/>
            <w:vAlign w:val="top"/>
          </w:tcPr>
          <w:p w14:paraId="0BD11F7A">
            <w:pPr>
              <w:rPr>
                <w:rFonts w:hint="eastAsia" w:ascii="宋体" w:hAnsi="宋体" w:eastAsia="宋体" w:cs="宋体"/>
                <w:i w:val="0"/>
                <w:iCs w:val="0"/>
                <w:color w:val="auto"/>
                <w:sz w:val="24"/>
                <w:szCs w:val="24"/>
                <w:highlight w:val="none"/>
              </w:rPr>
            </w:pPr>
          </w:p>
        </w:tc>
        <w:tc>
          <w:tcPr>
            <w:tcW w:w="850" w:type="dxa"/>
            <w:noWrap w:val="0"/>
            <w:vAlign w:val="top"/>
          </w:tcPr>
          <w:p w14:paraId="47EF0138">
            <w:pPr>
              <w:rPr>
                <w:rFonts w:hint="eastAsia" w:ascii="宋体" w:hAnsi="宋体" w:eastAsia="宋体" w:cs="宋体"/>
                <w:i w:val="0"/>
                <w:iCs w:val="0"/>
                <w:color w:val="auto"/>
                <w:sz w:val="24"/>
                <w:szCs w:val="24"/>
                <w:highlight w:val="none"/>
              </w:rPr>
            </w:pPr>
          </w:p>
        </w:tc>
        <w:tc>
          <w:tcPr>
            <w:tcW w:w="1058" w:type="dxa"/>
            <w:noWrap w:val="0"/>
            <w:vAlign w:val="top"/>
          </w:tcPr>
          <w:p w14:paraId="792A577F">
            <w:pPr>
              <w:rPr>
                <w:rFonts w:hint="eastAsia" w:ascii="宋体" w:hAnsi="宋体" w:eastAsia="宋体" w:cs="宋体"/>
                <w:i w:val="0"/>
                <w:iCs w:val="0"/>
                <w:color w:val="auto"/>
                <w:sz w:val="24"/>
                <w:szCs w:val="24"/>
                <w:highlight w:val="none"/>
              </w:rPr>
            </w:pPr>
          </w:p>
        </w:tc>
        <w:tc>
          <w:tcPr>
            <w:tcW w:w="880" w:type="dxa"/>
            <w:noWrap w:val="0"/>
            <w:vAlign w:val="top"/>
          </w:tcPr>
          <w:p w14:paraId="221D220B">
            <w:pPr>
              <w:rPr>
                <w:rFonts w:hint="eastAsia" w:ascii="宋体" w:hAnsi="宋体" w:eastAsia="宋体" w:cs="宋体"/>
                <w:i w:val="0"/>
                <w:iCs w:val="0"/>
                <w:color w:val="auto"/>
                <w:sz w:val="24"/>
                <w:szCs w:val="24"/>
                <w:highlight w:val="none"/>
              </w:rPr>
            </w:pPr>
          </w:p>
        </w:tc>
        <w:tc>
          <w:tcPr>
            <w:tcW w:w="1020" w:type="dxa"/>
            <w:noWrap w:val="0"/>
            <w:vAlign w:val="top"/>
          </w:tcPr>
          <w:p w14:paraId="202B8885">
            <w:pPr>
              <w:rPr>
                <w:rFonts w:hint="eastAsia" w:ascii="宋体" w:hAnsi="宋体" w:eastAsia="宋体" w:cs="宋体"/>
                <w:i w:val="0"/>
                <w:iCs w:val="0"/>
                <w:color w:val="auto"/>
                <w:sz w:val="24"/>
                <w:szCs w:val="24"/>
                <w:highlight w:val="none"/>
              </w:rPr>
            </w:pPr>
          </w:p>
        </w:tc>
        <w:tc>
          <w:tcPr>
            <w:tcW w:w="1480" w:type="dxa"/>
            <w:noWrap w:val="0"/>
            <w:vAlign w:val="top"/>
          </w:tcPr>
          <w:p w14:paraId="6894B177">
            <w:pPr>
              <w:rPr>
                <w:rFonts w:hint="eastAsia" w:ascii="宋体" w:hAnsi="宋体" w:eastAsia="宋体" w:cs="宋体"/>
                <w:i w:val="0"/>
                <w:iCs w:val="0"/>
                <w:color w:val="auto"/>
                <w:sz w:val="24"/>
                <w:szCs w:val="24"/>
                <w:highlight w:val="none"/>
              </w:rPr>
            </w:pPr>
          </w:p>
        </w:tc>
        <w:tc>
          <w:tcPr>
            <w:tcW w:w="1020" w:type="dxa"/>
            <w:noWrap w:val="0"/>
            <w:vAlign w:val="top"/>
          </w:tcPr>
          <w:p w14:paraId="6E4D1B81">
            <w:pPr>
              <w:rPr>
                <w:rFonts w:hint="eastAsia" w:ascii="宋体" w:hAnsi="宋体" w:eastAsia="宋体" w:cs="宋体"/>
                <w:i w:val="0"/>
                <w:iCs w:val="0"/>
                <w:color w:val="auto"/>
                <w:sz w:val="24"/>
                <w:szCs w:val="24"/>
                <w:highlight w:val="none"/>
              </w:rPr>
            </w:pPr>
          </w:p>
        </w:tc>
        <w:tc>
          <w:tcPr>
            <w:tcW w:w="921" w:type="dxa"/>
            <w:noWrap w:val="0"/>
            <w:vAlign w:val="top"/>
          </w:tcPr>
          <w:p w14:paraId="37D66D6E">
            <w:pPr>
              <w:rPr>
                <w:rFonts w:hint="eastAsia" w:ascii="宋体" w:hAnsi="宋体" w:eastAsia="宋体" w:cs="宋体"/>
                <w:i w:val="0"/>
                <w:iCs w:val="0"/>
                <w:color w:val="auto"/>
                <w:sz w:val="24"/>
                <w:szCs w:val="24"/>
                <w:highlight w:val="none"/>
              </w:rPr>
            </w:pPr>
          </w:p>
        </w:tc>
      </w:tr>
      <w:tr w14:paraId="24DE1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50D84344">
            <w:pPr>
              <w:rPr>
                <w:rFonts w:hint="eastAsia" w:ascii="宋体" w:hAnsi="宋体" w:eastAsia="宋体" w:cs="宋体"/>
                <w:i w:val="0"/>
                <w:iCs w:val="0"/>
                <w:color w:val="auto"/>
                <w:sz w:val="24"/>
                <w:szCs w:val="24"/>
                <w:highlight w:val="none"/>
              </w:rPr>
            </w:pPr>
          </w:p>
        </w:tc>
        <w:tc>
          <w:tcPr>
            <w:tcW w:w="1418" w:type="dxa"/>
            <w:noWrap w:val="0"/>
            <w:vAlign w:val="top"/>
          </w:tcPr>
          <w:p w14:paraId="168FAC79">
            <w:pPr>
              <w:rPr>
                <w:rFonts w:hint="eastAsia" w:ascii="宋体" w:hAnsi="宋体" w:eastAsia="宋体" w:cs="宋体"/>
                <w:i w:val="0"/>
                <w:iCs w:val="0"/>
                <w:color w:val="auto"/>
                <w:sz w:val="24"/>
                <w:szCs w:val="24"/>
                <w:highlight w:val="none"/>
              </w:rPr>
            </w:pPr>
          </w:p>
        </w:tc>
        <w:tc>
          <w:tcPr>
            <w:tcW w:w="850" w:type="dxa"/>
            <w:noWrap w:val="0"/>
            <w:vAlign w:val="top"/>
          </w:tcPr>
          <w:p w14:paraId="52882A50">
            <w:pPr>
              <w:rPr>
                <w:rFonts w:hint="eastAsia" w:ascii="宋体" w:hAnsi="宋体" w:eastAsia="宋体" w:cs="宋体"/>
                <w:i w:val="0"/>
                <w:iCs w:val="0"/>
                <w:color w:val="auto"/>
                <w:sz w:val="24"/>
                <w:szCs w:val="24"/>
                <w:highlight w:val="none"/>
              </w:rPr>
            </w:pPr>
          </w:p>
        </w:tc>
        <w:tc>
          <w:tcPr>
            <w:tcW w:w="1058" w:type="dxa"/>
            <w:noWrap w:val="0"/>
            <w:vAlign w:val="top"/>
          </w:tcPr>
          <w:p w14:paraId="76AD799F">
            <w:pPr>
              <w:rPr>
                <w:rFonts w:hint="eastAsia" w:ascii="宋体" w:hAnsi="宋体" w:eastAsia="宋体" w:cs="宋体"/>
                <w:i w:val="0"/>
                <w:iCs w:val="0"/>
                <w:color w:val="auto"/>
                <w:sz w:val="24"/>
                <w:szCs w:val="24"/>
                <w:highlight w:val="none"/>
              </w:rPr>
            </w:pPr>
          </w:p>
        </w:tc>
        <w:tc>
          <w:tcPr>
            <w:tcW w:w="880" w:type="dxa"/>
            <w:noWrap w:val="0"/>
            <w:vAlign w:val="top"/>
          </w:tcPr>
          <w:p w14:paraId="716CCC39">
            <w:pPr>
              <w:rPr>
                <w:rFonts w:hint="eastAsia" w:ascii="宋体" w:hAnsi="宋体" w:eastAsia="宋体" w:cs="宋体"/>
                <w:i w:val="0"/>
                <w:iCs w:val="0"/>
                <w:color w:val="auto"/>
                <w:sz w:val="24"/>
                <w:szCs w:val="24"/>
                <w:highlight w:val="none"/>
              </w:rPr>
            </w:pPr>
          </w:p>
        </w:tc>
        <w:tc>
          <w:tcPr>
            <w:tcW w:w="1020" w:type="dxa"/>
            <w:noWrap w:val="0"/>
            <w:vAlign w:val="top"/>
          </w:tcPr>
          <w:p w14:paraId="71CECFE4">
            <w:pPr>
              <w:rPr>
                <w:rFonts w:hint="eastAsia" w:ascii="宋体" w:hAnsi="宋体" w:eastAsia="宋体" w:cs="宋体"/>
                <w:i w:val="0"/>
                <w:iCs w:val="0"/>
                <w:color w:val="auto"/>
                <w:sz w:val="24"/>
                <w:szCs w:val="24"/>
                <w:highlight w:val="none"/>
              </w:rPr>
            </w:pPr>
          </w:p>
        </w:tc>
        <w:tc>
          <w:tcPr>
            <w:tcW w:w="1480" w:type="dxa"/>
            <w:noWrap w:val="0"/>
            <w:vAlign w:val="top"/>
          </w:tcPr>
          <w:p w14:paraId="0989CB4B">
            <w:pPr>
              <w:rPr>
                <w:rFonts w:hint="eastAsia" w:ascii="宋体" w:hAnsi="宋体" w:eastAsia="宋体" w:cs="宋体"/>
                <w:i w:val="0"/>
                <w:iCs w:val="0"/>
                <w:color w:val="auto"/>
                <w:sz w:val="24"/>
                <w:szCs w:val="24"/>
                <w:highlight w:val="none"/>
              </w:rPr>
            </w:pPr>
          </w:p>
        </w:tc>
        <w:tc>
          <w:tcPr>
            <w:tcW w:w="1020" w:type="dxa"/>
            <w:noWrap w:val="0"/>
            <w:vAlign w:val="top"/>
          </w:tcPr>
          <w:p w14:paraId="675BCEB5">
            <w:pPr>
              <w:rPr>
                <w:rFonts w:hint="eastAsia" w:ascii="宋体" w:hAnsi="宋体" w:eastAsia="宋体" w:cs="宋体"/>
                <w:i w:val="0"/>
                <w:iCs w:val="0"/>
                <w:color w:val="auto"/>
                <w:sz w:val="24"/>
                <w:szCs w:val="24"/>
                <w:highlight w:val="none"/>
              </w:rPr>
            </w:pPr>
          </w:p>
        </w:tc>
        <w:tc>
          <w:tcPr>
            <w:tcW w:w="921" w:type="dxa"/>
            <w:noWrap w:val="0"/>
            <w:vAlign w:val="top"/>
          </w:tcPr>
          <w:p w14:paraId="16F979CC">
            <w:pPr>
              <w:rPr>
                <w:rFonts w:hint="eastAsia" w:ascii="宋体" w:hAnsi="宋体" w:eastAsia="宋体" w:cs="宋体"/>
                <w:i w:val="0"/>
                <w:iCs w:val="0"/>
                <w:color w:val="auto"/>
                <w:sz w:val="24"/>
                <w:szCs w:val="24"/>
                <w:highlight w:val="none"/>
              </w:rPr>
            </w:pPr>
          </w:p>
        </w:tc>
      </w:tr>
      <w:tr w14:paraId="6B68F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4FC6058">
            <w:pPr>
              <w:rPr>
                <w:rFonts w:hint="eastAsia" w:ascii="宋体" w:hAnsi="宋体" w:eastAsia="宋体" w:cs="宋体"/>
                <w:i w:val="0"/>
                <w:iCs w:val="0"/>
                <w:color w:val="auto"/>
                <w:sz w:val="24"/>
                <w:szCs w:val="24"/>
                <w:highlight w:val="none"/>
              </w:rPr>
            </w:pPr>
          </w:p>
        </w:tc>
        <w:tc>
          <w:tcPr>
            <w:tcW w:w="1418" w:type="dxa"/>
            <w:noWrap w:val="0"/>
            <w:vAlign w:val="top"/>
          </w:tcPr>
          <w:p w14:paraId="4D07B10D">
            <w:pPr>
              <w:rPr>
                <w:rFonts w:hint="eastAsia" w:ascii="宋体" w:hAnsi="宋体" w:eastAsia="宋体" w:cs="宋体"/>
                <w:i w:val="0"/>
                <w:iCs w:val="0"/>
                <w:color w:val="auto"/>
                <w:sz w:val="24"/>
                <w:szCs w:val="24"/>
                <w:highlight w:val="none"/>
              </w:rPr>
            </w:pPr>
          </w:p>
        </w:tc>
        <w:tc>
          <w:tcPr>
            <w:tcW w:w="850" w:type="dxa"/>
            <w:noWrap w:val="0"/>
            <w:vAlign w:val="top"/>
          </w:tcPr>
          <w:p w14:paraId="78876686">
            <w:pPr>
              <w:rPr>
                <w:rFonts w:hint="eastAsia" w:ascii="宋体" w:hAnsi="宋体" w:eastAsia="宋体" w:cs="宋体"/>
                <w:i w:val="0"/>
                <w:iCs w:val="0"/>
                <w:color w:val="auto"/>
                <w:sz w:val="24"/>
                <w:szCs w:val="24"/>
                <w:highlight w:val="none"/>
              </w:rPr>
            </w:pPr>
          </w:p>
        </w:tc>
        <w:tc>
          <w:tcPr>
            <w:tcW w:w="1058" w:type="dxa"/>
            <w:noWrap w:val="0"/>
            <w:vAlign w:val="top"/>
          </w:tcPr>
          <w:p w14:paraId="6E940116">
            <w:pPr>
              <w:rPr>
                <w:rFonts w:hint="eastAsia" w:ascii="宋体" w:hAnsi="宋体" w:eastAsia="宋体" w:cs="宋体"/>
                <w:i w:val="0"/>
                <w:iCs w:val="0"/>
                <w:color w:val="auto"/>
                <w:sz w:val="24"/>
                <w:szCs w:val="24"/>
                <w:highlight w:val="none"/>
              </w:rPr>
            </w:pPr>
          </w:p>
        </w:tc>
        <w:tc>
          <w:tcPr>
            <w:tcW w:w="880" w:type="dxa"/>
            <w:noWrap w:val="0"/>
            <w:vAlign w:val="top"/>
          </w:tcPr>
          <w:p w14:paraId="660A3C16">
            <w:pPr>
              <w:rPr>
                <w:rFonts w:hint="eastAsia" w:ascii="宋体" w:hAnsi="宋体" w:eastAsia="宋体" w:cs="宋体"/>
                <w:i w:val="0"/>
                <w:iCs w:val="0"/>
                <w:color w:val="auto"/>
                <w:sz w:val="24"/>
                <w:szCs w:val="24"/>
                <w:highlight w:val="none"/>
              </w:rPr>
            </w:pPr>
          </w:p>
        </w:tc>
        <w:tc>
          <w:tcPr>
            <w:tcW w:w="1020" w:type="dxa"/>
            <w:noWrap w:val="0"/>
            <w:vAlign w:val="top"/>
          </w:tcPr>
          <w:p w14:paraId="0E97F38E">
            <w:pPr>
              <w:rPr>
                <w:rFonts w:hint="eastAsia" w:ascii="宋体" w:hAnsi="宋体" w:eastAsia="宋体" w:cs="宋体"/>
                <w:i w:val="0"/>
                <w:iCs w:val="0"/>
                <w:color w:val="auto"/>
                <w:sz w:val="24"/>
                <w:szCs w:val="24"/>
                <w:highlight w:val="none"/>
              </w:rPr>
            </w:pPr>
          </w:p>
        </w:tc>
        <w:tc>
          <w:tcPr>
            <w:tcW w:w="1480" w:type="dxa"/>
            <w:noWrap w:val="0"/>
            <w:vAlign w:val="top"/>
          </w:tcPr>
          <w:p w14:paraId="7A5928A4">
            <w:pPr>
              <w:rPr>
                <w:rFonts w:hint="eastAsia" w:ascii="宋体" w:hAnsi="宋体" w:eastAsia="宋体" w:cs="宋体"/>
                <w:i w:val="0"/>
                <w:iCs w:val="0"/>
                <w:color w:val="auto"/>
                <w:sz w:val="24"/>
                <w:szCs w:val="24"/>
                <w:highlight w:val="none"/>
              </w:rPr>
            </w:pPr>
          </w:p>
        </w:tc>
        <w:tc>
          <w:tcPr>
            <w:tcW w:w="1020" w:type="dxa"/>
            <w:noWrap w:val="0"/>
            <w:vAlign w:val="top"/>
          </w:tcPr>
          <w:p w14:paraId="7096AB7E">
            <w:pPr>
              <w:rPr>
                <w:rFonts w:hint="eastAsia" w:ascii="宋体" w:hAnsi="宋体" w:eastAsia="宋体" w:cs="宋体"/>
                <w:i w:val="0"/>
                <w:iCs w:val="0"/>
                <w:color w:val="auto"/>
                <w:sz w:val="24"/>
                <w:szCs w:val="24"/>
                <w:highlight w:val="none"/>
              </w:rPr>
            </w:pPr>
          </w:p>
        </w:tc>
        <w:tc>
          <w:tcPr>
            <w:tcW w:w="921" w:type="dxa"/>
            <w:noWrap w:val="0"/>
            <w:vAlign w:val="top"/>
          </w:tcPr>
          <w:p w14:paraId="532A805D">
            <w:pPr>
              <w:rPr>
                <w:rFonts w:hint="eastAsia" w:ascii="宋体" w:hAnsi="宋体" w:eastAsia="宋体" w:cs="宋体"/>
                <w:i w:val="0"/>
                <w:iCs w:val="0"/>
                <w:color w:val="auto"/>
                <w:sz w:val="24"/>
                <w:szCs w:val="24"/>
                <w:highlight w:val="none"/>
              </w:rPr>
            </w:pPr>
          </w:p>
        </w:tc>
      </w:tr>
      <w:tr w14:paraId="441C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44416E09">
            <w:pPr>
              <w:rPr>
                <w:rFonts w:hint="eastAsia" w:ascii="宋体" w:hAnsi="宋体" w:eastAsia="宋体" w:cs="宋体"/>
                <w:i w:val="0"/>
                <w:iCs w:val="0"/>
                <w:color w:val="auto"/>
                <w:sz w:val="24"/>
                <w:szCs w:val="24"/>
                <w:highlight w:val="none"/>
              </w:rPr>
            </w:pPr>
          </w:p>
        </w:tc>
        <w:tc>
          <w:tcPr>
            <w:tcW w:w="1418" w:type="dxa"/>
            <w:noWrap w:val="0"/>
            <w:vAlign w:val="top"/>
          </w:tcPr>
          <w:p w14:paraId="0D8363D2">
            <w:pPr>
              <w:rPr>
                <w:rFonts w:hint="eastAsia" w:ascii="宋体" w:hAnsi="宋体" w:eastAsia="宋体" w:cs="宋体"/>
                <w:i w:val="0"/>
                <w:iCs w:val="0"/>
                <w:color w:val="auto"/>
                <w:sz w:val="24"/>
                <w:szCs w:val="24"/>
                <w:highlight w:val="none"/>
              </w:rPr>
            </w:pPr>
          </w:p>
        </w:tc>
        <w:tc>
          <w:tcPr>
            <w:tcW w:w="850" w:type="dxa"/>
            <w:noWrap w:val="0"/>
            <w:vAlign w:val="top"/>
          </w:tcPr>
          <w:p w14:paraId="2F638169">
            <w:pPr>
              <w:rPr>
                <w:rFonts w:hint="eastAsia" w:ascii="宋体" w:hAnsi="宋体" w:eastAsia="宋体" w:cs="宋体"/>
                <w:i w:val="0"/>
                <w:iCs w:val="0"/>
                <w:color w:val="auto"/>
                <w:sz w:val="24"/>
                <w:szCs w:val="24"/>
                <w:highlight w:val="none"/>
              </w:rPr>
            </w:pPr>
          </w:p>
        </w:tc>
        <w:tc>
          <w:tcPr>
            <w:tcW w:w="1058" w:type="dxa"/>
            <w:noWrap w:val="0"/>
            <w:vAlign w:val="top"/>
          </w:tcPr>
          <w:p w14:paraId="63F744CD">
            <w:pPr>
              <w:rPr>
                <w:rFonts w:hint="eastAsia" w:ascii="宋体" w:hAnsi="宋体" w:eastAsia="宋体" w:cs="宋体"/>
                <w:i w:val="0"/>
                <w:iCs w:val="0"/>
                <w:color w:val="auto"/>
                <w:sz w:val="24"/>
                <w:szCs w:val="24"/>
                <w:highlight w:val="none"/>
              </w:rPr>
            </w:pPr>
          </w:p>
        </w:tc>
        <w:tc>
          <w:tcPr>
            <w:tcW w:w="880" w:type="dxa"/>
            <w:noWrap w:val="0"/>
            <w:vAlign w:val="top"/>
          </w:tcPr>
          <w:p w14:paraId="139F976E">
            <w:pPr>
              <w:rPr>
                <w:rFonts w:hint="eastAsia" w:ascii="宋体" w:hAnsi="宋体" w:eastAsia="宋体" w:cs="宋体"/>
                <w:i w:val="0"/>
                <w:iCs w:val="0"/>
                <w:color w:val="auto"/>
                <w:sz w:val="24"/>
                <w:szCs w:val="24"/>
                <w:highlight w:val="none"/>
              </w:rPr>
            </w:pPr>
          </w:p>
        </w:tc>
        <w:tc>
          <w:tcPr>
            <w:tcW w:w="1020" w:type="dxa"/>
            <w:noWrap w:val="0"/>
            <w:vAlign w:val="top"/>
          </w:tcPr>
          <w:p w14:paraId="0F15D5F8">
            <w:pPr>
              <w:rPr>
                <w:rFonts w:hint="eastAsia" w:ascii="宋体" w:hAnsi="宋体" w:eastAsia="宋体" w:cs="宋体"/>
                <w:i w:val="0"/>
                <w:iCs w:val="0"/>
                <w:color w:val="auto"/>
                <w:sz w:val="24"/>
                <w:szCs w:val="24"/>
                <w:highlight w:val="none"/>
              </w:rPr>
            </w:pPr>
          </w:p>
        </w:tc>
        <w:tc>
          <w:tcPr>
            <w:tcW w:w="1480" w:type="dxa"/>
            <w:noWrap w:val="0"/>
            <w:vAlign w:val="top"/>
          </w:tcPr>
          <w:p w14:paraId="77D3A400">
            <w:pPr>
              <w:rPr>
                <w:rFonts w:hint="eastAsia" w:ascii="宋体" w:hAnsi="宋体" w:eastAsia="宋体" w:cs="宋体"/>
                <w:i w:val="0"/>
                <w:iCs w:val="0"/>
                <w:color w:val="auto"/>
                <w:sz w:val="24"/>
                <w:szCs w:val="24"/>
                <w:highlight w:val="none"/>
              </w:rPr>
            </w:pPr>
          </w:p>
        </w:tc>
        <w:tc>
          <w:tcPr>
            <w:tcW w:w="1020" w:type="dxa"/>
            <w:noWrap w:val="0"/>
            <w:vAlign w:val="top"/>
          </w:tcPr>
          <w:p w14:paraId="372A6661">
            <w:pPr>
              <w:rPr>
                <w:rFonts w:hint="eastAsia" w:ascii="宋体" w:hAnsi="宋体" w:eastAsia="宋体" w:cs="宋体"/>
                <w:i w:val="0"/>
                <w:iCs w:val="0"/>
                <w:color w:val="auto"/>
                <w:sz w:val="24"/>
                <w:szCs w:val="24"/>
                <w:highlight w:val="none"/>
              </w:rPr>
            </w:pPr>
          </w:p>
        </w:tc>
        <w:tc>
          <w:tcPr>
            <w:tcW w:w="921" w:type="dxa"/>
            <w:noWrap w:val="0"/>
            <w:vAlign w:val="top"/>
          </w:tcPr>
          <w:p w14:paraId="14DF907F">
            <w:pPr>
              <w:rPr>
                <w:rFonts w:hint="eastAsia" w:ascii="宋体" w:hAnsi="宋体" w:eastAsia="宋体" w:cs="宋体"/>
                <w:i w:val="0"/>
                <w:iCs w:val="0"/>
                <w:color w:val="auto"/>
                <w:sz w:val="24"/>
                <w:szCs w:val="24"/>
                <w:highlight w:val="none"/>
              </w:rPr>
            </w:pPr>
          </w:p>
        </w:tc>
      </w:tr>
    </w:tbl>
    <w:p w14:paraId="7F43A2E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7016DA11">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1CF377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139" w:name="_Toc296346729"/>
      <w:bookmarkStart w:id="1140" w:name="_Toc296503228"/>
      <w:bookmarkStart w:id="1141" w:name="_Toc296347227"/>
      <w:bookmarkStart w:id="1142" w:name="_Toc296944567"/>
      <w:bookmarkStart w:id="1143" w:name="_Toc267261699"/>
      <w:bookmarkStart w:id="1144" w:name="_Toc296891056"/>
      <w:bookmarkStart w:id="1145" w:name="_Toc296891268"/>
      <w:r>
        <w:rPr>
          <w:rFonts w:hint="eastAsia" w:ascii="宋体" w:hAnsi="宋体" w:eastAsia="宋体"/>
          <w:b/>
          <w:bCs/>
          <w:i w:val="0"/>
          <w:iCs w:val="0"/>
          <w:color w:val="auto"/>
          <w:sz w:val="24"/>
          <w:highlight w:val="none"/>
        </w:rPr>
        <w:t>件6：</w:t>
      </w:r>
    </w:p>
    <w:bookmarkEnd w:id="1139"/>
    <w:bookmarkEnd w:id="1140"/>
    <w:bookmarkEnd w:id="1141"/>
    <w:bookmarkEnd w:id="1142"/>
    <w:bookmarkEnd w:id="1143"/>
    <w:bookmarkEnd w:id="1144"/>
    <w:bookmarkEnd w:id="1145"/>
    <w:p w14:paraId="258B860F">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承包人主要施工管理人员表</w:t>
      </w:r>
    </w:p>
    <w:tbl>
      <w:tblPr>
        <w:tblStyle w:val="28"/>
        <w:tblW w:w="91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69"/>
        <w:gridCol w:w="1134"/>
        <w:gridCol w:w="1134"/>
        <w:gridCol w:w="3849"/>
      </w:tblGrid>
      <w:tr w14:paraId="78EF1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0634D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    称</w:t>
            </w:r>
          </w:p>
        </w:tc>
        <w:tc>
          <w:tcPr>
            <w:tcW w:w="1169" w:type="dxa"/>
            <w:tcBorders>
              <w:top w:val="single" w:color="auto" w:sz="12" w:space="0"/>
              <w:bottom w:val="double" w:color="auto" w:sz="6" w:space="0"/>
            </w:tcBorders>
            <w:noWrap w:val="0"/>
            <w:vAlign w:val="center"/>
          </w:tcPr>
          <w:p w14:paraId="7018F02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3ADF52D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6BDC03B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职称</w:t>
            </w:r>
          </w:p>
        </w:tc>
        <w:tc>
          <w:tcPr>
            <w:tcW w:w="3849" w:type="dxa"/>
            <w:tcBorders>
              <w:top w:val="single" w:color="auto" w:sz="12" w:space="0"/>
              <w:bottom w:val="double" w:color="auto" w:sz="6" w:space="0"/>
            </w:tcBorders>
            <w:noWrap w:val="0"/>
            <w:vAlign w:val="center"/>
          </w:tcPr>
          <w:p w14:paraId="352DB00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主要资历、经验及承担过的项目</w:t>
            </w:r>
          </w:p>
        </w:tc>
      </w:tr>
      <w:tr w14:paraId="47F5F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7" w:type="dxa"/>
            <w:gridSpan w:val="5"/>
            <w:tcBorders>
              <w:top w:val="double" w:color="auto" w:sz="6" w:space="0"/>
              <w:bottom w:val="single" w:color="auto" w:sz="6" w:space="0"/>
            </w:tcBorders>
            <w:noWrap w:val="0"/>
            <w:vAlign w:val="center"/>
          </w:tcPr>
          <w:p w14:paraId="7404F27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一、总部人员</w:t>
            </w:r>
          </w:p>
        </w:tc>
      </w:tr>
      <w:tr w14:paraId="362C3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1190B3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项目主管</w:t>
            </w:r>
          </w:p>
        </w:tc>
        <w:tc>
          <w:tcPr>
            <w:tcW w:w="1169" w:type="dxa"/>
            <w:tcBorders>
              <w:top w:val="nil"/>
            </w:tcBorders>
            <w:noWrap w:val="0"/>
            <w:vAlign w:val="center"/>
          </w:tcPr>
          <w:p w14:paraId="0453330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5DB2669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29A5BC5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top w:val="nil"/>
            </w:tcBorders>
            <w:noWrap w:val="0"/>
            <w:vAlign w:val="center"/>
          </w:tcPr>
          <w:p w14:paraId="1571C24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08FA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8D83C8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0BF4180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3F41A7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323175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6056A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037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481EB4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69" w:type="dxa"/>
            <w:noWrap w:val="0"/>
            <w:vAlign w:val="center"/>
          </w:tcPr>
          <w:p w14:paraId="1CDF89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98A89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AE9C49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4CBA2EC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9618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FB7AE5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538DF17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FED0B3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E91C95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16C4BEF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582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7" w:type="dxa"/>
            <w:gridSpan w:val="5"/>
            <w:tcBorders>
              <w:top w:val="single" w:color="auto" w:sz="6" w:space="0"/>
              <w:bottom w:val="single" w:color="auto" w:sz="6" w:space="0"/>
            </w:tcBorders>
            <w:noWrap w:val="0"/>
            <w:vAlign w:val="center"/>
          </w:tcPr>
          <w:p w14:paraId="631C0C0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二、现场人员</w:t>
            </w:r>
          </w:p>
        </w:tc>
      </w:tr>
      <w:tr w14:paraId="65976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DC10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项目经理</w:t>
            </w:r>
          </w:p>
        </w:tc>
        <w:tc>
          <w:tcPr>
            <w:tcW w:w="1169" w:type="dxa"/>
            <w:noWrap w:val="0"/>
            <w:vAlign w:val="center"/>
          </w:tcPr>
          <w:p w14:paraId="4642516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15F84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85BF1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596C46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4E9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0A625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项目副经理</w:t>
            </w:r>
          </w:p>
        </w:tc>
        <w:tc>
          <w:tcPr>
            <w:tcW w:w="1169" w:type="dxa"/>
            <w:noWrap w:val="0"/>
            <w:vAlign w:val="center"/>
          </w:tcPr>
          <w:p w14:paraId="1BEE043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FACF49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087ACF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7DDAC9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46CB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4F390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技术负责人</w:t>
            </w:r>
          </w:p>
        </w:tc>
        <w:tc>
          <w:tcPr>
            <w:tcW w:w="1169" w:type="dxa"/>
            <w:noWrap w:val="0"/>
            <w:vAlign w:val="center"/>
          </w:tcPr>
          <w:p w14:paraId="3FDF700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C109E3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6E2FD77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51206AF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0BCB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EC52CA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造价管理</w:t>
            </w:r>
          </w:p>
        </w:tc>
        <w:tc>
          <w:tcPr>
            <w:tcW w:w="1169" w:type="dxa"/>
            <w:noWrap w:val="0"/>
            <w:vAlign w:val="center"/>
          </w:tcPr>
          <w:p w14:paraId="3D3794D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570066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76D8E0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F59A40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FF76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405E0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质量管理</w:t>
            </w:r>
          </w:p>
        </w:tc>
        <w:tc>
          <w:tcPr>
            <w:tcW w:w="1169" w:type="dxa"/>
            <w:noWrap w:val="0"/>
            <w:vAlign w:val="center"/>
          </w:tcPr>
          <w:p w14:paraId="415C94C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401164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A0E79F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3641AF2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EA2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E5CE0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材料管理</w:t>
            </w:r>
          </w:p>
        </w:tc>
        <w:tc>
          <w:tcPr>
            <w:tcW w:w="1169" w:type="dxa"/>
            <w:noWrap w:val="0"/>
            <w:vAlign w:val="center"/>
          </w:tcPr>
          <w:p w14:paraId="4A3FC46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F4056A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A0C4D5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240E74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94DA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638AB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计划管理</w:t>
            </w:r>
          </w:p>
        </w:tc>
        <w:tc>
          <w:tcPr>
            <w:tcW w:w="1169" w:type="dxa"/>
            <w:noWrap w:val="0"/>
            <w:vAlign w:val="center"/>
          </w:tcPr>
          <w:p w14:paraId="3DB6AF2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4686C6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3B2ED8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455B9E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5C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5CD5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安全管理</w:t>
            </w:r>
          </w:p>
        </w:tc>
        <w:tc>
          <w:tcPr>
            <w:tcW w:w="1169" w:type="dxa"/>
            <w:noWrap w:val="0"/>
            <w:vAlign w:val="center"/>
          </w:tcPr>
          <w:p w14:paraId="00C1257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C8B666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A2B1A7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053631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56BC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E68689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69" w:type="dxa"/>
            <w:noWrap w:val="0"/>
            <w:vAlign w:val="center"/>
          </w:tcPr>
          <w:p w14:paraId="3A333C0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ECD39B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60E1E41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054C93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EE9F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F58F4C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tcBorders>
              <w:bottom w:val="nil"/>
            </w:tcBorders>
            <w:noWrap w:val="0"/>
            <w:vAlign w:val="center"/>
          </w:tcPr>
          <w:p w14:paraId="603382E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48C63BD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1FAB186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bottom w:val="nil"/>
            </w:tcBorders>
            <w:noWrap w:val="0"/>
            <w:vAlign w:val="center"/>
          </w:tcPr>
          <w:p w14:paraId="2C15113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1EB2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6ED8B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603CA13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C1AF0A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5FB6B3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0835E3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12E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0A09FD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565FF3A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2A4753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524A9C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77BA4C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81B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21895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4A719C4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09D62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26FBF7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103FDE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6532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61CF8E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tcBorders>
              <w:bottom w:val="single" w:color="auto" w:sz="12" w:space="0"/>
            </w:tcBorders>
            <w:noWrap w:val="0"/>
            <w:vAlign w:val="center"/>
          </w:tcPr>
          <w:p w14:paraId="63FAB21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2F4D5F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4E8B5C5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bottom w:val="single" w:color="auto" w:sz="12" w:space="0"/>
            </w:tcBorders>
            <w:noWrap w:val="0"/>
            <w:vAlign w:val="center"/>
          </w:tcPr>
          <w:p w14:paraId="256F49C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4858B2F9">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r>
        <w:rPr>
          <w:rFonts w:hint="eastAsia" w:ascii="宋体" w:hAnsi="宋体" w:eastAsia="宋体"/>
          <w:b/>
          <w:bCs/>
          <w:i w:val="0"/>
          <w:iCs w:val="0"/>
          <w:color w:val="auto"/>
          <w:sz w:val="24"/>
          <w:highlight w:val="none"/>
        </w:rPr>
        <w:t>附</w:t>
      </w:r>
      <w:bookmarkStart w:id="1146" w:name="_Toc296891057"/>
      <w:bookmarkStart w:id="1147" w:name="_Toc296503229"/>
      <w:bookmarkStart w:id="1148" w:name="_Toc296346730"/>
      <w:bookmarkStart w:id="1149" w:name="_Toc296347228"/>
      <w:bookmarkStart w:id="1150" w:name="_Toc296944568"/>
      <w:bookmarkStart w:id="1151" w:name="_Toc296891269"/>
      <w:r>
        <w:rPr>
          <w:rFonts w:hint="eastAsia" w:ascii="宋体" w:hAnsi="宋体" w:eastAsia="宋体"/>
          <w:b/>
          <w:bCs/>
          <w:i w:val="0"/>
          <w:iCs w:val="0"/>
          <w:color w:val="auto"/>
          <w:sz w:val="24"/>
          <w:highlight w:val="none"/>
        </w:rPr>
        <w:t>件7：</w:t>
      </w:r>
    </w:p>
    <w:bookmarkEnd w:id="1146"/>
    <w:bookmarkEnd w:id="1147"/>
    <w:bookmarkEnd w:id="1148"/>
    <w:bookmarkEnd w:id="1149"/>
    <w:bookmarkEnd w:id="1150"/>
    <w:bookmarkEnd w:id="1151"/>
    <w:p w14:paraId="691529A7">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分包人主要施工管理人员表</w:t>
      </w:r>
    </w:p>
    <w:tbl>
      <w:tblPr>
        <w:tblStyle w:val="28"/>
        <w:tblW w:w="9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83"/>
        <w:gridCol w:w="1134"/>
        <w:gridCol w:w="1134"/>
        <w:gridCol w:w="3728"/>
      </w:tblGrid>
      <w:tr w14:paraId="42133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62AA2B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    称</w:t>
            </w:r>
          </w:p>
        </w:tc>
        <w:tc>
          <w:tcPr>
            <w:tcW w:w="1183" w:type="dxa"/>
            <w:tcBorders>
              <w:top w:val="single" w:color="auto" w:sz="12" w:space="0"/>
              <w:bottom w:val="double" w:color="auto" w:sz="6" w:space="0"/>
            </w:tcBorders>
            <w:noWrap w:val="0"/>
            <w:vAlign w:val="center"/>
          </w:tcPr>
          <w:p w14:paraId="63BDFD5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1046EFE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7DE21EB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职称</w:t>
            </w:r>
          </w:p>
        </w:tc>
        <w:tc>
          <w:tcPr>
            <w:tcW w:w="3728" w:type="dxa"/>
            <w:tcBorders>
              <w:top w:val="single" w:color="auto" w:sz="12" w:space="0"/>
              <w:bottom w:val="double" w:color="auto" w:sz="6" w:space="0"/>
            </w:tcBorders>
            <w:noWrap w:val="0"/>
            <w:vAlign w:val="center"/>
          </w:tcPr>
          <w:p w14:paraId="05F6F56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主要资历、经验及承担过的项目</w:t>
            </w:r>
          </w:p>
        </w:tc>
      </w:tr>
      <w:tr w14:paraId="5D914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0" w:type="dxa"/>
            <w:gridSpan w:val="5"/>
            <w:tcBorders>
              <w:top w:val="double" w:color="auto" w:sz="6" w:space="0"/>
              <w:bottom w:val="single" w:color="auto" w:sz="6" w:space="0"/>
            </w:tcBorders>
            <w:noWrap w:val="0"/>
            <w:vAlign w:val="center"/>
          </w:tcPr>
          <w:p w14:paraId="1AAD0F9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一、总部人员</w:t>
            </w:r>
          </w:p>
        </w:tc>
      </w:tr>
      <w:tr w14:paraId="61B3E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1171B1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项目主管</w:t>
            </w:r>
          </w:p>
        </w:tc>
        <w:tc>
          <w:tcPr>
            <w:tcW w:w="1183" w:type="dxa"/>
            <w:tcBorders>
              <w:top w:val="nil"/>
            </w:tcBorders>
            <w:noWrap w:val="0"/>
            <w:vAlign w:val="center"/>
          </w:tcPr>
          <w:p w14:paraId="6233D2A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228ADB1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3ED89DF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top w:val="nil"/>
            </w:tcBorders>
            <w:noWrap w:val="0"/>
            <w:vAlign w:val="center"/>
          </w:tcPr>
          <w:p w14:paraId="32F8EBC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CB59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DE13EC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1543592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12D34A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22DC57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CF03B6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B8FA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8DF175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83" w:type="dxa"/>
            <w:noWrap w:val="0"/>
            <w:vAlign w:val="center"/>
          </w:tcPr>
          <w:p w14:paraId="699CB82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2B64FF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8FEFB3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55A524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1E78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7845FD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5666B2F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AF0752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FCC071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53AA07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D74D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0" w:type="dxa"/>
            <w:gridSpan w:val="5"/>
            <w:tcBorders>
              <w:top w:val="single" w:color="auto" w:sz="6" w:space="0"/>
              <w:bottom w:val="single" w:color="auto" w:sz="6" w:space="0"/>
            </w:tcBorders>
            <w:noWrap w:val="0"/>
            <w:vAlign w:val="center"/>
          </w:tcPr>
          <w:p w14:paraId="14B31B2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二、现场人员</w:t>
            </w:r>
          </w:p>
        </w:tc>
      </w:tr>
      <w:tr w14:paraId="18935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333D5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项目经理</w:t>
            </w:r>
          </w:p>
        </w:tc>
        <w:tc>
          <w:tcPr>
            <w:tcW w:w="1183" w:type="dxa"/>
            <w:noWrap w:val="0"/>
            <w:vAlign w:val="center"/>
          </w:tcPr>
          <w:p w14:paraId="43DCB9E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526585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ACE373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6C0FAD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58E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A848E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项目副经理</w:t>
            </w:r>
          </w:p>
        </w:tc>
        <w:tc>
          <w:tcPr>
            <w:tcW w:w="1183" w:type="dxa"/>
            <w:noWrap w:val="0"/>
            <w:vAlign w:val="center"/>
          </w:tcPr>
          <w:p w14:paraId="50B993E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191381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BEFA4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18C3E1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A93C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3131A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技术负责人</w:t>
            </w:r>
          </w:p>
        </w:tc>
        <w:tc>
          <w:tcPr>
            <w:tcW w:w="1183" w:type="dxa"/>
            <w:noWrap w:val="0"/>
            <w:vAlign w:val="center"/>
          </w:tcPr>
          <w:p w14:paraId="4785F75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A26F5C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22434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1A99840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6456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F2C61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造价管理</w:t>
            </w:r>
          </w:p>
        </w:tc>
        <w:tc>
          <w:tcPr>
            <w:tcW w:w="1183" w:type="dxa"/>
            <w:noWrap w:val="0"/>
            <w:vAlign w:val="center"/>
          </w:tcPr>
          <w:p w14:paraId="42E0AE9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161504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464D86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2ED49F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E0F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58A8C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质量管理</w:t>
            </w:r>
          </w:p>
        </w:tc>
        <w:tc>
          <w:tcPr>
            <w:tcW w:w="1183" w:type="dxa"/>
            <w:noWrap w:val="0"/>
            <w:vAlign w:val="center"/>
          </w:tcPr>
          <w:p w14:paraId="30C5D2A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ED3EFB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9858EC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0747B0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6E52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C6E3A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材料管理</w:t>
            </w:r>
          </w:p>
        </w:tc>
        <w:tc>
          <w:tcPr>
            <w:tcW w:w="1183" w:type="dxa"/>
            <w:noWrap w:val="0"/>
            <w:vAlign w:val="center"/>
          </w:tcPr>
          <w:p w14:paraId="757284C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E20C3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6F8192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836454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0027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3708F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计划管理</w:t>
            </w:r>
          </w:p>
        </w:tc>
        <w:tc>
          <w:tcPr>
            <w:tcW w:w="1183" w:type="dxa"/>
            <w:noWrap w:val="0"/>
            <w:vAlign w:val="center"/>
          </w:tcPr>
          <w:p w14:paraId="1C4CC16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CD75F0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C1013E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6918F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96F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9A0B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安全管理</w:t>
            </w:r>
          </w:p>
        </w:tc>
        <w:tc>
          <w:tcPr>
            <w:tcW w:w="1183" w:type="dxa"/>
            <w:noWrap w:val="0"/>
            <w:vAlign w:val="center"/>
          </w:tcPr>
          <w:p w14:paraId="3C93636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1BF103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4B53F1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76821A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6B9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90C8D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83" w:type="dxa"/>
            <w:noWrap w:val="0"/>
            <w:vAlign w:val="center"/>
          </w:tcPr>
          <w:p w14:paraId="5093AC5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4F23D0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EE31B9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5B18E86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07D8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2FD78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tcBorders>
              <w:bottom w:val="nil"/>
            </w:tcBorders>
            <w:noWrap w:val="0"/>
            <w:vAlign w:val="center"/>
          </w:tcPr>
          <w:p w14:paraId="6DFEDC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5B4CB88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6CA9A87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bottom w:val="nil"/>
            </w:tcBorders>
            <w:noWrap w:val="0"/>
            <w:vAlign w:val="center"/>
          </w:tcPr>
          <w:p w14:paraId="184DD3B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7B24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868BA3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38CEF83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CFF0A5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099B6C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7971C5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96F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D1C9CB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55CD7E8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0F0A7D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1C4F32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1EFBBB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37A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8F2FB7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740D194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902D89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B68A9E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E01DB4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ABC0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5C201F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tcBorders>
              <w:bottom w:val="single" w:color="auto" w:sz="12" w:space="0"/>
            </w:tcBorders>
            <w:noWrap w:val="0"/>
            <w:vAlign w:val="center"/>
          </w:tcPr>
          <w:p w14:paraId="2792179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16310DA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762CB8A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bottom w:val="single" w:color="auto" w:sz="12" w:space="0"/>
            </w:tcBorders>
            <w:noWrap w:val="0"/>
            <w:vAlign w:val="center"/>
          </w:tcPr>
          <w:p w14:paraId="377174D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5A4DE106">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bookmarkStart w:id="1152" w:name="_Toc267261701"/>
      <w:r>
        <w:rPr>
          <w:rFonts w:hint="eastAsia" w:ascii="宋体" w:hAnsi="宋体" w:eastAsia="宋体"/>
          <w:b/>
          <w:bCs/>
          <w:i w:val="0"/>
          <w:iCs w:val="0"/>
          <w:color w:val="auto"/>
          <w:sz w:val="24"/>
          <w:highlight w:val="none"/>
        </w:rPr>
        <w:t>附</w:t>
      </w:r>
      <w:bookmarkStart w:id="1153" w:name="_Toc296944570"/>
      <w:bookmarkStart w:id="1154" w:name="_Toc296891271"/>
      <w:bookmarkStart w:id="1155" w:name="_Toc296346732"/>
      <w:bookmarkStart w:id="1156" w:name="_Toc296503231"/>
      <w:bookmarkStart w:id="1157" w:name="_Toc296347230"/>
      <w:bookmarkStart w:id="1158" w:name="_Toc296891059"/>
      <w:r>
        <w:rPr>
          <w:rFonts w:hint="eastAsia" w:ascii="宋体" w:hAnsi="宋体" w:eastAsia="宋体"/>
          <w:b/>
          <w:bCs/>
          <w:i w:val="0"/>
          <w:iCs w:val="0"/>
          <w:color w:val="auto"/>
          <w:sz w:val="24"/>
          <w:highlight w:val="none"/>
        </w:rPr>
        <w:t>件8：</w:t>
      </w:r>
    </w:p>
    <w:bookmarkEnd w:id="1152"/>
    <w:bookmarkEnd w:id="1153"/>
    <w:bookmarkEnd w:id="1154"/>
    <w:bookmarkEnd w:id="1155"/>
    <w:bookmarkEnd w:id="1156"/>
    <w:bookmarkEnd w:id="1157"/>
    <w:bookmarkEnd w:id="1158"/>
    <w:p w14:paraId="02350EAA">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履约担保</w:t>
      </w:r>
    </w:p>
    <w:p w14:paraId="100D6B20">
      <w:pP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rPr>
        <w:t>（发包人名称）：</w:t>
      </w:r>
    </w:p>
    <w:p w14:paraId="6EB4B351">
      <w:pPr>
        <w:spacing w:line="440" w:lineRule="exact"/>
        <w:rPr>
          <w:rFonts w:hint="eastAsia" w:ascii="宋体" w:hAnsi="宋体" w:eastAsia="宋体" w:cs="宋体"/>
          <w:i w:val="0"/>
          <w:iCs w:val="0"/>
          <w:color w:val="auto"/>
          <w:sz w:val="24"/>
          <w:szCs w:val="24"/>
          <w:highlight w:val="none"/>
        </w:rPr>
      </w:pPr>
    </w:p>
    <w:p w14:paraId="65D434C8">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（发包人名称，以下简称“发包人”）与</w:t>
      </w:r>
    </w:p>
    <w:p w14:paraId="561F85FD">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（承包人名称）（以下称“承包人”）于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6535928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担保金额人民币（大写）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0CADB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担保有效期自你方与承包人签订的合同生效之日起至你方签发或应签发工程接收证书之日止。</w:t>
      </w:r>
    </w:p>
    <w:p w14:paraId="197B155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309B860D">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你方和承包人按合同约定变更合同时，我方承担本担保规定的义务不变。</w:t>
      </w:r>
    </w:p>
    <w:p w14:paraId="5E285E8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因本保函发生的纠纷，可由双方协商解决，协商不成的，任何一方均可提请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仲裁委员会仲裁。</w:t>
      </w:r>
    </w:p>
    <w:p w14:paraId="44DA8C6B">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本保函自我方法定代表人（或其授权代理人）签字并加盖公章之日起生效。</w:t>
      </w:r>
    </w:p>
    <w:p w14:paraId="7CD84A0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 保 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（盖单位章）</w:t>
      </w:r>
    </w:p>
    <w:p w14:paraId="38DEA61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21B8FF80">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4E3D88C6">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D54499D">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p>
    <w:p w14:paraId="4317B422">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p>
    <w:p w14:paraId="6D939AED">
      <w:pPr>
        <w:spacing w:line="360" w:lineRule="auto"/>
        <w:jc w:val="left"/>
        <w:rPr>
          <w:rFonts w:hint="eastAsia" w:ascii="宋体" w:hAnsi="宋体" w:eastAsia="宋体" w:cs="宋体"/>
          <w:i w:val="0"/>
          <w:iCs w:val="0"/>
          <w:color w:val="auto"/>
          <w:sz w:val="24"/>
          <w:szCs w:val="24"/>
          <w:highlight w:val="none"/>
          <w:u w:val="single"/>
        </w:rPr>
      </w:pPr>
    </w:p>
    <w:p w14:paraId="4B5EBFD9">
      <w:pPr>
        <w:spacing w:line="360" w:lineRule="auto"/>
        <w:ind w:left="1899" w:hanging="1519" w:hangingChars="63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E2C3C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159" w:name="_Toc296347231"/>
      <w:bookmarkStart w:id="1160" w:name="_Toc296346733"/>
      <w:bookmarkStart w:id="1161" w:name="_Toc296891060"/>
      <w:bookmarkStart w:id="1162" w:name="_Toc296944571"/>
      <w:bookmarkStart w:id="1163" w:name="_Toc267261702"/>
      <w:bookmarkStart w:id="1164" w:name="_Toc296503232"/>
      <w:bookmarkStart w:id="1165" w:name="_Toc296891272"/>
      <w:r>
        <w:rPr>
          <w:rFonts w:hint="eastAsia" w:ascii="宋体" w:hAnsi="宋体" w:eastAsia="宋体"/>
          <w:b/>
          <w:bCs/>
          <w:i w:val="0"/>
          <w:iCs w:val="0"/>
          <w:color w:val="auto"/>
          <w:sz w:val="24"/>
          <w:highlight w:val="none"/>
        </w:rPr>
        <w:t>件9 ：</w:t>
      </w:r>
    </w:p>
    <w:bookmarkEnd w:id="1159"/>
    <w:bookmarkEnd w:id="1160"/>
    <w:bookmarkEnd w:id="1161"/>
    <w:bookmarkEnd w:id="1162"/>
    <w:bookmarkEnd w:id="1163"/>
    <w:bookmarkEnd w:id="1164"/>
    <w:bookmarkEnd w:id="1165"/>
    <w:p w14:paraId="11E8BC22">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预付款担保</w:t>
      </w:r>
    </w:p>
    <w:p w14:paraId="23B68784">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（发包人名称）：</w:t>
      </w:r>
    </w:p>
    <w:p w14:paraId="5E583CEF">
      <w:pPr>
        <w:spacing w:line="360" w:lineRule="auto"/>
        <w:rPr>
          <w:rFonts w:hint="eastAsia" w:ascii="宋体" w:hAnsi="宋体" w:eastAsia="宋体" w:cs="宋体"/>
          <w:i w:val="0"/>
          <w:iCs w:val="0"/>
          <w:color w:val="auto"/>
          <w:sz w:val="24"/>
          <w:szCs w:val="24"/>
          <w:highlight w:val="none"/>
        </w:rPr>
      </w:pPr>
    </w:p>
    <w:p w14:paraId="253754F1">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（承包人名称）（以下称“承包人”）与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（发包人名称）（以下简称“发包人”）于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日签订的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DFB77E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担保金额人民币（大写）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C3F556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担保有效期自预付款支付给承包人起生效，至你方签发的进度款支付证书说明已完全扣清止。</w:t>
      </w:r>
    </w:p>
    <w:p w14:paraId="2986D4F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E193A85">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你方和承包人按合同约定变更合同时，我方承担本保函规定的义务不变。</w:t>
      </w:r>
    </w:p>
    <w:p w14:paraId="2473891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因本保函发生的纠纷，可由双方协商解决，协商不成的，任何一方均可提请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仲裁委员会仲裁。</w:t>
      </w:r>
    </w:p>
    <w:p w14:paraId="5DEA9F2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本保函自我方法定代表人（或其授权代理人）签字并加盖公章之日起生效。</w:t>
      </w:r>
    </w:p>
    <w:p w14:paraId="6BACF101">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（盖单位章）</w:t>
      </w:r>
    </w:p>
    <w:p w14:paraId="22817A9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7BB7DBA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44A1DD85">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247A7B3C">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192BF2C1">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431B868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6105C8A5">
      <w:pPr>
        <w:spacing w:line="440" w:lineRule="exact"/>
        <w:rPr>
          <w:rFonts w:hint="eastAsia" w:ascii="宋体" w:hAnsi="宋体" w:eastAsia="宋体"/>
          <w:b/>
          <w:bCs/>
          <w:i w:val="0"/>
          <w:iCs w:val="0"/>
          <w:color w:val="auto"/>
          <w:sz w:val="24"/>
          <w:highlight w:val="none"/>
        </w:rPr>
      </w:pPr>
      <w:r>
        <w:rPr>
          <w:rFonts w:ascii="Times New Roman" w:hAnsi="Times New Roman" w:eastAsia="仿宋_GB2312"/>
          <w:b/>
          <w:i w:val="0"/>
          <w:iCs w:val="0"/>
          <w:color w:val="auto"/>
          <w:sz w:val="30"/>
          <w:szCs w:val="30"/>
          <w:highlight w:val="none"/>
        </w:rPr>
        <w:br w:type="page"/>
      </w:r>
      <w:r>
        <w:rPr>
          <w:rFonts w:hint="eastAsia" w:ascii="宋体" w:hAnsi="宋体" w:eastAsia="宋体"/>
          <w:b/>
          <w:bCs/>
          <w:i w:val="0"/>
          <w:iCs w:val="0"/>
          <w:color w:val="auto"/>
          <w:sz w:val="24"/>
          <w:highlight w:val="none"/>
        </w:rPr>
        <w:t>附</w:t>
      </w:r>
      <w:bookmarkStart w:id="1166" w:name="_Toc296347232"/>
      <w:bookmarkStart w:id="1167" w:name="_Toc296346734"/>
      <w:bookmarkStart w:id="1168" w:name="_Toc296944572"/>
      <w:bookmarkStart w:id="1169" w:name="_Toc296891273"/>
      <w:bookmarkStart w:id="1170" w:name="_Toc296891061"/>
      <w:bookmarkStart w:id="1171" w:name="_Toc296503233"/>
      <w:r>
        <w:rPr>
          <w:rFonts w:hint="eastAsia" w:ascii="宋体" w:hAnsi="宋体" w:eastAsia="宋体"/>
          <w:b/>
          <w:bCs/>
          <w:i w:val="0"/>
          <w:iCs w:val="0"/>
          <w:color w:val="auto"/>
          <w:sz w:val="24"/>
          <w:highlight w:val="none"/>
        </w:rPr>
        <w:t xml:space="preserve">件10:  </w:t>
      </w:r>
    </w:p>
    <w:bookmarkEnd w:id="1166"/>
    <w:bookmarkEnd w:id="1167"/>
    <w:bookmarkEnd w:id="1168"/>
    <w:bookmarkEnd w:id="1169"/>
    <w:bookmarkEnd w:id="1170"/>
    <w:bookmarkEnd w:id="1171"/>
    <w:p w14:paraId="53619EB7">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支付担保</w:t>
      </w:r>
    </w:p>
    <w:p w14:paraId="3EC79177">
      <w:pPr>
        <w:spacing w:line="440" w:lineRule="exact"/>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w:t>
      </w:r>
    </w:p>
    <w:p w14:paraId="6EBB6EC6">
      <w:pPr>
        <w:spacing w:line="440" w:lineRule="exact"/>
        <w:jc w:val="left"/>
        <w:rPr>
          <w:rFonts w:hint="eastAsia" w:ascii="宋体" w:hAnsi="宋体" w:eastAsia="宋体" w:cs="宋体"/>
          <w:i w:val="0"/>
          <w:iCs w:val="0"/>
          <w:color w:val="auto"/>
          <w:sz w:val="24"/>
          <w:szCs w:val="24"/>
          <w:highlight w:val="none"/>
        </w:rPr>
      </w:pPr>
    </w:p>
    <w:p w14:paraId="02DAE64B">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鉴于你方作为承包人已经与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（发包人名称）（以下称“发包人”）于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日签订了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（工程名称）《建设工程施工合同》（以下称“主合同”），应发包人的申请，我方愿就发包人履行主合同约定的工程款支付义务以保证的方式向你方提供如下担保：</w:t>
      </w:r>
    </w:p>
    <w:p w14:paraId="7480518B">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2" w:name="_Toc30604"/>
      <w:r>
        <w:rPr>
          <w:rFonts w:hint="eastAsia" w:ascii="宋体" w:hAnsi="宋体" w:eastAsia="宋体" w:cs="宋体"/>
          <w:i w:val="0"/>
          <w:iCs w:val="0"/>
          <w:color w:val="auto"/>
          <w:sz w:val="24"/>
          <w:szCs w:val="24"/>
          <w:highlight w:val="none"/>
        </w:rPr>
        <w:t>一、保证的范围及保证金额</w:t>
      </w:r>
      <w:bookmarkEnd w:id="1172"/>
    </w:p>
    <w:p w14:paraId="423FAD8D">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我方的保证范围是主合同约定的工程款。</w:t>
      </w:r>
    </w:p>
    <w:p w14:paraId="62CE53D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本保函所称主合同约定的工程款是指主合同约定的除工程质量保证金以外的合同价款。</w:t>
      </w:r>
    </w:p>
    <w:p w14:paraId="2CF7394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我方保证的金额是主合同约定的工程款的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%，数额最高不超过人民币元（大写：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B40E35">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3" w:name="_Toc5509"/>
      <w:r>
        <w:rPr>
          <w:rFonts w:hint="eastAsia" w:ascii="宋体" w:hAnsi="宋体" w:eastAsia="宋体" w:cs="宋体"/>
          <w:i w:val="0"/>
          <w:iCs w:val="0"/>
          <w:color w:val="auto"/>
          <w:sz w:val="24"/>
          <w:szCs w:val="24"/>
          <w:highlight w:val="none"/>
        </w:rPr>
        <w:t>二、保证的方式及保证期间</w:t>
      </w:r>
      <w:bookmarkEnd w:id="1173"/>
    </w:p>
    <w:p w14:paraId="6A7473DF">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我方保证的方式为：连带责任保证。</w:t>
      </w:r>
    </w:p>
    <w:p w14:paraId="53E5D7B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我方保证的期间为：自本合同生效之日起至主合同约定的工程款支付完毕之日后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日内。</w:t>
      </w:r>
    </w:p>
    <w:p w14:paraId="0A1DB465">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你方与发包人协议变更工程款支付日期的，经我方书面同意后，保证期间按照变更后的支付日期做相应调整。</w:t>
      </w:r>
    </w:p>
    <w:p w14:paraId="60EACA64">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4" w:name="_Toc11154"/>
      <w:r>
        <w:rPr>
          <w:rFonts w:hint="eastAsia" w:ascii="宋体" w:hAnsi="宋体" w:eastAsia="宋体" w:cs="宋体"/>
          <w:i w:val="0"/>
          <w:iCs w:val="0"/>
          <w:color w:val="auto"/>
          <w:sz w:val="24"/>
          <w:szCs w:val="24"/>
          <w:highlight w:val="none"/>
        </w:rPr>
        <w:t>三、承担保证责任的形式</w:t>
      </w:r>
      <w:bookmarkEnd w:id="1174"/>
    </w:p>
    <w:p w14:paraId="7450BBC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我方承担保证责任的形式是代为支付。发包人未按主合同约定向你方支付工程款的，由我方在保证金额内代为支付。</w:t>
      </w:r>
    </w:p>
    <w:p w14:paraId="17FEF585">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5" w:name="_Toc15728"/>
      <w:r>
        <w:rPr>
          <w:rFonts w:hint="eastAsia" w:ascii="宋体" w:hAnsi="宋体" w:eastAsia="宋体" w:cs="宋体"/>
          <w:i w:val="0"/>
          <w:iCs w:val="0"/>
          <w:color w:val="auto"/>
          <w:sz w:val="24"/>
          <w:szCs w:val="24"/>
          <w:highlight w:val="none"/>
        </w:rPr>
        <w:t>四、代偿的安排</w:t>
      </w:r>
      <w:bookmarkEnd w:id="1175"/>
    </w:p>
    <w:p w14:paraId="12FBCAC9">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5A71CD0">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32CC39">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我方收到你方的书面索赔通知及相应的证明材料后７天内无条件支付。</w:t>
      </w:r>
    </w:p>
    <w:p w14:paraId="532617E6">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6" w:name="_Toc24561"/>
      <w:r>
        <w:rPr>
          <w:rFonts w:hint="eastAsia" w:ascii="宋体" w:hAnsi="宋体" w:eastAsia="宋体" w:cs="宋体"/>
          <w:i w:val="0"/>
          <w:iCs w:val="0"/>
          <w:color w:val="auto"/>
          <w:sz w:val="24"/>
          <w:szCs w:val="24"/>
          <w:highlight w:val="none"/>
        </w:rPr>
        <w:t>五、保证责任的解除</w:t>
      </w:r>
      <w:bookmarkEnd w:id="1176"/>
    </w:p>
    <w:p w14:paraId="643285D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在本保函承诺的保证期间内，你方未书面向我方主张保证责任的，自保证期间届满次日起，我方保证责任解除。</w:t>
      </w:r>
    </w:p>
    <w:p w14:paraId="047DB318">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发包人按主合同约定履行了工程款的全部支付义务的，自本保函承诺的保证期间届满次日起，我方保证责任解除。</w:t>
      </w:r>
    </w:p>
    <w:p w14:paraId="00096A0E">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我方按照本保函向你方履行保证责任所支付金额达到本保函保证金额时，自我方向你方支付（支付款项从我方账户划出）之日起，保证责任即解除。</w:t>
      </w:r>
    </w:p>
    <w:p w14:paraId="299BC8FB">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按照法律法规的规定或出现应解除我方保证责任的其他情形的，我方在本保函项下的保证责任亦解除。</w:t>
      </w:r>
    </w:p>
    <w:p w14:paraId="69572317">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我方解除保证责任后，你方应自我方保证责任解除之日起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个工作日内，将本保函原件返还我方。</w:t>
      </w:r>
    </w:p>
    <w:p w14:paraId="6B4EE54D">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7" w:name="_Toc13199"/>
      <w:r>
        <w:rPr>
          <w:rFonts w:hint="eastAsia" w:ascii="宋体" w:hAnsi="宋体" w:eastAsia="宋体" w:cs="宋体"/>
          <w:i w:val="0"/>
          <w:iCs w:val="0"/>
          <w:color w:val="auto"/>
          <w:sz w:val="24"/>
          <w:szCs w:val="24"/>
          <w:highlight w:val="none"/>
        </w:rPr>
        <w:t>六、免责条款</w:t>
      </w:r>
      <w:bookmarkEnd w:id="1177"/>
    </w:p>
    <w:p w14:paraId="405540C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因你方违约致使发包人不能履行义务的，我方不承担保证责任。</w:t>
      </w:r>
    </w:p>
    <w:p w14:paraId="43828DA4">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依照法律法规的规定或你方与发包人的另行约定，免除发包人部分或全部义务的，我方亦免除其相应的保证责任。</w:t>
      </w:r>
    </w:p>
    <w:p w14:paraId="561540E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5CA07CA">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因不可抗力造成发包人不能履行义务的，我方不承担保证责任。</w:t>
      </w:r>
    </w:p>
    <w:p w14:paraId="1EA9D576">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8" w:name="_Toc32000"/>
      <w:r>
        <w:rPr>
          <w:rFonts w:hint="eastAsia" w:ascii="宋体" w:hAnsi="宋体" w:eastAsia="宋体" w:cs="宋体"/>
          <w:i w:val="0"/>
          <w:iCs w:val="0"/>
          <w:color w:val="auto"/>
          <w:sz w:val="24"/>
          <w:szCs w:val="24"/>
          <w:highlight w:val="none"/>
        </w:rPr>
        <w:t>七、争议解决</w:t>
      </w:r>
      <w:bookmarkEnd w:id="1178"/>
    </w:p>
    <w:p w14:paraId="74194F62">
      <w:pP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因本保函或本保函相关事项发生的纠纷，可由双方协商解决，协商不成的，按下列第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312D770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仲裁委员会申请仲裁；</w:t>
      </w:r>
    </w:p>
    <w:p w14:paraId="65D4E49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371BAA8">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79" w:name="_Toc12990"/>
      <w:r>
        <w:rPr>
          <w:rFonts w:hint="eastAsia" w:ascii="宋体" w:hAnsi="宋体" w:eastAsia="宋体" w:cs="宋体"/>
          <w:i w:val="0"/>
          <w:iCs w:val="0"/>
          <w:color w:val="auto"/>
          <w:sz w:val="24"/>
          <w:szCs w:val="24"/>
          <w:highlight w:val="none"/>
        </w:rPr>
        <w:t>八、保函的生效</w:t>
      </w:r>
      <w:bookmarkEnd w:id="1179"/>
    </w:p>
    <w:p w14:paraId="47CAD001">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本保函自我方法定代表人（或其授权代理人）签字并加盖公章之日起生效。</w:t>
      </w:r>
    </w:p>
    <w:p w14:paraId="36BF6053">
      <w:pPr>
        <w:spacing w:line="360" w:lineRule="auto"/>
        <w:ind w:firstLine="480" w:firstLineChars="200"/>
        <w:jc w:val="left"/>
        <w:rPr>
          <w:rFonts w:hint="eastAsia" w:ascii="宋体" w:hAnsi="宋体" w:eastAsia="宋体" w:cs="宋体"/>
          <w:i w:val="0"/>
          <w:iCs w:val="0"/>
          <w:color w:val="auto"/>
          <w:sz w:val="24"/>
          <w:szCs w:val="24"/>
          <w:highlight w:val="none"/>
        </w:rPr>
      </w:pPr>
    </w:p>
    <w:p w14:paraId="2FB7598F">
      <w:pPr>
        <w:spacing w:line="360" w:lineRule="auto"/>
        <w:ind w:right="600"/>
        <w:jc w:val="left"/>
        <w:rPr>
          <w:rFonts w:hint="eastAsia" w:ascii="宋体" w:hAnsi="宋体" w:eastAsia="宋体" w:cs="宋体"/>
          <w:i w:val="0"/>
          <w:iCs w:val="0"/>
          <w:color w:val="auto"/>
          <w:sz w:val="24"/>
          <w:szCs w:val="24"/>
          <w:highlight w:val="none"/>
        </w:rPr>
      </w:pPr>
    </w:p>
    <w:p w14:paraId="145DD85F">
      <w:pPr>
        <w:spacing w:line="360" w:lineRule="auto"/>
        <w:ind w:right="6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7F13D1B0">
      <w:pPr>
        <w:spacing w:line="360" w:lineRule="auto"/>
        <w:ind w:right="1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23A27E52">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0459AE5C">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31FFB3F">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p>
    <w:p w14:paraId="1042EF92">
      <w:pPr>
        <w:spacing w:line="360" w:lineRule="auto"/>
        <w:ind w:right="150" w:firstLine="480" w:firstLineChars="200"/>
        <w:jc w:val="left"/>
        <w:rPr>
          <w:rFonts w:hint="eastAsia" w:ascii="宋体" w:hAnsi="宋体" w:eastAsia="宋体" w:cs="宋体"/>
          <w:i w:val="0"/>
          <w:iCs w:val="0"/>
          <w:color w:val="auto"/>
          <w:sz w:val="24"/>
          <w:szCs w:val="24"/>
          <w:highlight w:val="none"/>
          <w:u w:val="single"/>
        </w:rPr>
      </w:pPr>
    </w:p>
    <w:p w14:paraId="3B0B425A">
      <w:pPr>
        <w:spacing w:line="360" w:lineRule="auto"/>
        <w:ind w:right="150"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81F3369">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r>
        <w:rPr>
          <w:rFonts w:hint="eastAsia" w:ascii="宋体" w:hAnsi="宋体" w:eastAsia="宋体"/>
          <w:b/>
          <w:bCs/>
          <w:i w:val="0"/>
          <w:iCs w:val="0"/>
          <w:color w:val="auto"/>
          <w:sz w:val="24"/>
          <w:highlight w:val="none"/>
        </w:rPr>
        <w:t>附件11：</w:t>
      </w:r>
    </w:p>
    <w:p w14:paraId="5270E47C">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11-1：材料暂估价表</w:t>
      </w:r>
    </w:p>
    <w:tbl>
      <w:tblPr>
        <w:tblStyle w:val="28"/>
        <w:tblW w:w="8670"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298"/>
      </w:tblGrid>
      <w:tr w14:paraId="06528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3943A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F747C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898406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09E58AC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6DF491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5475C10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合价（元）</w:t>
            </w:r>
          </w:p>
        </w:tc>
        <w:tc>
          <w:tcPr>
            <w:tcW w:w="1298" w:type="dxa"/>
            <w:tcBorders>
              <w:top w:val="single" w:color="auto" w:sz="12" w:space="0"/>
              <w:bottom w:val="double" w:color="auto" w:sz="6" w:space="0"/>
            </w:tcBorders>
            <w:noWrap w:val="0"/>
            <w:vAlign w:val="top"/>
          </w:tcPr>
          <w:p w14:paraId="7878280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6F022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FF7442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BE9ABC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0803B5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A6114C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8C5F60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8D1B62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tcBorders>
              <w:top w:val="double" w:color="auto" w:sz="6" w:space="0"/>
              <w:bottom w:val="single" w:color="auto" w:sz="6" w:space="0"/>
            </w:tcBorders>
            <w:noWrap w:val="0"/>
            <w:vAlign w:val="top"/>
          </w:tcPr>
          <w:p w14:paraId="27D9C17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1C0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41BB80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38B5F23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top"/>
          </w:tcPr>
          <w:p w14:paraId="2288347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nil"/>
            </w:tcBorders>
            <w:noWrap w:val="0"/>
            <w:vAlign w:val="top"/>
          </w:tcPr>
          <w:p w14:paraId="20C58D9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nil"/>
            </w:tcBorders>
            <w:noWrap w:val="0"/>
            <w:vAlign w:val="top"/>
          </w:tcPr>
          <w:p w14:paraId="5B9B931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top"/>
          </w:tcPr>
          <w:p w14:paraId="394852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tcBorders>
              <w:top w:val="nil"/>
            </w:tcBorders>
            <w:noWrap w:val="0"/>
            <w:vAlign w:val="top"/>
          </w:tcPr>
          <w:p w14:paraId="061FA09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1A8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6C13D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B6D31C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5482DE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873FC7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0B9F30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96B1F7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1BFFFE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DD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B77E5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E994FC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14B56A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5E389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0DCE20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A0978A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0CD02F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28B7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6D1D9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13FAE8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1A6146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C8377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6D4940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B8F467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BB2E0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71D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28E34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462A0E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9090B9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FF310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9D563F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3DC67F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65925A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9D66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E7FA7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DB1F5F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9319EC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3B1E1B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215073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FCBF74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AB4AB5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676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E1A9A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B04019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33C32D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220796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CD84CE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1C0725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001D76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84C7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E1653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3A12DF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6FD69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7FAAD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1B43C0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9382D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3A171E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4E0F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C8F5A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A188D6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D9294D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000DA5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9CB34F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5C45F3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C94E5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98F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E8D01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1003AE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7DBBEA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B2E0DB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316D58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2E57FF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CC4880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DBE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CEA01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BE5F2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247A7B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64EAF1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8B8FAB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D4077A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0F2A804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E8E8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FC38E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189A0F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88F5E0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C9ED14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9D5FAB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8C1773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76D4E0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F23C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8B81F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BAF0BB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7AF9DF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13956A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310097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F85FFE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49F6F5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ACBD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CEB3F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BAE6C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34B2F3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058C8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CB3446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553757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0167E4B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376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F0A18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BBE90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5DC2B5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3F4537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5564A7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74DC29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B5BF4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5B28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84EC5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29C484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67902F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47D8F0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C87618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F0E6B0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8954E3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63B9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4FD6C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12EE01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153EFF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322466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669F74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586C85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BDCA13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B2D1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9962C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F4665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5DEE84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ED5DC7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8CC35E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4B6BBF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FCEC34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1BC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F76F3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9CE43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ECE5B2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6910F1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01C499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7D22CF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E60228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B8AA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125FF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C0CC78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1D993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B6C09E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52F29F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4458EA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4285F8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785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BAA8E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85F349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DA892F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44BFB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164A8D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2792FC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B20A69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3A4F9599">
      <w:pPr>
        <w:spacing w:before="156" w:beforeLines="50" w:after="156" w:afterLines="50" w:line="440" w:lineRule="exact"/>
        <w:rPr>
          <w:rFonts w:hint="eastAsia" w:ascii="Times New Roman" w:hAnsi="Times New Roman" w:eastAsia="黑体"/>
          <w:i w:val="0"/>
          <w:iCs w:val="0"/>
          <w:color w:val="auto"/>
          <w:sz w:val="30"/>
          <w:szCs w:val="30"/>
          <w:highlight w:val="none"/>
        </w:rPr>
      </w:pPr>
    </w:p>
    <w:p w14:paraId="3F093D0C">
      <w:pPr>
        <w:pStyle w:val="2"/>
        <w:rPr>
          <w:rFonts w:hint="eastAsia" w:ascii="Times New Roman" w:hAnsi="Times New Roman" w:eastAsia="黑体"/>
          <w:i w:val="0"/>
          <w:iCs w:val="0"/>
          <w:color w:val="auto"/>
          <w:sz w:val="30"/>
          <w:szCs w:val="30"/>
          <w:highlight w:val="none"/>
        </w:rPr>
      </w:pPr>
    </w:p>
    <w:p w14:paraId="15B6F47D">
      <w:pPr>
        <w:pStyle w:val="4"/>
        <w:ind w:left="0" w:leftChars="0" w:firstLine="0" w:firstLineChars="0"/>
        <w:rPr>
          <w:rFonts w:hint="eastAsia"/>
        </w:rPr>
      </w:pPr>
    </w:p>
    <w:p w14:paraId="4F4051A3">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11-2：工程设备暂估价表</w:t>
      </w:r>
    </w:p>
    <w:tbl>
      <w:tblPr>
        <w:tblStyle w:val="28"/>
        <w:tblW w:w="8550"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178"/>
      </w:tblGrid>
      <w:tr w14:paraId="02376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D7834F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C0EBE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598D3B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E02524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1DBDC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349E55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合价（元）</w:t>
            </w:r>
          </w:p>
        </w:tc>
        <w:tc>
          <w:tcPr>
            <w:tcW w:w="1178" w:type="dxa"/>
            <w:tcBorders>
              <w:top w:val="single" w:color="auto" w:sz="12" w:space="0"/>
              <w:bottom w:val="double" w:color="auto" w:sz="6" w:space="0"/>
            </w:tcBorders>
            <w:noWrap w:val="0"/>
            <w:vAlign w:val="top"/>
          </w:tcPr>
          <w:p w14:paraId="176B33C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1D193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ABD28F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F904ED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BE556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02B5D73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0CC94CC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1857DDA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tcBorders>
              <w:top w:val="double" w:color="auto" w:sz="6" w:space="0"/>
              <w:bottom w:val="single" w:color="auto" w:sz="6" w:space="0"/>
            </w:tcBorders>
            <w:noWrap w:val="0"/>
            <w:vAlign w:val="top"/>
          </w:tcPr>
          <w:p w14:paraId="5816889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5A00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E21D08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4880FAA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top"/>
          </w:tcPr>
          <w:p w14:paraId="6424BD2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nil"/>
            </w:tcBorders>
            <w:noWrap w:val="0"/>
            <w:vAlign w:val="top"/>
          </w:tcPr>
          <w:p w14:paraId="1D30F43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nil"/>
            </w:tcBorders>
            <w:noWrap w:val="0"/>
            <w:vAlign w:val="top"/>
          </w:tcPr>
          <w:p w14:paraId="61A747C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top"/>
          </w:tcPr>
          <w:p w14:paraId="02E82A1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tcBorders>
              <w:top w:val="nil"/>
            </w:tcBorders>
            <w:noWrap w:val="0"/>
            <w:vAlign w:val="top"/>
          </w:tcPr>
          <w:p w14:paraId="38FA598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9F25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AC147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2A78D2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CD705D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3D6270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238E31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D1D9AD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4E578D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5F6D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56F2D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921847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0B5CC1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989193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5A305A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85A48D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2CBD00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D385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7CC69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B4B9C4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E2FD6F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BF9377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BE77CF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BF09BF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C4865C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38E1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31DF1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2B3051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4B54D9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4C65FC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9C3C4B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A4811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6A193FA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6D7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697D6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8CA353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BE981E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CEFE34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E27FE8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690CEF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033968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60D6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511B1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591C8F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FFEA4C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181482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39C17A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CD0095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181680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4DE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7752B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1F3F4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FC763E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998B86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5E0610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248AE2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AEC976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799F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348A9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9A66F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A26A01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FCAFAF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546333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7F9040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3A3E54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923C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A6293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6B9A16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5AD170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C11AB4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5705F2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295E98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7F79D1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702B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5A974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F1B1B5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361113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7D058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6F820B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98096E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5A4DD0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AD5C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749A5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663915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4ED1A4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F530C8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6869F8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5F2F0B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4D163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7547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67A46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1F20D6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4A4EDC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BC74E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9FBA34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61DD93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13C36F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4F4E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2577A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57B1D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8CF379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ABEFE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126388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CE116E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DB3975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B212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11944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126F87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05BF39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DB8BB6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7D6F0D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A09FE9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23C871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0486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717BC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3CC198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F6B182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087D5ED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DF8D1A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AD720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746AD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57D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6A46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30BC2E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5C1209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CE0DB8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4F77E0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7ECA73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6D4D4EE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CB30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noWrap w:val="0"/>
            <w:vAlign w:val="top"/>
          </w:tcPr>
          <w:p w14:paraId="29BF8DB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DC131E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C52254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F27DDE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01AA64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8B234B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51081F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2359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E247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1D8C7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91727E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53B007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10A3B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E5658F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F1E7FF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D3E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4A7EB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AD6DDF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446B2C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42B5A8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BCAC94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C56605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1BC06C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DEA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1B401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AAEB4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7DD669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185BBB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2CCBB7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3C540C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4F20048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AAF1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0DE40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8BDF2F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59603A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28C6A6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F31320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92247E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222059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AC6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A9C6A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563BD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C3A31D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B29FA6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7498A9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A6510C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BB1941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78C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D7AB7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B13C6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DE4113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0F7DF55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E29C2F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889B69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170CA3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52EBE46D">
      <w:pPr>
        <w:spacing w:line="440" w:lineRule="exact"/>
        <w:rPr>
          <w:rFonts w:ascii="Times New Roman" w:hAnsi="Times New Roman" w:eastAsia="仿宋_GB2312"/>
          <w:i w:val="0"/>
          <w:iCs w:val="0"/>
          <w:color w:val="auto"/>
          <w:sz w:val="30"/>
          <w:szCs w:val="30"/>
          <w:highlight w:val="none"/>
        </w:rPr>
      </w:pPr>
    </w:p>
    <w:p w14:paraId="164D8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b/>
          <w:bCs/>
          <w:i w:val="0"/>
          <w:iCs w:val="0"/>
          <w:snapToGrid w:val="0"/>
          <w:color w:val="auto"/>
          <w:kern w:val="0"/>
          <w:szCs w:val="21"/>
          <w:highlight w:val="none"/>
        </w:rPr>
      </w:pPr>
      <w:r>
        <w:rPr>
          <w:rFonts w:ascii="Times New Roman" w:hAnsi="Times New Roman" w:eastAsia="仿宋_GB2312"/>
          <w:i w:val="0"/>
          <w:iCs w:val="0"/>
          <w:color w:val="auto"/>
          <w:sz w:val="30"/>
          <w:szCs w:val="30"/>
          <w:highlight w:val="none"/>
        </w:rPr>
        <w:br w:type="page"/>
      </w:r>
      <w:r>
        <w:rPr>
          <w:rFonts w:ascii="宋体" w:hAnsi="宋体" w:eastAsia="宋体"/>
          <w:b/>
          <w:bCs/>
          <w:i w:val="0"/>
          <w:iCs w:val="0"/>
          <w:snapToGrid w:val="0"/>
          <w:color w:val="auto"/>
          <w:kern w:val="0"/>
          <w:szCs w:val="21"/>
          <w:highlight w:val="none"/>
        </w:rPr>
        <w:t>11-3：专业工程暂估价表</w:t>
      </w:r>
    </w:p>
    <w:p w14:paraId="6DB505B4">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宋体" w:hAnsi="宋体" w:eastAsia="宋体"/>
          <w:b/>
          <w:bCs/>
          <w:i w:val="0"/>
          <w:iCs w:val="0"/>
          <w:snapToGrid w:val="0"/>
          <w:color w:val="auto"/>
          <w:kern w:val="0"/>
          <w:szCs w:val="21"/>
          <w:highlight w:val="none"/>
        </w:rPr>
      </w:pPr>
    </w:p>
    <w:tbl>
      <w:tblPr>
        <w:tblStyle w:val="28"/>
        <w:tblW w:w="84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265"/>
        <w:gridCol w:w="1276"/>
      </w:tblGrid>
      <w:tr w14:paraId="604D1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39822D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040ED4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专业工程名称</w:t>
            </w:r>
          </w:p>
        </w:tc>
        <w:tc>
          <w:tcPr>
            <w:tcW w:w="4265" w:type="dxa"/>
            <w:tcBorders>
              <w:top w:val="single" w:color="auto" w:sz="12" w:space="0"/>
              <w:bottom w:val="double" w:color="auto" w:sz="6" w:space="0"/>
            </w:tcBorders>
            <w:noWrap w:val="0"/>
            <w:vAlign w:val="top"/>
          </w:tcPr>
          <w:p w14:paraId="6007C99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工程内容</w:t>
            </w:r>
          </w:p>
        </w:tc>
        <w:tc>
          <w:tcPr>
            <w:tcW w:w="1276" w:type="dxa"/>
            <w:tcBorders>
              <w:top w:val="single" w:color="auto" w:sz="12" w:space="0"/>
              <w:bottom w:val="double" w:color="auto" w:sz="6" w:space="0"/>
            </w:tcBorders>
            <w:noWrap w:val="0"/>
            <w:vAlign w:val="top"/>
          </w:tcPr>
          <w:p w14:paraId="4E288DA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金额</w:t>
            </w:r>
          </w:p>
        </w:tc>
      </w:tr>
      <w:tr w14:paraId="78935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93FF5D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9B7B36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double" w:color="auto" w:sz="6" w:space="0"/>
              <w:bottom w:val="single" w:color="auto" w:sz="6" w:space="0"/>
            </w:tcBorders>
            <w:noWrap w:val="0"/>
            <w:vAlign w:val="top"/>
          </w:tcPr>
          <w:p w14:paraId="461CDD0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top"/>
          </w:tcPr>
          <w:p w14:paraId="5FDFC08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B372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F6B731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40F9E0B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nil"/>
            </w:tcBorders>
            <w:noWrap w:val="0"/>
            <w:vAlign w:val="top"/>
          </w:tcPr>
          <w:p w14:paraId="072EDD7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top"/>
          </w:tcPr>
          <w:p w14:paraId="47B5DF2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2C2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4076AA4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52A3AF3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nil"/>
            </w:tcBorders>
            <w:noWrap w:val="0"/>
            <w:vAlign w:val="top"/>
          </w:tcPr>
          <w:p w14:paraId="069D5AA6">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top"/>
          </w:tcPr>
          <w:p w14:paraId="2EDF998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EAA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F9E1C2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B9EFF7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758ED7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29CA80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59B1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5DB2C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0CC22F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B58319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B331A6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289B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38F79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D0691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7F6AD2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C99886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9B3C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59834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7FEEF7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43C296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53D5CD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FE3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49464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C9AB3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863CF9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EA581D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D06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CC712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97233C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A6EF7B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BA460A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EC5B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ED43AF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8E03CF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1500111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6607A9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725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37962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ED9D9D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1764D3C4">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49F782E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EC45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7DDCB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5DC4CD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6A9E95B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F63F8A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066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12473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589D78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0597FA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8B81AF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896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0712D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1BF116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CB30CC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2D5561D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1C32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ACF9D9">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96481C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68B8A12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5F5683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AFF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89C49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6B9B0A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5A3B544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527F33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0579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559E9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786F62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D17C52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7E890FD">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A87E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64FD3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25196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88B8603">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EEAE95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95DC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C71BBEB">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A51E54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DE4A6B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D5F185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423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0BBEAA">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4D9235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0DF82AA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218503E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77E7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CE7CAB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0437F3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5334B825">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3B9E63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7A00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5629271">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658F6B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284D94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B3B886F">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482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B3AA69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61ED1D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148D18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72DB32C">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DEC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8B86F10">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59CF7CE">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6798132">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6A2D3B8">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606B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404" w:type="dxa"/>
            <w:gridSpan w:val="4"/>
            <w:noWrap w:val="0"/>
            <w:vAlign w:val="top"/>
          </w:tcPr>
          <w:p w14:paraId="0751E6F7">
            <w:pPr>
              <w:pStyle w:val="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小计：</w:t>
            </w:r>
          </w:p>
        </w:tc>
      </w:tr>
      <w:bookmarkEnd w:id="468"/>
    </w:tbl>
    <w:p w14:paraId="25B1FD2B">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exact"/>
        <w:ind w:left="420" w:leftChars="0" w:hanging="420" w:firstLineChars="0"/>
        <w:textAlignment w:val="auto"/>
        <w:rPr>
          <w:rFonts w:hint="eastAsia" w:ascii="宋体" w:hAnsi="宋体" w:eastAsia="黑体" w:cstheme="minorBidi"/>
          <w:b/>
          <w:bCs/>
          <w:i w:val="0"/>
          <w:iCs w:val="0"/>
          <w:color w:val="auto"/>
          <w:kern w:val="44"/>
          <w:sz w:val="44"/>
          <w:szCs w:val="44"/>
          <w:highlight w:val="none"/>
          <w:lang w:val="en-US" w:eastAsia="zh-CN" w:bidi="ar-SA"/>
        </w:rPr>
      </w:pPr>
    </w:p>
    <w:p w14:paraId="6AE0B59E">
      <w:pPr>
        <w:rPr>
          <w:rFonts w:hint="eastAsia"/>
          <w:lang w:val="en-US" w:eastAsia="zh-CN"/>
        </w:rPr>
      </w:pPr>
    </w:p>
    <w:p w14:paraId="0EAD2D3B">
      <w:pPr>
        <w:pStyle w:val="5"/>
        <w:numPr>
          <w:ilvl w:val="0"/>
          <w:numId w:val="0"/>
        </w:numPr>
        <w:ind w:left="420" w:leftChars="0" w:hanging="420" w:firstLineChars="0"/>
        <w:rPr>
          <w:rFonts w:hint="eastAsia" w:cs="仿宋_GB2312"/>
          <w:i w:val="0"/>
          <w:iCs w:val="0"/>
          <w:color w:val="auto"/>
          <w:highlight w:val="none"/>
          <w:lang w:val="zh-CN"/>
        </w:rPr>
      </w:pPr>
      <w:bookmarkStart w:id="1180" w:name="_Toc32390"/>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1180"/>
    </w:p>
    <w:p w14:paraId="3D40132F">
      <w:pPr>
        <w:ind w:firstLine="480" w:firstLineChars="200"/>
        <w:rPr>
          <w:rFonts w:hint="eastAsia" w:cs="仿宋_GB2312"/>
          <w:color w:val="auto"/>
          <w:szCs w:val="24"/>
          <w:highlight w:val="none"/>
          <w:lang w:val="zh-CN"/>
        </w:rPr>
      </w:pPr>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36DF3F4E">
      <w:pPr>
        <w:autoSpaceDE w:val="0"/>
        <w:autoSpaceDN w:val="0"/>
        <w:adjustRightInd w:val="0"/>
        <w:jc w:val="both"/>
        <w:rPr>
          <w:color w:val="auto"/>
          <w:sz w:val="21"/>
          <w:szCs w:val="24"/>
          <w:highlight w:val="none"/>
        </w:rPr>
      </w:pPr>
    </w:p>
    <w:p w14:paraId="336E03FA">
      <w:pPr>
        <w:pStyle w:val="6"/>
        <w:bidi w:val="0"/>
        <w:jc w:val="center"/>
        <w:rPr>
          <w:sz w:val="84"/>
          <w:szCs w:val="84"/>
        </w:rPr>
      </w:pPr>
      <w:bookmarkStart w:id="1181" w:name="_Toc10901"/>
      <w:r>
        <w:rPr>
          <w:rFonts w:hint="eastAsia"/>
          <w:sz w:val="84"/>
          <w:szCs w:val="84"/>
          <w:lang w:val="en-US" w:eastAsia="zh-CN"/>
        </w:rPr>
        <w:t>响</w:t>
      </w:r>
      <w:r>
        <w:rPr>
          <w:rFonts w:hint="eastAsia"/>
          <w:sz w:val="84"/>
          <w:szCs w:val="84"/>
        </w:rPr>
        <w:t xml:space="preserve"> </w:t>
      </w:r>
      <w:r>
        <w:rPr>
          <w:rFonts w:hint="eastAsia"/>
          <w:sz w:val="84"/>
          <w:szCs w:val="84"/>
          <w:lang w:val="en-US" w:eastAsia="zh-CN"/>
        </w:rPr>
        <w:t>应</w:t>
      </w:r>
      <w:r>
        <w:rPr>
          <w:rFonts w:hint="eastAsia"/>
          <w:sz w:val="84"/>
          <w:szCs w:val="84"/>
        </w:rPr>
        <w:t xml:space="preserve"> 文 件</w:t>
      </w:r>
      <w:bookmarkEnd w:id="1181"/>
    </w:p>
    <w:p w14:paraId="7053976A">
      <w:pPr>
        <w:pStyle w:val="6"/>
        <w:bidi w:val="0"/>
        <w:jc w:val="center"/>
        <w:rPr>
          <w:sz w:val="56"/>
          <w:szCs w:val="56"/>
        </w:rPr>
      </w:pPr>
      <w:bookmarkStart w:id="1182" w:name="_Toc13537"/>
      <w:r>
        <w:rPr>
          <w:rFonts w:hint="eastAsia"/>
          <w:sz w:val="56"/>
          <w:szCs w:val="56"/>
        </w:rPr>
        <w:t>资格证明文件</w:t>
      </w:r>
      <w:bookmarkEnd w:id="1182"/>
    </w:p>
    <w:p w14:paraId="11B2218D">
      <w:pPr>
        <w:autoSpaceDE w:val="0"/>
        <w:autoSpaceDN w:val="0"/>
        <w:adjustRightInd w:val="0"/>
        <w:rPr>
          <w:b/>
          <w:bCs/>
          <w:color w:val="auto"/>
          <w:sz w:val="22"/>
          <w:highlight w:val="none"/>
        </w:rPr>
      </w:pPr>
    </w:p>
    <w:p w14:paraId="7EDE7CD9">
      <w:pPr>
        <w:autoSpaceDE w:val="0"/>
        <w:autoSpaceDN w:val="0"/>
        <w:adjustRightInd w:val="0"/>
        <w:rPr>
          <w:color w:val="auto"/>
          <w:sz w:val="21"/>
          <w:szCs w:val="21"/>
          <w:highlight w:val="none"/>
        </w:rPr>
      </w:pPr>
    </w:p>
    <w:p w14:paraId="42DB1859">
      <w:pPr>
        <w:pStyle w:val="6"/>
        <w:rPr>
          <w:color w:val="auto"/>
          <w:highlight w:val="none"/>
        </w:rPr>
      </w:pPr>
    </w:p>
    <w:p w14:paraId="30EB22E6">
      <w:pPr>
        <w:autoSpaceDE w:val="0"/>
        <w:autoSpaceDN w:val="0"/>
        <w:adjustRightInd w:val="0"/>
        <w:rPr>
          <w:color w:val="auto"/>
          <w:sz w:val="21"/>
          <w:szCs w:val="21"/>
          <w:highlight w:val="none"/>
        </w:rPr>
      </w:pPr>
    </w:p>
    <w:p w14:paraId="0D158554">
      <w:pPr>
        <w:autoSpaceDE w:val="0"/>
        <w:autoSpaceDN w:val="0"/>
        <w:adjustRightInd w:val="0"/>
        <w:rPr>
          <w:color w:val="auto"/>
          <w:sz w:val="21"/>
          <w:szCs w:val="21"/>
          <w:highlight w:val="none"/>
        </w:rPr>
      </w:pPr>
    </w:p>
    <w:p w14:paraId="01B855BF">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E0530D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281C2EA">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DB2DE4">
      <w:pPr>
        <w:ind w:left="840" w:firstLine="420"/>
        <w:rPr>
          <w:b/>
          <w:bCs/>
          <w:color w:val="auto"/>
          <w:sz w:val="28"/>
          <w:szCs w:val="28"/>
          <w:highlight w:val="none"/>
        </w:rPr>
      </w:pPr>
    </w:p>
    <w:p w14:paraId="1D6D546F">
      <w:pPr>
        <w:ind w:left="840" w:firstLine="420"/>
        <w:rPr>
          <w:b/>
          <w:bCs/>
          <w:color w:val="auto"/>
          <w:sz w:val="28"/>
          <w:szCs w:val="28"/>
          <w:highlight w:val="none"/>
        </w:rPr>
      </w:pPr>
    </w:p>
    <w:p w14:paraId="167EF277">
      <w:pPr>
        <w:ind w:left="840" w:firstLine="420"/>
        <w:rPr>
          <w:b/>
          <w:bCs/>
          <w:color w:val="auto"/>
          <w:sz w:val="28"/>
          <w:szCs w:val="28"/>
          <w:highlight w:val="none"/>
        </w:rPr>
      </w:pPr>
    </w:p>
    <w:p w14:paraId="6F83EA22">
      <w:pPr>
        <w:jc w:val="center"/>
        <w:rPr>
          <w:rFonts w:ascii="黑体" w:hAnsi="黑体" w:eastAsia="黑体"/>
          <w:i w:val="0"/>
          <w:iCs w:val="0"/>
          <w:color w:val="auto"/>
          <w:sz w:val="32"/>
          <w:szCs w:val="32"/>
          <w:highlight w:val="none"/>
        </w:rPr>
      </w:pPr>
      <w:r>
        <w:rPr>
          <w:rFonts w:hint="eastAsia" w:ascii="宋体" w:hAnsi="宋体" w:eastAsia="宋体" w:cs="宋体"/>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color w:val="auto"/>
          <w:highlight w:val="none"/>
          <w:lang w:val="zh-CN"/>
        </w:rPr>
      </w:pPr>
      <w:bookmarkStart w:id="1183" w:name="_Toc163493643"/>
    </w:p>
    <w:p w14:paraId="1582779F">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84" w:name="_Toc29826"/>
      <w:bookmarkStart w:id="1185"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1184"/>
    </w:p>
    <w:bookmarkEnd w:id="1185"/>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1、供应商</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2、供应商</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3、供应商</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4、供应商</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C5E4B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5、供应商</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0552EC5">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55A5AE2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593C05F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4E552CF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7171938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0E2D605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3845DBA7">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278832F9">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5867C6B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4053A2A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5A243C9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08CDCDAB">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28CC466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47D8D8D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5C8690F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69A95AD2">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1186" w:name="_Toc163492922"/>
      <w:bookmarkStart w:id="1187" w:name="_Toc155185928"/>
      <w:bookmarkStart w:id="1188" w:name="_Toc15431"/>
      <w:r>
        <w:rPr>
          <w:rFonts w:hint="eastAsia" w:eastAsia="宋体" w:cstheme="majorBidi"/>
          <w:b/>
          <w:bCs/>
          <w:color w:val="auto"/>
          <w:kern w:val="2"/>
          <w:sz w:val="24"/>
          <w:szCs w:val="24"/>
          <w:highlight w:val="none"/>
          <w:lang w:val="en-US" w:eastAsia="zh-CN" w:bidi="ar-SA"/>
        </w:rPr>
        <w:t>（二</w:t>
      </w:r>
      <w:bookmarkEnd w:id="1186"/>
      <w:bookmarkEnd w:id="1187"/>
      <w:r>
        <w:rPr>
          <w:rFonts w:hint="eastAsia" w:eastAsia="宋体" w:cstheme="majorBidi"/>
          <w:b/>
          <w:bCs/>
          <w:color w:val="auto"/>
          <w:kern w:val="2"/>
          <w:sz w:val="24"/>
          <w:szCs w:val="24"/>
          <w:highlight w:val="none"/>
          <w:lang w:val="en-US" w:eastAsia="zh-CN" w:bidi="ar-SA"/>
        </w:rPr>
        <w:t>）</w:t>
      </w:r>
      <w:r>
        <w:rPr>
          <w:rFonts w:hint="eastAsia" w:cstheme="majorBidi"/>
          <w:b/>
          <w:bCs/>
          <w:color w:val="auto"/>
          <w:kern w:val="2"/>
          <w:sz w:val="24"/>
          <w:szCs w:val="24"/>
          <w:highlight w:val="none"/>
          <w:lang w:val="en-US" w:eastAsia="zh-CN" w:bidi="ar-SA"/>
        </w:rPr>
        <w:t xml:space="preserve"> </w:t>
      </w:r>
      <w:r>
        <w:rPr>
          <w:rFonts w:hint="eastAsia" w:eastAsia="宋体" w:cstheme="majorBidi"/>
          <w:b/>
          <w:bCs/>
          <w:color w:val="auto"/>
          <w:kern w:val="2"/>
          <w:sz w:val="24"/>
          <w:szCs w:val="24"/>
          <w:highlight w:val="none"/>
          <w:lang w:val="en-US" w:eastAsia="zh-CN" w:bidi="ar-SA"/>
        </w:rPr>
        <w:t>政府采购供应商信用承诺函</w:t>
      </w:r>
      <w:bookmarkEnd w:id="1188"/>
    </w:p>
    <w:p w14:paraId="149786FB">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8FFA3C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DA4A26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2565F5FE">
      <w:pPr>
        <w:spacing w:line="560" w:lineRule="exact"/>
        <w:ind w:firstLine="480" w:firstLineChars="200"/>
        <w:rPr>
          <w:rFonts w:hint="eastAsia" w:ascii="宋体" w:hAnsi="宋体" w:eastAsia="宋体" w:cs="宋体"/>
          <w:i w:val="0"/>
          <w:iCs w:val="0"/>
          <w:color w:val="auto"/>
          <w:kern w:val="0"/>
          <w:sz w:val="24"/>
          <w:szCs w:val="24"/>
          <w:highlight w:val="none"/>
        </w:rPr>
      </w:pPr>
    </w:p>
    <w:p w14:paraId="39CDD6B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0127B2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i w:val="0"/>
          <w:iCs w:val="0"/>
          <w:color w:val="auto"/>
          <w:kern w:val="0"/>
          <w:sz w:val="24"/>
          <w:szCs w:val="24"/>
          <w:highlight w:val="none"/>
        </w:rPr>
      </w:pPr>
    </w:p>
    <w:p w14:paraId="5883D10C">
      <w:pPr>
        <w:spacing w:line="560" w:lineRule="exact"/>
        <w:rPr>
          <w:rFonts w:hint="eastAsia" w:ascii="宋体" w:hAnsi="宋体" w:eastAsia="宋体" w:cs="宋体"/>
          <w:i w:val="0"/>
          <w:iCs w:val="0"/>
          <w:color w:val="auto"/>
          <w:kern w:val="0"/>
          <w:sz w:val="24"/>
          <w:szCs w:val="24"/>
          <w:highlight w:val="none"/>
        </w:rPr>
      </w:pPr>
    </w:p>
    <w:p w14:paraId="0206684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FCFFDC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法定代表人、负责人、本人、或授权代表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val="en-US"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10A125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33E55E65">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1189" w:name="_Toc109899917"/>
      <w:bookmarkStart w:id="1190" w:name="_Toc109899498"/>
      <w:bookmarkStart w:id="1191" w:name="_Toc109900336"/>
      <w:bookmarkStart w:id="1192" w:name="_Toc155185930"/>
      <w:bookmarkStart w:id="1193" w:name="_Toc140132840"/>
      <w:bookmarkStart w:id="1194" w:name="_Toc163492923"/>
      <w:bookmarkStart w:id="1195" w:name="_Toc10865"/>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1189"/>
      <w:bookmarkEnd w:id="1190"/>
      <w:bookmarkEnd w:id="1191"/>
      <w:bookmarkEnd w:id="1192"/>
      <w:bookmarkEnd w:id="1193"/>
      <w:bookmarkEnd w:id="1194"/>
      <w:bookmarkStart w:id="1196"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1196"/>
      <w:r>
        <w:rPr>
          <w:rFonts w:hint="eastAsia" w:ascii="宋体" w:hAnsi="宋体" w:eastAsia="宋体" w:cstheme="minorBidi"/>
          <w:b w:val="0"/>
          <w:bCs w:val="0"/>
          <w:color w:val="auto"/>
          <w:kern w:val="2"/>
          <w:sz w:val="28"/>
          <w:szCs w:val="28"/>
          <w:highlight w:val="none"/>
          <w:lang w:val="zh-CN" w:eastAsia="zh-CN" w:bidi="ar-SA"/>
        </w:rPr>
        <w:t>【如适用】</w:t>
      </w:r>
      <w:bookmarkEnd w:id="1195"/>
    </w:p>
    <w:p w14:paraId="39563C7F">
      <w:pPr>
        <w:snapToGrid w:val="0"/>
        <w:spacing w:line="360" w:lineRule="auto"/>
        <w:jc w:val="center"/>
        <w:outlineLvl w:val="0"/>
        <w:rPr>
          <w:rFonts w:hint="eastAsia" w:ascii="宋体" w:hAnsi="宋体" w:cs="宋体"/>
          <w:b/>
          <w:color w:val="auto"/>
          <w:kern w:val="0"/>
          <w:sz w:val="32"/>
          <w:szCs w:val="32"/>
          <w:highlight w:val="none"/>
        </w:rPr>
      </w:pPr>
    </w:p>
    <w:p w14:paraId="5AAD02BD">
      <w:pPr>
        <w:snapToGrid w:val="0"/>
        <w:spacing w:line="360" w:lineRule="auto"/>
        <w:jc w:val="center"/>
        <w:outlineLvl w:val="0"/>
        <w:rPr>
          <w:rFonts w:hint="eastAsia" w:ascii="宋体" w:hAnsi="宋体" w:cs="宋体"/>
          <w:b/>
          <w:i w:val="0"/>
          <w:iCs w:val="0"/>
          <w:color w:val="auto"/>
          <w:kern w:val="0"/>
          <w:sz w:val="32"/>
          <w:szCs w:val="32"/>
          <w:highlight w:val="none"/>
        </w:rPr>
      </w:pPr>
      <w:bookmarkStart w:id="1197" w:name="_Toc17206"/>
      <w:r>
        <w:rPr>
          <w:rFonts w:hint="eastAsia" w:ascii="宋体" w:hAnsi="宋体" w:cs="宋体"/>
          <w:b/>
          <w:color w:val="auto"/>
          <w:kern w:val="0"/>
          <w:sz w:val="32"/>
          <w:szCs w:val="32"/>
          <w:highlight w:val="none"/>
        </w:rPr>
        <w:t>联合体协议书</w:t>
      </w:r>
      <w:bookmarkEnd w:id="1197"/>
    </w:p>
    <w:p w14:paraId="6795462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14187E6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682E8747">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，代表所有联合体成员负责</w:t>
      </w:r>
      <w:r>
        <w:rPr>
          <w:rFonts w:hint="eastAsia" w:cs="宋体"/>
          <w:i w:val="0"/>
          <w:iCs w:val="0"/>
          <w:color w:val="auto"/>
          <w:sz w:val="24"/>
          <w:highlight w:val="none"/>
          <w:lang w:val="en-US" w:eastAsia="zh-CN"/>
        </w:rPr>
        <w:t>磋商响应</w:t>
      </w:r>
      <w:r>
        <w:rPr>
          <w:rFonts w:hint="eastAsia" w:ascii="宋体" w:hAnsi="宋体" w:cs="宋体"/>
          <w:i w:val="0"/>
          <w:iCs w:val="0"/>
          <w:color w:val="auto"/>
          <w:sz w:val="24"/>
          <w:highlight w:val="none"/>
        </w:rPr>
        <w:t>和合同实施阶段的主办、协调工作</w:t>
      </w:r>
      <w:r>
        <w:rPr>
          <w:rFonts w:hint="eastAsia" w:ascii="宋体" w:hAnsi="宋体" w:cs="宋体"/>
          <w:i w:val="0"/>
          <w:iCs w:val="0"/>
          <w:color w:val="auto"/>
          <w:kern w:val="0"/>
          <w:sz w:val="24"/>
          <w:highlight w:val="none"/>
          <w:lang w:val="zh-CN"/>
        </w:rPr>
        <w:t>。</w:t>
      </w:r>
    </w:p>
    <w:p w14:paraId="2FA3C75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各方产生约束力。</w:t>
      </w:r>
    </w:p>
    <w:p w14:paraId="794C756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5742291A">
      <w:pPr>
        <w:snapToGrid w:val="0"/>
        <w:spacing w:line="360" w:lineRule="auto"/>
        <w:ind w:firstLine="576"/>
        <w:rPr>
          <w:rFonts w:ascii="宋体" w:hAnsi="宋体" w:cs="宋体"/>
          <w:i w:val="0"/>
          <w:iCs w:val="0"/>
          <w:color w:val="auto"/>
          <w:kern w:val="0"/>
          <w:sz w:val="24"/>
          <w:highlight w:val="none"/>
          <w:lang w:val="zh-CN"/>
        </w:rPr>
      </w:pPr>
      <w:bookmarkStart w:id="1198"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51F758B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6E4350A6">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1198"/>
    <w:p w14:paraId="417425E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工程</w:t>
      </w:r>
      <w:r>
        <w:rPr>
          <w:rFonts w:hint="eastAsia" w:ascii="宋体" w:hAnsi="宋体" w:cs="宋体"/>
          <w:i w:val="0"/>
          <w:iCs w:val="0"/>
          <w:color w:val="auto"/>
          <w:kern w:val="0"/>
          <w:sz w:val="24"/>
          <w:highlight w:val="none"/>
        </w:rPr>
        <w:t>由小微企业</w:t>
      </w:r>
      <w:r>
        <w:rPr>
          <w:rFonts w:hint="eastAsia" w:cs="宋体"/>
          <w:i w:val="0"/>
          <w:iCs w:val="0"/>
          <w:color w:val="auto"/>
          <w:kern w:val="0"/>
          <w:sz w:val="24"/>
          <w:highlight w:val="none"/>
          <w:lang w:val="en-US" w:eastAsia="zh-CN"/>
        </w:rPr>
        <w:t>实施</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w:t>
      </w:r>
      <w:r>
        <w:rPr>
          <w:rFonts w:hint="eastAsia" w:ascii="宋体" w:hAnsi="宋体" w:cs="宋体"/>
          <w:b/>
          <w:i w:val="0"/>
          <w:iCs w:val="0"/>
          <w:color w:val="auto"/>
          <w:kern w:val="0"/>
          <w:sz w:val="24"/>
          <w:highlight w:val="none"/>
          <w:lang w:val="zh-CN" w:eastAsia="zh-CN"/>
        </w:rPr>
        <w:t>磋商响应</w:t>
      </w:r>
      <w:r>
        <w:rPr>
          <w:rFonts w:hint="eastAsia" w:ascii="宋体" w:hAnsi="宋体" w:cs="宋体"/>
          <w:b/>
          <w:i w:val="0"/>
          <w:iCs w:val="0"/>
          <w:color w:val="auto"/>
          <w:kern w:val="0"/>
          <w:sz w:val="24"/>
          <w:highlight w:val="none"/>
          <w:lang w:val="zh-CN"/>
        </w:rPr>
        <w:t>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C0B640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1EC462A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0B6A82F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518CE91A">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1797DC92">
      <w:pPr>
        <w:pStyle w:val="6"/>
        <w:rPr>
          <w:i w:val="0"/>
          <w:iCs w:val="0"/>
          <w:color w:val="auto"/>
          <w:highlight w:val="none"/>
          <w:lang w:val="zh-CN"/>
        </w:rPr>
      </w:pPr>
    </w:p>
    <w:p w14:paraId="6A1B5B57">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21DBA72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C01AA7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64D03F6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69BB115A">
      <w:pPr>
        <w:spacing w:line="360" w:lineRule="auto"/>
        <w:ind w:right="420"/>
        <w:rPr>
          <w:rFonts w:ascii="宋体" w:hAnsi="宋体" w:cs="宋体"/>
          <w:i w:val="0"/>
          <w:iCs w:val="0"/>
          <w:color w:val="auto"/>
          <w:sz w:val="21"/>
          <w:szCs w:val="21"/>
          <w:highlight w:val="none"/>
        </w:rPr>
      </w:pPr>
      <w:r>
        <w:rPr>
          <w:rFonts w:hint="eastAsia" w:ascii="宋体" w:hAnsi="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75121566">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1199" w:name="_Toc162299566"/>
      <w:bookmarkStart w:id="1200" w:name="_Toc29707"/>
      <w:bookmarkStart w:id="1201" w:name="_Toc156490356"/>
      <w:bookmarkStart w:id="1202"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1199"/>
      <w:bookmarkEnd w:id="1200"/>
      <w:bookmarkEnd w:id="1201"/>
    </w:p>
    <w:p w14:paraId="72EF9FB2">
      <w:pPr>
        <w:snapToGrid w:val="0"/>
        <w:spacing w:line="360" w:lineRule="auto"/>
        <w:jc w:val="center"/>
        <w:outlineLvl w:val="0"/>
        <w:rPr>
          <w:rFonts w:hint="eastAsia" w:ascii="宋体" w:hAnsi="宋体" w:cs="宋体"/>
          <w:b/>
          <w:color w:val="auto"/>
          <w:kern w:val="0"/>
          <w:sz w:val="32"/>
          <w:szCs w:val="32"/>
          <w:highlight w:val="none"/>
        </w:rPr>
      </w:pPr>
    </w:p>
    <w:p w14:paraId="14324193">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1203" w:name="_Toc16723"/>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1203"/>
    </w:p>
    <w:p w14:paraId="4E9F0BF4">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5791A45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545E90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5E08737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37B916C5">
      <w:pPr>
        <w:pStyle w:val="6"/>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1204" w:name="_Toc1681"/>
      <w:r>
        <w:rPr>
          <w:rFonts w:hint="eastAsia" w:ascii="宋体" w:hAnsi="宋体" w:eastAsia="宋体" w:cs="宋体"/>
          <w:i w:val="0"/>
          <w:iCs w:val="0"/>
          <w:color w:val="auto"/>
          <w:kern w:val="0"/>
          <w:sz w:val="24"/>
          <w:szCs w:val="24"/>
          <w:highlight w:val="none"/>
        </w:rPr>
        <w:t>……</w:t>
      </w:r>
      <w:bookmarkEnd w:id="1204"/>
    </w:p>
    <w:p w14:paraId="0426889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工程</w:t>
      </w:r>
      <w:r>
        <w:rPr>
          <w:rFonts w:hint="eastAsia" w:ascii="宋体" w:hAnsi="宋体" w:cs="宋体"/>
          <w:i w:val="0"/>
          <w:iCs w:val="0"/>
          <w:color w:val="auto"/>
          <w:kern w:val="0"/>
          <w:sz w:val="24"/>
          <w:highlight w:val="none"/>
          <w:u w:val="single"/>
        </w:rPr>
        <w:t>全部由小微企业</w:t>
      </w:r>
      <w:r>
        <w:rPr>
          <w:rFonts w:hint="eastAsia" w:cs="宋体"/>
          <w:i w:val="0"/>
          <w:iCs w:val="0"/>
          <w:color w:val="auto"/>
          <w:kern w:val="0"/>
          <w:sz w:val="24"/>
          <w:highlight w:val="none"/>
          <w:u w:val="single"/>
          <w:lang w:val="en-US" w:eastAsia="zh-CN"/>
        </w:rPr>
        <w:t>实施</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45FF207">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1205"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1205"/>
    </w:p>
    <w:p w14:paraId="51C56E7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7F26E4A3">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7925029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7369B1B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E7AB09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632B92C8">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C79FAF7">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17F77B9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2CBB9B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5D83C45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A9066DF">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en-US" w:eastAsia="zh-CN"/>
        </w:rPr>
        <w:t>公章</w:t>
      </w:r>
      <w:r>
        <w:rPr>
          <w:rFonts w:hint="eastAsia" w:ascii="宋体" w:hAnsi="宋体" w:cs="宋体"/>
          <w:i w:val="0"/>
          <w:iCs w:val="0"/>
          <w:color w:val="auto"/>
          <w:kern w:val="0"/>
          <w:sz w:val="24"/>
          <w:highlight w:val="none"/>
          <w:lang w:val="zh-CN"/>
        </w:rPr>
        <w:t>)：</w:t>
      </w:r>
    </w:p>
    <w:p w14:paraId="665C464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2C38D7A">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49A2F910">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F0D76CC">
      <w:pPr>
        <w:topLinePunct/>
        <w:ind w:firstLine="480" w:firstLineChars="200"/>
        <w:rPr>
          <w:rFonts w:hint="eastAsia"/>
          <w:i w:val="0"/>
          <w:iCs w:val="0"/>
          <w:color w:val="auto"/>
          <w:szCs w:val="32"/>
          <w:highlight w:val="none"/>
        </w:rPr>
      </w:pPr>
    </w:p>
    <w:p w14:paraId="5F400CB9">
      <w:pPr>
        <w:topLinePunct/>
        <w:ind w:firstLine="480" w:firstLineChars="200"/>
        <w:rPr>
          <w:rFonts w:hint="eastAsia"/>
          <w:i w:val="0"/>
          <w:iCs w:val="0"/>
          <w:color w:val="auto"/>
          <w:szCs w:val="32"/>
          <w:highlight w:val="none"/>
        </w:rPr>
      </w:pPr>
    </w:p>
    <w:p w14:paraId="11CAF290">
      <w:pPr>
        <w:topLinePunct/>
        <w:ind w:firstLine="480" w:firstLineChars="200"/>
        <w:rPr>
          <w:rFonts w:hint="eastAsia"/>
          <w:i w:val="0"/>
          <w:iCs w:val="0"/>
          <w:color w:val="auto"/>
          <w:szCs w:val="32"/>
          <w:highlight w:val="none"/>
        </w:rPr>
      </w:pPr>
    </w:p>
    <w:p w14:paraId="35CFE103">
      <w:pPr>
        <w:topLinePunct/>
        <w:ind w:firstLine="480" w:firstLineChars="200"/>
        <w:rPr>
          <w:rFonts w:hint="eastAsia"/>
          <w:i w:val="0"/>
          <w:iCs w:val="0"/>
          <w:color w:val="auto"/>
          <w:szCs w:val="32"/>
          <w:highlight w:val="none"/>
        </w:rPr>
      </w:pPr>
    </w:p>
    <w:bookmarkEnd w:id="1202"/>
    <w:p w14:paraId="5775F461">
      <w:pPr>
        <w:ind w:left="2520" w:leftChars="1050"/>
        <w:rPr>
          <w:i w:val="0"/>
          <w:iCs w:val="0"/>
          <w:color w:val="auto"/>
          <w:highlight w:val="none"/>
        </w:rPr>
      </w:pPr>
      <w:r>
        <w:rPr>
          <w:rFonts w:cs="Courier New"/>
          <w:i w:val="0"/>
          <w:iCs w:val="0"/>
          <w:color w:val="auto"/>
          <w:szCs w:val="24"/>
          <w:highlight w:val="none"/>
        </w:rPr>
        <w:br w:type="page"/>
      </w:r>
    </w:p>
    <w:p w14:paraId="27442EEC">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206" w:name="_Toc163492926"/>
      <w:bookmarkStart w:id="1207" w:name="_Toc155185932"/>
      <w:bookmarkStart w:id="1208" w:name="_Toc2629"/>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1206"/>
      <w:bookmarkEnd w:id="1207"/>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1208"/>
    </w:p>
    <w:p w14:paraId="0BDCE4AB">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09" w:name="_Toc13527"/>
      <w:bookmarkStart w:id="1210" w:name="_Toc1634929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1209"/>
      <w:bookmarkEnd w:id="1210"/>
    </w:p>
    <w:p w14:paraId="738C7A23">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74728550">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5"/>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5"/>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5"/>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5"/>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5"/>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5"/>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5"/>
              <w:jc w:val="center"/>
              <w:rPr>
                <w:color w:val="auto"/>
                <w:sz w:val="21"/>
                <w:szCs w:val="21"/>
                <w:highlight w:val="none"/>
              </w:rPr>
            </w:pPr>
            <w:r>
              <w:rPr>
                <w:rFonts w:hint="eastAsia"/>
                <w:color w:val="auto"/>
                <w:sz w:val="21"/>
                <w:szCs w:val="21"/>
                <w:highlight w:val="none"/>
              </w:rPr>
              <w:t>单价</w:t>
            </w:r>
          </w:p>
          <w:p w14:paraId="4D8AC9C4">
            <w:pPr>
              <w:pStyle w:val="45"/>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5"/>
              <w:jc w:val="center"/>
              <w:rPr>
                <w:color w:val="auto"/>
                <w:sz w:val="21"/>
                <w:szCs w:val="21"/>
                <w:highlight w:val="none"/>
              </w:rPr>
            </w:pPr>
            <w:r>
              <w:rPr>
                <w:rFonts w:hint="eastAsia"/>
                <w:color w:val="auto"/>
                <w:sz w:val="21"/>
                <w:szCs w:val="21"/>
                <w:highlight w:val="none"/>
              </w:rPr>
              <w:t>总价</w:t>
            </w:r>
          </w:p>
          <w:p w14:paraId="4637FB3E">
            <w:pPr>
              <w:pStyle w:val="45"/>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5"/>
              <w:jc w:val="center"/>
              <w:rPr>
                <w:color w:val="auto"/>
                <w:sz w:val="21"/>
                <w:szCs w:val="21"/>
                <w:highlight w:val="none"/>
              </w:rPr>
            </w:pPr>
            <w:r>
              <w:rPr>
                <w:rFonts w:hint="eastAsia"/>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5"/>
              <w:numPr>
                <w:ilvl w:val="0"/>
                <w:numId w:val="2"/>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5"/>
              <w:jc w:val="center"/>
              <w:rPr>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5"/>
              <w:numPr>
                <w:ilvl w:val="0"/>
                <w:numId w:val="2"/>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5"/>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5"/>
              <w:jc w:val="center"/>
              <w:rPr>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5"/>
              <w:numPr>
                <w:ilvl w:val="0"/>
                <w:numId w:val="2"/>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5"/>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5"/>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5"/>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5"/>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5"/>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5"/>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5"/>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5"/>
              <w:jc w:val="center"/>
              <w:rPr>
                <w:color w:val="auto"/>
                <w:sz w:val="21"/>
                <w:szCs w:val="21"/>
                <w:highlight w:val="none"/>
              </w:rPr>
            </w:pPr>
          </w:p>
        </w:tc>
      </w:tr>
    </w:tbl>
    <w:p w14:paraId="2831E0BE">
      <w:pPr>
        <w:spacing w:line="300" w:lineRule="auto"/>
        <w:rPr>
          <w:rFonts w:ascii="Arial" w:hAnsi="Arial" w:cs="Arial"/>
          <w:color w:val="auto"/>
          <w:szCs w:val="21"/>
          <w:highlight w:val="none"/>
        </w:rPr>
      </w:pPr>
    </w:p>
    <w:p w14:paraId="60D44E3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28"/>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5"/>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5"/>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5"/>
              <w:jc w:val="center"/>
              <w:rPr>
                <w:color w:val="auto"/>
                <w:sz w:val="21"/>
                <w:szCs w:val="21"/>
                <w:highlight w:val="none"/>
              </w:rPr>
            </w:pPr>
            <w:r>
              <w:rPr>
                <w:rFonts w:hint="eastAsia"/>
                <w:color w:val="auto"/>
                <w:sz w:val="21"/>
                <w:szCs w:val="21"/>
                <w:highlight w:val="none"/>
              </w:rPr>
              <w:t>制造商</w:t>
            </w:r>
          </w:p>
          <w:p w14:paraId="6871D586">
            <w:pPr>
              <w:pStyle w:val="45"/>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5"/>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5"/>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5"/>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5"/>
              <w:jc w:val="center"/>
              <w:rPr>
                <w:color w:val="auto"/>
                <w:sz w:val="21"/>
                <w:szCs w:val="21"/>
                <w:highlight w:val="none"/>
              </w:rPr>
            </w:pPr>
            <w:r>
              <w:rPr>
                <w:rFonts w:hint="eastAsia"/>
                <w:color w:val="auto"/>
                <w:sz w:val="21"/>
                <w:szCs w:val="21"/>
                <w:highlight w:val="none"/>
              </w:rPr>
              <w:t>单价</w:t>
            </w:r>
          </w:p>
          <w:p w14:paraId="09FBCB92">
            <w:pPr>
              <w:pStyle w:val="45"/>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5"/>
              <w:jc w:val="center"/>
              <w:rPr>
                <w:color w:val="auto"/>
                <w:sz w:val="21"/>
                <w:szCs w:val="21"/>
                <w:highlight w:val="none"/>
              </w:rPr>
            </w:pPr>
            <w:r>
              <w:rPr>
                <w:rFonts w:hint="eastAsia"/>
                <w:color w:val="auto"/>
                <w:sz w:val="21"/>
                <w:szCs w:val="21"/>
                <w:highlight w:val="none"/>
              </w:rPr>
              <w:t>总价</w:t>
            </w:r>
          </w:p>
          <w:p w14:paraId="33CDE01B">
            <w:pPr>
              <w:pStyle w:val="45"/>
              <w:jc w:val="center"/>
              <w:rPr>
                <w:color w:val="auto"/>
                <w:sz w:val="21"/>
                <w:szCs w:val="21"/>
                <w:highlight w:val="none"/>
              </w:rPr>
            </w:pPr>
            <w:r>
              <w:rPr>
                <w:rFonts w:hint="eastAsia"/>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5"/>
              <w:numPr>
                <w:ilvl w:val="0"/>
                <w:numId w:val="3"/>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5"/>
              <w:jc w:val="center"/>
              <w:rPr>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5"/>
              <w:numPr>
                <w:ilvl w:val="0"/>
                <w:numId w:val="3"/>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5"/>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5"/>
              <w:jc w:val="center"/>
              <w:rPr>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5"/>
              <w:numPr>
                <w:ilvl w:val="0"/>
                <w:numId w:val="3"/>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5"/>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5"/>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5"/>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5"/>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5"/>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5"/>
              <w:jc w:val="center"/>
              <w:rPr>
                <w:color w:val="auto"/>
                <w:sz w:val="21"/>
                <w:szCs w:val="21"/>
                <w:highlight w:val="none"/>
              </w:rPr>
            </w:pPr>
          </w:p>
        </w:tc>
      </w:tr>
    </w:tbl>
    <w:p w14:paraId="141E07B3">
      <w:pPr>
        <w:spacing w:line="300" w:lineRule="auto"/>
        <w:rPr>
          <w:rFonts w:ascii="Arial" w:hAnsi="Arial" w:cs="Arial"/>
          <w:color w:val="auto"/>
          <w:szCs w:val="21"/>
          <w:highlight w:val="none"/>
        </w:rPr>
      </w:pPr>
    </w:p>
    <w:p w14:paraId="606E5A08">
      <w:pPr>
        <w:rPr>
          <w:rFonts w:ascii="Arial" w:hAnsi="Arial" w:cs="Arial"/>
          <w:b/>
          <w:i w:val="0"/>
          <w:iCs w:val="0"/>
          <w:color w:val="auto"/>
          <w:sz w:val="21"/>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cs="Arial"/>
          <w:b/>
          <w:i w:val="0"/>
          <w:iCs w:val="0"/>
          <w:color w:val="auto"/>
          <w:sz w:val="21"/>
          <w:szCs w:val="21"/>
          <w:highlight w:val="none"/>
          <w:lang w:val="en-US" w:eastAsia="zh-CN"/>
        </w:rPr>
        <w:t>“</w:t>
      </w:r>
      <w:r>
        <w:rPr>
          <w:rFonts w:hint="eastAsia" w:ascii="Arial" w:hAnsi="Arial" w:cs="Arial"/>
          <w:b/>
          <w:i w:val="0"/>
          <w:iCs w:val="0"/>
          <w:color w:val="auto"/>
          <w:sz w:val="21"/>
          <w:szCs w:val="21"/>
          <w:highlight w:val="none"/>
        </w:rPr>
        <w:t>第二章</w:t>
      </w:r>
      <w:r>
        <w:rPr>
          <w:rFonts w:hint="eastAsia" w:ascii="Arial" w:hAnsi="Arial" w:cs="Arial"/>
          <w:b/>
          <w:i w:val="0"/>
          <w:iCs w:val="0"/>
          <w:color w:val="auto"/>
          <w:sz w:val="21"/>
          <w:szCs w:val="21"/>
          <w:highlight w:val="none"/>
          <w:lang w:val="en-US" w:eastAsia="zh-CN"/>
        </w:rPr>
        <w:t>供应商须知”</w:t>
      </w:r>
      <w:r>
        <w:rPr>
          <w:rFonts w:hint="eastAsia" w:ascii="Arial" w:hAnsi="Arial" w:cs="Arial"/>
          <w:b/>
          <w:i w:val="0"/>
          <w:iCs w:val="0"/>
          <w:color w:val="auto"/>
          <w:sz w:val="21"/>
          <w:szCs w:val="21"/>
          <w:highlight w:val="none"/>
        </w:rPr>
        <w:t>提供相关证明材料，未填写本表或未提供有效认证证书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ascii="Arial" w:hAnsi="Arial" w:cs="Arial"/>
          <w:b/>
          <w:i w:val="0"/>
          <w:iCs w:val="0"/>
          <w:color w:val="auto"/>
          <w:sz w:val="21"/>
          <w:szCs w:val="21"/>
          <w:highlight w:val="none"/>
        </w:rPr>
        <w:t>价格扣除</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402F965E">
      <w:pPr>
        <w:spacing w:line="300" w:lineRule="auto"/>
        <w:rPr>
          <w:rFonts w:ascii="Arial" w:hAnsi="Arial" w:cs="Arial"/>
          <w:i w:val="0"/>
          <w:iCs w:val="0"/>
          <w:color w:val="auto"/>
          <w:szCs w:val="21"/>
          <w:highlight w:val="none"/>
        </w:rPr>
      </w:pPr>
      <w:r>
        <w:rPr>
          <w:rFonts w:hint="eastAsia" w:ascii="Arial" w:hAnsi="Arial" w:cs="Arial"/>
          <w:i w:val="0"/>
          <w:iCs w:val="0"/>
          <w:color w:val="auto"/>
          <w:szCs w:val="21"/>
          <w:highlight w:val="none"/>
          <w:lang w:val="en-US" w:eastAsia="zh-CN"/>
        </w:rPr>
        <w:t>供应商</w:t>
      </w:r>
      <w:r>
        <w:rPr>
          <w:rFonts w:ascii="Arial" w:hAnsi="Arial" w:cs="Arial"/>
          <w:i w:val="0"/>
          <w:iCs w:val="0"/>
          <w:color w:val="auto"/>
          <w:szCs w:val="21"/>
          <w:highlight w:val="none"/>
        </w:rPr>
        <w:t>名称：</w:t>
      </w:r>
    </w:p>
    <w:p w14:paraId="3068A70D">
      <w:pPr>
        <w:rPr>
          <w:rFonts w:ascii="Arial" w:hAnsi="Arial" w:cs="Arial"/>
          <w:i w:val="0"/>
          <w:iCs w:val="0"/>
          <w:color w:val="auto"/>
          <w:szCs w:val="21"/>
          <w:highlight w:val="none"/>
        </w:rPr>
      </w:pPr>
      <w:r>
        <w:rPr>
          <w:rFonts w:ascii="Arial" w:hAnsi="Arial" w:cs="Arial"/>
          <w:i w:val="0"/>
          <w:iCs w:val="0"/>
          <w:color w:val="auto"/>
          <w:szCs w:val="21"/>
          <w:highlight w:val="none"/>
        </w:rPr>
        <w:t>日期：</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7"/>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1211" w:name="_Toc163492939"/>
      <w:bookmarkStart w:id="1212" w:name="_Toc17478"/>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1211"/>
      <w:bookmarkEnd w:id="1212"/>
    </w:p>
    <w:p w14:paraId="17DF8322">
      <w:pPr>
        <w:pStyle w:val="38"/>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53FBBEA6">
      <w:pPr>
        <w:spacing w:line="360" w:lineRule="auto"/>
        <w:jc w:val="center"/>
        <w:rPr>
          <w:rFonts w:ascii="宋体" w:hAnsi="宋体" w:cs="宋体"/>
          <w:b/>
          <w:i w:val="0"/>
          <w:iCs w:val="0"/>
          <w:color w:val="auto"/>
          <w:sz w:val="32"/>
          <w:szCs w:val="32"/>
          <w:highlight w:val="none"/>
        </w:rPr>
      </w:pPr>
      <w:r>
        <w:rPr>
          <w:rFonts w:hint="eastAsia"/>
          <w:b/>
          <w:bCs/>
          <w:color w:val="auto"/>
          <w:sz w:val="32"/>
          <w:szCs w:val="32"/>
          <w:highlight w:val="none"/>
        </w:rPr>
        <w:t>中小企业声明函</w:t>
      </w:r>
    </w:p>
    <w:p w14:paraId="220BFBEA">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i w:val="0"/>
          <w:iCs w:val="0"/>
          <w:color w:val="auto"/>
          <w:sz w:val="24"/>
          <w:highlight w:val="none"/>
          <w:u w:val="single"/>
        </w:rPr>
        <w:t>（</w:t>
      </w:r>
      <w:r>
        <w:rPr>
          <w:rFonts w:hint="eastAsia" w:cs="宋体"/>
          <w:i w:val="0"/>
          <w:iCs w:val="0"/>
          <w:color w:val="auto"/>
          <w:sz w:val="24"/>
          <w:highlight w:val="none"/>
          <w:u w:val="single"/>
          <w:lang w:val="en-US" w:eastAsia="zh-CN"/>
        </w:rPr>
        <w:t>单位名称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 xml:space="preserve"> （项目名称） </w:t>
      </w:r>
      <w:r>
        <w:rPr>
          <w:rFonts w:hint="eastAsia" w:ascii="宋体" w:hAnsi="宋体" w:eastAsia="宋体" w:cs="宋体"/>
          <w:i w:val="0"/>
          <w:iCs w:val="0"/>
          <w:color w:val="auto"/>
          <w:sz w:val="24"/>
          <w:highlight w:val="none"/>
        </w:rPr>
        <w:t>采购活动，工程的施工单位全部为符合政策要求的中小企业。相关企业（含联合体中的中小企业、签订分包意向协议的中小企业）的具体情况如下：</w:t>
      </w:r>
    </w:p>
    <w:p w14:paraId="04EA303F">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，属于 </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 xml:space="preserve"> ；承建企业为 </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 xml:space="preserve"> ，从业人员</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Fonts w:hint="eastAsia" w:cs="宋体"/>
          <w:i w:val="0"/>
          <w:iCs w:val="0"/>
          <w:color w:val="auto"/>
          <w:sz w:val="24"/>
          <w:highlight w:val="none"/>
          <w:lang w:eastAsia="zh-CN"/>
        </w:rPr>
        <w:t>，</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（中型企业、小型企业、微型企业） </w:t>
      </w:r>
      <w:r>
        <w:rPr>
          <w:rFonts w:hint="eastAsia" w:ascii="宋体" w:hAnsi="宋体" w:eastAsia="宋体" w:cs="宋体"/>
          <w:i w:val="0"/>
          <w:iCs w:val="0"/>
          <w:color w:val="auto"/>
          <w:sz w:val="24"/>
          <w:highlight w:val="none"/>
        </w:rPr>
        <w:t>；</w:t>
      </w:r>
    </w:p>
    <w:p w14:paraId="4F02369D">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，属于 </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 xml:space="preserve"> ；承建企业为 </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 xml:space="preserve"> ，从业人员</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Fonts w:hint="eastAsia" w:cs="宋体"/>
          <w:i w:val="0"/>
          <w:iCs w:val="0"/>
          <w:color w:val="auto"/>
          <w:sz w:val="24"/>
          <w:highlight w:val="none"/>
          <w:lang w:eastAsia="zh-CN"/>
        </w:rPr>
        <w:t>，</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（中型企业、小型企业、微型企业） </w:t>
      </w:r>
      <w:r>
        <w:rPr>
          <w:rFonts w:hint="eastAsia" w:ascii="宋体" w:hAnsi="宋体" w:eastAsia="宋体" w:cs="宋体"/>
          <w:i w:val="0"/>
          <w:iCs w:val="0"/>
          <w:color w:val="auto"/>
          <w:sz w:val="24"/>
          <w:highlight w:val="none"/>
        </w:rPr>
        <w:t>；</w:t>
      </w:r>
    </w:p>
    <w:p w14:paraId="58DDA894">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68292050">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6474980D">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6F144CE6">
      <w:pPr>
        <w:spacing w:line="360" w:lineRule="auto"/>
        <w:ind w:firstLine="480" w:firstLineChars="200"/>
        <w:rPr>
          <w:rFonts w:hint="eastAsia" w:ascii="宋体" w:hAnsi="宋体" w:eastAsia="宋体" w:cs="宋体"/>
          <w:i w:val="0"/>
          <w:iCs w:val="0"/>
          <w:color w:val="auto"/>
          <w:sz w:val="24"/>
          <w:highlight w:val="none"/>
        </w:rPr>
      </w:pPr>
    </w:p>
    <w:p w14:paraId="2A781C2A">
      <w:pPr>
        <w:snapToGrid w:val="0"/>
        <w:spacing w:line="360" w:lineRule="auto"/>
        <w:ind w:firstLine="5160" w:firstLineChars="2150"/>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lang w:val="zh-CN"/>
        </w:rPr>
        <w:t>供应商名称(</w:t>
      </w:r>
      <w:r>
        <w:rPr>
          <w:rFonts w:hint="eastAsia" w:cs="宋体"/>
          <w:i w:val="0"/>
          <w:iCs w:val="0"/>
          <w:color w:val="auto"/>
          <w:kern w:val="0"/>
          <w:sz w:val="24"/>
          <w:highlight w:val="none"/>
          <w:lang w:val="en-US" w:eastAsia="zh-CN"/>
        </w:rPr>
        <w:t>公章</w:t>
      </w:r>
      <w:r>
        <w:rPr>
          <w:rFonts w:hint="eastAsia" w:ascii="宋体" w:hAnsi="宋体" w:eastAsia="宋体" w:cs="宋体"/>
          <w:i w:val="0"/>
          <w:iCs w:val="0"/>
          <w:color w:val="auto"/>
          <w:kern w:val="0"/>
          <w:sz w:val="24"/>
          <w:highlight w:val="none"/>
          <w:lang w:val="zh-CN"/>
        </w:rPr>
        <w:t>)：</w:t>
      </w:r>
    </w:p>
    <w:p w14:paraId="6457F571">
      <w:pPr>
        <w:snapToGrid w:val="0"/>
        <w:spacing w:line="360" w:lineRule="auto"/>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 xml:space="preserve">                                           日期</w:t>
      </w:r>
      <w:r>
        <w:rPr>
          <w:rFonts w:hint="eastAsia" w:ascii="宋体" w:hAnsi="宋体" w:eastAsia="宋体" w:cs="宋体"/>
          <w:i w:val="0"/>
          <w:iCs w:val="0"/>
          <w:color w:val="auto"/>
          <w:kern w:val="0"/>
          <w:sz w:val="24"/>
          <w:highlight w:val="none"/>
        </w:rPr>
        <w:t xml:space="preserve">：  年  </w:t>
      </w:r>
      <w:r>
        <w:rPr>
          <w:rFonts w:hint="eastAsia" w:ascii="宋体" w:hAnsi="宋体" w:eastAsia="宋体" w:cs="宋体"/>
          <w:i w:val="0"/>
          <w:iCs w:val="0"/>
          <w:color w:val="auto"/>
          <w:kern w:val="0"/>
          <w:sz w:val="24"/>
          <w:highlight w:val="none"/>
          <w:lang w:val="zh-CN"/>
        </w:rPr>
        <w:t>月</w:t>
      </w:r>
      <w:r>
        <w:rPr>
          <w:rFonts w:hint="eastAsia" w:ascii="宋体" w:hAnsi="宋体" w:eastAsia="宋体" w:cs="宋体"/>
          <w:i w:val="0"/>
          <w:iCs w:val="0"/>
          <w:color w:val="auto"/>
          <w:kern w:val="0"/>
          <w:sz w:val="24"/>
          <w:highlight w:val="none"/>
        </w:rPr>
        <w:t xml:space="preserve">   </w:t>
      </w:r>
      <w:r>
        <w:rPr>
          <w:rFonts w:hint="eastAsia" w:ascii="宋体" w:hAnsi="宋体" w:eastAsia="宋体" w:cs="宋体"/>
          <w:i w:val="0"/>
          <w:iCs w:val="0"/>
          <w:color w:val="auto"/>
          <w:kern w:val="0"/>
          <w:sz w:val="24"/>
          <w:highlight w:val="none"/>
          <w:lang w:val="zh-CN"/>
        </w:rPr>
        <w:t>日</w:t>
      </w:r>
    </w:p>
    <w:p w14:paraId="459B85C0">
      <w:pPr>
        <w:snapToGrid w:val="0"/>
        <w:spacing w:line="360" w:lineRule="auto"/>
        <w:ind w:firstLine="420" w:firstLineChars="200"/>
        <w:rPr>
          <w:rFonts w:hint="eastAsia" w:ascii="宋体" w:hAnsi="宋体" w:eastAsia="宋体" w:cs="宋体"/>
          <w:i w:val="0"/>
          <w:iCs w:val="0"/>
          <w:color w:val="auto"/>
          <w:sz w:val="21"/>
          <w:szCs w:val="21"/>
          <w:highlight w:val="none"/>
        </w:rPr>
      </w:pPr>
    </w:p>
    <w:p w14:paraId="748B4DD4">
      <w:pPr>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cs="宋体"/>
          <w:i w:val="0"/>
          <w:iCs w:val="0"/>
          <w:color w:val="auto"/>
          <w:spacing w:val="6"/>
          <w:sz w:val="21"/>
          <w:szCs w:val="21"/>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012BEE83">
      <w:pPr>
        <w:snapToGrid w:val="0"/>
        <w:spacing w:line="360" w:lineRule="auto"/>
        <w:ind w:firstLine="420" w:firstLineChars="200"/>
        <w:rPr>
          <w:rFonts w:hint="eastAsia" w:ascii="宋体" w:hAnsi="宋体" w:eastAsia="宋体" w:cs="宋体"/>
          <w:i w:val="0"/>
          <w:iCs w:val="0"/>
          <w:color w:val="auto"/>
          <w:sz w:val="21"/>
          <w:szCs w:val="21"/>
          <w:highlight w:val="none"/>
        </w:rPr>
      </w:pPr>
    </w:p>
    <w:p w14:paraId="600935B0">
      <w:pPr>
        <w:rPr>
          <w:rFonts w:cs="宋体"/>
          <w:i w:val="0"/>
          <w:iCs w:val="0"/>
          <w:color w:val="auto"/>
          <w:spacing w:val="6"/>
          <w:sz w:val="21"/>
          <w:szCs w:val="21"/>
          <w:highlight w:val="none"/>
        </w:rPr>
      </w:pPr>
    </w:p>
    <w:p w14:paraId="149F21C9">
      <w:pPr>
        <w:rPr>
          <w:rFonts w:cs="宋体"/>
          <w:i w:val="0"/>
          <w:iCs w:val="0"/>
          <w:color w:val="auto"/>
          <w:spacing w:val="6"/>
          <w:sz w:val="21"/>
          <w:szCs w:val="21"/>
          <w:highlight w:val="none"/>
        </w:rPr>
      </w:pPr>
    </w:p>
    <w:p w14:paraId="60EFE5EE">
      <w:pPr>
        <w:rPr>
          <w:rFonts w:cs="宋体"/>
          <w:i w:val="0"/>
          <w:iCs w:val="0"/>
          <w:color w:val="auto"/>
          <w:spacing w:val="6"/>
          <w:sz w:val="21"/>
          <w:szCs w:val="21"/>
          <w:highlight w:val="none"/>
        </w:rPr>
      </w:pPr>
    </w:p>
    <w:p w14:paraId="3EAEDF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A0B18BB">
      <w:pPr>
        <w:keepNext w:val="0"/>
        <w:keepLines w:val="0"/>
        <w:widowControl/>
        <w:suppressLineNumbers w:val="0"/>
        <w:ind w:firstLine="562" w:firstLineChars="200"/>
        <w:jc w:val="left"/>
        <w:rPr>
          <w:rStyle w:val="31"/>
          <w:rFonts w:hint="eastAsia" w:ascii="宋体" w:hAnsi="宋体" w:eastAsia="宋体" w:cs="宋体"/>
          <w:color w:val="auto"/>
          <w:kern w:val="0"/>
          <w:sz w:val="28"/>
          <w:szCs w:val="28"/>
          <w:highlight w:val="none"/>
          <w:lang w:val="en-US" w:eastAsia="zh-CN" w:bidi="ar"/>
        </w:rPr>
      </w:pPr>
    </w:p>
    <w:p w14:paraId="2C71B7D1">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8"/>
          <w:szCs w:val="28"/>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75B198BB">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04D8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243BB2F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b/>
          <w:bCs w:val="0"/>
          <w:i w:val="0"/>
          <w:iCs w:val="0"/>
          <w:color w:val="auto"/>
          <w:sz w:val="30"/>
          <w:szCs w:val="30"/>
          <w:highlight w:val="none"/>
        </w:rPr>
      </w:pPr>
      <w:r>
        <w:rPr>
          <w:rStyle w:val="31"/>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1"/>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20B4770A">
      <w:pPr>
        <w:rPr>
          <w:rFonts w:cs="宋体"/>
          <w:color w:val="auto"/>
          <w:spacing w:val="6"/>
          <w:sz w:val="21"/>
          <w:szCs w:val="21"/>
          <w:highlight w:val="none"/>
        </w:rPr>
      </w:pPr>
      <w:bookmarkStart w:id="1213" w:name="_Toc163492940"/>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1AF7C83B">
      <w:pPr>
        <w:rPr>
          <w:rFonts w:hint="eastAsia" w:cs="宋体"/>
          <w:color w:val="auto"/>
          <w:spacing w:val="6"/>
          <w:sz w:val="21"/>
          <w:szCs w:val="21"/>
          <w:highlight w:val="none"/>
        </w:rPr>
      </w:pPr>
    </w:p>
    <w:p w14:paraId="134F6EB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0E9786C6">
      <w:pPr>
        <w:jc w:val="center"/>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1"/>
          <w:rFonts w:hint="eastAsia" w:ascii="宋体" w:hAnsi="宋体" w:eastAsia="宋体" w:cs="宋体"/>
          <w:b w:val="0"/>
          <w:bCs w:val="0"/>
          <w:i w:val="0"/>
          <w:iCs w:val="0"/>
          <w:color w:val="auto"/>
          <w:sz w:val="24"/>
          <w:szCs w:val="24"/>
          <w:highlight w:val="none"/>
        </w:rPr>
        <w:t>       </w:t>
      </w:r>
      <w:r>
        <w:rPr>
          <w:rStyle w:val="31"/>
          <w:rFonts w:hint="eastAsia"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w:t>
      </w:r>
      <w:r>
        <w:rPr>
          <w:rStyle w:val="31"/>
          <w:rFonts w:hint="eastAsia" w:cs="宋体"/>
          <w:b w:val="0"/>
          <w:bCs w:val="0"/>
          <w:i w:val="0"/>
          <w:iCs w:val="0"/>
          <w:color w:val="auto"/>
          <w:sz w:val="24"/>
          <w:szCs w:val="24"/>
          <w:highlight w:val="none"/>
          <w:lang w:val="en-US" w:eastAsia="zh-CN"/>
        </w:rPr>
        <w:t xml:space="preserve">     </w:t>
      </w:r>
      <w:r>
        <w:rPr>
          <w:rStyle w:val="31"/>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04253368">
      <w:pPr>
        <w:rPr>
          <w:rFonts w:hint="eastAsia" w:cs="宋体"/>
          <w:color w:val="auto"/>
          <w:spacing w:val="6"/>
          <w:sz w:val="21"/>
          <w:szCs w:val="21"/>
          <w:highlight w:val="none"/>
          <w:lang w:val="en-US" w:eastAsia="zh-CN"/>
        </w:rPr>
      </w:pPr>
    </w:p>
    <w:p w14:paraId="0C202F82">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6F014A68">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1"/>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1"/>
          <w:rFonts w:hint="eastAsia" w:cs="宋体"/>
          <w:b w:val="0"/>
          <w:bCs w:val="0"/>
          <w:i w:val="0"/>
          <w:iCs w:val="0"/>
          <w:color w:val="auto"/>
          <w:sz w:val="24"/>
          <w:szCs w:val="24"/>
          <w:highlight w:val="none"/>
          <w:lang w:eastAsia="zh-CN"/>
        </w:rPr>
        <w:t>，</w:t>
      </w:r>
      <w:r>
        <w:rPr>
          <w:rStyle w:val="31"/>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1"/>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lang w:eastAsia="zh-CN"/>
        </w:rPr>
      </w:pPr>
      <w:r>
        <w:rPr>
          <w:rStyle w:val="31"/>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1"/>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5D736742">
      <w:pPr>
        <w:rPr>
          <w:rFonts w:hint="eastAsia" w:cs="宋体"/>
          <w:color w:val="auto"/>
          <w:spacing w:val="6"/>
          <w:sz w:val="24"/>
          <w:szCs w:val="24"/>
          <w:highlight w:val="none"/>
          <w:lang w:val="en-US" w:eastAsia="zh-CN"/>
        </w:rPr>
      </w:pPr>
    </w:p>
    <w:p w14:paraId="226ECDE6">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4D37D23">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color w:val="auto"/>
          <w:sz w:val="28"/>
          <w:szCs w:val="28"/>
          <w:highlight w:val="none"/>
        </w:rPr>
        <w:t>金融业企业划型标准</w:t>
      </w:r>
    </w:p>
    <w:tbl>
      <w:tblPr>
        <w:tblStyle w:val="29"/>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4F673937">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1213"/>
    <w:p w14:paraId="5D4F19F2">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p>
    <w:p w14:paraId="14DDE05C">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1214" w:name="_Toc6137"/>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1214"/>
    </w:p>
    <w:p w14:paraId="28DED716">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w:t>
      </w:r>
      <w:r>
        <w:rPr>
          <w:rFonts w:hint="eastAsia" w:cs="宋体"/>
          <w:i w:val="0"/>
          <w:iCs w:val="0"/>
          <w:color w:val="auto"/>
          <w:sz w:val="24"/>
          <w:szCs w:val="24"/>
          <w:highlight w:val="none"/>
          <w:lang w:eastAsia="zh-CN"/>
        </w:rPr>
        <w:t xml:space="preserve"> </w:t>
      </w:r>
      <w:r>
        <w:rPr>
          <w:rFonts w:hint="eastAsia" w:ascii="宋体" w:hAnsi="宋体" w:eastAsia="宋体" w:cs="宋体"/>
          <w:i w:val="0"/>
          <w:iCs w:val="0"/>
          <w:color w:val="auto"/>
          <w:sz w:val="24"/>
          <w:szCs w:val="24"/>
          <w:highlight w:val="none"/>
        </w:rPr>
        <w:t>）出具的监狱企业的证明文件，格式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7"/>
        <w:spacing w:line="360" w:lineRule="auto"/>
        <w:jc w:val="center"/>
        <w:rPr>
          <w:rFonts w:hint="eastAsia" w:ascii="宋体" w:hAnsi="宋体" w:eastAsia="宋体" w:cs="宋体"/>
          <w:b/>
          <w:bCs w:val="0"/>
          <w:i w:val="0"/>
          <w:iCs w:val="0"/>
          <w:color w:val="auto"/>
          <w:sz w:val="32"/>
          <w:szCs w:val="32"/>
          <w:highlight w:val="none"/>
        </w:rPr>
      </w:pPr>
    </w:p>
    <w:p w14:paraId="3EAA5E2A">
      <w:pPr>
        <w:pStyle w:val="17"/>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0841D36F">
      <w:pPr>
        <w:ind w:right="1008" w:firstLine="4284" w:firstLineChars="1700"/>
        <w:rPr>
          <w:rFonts w:hint="eastAsia" w:ascii="宋体" w:hAnsi="宋体" w:eastAsia="宋体" w:cs="宋体"/>
          <w:i w:val="0"/>
          <w:iCs w:val="0"/>
          <w:color w:val="auto"/>
          <w:spacing w:val="6"/>
          <w:sz w:val="24"/>
          <w:szCs w:val="24"/>
          <w:highlight w:val="none"/>
        </w:rPr>
      </w:pPr>
      <w:r>
        <w:rPr>
          <w:rFonts w:hint="eastAsia"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3678CEA7">
      <w:pPr>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（含新疆生产建设</w:t>
      </w:r>
      <w:r>
        <w:rPr>
          <w:rFonts w:hint="eastAsia" w:cs="宋体"/>
          <w:i w:val="0"/>
          <w:iCs w:val="0"/>
          <w:color w:val="auto"/>
          <w:sz w:val="24"/>
          <w:szCs w:val="24"/>
          <w:highlight w:val="none"/>
          <w:lang w:eastAsia="zh-CN"/>
        </w:rPr>
        <w:t xml:space="preserve"> </w:t>
      </w:r>
      <w:r>
        <w:rPr>
          <w:rFonts w:hint="eastAsia" w:ascii="宋体" w:hAnsi="宋体" w:eastAsia="宋体" w:cs="宋体"/>
          <w:i w:val="0"/>
          <w:iCs w:val="0"/>
          <w:color w:val="auto"/>
          <w:sz w:val="24"/>
          <w:szCs w:val="24"/>
          <w:highlight w:val="none"/>
        </w:rPr>
        <w:t xml:space="preserve">）（盖章）：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AA0844D">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1215" w:name="_Toc163492941"/>
    </w:p>
    <w:p w14:paraId="69ACD5D5">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1216" w:name="_Toc18574"/>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1215"/>
      <w:bookmarkEnd w:id="1216"/>
    </w:p>
    <w:p w14:paraId="57F303A4">
      <w:pPr>
        <w:pStyle w:val="38"/>
        <w:numPr>
          <w:ilvl w:val="0"/>
          <w:numId w:val="0"/>
        </w:numPr>
        <w:ind w:left="420" w:leftChars="0" w:hanging="420" w:firstLineChars="0"/>
        <w:jc w:val="center"/>
        <w:rPr>
          <w:rFonts w:hint="eastAsia"/>
          <w:b/>
          <w:bCs/>
          <w:color w:val="auto"/>
          <w:sz w:val="32"/>
          <w:szCs w:val="32"/>
          <w:highlight w:val="none"/>
        </w:rPr>
      </w:pPr>
    </w:p>
    <w:p w14:paraId="6582780B">
      <w:pPr>
        <w:pStyle w:val="38"/>
        <w:numPr>
          <w:ilvl w:val="0"/>
          <w:numId w:val="0"/>
        </w:numPr>
        <w:ind w:left="420" w:leftChars="0" w:hanging="420" w:firstLineChars="0"/>
        <w:jc w:val="center"/>
        <w:rPr>
          <w:b/>
          <w:bCs/>
          <w:i w:val="0"/>
          <w:iCs w:val="0"/>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工程</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承建</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承建单位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承建单位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en-US" w:eastAsia="zh-CN"/>
        </w:rPr>
        <w:t>工程</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承建</w:t>
      </w:r>
      <w:r>
        <w:rPr>
          <w:rFonts w:hint="eastAsia"/>
          <w:bCs/>
          <w:i w:val="0"/>
          <w:iCs w:val="0"/>
          <w:color w:val="auto"/>
          <w:szCs w:val="21"/>
          <w:highlight w:val="none"/>
          <w:lang w:val="zh-CN"/>
        </w:rPr>
        <w:t>；应当严格按上述格式及内容进行填写（应当明确每个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实施单位</w:t>
      </w:r>
      <w:r>
        <w:rPr>
          <w:rFonts w:hint="eastAsia"/>
          <w:bCs/>
          <w:i w:val="0"/>
          <w:iCs w:val="0"/>
          <w:color w:val="auto"/>
          <w:szCs w:val="21"/>
          <w:highlight w:val="none"/>
          <w:lang w:val="zh-CN"/>
        </w:rPr>
        <w:t>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供应商名称（公章）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r>
        <w:rPr>
          <w:rFonts w:hint="eastAsia"/>
          <w:bCs/>
          <w:i w:val="0"/>
          <w:iCs w:val="0"/>
          <w:color w:val="auto"/>
          <w:szCs w:val="24"/>
          <w:highlight w:val="none"/>
          <w:u w:val="single"/>
          <w:lang w:val="en-US" w:eastAsia="zh-CN"/>
        </w:rPr>
        <w:t xml:space="preserve">  </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4044E1FE">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p w14:paraId="14689676">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1217" w:name="_Toc24243"/>
      <w:r>
        <w:rPr>
          <w:rFonts w:hint="eastAsia" w:cstheme="majorBidi"/>
          <w:b/>
          <w:bCs/>
          <w:color w:val="auto"/>
          <w:kern w:val="2"/>
          <w:sz w:val="28"/>
          <w:szCs w:val="28"/>
          <w:highlight w:val="none"/>
          <w:lang w:val="en-US" w:eastAsia="zh-CN" w:bidi="ar-SA"/>
        </w:rPr>
        <w:t>五、不参与围标串标承诺书</w:t>
      </w:r>
      <w:bookmarkEnd w:id="1217"/>
    </w:p>
    <w:p w14:paraId="415F309A">
      <w:pPr>
        <w:pStyle w:val="6"/>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593E065F">
      <w:pPr>
        <w:jc w:val="center"/>
        <w:rPr>
          <w:rFonts w:hint="eastAsia"/>
          <w:i w:val="0"/>
          <w:iCs w:val="0"/>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785BACB9">
      <w:pPr>
        <w:rPr>
          <w:rFonts w:hint="eastAsia"/>
          <w:i w:val="0"/>
          <w:iCs w:val="0"/>
          <w:color w:val="auto"/>
          <w:highlight w:val="none"/>
          <w:lang w:val="en-US" w:eastAsia="zh-CN"/>
        </w:rPr>
      </w:pPr>
      <w:r>
        <w:rPr>
          <w:rFonts w:hint="eastAsia"/>
          <w:i w:val="0"/>
          <w:iCs w:val="0"/>
          <w:color w:val="auto"/>
          <w:highlight w:val="none"/>
          <w:lang w:val="en-US" w:eastAsia="zh-CN"/>
        </w:rPr>
        <w:t>  </w:t>
      </w:r>
    </w:p>
    <w:p w14:paraId="65B53D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4248D5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291F85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0E49D4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5F1653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4C8BE6CD">
      <w:pPr>
        <w:pStyle w:val="2"/>
        <w:rPr>
          <w:rFonts w:hint="eastAsia"/>
          <w:i w:val="0"/>
          <w:iCs w:val="0"/>
          <w:color w:val="auto"/>
          <w:highlight w:val="none"/>
          <w:lang w:val="en-US" w:eastAsia="zh-CN"/>
        </w:rPr>
      </w:pPr>
    </w:p>
    <w:p w14:paraId="47BB786F">
      <w:pPr>
        <w:spacing w:line="560" w:lineRule="exact"/>
        <w:rPr>
          <w:rFonts w:hint="eastAsia" w:ascii="宋体" w:hAnsi="宋体" w:eastAsia="宋体" w:cs="宋体"/>
          <w:i w:val="0"/>
          <w:iCs w:val="0"/>
          <w:color w:val="auto"/>
          <w:kern w:val="0"/>
          <w:sz w:val="24"/>
          <w:szCs w:val="24"/>
          <w:highlight w:val="none"/>
        </w:rPr>
      </w:pPr>
    </w:p>
    <w:p w14:paraId="02A7C72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0B0B73C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法定代表人、负责人、本人、或授权代表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65EDCBC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E08753D">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2"/>
        <w:rPr>
          <w:rFonts w:hint="eastAsia"/>
          <w:i w:val="0"/>
          <w:iCs w:val="0"/>
          <w:color w:val="auto"/>
          <w:highlight w:val="none"/>
          <w:lang w:val="en-US" w:eastAsia="zh-CN"/>
        </w:rPr>
      </w:pPr>
    </w:p>
    <w:p w14:paraId="6FC519D1">
      <w:pPr>
        <w:pStyle w:val="2"/>
        <w:rPr>
          <w:rFonts w:hint="eastAsia"/>
          <w:i w:val="0"/>
          <w:iCs w:val="0"/>
          <w:color w:val="auto"/>
          <w:highlight w:val="none"/>
          <w:lang w:val="en-US" w:eastAsia="zh-CN"/>
        </w:rPr>
      </w:pPr>
    </w:p>
    <w:p w14:paraId="7500053D">
      <w:pPr>
        <w:pStyle w:val="2"/>
        <w:rPr>
          <w:rFonts w:hint="eastAsia"/>
          <w:i w:val="0"/>
          <w:iCs w:val="0"/>
          <w:color w:val="auto"/>
          <w:highlight w:val="none"/>
          <w:lang w:val="en-US" w:eastAsia="zh-CN"/>
        </w:rPr>
      </w:pPr>
    </w:p>
    <w:p w14:paraId="5BF64493">
      <w:pPr>
        <w:pStyle w:val="2"/>
        <w:rPr>
          <w:rFonts w:hint="eastAsia"/>
          <w:i w:val="0"/>
          <w:iCs w:val="0"/>
          <w:color w:val="auto"/>
          <w:highlight w:val="none"/>
          <w:lang w:val="en-US" w:eastAsia="zh-CN"/>
        </w:rPr>
      </w:pPr>
    </w:p>
    <w:p w14:paraId="5CA01A8B">
      <w:pPr>
        <w:pStyle w:val="2"/>
        <w:rPr>
          <w:rFonts w:hint="eastAsia"/>
          <w:i w:val="0"/>
          <w:iCs w:val="0"/>
          <w:color w:val="auto"/>
          <w:highlight w:val="none"/>
          <w:lang w:val="en-US" w:eastAsia="zh-CN"/>
        </w:rPr>
      </w:pPr>
    </w:p>
    <w:p w14:paraId="029F743D">
      <w:pPr>
        <w:pStyle w:val="2"/>
        <w:rPr>
          <w:rFonts w:hint="eastAsia"/>
          <w:i w:val="0"/>
          <w:iCs w:val="0"/>
          <w:color w:val="auto"/>
          <w:highlight w:val="none"/>
          <w:lang w:val="en-US" w:eastAsia="zh-CN"/>
        </w:rPr>
      </w:pPr>
    </w:p>
    <w:p w14:paraId="13DEAFB3">
      <w:pPr>
        <w:pStyle w:val="7"/>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p w14:paraId="2A0D0C53">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zh-CN" w:eastAsia="zh-CN" w:bidi="ar-SA"/>
        </w:rPr>
      </w:pPr>
      <w:bookmarkStart w:id="1218" w:name="_Toc25539"/>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1218"/>
    </w:p>
    <w:p w14:paraId="0C24F0AE">
      <w:pPr>
        <w:pStyle w:val="34"/>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C2C3E83">
      <w:pPr>
        <w:pStyle w:val="34"/>
        <w:rPr>
          <w:rFonts w:hint="eastAsia"/>
          <w:i w:val="0"/>
          <w:iCs w:val="0"/>
          <w:color w:val="auto"/>
          <w:highlight w:val="none"/>
        </w:rPr>
      </w:pPr>
    </w:p>
    <w:p w14:paraId="58A36194">
      <w:pPr>
        <w:pStyle w:val="34"/>
        <w:rPr>
          <w:rFonts w:hint="eastAsia"/>
          <w:i w:val="0"/>
          <w:iCs w:val="0"/>
          <w:color w:val="auto"/>
          <w:highlight w:val="none"/>
        </w:rPr>
      </w:pPr>
    </w:p>
    <w:p w14:paraId="3553B395">
      <w:pPr>
        <w:pStyle w:val="34"/>
        <w:rPr>
          <w:rFonts w:hint="eastAsia"/>
          <w:i w:val="0"/>
          <w:iCs w:val="0"/>
          <w:color w:val="auto"/>
          <w:highlight w:val="none"/>
        </w:rPr>
      </w:pPr>
    </w:p>
    <w:p w14:paraId="49D404FC">
      <w:pPr>
        <w:pStyle w:val="34"/>
        <w:rPr>
          <w:rFonts w:hint="eastAsia"/>
          <w:i w:val="0"/>
          <w:iCs w:val="0"/>
          <w:color w:val="auto"/>
          <w:highlight w:val="none"/>
        </w:rPr>
      </w:pPr>
    </w:p>
    <w:p w14:paraId="4B98E4B6">
      <w:pPr>
        <w:pStyle w:val="34"/>
        <w:rPr>
          <w:rFonts w:hint="eastAsia"/>
          <w:i w:val="0"/>
          <w:iCs w:val="0"/>
          <w:color w:val="auto"/>
          <w:highlight w:val="none"/>
        </w:rPr>
      </w:pPr>
    </w:p>
    <w:p w14:paraId="737FEDD3">
      <w:pPr>
        <w:pStyle w:val="34"/>
        <w:rPr>
          <w:rFonts w:hint="eastAsia"/>
          <w:i w:val="0"/>
          <w:iCs w:val="0"/>
          <w:color w:val="auto"/>
          <w:highlight w:val="none"/>
        </w:rPr>
      </w:pPr>
    </w:p>
    <w:p w14:paraId="1C876135">
      <w:pPr>
        <w:pStyle w:val="34"/>
        <w:rPr>
          <w:rFonts w:hint="eastAsia"/>
          <w:i w:val="0"/>
          <w:iCs w:val="0"/>
          <w:color w:val="auto"/>
          <w:highlight w:val="none"/>
        </w:rPr>
      </w:pPr>
    </w:p>
    <w:p w14:paraId="7E85C842">
      <w:pPr>
        <w:pStyle w:val="34"/>
        <w:rPr>
          <w:rFonts w:hint="eastAsia"/>
          <w:i w:val="0"/>
          <w:iCs w:val="0"/>
          <w:color w:val="auto"/>
          <w:highlight w:val="none"/>
        </w:rPr>
      </w:pPr>
    </w:p>
    <w:p w14:paraId="4CBE3B0D">
      <w:pPr>
        <w:pStyle w:val="34"/>
        <w:rPr>
          <w:rFonts w:hint="eastAsia"/>
          <w:i w:val="0"/>
          <w:iCs w:val="0"/>
          <w:color w:val="auto"/>
          <w:highlight w:val="none"/>
        </w:rPr>
      </w:pPr>
    </w:p>
    <w:p w14:paraId="2E6E451F">
      <w:pPr>
        <w:pStyle w:val="34"/>
        <w:rPr>
          <w:rFonts w:hint="eastAsia"/>
          <w:i w:val="0"/>
          <w:iCs w:val="0"/>
          <w:color w:val="auto"/>
          <w:highlight w:val="none"/>
        </w:rPr>
      </w:pPr>
    </w:p>
    <w:p w14:paraId="38DC2C55">
      <w:pPr>
        <w:pStyle w:val="34"/>
        <w:rPr>
          <w:rFonts w:hint="eastAsia"/>
          <w:i w:val="0"/>
          <w:iCs w:val="0"/>
          <w:color w:val="auto"/>
          <w:highlight w:val="none"/>
        </w:rPr>
      </w:pPr>
    </w:p>
    <w:p w14:paraId="04DAFD3C">
      <w:pPr>
        <w:pStyle w:val="34"/>
        <w:rPr>
          <w:rFonts w:hint="eastAsia"/>
          <w:i w:val="0"/>
          <w:iCs w:val="0"/>
          <w:color w:val="auto"/>
          <w:highlight w:val="none"/>
        </w:rPr>
      </w:pPr>
    </w:p>
    <w:p w14:paraId="51E24CDC">
      <w:pPr>
        <w:pStyle w:val="34"/>
        <w:rPr>
          <w:rFonts w:hint="eastAsia"/>
          <w:i w:val="0"/>
          <w:iCs w:val="0"/>
          <w:color w:val="auto"/>
          <w:highlight w:val="none"/>
        </w:rPr>
      </w:pPr>
    </w:p>
    <w:p w14:paraId="1AC1942E">
      <w:pPr>
        <w:pStyle w:val="34"/>
        <w:rPr>
          <w:rFonts w:hint="eastAsia"/>
          <w:i w:val="0"/>
          <w:iCs w:val="0"/>
          <w:color w:val="auto"/>
          <w:highlight w:val="none"/>
        </w:rPr>
      </w:pPr>
    </w:p>
    <w:p w14:paraId="4722E259">
      <w:pPr>
        <w:pStyle w:val="34"/>
        <w:rPr>
          <w:rFonts w:hint="eastAsia"/>
          <w:i w:val="0"/>
          <w:iCs w:val="0"/>
          <w:color w:val="auto"/>
          <w:highlight w:val="none"/>
        </w:rPr>
      </w:pPr>
    </w:p>
    <w:p w14:paraId="07033BD3">
      <w:pPr>
        <w:pStyle w:val="34"/>
        <w:rPr>
          <w:rFonts w:hint="eastAsia"/>
          <w:i w:val="0"/>
          <w:iCs w:val="0"/>
          <w:color w:val="auto"/>
          <w:highlight w:val="none"/>
        </w:rPr>
      </w:pPr>
    </w:p>
    <w:p w14:paraId="6E1D094D">
      <w:pPr>
        <w:pStyle w:val="34"/>
        <w:rPr>
          <w:rFonts w:hint="eastAsia"/>
          <w:i w:val="0"/>
          <w:iCs w:val="0"/>
          <w:color w:val="auto"/>
          <w:highlight w:val="none"/>
        </w:rPr>
      </w:pPr>
    </w:p>
    <w:p w14:paraId="23B0DB54">
      <w:pPr>
        <w:pStyle w:val="34"/>
        <w:rPr>
          <w:rFonts w:hint="eastAsia"/>
          <w:i w:val="0"/>
          <w:iCs w:val="0"/>
          <w:color w:val="auto"/>
          <w:highlight w:val="none"/>
        </w:rPr>
      </w:pPr>
    </w:p>
    <w:p w14:paraId="07159DF6">
      <w:pPr>
        <w:pStyle w:val="34"/>
        <w:rPr>
          <w:rFonts w:hint="eastAsia"/>
          <w:i w:val="0"/>
          <w:iCs w:val="0"/>
          <w:color w:val="auto"/>
          <w:highlight w:val="none"/>
        </w:rPr>
      </w:pPr>
    </w:p>
    <w:p w14:paraId="44B3A5AA">
      <w:pPr>
        <w:pStyle w:val="34"/>
        <w:rPr>
          <w:rFonts w:hint="eastAsia"/>
          <w:i w:val="0"/>
          <w:iCs w:val="0"/>
          <w:color w:val="auto"/>
          <w:highlight w:val="none"/>
        </w:rPr>
      </w:pPr>
    </w:p>
    <w:p w14:paraId="05BB178A">
      <w:pPr>
        <w:pStyle w:val="34"/>
        <w:rPr>
          <w:rFonts w:hint="eastAsia"/>
          <w:i w:val="0"/>
          <w:iCs w:val="0"/>
          <w:color w:val="auto"/>
          <w:highlight w:val="none"/>
        </w:rPr>
      </w:pPr>
    </w:p>
    <w:p w14:paraId="0E7980AB">
      <w:pPr>
        <w:pStyle w:val="34"/>
        <w:rPr>
          <w:rFonts w:hint="eastAsia"/>
          <w:i w:val="0"/>
          <w:iCs w:val="0"/>
          <w:color w:val="auto"/>
          <w:highlight w:val="none"/>
        </w:rPr>
      </w:pPr>
    </w:p>
    <w:p w14:paraId="5A09B930">
      <w:pPr>
        <w:pStyle w:val="34"/>
        <w:rPr>
          <w:rFonts w:hint="eastAsia"/>
          <w:i w:val="0"/>
          <w:iCs w:val="0"/>
          <w:color w:val="auto"/>
          <w:highlight w:val="none"/>
        </w:rPr>
      </w:pPr>
    </w:p>
    <w:p w14:paraId="3FB1F62E">
      <w:pPr>
        <w:pStyle w:val="34"/>
        <w:rPr>
          <w:rFonts w:hint="eastAsia"/>
          <w:i w:val="0"/>
          <w:iCs w:val="0"/>
          <w:color w:val="auto"/>
          <w:highlight w:val="none"/>
        </w:rPr>
      </w:pPr>
    </w:p>
    <w:p w14:paraId="674D4B47">
      <w:pPr>
        <w:pStyle w:val="34"/>
        <w:rPr>
          <w:rFonts w:hint="eastAsia"/>
          <w:i w:val="0"/>
          <w:iCs w:val="0"/>
          <w:color w:val="auto"/>
          <w:highlight w:val="none"/>
        </w:rPr>
      </w:pPr>
    </w:p>
    <w:p w14:paraId="04384634">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047D3EE">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FC23E9A">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79E32CA">
      <w:pPr>
        <w:autoSpaceDE w:val="0"/>
        <w:autoSpaceDN w:val="0"/>
        <w:adjustRightInd w:val="0"/>
        <w:rPr>
          <w:color w:val="auto"/>
          <w:sz w:val="21"/>
          <w:szCs w:val="24"/>
          <w:highlight w:val="none"/>
        </w:rPr>
      </w:pPr>
    </w:p>
    <w:p w14:paraId="2CC27B4B">
      <w:pPr>
        <w:autoSpaceDE w:val="0"/>
        <w:autoSpaceDN w:val="0"/>
        <w:adjustRightInd w:val="0"/>
        <w:rPr>
          <w:color w:val="auto"/>
          <w:sz w:val="21"/>
          <w:szCs w:val="24"/>
          <w:highlight w:val="none"/>
        </w:rPr>
      </w:pPr>
    </w:p>
    <w:p w14:paraId="63CA31F9">
      <w:pPr>
        <w:autoSpaceDE w:val="0"/>
        <w:autoSpaceDN w:val="0"/>
        <w:adjustRightInd w:val="0"/>
        <w:jc w:val="center"/>
        <w:rPr>
          <w:color w:val="auto"/>
          <w:sz w:val="21"/>
          <w:szCs w:val="24"/>
          <w:highlight w:val="none"/>
        </w:rPr>
      </w:pPr>
    </w:p>
    <w:p w14:paraId="0F2A8793">
      <w:pPr>
        <w:pStyle w:val="6"/>
        <w:bidi w:val="0"/>
        <w:jc w:val="center"/>
        <w:rPr>
          <w:sz w:val="84"/>
          <w:szCs w:val="84"/>
        </w:rPr>
      </w:pPr>
      <w:bookmarkStart w:id="1219" w:name="_Toc138"/>
      <w:r>
        <w:rPr>
          <w:rFonts w:hint="eastAsia"/>
          <w:sz w:val="84"/>
          <w:szCs w:val="84"/>
          <w:lang w:val="en-US" w:eastAsia="zh-CN"/>
        </w:rPr>
        <w:t>响 应</w:t>
      </w:r>
      <w:r>
        <w:rPr>
          <w:rFonts w:hint="eastAsia"/>
          <w:sz w:val="84"/>
          <w:szCs w:val="84"/>
        </w:rPr>
        <w:t xml:space="preserve"> 文 件</w:t>
      </w:r>
      <w:bookmarkEnd w:id="1219"/>
    </w:p>
    <w:p w14:paraId="383861DE">
      <w:pPr>
        <w:pStyle w:val="6"/>
        <w:bidi w:val="0"/>
        <w:jc w:val="center"/>
        <w:rPr>
          <w:rFonts w:hint="eastAsia"/>
          <w:sz w:val="56"/>
          <w:szCs w:val="56"/>
          <w:lang w:val="en-US" w:eastAsia="zh-CN"/>
        </w:rPr>
      </w:pPr>
      <w:bookmarkStart w:id="1220" w:name="_Toc24322"/>
      <w:r>
        <w:rPr>
          <w:rFonts w:hint="eastAsia"/>
          <w:sz w:val="56"/>
          <w:szCs w:val="56"/>
          <w:lang w:val="en-US" w:eastAsia="zh-CN"/>
        </w:rPr>
        <w:t>报价文件</w:t>
      </w:r>
      <w:bookmarkEnd w:id="1220"/>
    </w:p>
    <w:p w14:paraId="798A956E">
      <w:pPr>
        <w:pStyle w:val="6"/>
        <w:rPr>
          <w:color w:val="auto"/>
          <w:sz w:val="21"/>
          <w:szCs w:val="21"/>
          <w:highlight w:val="none"/>
        </w:rPr>
      </w:pPr>
    </w:p>
    <w:p w14:paraId="24B6A268">
      <w:pPr>
        <w:rPr>
          <w:color w:val="auto"/>
          <w:sz w:val="21"/>
          <w:szCs w:val="21"/>
          <w:highlight w:val="none"/>
        </w:rPr>
      </w:pPr>
    </w:p>
    <w:p w14:paraId="3DC104B3">
      <w:pPr>
        <w:rPr>
          <w:color w:val="auto"/>
          <w:highlight w:val="none"/>
        </w:rPr>
      </w:pPr>
    </w:p>
    <w:p w14:paraId="74A7A117">
      <w:pPr>
        <w:autoSpaceDE w:val="0"/>
        <w:autoSpaceDN w:val="0"/>
        <w:adjustRightInd w:val="0"/>
        <w:rPr>
          <w:color w:val="auto"/>
          <w:sz w:val="21"/>
          <w:szCs w:val="21"/>
          <w:highlight w:val="none"/>
        </w:rPr>
      </w:pPr>
    </w:p>
    <w:p w14:paraId="6EE89269">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17D47AB2">
      <w:pPr>
        <w:ind w:left="840" w:firstLine="420"/>
        <w:rPr>
          <w:b/>
          <w:bCs/>
          <w:color w:val="auto"/>
          <w:sz w:val="28"/>
          <w:szCs w:val="28"/>
          <w:highlight w:val="none"/>
        </w:rPr>
      </w:pPr>
    </w:p>
    <w:p w14:paraId="0C84FB8A">
      <w:pPr>
        <w:jc w:val="center"/>
        <w:rPr>
          <w:rFonts w:ascii="黑体" w:hAnsi="黑体" w:eastAsia="黑体"/>
          <w:i w:val="0"/>
          <w:iCs w:val="0"/>
          <w:color w:val="auto"/>
          <w:sz w:val="32"/>
          <w:szCs w:val="32"/>
          <w:highlight w:val="none"/>
        </w:rPr>
      </w:pPr>
      <w:r>
        <w:rPr>
          <w:rFonts w:hint="eastAsia" w:ascii="宋体" w:hAnsi="宋体" w:eastAsia="宋体" w:cs="宋体"/>
          <w:color w:val="auto"/>
          <w:sz w:val="32"/>
          <w:szCs w:val="32"/>
          <w:highlight w:val="none"/>
        </w:rPr>
        <w:t>年   月    日</w:t>
      </w:r>
    </w:p>
    <w:p w14:paraId="2B025C97">
      <w:pPr>
        <w:rPr>
          <w:i w:val="0"/>
          <w:iCs w:val="0"/>
          <w:color w:val="auto"/>
          <w:highlight w:val="none"/>
          <w:lang w:val="zh-CN"/>
        </w:rPr>
      </w:pPr>
      <w:r>
        <w:rPr>
          <w:i w:val="0"/>
          <w:iCs w:val="0"/>
          <w:color w:val="auto"/>
          <w:highlight w:val="none"/>
          <w:lang w:val="zh-CN"/>
        </w:rPr>
        <w:br w:type="page"/>
      </w:r>
    </w:p>
    <w:p w14:paraId="5A6B7717">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730DA0BC">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1221" w:name="_Toc15140"/>
      <w:r>
        <w:rPr>
          <w:rFonts w:hint="eastAsia" w:cstheme="majorBidi"/>
          <w:b/>
          <w:bCs/>
          <w:i w:val="0"/>
          <w:iCs w:val="0"/>
          <w:color w:val="auto"/>
          <w:kern w:val="2"/>
          <w:sz w:val="32"/>
          <w:szCs w:val="32"/>
          <w:highlight w:val="none"/>
          <w:lang w:val="en-US" w:eastAsia="zh-CN" w:bidi="ar-SA"/>
        </w:rPr>
        <w:t>一、报价一览表</w:t>
      </w:r>
      <w:bookmarkEnd w:id="1221"/>
    </w:p>
    <w:p w14:paraId="29B57BB7">
      <w:pPr>
        <w:snapToGrid w:val="0"/>
        <w:spacing w:line="360" w:lineRule="auto"/>
        <w:jc w:val="left"/>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项目名称：</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p w14:paraId="4FA16203">
      <w:pPr>
        <w:snapToGrid w:val="0"/>
        <w:spacing w:after="156" w:afterLines="50" w:line="360" w:lineRule="auto"/>
        <w:jc w:val="left"/>
        <w:rPr>
          <w:rFonts w:hint="eastAsia" w:ascii="宋体" w:hAnsi="宋体" w:eastAsia="宋体" w:cs="宋体"/>
          <w:b w:val="0"/>
          <w:bCs/>
          <w:i w:val="0"/>
          <w:iCs w:val="0"/>
          <w:color w:val="auto"/>
          <w:kern w:val="2"/>
          <w:sz w:val="24"/>
          <w:szCs w:val="24"/>
          <w:highlight w:val="none"/>
          <w:u w:val="single"/>
        </w:rPr>
      </w:pPr>
      <w:r>
        <w:rPr>
          <w:rFonts w:hint="eastAsia" w:ascii="宋体" w:hAnsi="宋体" w:eastAsia="宋体" w:cs="宋体"/>
          <w:b w:val="0"/>
          <w:bCs/>
          <w:i w:val="0"/>
          <w:iCs w:val="0"/>
          <w:color w:val="auto"/>
          <w:kern w:val="2"/>
          <w:sz w:val="24"/>
          <w:szCs w:val="24"/>
          <w:highlight w:val="none"/>
        </w:rPr>
        <w:t>项目编号：</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2"/>
      </w:tblGrid>
      <w:tr w14:paraId="366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78EDC1">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供应商名称</w:t>
            </w:r>
          </w:p>
        </w:tc>
        <w:tc>
          <w:tcPr>
            <w:tcW w:w="3556" w:type="pct"/>
            <w:tcBorders>
              <w:left w:val="single" w:color="auto" w:sz="4" w:space="0"/>
            </w:tcBorders>
            <w:vAlign w:val="center"/>
          </w:tcPr>
          <w:p w14:paraId="37CB85C6">
            <w:pPr>
              <w:spacing w:line="240" w:lineRule="auto"/>
              <w:jc w:val="both"/>
              <w:rPr>
                <w:rFonts w:hint="eastAsia" w:ascii="宋体" w:hAnsi="宋体" w:eastAsia="宋体" w:cs="宋体"/>
                <w:b w:val="0"/>
                <w:bCs/>
                <w:i w:val="0"/>
                <w:iCs w:val="0"/>
                <w:color w:val="auto"/>
                <w:kern w:val="2"/>
                <w:sz w:val="24"/>
                <w:szCs w:val="24"/>
                <w:highlight w:val="none"/>
              </w:rPr>
            </w:pPr>
          </w:p>
        </w:tc>
      </w:tr>
      <w:tr w14:paraId="24EB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EDE8CF">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磋商范围</w:t>
            </w:r>
          </w:p>
        </w:tc>
        <w:tc>
          <w:tcPr>
            <w:tcW w:w="3556" w:type="pct"/>
            <w:tcBorders>
              <w:left w:val="single" w:color="auto" w:sz="4" w:space="0"/>
            </w:tcBorders>
            <w:vAlign w:val="center"/>
          </w:tcPr>
          <w:p w14:paraId="78670A18">
            <w:pPr>
              <w:widowControl/>
              <w:spacing w:line="240" w:lineRule="auto"/>
              <w:jc w:val="both"/>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全部 / 第</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rPr>
              <w:t>包</w:t>
            </w:r>
          </w:p>
        </w:tc>
      </w:tr>
      <w:tr w14:paraId="603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16E7E9E">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报价</w:t>
            </w:r>
          </w:p>
          <w:p w14:paraId="5F388EDB">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（详见备注说明）</w:t>
            </w:r>
          </w:p>
        </w:tc>
        <w:tc>
          <w:tcPr>
            <w:tcW w:w="3556" w:type="pct"/>
            <w:vAlign w:val="center"/>
          </w:tcPr>
          <w:p w14:paraId="2F2F150D">
            <w:pPr>
              <w:snapToGrid w:val="0"/>
              <w:spacing w:line="240" w:lineRule="auto"/>
              <w:jc w:val="both"/>
              <w:rPr>
                <w:rFonts w:hint="eastAsia" w:ascii="宋体" w:hAnsi="宋体" w:eastAsia="宋体" w:cs="宋体"/>
                <w:b w:val="0"/>
                <w:bCs/>
                <w:i w:val="0"/>
                <w:iCs w:val="0"/>
                <w:color w:val="auto"/>
                <w:kern w:val="2"/>
                <w:sz w:val="24"/>
                <w:szCs w:val="24"/>
                <w:highlight w:val="none"/>
              </w:rPr>
            </w:pPr>
          </w:p>
          <w:p w14:paraId="3D4F3E9E">
            <w:pPr>
              <w:snapToGrid w:val="0"/>
              <w:spacing w:line="240" w:lineRule="auto"/>
              <w:jc w:val="both"/>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rPr>
              <w:t>大写：</w:t>
            </w:r>
            <w:r>
              <w:rPr>
                <w:rFonts w:hint="eastAsia" w:ascii="宋体" w:hAnsi="宋体" w:eastAsia="宋体" w:cs="宋体"/>
                <w:b w:val="0"/>
                <w:bCs/>
                <w:i w:val="0"/>
                <w:iCs w:val="0"/>
                <w:color w:val="auto"/>
                <w:sz w:val="24"/>
                <w:szCs w:val="24"/>
                <w:highlight w:val="none"/>
                <w:u w:val="single"/>
              </w:rPr>
              <w:t xml:space="preserve">                     </w:t>
            </w:r>
          </w:p>
          <w:p w14:paraId="0CAE42C2">
            <w:pPr>
              <w:spacing w:line="240" w:lineRule="auto"/>
              <w:ind w:right="-670"/>
              <w:jc w:val="both"/>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小写：</w:t>
            </w:r>
            <w:r>
              <w:rPr>
                <w:rFonts w:hint="eastAsia" w:ascii="宋体" w:hAnsi="宋体" w:eastAsia="宋体" w:cs="宋体"/>
                <w:b w:val="0"/>
                <w:bCs/>
                <w:i w:val="0"/>
                <w:iCs w:val="0"/>
                <w:color w:val="auto"/>
                <w:sz w:val="24"/>
                <w:szCs w:val="24"/>
                <w:highlight w:val="none"/>
                <w:u w:val="single"/>
              </w:rPr>
              <w:t xml:space="preserve">                     </w:t>
            </w:r>
          </w:p>
          <w:p w14:paraId="3A1569B3">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37D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79A7373">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质量标准</w:t>
            </w:r>
          </w:p>
        </w:tc>
        <w:tc>
          <w:tcPr>
            <w:tcW w:w="3556" w:type="pct"/>
            <w:vAlign w:val="center"/>
          </w:tcPr>
          <w:p w14:paraId="1E5D469E">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2222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E204255">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工    期</w:t>
            </w:r>
          </w:p>
        </w:tc>
        <w:tc>
          <w:tcPr>
            <w:tcW w:w="3556" w:type="pct"/>
            <w:vAlign w:val="center"/>
          </w:tcPr>
          <w:p w14:paraId="78146B7E">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080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1B51A75">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备注</w:t>
            </w:r>
          </w:p>
        </w:tc>
        <w:tc>
          <w:tcPr>
            <w:tcW w:w="3556" w:type="pct"/>
            <w:vAlign w:val="center"/>
          </w:tcPr>
          <w:p w14:paraId="73BFA4FB">
            <w:pPr>
              <w:spacing w:line="240" w:lineRule="auto"/>
              <w:jc w:val="both"/>
              <w:rPr>
                <w:rFonts w:hint="eastAsia" w:ascii="宋体" w:hAnsi="宋体" w:eastAsia="宋体" w:cs="宋体"/>
                <w:b w:val="0"/>
                <w:bCs/>
                <w:i w:val="0"/>
                <w:iCs w:val="0"/>
                <w:color w:val="auto"/>
                <w:kern w:val="2"/>
                <w:sz w:val="24"/>
                <w:szCs w:val="24"/>
                <w:highlight w:val="none"/>
              </w:rPr>
            </w:pPr>
          </w:p>
        </w:tc>
      </w:tr>
    </w:tbl>
    <w:p w14:paraId="40B6EF5A">
      <w:pPr>
        <w:spacing w:line="440" w:lineRule="exact"/>
        <w:rPr>
          <w:rFonts w:cs="@仿宋_GB2312"/>
          <w:i w:val="0"/>
          <w:iCs w:val="0"/>
          <w:color w:val="auto"/>
          <w:kern w:val="2"/>
          <w:sz w:val="24"/>
          <w:szCs w:val="24"/>
          <w:highlight w:val="none"/>
          <w:u w:val="single"/>
        </w:rPr>
      </w:pPr>
      <w:r>
        <w:rPr>
          <w:rFonts w:hint="eastAsia" w:cs="@仿宋_GB2312"/>
          <w:i w:val="0"/>
          <w:iCs w:val="0"/>
          <w:color w:val="auto"/>
          <w:kern w:val="2"/>
          <w:sz w:val="24"/>
          <w:szCs w:val="24"/>
          <w:highlight w:val="none"/>
        </w:rPr>
        <w:t>供应商</w:t>
      </w:r>
      <w:r>
        <w:rPr>
          <w:rFonts w:ascii="Arial" w:hAnsi="Arial" w:cs="Arial"/>
          <w:i w:val="0"/>
          <w:iCs w:val="0"/>
          <w:color w:val="auto"/>
          <w:szCs w:val="21"/>
          <w:highlight w:val="none"/>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cs="@仿宋_GB2312"/>
          <w:i w:val="0"/>
          <w:iCs w:val="0"/>
          <w:color w:val="auto"/>
          <w:kern w:val="2"/>
          <w:sz w:val="24"/>
          <w:szCs w:val="24"/>
          <w:highlight w:val="none"/>
        </w:rPr>
        <w:t>：</w:t>
      </w:r>
      <w:r>
        <w:rPr>
          <w:rFonts w:hint="eastAsia" w:cs="@仿宋_GB2312"/>
          <w:i w:val="0"/>
          <w:iCs w:val="0"/>
          <w:color w:val="auto"/>
          <w:kern w:val="2"/>
          <w:sz w:val="24"/>
          <w:szCs w:val="24"/>
          <w:highlight w:val="none"/>
          <w:u w:val="single"/>
        </w:rPr>
        <w:t xml:space="preserve">     </w:t>
      </w:r>
      <w:r>
        <w:rPr>
          <w:rFonts w:cs="@仿宋_GB2312"/>
          <w:i w:val="0"/>
          <w:iCs w:val="0"/>
          <w:color w:val="auto"/>
          <w:kern w:val="2"/>
          <w:sz w:val="24"/>
          <w:szCs w:val="24"/>
          <w:highlight w:val="none"/>
          <w:u w:val="single"/>
        </w:rPr>
        <w:t xml:space="preserve">    </w:t>
      </w:r>
      <w:r>
        <w:rPr>
          <w:rFonts w:hint="eastAsia" w:cs="@仿宋_GB2312"/>
          <w:i w:val="0"/>
          <w:iCs w:val="0"/>
          <w:color w:val="auto"/>
          <w:kern w:val="2"/>
          <w:sz w:val="24"/>
          <w:szCs w:val="24"/>
          <w:highlight w:val="none"/>
          <w:u w:val="single"/>
        </w:rPr>
        <w:t xml:space="preserve">    </w:t>
      </w:r>
    </w:p>
    <w:p w14:paraId="3D468598">
      <w:pPr>
        <w:spacing w:line="440" w:lineRule="exact"/>
        <w:rPr>
          <w:rFonts w:cs="@仿宋_GB2312"/>
          <w:i w:val="0"/>
          <w:iCs w:val="0"/>
          <w:color w:val="auto"/>
          <w:kern w:val="2"/>
          <w:sz w:val="24"/>
          <w:szCs w:val="24"/>
          <w:highlight w:val="none"/>
          <w:u w:val="single"/>
        </w:rPr>
      </w:pPr>
      <w:r>
        <w:rPr>
          <w:rFonts w:hint="eastAsia" w:cs="@仿宋_GB2312"/>
          <w:i w:val="0"/>
          <w:iCs w:val="0"/>
          <w:color w:val="auto"/>
          <w:kern w:val="2"/>
          <w:sz w:val="24"/>
          <w:szCs w:val="24"/>
          <w:highlight w:val="none"/>
        </w:rPr>
        <w:t xml:space="preserve">日     </w:t>
      </w:r>
      <w:r>
        <w:rPr>
          <w:rFonts w:cs="@仿宋_GB2312"/>
          <w:i w:val="0"/>
          <w:iCs w:val="0"/>
          <w:color w:val="auto"/>
          <w:kern w:val="2"/>
          <w:sz w:val="24"/>
          <w:szCs w:val="24"/>
          <w:highlight w:val="none"/>
        </w:rPr>
        <w:t xml:space="preserve">    </w:t>
      </w:r>
      <w:r>
        <w:rPr>
          <w:rFonts w:hint="eastAsia" w:cs="@仿宋_GB2312"/>
          <w:i w:val="0"/>
          <w:iCs w:val="0"/>
          <w:color w:val="auto"/>
          <w:kern w:val="2"/>
          <w:sz w:val="24"/>
          <w:szCs w:val="24"/>
          <w:highlight w:val="none"/>
        </w:rPr>
        <w:t xml:space="preserve"> 期：</w:t>
      </w:r>
      <w:r>
        <w:rPr>
          <w:rFonts w:hint="eastAsia" w:cs="@仿宋_GB2312"/>
          <w:i w:val="0"/>
          <w:iCs w:val="0"/>
          <w:color w:val="auto"/>
          <w:kern w:val="2"/>
          <w:sz w:val="24"/>
          <w:szCs w:val="24"/>
          <w:highlight w:val="none"/>
          <w:u w:val="single"/>
        </w:rPr>
        <w:t xml:space="preserve">       </w:t>
      </w:r>
      <w:r>
        <w:rPr>
          <w:rFonts w:hint="eastAsia" w:cs="@仿宋_GB2312"/>
          <w:i w:val="0"/>
          <w:iCs w:val="0"/>
          <w:color w:val="auto"/>
          <w:kern w:val="2"/>
          <w:sz w:val="24"/>
          <w:szCs w:val="24"/>
          <w:highlight w:val="none"/>
          <w:u w:val="single"/>
          <w:lang w:val="en-US" w:eastAsia="zh-CN"/>
        </w:rPr>
        <w:t xml:space="preserve">    </w:t>
      </w:r>
      <w:r>
        <w:rPr>
          <w:rFonts w:hint="eastAsia" w:cs="@仿宋_GB2312"/>
          <w:i w:val="0"/>
          <w:iCs w:val="0"/>
          <w:color w:val="auto"/>
          <w:kern w:val="2"/>
          <w:sz w:val="24"/>
          <w:szCs w:val="24"/>
          <w:highlight w:val="none"/>
          <w:u w:val="single"/>
        </w:rPr>
        <w:t xml:space="preserve">      </w:t>
      </w:r>
    </w:p>
    <w:p w14:paraId="2461B1D2">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442950C1">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385FAD34">
      <w:pPr>
        <w:adjustRightInd w:val="0"/>
        <w:snapToGrid w:val="0"/>
        <w:spacing w:line="360" w:lineRule="auto"/>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bCs/>
          <w:i w:val="0"/>
          <w:iCs w:val="0"/>
          <w:color w:val="auto"/>
          <w:kern w:val="2"/>
          <w:sz w:val="21"/>
          <w:szCs w:val="21"/>
          <w:highlight w:val="none"/>
        </w:rPr>
        <w:t>注：</w:t>
      </w:r>
    </w:p>
    <w:p w14:paraId="7AC2D20F">
      <w:pPr>
        <w:adjustRightInd w:val="0"/>
        <w:snapToGrid w:val="0"/>
        <w:spacing w:line="360" w:lineRule="auto"/>
        <w:ind w:firstLine="420" w:firstLineChars="200"/>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rPr>
        <w:t>1.本表内容根据磋商文件要求包括了磋商文件要求提供的全部内容的所有费用。</w:t>
      </w:r>
    </w:p>
    <w:p w14:paraId="25395212">
      <w:pPr>
        <w:adjustRightInd w:val="0"/>
        <w:snapToGrid w:val="0"/>
        <w:spacing w:line="360" w:lineRule="auto"/>
        <w:ind w:firstLine="420" w:firstLineChars="200"/>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rPr>
        <w:t>2.特殊事项在备注中注明。</w:t>
      </w:r>
    </w:p>
    <w:p w14:paraId="59454300">
      <w:pPr>
        <w:adjustRightInd w:val="0"/>
        <w:snapToGrid w:val="0"/>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.表中大写与小写不一致的，以大写为准。</w:t>
      </w:r>
    </w:p>
    <w:p w14:paraId="4CFFB9C9">
      <w:pPr>
        <w:spacing w:line="300" w:lineRule="auto"/>
        <w:rPr>
          <w:rFonts w:hint="eastAsia" w:ascii="宋体" w:hAnsi="宋体" w:eastAsia="宋体" w:cs="宋体"/>
          <w:b w:val="0"/>
          <w:bCs w:val="0"/>
          <w:i w:val="0"/>
          <w:iCs w:val="0"/>
          <w:color w:val="auto"/>
          <w:szCs w:val="24"/>
          <w:highlight w:val="none"/>
        </w:rPr>
      </w:pPr>
    </w:p>
    <w:p w14:paraId="27C73E89">
      <w:pPr>
        <w:rPr>
          <w:rFonts w:hint="eastAsia"/>
          <w:b w:val="0"/>
          <w:bCs/>
          <w:i w:val="0"/>
          <w:iCs w:val="0"/>
          <w:color w:val="auto"/>
          <w:szCs w:val="21"/>
          <w:highlight w:val="none"/>
          <w:lang w:val="zh-CN"/>
        </w:rPr>
      </w:pPr>
    </w:p>
    <w:p w14:paraId="758FF184">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7B2B178E">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1222" w:name="_Toc15952"/>
      <w:r>
        <w:rPr>
          <w:rFonts w:hint="eastAsia" w:cstheme="majorBidi"/>
          <w:b/>
          <w:bCs/>
          <w:i w:val="0"/>
          <w:iCs w:val="0"/>
          <w:color w:val="auto"/>
          <w:kern w:val="2"/>
          <w:sz w:val="32"/>
          <w:szCs w:val="32"/>
          <w:highlight w:val="none"/>
          <w:lang w:val="en-US" w:eastAsia="zh-CN" w:bidi="ar-SA"/>
        </w:rPr>
        <w:t>二、已标价工程量清单</w:t>
      </w:r>
      <w:bookmarkEnd w:id="1222"/>
    </w:p>
    <w:p w14:paraId="4565E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i w:val="0"/>
          <w:iCs w:val="0"/>
          <w:color w:val="auto"/>
          <w:szCs w:val="21"/>
          <w:highlight w:val="none"/>
          <w:lang w:val="zh-CN"/>
        </w:rPr>
      </w:pPr>
      <w:r>
        <w:rPr>
          <w:rFonts w:hint="eastAsia" w:ascii="宋体" w:hAnsi="宋体" w:cs="宋体"/>
          <w:i w:val="0"/>
          <w:iCs w:val="0"/>
          <w:color w:val="auto"/>
          <w:szCs w:val="21"/>
          <w:highlight w:val="none"/>
        </w:rPr>
        <w:t>已标价工程量清单</w:t>
      </w:r>
    </w:p>
    <w:p w14:paraId="10F0B4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i w:val="0"/>
          <w:iCs w:val="0"/>
          <w:color w:val="auto"/>
          <w:szCs w:val="21"/>
          <w:highlight w:val="none"/>
          <w:lang w:val="zh-CN"/>
        </w:rPr>
      </w:pPr>
      <w:r>
        <w:rPr>
          <w:rFonts w:hint="eastAsia"/>
          <w:b w:val="0"/>
          <w:bCs/>
          <w:i w:val="0"/>
          <w:iCs w:val="0"/>
          <w:color w:val="auto"/>
          <w:szCs w:val="21"/>
          <w:highlight w:val="none"/>
          <w:lang w:val="zh-CN"/>
        </w:rPr>
        <w:t>（格式详见工程量清单）</w:t>
      </w:r>
    </w:p>
    <w:p w14:paraId="2F1CDA67">
      <w:pPr>
        <w:rPr>
          <w:rFonts w:hint="eastAsia"/>
          <w:b w:val="0"/>
          <w:bCs/>
          <w:i w:val="0"/>
          <w:iCs w:val="0"/>
          <w:color w:val="auto"/>
          <w:szCs w:val="21"/>
          <w:highlight w:val="none"/>
          <w:lang w:val="zh-CN"/>
        </w:rPr>
      </w:pPr>
      <w:r>
        <w:rPr>
          <w:rFonts w:hint="eastAsia"/>
          <w:b w:val="0"/>
          <w:bCs/>
          <w:i w:val="0"/>
          <w:iCs w:val="0"/>
          <w:color w:val="auto"/>
          <w:szCs w:val="21"/>
          <w:highlight w:val="none"/>
          <w:lang w:val="zh-CN"/>
        </w:rPr>
        <w:br w:type="page"/>
      </w:r>
    </w:p>
    <w:p w14:paraId="182ECC77">
      <w:pPr>
        <w:pStyle w:val="60"/>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FEA1E8F">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8CF572">
      <w:pPr>
        <w:autoSpaceDE w:val="0"/>
        <w:autoSpaceDN w:val="0"/>
        <w:adjustRightInd w:val="0"/>
        <w:rPr>
          <w:color w:val="auto"/>
          <w:sz w:val="21"/>
          <w:szCs w:val="24"/>
          <w:highlight w:val="none"/>
        </w:rPr>
      </w:pPr>
    </w:p>
    <w:p w14:paraId="01DE1B7A">
      <w:pPr>
        <w:autoSpaceDE w:val="0"/>
        <w:autoSpaceDN w:val="0"/>
        <w:adjustRightInd w:val="0"/>
        <w:rPr>
          <w:color w:val="auto"/>
          <w:sz w:val="21"/>
          <w:szCs w:val="24"/>
          <w:highlight w:val="none"/>
        </w:rPr>
      </w:pPr>
    </w:p>
    <w:p w14:paraId="42EEFC45">
      <w:pPr>
        <w:autoSpaceDE w:val="0"/>
        <w:autoSpaceDN w:val="0"/>
        <w:adjustRightInd w:val="0"/>
        <w:jc w:val="center"/>
        <w:rPr>
          <w:color w:val="auto"/>
          <w:sz w:val="21"/>
          <w:szCs w:val="24"/>
          <w:highlight w:val="none"/>
        </w:rPr>
      </w:pPr>
    </w:p>
    <w:p w14:paraId="2985381A">
      <w:pPr>
        <w:pStyle w:val="6"/>
        <w:bidi w:val="0"/>
        <w:jc w:val="center"/>
        <w:rPr>
          <w:sz w:val="84"/>
          <w:szCs w:val="84"/>
        </w:rPr>
      </w:pPr>
      <w:bookmarkStart w:id="1223" w:name="_Toc13188"/>
      <w:r>
        <w:rPr>
          <w:rFonts w:hint="eastAsia"/>
          <w:sz w:val="84"/>
          <w:szCs w:val="84"/>
          <w:lang w:val="en-US" w:eastAsia="zh-CN"/>
        </w:rPr>
        <w:t>响 应</w:t>
      </w:r>
      <w:r>
        <w:rPr>
          <w:rFonts w:hint="eastAsia"/>
          <w:sz w:val="84"/>
          <w:szCs w:val="84"/>
        </w:rPr>
        <w:t xml:space="preserve"> 文 件</w:t>
      </w:r>
      <w:bookmarkEnd w:id="1223"/>
    </w:p>
    <w:p w14:paraId="6117C88A">
      <w:pPr>
        <w:pStyle w:val="6"/>
        <w:bidi w:val="0"/>
        <w:jc w:val="center"/>
        <w:rPr>
          <w:rFonts w:hint="eastAsia"/>
          <w:sz w:val="56"/>
          <w:szCs w:val="56"/>
          <w:lang w:val="en-US" w:eastAsia="zh-CN"/>
        </w:rPr>
      </w:pPr>
      <w:bookmarkStart w:id="1224" w:name="_Toc18288"/>
      <w:r>
        <w:rPr>
          <w:rFonts w:hint="eastAsia"/>
          <w:sz w:val="56"/>
          <w:szCs w:val="56"/>
          <w:lang w:val="en-US" w:eastAsia="zh-CN"/>
        </w:rPr>
        <w:t>商务技术文件</w:t>
      </w:r>
      <w:bookmarkEnd w:id="1224"/>
    </w:p>
    <w:p w14:paraId="0E248DF9">
      <w:pPr>
        <w:pStyle w:val="6"/>
        <w:rPr>
          <w:color w:val="auto"/>
          <w:sz w:val="21"/>
          <w:szCs w:val="21"/>
          <w:highlight w:val="none"/>
        </w:rPr>
      </w:pPr>
    </w:p>
    <w:p w14:paraId="207E2924">
      <w:pPr>
        <w:rPr>
          <w:color w:val="auto"/>
          <w:sz w:val="21"/>
          <w:szCs w:val="21"/>
          <w:highlight w:val="none"/>
        </w:rPr>
      </w:pPr>
    </w:p>
    <w:p w14:paraId="15C28DB8">
      <w:pPr>
        <w:rPr>
          <w:color w:val="auto"/>
          <w:highlight w:val="none"/>
        </w:rPr>
      </w:pPr>
    </w:p>
    <w:p w14:paraId="3C33BDD9">
      <w:pPr>
        <w:autoSpaceDE w:val="0"/>
        <w:autoSpaceDN w:val="0"/>
        <w:adjustRightInd w:val="0"/>
        <w:rPr>
          <w:color w:val="auto"/>
          <w:sz w:val="21"/>
          <w:szCs w:val="21"/>
          <w:highlight w:val="none"/>
        </w:rPr>
      </w:pPr>
    </w:p>
    <w:p w14:paraId="2F863FAA">
      <w:pPr>
        <w:autoSpaceDE w:val="0"/>
        <w:autoSpaceDN w:val="0"/>
        <w:adjustRightInd w:val="0"/>
        <w:rPr>
          <w:color w:val="auto"/>
          <w:sz w:val="21"/>
          <w:szCs w:val="21"/>
          <w:highlight w:val="none"/>
        </w:rPr>
      </w:pPr>
    </w:p>
    <w:p w14:paraId="0798FBB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B1E4C1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cs="宋体"/>
          <w:color w:val="auto"/>
          <w:sz w:val="36"/>
          <w:szCs w:val="36"/>
          <w:highlight w:val="none"/>
          <w:lang w:val="en-US" w:eastAsia="zh-CN"/>
        </w:rPr>
        <w:t>供 应 商</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C5E0224">
      <w:pPr>
        <w:jc w:val="center"/>
        <w:rPr>
          <w:rFonts w:ascii="黑体" w:hAnsi="黑体" w:eastAsia="黑体"/>
          <w:color w:val="auto"/>
          <w:sz w:val="32"/>
          <w:szCs w:val="32"/>
          <w:highlight w:val="none"/>
        </w:rPr>
      </w:pPr>
    </w:p>
    <w:p w14:paraId="23AF064E">
      <w:pPr>
        <w:jc w:val="center"/>
        <w:rPr>
          <w:rFonts w:ascii="黑体" w:hAnsi="黑体" w:eastAsia="黑体"/>
          <w:i w:val="0"/>
          <w:iCs w:val="0"/>
          <w:color w:val="auto"/>
          <w:sz w:val="32"/>
          <w:szCs w:val="32"/>
          <w:highlight w:val="none"/>
        </w:rPr>
      </w:pPr>
    </w:p>
    <w:p w14:paraId="5C2AEB63">
      <w:pPr>
        <w:rPr>
          <w:i w:val="0"/>
          <w:iCs w:val="0"/>
          <w:color w:val="auto"/>
          <w:highlight w:val="none"/>
          <w:lang w:val="zh-CN"/>
        </w:rPr>
      </w:pPr>
      <w:r>
        <w:rPr>
          <w:i w:val="0"/>
          <w:iCs w:val="0"/>
          <w:color w:val="auto"/>
          <w:highlight w:val="none"/>
          <w:lang w:val="zh-CN"/>
        </w:rPr>
        <w:br w:type="page"/>
      </w:r>
    </w:p>
    <w:p w14:paraId="374BEE88">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25" w:name="_Toc8710"/>
      <w:bookmarkStart w:id="1226" w:name="_Toc25402"/>
      <w:bookmarkStart w:id="1227" w:name="_Toc3577"/>
      <w:bookmarkStart w:id="1228" w:name="_Toc109900327"/>
      <w:bookmarkStart w:id="1229" w:name="_Toc109899908"/>
      <w:bookmarkStart w:id="1230" w:name="_Toc140132831"/>
      <w:bookmarkStart w:id="1231" w:name="_Toc109899489"/>
      <w:bookmarkStart w:id="1232" w:name="_Toc155185921"/>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1225"/>
      <w:bookmarkEnd w:id="1226"/>
      <w:bookmarkEnd w:id="1227"/>
      <w:bookmarkEnd w:id="1228"/>
      <w:bookmarkEnd w:id="1229"/>
      <w:bookmarkEnd w:id="1230"/>
      <w:bookmarkEnd w:id="1231"/>
      <w:bookmarkEnd w:id="1232"/>
    </w:p>
    <w:p w14:paraId="0ABD9EA3">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w:t>
      </w:r>
      <w:r>
        <w:rPr>
          <w:rFonts w:hint="eastAsia" w:cs="Arial"/>
          <w:i w:val="0"/>
          <w:iCs w:val="0"/>
          <w:color w:val="auto"/>
          <w:szCs w:val="24"/>
          <w:highlight w:val="none"/>
          <w:lang w:val="en-US" w:eastAsia="zh-CN"/>
        </w:rPr>
        <w:t>工程及相关的</w:t>
      </w:r>
      <w:r>
        <w:rPr>
          <w:rFonts w:hint="eastAsia" w:cs="Arial"/>
          <w:i w:val="0"/>
          <w:iCs w:val="0"/>
          <w:color w:val="auto"/>
          <w:szCs w:val="24"/>
          <w:highlight w:val="none"/>
        </w:rPr>
        <w:t>货物</w:t>
      </w:r>
      <w:r>
        <w:rPr>
          <w:rFonts w:cs="Arial"/>
          <w:i w:val="0"/>
          <w:iCs w:val="0"/>
          <w:color w:val="auto"/>
          <w:szCs w:val="24"/>
          <w:highlight w:val="none"/>
        </w:rPr>
        <w:t>和服务</w:t>
      </w:r>
      <w:r>
        <w:rPr>
          <w:rFonts w:hint="eastAsia" w:cs="Arial"/>
          <w:i w:val="0"/>
          <w:iCs w:val="0"/>
          <w:color w:val="auto"/>
          <w:szCs w:val="24"/>
          <w:highlight w:val="none"/>
        </w:rPr>
        <w:t>（如有）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2DB608A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    应    商</w:t>
      </w:r>
      <w:r>
        <w:rPr>
          <w:rFonts w:hint="eastAsia" w:cs="宋体"/>
          <w:i w:val="0"/>
          <w:iCs w:val="0"/>
          <w:color w:val="auto"/>
          <w:highlight w:val="none"/>
        </w:rPr>
        <w:t>：（公章）</w:t>
      </w:r>
    </w:p>
    <w:p w14:paraId="4CCC9D16">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268281DA">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0A396883">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21203E4D">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授 </w:t>
      </w:r>
      <w:r>
        <w:rPr>
          <w:rFonts w:cs="宋体"/>
          <w:i w:val="0"/>
          <w:iCs w:val="0"/>
          <w:color w:val="auto"/>
          <w:highlight w:val="none"/>
        </w:rPr>
        <w:t xml:space="preserve"> </w:t>
      </w:r>
      <w:r>
        <w:rPr>
          <w:rFonts w:hint="eastAsia" w:cs="宋体"/>
          <w:i w:val="0"/>
          <w:iCs w:val="0"/>
          <w:color w:val="auto"/>
          <w:highlight w:val="none"/>
        </w:rPr>
        <w:t xml:space="preserve">权 </w:t>
      </w:r>
      <w:r>
        <w:rPr>
          <w:rFonts w:cs="宋体"/>
          <w:i w:val="0"/>
          <w:iCs w:val="0"/>
          <w:color w:val="auto"/>
          <w:highlight w:val="none"/>
        </w:rPr>
        <w:t xml:space="preserve"> </w:t>
      </w:r>
      <w:r>
        <w:rPr>
          <w:rFonts w:hint="eastAsia" w:cs="宋体"/>
          <w:i w:val="0"/>
          <w:iCs w:val="0"/>
          <w:color w:val="auto"/>
          <w:highlight w:val="none"/>
        </w:rPr>
        <w:t xml:space="preserve">代 </w:t>
      </w:r>
      <w:r>
        <w:rPr>
          <w:rFonts w:cs="宋体"/>
          <w:i w:val="0"/>
          <w:iCs w:val="0"/>
          <w:color w:val="auto"/>
          <w:highlight w:val="none"/>
        </w:rPr>
        <w:t xml:space="preserve"> </w:t>
      </w:r>
      <w:r>
        <w:rPr>
          <w:rFonts w:hint="eastAsia" w:cs="宋体"/>
          <w:i w:val="0"/>
          <w:iCs w:val="0"/>
          <w:color w:val="auto"/>
          <w:highlight w:val="none"/>
        </w:rPr>
        <w:t>表：</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33" w:name="_Toc15463"/>
      <w:bookmarkStart w:id="1234" w:name="_Toc155185924"/>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1233"/>
      <w:bookmarkEnd w:id="1234"/>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35" w:name="_Toc26442"/>
      <w:bookmarkStart w:id="1236" w:name="_Toc155185925"/>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1235"/>
      <w:bookmarkEnd w:id="1236"/>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r>
        <w:rPr>
          <w:rFonts w:hint="default" w:ascii="DejaVuSans" w:hAnsi="DejaVuSans" w:eastAsia="DejaVuSans" w:cs="DejaVuSans"/>
          <w:i w:val="0"/>
          <w:iCs w:val="0"/>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117D25C9">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37" w:name="_Toc155185934"/>
      <w:bookmarkStart w:id="1238" w:name="_Toc163492928"/>
      <w:bookmarkStart w:id="1239" w:name="_Toc20288"/>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1237"/>
      <w:bookmarkEnd w:id="1238"/>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1239"/>
    </w:p>
    <w:p w14:paraId="2AB445CF">
      <w:pPr>
        <w:pStyle w:val="2"/>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cs="宋体"/>
          <w:i w:val="0"/>
          <w:iCs w:val="0"/>
          <w:color w:val="auto"/>
          <w:kern w:val="0"/>
          <w:sz w:val="24"/>
          <w:szCs w:val="24"/>
          <w:highlight w:val="none"/>
          <w:lang w:val="en-US" w:eastAsia="zh-CN"/>
        </w:rPr>
        <w:t xml:space="preserve"> </w:t>
      </w:r>
      <w:r>
        <w:rPr>
          <w:rFonts w:hint="eastAsia" w:ascii="宋体" w:hAnsi="宋体" w:cs="宋体"/>
          <w:i w:val="0"/>
          <w:iCs w:val="0"/>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2"/>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2"/>
        <w:rPr>
          <w:rFonts w:hint="eastAsia" w:eastAsia="宋体" w:asciiTheme="majorHAnsi" w:hAnsiTheme="majorHAnsi" w:cstheme="majorBidi"/>
          <w:b/>
          <w:bCs/>
          <w:i w:val="0"/>
          <w:iCs w:val="0"/>
          <w:color w:val="auto"/>
          <w:kern w:val="2"/>
          <w:sz w:val="24"/>
          <w:szCs w:val="24"/>
          <w:highlight w:val="none"/>
          <w:lang w:val="en-US" w:eastAsia="zh-CN" w:bidi="ar-SA"/>
        </w:rPr>
      </w:pPr>
    </w:p>
    <w:p w14:paraId="18FDCDE0">
      <w:pPr>
        <w:pStyle w:val="2"/>
        <w:rPr>
          <w:rFonts w:hint="eastAsia" w:eastAsia="宋体" w:asciiTheme="majorHAnsi" w:hAnsiTheme="majorHAnsi" w:cstheme="majorBidi"/>
          <w:b/>
          <w:bCs/>
          <w:i w:val="0"/>
          <w:iCs w:val="0"/>
          <w:color w:val="auto"/>
          <w:kern w:val="2"/>
          <w:sz w:val="24"/>
          <w:szCs w:val="24"/>
          <w:highlight w:val="none"/>
          <w:lang w:val="en-US" w:eastAsia="zh-CN" w:bidi="ar-SA"/>
        </w:rPr>
      </w:pPr>
    </w:p>
    <w:p w14:paraId="380411C5">
      <w:pPr>
        <w:pStyle w:val="6"/>
        <w:bidi w:val="0"/>
        <w:jc w:val="center"/>
        <w:rPr>
          <w:rFonts w:hint="eastAsia"/>
          <w:lang w:val="en-US" w:eastAsia="zh-CN"/>
        </w:rPr>
      </w:pPr>
      <w:bookmarkStart w:id="1240" w:name="_Toc6515"/>
      <w:r>
        <w:rPr>
          <w:rFonts w:hint="eastAsia"/>
          <w:lang w:val="en-US" w:eastAsia="zh-CN"/>
        </w:rPr>
        <w:t>五、实质性响应一览表</w:t>
      </w:r>
      <w:r>
        <w:rPr>
          <w:rFonts w:hint="eastAsia"/>
          <w:lang w:val="zh-CN" w:eastAsia="zh-CN"/>
        </w:rPr>
        <w:t>【</w:t>
      </w:r>
      <w:r>
        <w:rPr>
          <w:rFonts w:hint="eastAsia"/>
          <w:lang w:val="en-US" w:eastAsia="zh-CN"/>
        </w:rPr>
        <w:t>本表须与第四章的一致】</w:t>
      </w:r>
      <w:bookmarkEnd w:id="1240"/>
    </w:p>
    <w:p w14:paraId="48C7EA86">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exact"/>
        <w:jc w:val="center"/>
        <w:textAlignment w:val="auto"/>
        <w:rPr>
          <w:rFonts w:hint="eastAsia" w:ascii="宋体" w:hAnsi="宋体" w:cs="宋体"/>
          <w:b w:val="0"/>
          <w:bCs/>
          <w:color w:val="auto"/>
          <w:sz w:val="24"/>
          <w:highlight w:val="none"/>
        </w:rPr>
      </w:pPr>
      <w:r>
        <w:rPr>
          <w:rFonts w:hint="eastAsia" w:ascii="宋体" w:hAnsi="宋体" w:cs="宋体"/>
          <w:b w:val="0"/>
          <w:bCs/>
          <w:color w:val="auto"/>
          <w:sz w:val="24"/>
          <w:highlight w:val="none"/>
        </w:rPr>
        <w:t>（供应商须对本附表所有内容逐条响应且无负偏离，否则</w:t>
      </w:r>
      <w:r>
        <w:rPr>
          <w:rFonts w:hint="eastAsia" w:cs="宋体"/>
          <w:b w:val="0"/>
          <w:bCs/>
          <w:color w:val="auto"/>
          <w:sz w:val="24"/>
          <w:highlight w:val="none"/>
          <w:lang w:val="en-US" w:eastAsia="zh-CN"/>
        </w:rPr>
        <w:t>其</w:t>
      </w:r>
      <w:r>
        <w:rPr>
          <w:rFonts w:hint="eastAsia" w:cs="宋体"/>
          <w:b/>
          <w:color w:val="auto"/>
          <w:sz w:val="24"/>
          <w:highlight w:val="none"/>
          <w:lang w:val="en-US" w:eastAsia="zh-CN"/>
        </w:rPr>
        <w:t>响应</w:t>
      </w:r>
      <w:r>
        <w:rPr>
          <w:rFonts w:hint="eastAsia" w:ascii="宋体" w:hAnsi="宋体" w:cs="宋体"/>
          <w:b/>
          <w:color w:val="auto"/>
          <w:sz w:val="24"/>
          <w:highlight w:val="none"/>
        </w:rPr>
        <w:t>无效</w:t>
      </w:r>
      <w:r>
        <w:rPr>
          <w:rFonts w:hint="eastAsia" w:ascii="宋体" w:hAnsi="宋体" w:cs="宋体"/>
          <w:b w:val="0"/>
          <w:bCs/>
          <w:color w:val="auto"/>
          <w:sz w:val="24"/>
          <w:highlight w:val="none"/>
        </w:rPr>
        <w:t>）</w:t>
      </w:r>
    </w:p>
    <w:p w14:paraId="23C37A41">
      <w:pPr>
        <w:pStyle w:val="23"/>
        <w:rPr>
          <w:rFonts w:hint="eastAsia" w:ascii="宋体" w:hAnsi="宋体" w:cs="宋体"/>
          <w:b w:val="0"/>
          <w:bCs/>
          <w:color w:val="auto"/>
          <w:sz w:val="24"/>
          <w:highlight w:val="none"/>
        </w:rPr>
      </w:pPr>
    </w:p>
    <w:tbl>
      <w:tblPr>
        <w:tblStyle w:val="28"/>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磋商</w:t>
            </w:r>
            <w:r>
              <w:rPr>
                <w:rFonts w:hint="eastAsia" w:ascii="宋体" w:hAnsi="宋体" w:cs="宋体"/>
                <w:i w:val="0"/>
                <w:iCs w:val="0"/>
                <w:color w:val="auto"/>
                <w:sz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cs="宋体"/>
                <w:i w:val="0"/>
                <w:iCs w:val="0"/>
                <w:color w:val="auto"/>
                <w:sz w:val="24"/>
                <w:highlight w:val="none"/>
                <w:lang w:eastAsia="zh-CN"/>
              </w:rPr>
              <w:t>响应</w:t>
            </w:r>
            <w:r>
              <w:rPr>
                <w:rFonts w:hint="eastAsia" w:ascii="宋体" w:hAnsi="宋体" w:cs="宋体"/>
                <w:i w:val="0"/>
                <w:iCs w:val="0"/>
                <w:color w:val="auto"/>
                <w:sz w:val="24"/>
                <w:highlight w:val="none"/>
              </w:rPr>
              <w:t>文件具体</w:t>
            </w:r>
            <w:r>
              <w:rPr>
                <w:rFonts w:hint="eastAsia" w:cs="宋体"/>
                <w:i w:val="0"/>
                <w:iCs w:val="0"/>
                <w:color w:val="auto"/>
                <w:sz w:val="24"/>
                <w:highlight w:val="none"/>
                <w:lang w:val="en-US" w:eastAsia="zh-CN"/>
              </w:rPr>
              <w:t>的</w:t>
            </w:r>
            <w:r>
              <w:rPr>
                <w:rFonts w:hint="eastAsia" w:ascii="宋体" w:hAnsi="宋体" w:cs="宋体"/>
                <w:i w:val="0"/>
                <w:iCs w:val="0"/>
                <w:color w:val="auto"/>
                <w:sz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i w:val="0"/>
                <w:iCs w:val="0"/>
                <w:color w:val="auto"/>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磋商文件中的规定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cs="宋体"/>
                <w:i w:val="0"/>
                <w:iCs w:val="0"/>
                <w:color w:val="auto"/>
                <w:sz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62EC5B93">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_GB2312" w:hAnsi="宋体" w:eastAsia="宋体"/>
                <w:i w:val="0"/>
                <w:iCs w:val="0"/>
                <w:color w:val="auto"/>
                <w:kern w:val="0"/>
                <w:sz w:val="31"/>
                <w:szCs w:val="20"/>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cs="宋体"/>
                <w:i w:val="0"/>
                <w:iCs w:val="0"/>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5</w:t>
            </w:r>
          </w:p>
        </w:tc>
        <w:tc>
          <w:tcPr>
            <w:tcW w:w="1309" w:type="pct"/>
            <w:noWrap w:val="0"/>
            <w:vAlign w:val="center"/>
          </w:tcPr>
          <w:p w14:paraId="6450B6FD">
            <w:pPr>
              <w:pStyle w:val="62"/>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eastAsia="宋体" w:cs="宋体"/>
                <w:i w:val="0"/>
                <w:iCs w:val="0"/>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val="en-US" w:eastAsia="zh-CN"/>
              </w:rPr>
            </w:pPr>
          </w:p>
        </w:tc>
        <w:tc>
          <w:tcPr>
            <w:tcW w:w="1309" w:type="pct"/>
            <w:shd w:val="clear" w:color="auto" w:fill="auto"/>
            <w:noWrap w:val="0"/>
            <w:vAlign w:val="center"/>
          </w:tcPr>
          <w:p w14:paraId="4892F810">
            <w:pPr>
              <w:pStyle w:val="45"/>
              <w:rPr>
                <w:rFonts w:hint="eastAsia" w:ascii="宋体" w:hAnsi="宋体" w:eastAsia="宋体" w:cstheme="minorBidi"/>
                <w:i w:val="0"/>
                <w:iCs w:val="0"/>
                <w:color w:val="auto"/>
                <w:kern w:val="2"/>
                <w:sz w:val="24"/>
                <w:szCs w:val="22"/>
                <w:highlight w:val="none"/>
                <w:lang w:val="zh-CN" w:eastAsia="zh-CN" w:bidi="ar-SA"/>
              </w:rPr>
            </w:pPr>
            <w:r>
              <w:rPr>
                <w:rFonts w:hint="default" w:ascii="Arial" w:hAnsi="Arial" w:cs="Arial"/>
                <w:i w:val="0"/>
                <w:iCs w:val="0"/>
                <w:color w:val="auto"/>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bl>
    <w:p w14:paraId="4758525D">
      <w:pPr>
        <w:rPr>
          <w:rFonts w:hint="eastAsia" w:cstheme="majorBidi"/>
          <w:b/>
          <w:bCs/>
          <w:i w:val="0"/>
          <w:iCs w:val="0"/>
          <w:color w:val="auto"/>
          <w:kern w:val="2"/>
          <w:sz w:val="32"/>
          <w:szCs w:val="32"/>
          <w:highlight w:val="none"/>
          <w:lang w:val="en-US" w:eastAsia="zh-CN" w:bidi="ar-SA"/>
        </w:rPr>
      </w:pPr>
    </w:p>
    <w:p w14:paraId="2AF49F95">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3A7F3E88">
      <w:pPr>
        <w:rPr>
          <w:rFonts w:hint="eastAsia"/>
          <w:i w:val="0"/>
          <w:iCs w:val="0"/>
          <w:color w:val="auto"/>
          <w:highlight w:val="none"/>
          <w:lang w:val="en-US" w:eastAsia="zh-CN"/>
        </w:rPr>
      </w:pPr>
    </w:p>
    <w:p w14:paraId="626EF50E">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41" w:name="_Toc16585"/>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、商务响应偏离表</w:t>
      </w:r>
      <w:bookmarkEnd w:id="1241"/>
    </w:p>
    <w:p w14:paraId="21AF32D6">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424C095">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i w:val="0"/>
          <w:iCs w:val="0"/>
          <w:color w:val="auto"/>
          <w:szCs w:val="24"/>
          <w:highlight w:val="none"/>
        </w:rPr>
        <w:t xml:space="preserve">：        </w:t>
      </w:r>
    </w:p>
    <w:tbl>
      <w:tblPr>
        <w:tblStyle w:val="28"/>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5"/>
              <w:jc w:val="center"/>
              <w:rPr>
                <w:i w:val="0"/>
                <w:iCs w:val="0"/>
                <w:color w:val="auto"/>
                <w:highlight w:val="none"/>
              </w:rPr>
            </w:pPr>
            <w:r>
              <w:rPr>
                <w:rFonts w:hint="eastAsia"/>
                <w:i w:val="0"/>
                <w:iCs w:val="0"/>
                <w:color w:val="auto"/>
                <w:highlight w:val="none"/>
              </w:rPr>
              <w:t>序号</w:t>
            </w:r>
          </w:p>
        </w:tc>
        <w:tc>
          <w:tcPr>
            <w:tcW w:w="1395" w:type="pct"/>
            <w:vAlign w:val="center"/>
          </w:tcPr>
          <w:p w14:paraId="7CB83CD6">
            <w:pPr>
              <w:pStyle w:val="45"/>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55A47B57">
            <w:pPr>
              <w:pStyle w:val="45"/>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572E859">
            <w:pPr>
              <w:pStyle w:val="45"/>
              <w:jc w:val="center"/>
              <w:rPr>
                <w:i w:val="0"/>
                <w:iCs w:val="0"/>
                <w:color w:val="auto"/>
                <w:highlight w:val="none"/>
              </w:rPr>
            </w:pPr>
            <w:r>
              <w:rPr>
                <w:rFonts w:hint="eastAsia"/>
                <w:i w:val="0"/>
                <w:iCs w:val="0"/>
                <w:color w:val="auto"/>
                <w:highlight w:val="none"/>
              </w:rPr>
              <w:t>响应情况</w:t>
            </w:r>
          </w:p>
        </w:tc>
        <w:tc>
          <w:tcPr>
            <w:tcW w:w="1090" w:type="pct"/>
            <w:vAlign w:val="center"/>
          </w:tcPr>
          <w:p w14:paraId="7884F206">
            <w:pPr>
              <w:pStyle w:val="45"/>
              <w:jc w:val="center"/>
              <w:rPr>
                <w:i w:val="0"/>
                <w:iCs w:val="0"/>
                <w:color w:val="auto"/>
                <w:highlight w:val="none"/>
              </w:rPr>
            </w:pPr>
            <w:r>
              <w:rPr>
                <w:rFonts w:hint="eastAsia"/>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5"/>
              <w:jc w:val="center"/>
              <w:rPr>
                <w:i w:val="0"/>
                <w:iCs w:val="0"/>
                <w:color w:val="auto"/>
                <w:highlight w:val="none"/>
              </w:rPr>
            </w:pPr>
            <w:r>
              <w:rPr>
                <w:rFonts w:hint="eastAsia"/>
                <w:i w:val="0"/>
                <w:iCs w:val="0"/>
                <w:color w:val="auto"/>
                <w:highlight w:val="none"/>
              </w:rPr>
              <w:t>1</w:t>
            </w:r>
          </w:p>
        </w:tc>
        <w:tc>
          <w:tcPr>
            <w:tcW w:w="1395" w:type="pct"/>
            <w:vAlign w:val="center"/>
          </w:tcPr>
          <w:p w14:paraId="34566CA0">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C6482B4">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BBD0417">
            <w:pPr>
              <w:pStyle w:val="45"/>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A90E39C">
            <w:pPr>
              <w:pStyle w:val="45"/>
              <w:jc w:val="center"/>
              <w:rPr>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5"/>
              <w:jc w:val="center"/>
              <w:rPr>
                <w:i w:val="0"/>
                <w:iCs w:val="0"/>
                <w:color w:val="auto"/>
                <w:highlight w:val="none"/>
              </w:rPr>
            </w:pPr>
            <w:r>
              <w:rPr>
                <w:rFonts w:hint="eastAsia"/>
                <w:i w:val="0"/>
                <w:iCs w:val="0"/>
                <w:color w:val="auto"/>
                <w:highlight w:val="none"/>
              </w:rPr>
              <w:t>2</w:t>
            </w:r>
          </w:p>
        </w:tc>
        <w:tc>
          <w:tcPr>
            <w:tcW w:w="1395" w:type="pct"/>
            <w:vAlign w:val="center"/>
          </w:tcPr>
          <w:p w14:paraId="2A717A55">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20EC7575">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923E58D">
            <w:pPr>
              <w:pStyle w:val="45"/>
              <w:jc w:val="center"/>
              <w:rPr>
                <w:i w:val="0"/>
                <w:iCs w:val="0"/>
                <w:color w:val="auto"/>
                <w:highlight w:val="none"/>
              </w:rPr>
            </w:pPr>
          </w:p>
        </w:tc>
        <w:tc>
          <w:tcPr>
            <w:tcW w:w="1090" w:type="pct"/>
            <w:vAlign w:val="center"/>
          </w:tcPr>
          <w:p w14:paraId="59C2C317">
            <w:pPr>
              <w:pStyle w:val="45"/>
              <w:jc w:val="center"/>
              <w:rPr>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5"/>
              <w:jc w:val="center"/>
              <w:rPr>
                <w:i w:val="0"/>
                <w:iCs w:val="0"/>
                <w:color w:val="auto"/>
                <w:highlight w:val="none"/>
              </w:rPr>
            </w:pPr>
            <w:r>
              <w:rPr>
                <w:rFonts w:hint="eastAsia"/>
                <w:i w:val="0"/>
                <w:iCs w:val="0"/>
                <w:color w:val="auto"/>
                <w:highlight w:val="none"/>
              </w:rPr>
              <w:t>3</w:t>
            </w:r>
          </w:p>
        </w:tc>
        <w:tc>
          <w:tcPr>
            <w:tcW w:w="1395" w:type="pct"/>
            <w:vAlign w:val="center"/>
          </w:tcPr>
          <w:p w14:paraId="595245DB">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A16B4B6">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8535F72">
            <w:pPr>
              <w:pStyle w:val="45"/>
              <w:jc w:val="center"/>
              <w:rPr>
                <w:i w:val="0"/>
                <w:iCs w:val="0"/>
                <w:color w:val="auto"/>
                <w:highlight w:val="none"/>
              </w:rPr>
            </w:pPr>
          </w:p>
        </w:tc>
        <w:tc>
          <w:tcPr>
            <w:tcW w:w="1090" w:type="pct"/>
            <w:vAlign w:val="center"/>
          </w:tcPr>
          <w:p w14:paraId="50AB520B">
            <w:pPr>
              <w:pStyle w:val="45"/>
              <w:jc w:val="center"/>
              <w:rPr>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5"/>
              <w:jc w:val="center"/>
              <w:rPr>
                <w:i w:val="0"/>
                <w:iCs w:val="0"/>
                <w:color w:val="auto"/>
                <w:highlight w:val="none"/>
              </w:rPr>
            </w:pPr>
          </w:p>
        </w:tc>
        <w:tc>
          <w:tcPr>
            <w:tcW w:w="1395" w:type="pct"/>
            <w:vAlign w:val="center"/>
          </w:tcPr>
          <w:p w14:paraId="14968038">
            <w:pPr>
              <w:pStyle w:val="45"/>
              <w:jc w:val="center"/>
              <w:rPr>
                <w:i w:val="0"/>
                <w:iCs w:val="0"/>
                <w:color w:val="auto"/>
                <w:highlight w:val="none"/>
              </w:rPr>
            </w:pPr>
          </w:p>
        </w:tc>
        <w:tc>
          <w:tcPr>
            <w:tcW w:w="1002" w:type="pct"/>
            <w:vAlign w:val="center"/>
          </w:tcPr>
          <w:p w14:paraId="10A6B59E">
            <w:pPr>
              <w:pStyle w:val="45"/>
              <w:jc w:val="center"/>
              <w:rPr>
                <w:i w:val="0"/>
                <w:iCs w:val="0"/>
                <w:color w:val="auto"/>
                <w:highlight w:val="none"/>
              </w:rPr>
            </w:pPr>
          </w:p>
        </w:tc>
        <w:tc>
          <w:tcPr>
            <w:tcW w:w="1090" w:type="pct"/>
            <w:vAlign w:val="center"/>
          </w:tcPr>
          <w:p w14:paraId="61702DF6">
            <w:pPr>
              <w:pStyle w:val="45"/>
              <w:jc w:val="center"/>
              <w:rPr>
                <w:i w:val="0"/>
                <w:iCs w:val="0"/>
                <w:color w:val="auto"/>
                <w:highlight w:val="none"/>
              </w:rPr>
            </w:pPr>
          </w:p>
        </w:tc>
        <w:tc>
          <w:tcPr>
            <w:tcW w:w="1090" w:type="pct"/>
            <w:vAlign w:val="center"/>
          </w:tcPr>
          <w:p w14:paraId="0CC18FC2">
            <w:pPr>
              <w:pStyle w:val="45"/>
              <w:jc w:val="center"/>
              <w:rPr>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5"/>
              <w:jc w:val="center"/>
              <w:rPr>
                <w:i w:val="0"/>
                <w:iCs w:val="0"/>
                <w:color w:val="auto"/>
                <w:highlight w:val="none"/>
              </w:rPr>
            </w:pPr>
          </w:p>
        </w:tc>
        <w:tc>
          <w:tcPr>
            <w:tcW w:w="1395" w:type="pct"/>
            <w:vAlign w:val="center"/>
          </w:tcPr>
          <w:p w14:paraId="5DDD9937">
            <w:pPr>
              <w:pStyle w:val="45"/>
              <w:jc w:val="center"/>
              <w:rPr>
                <w:i w:val="0"/>
                <w:iCs w:val="0"/>
                <w:color w:val="auto"/>
                <w:highlight w:val="none"/>
              </w:rPr>
            </w:pPr>
          </w:p>
        </w:tc>
        <w:tc>
          <w:tcPr>
            <w:tcW w:w="1002" w:type="pct"/>
            <w:vAlign w:val="center"/>
          </w:tcPr>
          <w:p w14:paraId="0B29A018">
            <w:pPr>
              <w:pStyle w:val="45"/>
              <w:jc w:val="center"/>
              <w:rPr>
                <w:i w:val="0"/>
                <w:iCs w:val="0"/>
                <w:color w:val="auto"/>
                <w:highlight w:val="none"/>
              </w:rPr>
            </w:pPr>
          </w:p>
        </w:tc>
        <w:tc>
          <w:tcPr>
            <w:tcW w:w="1090" w:type="pct"/>
            <w:vAlign w:val="center"/>
          </w:tcPr>
          <w:p w14:paraId="1FA693DE">
            <w:pPr>
              <w:pStyle w:val="45"/>
              <w:jc w:val="center"/>
              <w:rPr>
                <w:i w:val="0"/>
                <w:iCs w:val="0"/>
                <w:color w:val="auto"/>
                <w:highlight w:val="none"/>
              </w:rPr>
            </w:pPr>
          </w:p>
        </w:tc>
        <w:tc>
          <w:tcPr>
            <w:tcW w:w="1090" w:type="pct"/>
            <w:vAlign w:val="center"/>
          </w:tcPr>
          <w:p w14:paraId="3D633AB6">
            <w:pPr>
              <w:pStyle w:val="45"/>
              <w:jc w:val="center"/>
              <w:rPr>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5"/>
              <w:jc w:val="center"/>
              <w:rPr>
                <w:i w:val="0"/>
                <w:iCs w:val="0"/>
                <w:color w:val="auto"/>
                <w:highlight w:val="none"/>
              </w:rPr>
            </w:pPr>
          </w:p>
        </w:tc>
        <w:tc>
          <w:tcPr>
            <w:tcW w:w="1395" w:type="pct"/>
            <w:vAlign w:val="center"/>
          </w:tcPr>
          <w:p w14:paraId="014A297F">
            <w:pPr>
              <w:pStyle w:val="45"/>
              <w:jc w:val="center"/>
              <w:rPr>
                <w:i w:val="0"/>
                <w:iCs w:val="0"/>
                <w:color w:val="auto"/>
                <w:highlight w:val="none"/>
              </w:rPr>
            </w:pPr>
          </w:p>
        </w:tc>
        <w:tc>
          <w:tcPr>
            <w:tcW w:w="1002" w:type="pct"/>
            <w:vAlign w:val="center"/>
          </w:tcPr>
          <w:p w14:paraId="51467013">
            <w:pPr>
              <w:pStyle w:val="45"/>
              <w:jc w:val="center"/>
              <w:rPr>
                <w:i w:val="0"/>
                <w:iCs w:val="0"/>
                <w:color w:val="auto"/>
                <w:highlight w:val="none"/>
              </w:rPr>
            </w:pPr>
          </w:p>
        </w:tc>
        <w:tc>
          <w:tcPr>
            <w:tcW w:w="1090" w:type="pct"/>
            <w:vAlign w:val="center"/>
          </w:tcPr>
          <w:p w14:paraId="011E40CA">
            <w:pPr>
              <w:pStyle w:val="45"/>
              <w:jc w:val="center"/>
              <w:rPr>
                <w:i w:val="0"/>
                <w:iCs w:val="0"/>
                <w:color w:val="auto"/>
                <w:highlight w:val="none"/>
              </w:rPr>
            </w:pPr>
          </w:p>
        </w:tc>
        <w:tc>
          <w:tcPr>
            <w:tcW w:w="1090" w:type="pct"/>
            <w:vAlign w:val="center"/>
          </w:tcPr>
          <w:p w14:paraId="7062C313">
            <w:pPr>
              <w:pStyle w:val="45"/>
              <w:jc w:val="center"/>
              <w:rPr>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5"/>
              <w:jc w:val="center"/>
              <w:rPr>
                <w:i w:val="0"/>
                <w:iCs w:val="0"/>
                <w:color w:val="auto"/>
                <w:highlight w:val="none"/>
              </w:rPr>
            </w:pPr>
          </w:p>
        </w:tc>
        <w:tc>
          <w:tcPr>
            <w:tcW w:w="1395" w:type="pct"/>
            <w:vAlign w:val="center"/>
          </w:tcPr>
          <w:p w14:paraId="010A1BB0">
            <w:pPr>
              <w:pStyle w:val="45"/>
              <w:jc w:val="center"/>
              <w:rPr>
                <w:i w:val="0"/>
                <w:iCs w:val="0"/>
                <w:color w:val="auto"/>
                <w:highlight w:val="none"/>
              </w:rPr>
            </w:pPr>
          </w:p>
        </w:tc>
        <w:tc>
          <w:tcPr>
            <w:tcW w:w="1002" w:type="pct"/>
            <w:vAlign w:val="center"/>
          </w:tcPr>
          <w:p w14:paraId="1EE22C75">
            <w:pPr>
              <w:pStyle w:val="45"/>
              <w:jc w:val="center"/>
              <w:rPr>
                <w:i w:val="0"/>
                <w:iCs w:val="0"/>
                <w:color w:val="auto"/>
                <w:highlight w:val="none"/>
              </w:rPr>
            </w:pPr>
          </w:p>
        </w:tc>
        <w:tc>
          <w:tcPr>
            <w:tcW w:w="1090" w:type="pct"/>
            <w:vAlign w:val="center"/>
          </w:tcPr>
          <w:p w14:paraId="3C86F2CC">
            <w:pPr>
              <w:pStyle w:val="45"/>
              <w:jc w:val="center"/>
              <w:rPr>
                <w:i w:val="0"/>
                <w:iCs w:val="0"/>
                <w:color w:val="auto"/>
                <w:highlight w:val="none"/>
              </w:rPr>
            </w:pPr>
          </w:p>
        </w:tc>
        <w:tc>
          <w:tcPr>
            <w:tcW w:w="1090" w:type="pct"/>
            <w:vAlign w:val="center"/>
          </w:tcPr>
          <w:p w14:paraId="515EA04E">
            <w:pPr>
              <w:pStyle w:val="45"/>
              <w:jc w:val="center"/>
              <w:rPr>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5"/>
              <w:jc w:val="center"/>
              <w:rPr>
                <w:i w:val="0"/>
                <w:iCs w:val="0"/>
                <w:color w:val="auto"/>
                <w:highlight w:val="none"/>
              </w:rPr>
            </w:pPr>
          </w:p>
        </w:tc>
        <w:tc>
          <w:tcPr>
            <w:tcW w:w="1395" w:type="pct"/>
            <w:vAlign w:val="center"/>
          </w:tcPr>
          <w:p w14:paraId="1C7A6406">
            <w:pPr>
              <w:pStyle w:val="45"/>
              <w:jc w:val="center"/>
              <w:rPr>
                <w:i w:val="0"/>
                <w:iCs w:val="0"/>
                <w:color w:val="auto"/>
                <w:highlight w:val="none"/>
              </w:rPr>
            </w:pPr>
          </w:p>
        </w:tc>
        <w:tc>
          <w:tcPr>
            <w:tcW w:w="1002" w:type="pct"/>
            <w:vAlign w:val="center"/>
          </w:tcPr>
          <w:p w14:paraId="7F774DAF">
            <w:pPr>
              <w:pStyle w:val="45"/>
              <w:jc w:val="center"/>
              <w:rPr>
                <w:i w:val="0"/>
                <w:iCs w:val="0"/>
                <w:color w:val="auto"/>
                <w:highlight w:val="none"/>
              </w:rPr>
            </w:pPr>
          </w:p>
        </w:tc>
        <w:tc>
          <w:tcPr>
            <w:tcW w:w="1090" w:type="pct"/>
            <w:vAlign w:val="center"/>
          </w:tcPr>
          <w:p w14:paraId="66A55C54">
            <w:pPr>
              <w:pStyle w:val="45"/>
              <w:jc w:val="center"/>
              <w:rPr>
                <w:i w:val="0"/>
                <w:iCs w:val="0"/>
                <w:color w:val="auto"/>
                <w:highlight w:val="none"/>
              </w:rPr>
            </w:pPr>
          </w:p>
        </w:tc>
        <w:tc>
          <w:tcPr>
            <w:tcW w:w="1090" w:type="pct"/>
            <w:vAlign w:val="center"/>
          </w:tcPr>
          <w:p w14:paraId="6FC3A7DB">
            <w:pPr>
              <w:pStyle w:val="45"/>
              <w:jc w:val="center"/>
              <w:rPr>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5"/>
              <w:jc w:val="center"/>
              <w:rPr>
                <w:i w:val="0"/>
                <w:iCs w:val="0"/>
                <w:color w:val="auto"/>
                <w:highlight w:val="none"/>
              </w:rPr>
            </w:pPr>
          </w:p>
        </w:tc>
        <w:tc>
          <w:tcPr>
            <w:tcW w:w="1395" w:type="pct"/>
            <w:vAlign w:val="center"/>
          </w:tcPr>
          <w:p w14:paraId="5A1690B5">
            <w:pPr>
              <w:pStyle w:val="45"/>
              <w:jc w:val="center"/>
              <w:rPr>
                <w:i w:val="0"/>
                <w:iCs w:val="0"/>
                <w:color w:val="auto"/>
                <w:highlight w:val="none"/>
              </w:rPr>
            </w:pPr>
          </w:p>
        </w:tc>
        <w:tc>
          <w:tcPr>
            <w:tcW w:w="1002" w:type="pct"/>
            <w:vAlign w:val="center"/>
          </w:tcPr>
          <w:p w14:paraId="735418C2">
            <w:pPr>
              <w:pStyle w:val="45"/>
              <w:jc w:val="center"/>
              <w:rPr>
                <w:i w:val="0"/>
                <w:iCs w:val="0"/>
                <w:color w:val="auto"/>
                <w:highlight w:val="none"/>
              </w:rPr>
            </w:pPr>
          </w:p>
        </w:tc>
        <w:tc>
          <w:tcPr>
            <w:tcW w:w="1090" w:type="pct"/>
            <w:vAlign w:val="center"/>
          </w:tcPr>
          <w:p w14:paraId="13F6671D">
            <w:pPr>
              <w:pStyle w:val="45"/>
              <w:jc w:val="center"/>
              <w:rPr>
                <w:i w:val="0"/>
                <w:iCs w:val="0"/>
                <w:color w:val="auto"/>
                <w:highlight w:val="none"/>
              </w:rPr>
            </w:pPr>
          </w:p>
        </w:tc>
        <w:tc>
          <w:tcPr>
            <w:tcW w:w="1090" w:type="pct"/>
            <w:vAlign w:val="center"/>
          </w:tcPr>
          <w:p w14:paraId="3DC0B3BB">
            <w:pPr>
              <w:pStyle w:val="45"/>
              <w:jc w:val="center"/>
              <w:rPr>
                <w:i w:val="0"/>
                <w:iCs w:val="0"/>
                <w:color w:val="auto"/>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45"/>
              <w:jc w:val="center"/>
              <w:rPr>
                <w:i w:val="0"/>
                <w:iCs w:val="0"/>
                <w:color w:val="auto"/>
                <w:highlight w:val="none"/>
              </w:rPr>
            </w:pPr>
          </w:p>
        </w:tc>
        <w:tc>
          <w:tcPr>
            <w:tcW w:w="1395" w:type="pct"/>
            <w:vAlign w:val="center"/>
          </w:tcPr>
          <w:p w14:paraId="4E1F25E0">
            <w:pPr>
              <w:pStyle w:val="45"/>
              <w:jc w:val="center"/>
              <w:rPr>
                <w:i w:val="0"/>
                <w:iCs w:val="0"/>
                <w:color w:val="auto"/>
                <w:highlight w:val="none"/>
              </w:rPr>
            </w:pPr>
          </w:p>
        </w:tc>
        <w:tc>
          <w:tcPr>
            <w:tcW w:w="1002" w:type="pct"/>
            <w:vAlign w:val="center"/>
          </w:tcPr>
          <w:p w14:paraId="4F1707F4">
            <w:pPr>
              <w:pStyle w:val="45"/>
              <w:jc w:val="center"/>
              <w:rPr>
                <w:i w:val="0"/>
                <w:iCs w:val="0"/>
                <w:color w:val="auto"/>
                <w:highlight w:val="none"/>
              </w:rPr>
            </w:pPr>
          </w:p>
        </w:tc>
        <w:tc>
          <w:tcPr>
            <w:tcW w:w="1090" w:type="pct"/>
            <w:vAlign w:val="center"/>
          </w:tcPr>
          <w:p w14:paraId="59E61A3B">
            <w:pPr>
              <w:pStyle w:val="45"/>
              <w:jc w:val="center"/>
              <w:rPr>
                <w:i w:val="0"/>
                <w:iCs w:val="0"/>
                <w:color w:val="auto"/>
                <w:highlight w:val="none"/>
              </w:rPr>
            </w:pPr>
          </w:p>
        </w:tc>
        <w:tc>
          <w:tcPr>
            <w:tcW w:w="1090" w:type="pct"/>
            <w:vAlign w:val="center"/>
          </w:tcPr>
          <w:p w14:paraId="33E07ECA">
            <w:pPr>
              <w:pStyle w:val="45"/>
              <w:jc w:val="center"/>
              <w:rPr>
                <w:i w:val="0"/>
                <w:iCs w:val="0"/>
                <w:color w:val="auto"/>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45"/>
              <w:jc w:val="center"/>
              <w:rPr>
                <w:i w:val="0"/>
                <w:iCs w:val="0"/>
                <w:color w:val="auto"/>
                <w:highlight w:val="none"/>
              </w:rPr>
            </w:pPr>
          </w:p>
        </w:tc>
        <w:tc>
          <w:tcPr>
            <w:tcW w:w="1395" w:type="pct"/>
            <w:vAlign w:val="center"/>
          </w:tcPr>
          <w:p w14:paraId="494F1780">
            <w:pPr>
              <w:pStyle w:val="45"/>
              <w:jc w:val="center"/>
              <w:rPr>
                <w:i w:val="0"/>
                <w:iCs w:val="0"/>
                <w:color w:val="auto"/>
                <w:highlight w:val="none"/>
              </w:rPr>
            </w:pPr>
          </w:p>
        </w:tc>
        <w:tc>
          <w:tcPr>
            <w:tcW w:w="1002" w:type="pct"/>
            <w:vAlign w:val="center"/>
          </w:tcPr>
          <w:p w14:paraId="02E24AFD">
            <w:pPr>
              <w:pStyle w:val="45"/>
              <w:jc w:val="center"/>
              <w:rPr>
                <w:i w:val="0"/>
                <w:iCs w:val="0"/>
                <w:color w:val="auto"/>
                <w:highlight w:val="none"/>
              </w:rPr>
            </w:pPr>
          </w:p>
        </w:tc>
        <w:tc>
          <w:tcPr>
            <w:tcW w:w="1090" w:type="pct"/>
            <w:vAlign w:val="center"/>
          </w:tcPr>
          <w:p w14:paraId="15C952B3">
            <w:pPr>
              <w:pStyle w:val="45"/>
              <w:jc w:val="center"/>
              <w:rPr>
                <w:i w:val="0"/>
                <w:iCs w:val="0"/>
                <w:color w:val="auto"/>
                <w:highlight w:val="none"/>
              </w:rPr>
            </w:pPr>
          </w:p>
        </w:tc>
        <w:tc>
          <w:tcPr>
            <w:tcW w:w="1090" w:type="pct"/>
            <w:vAlign w:val="center"/>
          </w:tcPr>
          <w:p w14:paraId="042480C5">
            <w:pPr>
              <w:pStyle w:val="45"/>
              <w:jc w:val="center"/>
              <w:rPr>
                <w:i w:val="0"/>
                <w:iCs w:val="0"/>
                <w:color w:val="auto"/>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45"/>
              <w:jc w:val="center"/>
              <w:rPr>
                <w:i w:val="0"/>
                <w:iCs w:val="0"/>
                <w:color w:val="auto"/>
                <w:highlight w:val="none"/>
              </w:rPr>
            </w:pPr>
          </w:p>
        </w:tc>
        <w:tc>
          <w:tcPr>
            <w:tcW w:w="1395" w:type="pct"/>
            <w:vAlign w:val="center"/>
          </w:tcPr>
          <w:p w14:paraId="3FA50495">
            <w:pPr>
              <w:pStyle w:val="45"/>
              <w:jc w:val="center"/>
              <w:rPr>
                <w:i w:val="0"/>
                <w:iCs w:val="0"/>
                <w:color w:val="auto"/>
                <w:highlight w:val="none"/>
              </w:rPr>
            </w:pPr>
          </w:p>
        </w:tc>
        <w:tc>
          <w:tcPr>
            <w:tcW w:w="1002" w:type="pct"/>
            <w:vAlign w:val="center"/>
          </w:tcPr>
          <w:p w14:paraId="65521973">
            <w:pPr>
              <w:pStyle w:val="45"/>
              <w:jc w:val="center"/>
              <w:rPr>
                <w:i w:val="0"/>
                <w:iCs w:val="0"/>
                <w:color w:val="auto"/>
                <w:highlight w:val="none"/>
              </w:rPr>
            </w:pPr>
          </w:p>
        </w:tc>
        <w:tc>
          <w:tcPr>
            <w:tcW w:w="1090" w:type="pct"/>
            <w:vAlign w:val="center"/>
          </w:tcPr>
          <w:p w14:paraId="505486BC">
            <w:pPr>
              <w:pStyle w:val="45"/>
              <w:jc w:val="center"/>
              <w:rPr>
                <w:i w:val="0"/>
                <w:iCs w:val="0"/>
                <w:color w:val="auto"/>
                <w:highlight w:val="none"/>
              </w:rPr>
            </w:pPr>
          </w:p>
        </w:tc>
        <w:tc>
          <w:tcPr>
            <w:tcW w:w="1090" w:type="pct"/>
            <w:vAlign w:val="center"/>
          </w:tcPr>
          <w:p w14:paraId="40E41834">
            <w:pPr>
              <w:pStyle w:val="45"/>
              <w:jc w:val="center"/>
              <w:rPr>
                <w:i w:val="0"/>
                <w:iCs w:val="0"/>
                <w:color w:val="auto"/>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45"/>
              <w:jc w:val="center"/>
              <w:rPr>
                <w:i w:val="0"/>
                <w:iCs w:val="0"/>
                <w:color w:val="auto"/>
                <w:highlight w:val="none"/>
              </w:rPr>
            </w:pPr>
          </w:p>
        </w:tc>
        <w:tc>
          <w:tcPr>
            <w:tcW w:w="1395" w:type="pct"/>
            <w:vAlign w:val="center"/>
          </w:tcPr>
          <w:p w14:paraId="199507E1">
            <w:pPr>
              <w:pStyle w:val="45"/>
              <w:jc w:val="center"/>
              <w:rPr>
                <w:i w:val="0"/>
                <w:iCs w:val="0"/>
                <w:color w:val="auto"/>
                <w:highlight w:val="none"/>
              </w:rPr>
            </w:pPr>
          </w:p>
        </w:tc>
        <w:tc>
          <w:tcPr>
            <w:tcW w:w="1002" w:type="pct"/>
            <w:vAlign w:val="center"/>
          </w:tcPr>
          <w:p w14:paraId="6691FD82">
            <w:pPr>
              <w:pStyle w:val="45"/>
              <w:jc w:val="center"/>
              <w:rPr>
                <w:i w:val="0"/>
                <w:iCs w:val="0"/>
                <w:color w:val="auto"/>
                <w:highlight w:val="none"/>
              </w:rPr>
            </w:pPr>
          </w:p>
        </w:tc>
        <w:tc>
          <w:tcPr>
            <w:tcW w:w="1090" w:type="pct"/>
            <w:vAlign w:val="center"/>
          </w:tcPr>
          <w:p w14:paraId="6E35002B">
            <w:pPr>
              <w:pStyle w:val="45"/>
              <w:jc w:val="center"/>
              <w:rPr>
                <w:i w:val="0"/>
                <w:iCs w:val="0"/>
                <w:color w:val="auto"/>
                <w:highlight w:val="none"/>
              </w:rPr>
            </w:pPr>
          </w:p>
        </w:tc>
        <w:tc>
          <w:tcPr>
            <w:tcW w:w="1090" w:type="pct"/>
            <w:vAlign w:val="center"/>
          </w:tcPr>
          <w:p w14:paraId="69818ED1">
            <w:pPr>
              <w:pStyle w:val="45"/>
              <w:jc w:val="center"/>
              <w:rPr>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5"/>
              <w:jc w:val="center"/>
              <w:rPr>
                <w:i w:val="0"/>
                <w:iCs w:val="0"/>
                <w:color w:val="auto"/>
                <w:highlight w:val="none"/>
              </w:rPr>
            </w:pPr>
            <w:r>
              <w:rPr>
                <w:rFonts w:hint="eastAsia"/>
                <w:i w:val="0"/>
                <w:iCs w:val="0"/>
                <w:color w:val="auto"/>
                <w:highlight w:val="none"/>
              </w:rPr>
              <w:t>……</w:t>
            </w:r>
          </w:p>
        </w:tc>
        <w:tc>
          <w:tcPr>
            <w:tcW w:w="1395" w:type="pct"/>
            <w:vAlign w:val="center"/>
          </w:tcPr>
          <w:p w14:paraId="6324A49D">
            <w:pPr>
              <w:pStyle w:val="45"/>
              <w:jc w:val="center"/>
              <w:rPr>
                <w:i w:val="0"/>
                <w:iCs w:val="0"/>
                <w:color w:val="auto"/>
                <w:highlight w:val="none"/>
              </w:rPr>
            </w:pPr>
            <w:r>
              <w:rPr>
                <w:rFonts w:hint="eastAsia"/>
                <w:i w:val="0"/>
                <w:iCs w:val="0"/>
                <w:color w:val="auto"/>
                <w:highlight w:val="none"/>
              </w:rPr>
              <w:t>…………</w:t>
            </w:r>
          </w:p>
        </w:tc>
        <w:tc>
          <w:tcPr>
            <w:tcW w:w="1002" w:type="pct"/>
            <w:vAlign w:val="center"/>
          </w:tcPr>
          <w:p w14:paraId="0EE83785">
            <w:pPr>
              <w:pStyle w:val="45"/>
              <w:jc w:val="center"/>
              <w:rPr>
                <w:i w:val="0"/>
                <w:iCs w:val="0"/>
                <w:color w:val="auto"/>
                <w:highlight w:val="none"/>
              </w:rPr>
            </w:pPr>
            <w:r>
              <w:rPr>
                <w:rFonts w:hint="eastAsia"/>
                <w:i w:val="0"/>
                <w:iCs w:val="0"/>
                <w:color w:val="auto"/>
                <w:highlight w:val="none"/>
              </w:rPr>
              <w:t>…………</w:t>
            </w:r>
          </w:p>
        </w:tc>
        <w:tc>
          <w:tcPr>
            <w:tcW w:w="1090" w:type="pct"/>
            <w:vAlign w:val="center"/>
          </w:tcPr>
          <w:p w14:paraId="7A24BB2D">
            <w:pPr>
              <w:pStyle w:val="45"/>
              <w:jc w:val="center"/>
              <w:rPr>
                <w:i w:val="0"/>
                <w:iCs w:val="0"/>
                <w:color w:val="auto"/>
                <w:highlight w:val="none"/>
              </w:rPr>
            </w:pPr>
            <w:r>
              <w:rPr>
                <w:rFonts w:hint="eastAsia"/>
                <w:i w:val="0"/>
                <w:iCs w:val="0"/>
                <w:color w:val="auto"/>
                <w:highlight w:val="none"/>
              </w:rPr>
              <w:t>……</w:t>
            </w:r>
          </w:p>
        </w:tc>
        <w:tc>
          <w:tcPr>
            <w:tcW w:w="1090" w:type="pct"/>
            <w:vAlign w:val="center"/>
          </w:tcPr>
          <w:p w14:paraId="7CC08218">
            <w:pPr>
              <w:pStyle w:val="45"/>
              <w:jc w:val="center"/>
              <w:rPr>
                <w:i w:val="0"/>
                <w:iCs w:val="0"/>
                <w:color w:val="auto"/>
                <w:highlight w:val="none"/>
              </w:rPr>
            </w:pPr>
          </w:p>
        </w:tc>
      </w:tr>
    </w:tbl>
    <w:p w14:paraId="51EF5BE9">
      <w:pPr>
        <w:ind w:firstLine="480" w:firstLineChars="200"/>
        <w:rPr>
          <w:rFonts w:hint="eastAsia" w:cs="仿宋_GB2312"/>
          <w:i w:val="0"/>
          <w:iCs w:val="0"/>
          <w:color w:val="auto"/>
          <w:szCs w:val="24"/>
          <w:highlight w:val="none"/>
        </w:rPr>
      </w:pPr>
    </w:p>
    <w:p w14:paraId="79243E57">
      <w:pPr>
        <w:ind w:firstLine="420" w:firstLineChars="200"/>
        <w:rPr>
          <w:rFonts w:hint="eastAsia" w:ascii="宋体" w:hAnsi="宋体" w:eastAsia="宋体" w:cs="宋体"/>
          <w:i w:val="0"/>
          <w:iCs w:val="0"/>
          <w:color w:val="auto"/>
          <w:szCs w:val="24"/>
          <w:highlight w:val="none"/>
        </w:rPr>
      </w:pPr>
      <w:r>
        <w:rPr>
          <w:rFonts w:hint="eastAsia" w:ascii="宋体" w:hAnsi="宋体" w:eastAsia="宋体" w:cs="宋体"/>
          <w:i w:val="0"/>
          <w:iCs w:val="0"/>
          <w:color w:val="auto"/>
          <w:sz w:val="21"/>
          <w:szCs w:val="21"/>
          <w:highlight w:val="none"/>
        </w:rPr>
        <w:t>注：</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应按照</w:t>
      </w:r>
      <w:r>
        <w:rPr>
          <w:rFonts w:hint="eastAsia" w:ascii="宋体" w:hAnsi="宋体" w:eastAsia="宋体" w:cs="宋体"/>
          <w:i w:val="0"/>
          <w:iCs w:val="0"/>
          <w:color w:val="auto"/>
          <w:sz w:val="21"/>
          <w:szCs w:val="21"/>
          <w:highlight w:val="none"/>
          <w:lang w:val="en-US" w:eastAsia="zh-CN"/>
        </w:rPr>
        <w:t>竞争性磋商</w:t>
      </w:r>
      <w:r>
        <w:rPr>
          <w:rFonts w:hint="eastAsia" w:ascii="宋体" w:hAnsi="宋体" w:eastAsia="宋体" w:cs="宋体"/>
          <w:i w:val="0"/>
          <w:iCs w:val="0"/>
          <w:color w:val="auto"/>
          <w:sz w:val="21"/>
          <w:szCs w:val="21"/>
          <w:highlight w:val="none"/>
        </w:rPr>
        <w:t>文件</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lang w:val="zh-CN" w:eastAsia="zh-CN"/>
        </w:rPr>
        <w:t>评分标准</w:t>
      </w:r>
      <w:r>
        <w:rPr>
          <w:rFonts w:hint="eastAsia" w:ascii="宋体" w:hAnsi="宋体" w:eastAsia="宋体" w:cs="宋体"/>
          <w:i w:val="0"/>
          <w:iCs w:val="0"/>
          <w:color w:val="auto"/>
          <w:sz w:val="21"/>
          <w:szCs w:val="21"/>
          <w:highlight w:val="none"/>
        </w:rPr>
        <w:t xml:space="preserve"> </w:t>
      </w:r>
      <w:r>
        <w:rPr>
          <w:rFonts w:hint="eastAsia" w:cs="宋体"/>
          <w:i w:val="0"/>
          <w:iCs w:val="0"/>
          <w:color w:val="auto"/>
          <w:sz w:val="21"/>
          <w:szCs w:val="21"/>
          <w:highlight w:val="none"/>
          <w:lang w:val="en-US" w:eastAsia="zh-CN"/>
        </w:rPr>
        <w:t>商务标评分标准填写</w:t>
      </w:r>
      <w:r>
        <w:rPr>
          <w:rFonts w:hint="eastAsia" w:ascii="宋体" w:hAnsi="宋体" w:eastAsia="宋体" w:cs="宋体"/>
          <w:i w:val="0"/>
          <w:iCs w:val="0"/>
          <w:color w:val="auto"/>
          <w:sz w:val="21"/>
          <w:szCs w:val="21"/>
          <w:highlight w:val="none"/>
          <w:lang w:val="en-US" w:eastAsia="zh-CN"/>
        </w:rPr>
        <w:t>“</w:t>
      </w:r>
      <w:r>
        <w:rPr>
          <w:rFonts w:hint="eastAsia" w:ascii="宋体" w:hAnsi="宋体" w:eastAsia="宋体" w:cs="宋体"/>
          <w:i w:val="0"/>
          <w:iCs w:val="0"/>
          <w:color w:val="auto"/>
          <w:sz w:val="21"/>
          <w:szCs w:val="21"/>
          <w:highlight w:val="none"/>
        </w:rPr>
        <w:t>。</w:t>
      </w:r>
    </w:p>
    <w:p w14:paraId="1A3EAC71">
      <w:pPr>
        <w:rPr>
          <w:rFonts w:cs="仿宋_GB2312"/>
          <w:i w:val="0"/>
          <w:iCs w:val="0"/>
          <w:color w:val="auto"/>
          <w:szCs w:val="24"/>
          <w:highlight w:val="none"/>
        </w:rPr>
      </w:pPr>
    </w:p>
    <w:p w14:paraId="5CB06622">
      <w:pPr>
        <w:ind w:firstLine="480" w:firstLineChars="200"/>
        <w:rPr>
          <w:rFonts w:cs="仿宋_GB2312"/>
          <w:i w:val="0"/>
          <w:iCs w:val="0"/>
          <w:color w:val="auto"/>
          <w:szCs w:val="24"/>
          <w:highlight w:val="none"/>
        </w:rPr>
      </w:pPr>
    </w:p>
    <w:p w14:paraId="2E8083B6">
      <w:pPr>
        <w:ind w:firstLine="480" w:firstLineChars="200"/>
        <w:rPr>
          <w:rFonts w:cs="仿宋_GB2312"/>
          <w:i w:val="0"/>
          <w:iCs w:val="0"/>
          <w:color w:val="auto"/>
          <w:szCs w:val="24"/>
          <w:highlight w:val="none"/>
        </w:rPr>
      </w:pP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名称</w:t>
      </w:r>
      <w:r>
        <w:rPr>
          <w:rFonts w:hint="eastAsia" w:ascii="宋体" w:hAnsi="宋体" w:cs="宋体"/>
          <w:i w:val="0"/>
          <w:iCs w:val="0"/>
          <w:color w:val="auto"/>
          <w:kern w:val="0"/>
          <w:sz w:val="24"/>
          <w:szCs w:val="24"/>
          <w:highlight w:val="none"/>
          <w:lang w:val="zh-CN"/>
        </w:rPr>
        <w:t>（</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w:t>
      </w:r>
      <w:r>
        <w:rPr>
          <w:rFonts w:hint="eastAsia" w:cs="仿宋_GB2312"/>
          <w:i w:val="0"/>
          <w:iCs w:val="0"/>
          <w:color w:val="auto"/>
          <w:szCs w:val="24"/>
          <w:highlight w:val="none"/>
        </w:rPr>
        <w:t>：</w:t>
      </w:r>
      <w:r>
        <w:rPr>
          <w:rFonts w:cs="仿宋_GB2312"/>
          <w:i w:val="0"/>
          <w:iCs w:val="0"/>
          <w:color w:val="auto"/>
          <w:szCs w:val="24"/>
          <w:highlight w:val="none"/>
        </w:rPr>
        <w:t xml:space="preserve"> </w:t>
      </w:r>
    </w:p>
    <w:p w14:paraId="77655944">
      <w:pPr>
        <w:ind w:firstLine="420"/>
        <w:rPr>
          <w:rFonts w:cs="仿宋_GB2312"/>
          <w:i w:val="0"/>
          <w:iCs w:val="0"/>
          <w:color w:val="auto"/>
          <w:szCs w:val="24"/>
          <w:highlight w:val="none"/>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98C43A6">
      <w:pPr>
        <w:ind w:firstLine="420"/>
        <w:rPr>
          <w:rFonts w:cs="仿宋_GB2312"/>
          <w:i w:val="0"/>
          <w:iCs w:val="0"/>
          <w:color w:val="auto"/>
          <w:szCs w:val="24"/>
          <w:highlight w:val="none"/>
        </w:rPr>
      </w:pPr>
      <w:r>
        <w:rPr>
          <w:rFonts w:cs="仿宋_GB2312"/>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p>
    <w:p w14:paraId="287724FC">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42" w:name="_Toc21605"/>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1242"/>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 xml:space="preserve">项目编号：      </w:t>
      </w:r>
      <w:r>
        <w:rPr>
          <w:rFonts w:cs="Arial"/>
          <w:bCs/>
          <w:i w:val="0"/>
          <w:iCs w:val="0"/>
          <w:color w:val="auto"/>
          <w:szCs w:val="21"/>
          <w:highlight w:val="none"/>
        </w:rPr>
        <w:fldChar w:fldCharType="end"/>
      </w:r>
    </w:p>
    <w:tbl>
      <w:tblPr>
        <w:tblStyle w:val="28"/>
        <w:tblW w:w="9854"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95"/>
        <w:gridCol w:w="1295"/>
        <w:gridCol w:w="1240"/>
        <w:gridCol w:w="1416"/>
        <w:gridCol w:w="1560"/>
        <w:gridCol w:w="1068"/>
        <w:gridCol w:w="1197"/>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E9572F9">
            <w:pPr>
              <w:jc w:val="center"/>
              <w:rPr>
                <w:rFonts w:cs="仿宋_GB2312"/>
                <w:i w:val="0"/>
                <w:iCs w:val="0"/>
                <w:color w:val="auto"/>
                <w:sz w:val="24"/>
                <w:szCs w:val="24"/>
                <w:highlight w:val="none"/>
              </w:rPr>
            </w:pPr>
            <w:bookmarkStart w:id="1243" w:name="_Hlk46779239"/>
            <w:r>
              <w:rPr>
                <w:rFonts w:hint="eastAsia" w:cs="仿宋_GB2312"/>
                <w:i w:val="0"/>
                <w:iCs w:val="0"/>
                <w:color w:val="auto"/>
                <w:sz w:val="24"/>
                <w:szCs w:val="24"/>
                <w:highlight w:val="none"/>
              </w:rPr>
              <w:t>序号</w:t>
            </w:r>
          </w:p>
        </w:tc>
        <w:tc>
          <w:tcPr>
            <w:tcW w:w="1295" w:type="dxa"/>
            <w:vAlign w:val="center"/>
          </w:tcPr>
          <w:p w14:paraId="51F55A40">
            <w:pPr>
              <w:rPr>
                <w:rFonts w:cs="仿宋_GB2312"/>
                <w:i w:val="0"/>
                <w:iCs w:val="0"/>
                <w:color w:val="auto"/>
                <w:sz w:val="24"/>
                <w:szCs w:val="24"/>
                <w:highlight w:val="none"/>
              </w:rPr>
            </w:pPr>
            <w:r>
              <w:rPr>
                <w:rFonts w:hint="eastAsia" w:cs="仿宋_GB2312"/>
                <w:i w:val="0"/>
                <w:iCs w:val="0"/>
                <w:color w:val="auto"/>
                <w:sz w:val="24"/>
                <w:szCs w:val="24"/>
                <w:highlight w:val="none"/>
              </w:rPr>
              <w:t>完成时间</w:t>
            </w:r>
          </w:p>
        </w:tc>
        <w:tc>
          <w:tcPr>
            <w:tcW w:w="1295" w:type="dxa"/>
            <w:vAlign w:val="center"/>
          </w:tcPr>
          <w:p w14:paraId="4D5C38D5">
            <w:pPr>
              <w:jc w:val="center"/>
              <w:rPr>
                <w:rFonts w:cs="仿宋_GB2312"/>
                <w:i w:val="0"/>
                <w:iCs w:val="0"/>
                <w:color w:val="auto"/>
                <w:sz w:val="24"/>
                <w:szCs w:val="24"/>
                <w:highlight w:val="none"/>
              </w:rPr>
            </w:pPr>
            <w:r>
              <w:rPr>
                <w:rFonts w:hint="eastAsia" w:cs="仿宋_GB2312"/>
                <w:i w:val="0"/>
                <w:iCs w:val="0"/>
                <w:color w:val="auto"/>
                <w:sz w:val="24"/>
                <w:szCs w:val="24"/>
                <w:highlight w:val="none"/>
              </w:rPr>
              <w:t>项目名称</w:t>
            </w:r>
          </w:p>
        </w:tc>
        <w:tc>
          <w:tcPr>
            <w:tcW w:w="1240" w:type="dxa"/>
            <w:vAlign w:val="center"/>
          </w:tcPr>
          <w:p w14:paraId="69717F2A">
            <w:pPr>
              <w:jc w:val="center"/>
              <w:rPr>
                <w:rFonts w:cs="仿宋_GB2312"/>
                <w:i w:val="0"/>
                <w:iCs w:val="0"/>
                <w:color w:val="auto"/>
                <w:sz w:val="24"/>
                <w:szCs w:val="24"/>
                <w:highlight w:val="none"/>
              </w:rPr>
            </w:pPr>
            <w:r>
              <w:rPr>
                <w:rFonts w:hint="eastAsia" w:cs="仿宋_GB2312"/>
                <w:i w:val="0"/>
                <w:iCs w:val="0"/>
                <w:color w:val="auto"/>
                <w:sz w:val="24"/>
                <w:szCs w:val="24"/>
                <w:highlight w:val="none"/>
                <w:lang w:val="en-US" w:eastAsia="zh-CN"/>
              </w:rPr>
              <w:t>标的</w:t>
            </w:r>
            <w:r>
              <w:rPr>
                <w:rFonts w:hint="eastAsia" w:cs="仿宋_GB2312"/>
                <w:i w:val="0"/>
                <w:iCs w:val="0"/>
                <w:color w:val="auto"/>
                <w:sz w:val="24"/>
                <w:szCs w:val="24"/>
                <w:highlight w:val="none"/>
              </w:rPr>
              <w:t>内容</w:t>
            </w:r>
          </w:p>
        </w:tc>
        <w:tc>
          <w:tcPr>
            <w:tcW w:w="1416" w:type="dxa"/>
            <w:vAlign w:val="center"/>
          </w:tcPr>
          <w:p w14:paraId="57C35070">
            <w:pPr>
              <w:jc w:val="center"/>
              <w:rPr>
                <w:rFonts w:cs="仿宋_GB2312"/>
                <w:i w:val="0"/>
                <w:iCs w:val="0"/>
                <w:color w:val="auto"/>
                <w:sz w:val="24"/>
                <w:szCs w:val="24"/>
                <w:highlight w:val="none"/>
              </w:rPr>
            </w:pPr>
            <w:r>
              <w:rPr>
                <w:rFonts w:hint="eastAsia" w:cs="仿宋_GB2312"/>
                <w:i w:val="0"/>
                <w:iCs w:val="0"/>
                <w:color w:val="auto"/>
                <w:sz w:val="24"/>
                <w:szCs w:val="24"/>
                <w:highlight w:val="none"/>
                <w:lang w:val="en-US" w:eastAsia="zh-CN"/>
              </w:rPr>
              <w:t>采购人</w:t>
            </w:r>
            <w:r>
              <w:rPr>
                <w:rFonts w:hint="eastAsia" w:cs="仿宋_GB2312"/>
                <w:i w:val="0"/>
                <w:iCs w:val="0"/>
                <w:color w:val="auto"/>
                <w:sz w:val="24"/>
                <w:szCs w:val="24"/>
                <w:highlight w:val="none"/>
              </w:rPr>
              <w:t>名称</w:t>
            </w:r>
          </w:p>
        </w:tc>
        <w:tc>
          <w:tcPr>
            <w:tcW w:w="1560" w:type="dxa"/>
            <w:vAlign w:val="center"/>
          </w:tcPr>
          <w:p w14:paraId="0236C23C">
            <w:pPr>
              <w:jc w:val="center"/>
              <w:rPr>
                <w:rFonts w:hint="eastAsia" w:cs="仿宋_GB2312"/>
                <w:i w:val="0"/>
                <w:iCs w:val="0"/>
                <w:color w:val="auto"/>
                <w:sz w:val="24"/>
                <w:szCs w:val="24"/>
                <w:highlight w:val="none"/>
              </w:rPr>
            </w:pPr>
            <w:r>
              <w:rPr>
                <w:rFonts w:hint="eastAsia" w:cs="仿宋_GB2312"/>
                <w:i w:val="0"/>
                <w:iCs w:val="0"/>
                <w:color w:val="auto"/>
                <w:sz w:val="24"/>
                <w:szCs w:val="24"/>
                <w:highlight w:val="none"/>
                <w:lang w:val="en-US" w:eastAsia="zh-CN"/>
              </w:rPr>
              <w:t>中标（成交）金额</w:t>
            </w:r>
          </w:p>
        </w:tc>
        <w:tc>
          <w:tcPr>
            <w:tcW w:w="1068" w:type="dxa"/>
            <w:vAlign w:val="center"/>
          </w:tcPr>
          <w:p w14:paraId="01352CB9">
            <w:pPr>
              <w:jc w:val="center"/>
              <w:rPr>
                <w:rFonts w:cs="仿宋_GB2312"/>
                <w:i w:val="0"/>
                <w:iCs w:val="0"/>
                <w:color w:val="auto"/>
                <w:sz w:val="24"/>
                <w:szCs w:val="24"/>
                <w:highlight w:val="none"/>
              </w:rPr>
            </w:pPr>
            <w:r>
              <w:rPr>
                <w:rFonts w:hint="eastAsia" w:cs="仿宋_GB2312"/>
                <w:i w:val="0"/>
                <w:iCs w:val="0"/>
                <w:color w:val="auto"/>
                <w:sz w:val="24"/>
                <w:szCs w:val="24"/>
                <w:highlight w:val="none"/>
              </w:rPr>
              <w:t>联系人</w:t>
            </w:r>
          </w:p>
        </w:tc>
        <w:tc>
          <w:tcPr>
            <w:tcW w:w="1197" w:type="dxa"/>
            <w:vAlign w:val="center"/>
          </w:tcPr>
          <w:p w14:paraId="2DA424BF">
            <w:pPr>
              <w:jc w:val="center"/>
              <w:rPr>
                <w:rFonts w:cs="仿宋_GB2312"/>
                <w:i w:val="0"/>
                <w:iCs w:val="0"/>
                <w:color w:val="auto"/>
                <w:sz w:val="24"/>
                <w:szCs w:val="24"/>
                <w:highlight w:val="none"/>
              </w:rPr>
            </w:pPr>
            <w:r>
              <w:rPr>
                <w:rFonts w:hint="eastAsia" w:cs="仿宋_GB2312"/>
                <w:i w:val="0"/>
                <w:iCs w:val="0"/>
                <w:color w:val="auto"/>
                <w:sz w:val="24"/>
                <w:szCs w:val="24"/>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95" w:type="dxa"/>
            <w:vAlign w:val="center"/>
          </w:tcPr>
          <w:p w14:paraId="27562AF7">
            <w:pPr>
              <w:rPr>
                <w:rFonts w:cs="仿宋_GB2312"/>
                <w:i w:val="0"/>
                <w:iCs w:val="0"/>
                <w:color w:val="auto"/>
                <w:sz w:val="24"/>
                <w:szCs w:val="24"/>
                <w:highlight w:val="none"/>
              </w:rPr>
            </w:pPr>
          </w:p>
        </w:tc>
        <w:tc>
          <w:tcPr>
            <w:tcW w:w="1295" w:type="dxa"/>
            <w:vAlign w:val="center"/>
          </w:tcPr>
          <w:p w14:paraId="02799269">
            <w:pPr>
              <w:rPr>
                <w:rFonts w:cs="仿宋_GB2312"/>
                <w:i w:val="0"/>
                <w:iCs w:val="0"/>
                <w:color w:val="auto"/>
                <w:sz w:val="24"/>
                <w:szCs w:val="24"/>
                <w:highlight w:val="none"/>
              </w:rPr>
            </w:pPr>
          </w:p>
        </w:tc>
        <w:tc>
          <w:tcPr>
            <w:tcW w:w="1240" w:type="dxa"/>
            <w:vAlign w:val="center"/>
          </w:tcPr>
          <w:p w14:paraId="6449ADDF">
            <w:pPr>
              <w:rPr>
                <w:rFonts w:cs="仿宋_GB2312"/>
                <w:i w:val="0"/>
                <w:iCs w:val="0"/>
                <w:color w:val="auto"/>
                <w:sz w:val="24"/>
                <w:szCs w:val="24"/>
                <w:highlight w:val="none"/>
              </w:rPr>
            </w:pPr>
          </w:p>
        </w:tc>
        <w:tc>
          <w:tcPr>
            <w:tcW w:w="1416" w:type="dxa"/>
            <w:vAlign w:val="center"/>
          </w:tcPr>
          <w:p w14:paraId="183C0714">
            <w:pPr>
              <w:rPr>
                <w:rFonts w:cs="仿宋_GB2312"/>
                <w:i w:val="0"/>
                <w:iCs w:val="0"/>
                <w:color w:val="auto"/>
                <w:sz w:val="24"/>
                <w:szCs w:val="24"/>
                <w:highlight w:val="none"/>
              </w:rPr>
            </w:pPr>
          </w:p>
        </w:tc>
        <w:tc>
          <w:tcPr>
            <w:tcW w:w="1560" w:type="dxa"/>
            <w:vAlign w:val="center"/>
          </w:tcPr>
          <w:p w14:paraId="4F169081">
            <w:pPr>
              <w:rPr>
                <w:rFonts w:cs="仿宋_GB2312"/>
                <w:i w:val="0"/>
                <w:iCs w:val="0"/>
                <w:color w:val="auto"/>
                <w:sz w:val="24"/>
                <w:szCs w:val="24"/>
                <w:highlight w:val="none"/>
              </w:rPr>
            </w:pPr>
          </w:p>
        </w:tc>
        <w:tc>
          <w:tcPr>
            <w:tcW w:w="1068" w:type="dxa"/>
            <w:vAlign w:val="center"/>
          </w:tcPr>
          <w:p w14:paraId="14FB4C57">
            <w:pPr>
              <w:rPr>
                <w:rFonts w:cs="仿宋_GB2312"/>
                <w:i w:val="0"/>
                <w:iCs w:val="0"/>
                <w:color w:val="auto"/>
                <w:sz w:val="24"/>
                <w:szCs w:val="24"/>
                <w:highlight w:val="none"/>
              </w:rPr>
            </w:pPr>
          </w:p>
        </w:tc>
        <w:tc>
          <w:tcPr>
            <w:tcW w:w="1197" w:type="dxa"/>
            <w:vAlign w:val="center"/>
          </w:tcPr>
          <w:p w14:paraId="09D0936A">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95" w:type="dxa"/>
            <w:vAlign w:val="center"/>
          </w:tcPr>
          <w:p w14:paraId="7CA4B3F3">
            <w:pPr>
              <w:rPr>
                <w:rFonts w:cs="仿宋_GB2312"/>
                <w:i w:val="0"/>
                <w:iCs w:val="0"/>
                <w:color w:val="auto"/>
                <w:sz w:val="24"/>
                <w:szCs w:val="24"/>
                <w:highlight w:val="none"/>
              </w:rPr>
            </w:pPr>
          </w:p>
        </w:tc>
        <w:tc>
          <w:tcPr>
            <w:tcW w:w="1295" w:type="dxa"/>
            <w:vAlign w:val="center"/>
          </w:tcPr>
          <w:p w14:paraId="59CCECB1">
            <w:pPr>
              <w:rPr>
                <w:rFonts w:cs="仿宋_GB2312"/>
                <w:i w:val="0"/>
                <w:iCs w:val="0"/>
                <w:color w:val="auto"/>
                <w:sz w:val="24"/>
                <w:szCs w:val="24"/>
                <w:highlight w:val="none"/>
              </w:rPr>
            </w:pPr>
          </w:p>
        </w:tc>
        <w:tc>
          <w:tcPr>
            <w:tcW w:w="1240" w:type="dxa"/>
            <w:vAlign w:val="center"/>
          </w:tcPr>
          <w:p w14:paraId="4E8043C4">
            <w:pPr>
              <w:rPr>
                <w:rFonts w:cs="仿宋_GB2312"/>
                <w:i w:val="0"/>
                <w:iCs w:val="0"/>
                <w:color w:val="auto"/>
                <w:sz w:val="24"/>
                <w:szCs w:val="24"/>
                <w:highlight w:val="none"/>
              </w:rPr>
            </w:pPr>
          </w:p>
        </w:tc>
        <w:tc>
          <w:tcPr>
            <w:tcW w:w="1416" w:type="dxa"/>
            <w:vAlign w:val="center"/>
          </w:tcPr>
          <w:p w14:paraId="2E195778">
            <w:pPr>
              <w:rPr>
                <w:rFonts w:cs="仿宋_GB2312"/>
                <w:i w:val="0"/>
                <w:iCs w:val="0"/>
                <w:color w:val="auto"/>
                <w:sz w:val="24"/>
                <w:szCs w:val="24"/>
                <w:highlight w:val="none"/>
              </w:rPr>
            </w:pPr>
          </w:p>
        </w:tc>
        <w:tc>
          <w:tcPr>
            <w:tcW w:w="1560" w:type="dxa"/>
            <w:vAlign w:val="center"/>
          </w:tcPr>
          <w:p w14:paraId="49A8CC13">
            <w:pPr>
              <w:rPr>
                <w:rFonts w:cs="仿宋_GB2312"/>
                <w:i w:val="0"/>
                <w:iCs w:val="0"/>
                <w:color w:val="auto"/>
                <w:sz w:val="24"/>
                <w:szCs w:val="24"/>
                <w:highlight w:val="none"/>
              </w:rPr>
            </w:pPr>
          </w:p>
        </w:tc>
        <w:tc>
          <w:tcPr>
            <w:tcW w:w="1068" w:type="dxa"/>
            <w:vAlign w:val="center"/>
          </w:tcPr>
          <w:p w14:paraId="2B509829">
            <w:pPr>
              <w:rPr>
                <w:rFonts w:cs="仿宋_GB2312"/>
                <w:i w:val="0"/>
                <w:iCs w:val="0"/>
                <w:color w:val="auto"/>
                <w:sz w:val="24"/>
                <w:szCs w:val="24"/>
                <w:highlight w:val="none"/>
              </w:rPr>
            </w:pPr>
          </w:p>
        </w:tc>
        <w:tc>
          <w:tcPr>
            <w:tcW w:w="1197" w:type="dxa"/>
            <w:vAlign w:val="center"/>
          </w:tcPr>
          <w:p w14:paraId="185645D3">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95" w:type="dxa"/>
            <w:vAlign w:val="center"/>
          </w:tcPr>
          <w:p w14:paraId="46AEF6AC">
            <w:pPr>
              <w:rPr>
                <w:rFonts w:cs="仿宋_GB2312"/>
                <w:i w:val="0"/>
                <w:iCs w:val="0"/>
                <w:color w:val="auto"/>
                <w:sz w:val="24"/>
                <w:szCs w:val="24"/>
                <w:highlight w:val="none"/>
              </w:rPr>
            </w:pPr>
          </w:p>
        </w:tc>
        <w:tc>
          <w:tcPr>
            <w:tcW w:w="1295" w:type="dxa"/>
            <w:vAlign w:val="center"/>
          </w:tcPr>
          <w:p w14:paraId="601B0208">
            <w:pPr>
              <w:rPr>
                <w:rFonts w:cs="仿宋_GB2312"/>
                <w:i w:val="0"/>
                <w:iCs w:val="0"/>
                <w:color w:val="auto"/>
                <w:sz w:val="24"/>
                <w:szCs w:val="24"/>
                <w:highlight w:val="none"/>
              </w:rPr>
            </w:pPr>
          </w:p>
        </w:tc>
        <w:tc>
          <w:tcPr>
            <w:tcW w:w="1240" w:type="dxa"/>
            <w:vAlign w:val="center"/>
          </w:tcPr>
          <w:p w14:paraId="56885EE6">
            <w:pPr>
              <w:rPr>
                <w:rFonts w:cs="仿宋_GB2312"/>
                <w:i w:val="0"/>
                <w:iCs w:val="0"/>
                <w:color w:val="auto"/>
                <w:sz w:val="24"/>
                <w:szCs w:val="24"/>
                <w:highlight w:val="none"/>
              </w:rPr>
            </w:pPr>
          </w:p>
        </w:tc>
        <w:tc>
          <w:tcPr>
            <w:tcW w:w="1416" w:type="dxa"/>
            <w:vAlign w:val="center"/>
          </w:tcPr>
          <w:p w14:paraId="00552B19">
            <w:pPr>
              <w:rPr>
                <w:rFonts w:cs="仿宋_GB2312"/>
                <w:i w:val="0"/>
                <w:iCs w:val="0"/>
                <w:color w:val="auto"/>
                <w:sz w:val="24"/>
                <w:szCs w:val="24"/>
                <w:highlight w:val="none"/>
              </w:rPr>
            </w:pPr>
          </w:p>
        </w:tc>
        <w:tc>
          <w:tcPr>
            <w:tcW w:w="1560" w:type="dxa"/>
            <w:vAlign w:val="center"/>
          </w:tcPr>
          <w:p w14:paraId="77BC6128">
            <w:pPr>
              <w:rPr>
                <w:rFonts w:cs="仿宋_GB2312"/>
                <w:i w:val="0"/>
                <w:iCs w:val="0"/>
                <w:color w:val="auto"/>
                <w:sz w:val="24"/>
                <w:szCs w:val="24"/>
                <w:highlight w:val="none"/>
              </w:rPr>
            </w:pPr>
          </w:p>
        </w:tc>
        <w:tc>
          <w:tcPr>
            <w:tcW w:w="1068" w:type="dxa"/>
            <w:vAlign w:val="center"/>
          </w:tcPr>
          <w:p w14:paraId="143DFC44">
            <w:pPr>
              <w:rPr>
                <w:rFonts w:cs="仿宋_GB2312"/>
                <w:i w:val="0"/>
                <w:iCs w:val="0"/>
                <w:color w:val="auto"/>
                <w:sz w:val="24"/>
                <w:szCs w:val="24"/>
                <w:highlight w:val="none"/>
              </w:rPr>
            </w:pPr>
          </w:p>
        </w:tc>
        <w:tc>
          <w:tcPr>
            <w:tcW w:w="1197" w:type="dxa"/>
            <w:vAlign w:val="center"/>
          </w:tcPr>
          <w:p w14:paraId="20173386">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3"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95" w:type="dxa"/>
            <w:vAlign w:val="center"/>
          </w:tcPr>
          <w:p w14:paraId="5D94CAA1">
            <w:pPr>
              <w:rPr>
                <w:rFonts w:cs="仿宋_GB2312"/>
                <w:i w:val="0"/>
                <w:iCs w:val="0"/>
                <w:color w:val="auto"/>
                <w:sz w:val="24"/>
                <w:szCs w:val="24"/>
                <w:highlight w:val="none"/>
              </w:rPr>
            </w:pPr>
          </w:p>
        </w:tc>
        <w:tc>
          <w:tcPr>
            <w:tcW w:w="1295" w:type="dxa"/>
            <w:vAlign w:val="center"/>
          </w:tcPr>
          <w:p w14:paraId="48AC7386">
            <w:pPr>
              <w:rPr>
                <w:rFonts w:cs="仿宋_GB2312"/>
                <w:i w:val="0"/>
                <w:iCs w:val="0"/>
                <w:color w:val="auto"/>
                <w:sz w:val="24"/>
                <w:szCs w:val="24"/>
                <w:highlight w:val="none"/>
              </w:rPr>
            </w:pPr>
          </w:p>
        </w:tc>
        <w:tc>
          <w:tcPr>
            <w:tcW w:w="1240" w:type="dxa"/>
            <w:vAlign w:val="center"/>
          </w:tcPr>
          <w:p w14:paraId="20172F35">
            <w:pPr>
              <w:rPr>
                <w:rFonts w:cs="仿宋_GB2312"/>
                <w:i w:val="0"/>
                <w:iCs w:val="0"/>
                <w:color w:val="auto"/>
                <w:sz w:val="24"/>
                <w:szCs w:val="24"/>
                <w:highlight w:val="none"/>
              </w:rPr>
            </w:pPr>
          </w:p>
        </w:tc>
        <w:tc>
          <w:tcPr>
            <w:tcW w:w="1416" w:type="dxa"/>
            <w:vAlign w:val="center"/>
          </w:tcPr>
          <w:p w14:paraId="75CF74D1">
            <w:pPr>
              <w:rPr>
                <w:rFonts w:cs="仿宋_GB2312"/>
                <w:i w:val="0"/>
                <w:iCs w:val="0"/>
                <w:color w:val="auto"/>
                <w:sz w:val="24"/>
                <w:szCs w:val="24"/>
                <w:highlight w:val="none"/>
              </w:rPr>
            </w:pPr>
          </w:p>
        </w:tc>
        <w:tc>
          <w:tcPr>
            <w:tcW w:w="1560" w:type="dxa"/>
            <w:vAlign w:val="center"/>
          </w:tcPr>
          <w:p w14:paraId="52CF4BF0">
            <w:pPr>
              <w:rPr>
                <w:rFonts w:cs="仿宋_GB2312"/>
                <w:i w:val="0"/>
                <w:iCs w:val="0"/>
                <w:color w:val="auto"/>
                <w:sz w:val="24"/>
                <w:szCs w:val="24"/>
                <w:highlight w:val="none"/>
              </w:rPr>
            </w:pPr>
          </w:p>
        </w:tc>
        <w:tc>
          <w:tcPr>
            <w:tcW w:w="1068" w:type="dxa"/>
            <w:vAlign w:val="center"/>
          </w:tcPr>
          <w:p w14:paraId="13901816">
            <w:pPr>
              <w:rPr>
                <w:rFonts w:cs="仿宋_GB2312"/>
                <w:i w:val="0"/>
                <w:iCs w:val="0"/>
                <w:color w:val="auto"/>
                <w:sz w:val="24"/>
                <w:szCs w:val="24"/>
                <w:highlight w:val="none"/>
              </w:rPr>
            </w:pPr>
          </w:p>
        </w:tc>
        <w:tc>
          <w:tcPr>
            <w:tcW w:w="1197" w:type="dxa"/>
            <w:vAlign w:val="center"/>
          </w:tcPr>
          <w:p w14:paraId="52BCFD5F">
            <w:pPr>
              <w:rPr>
                <w:rFonts w:cs="仿宋_GB2312"/>
                <w:i w:val="0"/>
                <w:iCs w:val="0"/>
                <w:color w:val="auto"/>
                <w:sz w:val="24"/>
                <w:szCs w:val="24"/>
                <w:highlight w:val="none"/>
              </w:rPr>
            </w:pPr>
          </w:p>
        </w:tc>
      </w:tr>
      <w:bookmarkEnd w:id="1243"/>
    </w:tbl>
    <w:p w14:paraId="434280D6">
      <w:pPr>
        <w:rPr>
          <w:rFonts w:hint="eastAsia" w:cs="仿宋_GB2312"/>
          <w:i w:val="0"/>
          <w:iCs w:val="0"/>
          <w:color w:val="auto"/>
          <w:szCs w:val="24"/>
          <w:highlight w:val="none"/>
        </w:rPr>
      </w:pPr>
    </w:p>
    <w:p w14:paraId="58FF379C">
      <w:pPr>
        <w:rPr>
          <w:rFonts w:cs="仿宋_GB2312"/>
          <w:i w:val="0"/>
          <w:iCs w:val="0"/>
          <w:color w:val="auto"/>
          <w:sz w:val="21"/>
          <w:szCs w:val="21"/>
          <w:highlight w:val="none"/>
        </w:rPr>
      </w:pPr>
      <w:r>
        <w:rPr>
          <w:rFonts w:hint="eastAsia" w:cs="仿宋_GB2312"/>
          <w:i w:val="0"/>
          <w:iCs w:val="0"/>
          <w:color w:val="auto"/>
          <w:sz w:val="21"/>
          <w:szCs w:val="21"/>
          <w:highlight w:val="none"/>
        </w:rPr>
        <w:t>注：</w:t>
      </w:r>
      <w:r>
        <w:rPr>
          <w:rFonts w:hint="eastAsia" w:cs="仿宋_GB2312"/>
          <w:i w:val="0"/>
          <w:iCs w:val="0"/>
          <w:color w:val="auto"/>
          <w:sz w:val="21"/>
          <w:szCs w:val="21"/>
          <w:highlight w:val="none"/>
          <w:lang w:val="en-US" w:eastAsia="zh-CN"/>
        </w:rPr>
        <w:t>供应商</w:t>
      </w:r>
      <w:r>
        <w:rPr>
          <w:rFonts w:hint="eastAsia" w:cs="仿宋_GB2312"/>
          <w:i w:val="0"/>
          <w:iCs w:val="0"/>
          <w:color w:val="auto"/>
          <w:sz w:val="21"/>
          <w:szCs w:val="21"/>
          <w:highlight w:val="none"/>
        </w:rPr>
        <w:t>须按上表提供相应的</w:t>
      </w:r>
      <w:r>
        <w:rPr>
          <w:rFonts w:hint="eastAsia" w:cs="仿宋_GB2312"/>
          <w:i w:val="0"/>
          <w:iCs w:val="0"/>
          <w:color w:val="auto"/>
          <w:sz w:val="21"/>
          <w:szCs w:val="21"/>
          <w:highlight w:val="none"/>
          <w:lang w:val="en-US" w:eastAsia="zh-CN"/>
        </w:rPr>
        <w:t>中标（成交）通知书、采购合同等</w:t>
      </w:r>
      <w:r>
        <w:rPr>
          <w:rFonts w:hint="eastAsia" w:cs="仿宋_GB2312"/>
          <w:i w:val="0"/>
          <w:iCs w:val="0"/>
          <w:color w:val="auto"/>
          <w:sz w:val="21"/>
          <w:szCs w:val="21"/>
          <w:highlight w:val="none"/>
        </w:rPr>
        <w:t>业绩证明资料。</w:t>
      </w:r>
    </w:p>
    <w:p w14:paraId="5DB99613">
      <w:pPr>
        <w:widowControl/>
        <w:spacing w:before="100" w:beforeAutospacing="1" w:after="100" w:afterAutospacing="1"/>
        <w:rPr>
          <w:rFonts w:cs="Arial"/>
          <w:i w:val="0"/>
          <w:iCs w:val="0"/>
          <w:color w:val="auto"/>
          <w:szCs w:val="21"/>
          <w:highlight w:val="none"/>
        </w:rPr>
      </w:pPr>
    </w:p>
    <w:p w14:paraId="24086818">
      <w:pPr>
        <w:autoSpaceDE w:val="0"/>
        <w:autoSpaceDN w:val="0"/>
        <w:spacing w:line="360" w:lineRule="auto"/>
        <w:ind w:right="1120" w:firstLine="480" w:firstLineChars="2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C8E7138">
      <w:pPr>
        <w:ind w:firstLine="420"/>
        <w:rPr>
          <w:rFonts w:cs="仿宋_GB2312"/>
          <w:i w:val="0"/>
          <w:iCs w:val="0"/>
          <w:color w:val="auto"/>
          <w:szCs w:val="24"/>
          <w:highlight w:val="none"/>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44" w:name="_Toc27235"/>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1244"/>
    </w:p>
    <w:tbl>
      <w:tblPr>
        <w:tblStyle w:val="28"/>
        <w:tblW w:w="894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4"/>
        <w:gridCol w:w="1140"/>
        <w:gridCol w:w="756"/>
        <w:gridCol w:w="1836"/>
        <w:gridCol w:w="1277"/>
        <w:gridCol w:w="816"/>
      </w:tblGrid>
      <w:tr w14:paraId="23B29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4A1D47D">
            <w:pPr>
              <w:pStyle w:val="45"/>
              <w:jc w:val="center"/>
              <w:rPr>
                <w:i w:val="0"/>
                <w:iCs w:val="0"/>
                <w:color w:val="auto"/>
                <w:highlight w:val="none"/>
              </w:rPr>
            </w:pPr>
            <w:r>
              <w:rPr>
                <w:rFonts w:hint="eastAsia"/>
                <w:i w:val="0"/>
                <w:iCs w:val="0"/>
                <w:color w:val="auto"/>
                <w:highlight w:val="none"/>
              </w:rPr>
              <w:t>序号</w:t>
            </w:r>
          </w:p>
        </w:tc>
        <w:tc>
          <w:tcPr>
            <w:tcW w:w="1143" w:type="dxa"/>
            <w:vAlign w:val="center"/>
          </w:tcPr>
          <w:p w14:paraId="06896F70">
            <w:pPr>
              <w:pStyle w:val="45"/>
              <w:jc w:val="center"/>
              <w:rPr>
                <w:i w:val="0"/>
                <w:iCs w:val="0"/>
                <w:color w:val="auto"/>
                <w:highlight w:val="none"/>
              </w:rPr>
            </w:pPr>
            <w:r>
              <w:rPr>
                <w:rFonts w:hint="eastAsia"/>
                <w:i w:val="0"/>
                <w:iCs w:val="0"/>
                <w:color w:val="auto"/>
                <w:highlight w:val="none"/>
                <w:lang w:val="en-US" w:eastAsia="zh-CN"/>
              </w:rPr>
              <w:t>团队成员</w:t>
            </w:r>
          </w:p>
          <w:p w14:paraId="4131E775">
            <w:pPr>
              <w:pStyle w:val="45"/>
              <w:jc w:val="center"/>
              <w:rPr>
                <w:i w:val="0"/>
                <w:iCs w:val="0"/>
                <w:color w:val="auto"/>
                <w:highlight w:val="none"/>
              </w:rPr>
            </w:pPr>
            <w:r>
              <w:rPr>
                <w:rFonts w:hint="eastAsia"/>
                <w:i w:val="0"/>
                <w:iCs w:val="0"/>
                <w:color w:val="auto"/>
                <w:highlight w:val="none"/>
              </w:rPr>
              <w:t>姓名</w:t>
            </w:r>
          </w:p>
        </w:tc>
        <w:tc>
          <w:tcPr>
            <w:tcW w:w="1204" w:type="dxa"/>
            <w:tcBorders>
              <w:right w:val="single" w:color="auto" w:sz="4" w:space="0"/>
            </w:tcBorders>
            <w:vAlign w:val="center"/>
          </w:tcPr>
          <w:p w14:paraId="7A003668">
            <w:pPr>
              <w:pStyle w:val="45"/>
              <w:jc w:val="center"/>
              <w:rPr>
                <w:i w:val="0"/>
                <w:iCs w:val="0"/>
                <w:color w:val="auto"/>
                <w:highlight w:val="none"/>
              </w:rPr>
            </w:pPr>
            <w:r>
              <w:rPr>
                <w:rFonts w:hint="eastAsia"/>
                <w:i w:val="0"/>
                <w:iCs w:val="0"/>
                <w:color w:val="auto"/>
                <w:highlight w:val="none"/>
              </w:rPr>
              <w:t>工作单位</w:t>
            </w:r>
          </w:p>
        </w:tc>
        <w:tc>
          <w:tcPr>
            <w:tcW w:w="1140" w:type="dxa"/>
            <w:tcBorders>
              <w:left w:val="single" w:color="auto" w:sz="4" w:space="0"/>
            </w:tcBorders>
            <w:vAlign w:val="center"/>
          </w:tcPr>
          <w:p w14:paraId="1E2760FF">
            <w:pPr>
              <w:pStyle w:val="45"/>
              <w:jc w:val="center"/>
              <w:rPr>
                <w:i w:val="0"/>
                <w:iCs w:val="0"/>
                <w:color w:val="auto"/>
                <w:highlight w:val="none"/>
              </w:rPr>
            </w:pPr>
            <w:r>
              <w:rPr>
                <w:rFonts w:hint="eastAsia"/>
                <w:i w:val="0"/>
                <w:iCs w:val="0"/>
                <w:color w:val="auto"/>
                <w:highlight w:val="none"/>
              </w:rPr>
              <w:t>身份证号</w:t>
            </w:r>
          </w:p>
        </w:tc>
        <w:tc>
          <w:tcPr>
            <w:tcW w:w="756" w:type="dxa"/>
            <w:tcBorders>
              <w:left w:val="single" w:color="auto" w:sz="4" w:space="0"/>
            </w:tcBorders>
            <w:vAlign w:val="center"/>
          </w:tcPr>
          <w:p w14:paraId="1955E989">
            <w:pPr>
              <w:pStyle w:val="45"/>
              <w:jc w:val="center"/>
              <w:rPr>
                <w:i w:val="0"/>
                <w:iCs w:val="0"/>
                <w:color w:val="auto"/>
                <w:highlight w:val="none"/>
              </w:rPr>
            </w:pPr>
            <w:r>
              <w:rPr>
                <w:rFonts w:hint="eastAsia"/>
                <w:i w:val="0"/>
                <w:iCs w:val="0"/>
                <w:color w:val="auto"/>
                <w:highlight w:val="none"/>
              </w:rPr>
              <w:t>职称</w:t>
            </w:r>
          </w:p>
        </w:tc>
        <w:tc>
          <w:tcPr>
            <w:tcW w:w="1836" w:type="dxa"/>
            <w:vAlign w:val="center"/>
          </w:tcPr>
          <w:p w14:paraId="57503923">
            <w:pPr>
              <w:pStyle w:val="45"/>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7D2284E1">
            <w:pPr>
              <w:pStyle w:val="45"/>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626902B6">
            <w:pPr>
              <w:pStyle w:val="45"/>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0920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5DBB5AA">
            <w:pPr>
              <w:pStyle w:val="45"/>
              <w:jc w:val="center"/>
              <w:rPr>
                <w:i w:val="0"/>
                <w:iCs w:val="0"/>
                <w:color w:val="auto"/>
                <w:highlight w:val="none"/>
              </w:rPr>
            </w:pPr>
            <w:bookmarkStart w:id="1245" w:name="_Toc99533292"/>
            <w:bookmarkStart w:id="1246" w:name="_Toc100090784"/>
            <w:r>
              <w:rPr>
                <w:rFonts w:hint="eastAsia"/>
                <w:i w:val="0"/>
                <w:iCs w:val="0"/>
                <w:color w:val="auto"/>
                <w:highlight w:val="none"/>
              </w:rPr>
              <w:t>1</w:t>
            </w:r>
            <w:bookmarkEnd w:id="1245"/>
            <w:bookmarkEnd w:id="1246"/>
          </w:p>
        </w:tc>
        <w:tc>
          <w:tcPr>
            <w:tcW w:w="1143" w:type="dxa"/>
            <w:vAlign w:val="center"/>
          </w:tcPr>
          <w:p w14:paraId="0D3CEC33">
            <w:pPr>
              <w:pStyle w:val="45"/>
              <w:jc w:val="center"/>
              <w:rPr>
                <w:i w:val="0"/>
                <w:iCs w:val="0"/>
                <w:color w:val="auto"/>
                <w:highlight w:val="none"/>
              </w:rPr>
            </w:pPr>
          </w:p>
        </w:tc>
        <w:tc>
          <w:tcPr>
            <w:tcW w:w="1204" w:type="dxa"/>
            <w:tcBorders>
              <w:right w:val="single" w:color="auto" w:sz="4" w:space="0"/>
            </w:tcBorders>
            <w:vAlign w:val="center"/>
          </w:tcPr>
          <w:p w14:paraId="12684669">
            <w:pPr>
              <w:pStyle w:val="45"/>
              <w:jc w:val="center"/>
              <w:rPr>
                <w:i w:val="0"/>
                <w:iCs w:val="0"/>
                <w:color w:val="auto"/>
                <w:highlight w:val="none"/>
              </w:rPr>
            </w:pPr>
          </w:p>
        </w:tc>
        <w:tc>
          <w:tcPr>
            <w:tcW w:w="1140" w:type="dxa"/>
            <w:tcBorders>
              <w:left w:val="single" w:color="auto" w:sz="4" w:space="0"/>
            </w:tcBorders>
            <w:vAlign w:val="center"/>
          </w:tcPr>
          <w:p w14:paraId="3952353B">
            <w:pPr>
              <w:pStyle w:val="45"/>
              <w:jc w:val="center"/>
              <w:rPr>
                <w:i w:val="0"/>
                <w:iCs w:val="0"/>
                <w:color w:val="auto"/>
                <w:highlight w:val="none"/>
              </w:rPr>
            </w:pPr>
          </w:p>
        </w:tc>
        <w:tc>
          <w:tcPr>
            <w:tcW w:w="756" w:type="dxa"/>
            <w:tcBorders>
              <w:left w:val="single" w:color="auto" w:sz="4" w:space="0"/>
            </w:tcBorders>
            <w:vAlign w:val="center"/>
          </w:tcPr>
          <w:p w14:paraId="36890BC1">
            <w:pPr>
              <w:pStyle w:val="45"/>
              <w:jc w:val="center"/>
              <w:rPr>
                <w:i w:val="0"/>
                <w:iCs w:val="0"/>
                <w:color w:val="auto"/>
                <w:highlight w:val="none"/>
              </w:rPr>
            </w:pPr>
          </w:p>
        </w:tc>
        <w:tc>
          <w:tcPr>
            <w:tcW w:w="1836" w:type="dxa"/>
            <w:vAlign w:val="center"/>
          </w:tcPr>
          <w:p w14:paraId="66425032">
            <w:pPr>
              <w:pStyle w:val="45"/>
              <w:jc w:val="center"/>
              <w:rPr>
                <w:i w:val="0"/>
                <w:iCs w:val="0"/>
                <w:color w:val="auto"/>
                <w:highlight w:val="none"/>
              </w:rPr>
            </w:pPr>
          </w:p>
        </w:tc>
        <w:tc>
          <w:tcPr>
            <w:tcW w:w="1277" w:type="dxa"/>
            <w:vAlign w:val="center"/>
          </w:tcPr>
          <w:p w14:paraId="2148FD62">
            <w:pPr>
              <w:pStyle w:val="45"/>
              <w:jc w:val="center"/>
              <w:rPr>
                <w:i w:val="0"/>
                <w:iCs w:val="0"/>
                <w:color w:val="auto"/>
                <w:highlight w:val="none"/>
              </w:rPr>
            </w:pPr>
          </w:p>
        </w:tc>
        <w:tc>
          <w:tcPr>
            <w:tcW w:w="816" w:type="dxa"/>
            <w:vAlign w:val="center"/>
          </w:tcPr>
          <w:p w14:paraId="69E0652E">
            <w:pPr>
              <w:pStyle w:val="45"/>
              <w:jc w:val="center"/>
              <w:rPr>
                <w:i w:val="0"/>
                <w:iCs w:val="0"/>
                <w:color w:val="auto"/>
                <w:highlight w:val="none"/>
              </w:rPr>
            </w:pPr>
          </w:p>
        </w:tc>
      </w:tr>
      <w:tr w14:paraId="0C3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A0B7EE5">
            <w:pPr>
              <w:pStyle w:val="45"/>
              <w:jc w:val="center"/>
              <w:rPr>
                <w:i w:val="0"/>
                <w:iCs w:val="0"/>
                <w:color w:val="auto"/>
                <w:highlight w:val="none"/>
              </w:rPr>
            </w:pPr>
            <w:bookmarkStart w:id="1247" w:name="_Toc99533293"/>
            <w:bookmarkStart w:id="1248" w:name="_Toc100090785"/>
            <w:r>
              <w:rPr>
                <w:rFonts w:hint="eastAsia"/>
                <w:i w:val="0"/>
                <w:iCs w:val="0"/>
                <w:color w:val="auto"/>
                <w:highlight w:val="none"/>
              </w:rPr>
              <w:t>2</w:t>
            </w:r>
            <w:bookmarkEnd w:id="1247"/>
            <w:bookmarkEnd w:id="1248"/>
          </w:p>
        </w:tc>
        <w:tc>
          <w:tcPr>
            <w:tcW w:w="1143" w:type="dxa"/>
            <w:vAlign w:val="center"/>
          </w:tcPr>
          <w:p w14:paraId="0DE2AA09">
            <w:pPr>
              <w:pStyle w:val="45"/>
              <w:jc w:val="center"/>
              <w:rPr>
                <w:i w:val="0"/>
                <w:iCs w:val="0"/>
                <w:color w:val="auto"/>
                <w:highlight w:val="none"/>
              </w:rPr>
            </w:pPr>
          </w:p>
        </w:tc>
        <w:tc>
          <w:tcPr>
            <w:tcW w:w="1204" w:type="dxa"/>
            <w:tcBorders>
              <w:right w:val="single" w:color="auto" w:sz="4" w:space="0"/>
            </w:tcBorders>
            <w:vAlign w:val="center"/>
          </w:tcPr>
          <w:p w14:paraId="65B29372">
            <w:pPr>
              <w:pStyle w:val="45"/>
              <w:jc w:val="center"/>
              <w:rPr>
                <w:i w:val="0"/>
                <w:iCs w:val="0"/>
                <w:color w:val="auto"/>
                <w:highlight w:val="none"/>
              </w:rPr>
            </w:pPr>
          </w:p>
        </w:tc>
        <w:tc>
          <w:tcPr>
            <w:tcW w:w="1140" w:type="dxa"/>
            <w:tcBorders>
              <w:left w:val="single" w:color="auto" w:sz="4" w:space="0"/>
            </w:tcBorders>
            <w:vAlign w:val="center"/>
          </w:tcPr>
          <w:p w14:paraId="32395576">
            <w:pPr>
              <w:pStyle w:val="45"/>
              <w:jc w:val="center"/>
              <w:rPr>
                <w:i w:val="0"/>
                <w:iCs w:val="0"/>
                <w:color w:val="auto"/>
                <w:highlight w:val="none"/>
              </w:rPr>
            </w:pPr>
          </w:p>
        </w:tc>
        <w:tc>
          <w:tcPr>
            <w:tcW w:w="756" w:type="dxa"/>
            <w:tcBorders>
              <w:left w:val="single" w:color="auto" w:sz="4" w:space="0"/>
            </w:tcBorders>
            <w:vAlign w:val="center"/>
          </w:tcPr>
          <w:p w14:paraId="79F4FDA7">
            <w:pPr>
              <w:pStyle w:val="45"/>
              <w:jc w:val="center"/>
              <w:rPr>
                <w:i w:val="0"/>
                <w:iCs w:val="0"/>
                <w:color w:val="auto"/>
                <w:highlight w:val="none"/>
              </w:rPr>
            </w:pPr>
          </w:p>
        </w:tc>
        <w:tc>
          <w:tcPr>
            <w:tcW w:w="1836" w:type="dxa"/>
            <w:vAlign w:val="center"/>
          </w:tcPr>
          <w:p w14:paraId="7C034AB7">
            <w:pPr>
              <w:pStyle w:val="45"/>
              <w:jc w:val="center"/>
              <w:rPr>
                <w:i w:val="0"/>
                <w:iCs w:val="0"/>
                <w:color w:val="auto"/>
                <w:highlight w:val="none"/>
              </w:rPr>
            </w:pPr>
          </w:p>
        </w:tc>
        <w:tc>
          <w:tcPr>
            <w:tcW w:w="1277" w:type="dxa"/>
            <w:vAlign w:val="center"/>
          </w:tcPr>
          <w:p w14:paraId="77E48E09">
            <w:pPr>
              <w:pStyle w:val="45"/>
              <w:jc w:val="center"/>
              <w:rPr>
                <w:i w:val="0"/>
                <w:iCs w:val="0"/>
                <w:color w:val="auto"/>
                <w:highlight w:val="none"/>
              </w:rPr>
            </w:pPr>
          </w:p>
        </w:tc>
        <w:tc>
          <w:tcPr>
            <w:tcW w:w="816" w:type="dxa"/>
            <w:vAlign w:val="center"/>
          </w:tcPr>
          <w:p w14:paraId="5F5A41B2">
            <w:pPr>
              <w:pStyle w:val="45"/>
              <w:jc w:val="center"/>
              <w:rPr>
                <w:i w:val="0"/>
                <w:iCs w:val="0"/>
                <w:color w:val="auto"/>
                <w:highlight w:val="none"/>
              </w:rPr>
            </w:pPr>
          </w:p>
        </w:tc>
      </w:tr>
      <w:tr w14:paraId="364D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1098136">
            <w:pPr>
              <w:pStyle w:val="45"/>
              <w:jc w:val="center"/>
              <w:rPr>
                <w:i w:val="0"/>
                <w:iCs w:val="0"/>
                <w:color w:val="auto"/>
                <w:highlight w:val="none"/>
              </w:rPr>
            </w:pPr>
            <w:bookmarkStart w:id="1249" w:name="_Toc100090786"/>
            <w:bookmarkStart w:id="1250" w:name="_Toc99533294"/>
            <w:r>
              <w:rPr>
                <w:rFonts w:hint="eastAsia"/>
                <w:i w:val="0"/>
                <w:iCs w:val="0"/>
                <w:color w:val="auto"/>
                <w:highlight w:val="none"/>
              </w:rPr>
              <w:t>3</w:t>
            </w:r>
            <w:bookmarkEnd w:id="1249"/>
            <w:bookmarkEnd w:id="1250"/>
          </w:p>
        </w:tc>
        <w:tc>
          <w:tcPr>
            <w:tcW w:w="1143" w:type="dxa"/>
            <w:vAlign w:val="center"/>
          </w:tcPr>
          <w:p w14:paraId="65BF25AF">
            <w:pPr>
              <w:pStyle w:val="45"/>
              <w:jc w:val="center"/>
              <w:rPr>
                <w:i w:val="0"/>
                <w:iCs w:val="0"/>
                <w:color w:val="auto"/>
                <w:highlight w:val="none"/>
              </w:rPr>
            </w:pPr>
          </w:p>
        </w:tc>
        <w:tc>
          <w:tcPr>
            <w:tcW w:w="1204" w:type="dxa"/>
            <w:tcBorders>
              <w:right w:val="single" w:color="auto" w:sz="4" w:space="0"/>
            </w:tcBorders>
            <w:vAlign w:val="center"/>
          </w:tcPr>
          <w:p w14:paraId="4557A193">
            <w:pPr>
              <w:pStyle w:val="45"/>
              <w:jc w:val="center"/>
              <w:rPr>
                <w:i w:val="0"/>
                <w:iCs w:val="0"/>
                <w:color w:val="auto"/>
                <w:highlight w:val="none"/>
              </w:rPr>
            </w:pPr>
          </w:p>
        </w:tc>
        <w:tc>
          <w:tcPr>
            <w:tcW w:w="1140" w:type="dxa"/>
            <w:tcBorders>
              <w:left w:val="single" w:color="auto" w:sz="4" w:space="0"/>
            </w:tcBorders>
            <w:vAlign w:val="center"/>
          </w:tcPr>
          <w:p w14:paraId="2409DFBA">
            <w:pPr>
              <w:pStyle w:val="45"/>
              <w:jc w:val="center"/>
              <w:rPr>
                <w:i w:val="0"/>
                <w:iCs w:val="0"/>
                <w:color w:val="auto"/>
                <w:highlight w:val="none"/>
              </w:rPr>
            </w:pPr>
          </w:p>
        </w:tc>
        <w:tc>
          <w:tcPr>
            <w:tcW w:w="756" w:type="dxa"/>
            <w:tcBorders>
              <w:left w:val="single" w:color="auto" w:sz="4" w:space="0"/>
            </w:tcBorders>
            <w:vAlign w:val="center"/>
          </w:tcPr>
          <w:p w14:paraId="069AB07B">
            <w:pPr>
              <w:pStyle w:val="45"/>
              <w:jc w:val="center"/>
              <w:rPr>
                <w:i w:val="0"/>
                <w:iCs w:val="0"/>
                <w:color w:val="auto"/>
                <w:highlight w:val="none"/>
              </w:rPr>
            </w:pPr>
          </w:p>
        </w:tc>
        <w:tc>
          <w:tcPr>
            <w:tcW w:w="1836" w:type="dxa"/>
            <w:vAlign w:val="center"/>
          </w:tcPr>
          <w:p w14:paraId="68C1087B">
            <w:pPr>
              <w:pStyle w:val="45"/>
              <w:jc w:val="center"/>
              <w:rPr>
                <w:i w:val="0"/>
                <w:iCs w:val="0"/>
                <w:color w:val="auto"/>
                <w:highlight w:val="none"/>
              </w:rPr>
            </w:pPr>
          </w:p>
        </w:tc>
        <w:tc>
          <w:tcPr>
            <w:tcW w:w="1277" w:type="dxa"/>
            <w:vAlign w:val="center"/>
          </w:tcPr>
          <w:p w14:paraId="107FDE9E">
            <w:pPr>
              <w:pStyle w:val="45"/>
              <w:jc w:val="center"/>
              <w:rPr>
                <w:i w:val="0"/>
                <w:iCs w:val="0"/>
                <w:color w:val="auto"/>
                <w:highlight w:val="none"/>
              </w:rPr>
            </w:pPr>
          </w:p>
        </w:tc>
        <w:tc>
          <w:tcPr>
            <w:tcW w:w="816" w:type="dxa"/>
            <w:vAlign w:val="center"/>
          </w:tcPr>
          <w:p w14:paraId="35A7CF6F">
            <w:pPr>
              <w:pStyle w:val="45"/>
              <w:jc w:val="center"/>
              <w:rPr>
                <w:i w:val="0"/>
                <w:iCs w:val="0"/>
                <w:color w:val="auto"/>
                <w:highlight w:val="none"/>
              </w:rPr>
            </w:pPr>
          </w:p>
        </w:tc>
      </w:tr>
      <w:tr w14:paraId="74F5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B655AF">
            <w:pPr>
              <w:pStyle w:val="45"/>
              <w:jc w:val="center"/>
              <w:rPr>
                <w:i w:val="0"/>
                <w:iCs w:val="0"/>
                <w:color w:val="auto"/>
                <w:highlight w:val="none"/>
              </w:rPr>
            </w:pPr>
            <w:bookmarkStart w:id="1251" w:name="_Toc100090787"/>
            <w:bookmarkStart w:id="1252" w:name="_Toc99533295"/>
            <w:r>
              <w:rPr>
                <w:rFonts w:hint="eastAsia"/>
                <w:i w:val="0"/>
                <w:iCs w:val="0"/>
                <w:color w:val="auto"/>
                <w:highlight w:val="none"/>
              </w:rPr>
              <w:t>4</w:t>
            </w:r>
            <w:bookmarkEnd w:id="1251"/>
            <w:bookmarkEnd w:id="1252"/>
          </w:p>
        </w:tc>
        <w:tc>
          <w:tcPr>
            <w:tcW w:w="1143" w:type="dxa"/>
            <w:vAlign w:val="center"/>
          </w:tcPr>
          <w:p w14:paraId="4FD9BC22">
            <w:pPr>
              <w:pStyle w:val="45"/>
              <w:jc w:val="center"/>
              <w:rPr>
                <w:i w:val="0"/>
                <w:iCs w:val="0"/>
                <w:color w:val="auto"/>
                <w:highlight w:val="none"/>
              </w:rPr>
            </w:pPr>
          </w:p>
        </w:tc>
        <w:tc>
          <w:tcPr>
            <w:tcW w:w="1204" w:type="dxa"/>
            <w:tcBorders>
              <w:right w:val="single" w:color="auto" w:sz="4" w:space="0"/>
            </w:tcBorders>
            <w:vAlign w:val="center"/>
          </w:tcPr>
          <w:p w14:paraId="3072B13C">
            <w:pPr>
              <w:pStyle w:val="45"/>
              <w:jc w:val="center"/>
              <w:rPr>
                <w:i w:val="0"/>
                <w:iCs w:val="0"/>
                <w:color w:val="auto"/>
                <w:highlight w:val="none"/>
              </w:rPr>
            </w:pPr>
          </w:p>
        </w:tc>
        <w:tc>
          <w:tcPr>
            <w:tcW w:w="1140" w:type="dxa"/>
            <w:tcBorders>
              <w:left w:val="single" w:color="auto" w:sz="4" w:space="0"/>
            </w:tcBorders>
            <w:vAlign w:val="center"/>
          </w:tcPr>
          <w:p w14:paraId="7CF007DD">
            <w:pPr>
              <w:pStyle w:val="45"/>
              <w:jc w:val="center"/>
              <w:rPr>
                <w:i w:val="0"/>
                <w:iCs w:val="0"/>
                <w:color w:val="auto"/>
                <w:highlight w:val="none"/>
              </w:rPr>
            </w:pPr>
          </w:p>
        </w:tc>
        <w:tc>
          <w:tcPr>
            <w:tcW w:w="756" w:type="dxa"/>
            <w:tcBorders>
              <w:left w:val="single" w:color="auto" w:sz="4" w:space="0"/>
            </w:tcBorders>
            <w:vAlign w:val="center"/>
          </w:tcPr>
          <w:p w14:paraId="1ECAB603">
            <w:pPr>
              <w:pStyle w:val="45"/>
              <w:jc w:val="center"/>
              <w:rPr>
                <w:i w:val="0"/>
                <w:iCs w:val="0"/>
                <w:color w:val="auto"/>
                <w:highlight w:val="none"/>
              </w:rPr>
            </w:pPr>
          </w:p>
        </w:tc>
        <w:tc>
          <w:tcPr>
            <w:tcW w:w="1836" w:type="dxa"/>
            <w:vAlign w:val="center"/>
          </w:tcPr>
          <w:p w14:paraId="3A3079A1">
            <w:pPr>
              <w:pStyle w:val="45"/>
              <w:jc w:val="center"/>
              <w:rPr>
                <w:i w:val="0"/>
                <w:iCs w:val="0"/>
                <w:color w:val="auto"/>
                <w:highlight w:val="none"/>
              </w:rPr>
            </w:pPr>
          </w:p>
        </w:tc>
        <w:tc>
          <w:tcPr>
            <w:tcW w:w="1277" w:type="dxa"/>
            <w:vAlign w:val="center"/>
          </w:tcPr>
          <w:p w14:paraId="7A6D63FA">
            <w:pPr>
              <w:pStyle w:val="45"/>
              <w:jc w:val="center"/>
              <w:rPr>
                <w:i w:val="0"/>
                <w:iCs w:val="0"/>
                <w:color w:val="auto"/>
                <w:highlight w:val="none"/>
              </w:rPr>
            </w:pPr>
          </w:p>
        </w:tc>
        <w:tc>
          <w:tcPr>
            <w:tcW w:w="816" w:type="dxa"/>
            <w:vAlign w:val="center"/>
          </w:tcPr>
          <w:p w14:paraId="0BEC0EB5">
            <w:pPr>
              <w:pStyle w:val="45"/>
              <w:jc w:val="center"/>
              <w:rPr>
                <w:i w:val="0"/>
                <w:iCs w:val="0"/>
                <w:color w:val="auto"/>
                <w:highlight w:val="none"/>
              </w:rPr>
            </w:pPr>
          </w:p>
        </w:tc>
      </w:tr>
      <w:tr w14:paraId="7DC6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B75283">
            <w:pPr>
              <w:pStyle w:val="45"/>
              <w:jc w:val="center"/>
              <w:rPr>
                <w:i w:val="0"/>
                <w:iCs w:val="0"/>
                <w:color w:val="auto"/>
                <w:highlight w:val="none"/>
              </w:rPr>
            </w:pPr>
            <w:bookmarkStart w:id="1253" w:name="_Toc99533296"/>
            <w:bookmarkStart w:id="1254" w:name="_Toc100090788"/>
            <w:r>
              <w:rPr>
                <w:rFonts w:hint="eastAsia"/>
                <w:i w:val="0"/>
                <w:iCs w:val="0"/>
                <w:color w:val="auto"/>
                <w:highlight w:val="none"/>
              </w:rPr>
              <w:t>5</w:t>
            </w:r>
            <w:bookmarkEnd w:id="1253"/>
            <w:bookmarkEnd w:id="1254"/>
          </w:p>
        </w:tc>
        <w:tc>
          <w:tcPr>
            <w:tcW w:w="1143" w:type="dxa"/>
            <w:vAlign w:val="center"/>
          </w:tcPr>
          <w:p w14:paraId="7571DCBB">
            <w:pPr>
              <w:pStyle w:val="45"/>
              <w:jc w:val="center"/>
              <w:rPr>
                <w:i w:val="0"/>
                <w:iCs w:val="0"/>
                <w:color w:val="auto"/>
                <w:highlight w:val="none"/>
              </w:rPr>
            </w:pPr>
          </w:p>
        </w:tc>
        <w:tc>
          <w:tcPr>
            <w:tcW w:w="1204" w:type="dxa"/>
            <w:tcBorders>
              <w:right w:val="single" w:color="auto" w:sz="4" w:space="0"/>
            </w:tcBorders>
            <w:vAlign w:val="center"/>
          </w:tcPr>
          <w:p w14:paraId="3AEFCEE4">
            <w:pPr>
              <w:pStyle w:val="45"/>
              <w:jc w:val="center"/>
              <w:rPr>
                <w:i w:val="0"/>
                <w:iCs w:val="0"/>
                <w:color w:val="auto"/>
                <w:highlight w:val="none"/>
              </w:rPr>
            </w:pPr>
          </w:p>
        </w:tc>
        <w:tc>
          <w:tcPr>
            <w:tcW w:w="1140" w:type="dxa"/>
            <w:tcBorders>
              <w:left w:val="single" w:color="auto" w:sz="4" w:space="0"/>
            </w:tcBorders>
            <w:vAlign w:val="center"/>
          </w:tcPr>
          <w:p w14:paraId="0DE56CC6">
            <w:pPr>
              <w:pStyle w:val="45"/>
              <w:jc w:val="center"/>
              <w:rPr>
                <w:i w:val="0"/>
                <w:iCs w:val="0"/>
                <w:color w:val="auto"/>
                <w:highlight w:val="none"/>
              </w:rPr>
            </w:pPr>
          </w:p>
        </w:tc>
        <w:tc>
          <w:tcPr>
            <w:tcW w:w="756" w:type="dxa"/>
            <w:tcBorders>
              <w:left w:val="single" w:color="auto" w:sz="4" w:space="0"/>
            </w:tcBorders>
            <w:vAlign w:val="center"/>
          </w:tcPr>
          <w:p w14:paraId="719499C3">
            <w:pPr>
              <w:pStyle w:val="45"/>
              <w:jc w:val="center"/>
              <w:rPr>
                <w:i w:val="0"/>
                <w:iCs w:val="0"/>
                <w:color w:val="auto"/>
                <w:highlight w:val="none"/>
              </w:rPr>
            </w:pPr>
          </w:p>
        </w:tc>
        <w:tc>
          <w:tcPr>
            <w:tcW w:w="1836" w:type="dxa"/>
            <w:vAlign w:val="center"/>
          </w:tcPr>
          <w:p w14:paraId="2D71EF98">
            <w:pPr>
              <w:pStyle w:val="45"/>
              <w:jc w:val="center"/>
              <w:rPr>
                <w:i w:val="0"/>
                <w:iCs w:val="0"/>
                <w:color w:val="auto"/>
                <w:highlight w:val="none"/>
              </w:rPr>
            </w:pPr>
          </w:p>
        </w:tc>
        <w:tc>
          <w:tcPr>
            <w:tcW w:w="1277" w:type="dxa"/>
            <w:vAlign w:val="center"/>
          </w:tcPr>
          <w:p w14:paraId="3943C72A">
            <w:pPr>
              <w:pStyle w:val="45"/>
              <w:jc w:val="center"/>
              <w:rPr>
                <w:i w:val="0"/>
                <w:iCs w:val="0"/>
                <w:color w:val="auto"/>
                <w:highlight w:val="none"/>
              </w:rPr>
            </w:pPr>
          </w:p>
        </w:tc>
        <w:tc>
          <w:tcPr>
            <w:tcW w:w="816" w:type="dxa"/>
            <w:vAlign w:val="center"/>
          </w:tcPr>
          <w:p w14:paraId="736CF79C">
            <w:pPr>
              <w:pStyle w:val="45"/>
              <w:jc w:val="center"/>
              <w:rPr>
                <w:i w:val="0"/>
                <w:iCs w:val="0"/>
                <w:color w:val="auto"/>
                <w:highlight w:val="none"/>
              </w:rPr>
            </w:pPr>
          </w:p>
        </w:tc>
      </w:tr>
      <w:tr w14:paraId="5173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6C5DEB">
            <w:pPr>
              <w:pStyle w:val="45"/>
              <w:jc w:val="center"/>
              <w:rPr>
                <w:i w:val="0"/>
                <w:iCs w:val="0"/>
                <w:color w:val="auto"/>
                <w:highlight w:val="none"/>
              </w:rPr>
            </w:pPr>
            <w:bookmarkStart w:id="1255" w:name="_Toc100090789"/>
            <w:bookmarkStart w:id="1256" w:name="_Toc99533297"/>
            <w:r>
              <w:rPr>
                <w:rFonts w:hint="eastAsia"/>
                <w:i w:val="0"/>
                <w:iCs w:val="0"/>
                <w:color w:val="auto"/>
                <w:highlight w:val="none"/>
              </w:rPr>
              <w:t>6</w:t>
            </w:r>
            <w:bookmarkEnd w:id="1255"/>
            <w:bookmarkEnd w:id="1256"/>
          </w:p>
        </w:tc>
        <w:tc>
          <w:tcPr>
            <w:tcW w:w="1143" w:type="dxa"/>
            <w:vAlign w:val="center"/>
          </w:tcPr>
          <w:p w14:paraId="3ACC18A2">
            <w:pPr>
              <w:pStyle w:val="45"/>
              <w:jc w:val="center"/>
              <w:rPr>
                <w:i w:val="0"/>
                <w:iCs w:val="0"/>
                <w:color w:val="auto"/>
                <w:highlight w:val="none"/>
              </w:rPr>
            </w:pPr>
          </w:p>
        </w:tc>
        <w:tc>
          <w:tcPr>
            <w:tcW w:w="1204" w:type="dxa"/>
            <w:tcBorders>
              <w:right w:val="single" w:color="auto" w:sz="4" w:space="0"/>
            </w:tcBorders>
            <w:vAlign w:val="center"/>
          </w:tcPr>
          <w:p w14:paraId="68D4F678">
            <w:pPr>
              <w:pStyle w:val="45"/>
              <w:jc w:val="center"/>
              <w:rPr>
                <w:i w:val="0"/>
                <w:iCs w:val="0"/>
                <w:color w:val="auto"/>
                <w:highlight w:val="none"/>
              </w:rPr>
            </w:pPr>
          </w:p>
        </w:tc>
        <w:tc>
          <w:tcPr>
            <w:tcW w:w="1140" w:type="dxa"/>
            <w:tcBorders>
              <w:left w:val="single" w:color="auto" w:sz="4" w:space="0"/>
            </w:tcBorders>
            <w:vAlign w:val="center"/>
          </w:tcPr>
          <w:p w14:paraId="4C384F48">
            <w:pPr>
              <w:pStyle w:val="45"/>
              <w:jc w:val="center"/>
              <w:rPr>
                <w:i w:val="0"/>
                <w:iCs w:val="0"/>
                <w:color w:val="auto"/>
                <w:highlight w:val="none"/>
              </w:rPr>
            </w:pPr>
          </w:p>
        </w:tc>
        <w:tc>
          <w:tcPr>
            <w:tcW w:w="756" w:type="dxa"/>
            <w:tcBorders>
              <w:left w:val="single" w:color="auto" w:sz="4" w:space="0"/>
            </w:tcBorders>
            <w:vAlign w:val="center"/>
          </w:tcPr>
          <w:p w14:paraId="1D0C7379">
            <w:pPr>
              <w:pStyle w:val="45"/>
              <w:jc w:val="center"/>
              <w:rPr>
                <w:i w:val="0"/>
                <w:iCs w:val="0"/>
                <w:color w:val="auto"/>
                <w:highlight w:val="none"/>
              </w:rPr>
            </w:pPr>
          </w:p>
        </w:tc>
        <w:tc>
          <w:tcPr>
            <w:tcW w:w="1836" w:type="dxa"/>
            <w:vAlign w:val="center"/>
          </w:tcPr>
          <w:p w14:paraId="51660AF8">
            <w:pPr>
              <w:pStyle w:val="45"/>
              <w:jc w:val="center"/>
              <w:rPr>
                <w:i w:val="0"/>
                <w:iCs w:val="0"/>
                <w:color w:val="auto"/>
                <w:highlight w:val="none"/>
              </w:rPr>
            </w:pPr>
          </w:p>
        </w:tc>
        <w:tc>
          <w:tcPr>
            <w:tcW w:w="1277" w:type="dxa"/>
            <w:vAlign w:val="center"/>
          </w:tcPr>
          <w:p w14:paraId="6FF03D95">
            <w:pPr>
              <w:pStyle w:val="45"/>
              <w:jc w:val="center"/>
              <w:rPr>
                <w:i w:val="0"/>
                <w:iCs w:val="0"/>
                <w:color w:val="auto"/>
                <w:highlight w:val="none"/>
              </w:rPr>
            </w:pPr>
          </w:p>
        </w:tc>
        <w:tc>
          <w:tcPr>
            <w:tcW w:w="816" w:type="dxa"/>
            <w:vAlign w:val="center"/>
          </w:tcPr>
          <w:p w14:paraId="2CE761E9">
            <w:pPr>
              <w:pStyle w:val="45"/>
              <w:jc w:val="center"/>
              <w:rPr>
                <w:i w:val="0"/>
                <w:iCs w:val="0"/>
                <w:color w:val="auto"/>
                <w:highlight w:val="none"/>
              </w:rPr>
            </w:pPr>
          </w:p>
        </w:tc>
      </w:tr>
      <w:tr w14:paraId="0B45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B4D2698">
            <w:pPr>
              <w:pStyle w:val="45"/>
              <w:jc w:val="center"/>
              <w:rPr>
                <w:i w:val="0"/>
                <w:iCs w:val="0"/>
                <w:color w:val="auto"/>
                <w:highlight w:val="none"/>
              </w:rPr>
            </w:pPr>
            <w:bookmarkStart w:id="1257" w:name="_Toc99533298"/>
            <w:bookmarkStart w:id="1258" w:name="_Toc100090790"/>
            <w:r>
              <w:rPr>
                <w:rFonts w:hint="eastAsia"/>
                <w:i w:val="0"/>
                <w:iCs w:val="0"/>
                <w:color w:val="auto"/>
                <w:highlight w:val="none"/>
              </w:rPr>
              <w:t>7</w:t>
            </w:r>
            <w:bookmarkEnd w:id="1257"/>
            <w:bookmarkEnd w:id="1258"/>
          </w:p>
        </w:tc>
        <w:tc>
          <w:tcPr>
            <w:tcW w:w="1143" w:type="dxa"/>
            <w:vAlign w:val="center"/>
          </w:tcPr>
          <w:p w14:paraId="67876EF6">
            <w:pPr>
              <w:pStyle w:val="45"/>
              <w:jc w:val="center"/>
              <w:rPr>
                <w:i w:val="0"/>
                <w:iCs w:val="0"/>
                <w:color w:val="auto"/>
                <w:highlight w:val="none"/>
              </w:rPr>
            </w:pPr>
          </w:p>
        </w:tc>
        <w:tc>
          <w:tcPr>
            <w:tcW w:w="1204" w:type="dxa"/>
            <w:tcBorders>
              <w:right w:val="single" w:color="auto" w:sz="4" w:space="0"/>
            </w:tcBorders>
            <w:vAlign w:val="center"/>
          </w:tcPr>
          <w:p w14:paraId="547BE1BD">
            <w:pPr>
              <w:pStyle w:val="45"/>
              <w:jc w:val="center"/>
              <w:rPr>
                <w:i w:val="0"/>
                <w:iCs w:val="0"/>
                <w:color w:val="auto"/>
                <w:highlight w:val="none"/>
              </w:rPr>
            </w:pPr>
          </w:p>
        </w:tc>
        <w:tc>
          <w:tcPr>
            <w:tcW w:w="1140" w:type="dxa"/>
            <w:tcBorders>
              <w:left w:val="single" w:color="auto" w:sz="4" w:space="0"/>
            </w:tcBorders>
            <w:vAlign w:val="center"/>
          </w:tcPr>
          <w:p w14:paraId="77C6C698">
            <w:pPr>
              <w:pStyle w:val="45"/>
              <w:jc w:val="center"/>
              <w:rPr>
                <w:i w:val="0"/>
                <w:iCs w:val="0"/>
                <w:color w:val="auto"/>
                <w:highlight w:val="none"/>
              </w:rPr>
            </w:pPr>
          </w:p>
        </w:tc>
        <w:tc>
          <w:tcPr>
            <w:tcW w:w="756" w:type="dxa"/>
            <w:tcBorders>
              <w:left w:val="single" w:color="auto" w:sz="4" w:space="0"/>
            </w:tcBorders>
            <w:vAlign w:val="center"/>
          </w:tcPr>
          <w:p w14:paraId="0D9D0032">
            <w:pPr>
              <w:pStyle w:val="45"/>
              <w:jc w:val="center"/>
              <w:rPr>
                <w:i w:val="0"/>
                <w:iCs w:val="0"/>
                <w:color w:val="auto"/>
                <w:highlight w:val="none"/>
              </w:rPr>
            </w:pPr>
          </w:p>
        </w:tc>
        <w:tc>
          <w:tcPr>
            <w:tcW w:w="1836" w:type="dxa"/>
            <w:vAlign w:val="center"/>
          </w:tcPr>
          <w:p w14:paraId="7CC4B080">
            <w:pPr>
              <w:pStyle w:val="45"/>
              <w:jc w:val="center"/>
              <w:rPr>
                <w:i w:val="0"/>
                <w:iCs w:val="0"/>
                <w:color w:val="auto"/>
                <w:highlight w:val="none"/>
              </w:rPr>
            </w:pPr>
          </w:p>
        </w:tc>
        <w:tc>
          <w:tcPr>
            <w:tcW w:w="1277" w:type="dxa"/>
            <w:vAlign w:val="center"/>
          </w:tcPr>
          <w:p w14:paraId="5FBF328E">
            <w:pPr>
              <w:pStyle w:val="45"/>
              <w:jc w:val="center"/>
              <w:rPr>
                <w:i w:val="0"/>
                <w:iCs w:val="0"/>
                <w:color w:val="auto"/>
                <w:highlight w:val="none"/>
              </w:rPr>
            </w:pPr>
          </w:p>
        </w:tc>
        <w:tc>
          <w:tcPr>
            <w:tcW w:w="816" w:type="dxa"/>
            <w:vAlign w:val="center"/>
          </w:tcPr>
          <w:p w14:paraId="4CC06498">
            <w:pPr>
              <w:pStyle w:val="45"/>
              <w:jc w:val="center"/>
              <w:rPr>
                <w:i w:val="0"/>
                <w:iCs w:val="0"/>
                <w:color w:val="auto"/>
                <w:highlight w:val="none"/>
              </w:rPr>
            </w:pPr>
          </w:p>
        </w:tc>
      </w:tr>
      <w:tr w14:paraId="2BAB5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F7A2FA1">
            <w:pPr>
              <w:pStyle w:val="45"/>
              <w:jc w:val="center"/>
              <w:rPr>
                <w:i w:val="0"/>
                <w:iCs w:val="0"/>
                <w:color w:val="auto"/>
                <w:highlight w:val="none"/>
              </w:rPr>
            </w:pPr>
            <w:bookmarkStart w:id="1259" w:name="_Toc100090791"/>
            <w:bookmarkStart w:id="1260" w:name="_Toc99533299"/>
            <w:r>
              <w:rPr>
                <w:rFonts w:hint="eastAsia"/>
                <w:i w:val="0"/>
                <w:iCs w:val="0"/>
                <w:color w:val="auto"/>
                <w:highlight w:val="none"/>
              </w:rPr>
              <w:t>8</w:t>
            </w:r>
            <w:bookmarkEnd w:id="1259"/>
            <w:bookmarkEnd w:id="1260"/>
          </w:p>
        </w:tc>
        <w:tc>
          <w:tcPr>
            <w:tcW w:w="1143" w:type="dxa"/>
            <w:vAlign w:val="center"/>
          </w:tcPr>
          <w:p w14:paraId="783E8C54">
            <w:pPr>
              <w:pStyle w:val="45"/>
              <w:jc w:val="center"/>
              <w:rPr>
                <w:i w:val="0"/>
                <w:iCs w:val="0"/>
                <w:color w:val="auto"/>
                <w:highlight w:val="none"/>
              </w:rPr>
            </w:pPr>
          </w:p>
        </w:tc>
        <w:tc>
          <w:tcPr>
            <w:tcW w:w="1204" w:type="dxa"/>
            <w:tcBorders>
              <w:right w:val="single" w:color="auto" w:sz="4" w:space="0"/>
            </w:tcBorders>
            <w:vAlign w:val="center"/>
          </w:tcPr>
          <w:p w14:paraId="16080438">
            <w:pPr>
              <w:pStyle w:val="45"/>
              <w:jc w:val="center"/>
              <w:rPr>
                <w:i w:val="0"/>
                <w:iCs w:val="0"/>
                <w:color w:val="auto"/>
                <w:highlight w:val="none"/>
              </w:rPr>
            </w:pPr>
          </w:p>
        </w:tc>
        <w:tc>
          <w:tcPr>
            <w:tcW w:w="1140" w:type="dxa"/>
            <w:tcBorders>
              <w:left w:val="single" w:color="auto" w:sz="4" w:space="0"/>
            </w:tcBorders>
            <w:vAlign w:val="center"/>
          </w:tcPr>
          <w:p w14:paraId="4608C235">
            <w:pPr>
              <w:pStyle w:val="45"/>
              <w:jc w:val="center"/>
              <w:rPr>
                <w:i w:val="0"/>
                <w:iCs w:val="0"/>
                <w:color w:val="auto"/>
                <w:highlight w:val="none"/>
              </w:rPr>
            </w:pPr>
          </w:p>
        </w:tc>
        <w:tc>
          <w:tcPr>
            <w:tcW w:w="756" w:type="dxa"/>
            <w:tcBorders>
              <w:left w:val="single" w:color="auto" w:sz="4" w:space="0"/>
            </w:tcBorders>
            <w:vAlign w:val="center"/>
          </w:tcPr>
          <w:p w14:paraId="4082BDDF">
            <w:pPr>
              <w:pStyle w:val="45"/>
              <w:jc w:val="center"/>
              <w:rPr>
                <w:i w:val="0"/>
                <w:iCs w:val="0"/>
                <w:color w:val="auto"/>
                <w:highlight w:val="none"/>
              </w:rPr>
            </w:pPr>
          </w:p>
        </w:tc>
        <w:tc>
          <w:tcPr>
            <w:tcW w:w="1836" w:type="dxa"/>
            <w:vAlign w:val="center"/>
          </w:tcPr>
          <w:p w14:paraId="65185B57">
            <w:pPr>
              <w:pStyle w:val="45"/>
              <w:jc w:val="center"/>
              <w:rPr>
                <w:i w:val="0"/>
                <w:iCs w:val="0"/>
                <w:color w:val="auto"/>
                <w:highlight w:val="none"/>
              </w:rPr>
            </w:pPr>
          </w:p>
        </w:tc>
        <w:tc>
          <w:tcPr>
            <w:tcW w:w="1277" w:type="dxa"/>
            <w:vAlign w:val="center"/>
          </w:tcPr>
          <w:p w14:paraId="7107F6B0">
            <w:pPr>
              <w:pStyle w:val="45"/>
              <w:jc w:val="center"/>
              <w:rPr>
                <w:i w:val="0"/>
                <w:iCs w:val="0"/>
                <w:color w:val="auto"/>
                <w:highlight w:val="none"/>
              </w:rPr>
            </w:pPr>
          </w:p>
        </w:tc>
        <w:tc>
          <w:tcPr>
            <w:tcW w:w="816" w:type="dxa"/>
            <w:vAlign w:val="center"/>
          </w:tcPr>
          <w:p w14:paraId="2A255265">
            <w:pPr>
              <w:pStyle w:val="45"/>
              <w:jc w:val="center"/>
              <w:rPr>
                <w:i w:val="0"/>
                <w:iCs w:val="0"/>
                <w:color w:val="auto"/>
                <w:highlight w:val="none"/>
              </w:rPr>
            </w:pPr>
          </w:p>
        </w:tc>
      </w:tr>
      <w:tr w14:paraId="5B1C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F66056B">
            <w:pPr>
              <w:pStyle w:val="45"/>
              <w:jc w:val="center"/>
              <w:rPr>
                <w:i w:val="0"/>
                <w:iCs w:val="0"/>
                <w:color w:val="auto"/>
                <w:highlight w:val="none"/>
              </w:rPr>
            </w:pPr>
            <w:bookmarkStart w:id="1261" w:name="_Toc99533300"/>
            <w:bookmarkStart w:id="1262" w:name="_Toc100090792"/>
            <w:r>
              <w:rPr>
                <w:rFonts w:hint="eastAsia"/>
                <w:i w:val="0"/>
                <w:iCs w:val="0"/>
                <w:color w:val="auto"/>
                <w:highlight w:val="none"/>
              </w:rPr>
              <w:t>9</w:t>
            </w:r>
            <w:bookmarkEnd w:id="1261"/>
            <w:bookmarkEnd w:id="1262"/>
          </w:p>
        </w:tc>
        <w:tc>
          <w:tcPr>
            <w:tcW w:w="1143" w:type="dxa"/>
            <w:vAlign w:val="center"/>
          </w:tcPr>
          <w:p w14:paraId="1EAC117F">
            <w:pPr>
              <w:pStyle w:val="45"/>
              <w:jc w:val="center"/>
              <w:rPr>
                <w:i w:val="0"/>
                <w:iCs w:val="0"/>
                <w:color w:val="auto"/>
                <w:highlight w:val="none"/>
              </w:rPr>
            </w:pPr>
          </w:p>
        </w:tc>
        <w:tc>
          <w:tcPr>
            <w:tcW w:w="1204" w:type="dxa"/>
            <w:tcBorders>
              <w:right w:val="single" w:color="auto" w:sz="4" w:space="0"/>
            </w:tcBorders>
            <w:vAlign w:val="center"/>
          </w:tcPr>
          <w:p w14:paraId="0C56C72E">
            <w:pPr>
              <w:pStyle w:val="45"/>
              <w:jc w:val="center"/>
              <w:rPr>
                <w:i w:val="0"/>
                <w:iCs w:val="0"/>
                <w:color w:val="auto"/>
                <w:highlight w:val="none"/>
              </w:rPr>
            </w:pPr>
          </w:p>
        </w:tc>
        <w:tc>
          <w:tcPr>
            <w:tcW w:w="1140" w:type="dxa"/>
            <w:tcBorders>
              <w:left w:val="single" w:color="auto" w:sz="4" w:space="0"/>
            </w:tcBorders>
            <w:vAlign w:val="center"/>
          </w:tcPr>
          <w:p w14:paraId="53D85840">
            <w:pPr>
              <w:pStyle w:val="45"/>
              <w:jc w:val="center"/>
              <w:rPr>
                <w:i w:val="0"/>
                <w:iCs w:val="0"/>
                <w:color w:val="auto"/>
                <w:highlight w:val="none"/>
              </w:rPr>
            </w:pPr>
          </w:p>
        </w:tc>
        <w:tc>
          <w:tcPr>
            <w:tcW w:w="756" w:type="dxa"/>
            <w:tcBorders>
              <w:left w:val="single" w:color="auto" w:sz="4" w:space="0"/>
            </w:tcBorders>
            <w:vAlign w:val="center"/>
          </w:tcPr>
          <w:p w14:paraId="6C7CE02A">
            <w:pPr>
              <w:pStyle w:val="45"/>
              <w:jc w:val="center"/>
              <w:rPr>
                <w:i w:val="0"/>
                <w:iCs w:val="0"/>
                <w:color w:val="auto"/>
                <w:highlight w:val="none"/>
              </w:rPr>
            </w:pPr>
          </w:p>
        </w:tc>
        <w:tc>
          <w:tcPr>
            <w:tcW w:w="1836" w:type="dxa"/>
            <w:vAlign w:val="center"/>
          </w:tcPr>
          <w:p w14:paraId="2AB0E034">
            <w:pPr>
              <w:pStyle w:val="45"/>
              <w:jc w:val="center"/>
              <w:rPr>
                <w:i w:val="0"/>
                <w:iCs w:val="0"/>
                <w:color w:val="auto"/>
                <w:highlight w:val="none"/>
              </w:rPr>
            </w:pPr>
          </w:p>
        </w:tc>
        <w:tc>
          <w:tcPr>
            <w:tcW w:w="1277" w:type="dxa"/>
            <w:vAlign w:val="center"/>
          </w:tcPr>
          <w:p w14:paraId="6968EA5F">
            <w:pPr>
              <w:pStyle w:val="45"/>
              <w:jc w:val="center"/>
              <w:rPr>
                <w:i w:val="0"/>
                <w:iCs w:val="0"/>
                <w:color w:val="auto"/>
                <w:highlight w:val="none"/>
              </w:rPr>
            </w:pPr>
          </w:p>
        </w:tc>
        <w:tc>
          <w:tcPr>
            <w:tcW w:w="816" w:type="dxa"/>
            <w:vAlign w:val="center"/>
          </w:tcPr>
          <w:p w14:paraId="7D8C1BDF">
            <w:pPr>
              <w:pStyle w:val="45"/>
              <w:jc w:val="center"/>
              <w:rPr>
                <w:i w:val="0"/>
                <w:iCs w:val="0"/>
                <w:color w:val="auto"/>
                <w:highlight w:val="none"/>
              </w:rPr>
            </w:pPr>
          </w:p>
        </w:tc>
      </w:tr>
      <w:tr w14:paraId="0D50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216F2C57">
            <w:pPr>
              <w:pStyle w:val="45"/>
              <w:jc w:val="center"/>
              <w:rPr>
                <w:i w:val="0"/>
                <w:iCs w:val="0"/>
                <w:color w:val="auto"/>
                <w:highlight w:val="none"/>
              </w:rPr>
            </w:pPr>
            <w:bookmarkStart w:id="1263" w:name="_Toc99533301"/>
            <w:bookmarkStart w:id="1264" w:name="_Toc100090793"/>
            <w:r>
              <w:rPr>
                <w:rFonts w:hint="eastAsia"/>
                <w:i w:val="0"/>
                <w:iCs w:val="0"/>
                <w:color w:val="auto"/>
                <w:highlight w:val="none"/>
              </w:rPr>
              <w:t>10</w:t>
            </w:r>
            <w:bookmarkEnd w:id="1263"/>
            <w:bookmarkEnd w:id="1264"/>
          </w:p>
        </w:tc>
        <w:tc>
          <w:tcPr>
            <w:tcW w:w="1143" w:type="dxa"/>
            <w:vAlign w:val="center"/>
          </w:tcPr>
          <w:p w14:paraId="7811E0AD">
            <w:pPr>
              <w:pStyle w:val="45"/>
              <w:jc w:val="center"/>
              <w:rPr>
                <w:i w:val="0"/>
                <w:iCs w:val="0"/>
                <w:color w:val="auto"/>
                <w:highlight w:val="none"/>
              </w:rPr>
            </w:pPr>
          </w:p>
        </w:tc>
        <w:tc>
          <w:tcPr>
            <w:tcW w:w="1204" w:type="dxa"/>
            <w:tcBorders>
              <w:right w:val="single" w:color="auto" w:sz="4" w:space="0"/>
            </w:tcBorders>
            <w:vAlign w:val="center"/>
          </w:tcPr>
          <w:p w14:paraId="62E7AF22">
            <w:pPr>
              <w:pStyle w:val="45"/>
              <w:jc w:val="center"/>
              <w:rPr>
                <w:i w:val="0"/>
                <w:iCs w:val="0"/>
                <w:color w:val="auto"/>
                <w:highlight w:val="none"/>
              </w:rPr>
            </w:pPr>
          </w:p>
        </w:tc>
        <w:tc>
          <w:tcPr>
            <w:tcW w:w="1140" w:type="dxa"/>
            <w:tcBorders>
              <w:left w:val="single" w:color="auto" w:sz="4" w:space="0"/>
            </w:tcBorders>
            <w:vAlign w:val="center"/>
          </w:tcPr>
          <w:p w14:paraId="34B04CA5">
            <w:pPr>
              <w:pStyle w:val="45"/>
              <w:jc w:val="center"/>
              <w:rPr>
                <w:i w:val="0"/>
                <w:iCs w:val="0"/>
                <w:color w:val="auto"/>
                <w:highlight w:val="none"/>
              </w:rPr>
            </w:pPr>
          </w:p>
        </w:tc>
        <w:tc>
          <w:tcPr>
            <w:tcW w:w="756" w:type="dxa"/>
            <w:tcBorders>
              <w:left w:val="single" w:color="auto" w:sz="4" w:space="0"/>
            </w:tcBorders>
            <w:vAlign w:val="center"/>
          </w:tcPr>
          <w:p w14:paraId="05EAA54E">
            <w:pPr>
              <w:pStyle w:val="45"/>
              <w:jc w:val="center"/>
              <w:rPr>
                <w:i w:val="0"/>
                <w:iCs w:val="0"/>
                <w:color w:val="auto"/>
                <w:highlight w:val="none"/>
              </w:rPr>
            </w:pPr>
          </w:p>
        </w:tc>
        <w:tc>
          <w:tcPr>
            <w:tcW w:w="1836" w:type="dxa"/>
            <w:vAlign w:val="center"/>
          </w:tcPr>
          <w:p w14:paraId="55197B5F">
            <w:pPr>
              <w:pStyle w:val="45"/>
              <w:jc w:val="center"/>
              <w:rPr>
                <w:i w:val="0"/>
                <w:iCs w:val="0"/>
                <w:color w:val="auto"/>
                <w:highlight w:val="none"/>
              </w:rPr>
            </w:pPr>
          </w:p>
        </w:tc>
        <w:tc>
          <w:tcPr>
            <w:tcW w:w="1277" w:type="dxa"/>
            <w:vAlign w:val="center"/>
          </w:tcPr>
          <w:p w14:paraId="292E64B7">
            <w:pPr>
              <w:pStyle w:val="45"/>
              <w:jc w:val="center"/>
              <w:rPr>
                <w:i w:val="0"/>
                <w:iCs w:val="0"/>
                <w:color w:val="auto"/>
                <w:highlight w:val="none"/>
              </w:rPr>
            </w:pPr>
          </w:p>
        </w:tc>
        <w:tc>
          <w:tcPr>
            <w:tcW w:w="816" w:type="dxa"/>
            <w:vAlign w:val="center"/>
          </w:tcPr>
          <w:p w14:paraId="6F333150">
            <w:pPr>
              <w:pStyle w:val="45"/>
              <w:jc w:val="center"/>
              <w:rPr>
                <w:i w:val="0"/>
                <w:iCs w:val="0"/>
                <w:color w:val="auto"/>
                <w:highlight w:val="none"/>
              </w:rPr>
            </w:pPr>
          </w:p>
        </w:tc>
      </w:tr>
    </w:tbl>
    <w:p w14:paraId="51ED7B0D">
      <w:pPr>
        <w:rPr>
          <w:i w:val="0"/>
          <w:iCs w:val="0"/>
          <w:color w:val="auto"/>
          <w:highlight w:val="none"/>
        </w:rPr>
      </w:pPr>
      <w:r>
        <w:rPr>
          <w:i w:val="0"/>
          <w:iCs w:val="0"/>
          <w:color w:val="auto"/>
          <w:highlight w:val="none"/>
        </w:rPr>
        <w:br w:type="page"/>
      </w:r>
    </w:p>
    <w:p w14:paraId="1358285E">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65" w:name="_Toc11494"/>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、技术响应偏离表</w:t>
      </w:r>
      <w:bookmarkEnd w:id="1265"/>
    </w:p>
    <w:p w14:paraId="7EE50E6A">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10CF1BE4">
      <w:pPr>
        <w:rPr>
          <w:rFonts w:cs="仿宋_GB2312"/>
          <w:i w:val="0"/>
          <w:iCs w:val="0"/>
          <w:color w:val="auto"/>
          <w:szCs w:val="24"/>
          <w:highlight w:val="none"/>
        </w:rPr>
      </w:pPr>
      <w:r>
        <w:rPr>
          <w:rFonts w:hint="eastAsia" w:cs="仿宋_GB2312"/>
          <w:i w:val="0"/>
          <w:iCs w:val="0"/>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i w:val="0"/>
          <w:iCs w:val="0"/>
          <w:color w:val="auto"/>
          <w:szCs w:val="24"/>
          <w:highlight w:val="none"/>
        </w:rPr>
        <w:t xml:space="preserve">：         </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5"/>
              <w:jc w:val="center"/>
              <w:rPr>
                <w:i w:val="0"/>
                <w:iCs w:val="0"/>
                <w:color w:val="auto"/>
                <w:highlight w:val="none"/>
              </w:rPr>
            </w:pPr>
            <w:r>
              <w:rPr>
                <w:rFonts w:hint="eastAsia"/>
                <w:i w:val="0"/>
                <w:iCs w:val="0"/>
                <w:color w:val="auto"/>
                <w:highlight w:val="none"/>
              </w:rPr>
              <w:t>序号</w:t>
            </w:r>
          </w:p>
        </w:tc>
        <w:tc>
          <w:tcPr>
            <w:tcW w:w="1277" w:type="pct"/>
            <w:vAlign w:val="center"/>
          </w:tcPr>
          <w:p w14:paraId="0C5608DB">
            <w:pPr>
              <w:pStyle w:val="45"/>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913" w:type="pct"/>
            <w:vAlign w:val="center"/>
          </w:tcPr>
          <w:p w14:paraId="0B845CF1">
            <w:pPr>
              <w:pStyle w:val="45"/>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4F79E073">
            <w:pPr>
              <w:pStyle w:val="45"/>
              <w:jc w:val="center"/>
              <w:rPr>
                <w:i w:val="0"/>
                <w:iCs w:val="0"/>
                <w:color w:val="auto"/>
                <w:highlight w:val="none"/>
              </w:rPr>
            </w:pPr>
            <w:r>
              <w:rPr>
                <w:rFonts w:hint="eastAsia"/>
                <w:i w:val="0"/>
                <w:iCs w:val="0"/>
                <w:color w:val="auto"/>
                <w:highlight w:val="none"/>
              </w:rPr>
              <w:t>对应简述</w:t>
            </w:r>
          </w:p>
        </w:tc>
        <w:tc>
          <w:tcPr>
            <w:tcW w:w="1200" w:type="pct"/>
            <w:vAlign w:val="center"/>
          </w:tcPr>
          <w:p w14:paraId="4AB4E9C3">
            <w:pPr>
              <w:pStyle w:val="45"/>
              <w:jc w:val="center"/>
              <w:rPr>
                <w:i w:val="0"/>
                <w:iCs w:val="0"/>
                <w:color w:val="auto"/>
                <w:highlight w:val="none"/>
              </w:rPr>
            </w:pPr>
            <w:r>
              <w:rPr>
                <w:rFonts w:hint="eastAsia"/>
                <w:i w:val="0"/>
                <w:iCs w:val="0"/>
                <w:color w:val="auto"/>
                <w:highlight w:val="none"/>
              </w:rPr>
              <w:t>响应情况</w:t>
            </w:r>
          </w:p>
        </w:tc>
        <w:tc>
          <w:tcPr>
            <w:tcW w:w="1200" w:type="pct"/>
            <w:vAlign w:val="center"/>
          </w:tcPr>
          <w:p w14:paraId="09D725B9">
            <w:pPr>
              <w:pStyle w:val="45"/>
              <w:jc w:val="center"/>
              <w:rPr>
                <w:i w:val="0"/>
                <w:iCs w:val="0"/>
                <w:color w:val="auto"/>
                <w:highlight w:val="none"/>
              </w:rPr>
            </w:pPr>
            <w:r>
              <w:rPr>
                <w:rFonts w:hint="eastAsia"/>
                <w:i w:val="0"/>
                <w:iCs w:val="0"/>
                <w:color w:val="auto"/>
                <w:highlight w:val="none"/>
                <w:lang w:val="en-US" w:eastAsia="zh-CN"/>
              </w:rPr>
              <w:t>证明资料</w:t>
            </w:r>
            <w:r>
              <w:rPr>
                <w:rFonts w:hint="eastAsia"/>
                <w:i w:val="0"/>
                <w:iCs w:val="0"/>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5"/>
              <w:jc w:val="center"/>
              <w:rPr>
                <w:i w:val="0"/>
                <w:iCs w:val="0"/>
                <w:color w:val="auto"/>
                <w:highlight w:val="none"/>
              </w:rPr>
            </w:pPr>
            <w:r>
              <w:rPr>
                <w:rFonts w:hint="eastAsia"/>
                <w:i w:val="0"/>
                <w:iCs w:val="0"/>
                <w:color w:val="auto"/>
                <w:highlight w:val="none"/>
              </w:rPr>
              <w:t>1</w:t>
            </w:r>
          </w:p>
        </w:tc>
        <w:tc>
          <w:tcPr>
            <w:tcW w:w="1277" w:type="pct"/>
            <w:vAlign w:val="center"/>
          </w:tcPr>
          <w:p w14:paraId="69B288A0">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0E04AD72">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85AEA1C">
            <w:pPr>
              <w:pStyle w:val="45"/>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02D97874">
            <w:pPr>
              <w:pStyle w:val="45"/>
              <w:jc w:val="center"/>
              <w:rPr>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5"/>
              <w:jc w:val="center"/>
              <w:rPr>
                <w:i w:val="0"/>
                <w:iCs w:val="0"/>
                <w:color w:val="auto"/>
                <w:highlight w:val="none"/>
              </w:rPr>
            </w:pPr>
            <w:r>
              <w:rPr>
                <w:rFonts w:hint="eastAsia"/>
                <w:i w:val="0"/>
                <w:iCs w:val="0"/>
                <w:color w:val="auto"/>
                <w:highlight w:val="none"/>
              </w:rPr>
              <w:t>2</w:t>
            </w:r>
          </w:p>
        </w:tc>
        <w:tc>
          <w:tcPr>
            <w:tcW w:w="1277" w:type="pct"/>
            <w:vAlign w:val="center"/>
          </w:tcPr>
          <w:p w14:paraId="30E52A7F">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29A6C1E1">
            <w:pPr>
              <w:pStyle w:val="45"/>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D92E460">
            <w:pPr>
              <w:pStyle w:val="45"/>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63E16449">
            <w:pPr>
              <w:pStyle w:val="45"/>
              <w:jc w:val="center"/>
              <w:rPr>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5"/>
              <w:jc w:val="center"/>
              <w:rPr>
                <w:i w:val="0"/>
                <w:iCs w:val="0"/>
                <w:color w:val="auto"/>
                <w:highlight w:val="none"/>
              </w:rPr>
            </w:pPr>
          </w:p>
        </w:tc>
        <w:tc>
          <w:tcPr>
            <w:tcW w:w="1277" w:type="pct"/>
            <w:vAlign w:val="center"/>
          </w:tcPr>
          <w:p w14:paraId="6D1DD644">
            <w:pPr>
              <w:pStyle w:val="45"/>
              <w:jc w:val="center"/>
              <w:rPr>
                <w:i w:val="0"/>
                <w:iCs w:val="0"/>
                <w:color w:val="auto"/>
                <w:highlight w:val="none"/>
              </w:rPr>
            </w:pPr>
          </w:p>
        </w:tc>
        <w:tc>
          <w:tcPr>
            <w:tcW w:w="913" w:type="pct"/>
            <w:vAlign w:val="center"/>
          </w:tcPr>
          <w:p w14:paraId="2982168B">
            <w:pPr>
              <w:pStyle w:val="45"/>
              <w:jc w:val="center"/>
              <w:rPr>
                <w:i w:val="0"/>
                <w:iCs w:val="0"/>
                <w:color w:val="auto"/>
                <w:highlight w:val="none"/>
              </w:rPr>
            </w:pPr>
          </w:p>
        </w:tc>
        <w:tc>
          <w:tcPr>
            <w:tcW w:w="1200" w:type="pct"/>
            <w:vAlign w:val="center"/>
          </w:tcPr>
          <w:p w14:paraId="78EC7D09">
            <w:pPr>
              <w:pStyle w:val="45"/>
              <w:jc w:val="center"/>
              <w:rPr>
                <w:i w:val="0"/>
                <w:iCs w:val="0"/>
                <w:color w:val="auto"/>
                <w:highlight w:val="none"/>
              </w:rPr>
            </w:pPr>
          </w:p>
        </w:tc>
        <w:tc>
          <w:tcPr>
            <w:tcW w:w="1200" w:type="pct"/>
            <w:vAlign w:val="center"/>
          </w:tcPr>
          <w:p w14:paraId="46369488">
            <w:pPr>
              <w:pStyle w:val="45"/>
              <w:jc w:val="center"/>
              <w:rPr>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5"/>
              <w:jc w:val="center"/>
              <w:rPr>
                <w:i w:val="0"/>
                <w:iCs w:val="0"/>
                <w:color w:val="auto"/>
                <w:highlight w:val="none"/>
              </w:rPr>
            </w:pPr>
          </w:p>
        </w:tc>
        <w:tc>
          <w:tcPr>
            <w:tcW w:w="1277" w:type="pct"/>
            <w:vAlign w:val="center"/>
          </w:tcPr>
          <w:p w14:paraId="529041E2">
            <w:pPr>
              <w:pStyle w:val="45"/>
              <w:jc w:val="center"/>
              <w:rPr>
                <w:i w:val="0"/>
                <w:iCs w:val="0"/>
                <w:color w:val="auto"/>
                <w:highlight w:val="none"/>
              </w:rPr>
            </w:pPr>
          </w:p>
        </w:tc>
        <w:tc>
          <w:tcPr>
            <w:tcW w:w="913" w:type="pct"/>
            <w:vAlign w:val="center"/>
          </w:tcPr>
          <w:p w14:paraId="301E476D">
            <w:pPr>
              <w:pStyle w:val="45"/>
              <w:jc w:val="center"/>
              <w:rPr>
                <w:i w:val="0"/>
                <w:iCs w:val="0"/>
                <w:color w:val="auto"/>
                <w:highlight w:val="none"/>
              </w:rPr>
            </w:pPr>
          </w:p>
        </w:tc>
        <w:tc>
          <w:tcPr>
            <w:tcW w:w="1200" w:type="pct"/>
            <w:vAlign w:val="center"/>
          </w:tcPr>
          <w:p w14:paraId="06F8AED7">
            <w:pPr>
              <w:pStyle w:val="45"/>
              <w:jc w:val="center"/>
              <w:rPr>
                <w:i w:val="0"/>
                <w:iCs w:val="0"/>
                <w:color w:val="auto"/>
                <w:highlight w:val="none"/>
              </w:rPr>
            </w:pPr>
          </w:p>
        </w:tc>
        <w:tc>
          <w:tcPr>
            <w:tcW w:w="1200" w:type="pct"/>
            <w:vAlign w:val="center"/>
          </w:tcPr>
          <w:p w14:paraId="0CE9DF45">
            <w:pPr>
              <w:pStyle w:val="45"/>
              <w:jc w:val="center"/>
              <w:rPr>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5"/>
              <w:jc w:val="center"/>
              <w:rPr>
                <w:i w:val="0"/>
                <w:iCs w:val="0"/>
                <w:color w:val="auto"/>
                <w:highlight w:val="none"/>
              </w:rPr>
            </w:pPr>
          </w:p>
        </w:tc>
        <w:tc>
          <w:tcPr>
            <w:tcW w:w="1277" w:type="pct"/>
            <w:vAlign w:val="center"/>
          </w:tcPr>
          <w:p w14:paraId="77107295">
            <w:pPr>
              <w:pStyle w:val="45"/>
              <w:jc w:val="center"/>
              <w:rPr>
                <w:i w:val="0"/>
                <w:iCs w:val="0"/>
                <w:color w:val="auto"/>
                <w:highlight w:val="none"/>
              </w:rPr>
            </w:pPr>
          </w:p>
        </w:tc>
        <w:tc>
          <w:tcPr>
            <w:tcW w:w="913" w:type="pct"/>
            <w:vAlign w:val="center"/>
          </w:tcPr>
          <w:p w14:paraId="4D01D78E">
            <w:pPr>
              <w:pStyle w:val="45"/>
              <w:jc w:val="center"/>
              <w:rPr>
                <w:i w:val="0"/>
                <w:iCs w:val="0"/>
                <w:color w:val="auto"/>
                <w:highlight w:val="none"/>
              </w:rPr>
            </w:pPr>
          </w:p>
        </w:tc>
        <w:tc>
          <w:tcPr>
            <w:tcW w:w="1200" w:type="pct"/>
            <w:vAlign w:val="center"/>
          </w:tcPr>
          <w:p w14:paraId="6D546857">
            <w:pPr>
              <w:pStyle w:val="45"/>
              <w:jc w:val="center"/>
              <w:rPr>
                <w:i w:val="0"/>
                <w:iCs w:val="0"/>
                <w:color w:val="auto"/>
                <w:highlight w:val="none"/>
              </w:rPr>
            </w:pPr>
          </w:p>
        </w:tc>
        <w:tc>
          <w:tcPr>
            <w:tcW w:w="1200" w:type="pct"/>
            <w:vAlign w:val="center"/>
          </w:tcPr>
          <w:p w14:paraId="2E1B7D0B">
            <w:pPr>
              <w:pStyle w:val="45"/>
              <w:jc w:val="center"/>
              <w:rPr>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5"/>
              <w:jc w:val="center"/>
              <w:rPr>
                <w:i w:val="0"/>
                <w:iCs w:val="0"/>
                <w:color w:val="auto"/>
                <w:highlight w:val="none"/>
              </w:rPr>
            </w:pPr>
          </w:p>
        </w:tc>
        <w:tc>
          <w:tcPr>
            <w:tcW w:w="1277" w:type="pct"/>
            <w:vAlign w:val="center"/>
          </w:tcPr>
          <w:p w14:paraId="5C7E043B">
            <w:pPr>
              <w:pStyle w:val="45"/>
              <w:jc w:val="center"/>
              <w:rPr>
                <w:i w:val="0"/>
                <w:iCs w:val="0"/>
                <w:color w:val="auto"/>
                <w:highlight w:val="none"/>
              </w:rPr>
            </w:pPr>
          </w:p>
        </w:tc>
        <w:tc>
          <w:tcPr>
            <w:tcW w:w="913" w:type="pct"/>
            <w:vAlign w:val="center"/>
          </w:tcPr>
          <w:p w14:paraId="64166C7A">
            <w:pPr>
              <w:pStyle w:val="45"/>
              <w:jc w:val="center"/>
              <w:rPr>
                <w:i w:val="0"/>
                <w:iCs w:val="0"/>
                <w:color w:val="auto"/>
                <w:highlight w:val="none"/>
              </w:rPr>
            </w:pPr>
          </w:p>
        </w:tc>
        <w:tc>
          <w:tcPr>
            <w:tcW w:w="1200" w:type="pct"/>
            <w:vAlign w:val="center"/>
          </w:tcPr>
          <w:p w14:paraId="2817CCE5">
            <w:pPr>
              <w:pStyle w:val="45"/>
              <w:jc w:val="center"/>
              <w:rPr>
                <w:i w:val="0"/>
                <w:iCs w:val="0"/>
                <w:color w:val="auto"/>
                <w:highlight w:val="none"/>
              </w:rPr>
            </w:pPr>
          </w:p>
        </w:tc>
        <w:tc>
          <w:tcPr>
            <w:tcW w:w="1200" w:type="pct"/>
            <w:vAlign w:val="center"/>
          </w:tcPr>
          <w:p w14:paraId="184E3F96">
            <w:pPr>
              <w:pStyle w:val="45"/>
              <w:jc w:val="center"/>
              <w:rPr>
                <w:i w:val="0"/>
                <w:iCs w:val="0"/>
                <w:color w:val="auto"/>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45"/>
              <w:jc w:val="center"/>
              <w:rPr>
                <w:i w:val="0"/>
                <w:iCs w:val="0"/>
                <w:color w:val="auto"/>
                <w:highlight w:val="none"/>
              </w:rPr>
            </w:pPr>
          </w:p>
        </w:tc>
        <w:tc>
          <w:tcPr>
            <w:tcW w:w="1277" w:type="pct"/>
            <w:vAlign w:val="center"/>
          </w:tcPr>
          <w:p w14:paraId="565EC642">
            <w:pPr>
              <w:pStyle w:val="45"/>
              <w:jc w:val="center"/>
              <w:rPr>
                <w:i w:val="0"/>
                <w:iCs w:val="0"/>
                <w:color w:val="auto"/>
                <w:highlight w:val="none"/>
              </w:rPr>
            </w:pPr>
          </w:p>
        </w:tc>
        <w:tc>
          <w:tcPr>
            <w:tcW w:w="913" w:type="pct"/>
            <w:vAlign w:val="center"/>
          </w:tcPr>
          <w:p w14:paraId="4813DEC4">
            <w:pPr>
              <w:pStyle w:val="45"/>
              <w:jc w:val="center"/>
              <w:rPr>
                <w:i w:val="0"/>
                <w:iCs w:val="0"/>
                <w:color w:val="auto"/>
                <w:highlight w:val="none"/>
              </w:rPr>
            </w:pPr>
          </w:p>
        </w:tc>
        <w:tc>
          <w:tcPr>
            <w:tcW w:w="1200" w:type="pct"/>
            <w:vAlign w:val="center"/>
          </w:tcPr>
          <w:p w14:paraId="6FC99520">
            <w:pPr>
              <w:pStyle w:val="45"/>
              <w:jc w:val="center"/>
              <w:rPr>
                <w:i w:val="0"/>
                <w:iCs w:val="0"/>
                <w:color w:val="auto"/>
                <w:highlight w:val="none"/>
              </w:rPr>
            </w:pPr>
          </w:p>
        </w:tc>
        <w:tc>
          <w:tcPr>
            <w:tcW w:w="1200" w:type="pct"/>
            <w:vAlign w:val="center"/>
          </w:tcPr>
          <w:p w14:paraId="6C388A43">
            <w:pPr>
              <w:pStyle w:val="45"/>
              <w:jc w:val="center"/>
              <w:rPr>
                <w:i w:val="0"/>
                <w:iCs w:val="0"/>
                <w:color w:val="auto"/>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45"/>
              <w:jc w:val="center"/>
              <w:rPr>
                <w:i w:val="0"/>
                <w:iCs w:val="0"/>
                <w:color w:val="auto"/>
                <w:highlight w:val="none"/>
              </w:rPr>
            </w:pPr>
          </w:p>
        </w:tc>
        <w:tc>
          <w:tcPr>
            <w:tcW w:w="1277" w:type="pct"/>
            <w:vAlign w:val="center"/>
          </w:tcPr>
          <w:p w14:paraId="7E5C6D21">
            <w:pPr>
              <w:pStyle w:val="45"/>
              <w:jc w:val="center"/>
              <w:rPr>
                <w:i w:val="0"/>
                <w:iCs w:val="0"/>
                <w:color w:val="auto"/>
                <w:highlight w:val="none"/>
              </w:rPr>
            </w:pPr>
          </w:p>
        </w:tc>
        <w:tc>
          <w:tcPr>
            <w:tcW w:w="913" w:type="pct"/>
            <w:vAlign w:val="center"/>
          </w:tcPr>
          <w:p w14:paraId="449C5534">
            <w:pPr>
              <w:pStyle w:val="45"/>
              <w:jc w:val="center"/>
              <w:rPr>
                <w:i w:val="0"/>
                <w:iCs w:val="0"/>
                <w:color w:val="auto"/>
                <w:highlight w:val="none"/>
              </w:rPr>
            </w:pPr>
          </w:p>
        </w:tc>
        <w:tc>
          <w:tcPr>
            <w:tcW w:w="1200" w:type="pct"/>
            <w:vAlign w:val="center"/>
          </w:tcPr>
          <w:p w14:paraId="43936EF1">
            <w:pPr>
              <w:pStyle w:val="45"/>
              <w:jc w:val="center"/>
              <w:rPr>
                <w:i w:val="0"/>
                <w:iCs w:val="0"/>
                <w:color w:val="auto"/>
                <w:highlight w:val="none"/>
              </w:rPr>
            </w:pPr>
          </w:p>
        </w:tc>
        <w:tc>
          <w:tcPr>
            <w:tcW w:w="1200" w:type="pct"/>
            <w:vAlign w:val="center"/>
          </w:tcPr>
          <w:p w14:paraId="015081ED">
            <w:pPr>
              <w:pStyle w:val="45"/>
              <w:jc w:val="center"/>
              <w:rPr>
                <w:i w:val="0"/>
                <w:iCs w:val="0"/>
                <w:color w:val="auto"/>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45"/>
              <w:jc w:val="center"/>
              <w:rPr>
                <w:i w:val="0"/>
                <w:iCs w:val="0"/>
                <w:color w:val="auto"/>
                <w:highlight w:val="none"/>
              </w:rPr>
            </w:pPr>
          </w:p>
        </w:tc>
        <w:tc>
          <w:tcPr>
            <w:tcW w:w="1277" w:type="pct"/>
            <w:vAlign w:val="center"/>
          </w:tcPr>
          <w:p w14:paraId="4E7FED0B">
            <w:pPr>
              <w:pStyle w:val="45"/>
              <w:jc w:val="center"/>
              <w:rPr>
                <w:i w:val="0"/>
                <w:iCs w:val="0"/>
                <w:color w:val="auto"/>
                <w:highlight w:val="none"/>
              </w:rPr>
            </w:pPr>
          </w:p>
        </w:tc>
        <w:tc>
          <w:tcPr>
            <w:tcW w:w="913" w:type="pct"/>
            <w:vAlign w:val="center"/>
          </w:tcPr>
          <w:p w14:paraId="07398BD3">
            <w:pPr>
              <w:pStyle w:val="45"/>
              <w:jc w:val="center"/>
              <w:rPr>
                <w:i w:val="0"/>
                <w:iCs w:val="0"/>
                <w:color w:val="auto"/>
                <w:highlight w:val="none"/>
              </w:rPr>
            </w:pPr>
          </w:p>
        </w:tc>
        <w:tc>
          <w:tcPr>
            <w:tcW w:w="1200" w:type="pct"/>
            <w:vAlign w:val="center"/>
          </w:tcPr>
          <w:p w14:paraId="085E5102">
            <w:pPr>
              <w:pStyle w:val="45"/>
              <w:jc w:val="center"/>
              <w:rPr>
                <w:i w:val="0"/>
                <w:iCs w:val="0"/>
                <w:color w:val="auto"/>
                <w:highlight w:val="none"/>
              </w:rPr>
            </w:pPr>
          </w:p>
        </w:tc>
        <w:tc>
          <w:tcPr>
            <w:tcW w:w="1200" w:type="pct"/>
            <w:vAlign w:val="center"/>
          </w:tcPr>
          <w:p w14:paraId="74B87043">
            <w:pPr>
              <w:pStyle w:val="45"/>
              <w:jc w:val="center"/>
              <w:rPr>
                <w:i w:val="0"/>
                <w:iCs w:val="0"/>
                <w:color w:val="auto"/>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45"/>
              <w:jc w:val="center"/>
              <w:rPr>
                <w:i w:val="0"/>
                <w:iCs w:val="0"/>
                <w:color w:val="auto"/>
                <w:highlight w:val="none"/>
              </w:rPr>
            </w:pPr>
          </w:p>
        </w:tc>
        <w:tc>
          <w:tcPr>
            <w:tcW w:w="1277" w:type="pct"/>
            <w:vAlign w:val="center"/>
          </w:tcPr>
          <w:p w14:paraId="1F11A7BE">
            <w:pPr>
              <w:pStyle w:val="45"/>
              <w:jc w:val="center"/>
              <w:rPr>
                <w:i w:val="0"/>
                <w:iCs w:val="0"/>
                <w:color w:val="auto"/>
                <w:highlight w:val="none"/>
              </w:rPr>
            </w:pPr>
          </w:p>
        </w:tc>
        <w:tc>
          <w:tcPr>
            <w:tcW w:w="913" w:type="pct"/>
            <w:vAlign w:val="center"/>
          </w:tcPr>
          <w:p w14:paraId="09342B6E">
            <w:pPr>
              <w:pStyle w:val="45"/>
              <w:jc w:val="center"/>
              <w:rPr>
                <w:i w:val="0"/>
                <w:iCs w:val="0"/>
                <w:color w:val="auto"/>
                <w:highlight w:val="none"/>
              </w:rPr>
            </w:pPr>
          </w:p>
        </w:tc>
        <w:tc>
          <w:tcPr>
            <w:tcW w:w="1200" w:type="pct"/>
            <w:vAlign w:val="center"/>
          </w:tcPr>
          <w:p w14:paraId="6742B646">
            <w:pPr>
              <w:pStyle w:val="45"/>
              <w:jc w:val="center"/>
              <w:rPr>
                <w:i w:val="0"/>
                <w:iCs w:val="0"/>
                <w:color w:val="auto"/>
                <w:highlight w:val="none"/>
              </w:rPr>
            </w:pPr>
          </w:p>
        </w:tc>
        <w:tc>
          <w:tcPr>
            <w:tcW w:w="1200" w:type="pct"/>
            <w:vAlign w:val="center"/>
          </w:tcPr>
          <w:p w14:paraId="4C72FCC2">
            <w:pPr>
              <w:pStyle w:val="45"/>
              <w:jc w:val="center"/>
              <w:rPr>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5"/>
              <w:jc w:val="center"/>
              <w:rPr>
                <w:i w:val="0"/>
                <w:iCs w:val="0"/>
                <w:color w:val="auto"/>
                <w:highlight w:val="none"/>
              </w:rPr>
            </w:pPr>
            <w:r>
              <w:rPr>
                <w:rFonts w:hint="eastAsia"/>
                <w:i w:val="0"/>
                <w:iCs w:val="0"/>
                <w:color w:val="auto"/>
                <w:highlight w:val="none"/>
              </w:rPr>
              <w:t>……</w:t>
            </w:r>
          </w:p>
        </w:tc>
        <w:tc>
          <w:tcPr>
            <w:tcW w:w="1277" w:type="pct"/>
            <w:vAlign w:val="center"/>
          </w:tcPr>
          <w:p w14:paraId="7D0AF02A">
            <w:pPr>
              <w:pStyle w:val="45"/>
              <w:jc w:val="center"/>
              <w:rPr>
                <w:i w:val="0"/>
                <w:iCs w:val="0"/>
                <w:color w:val="auto"/>
                <w:highlight w:val="none"/>
              </w:rPr>
            </w:pPr>
            <w:r>
              <w:rPr>
                <w:rFonts w:hint="eastAsia"/>
                <w:i w:val="0"/>
                <w:iCs w:val="0"/>
                <w:color w:val="auto"/>
                <w:highlight w:val="none"/>
              </w:rPr>
              <w:t>…………</w:t>
            </w:r>
          </w:p>
        </w:tc>
        <w:tc>
          <w:tcPr>
            <w:tcW w:w="913" w:type="pct"/>
            <w:vAlign w:val="center"/>
          </w:tcPr>
          <w:p w14:paraId="6EC8C4F3">
            <w:pPr>
              <w:pStyle w:val="45"/>
              <w:jc w:val="center"/>
              <w:rPr>
                <w:i w:val="0"/>
                <w:iCs w:val="0"/>
                <w:color w:val="auto"/>
                <w:highlight w:val="none"/>
              </w:rPr>
            </w:pPr>
            <w:r>
              <w:rPr>
                <w:rFonts w:hint="eastAsia"/>
                <w:i w:val="0"/>
                <w:iCs w:val="0"/>
                <w:color w:val="auto"/>
                <w:highlight w:val="none"/>
              </w:rPr>
              <w:t>………………</w:t>
            </w:r>
          </w:p>
        </w:tc>
        <w:tc>
          <w:tcPr>
            <w:tcW w:w="1200" w:type="pct"/>
            <w:vAlign w:val="center"/>
          </w:tcPr>
          <w:p w14:paraId="59EB3DF9">
            <w:pPr>
              <w:pStyle w:val="45"/>
              <w:jc w:val="center"/>
              <w:rPr>
                <w:i w:val="0"/>
                <w:iCs w:val="0"/>
                <w:color w:val="auto"/>
                <w:highlight w:val="none"/>
              </w:rPr>
            </w:pPr>
            <w:r>
              <w:rPr>
                <w:rFonts w:hint="eastAsia"/>
                <w:i w:val="0"/>
                <w:iCs w:val="0"/>
                <w:color w:val="auto"/>
                <w:highlight w:val="none"/>
              </w:rPr>
              <w:t>…………</w:t>
            </w:r>
          </w:p>
        </w:tc>
        <w:tc>
          <w:tcPr>
            <w:tcW w:w="1200" w:type="pct"/>
            <w:vAlign w:val="center"/>
          </w:tcPr>
          <w:p w14:paraId="1BF96619">
            <w:pPr>
              <w:pStyle w:val="45"/>
              <w:jc w:val="center"/>
              <w:rPr>
                <w:i w:val="0"/>
                <w:iCs w:val="0"/>
                <w:color w:val="auto"/>
                <w:highlight w:val="none"/>
              </w:rPr>
            </w:pPr>
          </w:p>
        </w:tc>
      </w:tr>
    </w:tbl>
    <w:p w14:paraId="48CF14C4">
      <w:pPr>
        <w:ind w:firstLine="480" w:firstLineChars="200"/>
        <w:rPr>
          <w:rFonts w:hint="eastAsia" w:cs="仿宋_GB2312"/>
          <w:i w:val="0"/>
          <w:iCs w:val="0"/>
          <w:color w:val="auto"/>
          <w:szCs w:val="24"/>
          <w:highlight w:val="none"/>
        </w:rPr>
      </w:pPr>
    </w:p>
    <w:p w14:paraId="2B5EBACC">
      <w:pPr>
        <w:ind w:firstLine="420" w:firstLineChars="200"/>
        <w:rPr>
          <w:rFonts w:cs="仿宋_GB2312"/>
          <w:i w:val="0"/>
          <w:iCs w:val="0"/>
          <w:color w:val="auto"/>
          <w:sz w:val="21"/>
          <w:szCs w:val="21"/>
          <w:highlight w:val="none"/>
        </w:rPr>
      </w:pPr>
      <w:r>
        <w:rPr>
          <w:rFonts w:hint="eastAsia" w:cs="仿宋_GB2312"/>
          <w:i w:val="0"/>
          <w:iCs w:val="0"/>
          <w:color w:val="auto"/>
          <w:sz w:val="21"/>
          <w:szCs w:val="21"/>
          <w:highlight w:val="none"/>
        </w:rPr>
        <w:t>说明：</w:t>
      </w:r>
      <w:r>
        <w:rPr>
          <w:rFonts w:hint="eastAsia" w:cs="仿宋_GB2312"/>
          <w:i w:val="0"/>
          <w:iCs w:val="0"/>
          <w:color w:val="auto"/>
          <w:sz w:val="21"/>
          <w:szCs w:val="21"/>
          <w:highlight w:val="none"/>
          <w:lang w:val="en-US" w:eastAsia="zh-CN"/>
        </w:rPr>
        <w:t>供应商</w:t>
      </w:r>
      <w:r>
        <w:rPr>
          <w:rFonts w:hint="eastAsia" w:cs="仿宋_GB2312"/>
          <w:i w:val="0"/>
          <w:iCs w:val="0"/>
          <w:color w:val="auto"/>
          <w:sz w:val="21"/>
          <w:szCs w:val="21"/>
          <w:highlight w:val="none"/>
        </w:rPr>
        <w:t>应按照</w:t>
      </w:r>
      <w:r>
        <w:rPr>
          <w:rFonts w:hint="eastAsia"/>
          <w:i w:val="0"/>
          <w:iCs w:val="0"/>
          <w:color w:val="auto"/>
          <w:sz w:val="21"/>
          <w:szCs w:val="21"/>
          <w:highlight w:val="none"/>
          <w:lang w:val="en-US" w:eastAsia="zh-CN"/>
        </w:rPr>
        <w:t>竞争性磋商</w:t>
      </w:r>
      <w:r>
        <w:rPr>
          <w:rFonts w:hint="eastAsia" w:cs="仿宋_GB2312"/>
          <w:i w:val="0"/>
          <w:iCs w:val="0"/>
          <w:color w:val="auto"/>
          <w:sz w:val="21"/>
          <w:szCs w:val="21"/>
          <w:highlight w:val="none"/>
        </w:rPr>
        <w:t>文件“</w:t>
      </w:r>
      <w:r>
        <w:rPr>
          <w:rFonts w:hint="eastAsia" w:cs="仿宋_GB2312"/>
          <w:i w:val="0"/>
          <w:iCs w:val="0"/>
          <w:color w:val="auto"/>
          <w:sz w:val="21"/>
          <w:szCs w:val="21"/>
          <w:highlight w:val="none"/>
          <w:lang w:val="zh-CN" w:eastAsia="zh-CN"/>
        </w:rPr>
        <w:t>评分标准</w:t>
      </w:r>
      <w:r>
        <w:rPr>
          <w:rFonts w:hint="eastAsia" w:cs="仿宋_GB2312"/>
          <w:i w:val="0"/>
          <w:iCs w:val="0"/>
          <w:color w:val="auto"/>
          <w:sz w:val="21"/>
          <w:szCs w:val="21"/>
          <w:highlight w:val="none"/>
        </w:rPr>
        <w:t xml:space="preserve"> </w:t>
      </w:r>
      <w:r>
        <w:rPr>
          <w:rFonts w:hint="eastAsia" w:cs="仿宋_GB2312"/>
          <w:i w:val="0"/>
          <w:iCs w:val="0"/>
          <w:color w:val="auto"/>
          <w:sz w:val="21"/>
          <w:szCs w:val="21"/>
          <w:highlight w:val="none"/>
          <w:lang w:val="en-US" w:eastAsia="zh-CN"/>
        </w:rPr>
        <w:t>技术标评审标准填写”</w:t>
      </w:r>
      <w:r>
        <w:rPr>
          <w:rFonts w:hint="eastAsia" w:cs="仿宋_GB2312"/>
          <w:i w:val="0"/>
          <w:iCs w:val="0"/>
          <w:color w:val="auto"/>
          <w:sz w:val="21"/>
          <w:szCs w:val="21"/>
          <w:highlight w:val="none"/>
        </w:rPr>
        <w:t>。</w:t>
      </w:r>
    </w:p>
    <w:p w14:paraId="12AEBD40">
      <w:pPr>
        <w:ind w:firstLine="480" w:firstLineChars="200"/>
        <w:rPr>
          <w:rFonts w:cs="仿宋_GB2312"/>
          <w:i w:val="0"/>
          <w:iCs w:val="0"/>
          <w:color w:val="auto"/>
          <w:szCs w:val="24"/>
          <w:highlight w:val="none"/>
        </w:rPr>
      </w:pPr>
    </w:p>
    <w:p w14:paraId="53059121">
      <w:pPr>
        <w:ind w:firstLine="480" w:firstLineChars="200"/>
        <w:rPr>
          <w:rFonts w:cs="仿宋_GB2312"/>
          <w:i w:val="0"/>
          <w:iCs w:val="0"/>
          <w:color w:val="auto"/>
          <w:szCs w:val="24"/>
          <w:highlight w:val="none"/>
        </w:rPr>
      </w:pP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名称：</w:t>
      </w:r>
    </w:p>
    <w:p w14:paraId="27EF6D84">
      <w:pPr>
        <w:ind w:firstLine="420"/>
        <w:rPr>
          <w:rFonts w:cs="仿宋_GB2312"/>
          <w:i w:val="0"/>
          <w:iCs w:val="0"/>
          <w:color w:val="auto"/>
          <w:szCs w:val="24"/>
          <w:highlight w:val="none"/>
        </w:rPr>
      </w:pPr>
      <w:r>
        <w:rPr>
          <w:rFonts w:hint="eastAsia" w:cs="仿宋_GB2312"/>
          <w:i w:val="0"/>
          <w:iCs w:val="0"/>
          <w:color w:val="auto"/>
          <w:szCs w:val="24"/>
          <w:highlight w:val="none"/>
        </w:rPr>
        <w:t>日      期：</w:t>
      </w:r>
    </w:p>
    <w:p w14:paraId="57D8F886">
      <w:pPr>
        <w:ind w:firstLine="420"/>
        <w:rPr>
          <w:rFonts w:cs="仿宋_GB2312"/>
          <w:i w:val="0"/>
          <w:iCs w:val="0"/>
          <w:color w:val="auto"/>
          <w:szCs w:val="24"/>
          <w:highlight w:val="none"/>
        </w:rPr>
      </w:pPr>
    </w:p>
    <w:p w14:paraId="4F204CD5">
      <w:pPr>
        <w:ind w:firstLine="420"/>
        <w:rPr>
          <w:rFonts w:cs="仿宋_GB2312"/>
          <w:i w:val="0"/>
          <w:iCs w:val="0"/>
          <w:color w:val="auto"/>
          <w:szCs w:val="24"/>
          <w:highlight w:val="none"/>
        </w:rPr>
      </w:pPr>
    </w:p>
    <w:p w14:paraId="49A1A5E5">
      <w:pPr>
        <w:ind w:firstLine="420"/>
        <w:rPr>
          <w:rFonts w:cs="仿宋_GB2312"/>
          <w:i w:val="0"/>
          <w:iCs w:val="0"/>
          <w:color w:val="auto"/>
          <w:szCs w:val="24"/>
          <w:highlight w:val="none"/>
        </w:rPr>
      </w:pPr>
      <w:r>
        <w:rPr>
          <w:rFonts w:cs="仿宋_GB2312"/>
          <w:i w:val="0"/>
          <w:iCs w:val="0"/>
          <w:color w:val="auto"/>
          <w:szCs w:val="24"/>
          <w:highlight w:val="none"/>
        </w:rPr>
        <w:br w:type="page"/>
      </w:r>
    </w:p>
    <w:p w14:paraId="600EA7EE">
      <w:pPr>
        <w:pStyle w:val="17"/>
        <w:spacing w:line="360" w:lineRule="auto"/>
        <w:jc w:val="center"/>
        <w:rPr>
          <w:rFonts w:hint="eastAsia" w:ascii="方正小标宋_GBK" w:hAnsi="方正小标宋_GBK" w:eastAsia="方正小标宋_GBK" w:cs="方正小标宋_GBK"/>
          <w:bCs/>
          <w:i w:val="0"/>
          <w:iCs w:val="0"/>
          <w:color w:val="auto"/>
          <w:sz w:val="36"/>
          <w:szCs w:val="36"/>
          <w:highlight w:val="none"/>
          <w:lang w:val="en-US" w:eastAsia="zh-CN"/>
        </w:rPr>
      </w:pPr>
    </w:p>
    <w:p w14:paraId="06C98EB9">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66" w:name="_Toc13078"/>
      <w:r>
        <w:rPr>
          <w:rFonts w:hint="eastAsia" w:cstheme="majorBidi"/>
          <w:b/>
          <w:bCs/>
          <w:i w:val="0"/>
          <w:iCs w:val="0"/>
          <w:color w:val="auto"/>
          <w:kern w:val="2"/>
          <w:sz w:val="32"/>
          <w:szCs w:val="32"/>
          <w:highlight w:val="none"/>
          <w:lang w:val="en-US" w:eastAsia="zh-CN" w:bidi="ar-SA"/>
        </w:rPr>
        <w:t>十</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1266"/>
    </w:p>
    <w:p w14:paraId="3878D3F5">
      <w:pPr>
        <w:pStyle w:val="34"/>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w:t>
      </w:r>
      <w:r>
        <w:rPr>
          <w:rFonts w:hint="eastAsia"/>
          <w:i w:val="0"/>
          <w:iCs w:val="0"/>
          <w:color w:val="auto"/>
          <w:highlight w:val="none"/>
          <w:lang w:val="en-US" w:eastAsia="zh-CN"/>
        </w:rPr>
        <w:t>工程实施及相关</w:t>
      </w:r>
      <w:r>
        <w:rPr>
          <w:rFonts w:hint="eastAsia"/>
          <w:i w:val="0"/>
          <w:iCs w:val="0"/>
          <w:color w:val="auto"/>
          <w:highlight w:val="none"/>
        </w:rPr>
        <w:t>服务方案，包括文字描述或图表显示。格式自拟。</w:t>
      </w:r>
    </w:p>
    <w:p w14:paraId="7EE77353">
      <w:pPr>
        <w:pStyle w:val="34"/>
        <w:rPr>
          <w:i w:val="0"/>
          <w:iCs w:val="0"/>
          <w:color w:val="auto"/>
          <w:highlight w:val="none"/>
        </w:rPr>
      </w:pPr>
      <w:r>
        <w:rPr>
          <w:i w:val="0"/>
          <w:iCs w:val="0"/>
          <w:color w:val="auto"/>
          <w:highlight w:val="none"/>
        </w:rPr>
        <w:br w:type="page"/>
      </w:r>
    </w:p>
    <w:p w14:paraId="7AD86D6F">
      <w:pPr>
        <w:pStyle w:val="17"/>
        <w:spacing w:line="360" w:lineRule="auto"/>
        <w:jc w:val="center"/>
        <w:rPr>
          <w:rFonts w:hint="eastAsia" w:cstheme="minorBidi"/>
          <w:b/>
          <w:bCs/>
          <w:i w:val="0"/>
          <w:iCs w:val="0"/>
          <w:color w:val="auto"/>
          <w:kern w:val="2"/>
          <w:sz w:val="44"/>
          <w:szCs w:val="44"/>
          <w:highlight w:val="none"/>
          <w:lang w:val="en-US" w:eastAsia="zh-CN" w:bidi="ar-SA"/>
        </w:rPr>
      </w:pPr>
    </w:p>
    <w:p w14:paraId="68D392B1">
      <w:pPr>
        <w:pStyle w:val="6"/>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267" w:name="_Toc26060"/>
      <w:r>
        <w:rPr>
          <w:rFonts w:hint="eastAsia" w:eastAsia="宋体" w:asciiTheme="majorHAnsi" w:hAnsiTheme="majorHAnsi"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一</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1267"/>
    </w:p>
    <w:p w14:paraId="6EF40482">
      <w:pPr>
        <w:pStyle w:val="34"/>
        <w:ind w:left="0" w:leftChars="0" w:firstLine="0" w:firstLineChars="0"/>
        <w:rPr>
          <w:rFonts w:hint="eastAsia"/>
          <w:b/>
          <w:bCs/>
          <w:iCs/>
          <w:color w:val="auto"/>
          <w:sz w:val="24"/>
          <w:szCs w:val="24"/>
          <w:highlight w:val="none"/>
          <w:shd w:val="clear" w:color="auto" w:fill="FFFFFF" w:themeFill="background1"/>
          <w:lang w:val="zh-CN" w:eastAsia="zh-CN"/>
        </w:rPr>
      </w:pPr>
      <w:r>
        <w:rPr>
          <w:rFonts w:hint="eastAsia"/>
          <w:b/>
          <w:bCs/>
          <w:iCs/>
          <w:color w:val="auto"/>
          <w:sz w:val="24"/>
          <w:szCs w:val="24"/>
          <w:highlight w:val="none"/>
          <w:shd w:val="clear" w:color="auto" w:fill="FFFFFF" w:themeFill="background1"/>
          <w:lang w:val="en-US" w:eastAsia="zh-CN"/>
        </w:rPr>
        <w:t>（一）竞争性磋商</w:t>
      </w:r>
      <w:r>
        <w:rPr>
          <w:rFonts w:hint="eastAsia"/>
          <w:b/>
          <w:bCs/>
          <w:iCs/>
          <w:color w:val="auto"/>
          <w:sz w:val="24"/>
          <w:szCs w:val="24"/>
          <w:highlight w:val="none"/>
          <w:shd w:val="clear" w:color="auto" w:fill="FFFFFF" w:themeFill="background1"/>
          <w:lang w:val="zh-CN" w:eastAsia="zh-CN"/>
        </w:rPr>
        <w:t>文件要求提供的其它商务、技术资料和证明材料；</w:t>
      </w:r>
    </w:p>
    <w:p w14:paraId="48C74519">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95F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9648684">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9089373">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5F046EF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134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DE14BE8">
            <w:pPr>
              <w:pStyle w:val="34"/>
              <w:rPr>
                <w:rFonts w:hint="eastAsia" w:ascii="宋体" w:hAnsi="宋体" w:eastAsia="宋体" w:cs="宋体"/>
                <w:color w:val="auto"/>
                <w:sz w:val="24"/>
                <w:szCs w:val="24"/>
                <w:highlight w:val="none"/>
                <w:vertAlign w:val="baseline"/>
                <w:lang w:val="en-US" w:eastAsia="zh-CN"/>
              </w:rPr>
            </w:pPr>
          </w:p>
        </w:tc>
        <w:tc>
          <w:tcPr>
            <w:tcW w:w="2841" w:type="dxa"/>
          </w:tcPr>
          <w:p w14:paraId="2128E8D2">
            <w:pPr>
              <w:pStyle w:val="34"/>
              <w:rPr>
                <w:rFonts w:hint="eastAsia" w:ascii="宋体" w:hAnsi="宋体" w:eastAsia="宋体" w:cs="宋体"/>
                <w:color w:val="auto"/>
                <w:sz w:val="24"/>
                <w:szCs w:val="24"/>
                <w:highlight w:val="none"/>
                <w:vertAlign w:val="baseline"/>
                <w:lang w:val="en-US" w:eastAsia="zh-CN"/>
              </w:rPr>
            </w:pPr>
          </w:p>
        </w:tc>
        <w:tc>
          <w:tcPr>
            <w:tcW w:w="2743" w:type="dxa"/>
          </w:tcPr>
          <w:p w14:paraId="2062793F">
            <w:pPr>
              <w:pStyle w:val="34"/>
              <w:rPr>
                <w:rFonts w:hint="eastAsia" w:ascii="宋体" w:hAnsi="宋体" w:eastAsia="宋体" w:cs="宋体"/>
                <w:color w:val="auto"/>
                <w:sz w:val="24"/>
                <w:szCs w:val="24"/>
                <w:highlight w:val="none"/>
                <w:vertAlign w:val="baseline"/>
                <w:lang w:val="en-US" w:eastAsia="zh-CN"/>
              </w:rPr>
            </w:pPr>
          </w:p>
        </w:tc>
      </w:tr>
      <w:tr w14:paraId="211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3E7A68A">
            <w:pPr>
              <w:pStyle w:val="34"/>
              <w:rPr>
                <w:rFonts w:hint="eastAsia" w:ascii="宋体" w:hAnsi="宋体" w:eastAsia="宋体" w:cs="宋体"/>
                <w:color w:val="auto"/>
                <w:sz w:val="24"/>
                <w:szCs w:val="24"/>
                <w:highlight w:val="none"/>
                <w:vertAlign w:val="baseline"/>
                <w:lang w:val="en-US" w:eastAsia="zh-CN"/>
              </w:rPr>
            </w:pPr>
          </w:p>
        </w:tc>
        <w:tc>
          <w:tcPr>
            <w:tcW w:w="2841" w:type="dxa"/>
          </w:tcPr>
          <w:p w14:paraId="1C079DA0">
            <w:pPr>
              <w:pStyle w:val="34"/>
              <w:rPr>
                <w:rFonts w:hint="eastAsia" w:ascii="宋体" w:hAnsi="宋体" w:eastAsia="宋体" w:cs="宋体"/>
                <w:color w:val="auto"/>
                <w:sz w:val="24"/>
                <w:szCs w:val="24"/>
                <w:highlight w:val="none"/>
                <w:vertAlign w:val="baseline"/>
                <w:lang w:val="en-US" w:eastAsia="zh-CN"/>
              </w:rPr>
            </w:pPr>
          </w:p>
        </w:tc>
        <w:tc>
          <w:tcPr>
            <w:tcW w:w="2743" w:type="dxa"/>
          </w:tcPr>
          <w:p w14:paraId="299E6465">
            <w:pPr>
              <w:pStyle w:val="34"/>
              <w:rPr>
                <w:rFonts w:hint="eastAsia" w:ascii="宋体" w:hAnsi="宋体" w:eastAsia="宋体" w:cs="宋体"/>
                <w:color w:val="auto"/>
                <w:sz w:val="24"/>
                <w:szCs w:val="24"/>
                <w:highlight w:val="none"/>
                <w:vertAlign w:val="baseline"/>
                <w:lang w:val="en-US" w:eastAsia="zh-CN"/>
              </w:rPr>
            </w:pPr>
          </w:p>
        </w:tc>
      </w:tr>
      <w:tr w14:paraId="4E8F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46698E8">
            <w:pPr>
              <w:pStyle w:val="34"/>
              <w:rPr>
                <w:rFonts w:hint="eastAsia" w:ascii="宋体" w:hAnsi="宋体" w:eastAsia="宋体" w:cs="宋体"/>
                <w:color w:val="auto"/>
                <w:sz w:val="24"/>
                <w:szCs w:val="24"/>
                <w:highlight w:val="none"/>
                <w:vertAlign w:val="baseline"/>
                <w:lang w:val="en-US" w:eastAsia="zh-CN"/>
              </w:rPr>
            </w:pPr>
          </w:p>
        </w:tc>
        <w:tc>
          <w:tcPr>
            <w:tcW w:w="2841" w:type="dxa"/>
          </w:tcPr>
          <w:p w14:paraId="5DE31D06">
            <w:pPr>
              <w:pStyle w:val="34"/>
              <w:rPr>
                <w:rFonts w:hint="eastAsia" w:ascii="宋体" w:hAnsi="宋体" w:eastAsia="宋体" w:cs="宋体"/>
                <w:color w:val="auto"/>
                <w:sz w:val="24"/>
                <w:szCs w:val="24"/>
                <w:highlight w:val="none"/>
                <w:vertAlign w:val="baseline"/>
                <w:lang w:val="en-US" w:eastAsia="zh-CN"/>
              </w:rPr>
            </w:pPr>
          </w:p>
        </w:tc>
        <w:tc>
          <w:tcPr>
            <w:tcW w:w="2743" w:type="dxa"/>
          </w:tcPr>
          <w:p w14:paraId="2EBF2A2E">
            <w:pPr>
              <w:pStyle w:val="34"/>
              <w:rPr>
                <w:rFonts w:hint="eastAsia" w:ascii="宋体" w:hAnsi="宋体" w:eastAsia="宋体" w:cs="宋体"/>
                <w:color w:val="auto"/>
                <w:sz w:val="24"/>
                <w:szCs w:val="24"/>
                <w:highlight w:val="none"/>
                <w:vertAlign w:val="baseline"/>
                <w:lang w:val="en-US" w:eastAsia="zh-CN"/>
              </w:rPr>
            </w:pPr>
          </w:p>
        </w:tc>
      </w:tr>
      <w:tr w14:paraId="1F6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C8B53D">
            <w:pPr>
              <w:pStyle w:val="34"/>
              <w:rPr>
                <w:rFonts w:hint="eastAsia" w:ascii="宋体" w:hAnsi="宋体" w:eastAsia="宋体" w:cs="宋体"/>
                <w:color w:val="auto"/>
                <w:sz w:val="24"/>
                <w:szCs w:val="24"/>
                <w:highlight w:val="none"/>
                <w:vertAlign w:val="baseline"/>
                <w:lang w:val="en-US" w:eastAsia="zh-CN"/>
              </w:rPr>
            </w:pPr>
          </w:p>
        </w:tc>
        <w:tc>
          <w:tcPr>
            <w:tcW w:w="2841" w:type="dxa"/>
          </w:tcPr>
          <w:p w14:paraId="0AB8EE25">
            <w:pPr>
              <w:pStyle w:val="34"/>
              <w:rPr>
                <w:rFonts w:hint="eastAsia" w:ascii="宋体" w:hAnsi="宋体" w:eastAsia="宋体" w:cs="宋体"/>
                <w:color w:val="auto"/>
                <w:sz w:val="24"/>
                <w:szCs w:val="24"/>
                <w:highlight w:val="none"/>
                <w:vertAlign w:val="baseline"/>
                <w:lang w:val="en-US" w:eastAsia="zh-CN"/>
              </w:rPr>
            </w:pPr>
          </w:p>
        </w:tc>
        <w:tc>
          <w:tcPr>
            <w:tcW w:w="2743" w:type="dxa"/>
          </w:tcPr>
          <w:p w14:paraId="17F71402">
            <w:pPr>
              <w:pStyle w:val="34"/>
              <w:rPr>
                <w:rFonts w:hint="eastAsia" w:ascii="宋体" w:hAnsi="宋体" w:eastAsia="宋体" w:cs="宋体"/>
                <w:color w:val="auto"/>
                <w:sz w:val="24"/>
                <w:szCs w:val="24"/>
                <w:highlight w:val="none"/>
                <w:vertAlign w:val="baseline"/>
                <w:lang w:val="en-US" w:eastAsia="zh-CN"/>
              </w:rPr>
            </w:pPr>
          </w:p>
        </w:tc>
      </w:tr>
    </w:tbl>
    <w:p w14:paraId="181C01DA">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51%以上绝对所有权的性；绝对所有权拥有者可以是一个人，也可以是多人合计计算。</w:t>
      </w:r>
    </w:p>
    <w:p w14:paraId="6C85D95C">
      <w:pPr>
        <w:pStyle w:val="34"/>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55FB009A">
      <w:pPr>
        <w:pStyle w:val="34"/>
        <w:rPr>
          <w:rFonts w:hint="eastAsia" w:ascii="宋体" w:hAnsi="宋体" w:eastAsia="宋体" w:cs="宋体"/>
          <w:color w:val="auto"/>
          <w:sz w:val="24"/>
          <w:szCs w:val="24"/>
          <w:highlight w:val="none"/>
          <w:lang w:val="en-US" w:eastAsia="zh-CN"/>
        </w:rPr>
      </w:pPr>
    </w:p>
    <w:p w14:paraId="70E3FED5">
      <w:pPr>
        <w:pStyle w:val="3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1C94AC88">
      <w:pPr>
        <w:pStyle w:val="34"/>
        <w:rPr>
          <w:rFonts w:hint="default"/>
          <w:color w:val="auto"/>
          <w:sz w:val="28"/>
          <w:szCs w:val="28"/>
          <w:highlight w:val="none"/>
          <w:lang w:val="en-US" w:eastAsia="zh-CN"/>
        </w:rPr>
      </w:pPr>
    </w:p>
    <w:p w14:paraId="786C6365">
      <w:pPr>
        <w:pStyle w:val="34"/>
        <w:ind w:left="0" w:leftChars="0" w:firstLine="0" w:firstLineChars="0"/>
        <w:rPr>
          <w:rFonts w:hint="eastAsia"/>
          <w:b/>
          <w:bCs/>
          <w:iCs/>
          <w:color w:val="auto"/>
          <w:sz w:val="24"/>
          <w:szCs w:val="24"/>
          <w:highlight w:val="none"/>
          <w:shd w:val="clear" w:color="auto" w:fill="FFFFFF" w:themeFill="background1"/>
          <w:lang w:val="en-US" w:eastAsia="zh-CN"/>
        </w:rPr>
      </w:pPr>
      <w:r>
        <w:rPr>
          <w:rFonts w:hint="eastAsia"/>
          <w:b/>
          <w:bCs/>
          <w:iCs/>
          <w:color w:val="auto"/>
          <w:sz w:val="24"/>
          <w:szCs w:val="24"/>
          <w:highlight w:val="none"/>
          <w:shd w:val="clear" w:color="auto" w:fill="FFFFFF" w:themeFill="background1"/>
          <w:lang w:val="en-US" w:eastAsia="zh-CN"/>
        </w:rPr>
        <w:t>（二）供应商认为需要提供的其它商务、技术资料和说明。</w:t>
      </w:r>
    </w:p>
    <w:p w14:paraId="53038BD4">
      <w:pPr>
        <w:pStyle w:val="34"/>
        <w:rPr>
          <w:rFonts w:hint="eastAsia"/>
          <w:i w:val="0"/>
          <w:iCs w:val="0"/>
          <w:color w:val="auto"/>
          <w:highlight w:val="none"/>
        </w:rPr>
      </w:pPr>
    </w:p>
    <w:bookmarkEnd w:id="1183"/>
    <w:p w14:paraId="7CB0AFFA">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2466975</wp:posOffset>
              </wp:positionH>
              <wp:positionV relativeFrom="paragraph">
                <wp:posOffset>0</wp:posOffset>
              </wp:positionV>
              <wp:extent cx="415290" cy="4013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5290" cy="401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219"/>
                            <w:docPartObj>
                              <w:docPartGallery w:val="autotext"/>
                            </w:docPartObj>
                          </w:sdtPr>
                          <w:sdtContent>
                            <w:p w14:paraId="2DEB1E82">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4.25pt;margin-top:0pt;height:31.6pt;width:32.7pt;mso-position-horizontal-relative:margin;z-index:251660288;mso-width-relative:page;mso-height-relative:page;" filled="f" stroked="f" coordsize="21600,21600" o:gfxdata="UEsDBAoAAAAAAIdO4kAAAAAAAAAAAAAAAAAEAAAAZHJzL1BLAwQUAAAACACHTuJAvogM6dcAAAAH&#10;AQAADwAAAGRycy9kb3ducmV2LnhtbE2Py07DMBRE90j8g3WR2FE7Da3SkJsueOx4liLBzolNEmFf&#10;R7aTlr/HrGA5mtHMmWp7tIbN2ofBEUK2EMA0tU4N1CHsX+8uCmAhSlLSONII3zrAtj49qWSp3IFe&#10;9LyLHUslFEqJ0Mc4lpyHttdWhoUbNSXv03krY5K+48rLQyq3hi+FWHMrB0oLvRz1da/br91kEcx7&#10;8PeNiB/zTfcQn5/49HabPSKen2XiCljUx/gXhl/8hA51YmrcRCowg5AXxSpFEdKjZF+u8g2wBmGd&#10;L4HXFf/PX/8AUEsDBBQAAAAIAIdO4kDoQFL3NgIAAGEEAAAOAAAAZHJzL2Uyb0RvYy54bWytVM2O&#10;0zAQviPxDpbvNG32R1A1XZWtipAqdqWCOLuO01iyPcZ2m5QHgDfgtBfuPFefg7GTdNHCYQ9c3Mn8&#10;f9/MdHbTakUOwnkJpqCT0ZgSYTiU0uwK+unj6tVrSnxgpmQKjCjoUXh6M3/5YtbYqcihBlUKRzCJ&#10;8dPGFrQOwU6zzPNaaOZHYIVBYwVOs4CfbpeVjjWYXassH4+vswZcaR1w4T1ql52R9hndcxJCVUku&#10;lsD3WpjQZXVCsYCQfC2tp/PUbVUJHu6qyotAVEERaUgvFkF5G99sPmPTnWO2lrxvgT2nhSeYNJMG&#10;i55TLVlgZO/kX6m05A48VGHEQWcdkMQIopiMn3CzqZkVCQtS7e2ZdP//0vIPh3tHZFnQnBLDNA78&#10;9OP76eHX6ec3kkd6Guun6LWx6Bfat9Di0gx6j8qIuq2cjr+Ih6AdyT2eyRVtIByVl5Or/A1aOJou&#10;x5OLPJGfPQZb58M7AZpEoaAOZ5coZYe1D9gIug4usZaBlVQqzU8Z0hT0+uJqnALOFoxQBgMjhK7V&#10;KIV22/a4tlAeEZaDbi+85SuJxdfMh3vmcBGwXzyVcIdPpQCLQC9RUoP7+i999Mf5oJWSBheroP7L&#10;njlBiXpvcHKYMgyCG4TtIJi9vgXc1QkeoeVJxAAX1CBWDvRnvKBFrIImZjjWKmgYxNvQrTdeIBeL&#10;RXLaWyd3dReAe2dZWJuN5bFMR+ViH6CSieVIUcdLzxxuXiK/v5K42n9+J6/Hf4b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6IDOnXAAAABwEAAA8AAAAAAAAAAQAgAAAAIgAAAGRycy9kb3ducmV2&#10;LnhtbFBLAQIUABQAAAAIAIdO4kDoQFL3NgIAAGEEAAAOAAAAAAAAAAEAIAAAACYBAABkcnMvZTJv&#10;RG9jLnhtbFBLBQYAAAAABgAGAFkBAADOBQAAAAA=&#10;">
              <v:fill on="f" focussize="0,0"/>
              <v:stroke on="f" weight="0.5pt"/>
              <v:imagedata o:title=""/>
              <o:lock v:ext="edit" aspectratio="f"/>
              <v:textbox inset="0mm,0mm,0mm,0mm">
                <w:txbxContent>
                  <w:sdt>
                    <w:sdtPr>
                      <w:id w:val="147470219"/>
                      <w:docPartObj>
                        <w:docPartGallery w:val="autotext"/>
                      </w:docPartObj>
                    </w:sdtPr>
                    <w:sdtContent>
                      <w:p w14:paraId="2DEB1E82">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2"/>
                    </w:pPr>
                  </w:p>
                </w:txbxContent>
              </v:textbox>
            </v:shape>
          </w:pict>
        </mc:Fallback>
      </mc:AlternateContent>
    </w:r>
  </w:p>
  <w:p w14:paraId="1D038EF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pPr>
    <w:r>
      <w:rPr>
        <w:sz w:val="18"/>
      </w:rPr>
      <mc:AlternateContent>
        <mc:Choice Requires="wps">
          <w:drawing>
            <wp:anchor distT="0" distB="0" distL="114300" distR="114300" simplePos="0" relativeHeight="251659264" behindDoc="0" locked="0" layoutInCell="1" allowOverlap="1">
              <wp:simplePos x="0" y="0"/>
              <wp:positionH relativeFrom="margin">
                <wp:posOffset>2329815</wp:posOffset>
              </wp:positionH>
              <wp:positionV relativeFrom="paragraph">
                <wp:posOffset>0</wp:posOffset>
              </wp:positionV>
              <wp:extent cx="775335"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7533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spacing w:line="240" w:lineRule="auto"/>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3.45pt;margin-top:0pt;height:18pt;width:61.05pt;mso-position-horizontal-relative:margin;z-index:251659264;mso-width-relative:page;mso-height-relative:page;" filled="f" stroked="f" coordsize="21600,21600" o:gfxdata="UEsDBAoAAAAAAIdO4kAAAAAAAAAAAAAAAAAEAAAAZHJzL1BLAwQUAAAACACHTuJAqoxVidUAAAAH&#10;AQAADwAAAGRycy9kb3ducmV2LnhtbE2PS0/DMBCE70j8B2uRuFE7gKI2xOmBx41nAam9OcmSRNjr&#10;yHbS8u/ZnuC2uzOa/aZcH5wVM4Y4eNKQLRQIpMa3A3UaPt4fLpYgYjLUGusJNfxghHV1elKaovV7&#10;esN5kzrBIRQLo6FPaSykjE2PzsSFH5FY+/LBmcRr6GQbzJ7DnZWXSuXSmYH4Q29GvO2x+d5MToPd&#10;xvBYq7Sb77qn9Poip8/77Fnr87NM3YBIeEh/ZjjiMzpUzFT7idoorIarPF+xVQM3Yvl6ueKhPt4V&#10;yKqU//mrX1BLAwQUAAAACACHTuJAEsJKzjgCAABhBAAADgAAAGRycy9lMm9Eb2MueG1srVTNbhMx&#10;EL4j8Q6W72Tz06RVlE0VGgUhRbRSQJwdrzdryfYY28lueAB4A069cOe58hyMvdkUFQ49cHFm5//7&#10;Ziaz20YrchDOSzA5HfT6lAjDoZBml9NPH1dvbijxgZmCKTAip0fh6e389atZbadiCBWoQjiCSYyf&#10;1janVQh2mmWeV0Iz3wMrDBpLcJoF/HS7rHCsxuxaZcN+f5LV4ArrgAvvUbtsjfSc0b0kIZSl5GIJ&#10;fK+FCW1WJxQLCMlX0no6T92WpeDhviy9CETlFJGG9GIRlLfxzeYzNt05ZivJzy2wl7TwDJNm0mDR&#10;S6olC4zsnfwrlZbcgYcy9DjorAWSGEEUg/4zbjYVsyJhQaq9vZDu/19a/uHw4IgscnpFiWEaB376&#10;8f30+Ov08xu5ivTU1k/Ra2PRLzRvocGl6fQelRF1UzodfxEPQTuSe7yQK5pAOCqvr8ej0ZgSjqbh&#10;8GbST+RnT8HW+fBOgCZRyKnD2SVK2WHtAzaCrp1LrGVgJZVK81OG1DmdjMb9FHCxYIQyGBghtK1G&#10;KTTb5oxrC8URYTlo98JbvpJYfM18eGAOFwGR4KmEe3xKBVgEzhIlFbiv/9JHf5wPWimpcbFy6r/s&#10;mROUqPcGJxe3sBNcJ2w7wez1HeCuDvAILU8iBrigOrF0oD/jBS1iFTQxw7FWTkMn3oV2vfECuVgs&#10;ktPeOrmr2gDcO8vC2mwsj2VaKhf7AKVMLEeKWl7OzOHmJfLPVxJX+8/v5PX0zzD/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qMVYnVAAAABwEAAA8AAAAAAAAAAQAgAAAAIgAAAGRycy9kb3ducmV2&#10;LnhtbFBLAQIUABQAAAAIAIdO4kASwkrOOAIAAGEEAAAOAAAAAAAAAAEAIAAAACQBAABkcnMvZTJv&#10;RG9jLnhtbFBLBQYAAAAABgAGAFkBAADOBQAAAAA=&#10;">
              <v:fill on="f" focussize="0,0"/>
              <v:stroke on="f" weight="0.5pt"/>
              <v:imagedata o:title=""/>
              <o:lock v:ext="edit" aspectratio="f"/>
              <v:textbox inset="0mm,0mm,0mm,0mm">
                <w:txbxContent>
                  <w:p w14:paraId="313757FD">
                    <w:pPr>
                      <w:pStyle w:val="19"/>
                      <w:spacing w:line="240" w:lineRule="auto"/>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2BFE">
    <w:pPr>
      <w:pStyle w:val="20"/>
      <w:jc w:val="both"/>
      <w:rPr>
        <w:sz w:val="21"/>
        <w:szCs w:val="21"/>
      </w:rPr>
    </w:pPr>
    <w:r>
      <w:rPr>
        <w:rFonts w:hint="eastAsia" w:ascii="宋体" w:hAnsi="宋体"/>
        <w:b/>
        <w:lang w:val="en-US" w:eastAsia="zh-CN"/>
      </w:rPr>
      <w:t xml:space="preserve">   </w:t>
    </w:r>
    <w:r>
      <w:rPr>
        <w:rFonts w:hint="eastAsia"/>
        <w:b/>
        <w:lang w:eastAsia="zh-CN"/>
      </w:rPr>
      <w:t xml:space="preserve"> 新疆冠恒工程管理咨询有限公司</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联系电话：</w:t>
    </w:r>
    <w:r>
      <w:rPr>
        <w:rFonts w:hint="eastAsia" w:ascii="宋体" w:hAnsi="宋体"/>
        <w:b/>
        <w:lang w:eastAsia="zh-CN"/>
      </w:rPr>
      <w:t>13239855111</w:t>
    </w:r>
    <w:r>
      <w:rPr>
        <w:rFonts w:hint="eastAsia" w:ascii="宋体" w:hAnsi="宋体"/>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7D65">
    <w:pPr>
      <w:pStyle w:val="20"/>
      <w:tabs>
        <w:tab w:val="left" w:pos="3120"/>
      </w:tabs>
      <w:spacing w:line="240" w:lineRule="auto"/>
      <w:jc w:val="left"/>
    </w:pPr>
    <w:r>
      <w:rPr>
        <w:rFonts w:hint="eastAsia"/>
        <w:sz w:val="24"/>
        <w:szCs w:val="24"/>
        <w:lang w:val="en-US" w:eastAsia="zh-CN"/>
      </w:rPr>
      <w:t xml:space="preserve">     </w:t>
    </w:r>
    <w:r>
      <w:rPr>
        <w:rFonts w:hint="eastAsia"/>
        <w:b/>
        <w:bCs w:val="0"/>
        <w:sz w:val="22"/>
        <w:szCs w:val="22"/>
        <w:lang w:val="en-US" w:eastAsia="zh-CN"/>
      </w:rPr>
      <w:t xml:space="preserve"> 新疆冠恒工程管理咨询有限公司          联系电话：13239855111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BDAB8E"/>
    <w:multiLevelType w:val="singleLevel"/>
    <w:tmpl w:val="33BDAB8E"/>
    <w:lvl w:ilvl="0" w:tentative="0">
      <w:start w:val="2"/>
      <w:numFmt w:val="chineseCounting"/>
      <w:suff w:val="space"/>
      <w:lvlText w:val="第%1部分"/>
      <w:lvlJc w:val="left"/>
      <w:rPr>
        <w:rFonts w:hint="eastAsia"/>
      </w:rPr>
    </w:lvl>
  </w:abstractNum>
  <w:abstractNum w:abstractNumId="2">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30BB"/>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14C6"/>
    <w:rsid w:val="00574A51"/>
    <w:rsid w:val="00582A20"/>
    <w:rsid w:val="00590283"/>
    <w:rsid w:val="00594A14"/>
    <w:rsid w:val="005A3570"/>
    <w:rsid w:val="005A7750"/>
    <w:rsid w:val="005B55AC"/>
    <w:rsid w:val="005B7E2F"/>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7DE1"/>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3FB8"/>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08EB"/>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147E2"/>
    <w:rsid w:val="01161381"/>
    <w:rsid w:val="011A5E25"/>
    <w:rsid w:val="012A118F"/>
    <w:rsid w:val="012A6BDB"/>
    <w:rsid w:val="014F6641"/>
    <w:rsid w:val="01521C8D"/>
    <w:rsid w:val="0168325F"/>
    <w:rsid w:val="01A544B3"/>
    <w:rsid w:val="01AE3368"/>
    <w:rsid w:val="01BA61B0"/>
    <w:rsid w:val="01D17056"/>
    <w:rsid w:val="01F86CD9"/>
    <w:rsid w:val="021D673F"/>
    <w:rsid w:val="024E4B4B"/>
    <w:rsid w:val="02581525"/>
    <w:rsid w:val="025B2DC4"/>
    <w:rsid w:val="02C72207"/>
    <w:rsid w:val="02ED6112"/>
    <w:rsid w:val="02F94AB6"/>
    <w:rsid w:val="0317318F"/>
    <w:rsid w:val="035937A7"/>
    <w:rsid w:val="0387014A"/>
    <w:rsid w:val="03BB6210"/>
    <w:rsid w:val="03D64DF8"/>
    <w:rsid w:val="03D66BA6"/>
    <w:rsid w:val="040556DD"/>
    <w:rsid w:val="04212517"/>
    <w:rsid w:val="04730898"/>
    <w:rsid w:val="04842AA6"/>
    <w:rsid w:val="048C3708"/>
    <w:rsid w:val="049802FF"/>
    <w:rsid w:val="04A3117E"/>
    <w:rsid w:val="04B0389B"/>
    <w:rsid w:val="04BF588C"/>
    <w:rsid w:val="04DA4474"/>
    <w:rsid w:val="04F76DD4"/>
    <w:rsid w:val="05114316"/>
    <w:rsid w:val="05214D81"/>
    <w:rsid w:val="053B7608"/>
    <w:rsid w:val="054B2562"/>
    <w:rsid w:val="056805A2"/>
    <w:rsid w:val="056F2E0E"/>
    <w:rsid w:val="057743B8"/>
    <w:rsid w:val="05810D93"/>
    <w:rsid w:val="059565ED"/>
    <w:rsid w:val="05B44CC5"/>
    <w:rsid w:val="05DB04A3"/>
    <w:rsid w:val="05E530D0"/>
    <w:rsid w:val="06140B37"/>
    <w:rsid w:val="06500E91"/>
    <w:rsid w:val="069C40D7"/>
    <w:rsid w:val="06A15634"/>
    <w:rsid w:val="06A411DD"/>
    <w:rsid w:val="06B74FBC"/>
    <w:rsid w:val="06C07699"/>
    <w:rsid w:val="06F37A6F"/>
    <w:rsid w:val="070E75E1"/>
    <w:rsid w:val="07577FFE"/>
    <w:rsid w:val="076B1CFB"/>
    <w:rsid w:val="07AB324B"/>
    <w:rsid w:val="07B0770E"/>
    <w:rsid w:val="07C531B9"/>
    <w:rsid w:val="07CA07CF"/>
    <w:rsid w:val="07CF5DE6"/>
    <w:rsid w:val="07ED2710"/>
    <w:rsid w:val="08027530"/>
    <w:rsid w:val="08145258"/>
    <w:rsid w:val="086230FE"/>
    <w:rsid w:val="08691E27"/>
    <w:rsid w:val="08736DF0"/>
    <w:rsid w:val="08766BA9"/>
    <w:rsid w:val="088272FC"/>
    <w:rsid w:val="08872B64"/>
    <w:rsid w:val="088C3CD7"/>
    <w:rsid w:val="08907C6B"/>
    <w:rsid w:val="08BA08C0"/>
    <w:rsid w:val="08BC0A60"/>
    <w:rsid w:val="08E81CF0"/>
    <w:rsid w:val="092403B3"/>
    <w:rsid w:val="09246605"/>
    <w:rsid w:val="09414AC1"/>
    <w:rsid w:val="094C3466"/>
    <w:rsid w:val="097924AD"/>
    <w:rsid w:val="09B07E99"/>
    <w:rsid w:val="09BD6E87"/>
    <w:rsid w:val="09FC4E8C"/>
    <w:rsid w:val="0A314B36"/>
    <w:rsid w:val="0A73514E"/>
    <w:rsid w:val="0A7F7F97"/>
    <w:rsid w:val="0AA479FE"/>
    <w:rsid w:val="0ABF65E6"/>
    <w:rsid w:val="0ACC485F"/>
    <w:rsid w:val="0ADA3F4C"/>
    <w:rsid w:val="0B057D70"/>
    <w:rsid w:val="0B0E131B"/>
    <w:rsid w:val="0B116715"/>
    <w:rsid w:val="0B48482D"/>
    <w:rsid w:val="0B5A00BC"/>
    <w:rsid w:val="0B732363"/>
    <w:rsid w:val="0B7F5D75"/>
    <w:rsid w:val="0B9C6927"/>
    <w:rsid w:val="0BBF61BC"/>
    <w:rsid w:val="0BCB5C52"/>
    <w:rsid w:val="0BE300B2"/>
    <w:rsid w:val="0BE629C1"/>
    <w:rsid w:val="0BEF6A57"/>
    <w:rsid w:val="0BF71DAF"/>
    <w:rsid w:val="0C01678A"/>
    <w:rsid w:val="0C085D6A"/>
    <w:rsid w:val="0C142961"/>
    <w:rsid w:val="0C193AD3"/>
    <w:rsid w:val="0C475EF7"/>
    <w:rsid w:val="0C7B29E0"/>
    <w:rsid w:val="0C7D22B4"/>
    <w:rsid w:val="0C913FB2"/>
    <w:rsid w:val="0CA80F95"/>
    <w:rsid w:val="0D1424ED"/>
    <w:rsid w:val="0D5D3E94"/>
    <w:rsid w:val="0D8238FA"/>
    <w:rsid w:val="0D8C18C1"/>
    <w:rsid w:val="0E0013EF"/>
    <w:rsid w:val="0E0D58BA"/>
    <w:rsid w:val="0E2B3F92"/>
    <w:rsid w:val="0E75278D"/>
    <w:rsid w:val="0E8611C8"/>
    <w:rsid w:val="0E8B67DF"/>
    <w:rsid w:val="0E90419B"/>
    <w:rsid w:val="0E9B1118"/>
    <w:rsid w:val="0EB75826"/>
    <w:rsid w:val="0EC37B54"/>
    <w:rsid w:val="0ED10695"/>
    <w:rsid w:val="0ED32660"/>
    <w:rsid w:val="0EDB7766"/>
    <w:rsid w:val="0EEA79A9"/>
    <w:rsid w:val="0EEF3211"/>
    <w:rsid w:val="0EF3685E"/>
    <w:rsid w:val="0EFB1BB6"/>
    <w:rsid w:val="0F113188"/>
    <w:rsid w:val="0F29227F"/>
    <w:rsid w:val="0F3F7CF5"/>
    <w:rsid w:val="0F4F5A5E"/>
    <w:rsid w:val="0F6634D4"/>
    <w:rsid w:val="0F670FFA"/>
    <w:rsid w:val="0F694D72"/>
    <w:rsid w:val="0F6C4862"/>
    <w:rsid w:val="0F7200CA"/>
    <w:rsid w:val="0F760751"/>
    <w:rsid w:val="0F7F4595"/>
    <w:rsid w:val="0FB35FED"/>
    <w:rsid w:val="0FF07241"/>
    <w:rsid w:val="101E3DAE"/>
    <w:rsid w:val="10390BE8"/>
    <w:rsid w:val="10637A13"/>
    <w:rsid w:val="108979E3"/>
    <w:rsid w:val="10A36062"/>
    <w:rsid w:val="10A5627E"/>
    <w:rsid w:val="10B93AD7"/>
    <w:rsid w:val="10BD35C7"/>
    <w:rsid w:val="1160463D"/>
    <w:rsid w:val="11CE5360"/>
    <w:rsid w:val="11E626AA"/>
    <w:rsid w:val="1218364A"/>
    <w:rsid w:val="12241424"/>
    <w:rsid w:val="122F22A3"/>
    <w:rsid w:val="12404081"/>
    <w:rsid w:val="12505D75"/>
    <w:rsid w:val="126A32DB"/>
    <w:rsid w:val="12AA36D7"/>
    <w:rsid w:val="12B16E0A"/>
    <w:rsid w:val="12BB58E4"/>
    <w:rsid w:val="12C0739F"/>
    <w:rsid w:val="12F9465F"/>
    <w:rsid w:val="12FC7CAB"/>
    <w:rsid w:val="130F79DE"/>
    <w:rsid w:val="1319085D"/>
    <w:rsid w:val="136602E1"/>
    <w:rsid w:val="13931986"/>
    <w:rsid w:val="13A73607"/>
    <w:rsid w:val="13AC7923"/>
    <w:rsid w:val="13D03611"/>
    <w:rsid w:val="13F54E26"/>
    <w:rsid w:val="13FB7F63"/>
    <w:rsid w:val="14221993"/>
    <w:rsid w:val="1422618B"/>
    <w:rsid w:val="14733F9D"/>
    <w:rsid w:val="147C10A3"/>
    <w:rsid w:val="14C447F8"/>
    <w:rsid w:val="15115C90"/>
    <w:rsid w:val="151B4D60"/>
    <w:rsid w:val="152534E9"/>
    <w:rsid w:val="15657B9D"/>
    <w:rsid w:val="15853E70"/>
    <w:rsid w:val="15862B82"/>
    <w:rsid w:val="15AF7257"/>
    <w:rsid w:val="15E52C78"/>
    <w:rsid w:val="162E0AC3"/>
    <w:rsid w:val="163C5D9C"/>
    <w:rsid w:val="163D4862"/>
    <w:rsid w:val="164E4CC1"/>
    <w:rsid w:val="165247B2"/>
    <w:rsid w:val="16556050"/>
    <w:rsid w:val="165F7ED9"/>
    <w:rsid w:val="168C1346"/>
    <w:rsid w:val="169923E1"/>
    <w:rsid w:val="16994D22"/>
    <w:rsid w:val="169D3553"/>
    <w:rsid w:val="16A6065A"/>
    <w:rsid w:val="16AC04CA"/>
    <w:rsid w:val="16B84207"/>
    <w:rsid w:val="16BC7E7D"/>
    <w:rsid w:val="16EB2510"/>
    <w:rsid w:val="17081314"/>
    <w:rsid w:val="170F1E76"/>
    <w:rsid w:val="17163A31"/>
    <w:rsid w:val="171C3957"/>
    <w:rsid w:val="172024A5"/>
    <w:rsid w:val="172D30C4"/>
    <w:rsid w:val="17326391"/>
    <w:rsid w:val="17416ECA"/>
    <w:rsid w:val="175C6F6A"/>
    <w:rsid w:val="1780534F"/>
    <w:rsid w:val="17AF1790"/>
    <w:rsid w:val="17B2302E"/>
    <w:rsid w:val="17F83137"/>
    <w:rsid w:val="17FF44C5"/>
    <w:rsid w:val="183D6D9C"/>
    <w:rsid w:val="183F0D66"/>
    <w:rsid w:val="184D2180"/>
    <w:rsid w:val="186407CC"/>
    <w:rsid w:val="18644328"/>
    <w:rsid w:val="18934C0E"/>
    <w:rsid w:val="189B3AC2"/>
    <w:rsid w:val="18A707E9"/>
    <w:rsid w:val="18B21538"/>
    <w:rsid w:val="18D70F9E"/>
    <w:rsid w:val="18E67433"/>
    <w:rsid w:val="190478B9"/>
    <w:rsid w:val="19063631"/>
    <w:rsid w:val="191775ED"/>
    <w:rsid w:val="19392391"/>
    <w:rsid w:val="194523AC"/>
    <w:rsid w:val="196934AD"/>
    <w:rsid w:val="197762DD"/>
    <w:rsid w:val="197E58BE"/>
    <w:rsid w:val="199D21E8"/>
    <w:rsid w:val="19A277FE"/>
    <w:rsid w:val="19E45129"/>
    <w:rsid w:val="1A172451"/>
    <w:rsid w:val="1A240213"/>
    <w:rsid w:val="1A5B175B"/>
    <w:rsid w:val="1A705206"/>
    <w:rsid w:val="1A8D2B13"/>
    <w:rsid w:val="1AC92B69"/>
    <w:rsid w:val="1ADF238C"/>
    <w:rsid w:val="1AEB0D31"/>
    <w:rsid w:val="1AF92BB3"/>
    <w:rsid w:val="1B0E4A1F"/>
    <w:rsid w:val="1B3C158C"/>
    <w:rsid w:val="1B437545"/>
    <w:rsid w:val="1B574618"/>
    <w:rsid w:val="1B684130"/>
    <w:rsid w:val="1B697EA8"/>
    <w:rsid w:val="1B7C23F8"/>
    <w:rsid w:val="1BC7354C"/>
    <w:rsid w:val="1BCA303C"/>
    <w:rsid w:val="1C033E58"/>
    <w:rsid w:val="1C071B9A"/>
    <w:rsid w:val="1C0C0F5F"/>
    <w:rsid w:val="1C0F6CA1"/>
    <w:rsid w:val="1C387FA6"/>
    <w:rsid w:val="1C4C3A51"/>
    <w:rsid w:val="1C766D20"/>
    <w:rsid w:val="1C9D24FF"/>
    <w:rsid w:val="1CA05B4B"/>
    <w:rsid w:val="1CAB69CA"/>
    <w:rsid w:val="1CBC0BD7"/>
    <w:rsid w:val="1CEE68B6"/>
    <w:rsid w:val="1D320E99"/>
    <w:rsid w:val="1DAB47A7"/>
    <w:rsid w:val="1DBE44DB"/>
    <w:rsid w:val="1DDC5D1E"/>
    <w:rsid w:val="1DFB74DD"/>
    <w:rsid w:val="1E0839A8"/>
    <w:rsid w:val="1E0C793C"/>
    <w:rsid w:val="1E252D30"/>
    <w:rsid w:val="1E293FBC"/>
    <w:rsid w:val="1E2A6014"/>
    <w:rsid w:val="1E311151"/>
    <w:rsid w:val="1E3D3153"/>
    <w:rsid w:val="1E5866DD"/>
    <w:rsid w:val="1E5E7A6C"/>
    <w:rsid w:val="1E914811"/>
    <w:rsid w:val="1EC04283"/>
    <w:rsid w:val="1EE77A61"/>
    <w:rsid w:val="1EEE7042"/>
    <w:rsid w:val="1EF328AA"/>
    <w:rsid w:val="1EF53F2C"/>
    <w:rsid w:val="1F2111C5"/>
    <w:rsid w:val="1F4C5B16"/>
    <w:rsid w:val="1F9A4AD4"/>
    <w:rsid w:val="1FA63478"/>
    <w:rsid w:val="1FB042F7"/>
    <w:rsid w:val="1FBF278C"/>
    <w:rsid w:val="1FEA5A5B"/>
    <w:rsid w:val="1FFE5062"/>
    <w:rsid w:val="20126D60"/>
    <w:rsid w:val="20311090"/>
    <w:rsid w:val="20346E0E"/>
    <w:rsid w:val="204F3443"/>
    <w:rsid w:val="205E01F7"/>
    <w:rsid w:val="20B9542D"/>
    <w:rsid w:val="20D02EA3"/>
    <w:rsid w:val="211014F1"/>
    <w:rsid w:val="21254871"/>
    <w:rsid w:val="212C5BFF"/>
    <w:rsid w:val="213056EF"/>
    <w:rsid w:val="215A09BE"/>
    <w:rsid w:val="216B497A"/>
    <w:rsid w:val="21937A2C"/>
    <w:rsid w:val="21992A01"/>
    <w:rsid w:val="21A8155E"/>
    <w:rsid w:val="21C85928"/>
    <w:rsid w:val="21E40288"/>
    <w:rsid w:val="220426D8"/>
    <w:rsid w:val="22124DF5"/>
    <w:rsid w:val="222608A0"/>
    <w:rsid w:val="224F1BA5"/>
    <w:rsid w:val="226E6C09"/>
    <w:rsid w:val="228D1E28"/>
    <w:rsid w:val="228D6B72"/>
    <w:rsid w:val="229323DA"/>
    <w:rsid w:val="22B20386"/>
    <w:rsid w:val="22CE1AC1"/>
    <w:rsid w:val="22F547E2"/>
    <w:rsid w:val="230E1A60"/>
    <w:rsid w:val="23377209"/>
    <w:rsid w:val="233D2B25"/>
    <w:rsid w:val="235A6A54"/>
    <w:rsid w:val="238E0DF3"/>
    <w:rsid w:val="239F090A"/>
    <w:rsid w:val="23B56380"/>
    <w:rsid w:val="23C6058D"/>
    <w:rsid w:val="23C72304"/>
    <w:rsid w:val="23F46EA8"/>
    <w:rsid w:val="241F37F9"/>
    <w:rsid w:val="245E4322"/>
    <w:rsid w:val="24653902"/>
    <w:rsid w:val="247D50F0"/>
    <w:rsid w:val="24AF254A"/>
    <w:rsid w:val="24AF7273"/>
    <w:rsid w:val="24C525F3"/>
    <w:rsid w:val="24C90335"/>
    <w:rsid w:val="24CA19B7"/>
    <w:rsid w:val="25096983"/>
    <w:rsid w:val="251407D5"/>
    <w:rsid w:val="25270BB7"/>
    <w:rsid w:val="255B6AB3"/>
    <w:rsid w:val="25853B30"/>
    <w:rsid w:val="25950217"/>
    <w:rsid w:val="25A20B86"/>
    <w:rsid w:val="25B74631"/>
    <w:rsid w:val="25BD32CA"/>
    <w:rsid w:val="25C40AFC"/>
    <w:rsid w:val="25CE197B"/>
    <w:rsid w:val="25D725DE"/>
    <w:rsid w:val="25E847EB"/>
    <w:rsid w:val="25EE7927"/>
    <w:rsid w:val="25EF3DCB"/>
    <w:rsid w:val="2628108B"/>
    <w:rsid w:val="26526108"/>
    <w:rsid w:val="26667E05"/>
    <w:rsid w:val="26771661"/>
    <w:rsid w:val="268F4C66"/>
    <w:rsid w:val="26976211"/>
    <w:rsid w:val="26B4291F"/>
    <w:rsid w:val="27157820"/>
    <w:rsid w:val="271B0BF0"/>
    <w:rsid w:val="271C2272"/>
    <w:rsid w:val="272F1FA5"/>
    <w:rsid w:val="273A72C8"/>
    <w:rsid w:val="2767173F"/>
    <w:rsid w:val="27AE55C0"/>
    <w:rsid w:val="27BB320F"/>
    <w:rsid w:val="27C13D12"/>
    <w:rsid w:val="27C43F9E"/>
    <w:rsid w:val="27D8263D"/>
    <w:rsid w:val="27EB6814"/>
    <w:rsid w:val="27F06E9B"/>
    <w:rsid w:val="27FD0DC1"/>
    <w:rsid w:val="28177609"/>
    <w:rsid w:val="281C2BC6"/>
    <w:rsid w:val="281C4C20"/>
    <w:rsid w:val="28235FAE"/>
    <w:rsid w:val="282F32ED"/>
    <w:rsid w:val="28327F9F"/>
    <w:rsid w:val="283C2BCC"/>
    <w:rsid w:val="283E4BF7"/>
    <w:rsid w:val="285F4B0C"/>
    <w:rsid w:val="28757E8C"/>
    <w:rsid w:val="28AD1D1C"/>
    <w:rsid w:val="28B22E8E"/>
    <w:rsid w:val="28C02B57"/>
    <w:rsid w:val="28D41056"/>
    <w:rsid w:val="28DC7F0B"/>
    <w:rsid w:val="28EF3A41"/>
    <w:rsid w:val="28F416F8"/>
    <w:rsid w:val="28F811E9"/>
    <w:rsid w:val="29001E4B"/>
    <w:rsid w:val="295978DD"/>
    <w:rsid w:val="298F1421"/>
    <w:rsid w:val="29BF3AB4"/>
    <w:rsid w:val="29C91AA7"/>
    <w:rsid w:val="29CE019B"/>
    <w:rsid w:val="29D11A3A"/>
    <w:rsid w:val="29D62BAC"/>
    <w:rsid w:val="2A1262DA"/>
    <w:rsid w:val="2A32072A"/>
    <w:rsid w:val="2A391AB9"/>
    <w:rsid w:val="2A4B359A"/>
    <w:rsid w:val="2ABB0720"/>
    <w:rsid w:val="2ACA0377"/>
    <w:rsid w:val="2ADE440E"/>
    <w:rsid w:val="2AFB4FC0"/>
    <w:rsid w:val="2B147E30"/>
    <w:rsid w:val="2B6F32B8"/>
    <w:rsid w:val="2B786611"/>
    <w:rsid w:val="2B9601FE"/>
    <w:rsid w:val="2BD25682"/>
    <w:rsid w:val="2BE27F2E"/>
    <w:rsid w:val="2C155C0E"/>
    <w:rsid w:val="2C414C55"/>
    <w:rsid w:val="2C475FE3"/>
    <w:rsid w:val="2C4C5A92"/>
    <w:rsid w:val="2C83526D"/>
    <w:rsid w:val="2C8A393D"/>
    <w:rsid w:val="2CAB47C4"/>
    <w:rsid w:val="2CC33AC9"/>
    <w:rsid w:val="2CC633AC"/>
    <w:rsid w:val="2CD05FD9"/>
    <w:rsid w:val="2CD23AFF"/>
    <w:rsid w:val="2CDE6947"/>
    <w:rsid w:val="2CEF7A50"/>
    <w:rsid w:val="2D3227EF"/>
    <w:rsid w:val="2D3E2F42"/>
    <w:rsid w:val="2D71156A"/>
    <w:rsid w:val="2DE27D71"/>
    <w:rsid w:val="2DEE4968"/>
    <w:rsid w:val="2E310CF9"/>
    <w:rsid w:val="2E3F6F72"/>
    <w:rsid w:val="2E6764C9"/>
    <w:rsid w:val="2E7555D3"/>
    <w:rsid w:val="2EB536D8"/>
    <w:rsid w:val="2EB712DA"/>
    <w:rsid w:val="2ECA005F"/>
    <w:rsid w:val="2ECB2EFB"/>
    <w:rsid w:val="2ECD316E"/>
    <w:rsid w:val="2EDA313F"/>
    <w:rsid w:val="2F065CE2"/>
    <w:rsid w:val="2F0E760F"/>
    <w:rsid w:val="2F1C6FCF"/>
    <w:rsid w:val="2F5C3519"/>
    <w:rsid w:val="2F5C7FF7"/>
    <w:rsid w:val="2F5E167A"/>
    <w:rsid w:val="2F880DEC"/>
    <w:rsid w:val="2F886E61"/>
    <w:rsid w:val="300F6E18"/>
    <w:rsid w:val="3034062C"/>
    <w:rsid w:val="30536D05"/>
    <w:rsid w:val="305B3E0B"/>
    <w:rsid w:val="305F1B4D"/>
    <w:rsid w:val="30705B08"/>
    <w:rsid w:val="30AC639E"/>
    <w:rsid w:val="30AF3584"/>
    <w:rsid w:val="30E56588"/>
    <w:rsid w:val="30E91417"/>
    <w:rsid w:val="31293F09"/>
    <w:rsid w:val="31350B00"/>
    <w:rsid w:val="313714C3"/>
    <w:rsid w:val="3159659D"/>
    <w:rsid w:val="315C608D"/>
    <w:rsid w:val="3194582D"/>
    <w:rsid w:val="31A83080"/>
    <w:rsid w:val="31B41A25"/>
    <w:rsid w:val="31BC6B2B"/>
    <w:rsid w:val="320504D2"/>
    <w:rsid w:val="32513718"/>
    <w:rsid w:val="326A47D9"/>
    <w:rsid w:val="327461D4"/>
    <w:rsid w:val="32B048E2"/>
    <w:rsid w:val="32B1065A"/>
    <w:rsid w:val="32E4458C"/>
    <w:rsid w:val="33174961"/>
    <w:rsid w:val="33242BDA"/>
    <w:rsid w:val="332D26D2"/>
    <w:rsid w:val="33443C83"/>
    <w:rsid w:val="33705E1F"/>
    <w:rsid w:val="33745910"/>
    <w:rsid w:val="33953AD8"/>
    <w:rsid w:val="33997124"/>
    <w:rsid w:val="33CC574C"/>
    <w:rsid w:val="34256C0A"/>
    <w:rsid w:val="345968B4"/>
    <w:rsid w:val="348D41C6"/>
    <w:rsid w:val="35156C7E"/>
    <w:rsid w:val="35352E7D"/>
    <w:rsid w:val="3538471B"/>
    <w:rsid w:val="3566572C"/>
    <w:rsid w:val="3571636E"/>
    <w:rsid w:val="358362DE"/>
    <w:rsid w:val="35843E04"/>
    <w:rsid w:val="3589141A"/>
    <w:rsid w:val="358F4AB7"/>
    <w:rsid w:val="35BE10C4"/>
    <w:rsid w:val="35C506A4"/>
    <w:rsid w:val="35C8047F"/>
    <w:rsid w:val="35F04FF6"/>
    <w:rsid w:val="36021D61"/>
    <w:rsid w:val="36213401"/>
    <w:rsid w:val="36392E40"/>
    <w:rsid w:val="36794FEB"/>
    <w:rsid w:val="3687595A"/>
    <w:rsid w:val="368816D2"/>
    <w:rsid w:val="368D6CE8"/>
    <w:rsid w:val="369E0EF6"/>
    <w:rsid w:val="36AC716F"/>
    <w:rsid w:val="36AF6C5F"/>
    <w:rsid w:val="36D6243D"/>
    <w:rsid w:val="36D87F64"/>
    <w:rsid w:val="36E42DAC"/>
    <w:rsid w:val="36E71C6A"/>
    <w:rsid w:val="36F32FEF"/>
    <w:rsid w:val="371A057C"/>
    <w:rsid w:val="373B4810"/>
    <w:rsid w:val="373B6744"/>
    <w:rsid w:val="373D24BC"/>
    <w:rsid w:val="37444515"/>
    <w:rsid w:val="37490E61"/>
    <w:rsid w:val="37695060"/>
    <w:rsid w:val="377D0B0B"/>
    <w:rsid w:val="37991DE9"/>
    <w:rsid w:val="37A662B4"/>
    <w:rsid w:val="37A83DDA"/>
    <w:rsid w:val="37B24C58"/>
    <w:rsid w:val="37BE35FD"/>
    <w:rsid w:val="37C14E9C"/>
    <w:rsid w:val="37D72911"/>
    <w:rsid w:val="37DF17C6"/>
    <w:rsid w:val="381D3A0B"/>
    <w:rsid w:val="3825542A"/>
    <w:rsid w:val="38451629"/>
    <w:rsid w:val="38AF451F"/>
    <w:rsid w:val="38C5276A"/>
    <w:rsid w:val="38DE382B"/>
    <w:rsid w:val="392C27E9"/>
    <w:rsid w:val="394C69E7"/>
    <w:rsid w:val="39F41558"/>
    <w:rsid w:val="3A1C0AAF"/>
    <w:rsid w:val="3A2636DC"/>
    <w:rsid w:val="3A916DA7"/>
    <w:rsid w:val="3AA36ADA"/>
    <w:rsid w:val="3B0F23C2"/>
    <w:rsid w:val="3B2120E2"/>
    <w:rsid w:val="3B60677A"/>
    <w:rsid w:val="3B862684"/>
    <w:rsid w:val="3B8B7C9A"/>
    <w:rsid w:val="3B8E4123"/>
    <w:rsid w:val="3BAC19BF"/>
    <w:rsid w:val="3BD038FF"/>
    <w:rsid w:val="3BD11425"/>
    <w:rsid w:val="3BDD7DCA"/>
    <w:rsid w:val="3BEA462F"/>
    <w:rsid w:val="3BEB698B"/>
    <w:rsid w:val="3BF55114"/>
    <w:rsid w:val="3C371BD0"/>
    <w:rsid w:val="3CA8662A"/>
    <w:rsid w:val="3CAA23A2"/>
    <w:rsid w:val="3CB72D11"/>
    <w:rsid w:val="3CBA010B"/>
    <w:rsid w:val="3CE533DA"/>
    <w:rsid w:val="3D0870C9"/>
    <w:rsid w:val="3D390965"/>
    <w:rsid w:val="3D4A5E08"/>
    <w:rsid w:val="3D5B019B"/>
    <w:rsid w:val="3D69400B"/>
    <w:rsid w:val="3D7724B9"/>
    <w:rsid w:val="3D8C7CFA"/>
    <w:rsid w:val="3DC56D68"/>
    <w:rsid w:val="3E0203C2"/>
    <w:rsid w:val="3E10092B"/>
    <w:rsid w:val="3E18333B"/>
    <w:rsid w:val="3E261EFC"/>
    <w:rsid w:val="3E3E7246"/>
    <w:rsid w:val="3E4B1963"/>
    <w:rsid w:val="3E75253C"/>
    <w:rsid w:val="3E774506"/>
    <w:rsid w:val="3E7C7D6E"/>
    <w:rsid w:val="3E8135D7"/>
    <w:rsid w:val="3E8978EB"/>
    <w:rsid w:val="3EB94B1E"/>
    <w:rsid w:val="3EBD1618"/>
    <w:rsid w:val="3ECD05CA"/>
    <w:rsid w:val="3EE26BC7"/>
    <w:rsid w:val="3EEC127F"/>
    <w:rsid w:val="3EFE4C27"/>
    <w:rsid w:val="3F830C89"/>
    <w:rsid w:val="3F9133A5"/>
    <w:rsid w:val="3FA806EF"/>
    <w:rsid w:val="3FB11C9A"/>
    <w:rsid w:val="3FCE0156"/>
    <w:rsid w:val="3FE54EAF"/>
    <w:rsid w:val="401B1A9A"/>
    <w:rsid w:val="40580367"/>
    <w:rsid w:val="405A7C3B"/>
    <w:rsid w:val="406B009A"/>
    <w:rsid w:val="40833636"/>
    <w:rsid w:val="40890521"/>
    <w:rsid w:val="408D0011"/>
    <w:rsid w:val="40D43E92"/>
    <w:rsid w:val="412546ED"/>
    <w:rsid w:val="41456B3D"/>
    <w:rsid w:val="418F600A"/>
    <w:rsid w:val="41911D83"/>
    <w:rsid w:val="41933E73"/>
    <w:rsid w:val="41C21F3C"/>
    <w:rsid w:val="41C652D3"/>
    <w:rsid w:val="41CA2B9F"/>
    <w:rsid w:val="41E023C2"/>
    <w:rsid w:val="41EA1493"/>
    <w:rsid w:val="41FF6CEC"/>
    <w:rsid w:val="421D7172"/>
    <w:rsid w:val="422B7AE1"/>
    <w:rsid w:val="42786A9F"/>
    <w:rsid w:val="427C033D"/>
    <w:rsid w:val="428E1E1E"/>
    <w:rsid w:val="429733C9"/>
    <w:rsid w:val="42A87384"/>
    <w:rsid w:val="42E63A08"/>
    <w:rsid w:val="42E90FF2"/>
    <w:rsid w:val="43056584"/>
    <w:rsid w:val="431762B8"/>
    <w:rsid w:val="432664FB"/>
    <w:rsid w:val="432A5FEB"/>
    <w:rsid w:val="434370AD"/>
    <w:rsid w:val="43544E16"/>
    <w:rsid w:val="437454B8"/>
    <w:rsid w:val="438020AF"/>
    <w:rsid w:val="43866F99"/>
    <w:rsid w:val="43B27D8E"/>
    <w:rsid w:val="43DD4E0B"/>
    <w:rsid w:val="43EC32A0"/>
    <w:rsid w:val="43FE2FD4"/>
    <w:rsid w:val="43FF1225"/>
    <w:rsid w:val="441B5933"/>
    <w:rsid w:val="444C01E3"/>
    <w:rsid w:val="44507CD3"/>
    <w:rsid w:val="44623562"/>
    <w:rsid w:val="447137A5"/>
    <w:rsid w:val="449000D0"/>
    <w:rsid w:val="44C24001"/>
    <w:rsid w:val="44DA57EF"/>
    <w:rsid w:val="44DC50C3"/>
    <w:rsid w:val="44E4041B"/>
    <w:rsid w:val="4508235C"/>
    <w:rsid w:val="450D7972"/>
    <w:rsid w:val="45126D36"/>
    <w:rsid w:val="452623BD"/>
    <w:rsid w:val="452B4BB5"/>
    <w:rsid w:val="452B604A"/>
    <w:rsid w:val="453B44DF"/>
    <w:rsid w:val="45603F46"/>
    <w:rsid w:val="45660E30"/>
    <w:rsid w:val="457B0D80"/>
    <w:rsid w:val="46144D30"/>
    <w:rsid w:val="461B7E6D"/>
    <w:rsid w:val="46477F15"/>
    <w:rsid w:val="46511AE0"/>
    <w:rsid w:val="465B57DC"/>
    <w:rsid w:val="469C3B23"/>
    <w:rsid w:val="469F260E"/>
    <w:rsid w:val="46CC1167"/>
    <w:rsid w:val="473E02B7"/>
    <w:rsid w:val="47460F19"/>
    <w:rsid w:val="47632D59"/>
    <w:rsid w:val="47857C94"/>
    <w:rsid w:val="47863A0C"/>
    <w:rsid w:val="478B4B7E"/>
    <w:rsid w:val="47B73BC5"/>
    <w:rsid w:val="47E00AF1"/>
    <w:rsid w:val="47EC5378"/>
    <w:rsid w:val="47FE35A2"/>
    <w:rsid w:val="4832149E"/>
    <w:rsid w:val="48396CD0"/>
    <w:rsid w:val="483B65A4"/>
    <w:rsid w:val="483E7E42"/>
    <w:rsid w:val="48660E58"/>
    <w:rsid w:val="48741AB6"/>
    <w:rsid w:val="488241D3"/>
    <w:rsid w:val="48961A2D"/>
    <w:rsid w:val="489B34E7"/>
    <w:rsid w:val="48B85E47"/>
    <w:rsid w:val="48CB5B7A"/>
    <w:rsid w:val="48EC00C7"/>
    <w:rsid w:val="48EE2BC9"/>
    <w:rsid w:val="491C4628"/>
    <w:rsid w:val="49743D8F"/>
    <w:rsid w:val="49B06B1E"/>
    <w:rsid w:val="49B72A97"/>
    <w:rsid w:val="49E54A1A"/>
    <w:rsid w:val="49E8275C"/>
    <w:rsid w:val="4A0B36CD"/>
    <w:rsid w:val="4A630034"/>
    <w:rsid w:val="4A69564B"/>
    <w:rsid w:val="4A881849"/>
    <w:rsid w:val="4AA30431"/>
    <w:rsid w:val="4ABB39CC"/>
    <w:rsid w:val="4B3A7B4E"/>
    <w:rsid w:val="4B3F63AB"/>
    <w:rsid w:val="4B490FD8"/>
    <w:rsid w:val="4B555BCF"/>
    <w:rsid w:val="4B58746D"/>
    <w:rsid w:val="4B614574"/>
    <w:rsid w:val="4B771FE9"/>
    <w:rsid w:val="4BCE772F"/>
    <w:rsid w:val="4C235CCD"/>
    <w:rsid w:val="4C8A5D4C"/>
    <w:rsid w:val="4C8F3363"/>
    <w:rsid w:val="4CAC5CC3"/>
    <w:rsid w:val="4CC50B32"/>
    <w:rsid w:val="4CC72AFC"/>
    <w:rsid w:val="4CFB4554"/>
    <w:rsid w:val="4D043409"/>
    <w:rsid w:val="4D31441A"/>
    <w:rsid w:val="4D3A5B11"/>
    <w:rsid w:val="4D3D691B"/>
    <w:rsid w:val="4DD74FC1"/>
    <w:rsid w:val="4DFC0584"/>
    <w:rsid w:val="4E0631B0"/>
    <w:rsid w:val="4E0B07C7"/>
    <w:rsid w:val="4E2A50F1"/>
    <w:rsid w:val="4E342F84"/>
    <w:rsid w:val="4E395334"/>
    <w:rsid w:val="4E4F7A0A"/>
    <w:rsid w:val="4E656129"/>
    <w:rsid w:val="4E8A5B90"/>
    <w:rsid w:val="4EA76741"/>
    <w:rsid w:val="4EAF3848"/>
    <w:rsid w:val="4ED92673"/>
    <w:rsid w:val="4EEC684A"/>
    <w:rsid w:val="4F273421"/>
    <w:rsid w:val="4F391364"/>
    <w:rsid w:val="4F585C8E"/>
    <w:rsid w:val="4F5A7C58"/>
    <w:rsid w:val="4F7F321A"/>
    <w:rsid w:val="4F895E47"/>
    <w:rsid w:val="4F90367A"/>
    <w:rsid w:val="4F9D5D96"/>
    <w:rsid w:val="4FB76E58"/>
    <w:rsid w:val="4FF9121F"/>
    <w:rsid w:val="4FF97471"/>
    <w:rsid w:val="50033E4B"/>
    <w:rsid w:val="50062B38"/>
    <w:rsid w:val="506D7517"/>
    <w:rsid w:val="50B52C6C"/>
    <w:rsid w:val="50BB64D4"/>
    <w:rsid w:val="50BD049E"/>
    <w:rsid w:val="50D2079F"/>
    <w:rsid w:val="50D92DFE"/>
    <w:rsid w:val="50EE68AA"/>
    <w:rsid w:val="51087240"/>
    <w:rsid w:val="510F4A72"/>
    <w:rsid w:val="512322CB"/>
    <w:rsid w:val="5139564B"/>
    <w:rsid w:val="51894824"/>
    <w:rsid w:val="51AE7DE7"/>
    <w:rsid w:val="51D57A6A"/>
    <w:rsid w:val="51EB4B97"/>
    <w:rsid w:val="521560B8"/>
    <w:rsid w:val="52775DEE"/>
    <w:rsid w:val="5290573F"/>
    <w:rsid w:val="52B15DE1"/>
    <w:rsid w:val="52D95337"/>
    <w:rsid w:val="52DD4E28"/>
    <w:rsid w:val="52E166C3"/>
    <w:rsid w:val="52ED0DE3"/>
    <w:rsid w:val="531620E8"/>
    <w:rsid w:val="53226CDE"/>
    <w:rsid w:val="53285977"/>
    <w:rsid w:val="532E5683"/>
    <w:rsid w:val="533F5EBA"/>
    <w:rsid w:val="53422EDD"/>
    <w:rsid w:val="538C23AA"/>
    <w:rsid w:val="539F3E8B"/>
    <w:rsid w:val="53B17155"/>
    <w:rsid w:val="53B61F77"/>
    <w:rsid w:val="53C02053"/>
    <w:rsid w:val="53DC50DF"/>
    <w:rsid w:val="53E46B80"/>
    <w:rsid w:val="53E775E0"/>
    <w:rsid w:val="53EE2FD4"/>
    <w:rsid w:val="53F74CDE"/>
    <w:rsid w:val="541D74A6"/>
    <w:rsid w:val="54422A68"/>
    <w:rsid w:val="544E11C2"/>
    <w:rsid w:val="5463310B"/>
    <w:rsid w:val="54662BFB"/>
    <w:rsid w:val="54A51975"/>
    <w:rsid w:val="54F71AA5"/>
    <w:rsid w:val="551E7032"/>
    <w:rsid w:val="55392A77"/>
    <w:rsid w:val="555E38D2"/>
    <w:rsid w:val="55A439DB"/>
    <w:rsid w:val="55AE2AAB"/>
    <w:rsid w:val="55CA0F67"/>
    <w:rsid w:val="560E70A6"/>
    <w:rsid w:val="563805C7"/>
    <w:rsid w:val="565076BF"/>
    <w:rsid w:val="567D13ED"/>
    <w:rsid w:val="56BD287A"/>
    <w:rsid w:val="56D57BC4"/>
    <w:rsid w:val="56DB78D0"/>
    <w:rsid w:val="56ED7603"/>
    <w:rsid w:val="56F3629C"/>
    <w:rsid w:val="56F72230"/>
    <w:rsid w:val="56FC7846"/>
    <w:rsid w:val="5719555B"/>
    <w:rsid w:val="576C446D"/>
    <w:rsid w:val="57741E27"/>
    <w:rsid w:val="57833AC4"/>
    <w:rsid w:val="57A23F4A"/>
    <w:rsid w:val="57B343A9"/>
    <w:rsid w:val="57C57C38"/>
    <w:rsid w:val="57CC7219"/>
    <w:rsid w:val="57D1482F"/>
    <w:rsid w:val="57ED10AC"/>
    <w:rsid w:val="583C7C96"/>
    <w:rsid w:val="5875340D"/>
    <w:rsid w:val="588C69A8"/>
    <w:rsid w:val="58BA19B2"/>
    <w:rsid w:val="58CD149A"/>
    <w:rsid w:val="58F72073"/>
    <w:rsid w:val="58FC3B2E"/>
    <w:rsid w:val="590D1897"/>
    <w:rsid w:val="5919023C"/>
    <w:rsid w:val="59284923"/>
    <w:rsid w:val="593432C8"/>
    <w:rsid w:val="593B28A8"/>
    <w:rsid w:val="5943175D"/>
    <w:rsid w:val="594D25DB"/>
    <w:rsid w:val="594E4DC3"/>
    <w:rsid w:val="59561490"/>
    <w:rsid w:val="59570D64"/>
    <w:rsid w:val="595A0F3F"/>
    <w:rsid w:val="59705BA9"/>
    <w:rsid w:val="59747B68"/>
    <w:rsid w:val="598D700C"/>
    <w:rsid w:val="598F04FE"/>
    <w:rsid w:val="59D64D5C"/>
    <w:rsid w:val="59F36CDF"/>
    <w:rsid w:val="5A105AE3"/>
    <w:rsid w:val="5A2A0227"/>
    <w:rsid w:val="5A382944"/>
    <w:rsid w:val="5A3966BC"/>
    <w:rsid w:val="5A3B4BCC"/>
    <w:rsid w:val="5A584D94"/>
    <w:rsid w:val="5A602C61"/>
    <w:rsid w:val="5A7871E4"/>
    <w:rsid w:val="5AB9459A"/>
    <w:rsid w:val="5ACE32A8"/>
    <w:rsid w:val="5AEB20AC"/>
    <w:rsid w:val="5B1A029B"/>
    <w:rsid w:val="5B2829B8"/>
    <w:rsid w:val="5B3A26EB"/>
    <w:rsid w:val="5B5913F8"/>
    <w:rsid w:val="5B6360E6"/>
    <w:rsid w:val="5B955B74"/>
    <w:rsid w:val="5B9B5880"/>
    <w:rsid w:val="5BA67D81"/>
    <w:rsid w:val="5BED775E"/>
    <w:rsid w:val="5BF907F8"/>
    <w:rsid w:val="5C3D6937"/>
    <w:rsid w:val="5C464A56"/>
    <w:rsid w:val="5C6A7000"/>
    <w:rsid w:val="5C920267"/>
    <w:rsid w:val="5C9F6CAA"/>
    <w:rsid w:val="5CA02A22"/>
    <w:rsid w:val="5CCC1A69"/>
    <w:rsid w:val="5D153410"/>
    <w:rsid w:val="5D1F428F"/>
    <w:rsid w:val="5D235B2D"/>
    <w:rsid w:val="5D2C3AEB"/>
    <w:rsid w:val="5D5201C0"/>
    <w:rsid w:val="5D7A14C5"/>
    <w:rsid w:val="5DEB15DF"/>
    <w:rsid w:val="5E135D11"/>
    <w:rsid w:val="5E6F08FE"/>
    <w:rsid w:val="5E7D126D"/>
    <w:rsid w:val="5E7F3237"/>
    <w:rsid w:val="5E9B59CB"/>
    <w:rsid w:val="5EB10F16"/>
    <w:rsid w:val="5ECE6AE2"/>
    <w:rsid w:val="5EF57055"/>
    <w:rsid w:val="5F04130F"/>
    <w:rsid w:val="5F0C439F"/>
    <w:rsid w:val="5F180C0B"/>
    <w:rsid w:val="5F313E05"/>
    <w:rsid w:val="5F3F0259"/>
    <w:rsid w:val="5F645F89"/>
    <w:rsid w:val="5F6B7317"/>
    <w:rsid w:val="5F775CBC"/>
    <w:rsid w:val="5F8D1984"/>
    <w:rsid w:val="5F961333"/>
    <w:rsid w:val="5F990328"/>
    <w:rsid w:val="5FC058B5"/>
    <w:rsid w:val="5FC30F01"/>
    <w:rsid w:val="5FCD3B2E"/>
    <w:rsid w:val="5FDC6467"/>
    <w:rsid w:val="5FE31328"/>
    <w:rsid w:val="5FEA2932"/>
    <w:rsid w:val="5FF732A1"/>
    <w:rsid w:val="60114363"/>
    <w:rsid w:val="602B6AA7"/>
    <w:rsid w:val="60433DF0"/>
    <w:rsid w:val="604C539B"/>
    <w:rsid w:val="6065645C"/>
    <w:rsid w:val="60681AA9"/>
    <w:rsid w:val="609F196E"/>
    <w:rsid w:val="60A26D69"/>
    <w:rsid w:val="60B62814"/>
    <w:rsid w:val="60DC59A2"/>
    <w:rsid w:val="60E23123"/>
    <w:rsid w:val="61045C75"/>
    <w:rsid w:val="610C4B2A"/>
    <w:rsid w:val="61306A6A"/>
    <w:rsid w:val="61565DA5"/>
    <w:rsid w:val="616109D2"/>
    <w:rsid w:val="6171498D"/>
    <w:rsid w:val="61750921"/>
    <w:rsid w:val="618C1561"/>
    <w:rsid w:val="618D5C6B"/>
    <w:rsid w:val="619012B7"/>
    <w:rsid w:val="61B64F19"/>
    <w:rsid w:val="61CD7F83"/>
    <w:rsid w:val="61D7354F"/>
    <w:rsid w:val="61ED495B"/>
    <w:rsid w:val="61EE5FDE"/>
    <w:rsid w:val="61FA0313"/>
    <w:rsid w:val="61FE26C5"/>
    <w:rsid w:val="62083543"/>
    <w:rsid w:val="620D2908"/>
    <w:rsid w:val="623F15C0"/>
    <w:rsid w:val="62516C98"/>
    <w:rsid w:val="625C73EB"/>
    <w:rsid w:val="626F5370"/>
    <w:rsid w:val="627B5AC3"/>
    <w:rsid w:val="62A74B0A"/>
    <w:rsid w:val="62B249B4"/>
    <w:rsid w:val="62DE6052"/>
    <w:rsid w:val="62FA7330"/>
    <w:rsid w:val="630A6E47"/>
    <w:rsid w:val="631B4651"/>
    <w:rsid w:val="632A1297"/>
    <w:rsid w:val="63700E68"/>
    <w:rsid w:val="63732C3E"/>
    <w:rsid w:val="63BC2837"/>
    <w:rsid w:val="640D6BEF"/>
    <w:rsid w:val="64340620"/>
    <w:rsid w:val="64356146"/>
    <w:rsid w:val="643979E4"/>
    <w:rsid w:val="64686B51"/>
    <w:rsid w:val="646D1D84"/>
    <w:rsid w:val="647A41FA"/>
    <w:rsid w:val="64A62BA0"/>
    <w:rsid w:val="64C23E7D"/>
    <w:rsid w:val="65000502"/>
    <w:rsid w:val="65110961"/>
    <w:rsid w:val="651A39E8"/>
    <w:rsid w:val="654E5711"/>
    <w:rsid w:val="65554CF2"/>
    <w:rsid w:val="65907AD8"/>
    <w:rsid w:val="65984BDE"/>
    <w:rsid w:val="65B23EF2"/>
    <w:rsid w:val="6618187B"/>
    <w:rsid w:val="662D17CA"/>
    <w:rsid w:val="664B39FF"/>
    <w:rsid w:val="6659611C"/>
    <w:rsid w:val="667747F4"/>
    <w:rsid w:val="667E2026"/>
    <w:rsid w:val="66C37A39"/>
    <w:rsid w:val="66CF2882"/>
    <w:rsid w:val="66E71979"/>
    <w:rsid w:val="66EA1469"/>
    <w:rsid w:val="670544F5"/>
    <w:rsid w:val="670C5884"/>
    <w:rsid w:val="673B7F17"/>
    <w:rsid w:val="673D3C8F"/>
    <w:rsid w:val="674951BF"/>
    <w:rsid w:val="6759039D"/>
    <w:rsid w:val="67A818B0"/>
    <w:rsid w:val="67B850C4"/>
    <w:rsid w:val="67BF46A4"/>
    <w:rsid w:val="67E802BB"/>
    <w:rsid w:val="6804655B"/>
    <w:rsid w:val="6828049B"/>
    <w:rsid w:val="68525518"/>
    <w:rsid w:val="68733C9B"/>
    <w:rsid w:val="688A2F04"/>
    <w:rsid w:val="68907DEF"/>
    <w:rsid w:val="68BA5D49"/>
    <w:rsid w:val="68C36416"/>
    <w:rsid w:val="690600B1"/>
    <w:rsid w:val="69112CDD"/>
    <w:rsid w:val="69194288"/>
    <w:rsid w:val="69221092"/>
    <w:rsid w:val="69280027"/>
    <w:rsid w:val="69354EFB"/>
    <w:rsid w:val="6937396B"/>
    <w:rsid w:val="696B4AA2"/>
    <w:rsid w:val="697119CE"/>
    <w:rsid w:val="697414BE"/>
    <w:rsid w:val="69BD0841"/>
    <w:rsid w:val="69C04704"/>
    <w:rsid w:val="69C75B99"/>
    <w:rsid w:val="69E9754E"/>
    <w:rsid w:val="69F50851"/>
    <w:rsid w:val="6A211646"/>
    <w:rsid w:val="6A3550F2"/>
    <w:rsid w:val="6A570BC4"/>
    <w:rsid w:val="6A627569"/>
    <w:rsid w:val="6A841BD5"/>
    <w:rsid w:val="6A9C2A7B"/>
    <w:rsid w:val="6AB53B3C"/>
    <w:rsid w:val="6AF24D91"/>
    <w:rsid w:val="6B036F9E"/>
    <w:rsid w:val="6B1A671B"/>
    <w:rsid w:val="6B1B6095"/>
    <w:rsid w:val="6B321631"/>
    <w:rsid w:val="6B562347"/>
    <w:rsid w:val="6B821888"/>
    <w:rsid w:val="6B824366"/>
    <w:rsid w:val="6B9D1512"/>
    <w:rsid w:val="6BD149A6"/>
    <w:rsid w:val="6BD6020E"/>
    <w:rsid w:val="6C041279"/>
    <w:rsid w:val="6C270A6A"/>
    <w:rsid w:val="6C3F4006"/>
    <w:rsid w:val="6C4E249B"/>
    <w:rsid w:val="6C4E4249"/>
    <w:rsid w:val="6C7E41A5"/>
    <w:rsid w:val="6C841DBF"/>
    <w:rsid w:val="6C8C6B1F"/>
    <w:rsid w:val="6CA83959"/>
    <w:rsid w:val="6CF748E0"/>
    <w:rsid w:val="6D0668D1"/>
    <w:rsid w:val="6D2C27DC"/>
    <w:rsid w:val="6D2F7BD6"/>
    <w:rsid w:val="6D604233"/>
    <w:rsid w:val="6D785A21"/>
    <w:rsid w:val="6D7E0B5E"/>
    <w:rsid w:val="6D920165"/>
    <w:rsid w:val="6DAF51BB"/>
    <w:rsid w:val="6DD8026E"/>
    <w:rsid w:val="6DDB7D5E"/>
    <w:rsid w:val="6E005A16"/>
    <w:rsid w:val="6E1F649C"/>
    <w:rsid w:val="6E427DDD"/>
    <w:rsid w:val="6E4C47B8"/>
    <w:rsid w:val="6E7066F8"/>
    <w:rsid w:val="6E8E4DD0"/>
    <w:rsid w:val="6EA6036C"/>
    <w:rsid w:val="6EA939B8"/>
    <w:rsid w:val="6EDC1FE0"/>
    <w:rsid w:val="6EF015E7"/>
    <w:rsid w:val="6F07701B"/>
    <w:rsid w:val="6F0B4673"/>
    <w:rsid w:val="6F0F4163"/>
    <w:rsid w:val="6F2A4AF9"/>
    <w:rsid w:val="6F4162E7"/>
    <w:rsid w:val="6F651FD5"/>
    <w:rsid w:val="6F795A80"/>
    <w:rsid w:val="6F863CF9"/>
    <w:rsid w:val="6F9208F0"/>
    <w:rsid w:val="6F944668"/>
    <w:rsid w:val="6FAA3E8C"/>
    <w:rsid w:val="6FB940CF"/>
    <w:rsid w:val="6FE54EC4"/>
    <w:rsid w:val="6FE729EA"/>
    <w:rsid w:val="7012394F"/>
    <w:rsid w:val="7020414E"/>
    <w:rsid w:val="70585696"/>
    <w:rsid w:val="70A332E1"/>
    <w:rsid w:val="70AB1C6A"/>
    <w:rsid w:val="70BB28C7"/>
    <w:rsid w:val="70CB230C"/>
    <w:rsid w:val="71093911"/>
    <w:rsid w:val="710B6BAC"/>
    <w:rsid w:val="711315BD"/>
    <w:rsid w:val="71306613"/>
    <w:rsid w:val="713559D7"/>
    <w:rsid w:val="7141612A"/>
    <w:rsid w:val="714874B8"/>
    <w:rsid w:val="714D216E"/>
    <w:rsid w:val="714F4CEB"/>
    <w:rsid w:val="71526589"/>
    <w:rsid w:val="71630796"/>
    <w:rsid w:val="716342F2"/>
    <w:rsid w:val="719C5A56"/>
    <w:rsid w:val="71B44B4E"/>
    <w:rsid w:val="71B763EC"/>
    <w:rsid w:val="71C254BD"/>
    <w:rsid w:val="71C50B09"/>
    <w:rsid w:val="71D90A58"/>
    <w:rsid w:val="724F4877"/>
    <w:rsid w:val="72AA0ADE"/>
    <w:rsid w:val="72C9533D"/>
    <w:rsid w:val="72D54D7C"/>
    <w:rsid w:val="72D57472"/>
    <w:rsid w:val="72EF7CA5"/>
    <w:rsid w:val="72FD42D3"/>
    <w:rsid w:val="73261A7B"/>
    <w:rsid w:val="73267CCD"/>
    <w:rsid w:val="733107D8"/>
    <w:rsid w:val="737B21A7"/>
    <w:rsid w:val="737C169B"/>
    <w:rsid w:val="738D4B62"/>
    <w:rsid w:val="73C41CC8"/>
    <w:rsid w:val="73C84053"/>
    <w:rsid w:val="73E536E4"/>
    <w:rsid w:val="73F92CEC"/>
    <w:rsid w:val="73FE47A6"/>
    <w:rsid w:val="73FE6554"/>
    <w:rsid w:val="740B2A1F"/>
    <w:rsid w:val="743B3304"/>
    <w:rsid w:val="745D6531"/>
    <w:rsid w:val="74600FBD"/>
    <w:rsid w:val="749D3FBF"/>
    <w:rsid w:val="749E5660"/>
    <w:rsid w:val="74AE3AD6"/>
    <w:rsid w:val="74DD362F"/>
    <w:rsid w:val="750E6C6B"/>
    <w:rsid w:val="751E11CC"/>
    <w:rsid w:val="753B10E2"/>
    <w:rsid w:val="75952EE8"/>
    <w:rsid w:val="75D91027"/>
    <w:rsid w:val="75E83018"/>
    <w:rsid w:val="75E85738"/>
    <w:rsid w:val="760342F6"/>
    <w:rsid w:val="761E2EDE"/>
    <w:rsid w:val="7625426C"/>
    <w:rsid w:val="76437692"/>
    <w:rsid w:val="76562678"/>
    <w:rsid w:val="765B5EE0"/>
    <w:rsid w:val="7671125F"/>
    <w:rsid w:val="76DD06A3"/>
    <w:rsid w:val="76FB321F"/>
    <w:rsid w:val="772067E2"/>
    <w:rsid w:val="772905BC"/>
    <w:rsid w:val="77342D4E"/>
    <w:rsid w:val="7746449A"/>
    <w:rsid w:val="776112D4"/>
    <w:rsid w:val="77664B3C"/>
    <w:rsid w:val="776B1C7B"/>
    <w:rsid w:val="777C4360"/>
    <w:rsid w:val="777E63ED"/>
    <w:rsid w:val="77882D05"/>
    <w:rsid w:val="77950F7E"/>
    <w:rsid w:val="77955421"/>
    <w:rsid w:val="77BC29AE"/>
    <w:rsid w:val="77C43611"/>
    <w:rsid w:val="77D45F4A"/>
    <w:rsid w:val="77E37F3B"/>
    <w:rsid w:val="77FA7033"/>
    <w:rsid w:val="780F19B8"/>
    <w:rsid w:val="7819395D"/>
    <w:rsid w:val="782E6CB4"/>
    <w:rsid w:val="7840538D"/>
    <w:rsid w:val="785C1A9B"/>
    <w:rsid w:val="786D1EFA"/>
    <w:rsid w:val="78746DE5"/>
    <w:rsid w:val="78760DAF"/>
    <w:rsid w:val="788A2AAC"/>
    <w:rsid w:val="789A3CEC"/>
    <w:rsid w:val="78A376CA"/>
    <w:rsid w:val="78EA5EF2"/>
    <w:rsid w:val="791A5BDE"/>
    <w:rsid w:val="791B3704"/>
    <w:rsid w:val="7924080B"/>
    <w:rsid w:val="7956298E"/>
    <w:rsid w:val="795A422D"/>
    <w:rsid w:val="795F5CE7"/>
    <w:rsid w:val="797B5EDA"/>
    <w:rsid w:val="79823784"/>
    <w:rsid w:val="799314ED"/>
    <w:rsid w:val="79A100AE"/>
    <w:rsid w:val="79BA191D"/>
    <w:rsid w:val="79C1605A"/>
    <w:rsid w:val="79D12015"/>
    <w:rsid w:val="79E306C6"/>
    <w:rsid w:val="79ED6E4F"/>
    <w:rsid w:val="79F3642F"/>
    <w:rsid w:val="79F857F4"/>
    <w:rsid w:val="7A275176"/>
    <w:rsid w:val="7A320D06"/>
    <w:rsid w:val="7A3D6F22"/>
    <w:rsid w:val="7A520562"/>
    <w:rsid w:val="7A5C3FD5"/>
    <w:rsid w:val="7ACF29F8"/>
    <w:rsid w:val="7AD149C3"/>
    <w:rsid w:val="7AE2097E"/>
    <w:rsid w:val="7B0A68E9"/>
    <w:rsid w:val="7B0D52CF"/>
    <w:rsid w:val="7B227779"/>
    <w:rsid w:val="7B354F51"/>
    <w:rsid w:val="7B3B1E3C"/>
    <w:rsid w:val="7B811F45"/>
    <w:rsid w:val="7B8D189E"/>
    <w:rsid w:val="7BAB5214"/>
    <w:rsid w:val="7BC71922"/>
    <w:rsid w:val="7BD057ED"/>
    <w:rsid w:val="7BDA6D21"/>
    <w:rsid w:val="7BDA78A7"/>
    <w:rsid w:val="7C0C5586"/>
    <w:rsid w:val="7C10151B"/>
    <w:rsid w:val="7C240B22"/>
    <w:rsid w:val="7C694787"/>
    <w:rsid w:val="7C8F0691"/>
    <w:rsid w:val="7CAB4D9F"/>
    <w:rsid w:val="7CBE4AD3"/>
    <w:rsid w:val="7CBF5669"/>
    <w:rsid w:val="7CC55E61"/>
    <w:rsid w:val="7CD460A4"/>
    <w:rsid w:val="7CFE5817"/>
    <w:rsid w:val="7D2C7C8E"/>
    <w:rsid w:val="7D397EFB"/>
    <w:rsid w:val="7D484F9C"/>
    <w:rsid w:val="7D586CD5"/>
    <w:rsid w:val="7D6722A4"/>
    <w:rsid w:val="7D8555F0"/>
    <w:rsid w:val="7DA4016C"/>
    <w:rsid w:val="7DB879A9"/>
    <w:rsid w:val="7DE40569"/>
    <w:rsid w:val="7E114D79"/>
    <w:rsid w:val="7E1F3C97"/>
    <w:rsid w:val="7E2B6198"/>
    <w:rsid w:val="7E350DC4"/>
    <w:rsid w:val="7E3E236F"/>
    <w:rsid w:val="7E5A082B"/>
    <w:rsid w:val="7E7A2C7B"/>
    <w:rsid w:val="7E801D18"/>
    <w:rsid w:val="7E90249F"/>
    <w:rsid w:val="7EAD4DFF"/>
    <w:rsid w:val="7EBC14E6"/>
    <w:rsid w:val="7EED306E"/>
    <w:rsid w:val="7F032C71"/>
    <w:rsid w:val="7F08472B"/>
    <w:rsid w:val="7F0D7F93"/>
    <w:rsid w:val="7F21759B"/>
    <w:rsid w:val="7F2826CD"/>
    <w:rsid w:val="7F3C6183"/>
    <w:rsid w:val="7F511C2E"/>
    <w:rsid w:val="7F7122D0"/>
    <w:rsid w:val="7F8567C3"/>
    <w:rsid w:val="7F86582B"/>
    <w:rsid w:val="7F930498"/>
    <w:rsid w:val="7FA77AA0"/>
    <w:rsid w:val="7FC00B62"/>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5">
    <w:name w:val="heading 1"/>
    <w:basedOn w:val="1"/>
    <w:next w:val="1"/>
    <w:link w:val="37"/>
    <w:qFormat/>
    <w:uiPriority w:val="9"/>
    <w:pPr>
      <w:keepNext/>
      <w:keepLines/>
      <w:spacing w:before="340" w:after="330" w:line="578" w:lineRule="auto"/>
      <w:jc w:val="center"/>
      <w:outlineLvl w:val="0"/>
    </w:pPr>
    <w:rPr>
      <w:rFonts w:eastAsia="黑体"/>
      <w:b/>
      <w:bCs/>
      <w:kern w:val="44"/>
      <w:sz w:val="44"/>
      <w:szCs w:val="44"/>
    </w:rPr>
  </w:style>
  <w:style w:type="paragraph" w:styleId="6">
    <w:name w:val="heading 2"/>
    <w:basedOn w:val="1"/>
    <w:next w:val="1"/>
    <w:link w:val="39"/>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7">
    <w:name w:val="heading 3"/>
    <w:basedOn w:val="1"/>
    <w:next w:val="1"/>
    <w:link w:val="48"/>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49"/>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unhideWhenUsed/>
    <w:qFormat/>
    <w:uiPriority w:val="99"/>
    <w:pPr>
      <w:spacing w:after="120" w:line="240" w:lineRule="auto"/>
      <w:jc w:val="both"/>
    </w:pPr>
    <w:rPr>
      <w:rFonts w:ascii="Times New Roman" w:hAnsi="Times New Roman" w:cs="Times New Roman"/>
      <w:kern w:val="0"/>
      <w:sz w:val="20"/>
      <w:szCs w:val="20"/>
    </w:rPr>
  </w:style>
  <w:style w:type="paragraph" w:styleId="3">
    <w:name w:val="Body Text First Indent"/>
    <w:basedOn w:val="2"/>
    <w:next w:val="4"/>
    <w:qFormat/>
    <w:uiPriority w:val="0"/>
    <w:pPr>
      <w:autoSpaceDE w:val="0"/>
      <w:autoSpaceDN w:val="0"/>
      <w:adjustRightInd w:val="0"/>
      <w:ind w:firstLine="420" w:firstLineChars="100"/>
      <w:textAlignment w:val="baseline"/>
    </w:pPr>
    <w:rPr>
      <w:sz w:val="24"/>
      <w:szCs w:val="20"/>
    </w:rPr>
  </w:style>
  <w:style w:type="paragraph" w:styleId="4">
    <w:name w:val="toc 6"/>
    <w:basedOn w:val="1"/>
    <w:next w:val="1"/>
    <w:autoRedefine/>
    <w:unhideWhenUsed/>
    <w:qFormat/>
    <w:uiPriority w:val="39"/>
    <w:pPr>
      <w:ind w:left="1200"/>
    </w:pPr>
    <w:rPr>
      <w:rFonts w:asciiTheme="minorHAnsi" w:eastAsiaTheme="minorHAnsi"/>
      <w:sz w:val="18"/>
      <w:szCs w:val="18"/>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6"/>
    <w:qFormat/>
    <w:uiPriority w:val="0"/>
    <w:pPr>
      <w:spacing w:line="240" w:lineRule="auto"/>
    </w:pPr>
    <w:rPr>
      <w:rFonts w:asciiTheme="minorHAnsi" w:hAnsiTheme="minorHAnsi" w:eastAsiaTheme="minorEastAsia"/>
      <w:sz w:val="21"/>
      <w:szCs w:val="24"/>
    </w:rPr>
  </w:style>
  <w:style w:type="paragraph" w:styleId="13">
    <w:name w:val="Body Text 3"/>
    <w:basedOn w:val="1"/>
    <w:link w:val="42"/>
    <w:semiHidden/>
    <w:unhideWhenUsed/>
    <w:qFormat/>
    <w:uiPriority w:val="99"/>
    <w:pPr>
      <w:spacing w:after="120"/>
    </w:pPr>
    <w:rPr>
      <w:sz w:val="16"/>
      <w:szCs w:val="16"/>
    </w:rPr>
  </w:style>
  <w:style w:type="paragraph" w:styleId="14">
    <w:name w:val="Body Text Indent"/>
    <w:basedOn w:val="1"/>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36"/>
    <w:unhideWhenUsed/>
    <w:qFormat/>
    <w:uiPriority w:val="99"/>
    <w:pPr>
      <w:tabs>
        <w:tab w:val="center" w:pos="4153"/>
        <w:tab w:val="right" w:pos="8306"/>
      </w:tabs>
      <w:snapToGrid w:val="0"/>
    </w:pPr>
    <w:rPr>
      <w:sz w:val="18"/>
      <w:szCs w:val="18"/>
    </w:rPr>
  </w:style>
  <w:style w:type="paragraph" w:styleId="2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2">
    <w:name w:val="toc 4"/>
    <w:basedOn w:val="1"/>
    <w:next w:val="1"/>
    <w:autoRedefine/>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2"/>
    <w:next w:val="12"/>
    <w:link w:val="51"/>
    <w:semiHidden/>
    <w:unhideWhenUsed/>
    <w:qFormat/>
    <w:uiPriority w:val="99"/>
    <w:pPr>
      <w:spacing w:line="360" w:lineRule="auto"/>
    </w:pPr>
    <w:rPr>
      <w:rFonts w:ascii="宋体" w:hAnsi="宋体" w:eastAsia="宋体"/>
      <w:b/>
      <w:bCs/>
      <w:sz w:val="24"/>
      <w:szCs w:val="2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正文缩进2"/>
    <w:basedOn w:val="1"/>
    <w:qFormat/>
    <w:uiPriority w:val="0"/>
    <w:pPr>
      <w:wordWrap w:val="0"/>
      <w:ind w:firstLine="200" w:firstLineChars="200"/>
    </w:pPr>
  </w:style>
  <w:style w:type="character" w:customStyle="1" w:styleId="35">
    <w:name w:val="页眉 字符"/>
    <w:basedOn w:val="30"/>
    <w:link w:val="20"/>
    <w:qFormat/>
    <w:uiPriority w:val="99"/>
    <w:rPr>
      <w:rFonts w:eastAsia="宋体"/>
      <w:sz w:val="18"/>
      <w:szCs w:val="18"/>
    </w:rPr>
  </w:style>
  <w:style w:type="character" w:customStyle="1" w:styleId="36">
    <w:name w:val="页脚 字符"/>
    <w:basedOn w:val="30"/>
    <w:link w:val="19"/>
    <w:qFormat/>
    <w:uiPriority w:val="99"/>
    <w:rPr>
      <w:rFonts w:eastAsia="宋体"/>
      <w:sz w:val="18"/>
      <w:szCs w:val="18"/>
    </w:rPr>
  </w:style>
  <w:style w:type="character" w:customStyle="1" w:styleId="37">
    <w:name w:val="标题 1 字符"/>
    <w:basedOn w:val="30"/>
    <w:link w:val="5"/>
    <w:qFormat/>
    <w:uiPriority w:val="9"/>
    <w:rPr>
      <w:rFonts w:ascii="宋体" w:hAnsi="宋体" w:eastAsia="黑体"/>
      <w:b/>
      <w:bCs/>
      <w:kern w:val="44"/>
      <w:sz w:val="44"/>
      <w:szCs w:val="44"/>
    </w:rPr>
  </w:style>
  <w:style w:type="paragraph" w:styleId="38">
    <w:name w:val="List Paragraph"/>
    <w:basedOn w:val="1"/>
    <w:link w:val="47"/>
    <w:qFormat/>
    <w:uiPriority w:val="34"/>
    <w:pPr>
      <w:ind w:firstLine="420" w:firstLineChars="200"/>
    </w:pPr>
  </w:style>
  <w:style w:type="character" w:customStyle="1" w:styleId="39">
    <w:name w:val="标题 2 字符"/>
    <w:basedOn w:val="30"/>
    <w:link w:val="6"/>
    <w:qFormat/>
    <w:uiPriority w:val="9"/>
    <w:rPr>
      <w:rFonts w:eastAsia="宋体" w:asciiTheme="majorHAnsi" w:hAnsiTheme="majorHAnsi" w:cstheme="majorBidi"/>
      <w:b/>
      <w:bCs/>
      <w:sz w:val="32"/>
      <w:szCs w:val="32"/>
    </w:rPr>
  </w:style>
  <w:style w:type="character" w:customStyle="1" w:styleId="40">
    <w:name w:val="未处理的提及1"/>
    <w:basedOn w:val="30"/>
    <w:semiHidden/>
    <w:unhideWhenUsed/>
    <w:qFormat/>
    <w:uiPriority w:val="99"/>
    <w:rPr>
      <w:color w:val="605E5C"/>
      <w:shd w:val="clear" w:color="auto" w:fill="E1DFDD"/>
    </w:rPr>
  </w:style>
  <w:style w:type="character" w:customStyle="1" w:styleId="41">
    <w:name w:val="正文文本 字符"/>
    <w:basedOn w:val="30"/>
    <w:link w:val="2"/>
    <w:qFormat/>
    <w:uiPriority w:val="99"/>
    <w:rPr>
      <w:rFonts w:ascii="Times New Roman" w:hAnsi="Times New Roman" w:eastAsia="宋体" w:cs="Times New Roman"/>
      <w:kern w:val="0"/>
      <w:sz w:val="20"/>
      <w:szCs w:val="20"/>
    </w:rPr>
  </w:style>
  <w:style w:type="character" w:customStyle="1" w:styleId="42">
    <w:name w:val="正文文本 3 字符"/>
    <w:basedOn w:val="30"/>
    <w:link w:val="13"/>
    <w:semiHidden/>
    <w:qFormat/>
    <w:uiPriority w:val="99"/>
    <w:rPr>
      <w:rFonts w:ascii="宋体" w:hAnsi="宋体" w:eastAsia="宋体"/>
      <w:sz w:val="16"/>
      <w:szCs w:val="16"/>
    </w:rPr>
  </w:style>
  <w:style w:type="paragraph" w:customStyle="1" w:styleId="43">
    <w:name w:val="Default"/>
    <w:link w:val="4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Default Char Char"/>
    <w:link w:val="43"/>
    <w:qFormat/>
    <w:uiPriority w:val="0"/>
    <w:rPr>
      <w:rFonts w:ascii=".." w:hAnsi="Times New Roman" w:eastAsia=".." w:cs="Times New Roman"/>
      <w:color w:val="000000"/>
      <w:kern w:val="0"/>
      <w:sz w:val="24"/>
      <w:szCs w:val="24"/>
    </w:rPr>
  </w:style>
  <w:style w:type="paragraph" w:styleId="45">
    <w:name w:val="No Spacing"/>
    <w:link w:val="50"/>
    <w:qFormat/>
    <w:uiPriority w:val="1"/>
    <w:pPr>
      <w:widowControl w:val="0"/>
    </w:pPr>
    <w:rPr>
      <w:rFonts w:ascii="宋体" w:hAnsi="宋体" w:eastAsia="宋体" w:cstheme="minorBidi"/>
      <w:kern w:val="2"/>
      <w:sz w:val="21"/>
      <w:szCs w:val="22"/>
      <w:lang w:val="en-US" w:eastAsia="zh-CN" w:bidi="ar-SA"/>
    </w:rPr>
  </w:style>
  <w:style w:type="character" w:customStyle="1" w:styleId="46">
    <w:name w:val="批注文字 字符"/>
    <w:basedOn w:val="30"/>
    <w:link w:val="12"/>
    <w:qFormat/>
    <w:uiPriority w:val="0"/>
    <w:rPr>
      <w:szCs w:val="24"/>
    </w:rPr>
  </w:style>
  <w:style w:type="character" w:customStyle="1" w:styleId="47">
    <w:name w:val="列表段落 字符"/>
    <w:link w:val="38"/>
    <w:qFormat/>
    <w:uiPriority w:val="34"/>
    <w:rPr>
      <w:rFonts w:ascii="宋体" w:hAnsi="宋体" w:eastAsia="宋体"/>
      <w:sz w:val="24"/>
    </w:rPr>
  </w:style>
  <w:style w:type="character" w:customStyle="1" w:styleId="48">
    <w:name w:val="标题 3 字符"/>
    <w:basedOn w:val="30"/>
    <w:link w:val="7"/>
    <w:autoRedefine/>
    <w:qFormat/>
    <w:uiPriority w:val="9"/>
    <w:rPr>
      <w:rFonts w:ascii="宋体" w:hAnsi="宋体" w:eastAsia="宋体"/>
      <w:b/>
      <w:bCs/>
      <w:sz w:val="32"/>
      <w:szCs w:val="32"/>
    </w:rPr>
  </w:style>
  <w:style w:type="character" w:customStyle="1" w:styleId="49">
    <w:name w:val="标题 4 字符"/>
    <w:basedOn w:val="30"/>
    <w:link w:val="8"/>
    <w:autoRedefine/>
    <w:qFormat/>
    <w:uiPriority w:val="9"/>
    <w:rPr>
      <w:rFonts w:eastAsia="宋体" w:asciiTheme="majorHAnsi" w:hAnsiTheme="majorHAnsi" w:cstheme="majorBidi"/>
      <w:b/>
      <w:bCs/>
      <w:sz w:val="28"/>
      <w:szCs w:val="28"/>
    </w:rPr>
  </w:style>
  <w:style w:type="character" w:customStyle="1" w:styleId="50">
    <w:name w:val="无间隔 字符"/>
    <w:link w:val="45"/>
    <w:qFormat/>
    <w:uiPriority w:val="1"/>
    <w:rPr>
      <w:rFonts w:ascii="宋体" w:hAnsi="宋体" w:eastAsia="宋体"/>
    </w:rPr>
  </w:style>
  <w:style w:type="character" w:customStyle="1" w:styleId="51">
    <w:name w:val="批注主题 字符"/>
    <w:basedOn w:val="46"/>
    <w:link w:val="27"/>
    <w:semiHidden/>
    <w:qFormat/>
    <w:uiPriority w:val="99"/>
    <w:rPr>
      <w:rFonts w:ascii="宋体" w:hAnsi="宋体" w:eastAsia="宋体"/>
      <w:b/>
      <w:bCs/>
      <w:kern w:val="2"/>
      <w:sz w:val="24"/>
      <w:szCs w:val="22"/>
    </w:rPr>
  </w:style>
  <w:style w:type="paragraph" w:customStyle="1" w:styleId="5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3">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4">
    <w:name w:val="正文1"/>
    <w:autoRedefine/>
    <w:qFormat/>
    <w:uiPriority w:val="0"/>
    <w:pPr>
      <w:widowControl w:val="0"/>
      <w:jc w:val="both"/>
    </w:pPr>
    <w:rPr>
      <w:rFonts w:ascii="Calibri" w:hAnsi="Calibri" w:eastAsia="宋体" w:cs="Times New Roman"/>
      <w:lang w:val="en-US" w:eastAsia="zh-CN" w:bidi="ar-SA"/>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59">
    <w:name w:val="列出段落1"/>
    <w:basedOn w:val="1"/>
    <w:autoRedefine/>
    <w:qFormat/>
    <w:uiPriority w:val="0"/>
    <w:pPr>
      <w:ind w:firstLine="420" w:firstLineChars="200"/>
    </w:pPr>
    <w:rPr>
      <w:szCs w:val="21"/>
    </w:rPr>
  </w:style>
  <w:style w:type="paragraph" w:customStyle="1" w:styleId="60">
    <w:name w:val="Normal_22"/>
    <w:autoRedefine/>
    <w:qFormat/>
    <w:uiPriority w:val="0"/>
    <w:rPr>
      <w:rFonts w:ascii="Times New Roman" w:hAnsi="Times New Roman" w:eastAsia="Times New Roman" w:cs="Times New Roman"/>
      <w:sz w:val="24"/>
      <w:szCs w:val="24"/>
      <w:lang w:bidi="ar-SA"/>
    </w:rPr>
  </w:style>
  <w:style w:type="paragraph" w:customStyle="1" w:styleId="61">
    <w:name w:val="Char Char Char Char Char Char Char1 Char"/>
    <w:basedOn w:val="1"/>
    <w:autoRedefine/>
    <w:qFormat/>
    <w:uiPriority w:val="0"/>
    <w:rPr>
      <w:rFonts w:ascii="Arial" w:hAnsi="Arial" w:eastAsia="宋体" w:cs="Arial"/>
      <w:sz w:val="24"/>
    </w:rPr>
  </w:style>
  <w:style w:type="paragraph" w:customStyle="1" w:styleId="6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3">
    <w:name w:val="正文_4_0"/>
    <w:basedOn w:val="64"/>
    <w:qFormat/>
    <w:uiPriority w:val="0"/>
    <w:pPr>
      <w:widowControl w:val="0"/>
      <w:jc w:val="both"/>
    </w:pPr>
    <w:rPr>
      <w:rFonts w:ascii="Calibri" w:hAnsi="Calibri"/>
      <w:kern w:val="2"/>
      <w:sz w:val="21"/>
      <w:szCs w:val="22"/>
      <w:lang w:val="en-US" w:eastAsia="zh-CN" w:bidi="ar-SA"/>
    </w:rPr>
  </w:style>
  <w:style w:type="paragraph" w:customStyle="1" w:styleId="64">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Normal_0"/>
    <w:qFormat/>
    <w:uiPriority w:val="0"/>
    <w:rPr>
      <w:rFonts w:ascii="Times New Roman" w:hAnsi="Times New Roman" w:eastAsia="Times New Roman" w:cs="Times New Roman"/>
      <w:sz w:val="24"/>
      <w:szCs w:val="24"/>
      <w:lang w:val="en-US" w:eastAsia="zh-CN" w:bidi="ar-SA"/>
    </w:rPr>
  </w:style>
  <w:style w:type="paragraph" w:customStyle="1" w:styleId="66">
    <w:name w:val="正文_1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807</Words>
  <Characters>884</Characters>
  <Lines>294</Lines>
  <Paragraphs>82</Paragraphs>
  <TotalTime>78</TotalTime>
  <ScaleCrop>false</ScaleCrop>
  <LinksUpToDate>false</LinksUpToDate>
  <CharactersWithSpaces>1036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   ミ愛伱嘚時光╮</cp:lastModifiedBy>
  <cp:lastPrinted>2024-12-28T09:36:00Z</cp:lastPrinted>
  <dcterms:modified xsi:type="dcterms:W3CDTF">2026-04-13T05:29:48Z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D3333A0D466A4426BE16562D36FBDCF2_13</vt:lpwstr>
  </property>
  <property fmtid="{D5CDD505-2E9C-101B-9397-08002B2CF9AE}" pid="4" name="KSOTemplateDocerSaveRecord">
    <vt:lpwstr>eyJoZGlkIjoiYTMwZGM3MDcwMGEzZjljNWIwZDZmNzQ5NzEzMDZiZDkiLCJ1c2VySWQiOiIzMDA4NTMwMTYifQ==</vt:lpwstr>
  </property>
</Properties>
</file>