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171B0">
      <w:pPr>
        <w:tabs>
          <w:tab w:val="left" w:pos="4620"/>
        </w:tabs>
        <w:snapToGrid w:val="0"/>
        <w:spacing w:line="240" w:lineRule="atLeast"/>
        <w:jc w:val="center"/>
        <w:textAlignment w:val="baseline"/>
        <w:outlineLvl w:val="9"/>
        <w:rPr>
          <w:rFonts w:hint="eastAsia" w:asciiTheme="minorEastAsia" w:hAnsiTheme="minorEastAsia" w:eastAsiaTheme="minorEastAsia" w:cstheme="minorEastAsia"/>
          <w:b/>
          <w:color w:val="000000" w:themeColor="text1"/>
          <w:sz w:val="44"/>
          <w:szCs w:val="44"/>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44"/>
          <w:szCs w:val="44"/>
          <w:highlight w:val="none"/>
          <w:lang w:val="en-US" w:eastAsia="zh-CN"/>
          <w14:textFill>
            <w14:solidFill>
              <w14:schemeClr w14:val="tx1"/>
            </w14:solidFill>
          </w14:textFill>
        </w:rPr>
        <w:t xml:space="preserve"> </w:t>
      </w:r>
    </w:p>
    <w:p w14:paraId="676732FC">
      <w:pPr>
        <w:pStyle w:val="36"/>
        <w:ind w:firstLine="480"/>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0E83D987">
      <w:pPr>
        <w:pStyle w:val="35"/>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7997C3D2">
      <w:pPr>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28FD7DD9">
      <w:pPr>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6B9764E2">
      <w:pPr>
        <w:snapToGrid w:val="0"/>
        <w:spacing w:line="240" w:lineRule="atLeast"/>
        <w:jc w:val="center"/>
        <w:textAlignment w:val="baseline"/>
        <w:rPr>
          <w:rFonts w:hint="eastAsia"/>
          <w:b/>
          <w:bCs/>
          <w:color w:val="000000" w:themeColor="text1"/>
          <w:spacing w:val="-12"/>
          <w:sz w:val="44"/>
          <w:szCs w:val="44"/>
          <w:highlight w:val="none"/>
          <w:lang w:val="en-US" w:eastAsia="zh-CN"/>
          <w14:textFill>
            <w14:solidFill>
              <w14:schemeClr w14:val="tx1"/>
            </w14:solidFill>
          </w14:textFill>
        </w:rPr>
      </w:pPr>
      <w:r>
        <w:rPr>
          <w:rFonts w:hint="eastAsia"/>
          <w:b/>
          <w:bCs/>
          <w:color w:val="000000" w:themeColor="text1"/>
          <w:spacing w:val="-12"/>
          <w:sz w:val="44"/>
          <w:szCs w:val="44"/>
          <w:highlight w:val="none"/>
          <w:lang w:val="en-US" w:eastAsia="zh-CN"/>
          <w14:textFill>
            <w14:solidFill>
              <w14:schemeClr w14:val="tx1"/>
            </w14:solidFill>
          </w14:textFill>
        </w:rPr>
        <w:t>岳普湖县旅游服务能力提升项目（“山东人游喀什”、“喀什人看发展”）</w:t>
      </w:r>
    </w:p>
    <w:p w14:paraId="64D54A4F">
      <w:pPr>
        <w:snapToGrid w:val="0"/>
        <w:spacing w:line="240" w:lineRule="atLeast"/>
        <w:jc w:val="center"/>
        <w:textAlignment w:val="baseline"/>
        <w:rPr>
          <w:rFonts w:hint="eastAsia"/>
          <w:b/>
          <w:bCs/>
          <w:color w:val="000000" w:themeColor="text1"/>
          <w:spacing w:val="-12"/>
          <w:sz w:val="44"/>
          <w:szCs w:val="44"/>
          <w:highlight w:val="none"/>
          <w:lang w:val="en-US" w:eastAsia="zh-CN"/>
          <w14:textFill>
            <w14:solidFill>
              <w14:schemeClr w14:val="tx1"/>
            </w14:solidFill>
          </w14:textFill>
        </w:rPr>
      </w:pPr>
    </w:p>
    <w:p w14:paraId="336C3E6E">
      <w:pPr>
        <w:snapToGrid w:val="0"/>
        <w:spacing w:line="240" w:lineRule="atLeast"/>
        <w:jc w:val="center"/>
        <w:textAlignment w:val="baseline"/>
        <w:rPr>
          <w:rFonts w:hint="eastAsia"/>
          <w:b/>
          <w:bCs/>
          <w:color w:val="000000" w:themeColor="text1"/>
          <w:spacing w:val="-12"/>
          <w:sz w:val="44"/>
          <w:szCs w:val="44"/>
          <w:highlight w:val="none"/>
          <w:lang w:val="en-US" w:eastAsia="zh-CN"/>
          <w14:textFill>
            <w14:solidFill>
              <w14:schemeClr w14:val="tx1"/>
            </w14:solidFill>
          </w14:textFill>
        </w:rPr>
      </w:pPr>
    </w:p>
    <w:p w14:paraId="115F8A88">
      <w:pPr>
        <w:snapToGrid w:val="0"/>
        <w:spacing w:line="240" w:lineRule="atLeast"/>
        <w:jc w:val="center"/>
        <w:textAlignment w:val="baseline"/>
        <w:rPr>
          <w:rFonts w:hint="eastAsia"/>
          <w:b/>
          <w:bCs/>
          <w:color w:val="000000" w:themeColor="text1"/>
          <w:spacing w:val="-12"/>
          <w:sz w:val="44"/>
          <w:szCs w:val="44"/>
          <w:highlight w:val="none"/>
          <w:lang w:val="en-US" w:eastAsia="zh-CN"/>
          <w14:textFill>
            <w14:solidFill>
              <w14:schemeClr w14:val="tx1"/>
            </w14:solidFill>
          </w14:textFill>
        </w:rPr>
      </w:pPr>
    </w:p>
    <w:p w14:paraId="79DC4FE0">
      <w:pPr>
        <w:snapToGrid w:val="0"/>
        <w:spacing w:line="240" w:lineRule="atLeast"/>
        <w:jc w:val="center"/>
        <w:textAlignment w:val="baseline"/>
        <w:rPr>
          <w:rFonts w:hint="eastAsia" w:asciiTheme="minorEastAsia" w:hAnsiTheme="minorEastAsia" w:eastAsiaTheme="minorEastAsia" w:cstheme="minorEastAsia"/>
          <w:b/>
          <w:bCs/>
          <w:color w:val="000000" w:themeColor="text1"/>
          <w:spacing w:val="5"/>
          <w:sz w:val="32"/>
          <w:szCs w:val="32"/>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5"/>
          <w:sz w:val="32"/>
          <w:szCs w:val="32"/>
          <w:highlight w:val="none"/>
          <w14:textFill>
            <w14:solidFill>
              <w14:schemeClr w14:val="tx1"/>
            </w14:solidFill>
          </w14:textFill>
        </w:rPr>
        <w:t>项目编号</w:t>
      </w:r>
      <w:r>
        <w:rPr>
          <w:rFonts w:hint="eastAsia" w:asciiTheme="minorEastAsia" w:hAnsiTheme="minorEastAsia" w:eastAsiaTheme="minorEastAsia" w:cstheme="minorEastAsia"/>
          <w:b/>
          <w:bCs/>
          <w:color w:val="000000" w:themeColor="text1"/>
          <w:spacing w:val="5"/>
          <w:sz w:val="32"/>
          <w:szCs w:val="32"/>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pacing w:val="5"/>
          <w:sz w:val="32"/>
          <w:szCs w:val="32"/>
          <w:highlight w:val="none"/>
          <w:lang w:val="en-US" w:eastAsia="zh-CN"/>
          <w14:textFill>
            <w14:solidFill>
              <w14:schemeClr w14:val="tx1"/>
            </w14:solidFill>
          </w14:textFill>
        </w:rPr>
        <w:t>YXHCCG-2026002</w:t>
      </w:r>
    </w:p>
    <w:p w14:paraId="3D776A2E">
      <w:pPr>
        <w:snapToGrid w:val="0"/>
        <w:spacing w:line="240" w:lineRule="atLeast"/>
        <w:jc w:val="center"/>
        <w:textAlignment w:val="baseline"/>
        <w:rPr>
          <w:rFonts w:hint="eastAsia" w:asciiTheme="minorEastAsia" w:hAnsiTheme="minorEastAsia" w:eastAsiaTheme="minorEastAsia" w:cstheme="minorEastAsia"/>
          <w:b/>
          <w:bCs/>
          <w:color w:val="000000" w:themeColor="text1"/>
          <w:spacing w:val="5"/>
          <w:sz w:val="32"/>
          <w:szCs w:val="32"/>
          <w:highlight w:val="none"/>
          <w:lang w:val="en-US" w:eastAsia="zh-CN"/>
          <w14:textFill>
            <w14:solidFill>
              <w14:schemeClr w14:val="tx1"/>
            </w14:solidFill>
          </w14:textFill>
        </w:rPr>
      </w:pPr>
    </w:p>
    <w:p w14:paraId="7CCB0B2E">
      <w:pPr>
        <w:snapToGrid w:val="0"/>
        <w:spacing w:line="240" w:lineRule="atLeast"/>
        <w:jc w:val="center"/>
        <w:textAlignment w:val="baseline"/>
        <w:rPr>
          <w:rFonts w:hint="eastAsia" w:asciiTheme="minorEastAsia" w:hAnsiTheme="minorEastAsia" w:eastAsiaTheme="minorEastAsia" w:cstheme="minorEastAsia"/>
          <w:b/>
          <w:bCs/>
          <w:color w:val="000000" w:themeColor="text1"/>
          <w:spacing w:val="5"/>
          <w:sz w:val="32"/>
          <w:szCs w:val="32"/>
          <w:highlight w:val="none"/>
          <w:lang w:val="en-US" w:eastAsia="zh-CN"/>
          <w14:textFill>
            <w14:solidFill>
              <w14:schemeClr w14:val="tx1"/>
            </w14:solidFill>
          </w14:textFill>
        </w:rPr>
      </w:pPr>
    </w:p>
    <w:p w14:paraId="17F52DD1">
      <w:pPr>
        <w:pStyle w:val="11"/>
        <w:spacing w:before="102" w:line="541" w:lineRule="auto"/>
        <w:ind w:left="0" w:leftChars="0" w:right="0" w:rightChars="0" w:firstLine="0" w:firstLineChars="0"/>
        <w:jc w:val="center"/>
        <w:rPr>
          <w:color w:val="000000" w:themeColor="text1"/>
          <w:sz w:val="44"/>
          <w:szCs w:val="44"/>
          <w:highlight w:val="none"/>
          <w14:textFill>
            <w14:solidFill>
              <w14:schemeClr w14:val="tx1"/>
            </w14:solidFill>
          </w14:textFill>
        </w:rPr>
      </w:pPr>
      <w:r>
        <w:rPr>
          <w:b/>
          <w:bCs/>
          <w:color w:val="000000" w:themeColor="text1"/>
          <w:spacing w:val="-12"/>
          <w:sz w:val="44"/>
          <w:szCs w:val="44"/>
          <w:highlight w:val="none"/>
          <w14:textFill>
            <w14:solidFill>
              <w14:schemeClr w14:val="tx1"/>
            </w14:solidFill>
          </w14:textFill>
        </w:rPr>
        <w:t>竞争性磋商文件</w:t>
      </w:r>
    </w:p>
    <w:p w14:paraId="29A7A7AD">
      <w:pPr>
        <w:pStyle w:val="26"/>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2006569">
      <w:pPr>
        <w:snapToGrid w:val="0"/>
        <w:spacing w:line="240" w:lineRule="atLeast"/>
        <w:jc w:val="center"/>
        <w:textAlignment w:val="baseline"/>
        <w:rPr>
          <w:rFonts w:hint="eastAsia" w:asciiTheme="minorEastAsia" w:hAnsiTheme="minorEastAsia" w:eastAsiaTheme="minorEastAsia" w:cstheme="minorEastAsia"/>
          <w:b/>
          <w:color w:val="000000" w:themeColor="text1"/>
          <w:sz w:val="48"/>
          <w:szCs w:val="4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48"/>
          <w:szCs w:val="48"/>
          <w:highlight w:val="none"/>
          <w14:textFill>
            <w14:solidFill>
              <w14:schemeClr w14:val="tx1"/>
            </w14:solidFill>
          </w14:textFill>
        </w:rPr>
        <w:t>第</w:t>
      </w:r>
      <w:r>
        <w:rPr>
          <w:rFonts w:hint="eastAsia" w:asciiTheme="minorEastAsia" w:hAnsiTheme="minorEastAsia" w:eastAsiaTheme="minorEastAsia" w:cstheme="minorEastAsia"/>
          <w:b/>
          <w:color w:val="000000" w:themeColor="text1"/>
          <w:sz w:val="48"/>
          <w:szCs w:val="48"/>
          <w:highlight w:val="none"/>
          <w:lang w:val="en-US" w:eastAsia="zh-CN"/>
          <w14:textFill>
            <w14:solidFill>
              <w14:schemeClr w14:val="tx1"/>
            </w14:solidFill>
          </w14:textFill>
        </w:rPr>
        <w:t>一</w:t>
      </w:r>
      <w:r>
        <w:rPr>
          <w:rFonts w:hint="eastAsia" w:asciiTheme="minorEastAsia" w:hAnsiTheme="minorEastAsia" w:eastAsiaTheme="minorEastAsia" w:cstheme="minorEastAsia"/>
          <w:b/>
          <w:color w:val="000000" w:themeColor="text1"/>
          <w:sz w:val="48"/>
          <w:szCs w:val="48"/>
          <w:highlight w:val="none"/>
          <w14:textFill>
            <w14:solidFill>
              <w14:schemeClr w14:val="tx1"/>
            </w14:solidFill>
          </w14:textFill>
        </w:rPr>
        <w:t>册</w:t>
      </w:r>
    </w:p>
    <w:p w14:paraId="6B5A4DEF">
      <w:pPr>
        <w:pStyle w:val="26"/>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40961164">
      <w:pPr>
        <w:snapToGrid w:val="0"/>
        <w:spacing w:line="240" w:lineRule="atLeast"/>
        <w:jc w:val="left"/>
        <w:textAlignment w:val="baseline"/>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pPr>
    </w:p>
    <w:p w14:paraId="5DA291B2">
      <w:pPr>
        <w:pStyle w:val="20"/>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pPr>
    </w:p>
    <w:p w14:paraId="2E790B88">
      <w:pPr>
        <w:pStyle w:val="20"/>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pPr>
    </w:p>
    <w:p w14:paraId="360FE208">
      <w:pPr>
        <w:pStyle w:val="20"/>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pPr>
    </w:p>
    <w:p w14:paraId="2AA7F9ED">
      <w:pPr>
        <w:pStyle w:val="20"/>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pPr>
    </w:p>
    <w:p w14:paraId="74D8D53E">
      <w:pPr>
        <w:pStyle w:val="20"/>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pPr>
    </w:p>
    <w:p w14:paraId="66F7622C">
      <w:pPr>
        <w:snapToGrid w:val="0"/>
        <w:spacing w:line="240" w:lineRule="atLeast"/>
        <w:jc w:val="left"/>
        <w:textAlignment w:val="baseline"/>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pPr>
    </w:p>
    <w:p w14:paraId="574F1045">
      <w:pPr>
        <w:pStyle w:val="11"/>
        <w:spacing w:before="101" w:line="225" w:lineRule="auto"/>
        <w:ind w:left="0" w:leftChars="0" w:right="0" w:rightChars="0" w:firstLine="0" w:firstLineChars="0"/>
        <w:jc w:val="left"/>
        <w:rPr>
          <w:rFonts w:hint="eastAsia" w:asciiTheme="minorEastAsia" w:hAnsiTheme="minorEastAsia" w:eastAsiaTheme="minorEastAsia" w:cstheme="minorEastAsia"/>
          <w:b/>
          <w:bCs/>
          <w:color w:val="000000" w:themeColor="text1"/>
          <w:spacing w:val="7"/>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7"/>
          <w:sz w:val="28"/>
          <w:szCs w:val="28"/>
          <w:highlight w:val="none"/>
          <w14:textFill>
            <w14:solidFill>
              <w14:schemeClr w14:val="tx1"/>
            </w14:solidFill>
          </w14:textFill>
        </w:rPr>
        <w:t>采购人：</w:t>
      </w:r>
      <w:r>
        <w:rPr>
          <w:rFonts w:hint="eastAsia" w:asciiTheme="minorEastAsia" w:hAnsiTheme="minorEastAsia" w:eastAsiaTheme="minorEastAsia" w:cstheme="minorEastAsia"/>
          <w:b/>
          <w:bCs/>
          <w:color w:val="000000" w:themeColor="text1"/>
          <w:spacing w:val="7"/>
          <w:sz w:val="28"/>
          <w:szCs w:val="28"/>
          <w:highlight w:val="none"/>
          <w:lang w:val="en-US" w:eastAsia="zh-CN"/>
          <w14:textFill>
            <w14:solidFill>
              <w14:schemeClr w14:val="tx1"/>
            </w14:solidFill>
          </w14:textFill>
        </w:rPr>
        <w:t xml:space="preserve">岳普湖县铁热木镇人民政府 </w:t>
      </w:r>
    </w:p>
    <w:p w14:paraId="0DF948F9">
      <w:pPr>
        <w:spacing w:line="349" w:lineRule="auto"/>
        <w:ind w:left="0" w:leftChars="0" w:right="0" w:rightChars="0" w:firstLine="0" w:firstLineChars="0"/>
        <w:jc w:val="left"/>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14:paraId="033934C9">
      <w:pPr>
        <w:pStyle w:val="11"/>
        <w:spacing w:before="101" w:line="225" w:lineRule="auto"/>
        <w:ind w:left="0" w:leftChars="0" w:right="0" w:rightChars="0" w:firstLine="0" w:firstLineChars="0"/>
        <w:jc w:val="left"/>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7"/>
          <w:sz w:val="28"/>
          <w:szCs w:val="28"/>
          <w:highlight w:val="none"/>
          <w14:textFill>
            <w14:solidFill>
              <w14:schemeClr w14:val="tx1"/>
            </w14:solidFill>
          </w14:textFill>
        </w:rPr>
        <w:t>采购机构：</w:t>
      </w:r>
      <w:r>
        <w:rPr>
          <w:rFonts w:hint="eastAsia" w:asciiTheme="minorEastAsia" w:hAnsiTheme="minorEastAsia" w:eastAsiaTheme="minorEastAsia" w:cstheme="minorEastAsia"/>
          <w:b/>
          <w:bCs/>
          <w:color w:val="000000" w:themeColor="text1"/>
          <w:spacing w:val="7"/>
          <w:sz w:val="28"/>
          <w:szCs w:val="28"/>
          <w:highlight w:val="none"/>
          <w:lang w:val="en-US" w:eastAsia="zh-CN"/>
          <w14:textFill>
            <w14:solidFill>
              <w14:schemeClr w14:val="tx1"/>
            </w14:solidFill>
          </w14:textFill>
        </w:rPr>
        <w:t>永信恒昌工程管理有限公司</w:t>
      </w:r>
    </w:p>
    <w:p w14:paraId="46DE3DEC">
      <w:pPr>
        <w:spacing w:line="250" w:lineRule="auto"/>
        <w:ind w:left="0" w:leftChars="0" w:right="0" w:rightChars="0" w:firstLine="0" w:firstLineChars="0"/>
        <w:jc w:val="both"/>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p>
    <w:p w14:paraId="2832B0CE">
      <w:pPr>
        <w:spacing w:line="251" w:lineRule="auto"/>
        <w:ind w:left="0" w:leftChars="0" w:right="0" w:rightChars="0" w:firstLine="0" w:firstLineChars="0"/>
        <w:jc w:val="both"/>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14:paraId="56FB8416">
      <w:pPr>
        <w:spacing w:line="251" w:lineRule="auto"/>
        <w:ind w:left="0" w:leftChars="0" w:right="0" w:rightChars="0" w:firstLine="0" w:firstLineChars="0"/>
        <w:jc w:val="cente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14:paraId="1CBC7FA0">
      <w:pPr>
        <w:pStyle w:val="11"/>
        <w:spacing w:before="100" w:line="225" w:lineRule="auto"/>
        <w:ind w:left="0" w:leftChars="0" w:right="0" w:rightChars="0" w:firstLine="0" w:firstLineChars="0"/>
        <w:jc w:val="cente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sectPr>
          <w:headerReference r:id="rId3" w:type="default"/>
          <w:footerReference r:id="rId4" w:type="default"/>
          <w:pgSz w:w="11906" w:h="16839"/>
          <w:pgMar w:top="1440" w:right="1080" w:bottom="1440" w:left="1080" w:header="0" w:footer="0" w:gutter="0"/>
          <w:pgNumType w:fmt="decimal" w:start="1"/>
          <w:cols w:space="720" w:num="1"/>
        </w:sectPr>
      </w:pPr>
      <w:r>
        <w:rPr>
          <w:rFonts w:hint="eastAsia" w:asciiTheme="minorEastAsia" w:hAnsiTheme="minorEastAsia" w:eastAsiaTheme="minorEastAsia" w:cstheme="minorEastAsia"/>
          <w:b/>
          <w:bCs/>
          <w:color w:val="000000" w:themeColor="text1"/>
          <w:spacing w:val="-10"/>
          <w:sz w:val="28"/>
          <w:szCs w:val="28"/>
          <w:highlight w:val="none"/>
          <w14:textFill>
            <w14:solidFill>
              <w14:schemeClr w14:val="tx1"/>
            </w14:solidFill>
          </w14:textFill>
        </w:rPr>
        <w:t>日期：</w:t>
      </w:r>
      <w:r>
        <w:rPr>
          <w:rFonts w:hint="eastAsia" w:asciiTheme="minorEastAsia" w:hAnsiTheme="minorEastAsia" w:eastAsiaTheme="minorEastAsia" w:cstheme="minorEastAsia"/>
          <w:b/>
          <w:bCs/>
          <w:color w:val="000000" w:themeColor="text1"/>
          <w:spacing w:val="-10"/>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pacing w:val="-10"/>
          <w:sz w:val="28"/>
          <w:szCs w:val="28"/>
          <w:highlight w:val="none"/>
          <w14:textFill>
            <w14:solidFill>
              <w14:schemeClr w14:val="tx1"/>
            </w14:solidFill>
          </w14:textFill>
        </w:rPr>
        <w:t>20</w:t>
      </w:r>
      <w:r>
        <w:rPr>
          <w:rFonts w:hint="eastAsia" w:asciiTheme="minorEastAsia" w:hAnsiTheme="minorEastAsia" w:eastAsiaTheme="minorEastAsia" w:cstheme="minorEastAsia"/>
          <w:b/>
          <w:bCs/>
          <w:color w:val="000000" w:themeColor="text1"/>
          <w:spacing w:val="-10"/>
          <w:sz w:val="28"/>
          <w:szCs w:val="28"/>
          <w:highlight w:val="none"/>
          <w:lang w:val="en-US" w:eastAsia="zh-CN"/>
          <w14:textFill>
            <w14:solidFill>
              <w14:schemeClr w14:val="tx1"/>
            </w14:solidFill>
          </w14:textFill>
        </w:rPr>
        <w:t xml:space="preserve">26 </w:t>
      </w:r>
      <w:r>
        <w:rPr>
          <w:rFonts w:hint="eastAsia" w:asciiTheme="minorEastAsia" w:hAnsiTheme="minorEastAsia" w:eastAsiaTheme="minorEastAsia" w:cstheme="minorEastAsia"/>
          <w:b/>
          <w:bCs/>
          <w:color w:val="000000" w:themeColor="text1"/>
          <w:spacing w:val="-10"/>
          <w:sz w:val="28"/>
          <w:szCs w:val="28"/>
          <w:highlight w:val="none"/>
          <w14:textFill>
            <w14:solidFill>
              <w14:schemeClr w14:val="tx1"/>
            </w14:solidFill>
          </w14:textFill>
        </w:rPr>
        <w:t>年</w:t>
      </w:r>
      <w:r>
        <w:rPr>
          <w:rFonts w:hint="eastAsia" w:asciiTheme="minorEastAsia" w:hAnsiTheme="minorEastAsia" w:eastAsiaTheme="minorEastAsia" w:cstheme="minorEastAsia"/>
          <w:b/>
          <w:bCs/>
          <w:color w:val="000000" w:themeColor="text1"/>
          <w:spacing w:val="-10"/>
          <w:sz w:val="28"/>
          <w:szCs w:val="28"/>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pacing w:val="-10"/>
          <w:sz w:val="28"/>
          <w:szCs w:val="28"/>
          <w:highlight w:val="none"/>
          <w14:textFill>
            <w14:solidFill>
              <w14:schemeClr w14:val="tx1"/>
            </w14:solidFill>
          </w14:textFill>
        </w:rPr>
        <w:t>月</w:t>
      </w:r>
    </w:p>
    <w:p w14:paraId="0E07D167">
      <w:pPr>
        <w:snapToGrid w:val="0"/>
        <w:spacing w:line="400" w:lineRule="exact"/>
        <w:ind w:left="1080" w:leftChars="257" w:hanging="540"/>
        <w:jc w:val="center"/>
        <w:textAlignment w:val="baseline"/>
        <w:rPr>
          <w:rFonts w:hint="eastAsia" w:asciiTheme="minorEastAsia" w:hAnsiTheme="minorEastAsia" w:eastAsiaTheme="minorEastAsia" w:cstheme="minorEastAsia"/>
          <w:b/>
          <w:color w:val="000000" w:themeColor="text1"/>
          <w:sz w:val="40"/>
          <w:szCs w:val="40"/>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40"/>
          <w:szCs w:val="40"/>
          <w:highlight w:val="none"/>
          <w14:textFill>
            <w14:solidFill>
              <w14:schemeClr w14:val="tx1"/>
            </w14:solidFill>
          </w14:textFill>
        </w:rPr>
        <w:t>目  录</w:t>
      </w:r>
    </w:p>
    <w:p w14:paraId="01EA4600">
      <w:pPr>
        <w:pStyle w:val="15"/>
        <w:tabs>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instrText xml:space="preserve"> TOC \o "1-3" \h \z \u </w:instrTex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fldChar w:fldCharType="separate"/>
      </w:r>
    </w:p>
    <w:p w14:paraId="5AC57C6C">
      <w:pPr>
        <w:pStyle w:val="24"/>
        <w:tabs>
          <w:tab w:val="right" w:leader="dot" w:pos="9745"/>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_Toc14891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 xml:space="preserve">第1章  </w:t>
      </w:r>
      <w:r>
        <w:rPr>
          <w:rFonts w:hint="eastAsia" w:asciiTheme="minorEastAsia" w:hAnsiTheme="minorEastAsia" w:eastAsiaTheme="minorEastAsia" w:cstheme="minorEastAsia"/>
          <w:color w:val="000000" w:themeColor="text1"/>
          <w:szCs w:val="32"/>
          <w:highlight w:val="none"/>
          <w14:textFill>
            <w14:solidFill>
              <w14:schemeClr w14:val="tx1"/>
            </w14:solidFill>
          </w14:textFill>
        </w:rPr>
        <w:t>供应商须知</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_Toc14891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4</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6964375B">
      <w:pPr>
        <w:pStyle w:val="29"/>
        <w:tabs>
          <w:tab w:val="right" w:leader="dot" w:pos="9745"/>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_Toc1807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一   总 则</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_Toc1807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4</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1B89188B">
      <w:pPr>
        <w:pStyle w:val="15"/>
        <w:tabs>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_Toc30505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1.采购人、采购代理机构及供应商</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_Toc30505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4</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483E69BA">
      <w:pPr>
        <w:pStyle w:val="15"/>
        <w:tabs>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_Toc21689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2.资金来源</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_Toc21689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5</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728A8164">
      <w:pPr>
        <w:pStyle w:val="15"/>
        <w:tabs>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_Toc23526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3.磋商费用</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_Toc23526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5</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20CE6205">
      <w:pPr>
        <w:pStyle w:val="15"/>
        <w:tabs>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_Toc10872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4.适用法律</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_Toc10872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5</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31686436">
      <w:pPr>
        <w:pStyle w:val="29"/>
        <w:tabs>
          <w:tab w:val="right" w:leader="dot" w:pos="9745"/>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_Toc1896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二   磋商文件</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_Toc1896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5</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21B9D46B">
      <w:pPr>
        <w:pStyle w:val="15"/>
        <w:tabs>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_Toc30675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5.磋商文件构成</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_Toc30675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5</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234446DF">
      <w:pPr>
        <w:pStyle w:val="15"/>
        <w:tabs>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_Toc11598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6.磋商文件的澄清与修改</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_Toc11598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5</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29F48F09">
      <w:pPr>
        <w:pStyle w:val="15"/>
        <w:tabs>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_Toc25437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7.响应文件递交截止时间的顺延</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_Toc25437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6</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27B9B702">
      <w:pPr>
        <w:pStyle w:val="29"/>
        <w:tabs>
          <w:tab w:val="right" w:leader="dot" w:pos="9745"/>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_Toc15778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三   响应文件的编制</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_Toc15778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6</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0AC6DE31">
      <w:pPr>
        <w:pStyle w:val="15"/>
        <w:tabs>
          <w:tab w:val="right" w:pos="2800"/>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_Toc31147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8.</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t>磋商范围及响应文件成交准和计量单位的使用</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_Toc31147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6</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605D0E43">
      <w:pPr>
        <w:pStyle w:val="15"/>
        <w:tabs>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_Toc25716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9.响应文件构成</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_Toc25716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6</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080DE4CB">
      <w:pPr>
        <w:pStyle w:val="15"/>
        <w:tabs>
          <w:tab w:val="right" w:pos="2800"/>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_Toc2331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10.</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t>证明</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highlight w:val="none"/>
          <w14:textFill>
            <w14:solidFill>
              <w14:schemeClr w14:val="tx1"/>
            </w14:solidFill>
          </w14:textFill>
        </w:rPr>
        <w:t>的合格性和符合</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highlight w:val="none"/>
          <w14:textFill>
            <w14:solidFill>
              <w14:schemeClr w14:val="tx1"/>
            </w14:solidFill>
          </w14:textFill>
        </w:rPr>
        <w:t>规定的技术文件</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_Toc2331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6</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7EEA4C25">
      <w:pPr>
        <w:pStyle w:val="15"/>
        <w:tabs>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_Toc26384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11.磋商报价</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_Toc26384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6</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11377183">
      <w:pPr>
        <w:pStyle w:val="15"/>
        <w:tabs>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_Toc14499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12.磋商保证金</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_Toc14499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7</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7A4F8B2F">
      <w:pPr>
        <w:pStyle w:val="15"/>
        <w:tabs>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_Toc21509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13.磋商有效期</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_Toc21509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8</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4B62777B">
      <w:pPr>
        <w:pStyle w:val="15"/>
        <w:tabs>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_Toc6718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14.响应文件的签署及规定</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_Toc6718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8</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044882D9">
      <w:pPr>
        <w:pStyle w:val="29"/>
        <w:tabs>
          <w:tab w:val="right" w:leader="dot" w:pos="9745"/>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_Toc25699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四   响应文件的递交</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_Toc25699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8</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179FE4DC">
      <w:pPr>
        <w:pStyle w:val="15"/>
        <w:tabs>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_Toc15803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15.响应文件的</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上传</w:t>
      </w:r>
      <w:r>
        <w:rPr>
          <w:rFonts w:hint="eastAsia" w:asciiTheme="minorEastAsia" w:hAnsiTheme="minorEastAsia" w:eastAsiaTheme="minorEastAsia" w:cstheme="minorEastAsia"/>
          <w:color w:val="000000" w:themeColor="text1"/>
          <w:highlight w:val="none"/>
          <w14:textFill>
            <w14:solidFill>
              <w14:schemeClr w14:val="tx1"/>
            </w14:solidFill>
          </w14:textFill>
        </w:rPr>
        <w:t>和标记</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全面电子化</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_Toc15803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8</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6AFFB217">
      <w:pPr>
        <w:pStyle w:val="15"/>
        <w:tabs>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_Toc8141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16.磋商截止</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_Toc8141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746EE5DF">
      <w:pPr>
        <w:pStyle w:val="15"/>
        <w:tabs>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_Toc12018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17.响应文件的接收、修改与撤回</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_Toc12018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1876C1C0">
      <w:pPr>
        <w:pStyle w:val="29"/>
        <w:tabs>
          <w:tab w:val="right" w:leader="dot" w:pos="9745"/>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_Toc8802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五   磋商开启及评审</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_Toc8802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6A873E88">
      <w:pPr>
        <w:pStyle w:val="15"/>
        <w:tabs>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_Toc25258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18.磋商开启</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_Toc25258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495330F0">
      <w:pPr>
        <w:pStyle w:val="15"/>
        <w:tabs>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_Toc6779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19.资格审查及组建磋商小组</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_Toc6779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52997435">
      <w:pPr>
        <w:pStyle w:val="15"/>
        <w:tabs>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_Toc28603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20.响应文件的符合性审查与澄清</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_Toc28603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10</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717322B2">
      <w:pPr>
        <w:pStyle w:val="15"/>
        <w:tabs>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_Toc7726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21.响应偏离</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_Toc7726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10</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6B8DA554">
      <w:pPr>
        <w:pStyle w:val="15"/>
        <w:tabs>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_Toc12452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22.响应无效</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_Toc12452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10</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0090E7C5">
      <w:pPr>
        <w:pStyle w:val="15"/>
        <w:tabs>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_Toc25702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highlight w:val="none"/>
          <w14:textFill>
            <w14:solidFill>
              <w14:schemeClr w14:val="tx1"/>
            </w14:solidFill>
          </w14:textFill>
        </w:rPr>
        <w:t>23.比较与评价</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_Toc25702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11</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4CA6E143">
      <w:pPr>
        <w:pStyle w:val="15"/>
        <w:tabs>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_Toc20128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bCs w:val="0"/>
          <w:color w:val="000000" w:themeColor="text1"/>
          <w:kern w:val="2"/>
          <w:szCs w:val="24"/>
          <w:highlight w:val="none"/>
          <w14:textFill>
            <w14:solidFill>
              <w14:schemeClr w14:val="tx1"/>
            </w14:solidFill>
          </w14:textFill>
        </w:rPr>
        <w:t>24.废标</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_Toc20128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12</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1249B19F">
      <w:pPr>
        <w:pStyle w:val="15"/>
        <w:tabs>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_Toc27296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25.保密原则</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_Toc27296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12</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7D8D3983">
      <w:pPr>
        <w:pStyle w:val="29"/>
        <w:tabs>
          <w:tab w:val="right" w:leader="dot" w:pos="9745"/>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_Toc1290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六   确定成交</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_Toc1290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12</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3E1A2AC0">
      <w:pPr>
        <w:pStyle w:val="15"/>
        <w:tabs>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_Toc12096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26.成交候选人的确定原则及标准</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_Toc12096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12</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09E8F76E">
      <w:pPr>
        <w:pStyle w:val="15"/>
        <w:tabs>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_Toc13875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27.确定成交候选人和成交人</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_Toc13875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13</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5CD232B2">
      <w:pPr>
        <w:pStyle w:val="15"/>
        <w:tabs>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_Toc31435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28.采购任务取消</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_Toc31435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13</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1582F0CA">
      <w:pPr>
        <w:pStyle w:val="15"/>
        <w:tabs>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_Toc8733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29.成交通知书和采购结果通知书</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_Toc8733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13</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2966CAE8">
      <w:pPr>
        <w:pStyle w:val="15"/>
        <w:tabs>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_Toc2181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30.签订合同</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_Toc2181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13</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6526DEB3">
      <w:pPr>
        <w:pStyle w:val="15"/>
        <w:tabs>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_Toc19746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31.履约保证金</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_Toc19746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13</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340AF4DE">
      <w:pPr>
        <w:pStyle w:val="15"/>
        <w:tabs>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_Toc12542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3</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highlight w:val="none"/>
          <w14:textFill>
            <w14:solidFill>
              <w14:schemeClr w14:val="tx1"/>
            </w14:solidFill>
          </w14:textFill>
        </w:rPr>
        <w:t>.成交服务费</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_Toc12542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14</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14DA62DD">
      <w:pPr>
        <w:pStyle w:val="15"/>
        <w:tabs>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_Toc25794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3</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.政府采购信用担保</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_Toc25794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14</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0B4451BC">
      <w:pPr>
        <w:pStyle w:val="15"/>
        <w:tabs>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_Toc3611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3</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highlight w:val="none"/>
          <w14:textFill>
            <w14:solidFill>
              <w14:schemeClr w14:val="tx1"/>
            </w14:solidFill>
          </w14:textFill>
        </w:rPr>
        <w:t>.廉洁自律规定</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_Toc3611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14</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25A3C45A">
      <w:pPr>
        <w:pStyle w:val="15"/>
        <w:tabs>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_Toc23568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3</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highlight w:val="none"/>
          <w14:textFill>
            <w14:solidFill>
              <w14:schemeClr w14:val="tx1"/>
            </w14:solidFill>
          </w14:textFill>
        </w:rPr>
        <w:t>.人员回避</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_Toc23568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14</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488580C1">
      <w:pPr>
        <w:pStyle w:val="15"/>
        <w:tabs>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_Toc3168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3</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highlight w:val="none"/>
          <w14:textFill>
            <w14:solidFill>
              <w14:schemeClr w14:val="tx1"/>
            </w14:solidFill>
          </w14:textFill>
        </w:rPr>
        <w:t>.质疑与接收</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_Toc3168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14</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4BF16E02">
      <w:pPr>
        <w:pStyle w:val="15"/>
        <w:tabs>
          <w:tab w:val="right" w:leader="dot" w:pos="9745"/>
          <w:tab w:val="clear" w:pos="1260"/>
          <w:tab w:val="clear" w:pos="8630"/>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_Toc1108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highlight w:val="none"/>
          <w14:textFill>
            <w14:solidFill>
              <w14:schemeClr w14:val="tx1"/>
            </w14:solidFill>
          </w14:textFill>
        </w:rPr>
        <w:t>质疑函范本</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_Toc1108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17</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4A33F4C2">
      <w:pPr>
        <w:pStyle w:val="24"/>
        <w:tabs>
          <w:tab w:val="right" w:leader="dot" w:pos="9745"/>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_Toc15232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第2章 响应文件格式</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_Toc15232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19</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4C166D7E">
      <w:pPr>
        <w:pStyle w:val="29"/>
        <w:tabs>
          <w:tab w:val="right" w:leader="dot" w:pos="9745"/>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_Toc19411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第一部分 磋商开启一览表及资格证明文件</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_Toc19411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19</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62986878">
      <w:pPr>
        <w:pStyle w:val="29"/>
        <w:tabs>
          <w:tab w:val="right" w:leader="dot" w:pos="9745"/>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_Toc132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1、磋商报价一览表</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_Toc132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20</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380BBF11">
      <w:pPr>
        <w:pStyle w:val="29"/>
        <w:tabs>
          <w:tab w:val="right" w:leader="dot" w:pos="9745"/>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_Toc23528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highlight w:val="none"/>
          <w14:textFill>
            <w14:solidFill>
              <w14:schemeClr w14:val="tx1"/>
            </w14:solidFill>
          </w14:textFill>
        </w:rPr>
        <w:t>2  符合《中华人民共和国政府采购法》第二十二条的规定</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_Toc23528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21</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3A92DD11">
      <w:pPr>
        <w:pStyle w:val="29"/>
        <w:tabs>
          <w:tab w:val="right" w:leader="dot" w:pos="9745"/>
        </w:tabs>
        <w:ind w:firstLine="210" w:firstLineChars="1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_Toc22738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第二部分  商务及技术文件</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_Toc22738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31</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41AFB4EB">
      <w:pPr>
        <w:pStyle w:val="29"/>
        <w:tabs>
          <w:tab w:val="right" w:leader="dot" w:pos="9745"/>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_Toc27453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 、磋商书</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_Toc27453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32</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6D91699E">
      <w:pPr>
        <w:pStyle w:val="29"/>
        <w:tabs>
          <w:tab w:val="right" w:leader="dot" w:pos="9745"/>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_Toc22742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 、</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磋商分项报价表</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_Toc22742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33</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529FDFC4">
      <w:pPr>
        <w:pStyle w:val="29"/>
        <w:tabs>
          <w:tab w:val="right" w:leader="dot" w:pos="9745"/>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_Toc6446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3、服务说明一览表</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_Toc6446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34</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342C7FA2">
      <w:pPr>
        <w:pStyle w:val="29"/>
        <w:tabs>
          <w:tab w:val="right" w:leader="dot" w:pos="9745"/>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_Toc5553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商务条款偏离表</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_Toc5553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34</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43917B65">
      <w:pPr>
        <w:pStyle w:val="29"/>
        <w:tabs>
          <w:tab w:val="right" w:leader="dot" w:pos="9745"/>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_Toc7348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bCs w:val="0"/>
          <w:color w:val="000000" w:themeColor="text1"/>
          <w:highlight w:val="none"/>
          <w:lang w:val="en-US"/>
          <w14:textFill>
            <w14:solidFill>
              <w14:schemeClr w14:val="tx1"/>
            </w14:solidFill>
          </w14:textFill>
        </w:rPr>
        <w:t>5、</w:t>
      </w:r>
      <w:r>
        <w:rPr>
          <w:rFonts w:hint="eastAsia" w:asciiTheme="minorEastAsia" w:hAnsiTheme="minorEastAsia" w:eastAsiaTheme="minorEastAsia" w:cstheme="minorEastAsia"/>
          <w:bCs w:val="0"/>
          <w:color w:val="000000" w:themeColor="text1"/>
          <w:highlight w:val="none"/>
          <w14:textFill>
            <w14:solidFill>
              <w14:schemeClr w14:val="tx1"/>
            </w14:solidFill>
          </w14:textFill>
        </w:rPr>
        <w:t>中小企业声明函（服务）</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_Toc7348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26</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3B663EED">
      <w:pPr>
        <w:pStyle w:val="29"/>
        <w:tabs>
          <w:tab w:val="right" w:leader="dot" w:pos="9745"/>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_Toc12917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6、</w:t>
      </w:r>
      <w:r>
        <w:rPr>
          <w:rFonts w:hint="eastAsia" w:asciiTheme="minorEastAsia" w:hAnsiTheme="minorEastAsia" w:eastAsiaTheme="minorEastAsia" w:cstheme="minorEastAsia"/>
          <w:bCs/>
          <w:color w:val="000000" w:themeColor="text1"/>
          <w:highlight w:val="none"/>
          <w14:textFill>
            <w14:solidFill>
              <w14:schemeClr w14:val="tx1"/>
            </w14:solidFill>
          </w14:textFill>
        </w:rPr>
        <w:t>残疾人福利性单位声明函</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_Toc12917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36</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604B4706">
      <w:pPr>
        <w:pStyle w:val="29"/>
        <w:tabs>
          <w:tab w:val="right" w:leader="dot" w:pos="9745"/>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_Toc20362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kern w:val="2"/>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bCs/>
          <w:color w:val="000000" w:themeColor="text1"/>
          <w:kern w:val="2"/>
          <w:szCs w:val="21"/>
          <w:highlight w:val="none"/>
          <w14:textFill>
            <w14:solidFill>
              <w14:schemeClr w14:val="tx1"/>
            </w14:solidFill>
          </w14:textFill>
        </w:rPr>
        <w:t>供应商关联单位的说明</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_Toc20362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36</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299E8D45">
      <w:pPr>
        <w:pStyle w:val="29"/>
        <w:tabs>
          <w:tab w:val="right" w:leader="dot" w:pos="9745"/>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_Toc305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kern w:val="2"/>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Cs/>
          <w:color w:val="000000" w:themeColor="text1"/>
          <w:kern w:val="2"/>
          <w:szCs w:val="21"/>
          <w:highlight w:val="none"/>
          <w14:textFill>
            <w14:solidFill>
              <w14:schemeClr w14:val="tx1"/>
            </w14:solidFill>
          </w14:textFill>
        </w:rPr>
        <w:t>供应商可提供有利于投标的其他资格证明材料</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_Toc305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36</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4C6F2578">
      <w:pPr>
        <w:pStyle w:val="29"/>
        <w:tabs>
          <w:tab w:val="right" w:leader="dot" w:pos="9745"/>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_Toc9655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0"/>
          <w:szCs w:val="20"/>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kern w:val="0"/>
          <w:szCs w:val="20"/>
          <w:highlight w:val="none"/>
          <w14:textFill>
            <w14:solidFill>
              <w14:schemeClr w14:val="tx1"/>
            </w14:solidFill>
          </w14:textFill>
        </w:rPr>
        <w:t>、响应文件格式范本</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_Toc9655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37</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04D987A5">
      <w:pPr>
        <w:pStyle w:val="24"/>
        <w:tabs>
          <w:tab w:val="right" w:leader="dot" w:pos="9745"/>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_Toc20261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第3章 磋商邀请</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_Toc20261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39</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251566D8">
      <w:pPr>
        <w:pStyle w:val="24"/>
        <w:tabs>
          <w:tab w:val="right" w:leader="dot" w:pos="9745"/>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_Toc903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32"/>
          <w:highlight w:val="none"/>
          <w14:textFill>
            <w14:solidFill>
              <w14:schemeClr w14:val="tx1"/>
            </w14:solidFill>
          </w14:textFill>
        </w:rPr>
        <w:t>第4章  供应商须知资料表</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_Toc903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43</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4FE44295">
      <w:pPr>
        <w:pStyle w:val="24"/>
        <w:tabs>
          <w:tab w:val="right" w:leader="dot" w:pos="9745"/>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_Toc13137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第5章服务内容及项目需求</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_Toc13137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48</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750759AD">
      <w:pPr>
        <w:pStyle w:val="24"/>
        <w:tabs>
          <w:tab w:val="right" w:leader="dot" w:pos="9745"/>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_Toc24660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第6章 评审方法和标准</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_Toc24660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50</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7650F63C">
      <w:pPr>
        <w:pStyle w:val="29"/>
        <w:tabs>
          <w:tab w:val="right" w:leader="dot" w:pos="9745"/>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_Toc31379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highlight w:val="none"/>
          <w14:textFill>
            <w14:solidFill>
              <w14:schemeClr w14:val="tx1"/>
            </w14:solidFill>
          </w14:textFill>
        </w:rPr>
        <w:t>初步评审—资格性审查表</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_Toc31379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59</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58FA6160">
      <w:pPr>
        <w:pStyle w:val="29"/>
        <w:tabs>
          <w:tab w:val="right" w:leader="dot" w:pos="9745"/>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_Toc1201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初步评审—符合性审查表</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_Toc1201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60</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5E3A5BCB">
      <w:pPr>
        <w:pStyle w:val="29"/>
        <w:tabs>
          <w:tab w:val="right" w:leader="dot" w:pos="9745"/>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_Toc26042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综合评分表</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_Toc26042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61</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26BA0AA5">
      <w:pPr>
        <w:pStyle w:val="24"/>
        <w:tabs>
          <w:tab w:val="right" w:leader="dot" w:pos="9745"/>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instrText xml:space="preserve"> HYPERLINK \l _Toc26279 </w:instrTex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第7章  政府采购合同</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_Toc26279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64</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p>
    <w:p w14:paraId="6A1E385D">
      <w:pPr>
        <w:pStyle w:val="24"/>
        <w:tabs>
          <w:tab w:val="right" w:leader="dot" w:pos="9745"/>
        </w:tabs>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075C3ED6">
      <w:pPr>
        <w:pStyle w:val="24"/>
        <w:tabs>
          <w:tab w:val="right" w:leader="dot" w:pos="9745"/>
        </w:tabs>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43CF8892">
      <w:pPr>
        <w:pStyle w:val="24"/>
        <w:tabs>
          <w:tab w:val="right" w:leader="dot" w:pos="9745"/>
        </w:tabs>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3EE34B37">
      <w:pPr>
        <w:tabs>
          <w:tab w:val="left" w:pos="0"/>
        </w:tabs>
        <w:snapToGrid w:val="0"/>
        <w:spacing w:line="360" w:lineRule="exact"/>
        <w:textAlignment w:val="baseline"/>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fldChar w:fldCharType="end"/>
      </w:r>
      <w:bookmarkStart w:id="0" w:name="_Toc1462"/>
      <w:bookmarkStart w:id="1" w:name="_Toc518923059"/>
      <w:bookmarkStart w:id="2" w:name="_Toc10715352"/>
    </w:p>
    <w:p w14:paraId="2ED7D4A8">
      <w:pPr>
        <w:pStyle w:val="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7EB90D1F">
      <w:pP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br w:type="page"/>
      </w:r>
    </w:p>
    <w:p w14:paraId="62B10D15">
      <w:pPr>
        <w:pStyle w:val="2"/>
        <w:tabs>
          <w:tab w:val="left" w:pos="0"/>
        </w:tabs>
        <w:snapToGrid w:val="0"/>
        <w:spacing w:before="0" w:after="0" w:line="360" w:lineRule="auto"/>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bookmarkStart w:id="3" w:name="_Toc14891"/>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 xml:space="preserve">第1章  </w:t>
      </w:r>
      <w:r>
        <w:rPr>
          <w:rFonts w:hint="eastAsia" w:asciiTheme="minorEastAsia" w:hAnsiTheme="minorEastAsia" w:eastAsiaTheme="minorEastAsia" w:cstheme="minorEastAsia"/>
          <w:color w:val="000000" w:themeColor="text1"/>
          <w:szCs w:val="32"/>
          <w:highlight w:val="none"/>
          <w14:textFill>
            <w14:solidFill>
              <w14:schemeClr w14:val="tx1"/>
            </w14:solidFill>
          </w14:textFill>
        </w:rPr>
        <w:t>供应商须知</w:t>
      </w:r>
      <w:bookmarkEnd w:id="0"/>
      <w:bookmarkEnd w:id="1"/>
      <w:bookmarkEnd w:id="2"/>
      <w:bookmarkEnd w:id="3"/>
    </w:p>
    <w:p w14:paraId="1DD126A0">
      <w:pPr>
        <w:pStyle w:val="3"/>
        <w:snapToGrid w:val="0"/>
        <w:spacing w:before="0" w:line="240" w:lineRule="atLeas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4" w:name="_Toc520356143"/>
      <w:bookmarkStart w:id="5" w:name="_Toc216582805"/>
      <w:bookmarkStart w:id="6" w:name="_Toc515647757"/>
      <w:bookmarkStart w:id="7" w:name="_Toc21215"/>
      <w:bookmarkStart w:id="8" w:name="_Toc1807"/>
      <w:bookmarkStart w:id="9" w:name="_Toc21015"/>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一   </w:t>
      </w:r>
      <w:bookmarkEnd w:id="4"/>
      <w:bookmarkEnd w:id="5"/>
      <w:bookmarkEnd w:id="6"/>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总 则</w:t>
      </w:r>
      <w:bookmarkEnd w:id="7"/>
      <w:bookmarkEnd w:id="8"/>
      <w:bookmarkEnd w:id="9"/>
    </w:p>
    <w:p w14:paraId="212BA2D6">
      <w:pPr>
        <w:pStyle w:val="4"/>
        <w:spacing w:before="0" w:after="0" w:line="400" w:lineRule="exact"/>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pPr>
      <w:bookmarkStart w:id="10" w:name="_Toc520356144"/>
      <w:bookmarkStart w:id="11" w:name="_Toc518923061"/>
      <w:bookmarkStart w:id="12" w:name="_Toc12013"/>
      <w:bookmarkStart w:id="13" w:name="_Toc30505"/>
      <w:bookmarkStart w:id="14" w:name="_Toc11513"/>
      <w:bookmarkStart w:id="15" w:name="_Toc16905_WPSOffice_Level2"/>
      <w:bookmarkStart w:id="16" w:name="_Toc25825"/>
      <w:bookmarkStart w:id="17" w:name="_Toc11939"/>
      <w:bookmarkStart w:id="18" w:name="_Toc4676_WPSOffice_Level2"/>
      <w:bookmarkStart w:id="19" w:name="_Toc520356165"/>
      <w:bookmarkStart w:id="20" w:name="_Toc19296"/>
      <w:bookmarkStart w:id="21" w:name="_Toc21372"/>
      <w:bookmarkStart w:id="22" w:name="_Toc5428"/>
      <w:bookmarkStart w:id="23" w:name="_Toc515647780"/>
      <w:bookmarkStart w:id="24" w:name="_Toc5768"/>
      <w:bookmarkStart w:id="25" w:name="_Toc14954"/>
      <w:bookmarkStart w:id="26" w:name="_Toc5402"/>
      <w:bookmarkStart w:id="27" w:name="_Toc28768"/>
      <w:bookmarkStart w:id="28" w:name="_Toc6401"/>
      <w:bookmarkStart w:id="29" w:name="_Toc18057"/>
      <w:bookmarkStart w:id="30" w:name="_Toc18658"/>
      <w:bookmarkStart w:id="31" w:name="_Toc9240"/>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1.采购人、采购代理机构及</w:t>
      </w:r>
      <w:bookmarkEnd w:id="10"/>
      <w:bookmarkEnd w:id="11"/>
      <w:bookmarkEnd w:id="12"/>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供应商</w:t>
      </w:r>
      <w:bookmarkEnd w:id="13"/>
      <w:bookmarkEnd w:id="14"/>
      <w:bookmarkEnd w:id="15"/>
      <w:bookmarkEnd w:id="16"/>
      <w:bookmarkEnd w:id="17"/>
      <w:bookmarkEnd w:id="18"/>
    </w:p>
    <w:p w14:paraId="6E5F600C">
      <w:pPr>
        <w:numPr>
          <w:ilvl w:val="1"/>
          <w:numId w:val="0"/>
        </w:numPr>
        <w:tabs>
          <w:tab w:val="left" w:pos="0"/>
        </w:tabs>
        <w:spacing w:line="400" w:lineRule="exact"/>
        <w:ind w:hanging="898"/>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采购人：是指依法开展政府采购活动的国家机关、事业单位、团体组织</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本项目的采购人见</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供应商须知资料表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6C029BFE">
      <w:pPr>
        <w:numPr>
          <w:ilvl w:val="1"/>
          <w:numId w:val="0"/>
        </w:numPr>
        <w:tabs>
          <w:tab w:val="left" w:pos="0"/>
        </w:tabs>
        <w:spacing w:line="400" w:lineRule="exact"/>
        <w:ind w:hanging="898"/>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采购代理机构：是指集中采购机构或从事采购代理业务的社会中介机构。本项目的采购代理机构见</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供应商须知资料表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3B153518">
      <w:pPr>
        <w:numPr>
          <w:ilvl w:val="1"/>
          <w:numId w:val="0"/>
        </w:numPr>
        <w:spacing w:line="400" w:lineRule="exact"/>
        <w:ind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供应商：是指向采购人提供货物、工程或者服务的法人、非法人组织或者自然人。本项目的供应商须满足以下条件：</w:t>
      </w:r>
    </w:p>
    <w:p w14:paraId="16D552ED">
      <w:pPr>
        <w:spacing w:line="400" w:lineRule="exact"/>
        <w:ind w:left="850" w:hanging="849" w:hangingChars="354"/>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在中华人民共和国境内注册，能够独立承担民事责任，有生产或供应能力的本国供应商。</w:t>
      </w:r>
    </w:p>
    <w:p w14:paraId="5F2990F7">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1.3.2  具备《中华人民共和国政府采购法》第二十二条关于供应商条件的规定，遵守本项目采购人本级和上级财政部门政府采购的有关规定。</w:t>
      </w:r>
    </w:p>
    <w:p w14:paraId="56C7B5DC">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1.3.3   以采购代理机构认可的方式获得了本项目的磋商文件。</w:t>
      </w:r>
    </w:p>
    <w:p w14:paraId="703AD8E6">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1.3.4   符合</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供应商须知资料表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中规定的其他要求。</w:t>
      </w:r>
    </w:p>
    <w:p w14:paraId="5E395E64">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1.3.5   若</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供应商须知资料表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中写明专门面向中小企业采购的，如供应商为非中小企业，其磋商将被认定为磋商无效。</w:t>
      </w:r>
    </w:p>
    <w:p w14:paraId="2407B9DF">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     如</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供应商须知资料表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中允许联合体磋商，对联合体规定如下：</w:t>
      </w:r>
    </w:p>
    <w:p w14:paraId="6944DCFC">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1.4.1   两个以上供应商可以组成一个磋商联合体，以一个供应商的身份磋商。</w:t>
      </w:r>
    </w:p>
    <w:p w14:paraId="79C5FB14">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1.4.2   联合体各方均应符合《中华人民共和国政府采购法》第二十二条规定的条件。</w:t>
      </w:r>
    </w:p>
    <w:p w14:paraId="5B6CC9AA">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1.4.3   采购人根据采购项目对供应商的特殊要求，联合体中至少应当有一方符合相关规定。</w:t>
      </w:r>
    </w:p>
    <w:p w14:paraId="438A21AE">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1.4.4   联合体各方应签订共同磋商协议，明确约定联合体各方承担的工作和相应的责任，并将共同磋商协议连同响应文件一并提交招标采购单位。</w:t>
      </w:r>
    </w:p>
    <w:p w14:paraId="3220FC83">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1.4.5   大中型企业、其他自然人、法人或者非法人组织与小型、微型企业组成联合体共同参加磋商，共同磋商协议中应写明小型、微型企业的协议合同金额占到共同磋商协议磋商总金额的比例。</w:t>
      </w:r>
    </w:p>
    <w:p w14:paraId="12B89232">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1.4.6  联合体中有同类资质的供应商按照联合体分工承担相同工作的，按照资质等级较低的供应商确定资质等级。</w:t>
      </w:r>
    </w:p>
    <w:p w14:paraId="620BEA6A">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1.4.7  以联合体形式参加政府采购活动的，联合体各方不得再单独参加或者与其他供应商另外组成联合体参加本项目磋商，否则相关磋商将被认定为磋商无效。</w:t>
      </w:r>
    </w:p>
    <w:p w14:paraId="44EE874A">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1.4.8   对联合体磋商的其他资格要求见</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供应商须知资料表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45B07932">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    单位负责人为同一人或者存在直接控股、管理关系的不同供应商，其相关磋商将被认定为磋商无效。</w:t>
      </w:r>
    </w:p>
    <w:p w14:paraId="4186B944">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1.6    为本项目提供过整体设计、规范编制或者项目管理、监理、检测等服务的供应商，不得再参加本项目上述服务以外的其他采购活动。否则其磋商将被认定为磋商无效。</w:t>
      </w:r>
    </w:p>
    <w:p w14:paraId="41297834">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1.7</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供应商在磋商过程中不得向采购人提供或给予影响其正常决策行为的任何有价值物品或服务。一经发现，其磋商将被认定为磋商无效。</w:t>
      </w:r>
    </w:p>
    <w:p w14:paraId="7A6F693C">
      <w:pPr>
        <w:pStyle w:val="4"/>
        <w:spacing w:before="0" w:after="0" w:line="400" w:lineRule="exact"/>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pPr>
      <w:bookmarkStart w:id="32" w:name="_Toc2643"/>
      <w:bookmarkStart w:id="33" w:name="_Toc21689"/>
      <w:bookmarkStart w:id="34" w:name="_Toc20477"/>
      <w:bookmarkStart w:id="35" w:name="_Toc2517"/>
      <w:bookmarkStart w:id="36" w:name="_Toc518923062"/>
      <w:bookmarkStart w:id="37" w:name="_Toc11813_WPSOffice_Level2"/>
      <w:bookmarkStart w:id="38" w:name="_Toc11482_WPSOffice_Level2"/>
      <w:bookmarkStart w:id="39" w:name="_Toc237"/>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2.资金来源</w:t>
      </w:r>
      <w:bookmarkEnd w:id="32"/>
      <w:bookmarkEnd w:id="33"/>
      <w:bookmarkEnd w:id="34"/>
      <w:bookmarkEnd w:id="35"/>
      <w:bookmarkEnd w:id="36"/>
      <w:bookmarkEnd w:id="37"/>
      <w:bookmarkEnd w:id="38"/>
      <w:bookmarkEnd w:id="39"/>
    </w:p>
    <w:p w14:paraId="78BAE5D7">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本项目的采购人已获得足以支付本次招标后所签订的合同项下的资金（包括财政性资金和本项目采购中无法与财政性资金分割的非财政性资金）。</w:t>
      </w:r>
    </w:p>
    <w:p w14:paraId="317CC399">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2.2    项目预算金额</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见供应商须知资料表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1188C614">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2.3    供应商报价超过磋商文件规定的预算金额，其报价将被认定为无效。</w:t>
      </w:r>
    </w:p>
    <w:p w14:paraId="1780D07A">
      <w:pPr>
        <w:pStyle w:val="4"/>
        <w:spacing w:before="0" w:after="0" w:line="400" w:lineRule="exact"/>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pPr>
      <w:bookmarkStart w:id="40" w:name="_Toc28166"/>
      <w:bookmarkStart w:id="41" w:name="_Toc20276"/>
      <w:bookmarkStart w:id="42" w:name="_Toc18464"/>
      <w:bookmarkStart w:id="43" w:name="_Toc8601_WPSOffice_Level2"/>
      <w:bookmarkStart w:id="44" w:name="_Toc520356145"/>
      <w:bookmarkStart w:id="45" w:name="_Toc518923063"/>
      <w:bookmarkStart w:id="46" w:name="_Toc23526"/>
      <w:bookmarkStart w:id="47" w:name="_Toc4219"/>
      <w:bookmarkStart w:id="48" w:name="_Toc8946_WPSOffice_Level2"/>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3.磋商费用</w:t>
      </w:r>
      <w:bookmarkEnd w:id="40"/>
      <w:bookmarkEnd w:id="41"/>
      <w:bookmarkEnd w:id="42"/>
      <w:bookmarkEnd w:id="43"/>
      <w:bookmarkEnd w:id="44"/>
      <w:bookmarkEnd w:id="45"/>
      <w:bookmarkEnd w:id="46"/>
      <w:bookmarkEnd w:id="47"/>
      <w:bookmarkEnd w:id="48"/>
    </w:p>
    <w:p w14:paraId="1C1C755A">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不论磋商的结果如何，供应商应承担所有与准备和参加磋商有关的费用。</w:t>
      </w:r>
    </w:p>
    <w:p w14:paraId="5357387A">
      <w:pPr>
        <w:pStyle w:val="4"/>
        <w:spacing w:before="0" w:after="0" w:line="400" w:lineRule="exact"/>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pPr>
      <w:bookmarkStart w:id="49" w:name="_Toc9239"/>
      <w:bookmarkStart w:id="50" w:name="_Toc8368_WPSOffice_Level2"/>
      <w:bookmarkStart w:id="51" w:name="_Toc10872"/>
      <w:bookmarkStart w:id="52" w:name="_Toc12375"/>
      <w:bookmarkStart w:id="53" w:name="_Toc22788"/>
      <w:bookmarkStart w:id="54" w:name="_Toc32365"/>
      <w:bookmarkStart w:id="55" w:name="_Toc1523_WPSOffice_Level2"/>
      <w:bookmarkStart w:id="56" w:name="_Toc518923064"/>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4.适用法律</w:t>
      </w:r>
      <w:bookmarkEnd w:id="49"/>
      <w:bookmarkEnd w:id="50"/>
      <w:bookmarkEnd w:id="51"/>
      <w:bookmarkEnd w:id="52"/>
      <w:bookmarkEnd w:id="53"/>
      <w:bookmarkEnd w:id="54"/>
      <w:bookmarkEnd w:id="55"/>
      <w:bookmarkEnd w:id="56"/>
    </w:p>
    <w:p w14:paraId="275B6956">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本项目采购人、采购代理机构、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磋商小组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的相关行为均受《中华人民共和国政府采购法》、《中华人民共和国政府采购法实施条例》</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、《政府采购竞争性磋商采购方式管理暂行办法》</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及本项目本级和上级财政部门政府采购有关规定的约束，其权利受到上述法律法规的保护。</w:t>
      </w:r>
    </w:p>
    <w:p w14:paraId="01F2AF76">
      <w:pPr>
        <w:pStyle w:val="3"/>
        <w:spacing w:before="0" w:line="400" w:lineRule="exact"/>
        <w:ind w:left="1080" w:leftChars="257" w:hanging="54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57" w:name="_Toc216582806"/>
      <w:bookmarkStart w:id="58" w:name="_Toc809"/>
      <w:bookmarkStart w:id="59" w:name="_Toc518923065"/>
      <w:bookmarkStart w:id="60" w:name="_Toc520356146"/>
      <w:bookmarkStart w:id="61" w:name="_Toc10715354"/>
      <w:bookmarkStart w:id="62" w:name="_Toc13552"/>
      <w:bookmarkStart w:id="63" w:name="_Toc889"/>
      <w:bookmarkStart w:id="64" w:name="_Toc20318"/>
      <w:bookmarkStart w:id="65" w:name="_Toc1896"/>
      <w:bookmarkStart w:id="66" w:name="_Toc24427"/>
      <w:bookmarkStart w:id="67" w:name="_Toc10894_WPSOffice_Level1"/>
      <w:r>
        <w:rPr>
          <w:rFonts w:hint="eastAsia" w:asciiTheme="minorEastAsia" w:hAnsiTheme="minorEastAsia" w:eastAsiaTheme="minorEastAsia" w:cstheme="minorEastAsia"/>
          <w:color w:val="000000" w:themeColor="text1"/>
          <w:sz w:val="28"/>
          <w:highlight w:val="none"/>
          <w14:textFill>
            <w14:solidFill>
              <w14:schemeClr w14:val="tx1"/>
            </w14:solidFill>
          </w14:textFill>
        </w:rPr>
        <w:t xml:space="preserve">二   </w:t>
      </w:r>
      <w:bookmarkEnd w:id="57"/>
      <w:bookmarkEnd w:id="58"/>
      <w:bookmarkEnd w:id="59"/>
      <w:bookmarkEnd w:id="60"/>
      <w:r>
        <w:rPr>
          <w:rFonts w:hint="eastAsia" w:asciiTheme="minorEastAsia" w:hAnsiTheme="minorEastAsia" w:eastAsiaTheme="minorEastAsia" w:cstheme="minorEastAsia"/>
          <w:color w:val="000000" w:themeColor="text1"/>
          <w:sz w:val="28"/>
          <w:highlight w:val="none"/>
          <w14:textFill>
            <w14:solidFill>
              <w14:schemeClr w14:val="tx1"/>
            </w14:solidFill>
          </w14:textFill>
        </w:rPr>
        <w:t>磋商文件</w:t>
      </w:r>
      <w:bookmarkEnd w:id="61"/>
      <w:bookmarkEnd w:id="62"/>
      <w:bookmarkEnd w:id="63"/>
      <w:bookmarkEnd w:id="64"/>
      <w:bookmarkEnd w:id="65"/>
      <w:bookmarkEnd w:id="66"/>
      <w:bookmarkEnd w:id="67"/>
    </w:p>
    <w:p w14:paraId="57E232AA">
      <w:pPr>
        <w:pStyle w:val="4"/>
        <w:spacing w:before="0" w:after="0" w:line="400" w:lineRule="exact"/>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pPr>
      <w:bookmarkStart w:id="68" w:name="_Toc15218_WPSOffice_Level2"/>
      <w:bookmarkStart w:id="69" w:name="_Toc518923066"/>
      <w:bookmarkStart w:id="70" w:name="_Toc520356147"/>
      <w:bookmarkStart w:id="71" w:name="_Toc32393"/>
      <w:bookmarkStart w:id="72" w:name="_Toc22990"/>
      <w:bookmarkStart w:id="73" w:name="_Toc30675"/>
      <w:bookmarkStart w:id="74" w:name="_Toc4166"/>
      <w:bookmarkStart w:id="75" w:name="_Toc17055"/>
      <w:bookmarkStart w:id="76" w:name="_Toc15303_WPSOffice_Level2"/>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5.磋商文件构成</w:t>
      </w:r>
      <w:bookmarkEnd w:id="68"/>
      <w:bookmarkEnd w:id="69"/>
      <w:bookmarkEnd w:id="70"/>
      <w:bookmarkEnd w:id="71"/>
      <w:bookmarkEnd w:id="72"/>
      <w:bookmarkEnd w:id="73"/>
      <w:bookmarkEnd w:id="74"/>
      <w:bookmarkEnd w:id="75"/>
      <w:bookmarkEnd w:id="76"/>
    </w:p>
    <w:p w14:paraId="19BC8D48">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磋商文件分为三册共7章，内容如下：</w:t>
      </w:r>
    </w:p>
    <w:p w14:paraId="4AF6991B">
      <w:pPr>
        <w:spacing w:line="400" w:lineRule="exact"/>
        <w:ind w:left="1079" w:leftChars="428" w:hanging="180" w:hangingChars="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第一册</w:t>
      </w:r>
    </w:p>
    <w:p w14:paraId="21E060AF">
      <w:pPr>
        <w:numPr>
          <w:ilvl w:val="0"/>
          <w:numId w:val="0"/>
        </w:numPr>
        <w:spacing w:line="400" w:lineRule="exact"/>
        <w:ind w:left="1081" w:leftChars="429" w:hanging="1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供应商须知</w:t>
      </w:r>
    </w:p>
    <w:p w14:paraId="6EEE6A54">
      <w:pPr>
        <w:numPr>
          <w:ilvl w:val="0"/>
          <w:numId w:val="0"/>
        </w:numPr>
        <w:spacing w:line="400" w:lineRule="exact"/>
        <w:ind w:left="1081" w:leftChars="429" w:hanging="1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响应文件格式</w:t>
      </w:r>
    </w:p>
    <w:p w14:paraId="4EF4E07B">
      <w:pPr>
        <w:spacing w:line="400" w:lineRule="exact"/>
        <w:ind w:left="1081" w:leftChars="429" w:hanging="1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第二册</w:t>
      </w:r>
    </w:p>
    <w:p w14:paraId="59B62C59">
      <w:pPr>
        <w:numPr>
          <w:ilvl w:val="0"/>
          <w:numId w:val="0"/>
        </w:numPr>
        <w:spacing w:line="400" w:lineRule="exact"/>
        <w:ind w:left="1081" w:leftChars="429" w:hanging="1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磋商邀请 </w:t>
      </w:r>
    </w:p>
    <w:p w14:paraId="36F63853">
      <w:pPr>
        <w:numPr>
          <w:ilvl w:val="0"/>
          <w:numId w:val="0"/>
        </w:numPr>
        <w:spacing w:line="400" w:lineRule="exact"/>
        <w:ind w:left="1081" w:leftChars="429" w:hanging="1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供应商须知资料表</w:t>
      </w:r>
    </w:p>
    <w:p w14:paraId="5592406B">
      <w:pPr>
        <w:numPr>
          <w:ilvl w:val="0"/>
          <w:numId w:val="0"/>
        </w:numPr>
        <w:spacing w:line="400" w:lineRule="exact"/>
        <w:ind w:left="1081" w:leftChars="429" w:hanging="1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服务</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内容及项目要求</w:t>
      </w:r>
    </w:p>
    <w:p w14:paraId="712931DA">
      <w:pPr>
        <w:numPr>
          <w:ilvl w:val="0"/>
          <w:numId w:val="0"/>
        </w:numPr>
        <w:spacing w:line="400" w:lineRule="exact"/>
        <w:ind w:left="1081" w:leftChars="429" w:hanging="1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评审方法和标准</w:t>
      </w:r>
    </w:p>
    <w:p w14:paraId="1400732E">
      <w:pPr>
        <w:spacing w:line="400" w:lineRule="exact"/>
        <w:ind w:left="901"/>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第三册</w:t>
      </w:r>
    </w:p>
    <w:p w14:paraId="0B5BBDC7">
      <w:pPr>
        <w:numPr>
          <w:ilvl w:val="0"/>
          <w:numId w:val="0"/>
        </w:numPr>
        <w:spacing w:line="400" w:lineRule="exact"/>
        <w:ind w:left="1081" w:leftChars="429" w:hanging="1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政府采购合同格式</w:t>
      </w:r>
    </w:p>
    <w:p w14:paraId="03E45D24">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如本文件的前后内容不一致，以最后描述为准。</w:t>
      </w:r>
    </w:p>
    <w:p w14:paraId="2A26B12C">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5.3    供应商应认真阅读磋商文件所有的事项、格式、条款和技术规范等。如供应商没有按照磋商文件要求提交全部资料，或者响应文件没有对磋商文件在各方面都做出实质性响应，可能导致其磋商被认定为磋商无效。</w:t>
      </w:r>
    </w:p>
    <w:p w14:paraId="3A0F474C">
      <w:pPr>
        <w:pStyle w:val="4"/>
        <w:spacing w:before="0" w:after="0" w:line="400" w:lineRule="exact"/>
        <w:rPr>
          <w:rFonts w:hint="eastAsia" w:asciiTheme="minorEastAsia" w:hAnsiTheme="minorEastAsia" w:eastAsiaTheme="minorEastAsia" w:cstheme="minorEastAsia"/>
          <w:b w:val="0"/>
          <w:color w:val="000000" w:themeColor="text1"/>
          <w:highlight w:val="none"/>
          <w:u w:val="none" w:color="auto"/>
          <w14:textFill>
            <w14:solidFill>
              <w14:schemeClr w14:val="tx1"/>
            </w14:solidFill>
          </w14:textFill>
        </w:rPr>
      </w:pPr>
      <w:bookmarkStart w:id="77" w:name="_Toc520356148"/>
      <w:bookmarkStart w:id="78" w:name="_Toc518923067"/>
      <w:bookmarkStart w:id="79" w:name="_Toc90_WPSOffice_Level2"/>
      <w:bookmarkStart w:id="80" w:name="_Toc10956"/>
      <w:bookmarkStart w:id="81" w:name="_Toc21314"/>
      <w:bookmarkStart w:id="82" w:name="_Toc27880"/>
      <w:bookmarkStart w:id="83" w:name="_Toc29081_WPSOffice_Level2"/>
      <w:bookmarkStart w:id="84" w:name="_Toc20413"/>
      <w:bookmarkStart w:id="85" w:name="_Toc11598"/>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6.磋商文件的澄清</w:t>
      </w:r>
      <w:bookmarkEnd w:id="77"/>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与修改</w:t>
      </w:r>
      <w:bookmarkEnd w:id="78"/>
      <w:bookmarkEnd w:id="79"/>
      <w:bookmarkEnd w:id="80"/>
      <w:bookmarkEnd w:id="81"/>
      <w:bookmarkEnd w:id="82"/>
      <w:bookmarkEnd w:id="83"/>
      <w:bookmarkEnd w:id="84"/>
      <w:bookmarkEnd w:id="85"/>
    </w:p>
    <w:p w14:paraId="4FCEBF0F">
      <w:pPr>
        <w:pStyle w:val="7"/>
        <w:spacing w:line="400" w:lineRule="exact"/>
        <w:ind w:left="840" w:hanging="840" w:hangingChars="35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6.1    为了保证对磋商文件的澄清和修改满足法律的时限要求，</w:t>
      </w:r>
      <w:bookmarkStart w:id="86" w:name="_Toc520356149"/>
      <w:bookmarkStart w:id="87" w:name="_Ref467378678"/>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63681FCC">
      <w:pPr>
        <w:pStyle w:val="7"/>
        <w:spacing w:line="400" w:lineRule="exact"/>
        <w:ind w:left="840" w:hanging="840" w:hangingChars="35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6.2</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采购人可主动地或在解答供应商提出的澄清问题时对磋商文件澄清或修改。采购代理机构将以发布澄清（更正）公告的方式，澄清或修改磋商文件，澄清或修改内容作为磋商文件的组成部分。</w:t>
      </w:r>
    </w:p>
    <w:p w14:paraId="3AD86E03">
      <w:pPr>
        <w:pStyle w:val="7"/>
        <w:spacing w:line="400" w:lineRule="exact"/>
        <w:ind w:left="840" w:hanging="840" w:hangingChars="35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6.3</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澄清或者修改的内容可能影响响应文件编制的，采购代理机构将以书面形式通知所有购买磋商文件的潜在供应商，并对其具有约束力。供应商在收到上述通知后，应及时向采购代理机构回函确认。</w:t>
      </w:r>
    </w:p>
    <w:p w14:paraId="6711333F">
      <w:pPr>
        <w:pStyle w:val="4"/>
        <w:tabs>
          <w:tab w:val="left" w:pos="900"/>
        </w:tabs>
        <w:spacing w:before="0" w:after="0" w:line="400" w:lineRule="exact"/>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pPr>
      <w:bookmarkStart w:id="88" w:name="_Toc10260"/>
      <w:bookmarkStart w:id="89" w:name="_Toc9694_WPSOffice_Level2"/>
      <w:bookmarkStart w:id="90" w:name="_Toc31699_WPSOffice_Level2"/>
      <w:bookmarkStart w:id="91" w:name="_Toc25437"/>
      <w:bookmarkStart w:id="92" w:name="_Toc518923068"/>
      <w:bookmarkStart w:id="93" w:name="_Toc2158"/>
      <w:bookmarkStart w:id="94" w:name="_Toc10994"/>
      <w:bookmarkStart w:id="95" w:name="_Toc10965"/>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7</w:t>
      </w:r>
      <w:bookmarkEnd w:id="86"/>
      <w:bookmarkEnd w:id="87"/>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.响应文件递交截止时间的顺延</w:t>
      </w:r>
      <w:bookmarkEnd w:id="88"/>
      <w:bookmarkEnd w:id="89"/>
      <w:bookmarkEnd w:id="90"/>
      <w:bookmarkEnd w:id="91"/>
      <w:bookmarkEnd w:id="92"/>
      <w:bookmarkEnd w:id="93"/>
      <w:bookmarkEnd w:id="94"/>
      <w:bookmarkEnd w:id="95"/>
    </w:p>
    <w:p w14:paraId="7CAA818C">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为使供应商准备磋商时有足够的时间对磋商文件的澄清或者修改部分进行研究，采购人将依法决定是否顺延响应文件递交截止时间。</w:t>
      </w:r>
    </w:p>
    <w:p w14:paraId="55D95C5C">
      <w:pPr>
        <w:pStyle w:val="3"/>
        <w:tabs>
          <w:tab w:val="left" w:pos="900"/>
        </w:tabs>
        <w:spacing w:before="0" w:line="400" w:lineRule="exact"/>
        <w:ind w:left="1080" w:leftChars="257" w:hanging="54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96" w:name="_Toc516367020"/>
      <w:bookmarkStart w:id="97" w:name="_Toc22504"/>
      <w:bookmarkStart w:id="98" w:name="_Toc518923069"/>
      <w:bookmarkStart w:id="99" w:name="_Toc216582807"/>
      <w:bookmarkStart w:id="100" w:name="_Toc520356150"/>
      <w:bookmarkStart w:id="101" w:name="_Toc10715355"/>
      <w:bookmarkStart w:id="102" w:name="_Toc25389"/>
      <w:bookmarkStart w:id="103" w:name="_Toc22312"/>
      <w:bookmarkStart w:id="104" w:name="_Toc15778"/>
      <w:bookmarkStart w:id="105" w:name="_Toc4436_WPSOffice_Level1"/>
      <w:bookmarkStart w:id="106" w:name="_Toc18370"/>
      <w:r>
        <w:rPr>
          <w:rFonts w:hint="eastAsia" w:asciiTheme="minorEastAsia" w:hAnsiTheme="minorEastAsia" w:eastAsiaTheme="minorEastAsia" w:cstheme="minorEastAsia"/>
          <w:color w:val="000000" w:themeColor="text1"/>
          <w:sz w:val="28"/>
          <w:highlight w:val="none"/>
          <w14:textFill>
            <w14:solidFill>
              <w14:schemeClr w14:val="tx1"/>
            </w14:solidFill>
          </w14:textFill>
        </w:rPr>
        <w:t xml:space="preserve">三   </w:t>
      </w:r>
      <w:bookmarkEnd w:id="96"/>
      <w:r>
        <w:rPr>
          <w:rFonts w:hint="eastAsia" w:asciiTheme="minorEastAsia" w:hAnsiTheme="minorEastAsia" w:eastAsiaTheme="minorEastAsia" w:cstheme="minorEastAsia"/>
          <w:color w:val="000000" w:themeColor="text1"/>
          <w:sz w:val="28"/>
          <w:highlight w:val="none"/>
          <w14:textFill>
            <w14:solidFill>
              <w14:schemeClr w14:val="tx1"/>
            </w14:solidFill>
          </w14:textFill>
        </w:rPr>
        <w:t>响应文件的编制</w:t>
      </w:r>
      <w:bookmarkEnd w:id="97"/>
      <w:bookmarkEnd w:id="98"/>
      <w:bookmarkEnd w:id="99"/>
      <w:bookmarkEnd w:id="100"/>
      <w:bookmarkEnd w:id="101"/>
      <w:bookmarkEnd w:id="102"/>
      <w:bookmarkEnd w:id="103"/>
      <w:bookmarkEnd w:id="104"/>
      <w:bookmarkEnd w:id="105"/>
      <w:bookmarkEnd w:id="106"/>
    </w:p>
    <w:p w14:paraId="44BA3C4C">
      <w:pPr>
        <w:pStyle w:val="4"/>
        <w:tabs>
          <w:tab w:val="left" w:pos="900"/>
        </w:tabs>
        <w:spacing w:before="0" w:after="0" w:line="400" w:lineRule="exact"/>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pPr>
      <w:bookmarkStart w:id="107" w:name="_Toc520356151"/>
      <w:bookmarkStart w:id="108" w:name="_Toc518923070"/>
      <w:bookmarkStart w:id="109" w:name="_Toc4350"/>
      <w:bookmarkStart w:id="110" w:name="_Toc20686_WPSOffice_Level2"/>
      <w:bookmarkStart w:id="111" w:name="_Toc31355"/>
      <w:bookmarkStart w:id="112" w:name="_Toc516367021"/>
      <w:bookmarkStart w:id="113" w:name="_Toc30152"/>
      <w:bookmarkStart w:id="114" w:name="_Toc31147"/>
      <w:bookmarkStart w:id="115" w:name="_Toc13590_WPSOffice_Level2"/>
      <w:bookmarkStart w:id="116" w:name="_Toc6728"/>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8.</w:t>
      </w:r>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ab/>
      </w:r>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磋商范围及响应文件成交准和计量单位的使用</w:t>
      </w:r>
      <w:bookmarkEnd w:id="107"/>
      <w:bookmarkEnd w:id="108"/>
      <w:bookmarkEnd w:id="109"/>
      <w:bookmarkEnd w:id="110"/>
      <w:bookmarkEnd w:id="111"/>
      <w:bookmarkEnd w:id="112"/>
      <w:bookmarkEnd w:id="113"/>
      <w:bookmarkEnd w:id="114"/>
      <w:bookmarkEnd w:id="115"/>
      <w:bookmarkEnd w:id="116"/>
    </w:p>
    <w:p w14:paraId="656012CB">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项目有分包的，供应商可对磋商文件其中一个或几个分包进行磋商，除非在</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供应商须知资料表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中另有规定。</w:t>
      </w:r>
    </w:p>
    <w:p w14:paraId="5A96DE9D">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8.2    供应商应当对所投分包磋商文件中“服务需求”所列的所有服务内容进行磋商，如仅响应分包中的部分内容，其磋商将被认定为磋商无效。</w:t>
      </w:r>
    </w:p>
    <w:p w14:paraId="44FE056A">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8.3     除</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中有特殊要求外，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中所使用的计量单位，应采用中华人民共和国法定计量单位。</w:t>
      </w:r>
    </w:p>
    <w:p w14:paraId="222814F1">
      <w:pPr>
        <w:pStyle w:val="4"/>
        <w:tabs>
          <w:tab w:val="left" w:pos="900"/>
        </w:tabs>
        <w:spacing w:before="0" w:after="0" w:line="400" w:lineRule="exact"/>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pPr>
      <w:bookmarkStart w:id="117" w:name="_Ref467306676"/>
      <w:bookmarkStart w:id="118" w:name="_Toc516367022"/>
      <w:bookmarkStart w:id="119" w:name="_Ref467306195"/>
      <w:bookmarkStart w:id="120" w:name="_Toc28019"/>
      <w:bookmarkStart w:id="121" w:name="_Toc520356152"/>
      <w:bookmarkStart w:id="122" w:name="_Toc25716"/>
      <w:bookmarkStart w:id="123" w:name="_Toc518923071"/>
      <w:bookmarkStart w:id="124" w:name="_Toc15487"/>
      <w:bookmarkStart w:id="125" w:name="_Toc28579_WPSOffice_Level2"/>
      <w:bookmarkStart w:id="126" w:name="_Toc3145"/>
      <w:bookmarkStart w:id="127" w:name="_Toc22633"/>
      <w:bookmarkStart w:id="128" w:name="_Toc31935_WPSOffice_Level2"/>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9.</w:t>
      </w:r>
      <w:bookmarkEnd w:id="117"/>
      <w:bookmarkEnd w:id="118"/>
      <w:bookmarkEnd w:id="119"/>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响应文件构成</w:t>
      </w:r>
      <w:bookmarkEnd w:id="120"/>
      <w:bookmarkEnd w:id="121"/>
      <w:bookmarkEnd w:id="122"/>
      <w:bookmarkEnd w:id="123"/>
      <w:bookmarkEnd w:id="124"/>
      <w:bookmarkEnd w:id="125"/>
      <w:bookmarkEnd w:id="126"/>
      <w:bookmarkEnd w:id="127"/>
      <w:bookmarkEnd w:id="128"/>
    </w:p>
    <w:p w14:paraId="63AA1124">
      <w:pPr>
        <w:tabs>
          <w:tab w:val="left" w:pos="900"/>
          <w:tab w:val="left" w:pos="5580"/>
        </w:tabs>
        <w:spacing w:line="400" w:lineRule="exact"/>
        <w:ind w:left="960" w:hanging="960" w:hangingChars="400"/>
        <w:jc w:val="left"/>
        <w:rPr>
          <w:rFonts w:hint="eastAsia" w:asciiTheme="minorEastAsia" w:hAnsiTheme="minorEastAsia" w:eastAsiaTheme="minorEastAsia" w:cstheme="minorEastAsia"/>
          <w:b/>
          <w:bCs/>
          <w:color w:val="000000" w:themeColor="text1"/>
          <w:sz w:val="24"/>
          <w:highlight w:val="none"/>
          <w:u w:val="single"/>
          <w:lang w:val="en-US" w:eastAsia="zh-CN"/>
          <w14:textFill>
            <w14:solidFill>
              <w14:schemeClr w14:val="tx1"/>
            </w14:solidFill>
          </w14:textFill>
        </w:rPr>
      </w:pPr>
      <w:bookmarkStart w:id="129" w:name="_Ref467052588"/>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9.1     </w:t>
      </w:r>
      <w:bookmarkEnd w:id="129"/>
      <w:r>
        <w:rPr>
          <w:rFonts w:hint="eastAsia" w:asciiTheme="minorEastAsia" w:hAnsiTheme="minorEastAsia" w:eastAsiaTheme="minorEastAsia" w:cstheme="minorEastAsia"/>
          <w:b/>
          <w:bCs/>
          <w:color w:val="000000" w:themeColor="text1"/>
          <w:sz w:val="24"/>
          <w:highlight w:val="none"/>
          <w:u w:val="single"/>
          <w14:textFill>
            <w14:solidFill>
              <w14:schemeClr w14:val="tx1"/>
            </w14:solidFill>
          </w14:textFill>
        </w:rPr>
        <w:t>供应商应完整地按</w:t>
      </w:r>
      <w:r>
        <w:rPr>
          <w:rFonts w:hint="eastAsia" w:asciiTheme="minorEastAsia" w:hAnsiTheme="minorEastAsia" w:eastAsiaTheme="minorEastAsia" w:cstheme="minorEastAsia"/>
          <w:b/>
          <w:bCs/>
          <w:color w:val="000000" w:themeColor="text1"/>
          <w:sz w:val="24"/>
          <w:highlight w:val="none"/>
          <w:u w:val="single"/>
          <w:lang w:eastAsia="zh-CN"/>
          <w14:textFill>
            <w14:solidFill>
              <w14:schemeClr w14:val="tx1"/>
            </w14:solidFill>
          </w14:textFill>
        </w:rPr>
        <w:t>磋商文件</w:t>
      </w:r>
      <w:r>
        <w:rPr>
          <w:rFonts w:hint="eastAsia" w:asciiTheme="minorEastAsia" w:hAnsiTheme="minorEastAsia" w:eastAsiaTheme="minorEastAsia" w:cstheme="minorEastAsia"/>
          <w:b/>
          <w:bCs/>
          <w:color w:val="000000" w:themeColor="text1"/>
          <w:sz w:val="24"/>
          <w:highlight w:val="none"/>
          <w:u w:val="single"/>
          <w14:textFill>
            <w14:solidFill>
              <w14:schemeClr w14:val="tx1"/>
            </w14:solidFill>
          </w14:textFill>
        </w:rPr>
        <w:t>提供的</w:t>
      </w:r>
      <w:r>
        <w:rPr>
          <w:rFonts w:hint="eastAsia" w:asciiTheme="minorEastAsia" w:hAnsiTheme="minorEastAsia" w:eastAsiaTheme="minorEastAsia" w:cstheme="minorEastAsia"/>
          <w:b/>
          <w:bCs/>
          <w:color w:val="000000" w:themeColor="text1"/>
          <w:sz w:val="24"/>
          <w:highlight w:val="none"/>
          <w:u w:val="single"/>
          <w:lang w:eastAsia="zh-CN"/>
          <w14:textFill>
            <w14:solidFill>
              <w14:schemeClr w14:val="tx1"/>
            </w14:solidFill>
          </w14:textFill>
        </w:rPr>
        <w:t>响应文件</w:t>
      </w:r>
      <w:r>
        <w:rPr>
          <w:rFonts w:hint="eastAsia" w:asciiTheme="minorEastAsia" w:hAnsiTheme="minorEastAsia" w:eastAsiaTheme="minorEastAsia" w:cstheme="minorEastAsia"/>
          <w:b/>
          <w:bCs/>
          <w:color w:val="000000" w:themeColor="text1"/>
          <w:sz w:val="24"/>
          <w:highlight w:val="none"/>
          <w:u w:val="single"/>
          <w14:textFill>
            <w14:solidFill>
              <w14:schemeClr w14:val="tx1"/>
            </w14:solidFill>
          </w14:textFill>
        </w:rPr>
        <w:t>格式及要求编写</w:t>
      </w:r>
      <w:r>
        <w:rPr>
          <w:rFonts w:hint="eastAsia" w:asciiTheme="minorEastAsia" w:hAnsiTheme="minorEastAsia" w:eastAsiaTheme="minorEastAsia" w:cstheme="minorEastAsia"/>
          <w:b/>
          <w:bCs/>
          <w:color w:val="000000" w:themeColor="text1"/>
          <w:sz w:val="24"/>
          <w:highlight w:val="none"/>
          <w:u w:val="single"/>
          <w:lang w:eastAsia="zh-CN"/>
          <w14:textFill>
            <w14:solidFill>
              <w14:schemeClr w14:val="tx1"/>
            </w14:solidFill>
          </w14:textFill>
        </w:rPr>
        <w:t>响应文件</w:t>
      </w:r>
      <w:r>
        <w:rPr>
          <w:rFonts w:hint="eastAsia" w:asciiTheme="minorEastAsia" w:hAnsiTheme="minorEastAsia" w:eastAsiaTheme="minorEastAsia" w:cstheme="minorEastAsia"/>
          <w:b/>
          <w:bCs/>
          <w:color w:val="000000" w:themeColor="text1"/>
          <w:sz w:val="24"/>
          <w:highlight w:val="none"/>
          <w:u w:val="single"/>
          <w14:textFill>
            <w14:solidFill>
              <w14:schemeClr w14:val="tx1"/>
            </w14:solidFill>
          </w14:textFill>
        </w:rPr>
        <w:t>，根据平台关联点上传对应佐证资料，</w:t>
      </w:r>
      <w:r>
        <w:rPr>
          <w:rFonts w:hint="eastAsia" w:asciiTheme="minorEastAsia" w:hAnsiTheme="minorEastAsia" w:eastAsiaTheme="minorEastAsia" w:cstheme="minorEastAsia"/>
          <w:b/>
          <w:bCs/>
          <w:color w:val="000000" w:themeColor="text1"/>
          <w:sz w:val="24"/>
          <w:highlight w:val="none"/>
          <w:u w:val="single"/>
          <w:lang w:eastAsia="zh-CN"/>
          <w14:textFill>
            <w14:solidFill>
              <w14:schemeClr w14:val="tx1"/>
            </w14:solidFill>
          </w14:textFill>
        </w:rPr>
        <w:t>响应文件</w:t>
      </w:r>
      <w:r>
        <w:rPr>
          <w:rFonts w:hint="eastAsia" w:asciiTheme="minorEastAsia" w:hAnsiTheme="minorEastAsia" w:eastAsiaTheme="minorEastAsia" w:cstheme="minorEastAsia"/>
          <w:b/>
          <w:bCs/>
          <w:color w:val="000000" w:themeColor="text1"/>
          <w:sz w:val="24"/>
          <w:highlight w:val="none"/>
          <w:u w:val="single"/>
          <w14:textFill>
            <w14:solidFill>
              <w14:schemeClr w14:val="tx1"/>
            </w14:solidFill>
          </w14:textFill>
        </w:rPr>
        <w:t>应包括“</w:t>
      </w:r>
      <w:r>
        <w:rPr>
          <w:rFonts w:hint="eastAsia" w:asciiTheme="minorEastAsia" w:hAnsiTheme="minorEastAsia" w:eastAsiaTheme="minorEastAsia" w:cstheme="minorEastAsia"/>
          <w:b/>
          <w:bCs/>
          <w:color w:val="000000" w:themeColor="text1"/>
          <w:sz w:val="24"/>
          <w:highlight w:val="none"/>
          <w:u w:val="single"/>
          <w:lang w:eastAsia="zh-CN"/>
          <w14:textFill>
            <w14:solidFill>
              <w14:schemeClr w14:val="tx1"/>
            </w14:solidFill>
          </w14:textFill>
        </w:rPr>
        <w:t>磋商一览表</w:t>
      </w:r>
      <w:r>
        <w:rPr>
          <w:rFonts w:hint="eastAsia" w:asciiTheme="minorEastAsia" w:hAnsiTheme="minorEastAsia" w:eastAsiaTheme="minorEastAsia" w:cstheme="minorEastAsia"/>
          <w:b/>
          <w:bCs/>
          <w:color w:val="000000" w:themeColor="text1"/>
          <w:sz w:val="24"/>
          <w:highlight w:val="none"/>
          <w:u w:val="single"/>
          <w14:textFill>
            <w14:solidFill>
              <w14:schemeClr w14:val="tx1"/>
            </w14:solidFill>
          </w14:textFill>
        </w:rPr>
        <w:t>及资格证明文件”和“商务及技术文件”两部分，两部分合并成完整一册</w:t>
      </w:r>
      <w:r>
        <w:rPr>
          <w:rFonts w:hint="eastAsia" w:asciiTheme="minorEastAsia" w:hAnsiTheme="minorEastAsia" w:eastAsiaTheme="minorEastAsia" w:cstheme="minorEastAsia"/>
          <w:b/>
          <w:bCs/>
          <w:color w:val="000000" w:themeColor="text1"/>
          <w:sz w:val="24"/>
          <w:highlight w:val="none"/>
          <w:u w:val="single"/>
          <w:lang w:val="en-US" w:eastAsia="zh-CN"/>
          <w14:textFill>
            <w14:solidFill>
              <w14:schemeClr w14:val="tx1"/>
            </w14:solidFill>
          </w14:textFill>
        </w:rPr>
        <w:t>经CA证书加密后上传提交</w:t>
      </w:r>
      <w:r>
        <w:rPr>
          <w:rFonts w:hint="eastAsia" w:asciiTheme="minorEastAsia" w:hAnsiTheme="minorEastAsia" w:eastAsiaTheme="minorEastAsia" w:cstheme="minorEastAsia"/>
          <w:b/>
          <w:bCs/>
          <w:color w:val="000000" w:themeColor="text1"/>
          <w:sz w:val="24"/>
          <w:highlight w:val="none"/>
          <w:u w:val="single"/>
          <w14:textFill>
            <w14:solidFill>
              <w14:schemeClr w14:val="tx1"/>
            </w14:solidFill>
          </w14:textFill>
        </w:rPr>
        <w:t>至政采云平台</w:t>
      </w:r>
      <w:r>
        <w:rPr>
          <w:rFonts w:hint="eastAsia" w:asciiTheme="minorEastAsia" w:hAnsiTheme="minorEastAsia" w:eastAsiaTheme="minorEastAsia" w:cstheme="minorEastAsia"/>
          <w:b/>
          <w:bCs/>
          <w:color w:val="000000" w:themeColor="text1"/>
          <w:sz w:val="24"/>
          <w:highlight w:val="none"/>
          <w:u w:val="single"/>
          <w:lang w:val="en-US" w:eastAsia="zh-CN"/>
          <w14:textFill>
            <w14:solidFill>
              <w14:schemeClr w14:val="tx1"/>
            </w14:solidFill>
          </w14:textFill>
        </w:rPr>
        <w:t>（严格按照政采云电子投标流程制作并上传电子响应文件）。</w:t>
      </w:r>
    </w:p>
    <w:p w14:paraId="7A8957EA">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9.2    上述文件应按照磋商文件规定的格式填写、签署和盖章。</w:t>
      </w:r>
    </w:p>
    <w:p w14:paraId="0534E3F1">
      <w:pPr>
        <w:pStyle w:val="4"/>
        <w:tabs>
          <w:tab w:val="left" w:pos="900"/>
        </w:tabs>
        <w:spacing w:before="0" w:after="0" w:line="400" w:lineRule="exact"/>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pPr>
      <w:bookmarkStart w:id="130" w:name="_Toc516367023"/>
      <w:bookmarkStart w:id="131" w:name="_Toc25744"/>
      <w:bookmarkStart w:id="132" w:name="_Toc518923072"/>
      <w:bookmarkStart w:id="133" w:name="_Toc28671"/>
      <w:bookmarkStart w:id="134" w:name="_Toc520356153"/>
      <w:bookmarkStart w:id="135" w:name="_Toc26104"/>
      <w:bookmarkStart w:id="136" w:name="_Toc10751_WPSOffice_Level2"/>
      <w:bookmarkStart w:id="137" w:name="_Toc2671"/>
      <w:bookmarkStart w:id="138" w:name="_Toc5768_WPSOffice_Level2"/>
      <w:bookmarkStart w:id="139" w:name="_Toc508185920"/>
      <w:bookmarkStart w:id="140" w:name="_Toc2331"/>
      <w:bookmarkStart w:id="141" w:name="_Toc520356155"/>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10.</w:t>
      </w:r>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ab/>
      </w:r>
      <w:bookmarkEnd w:id="130"/>
      <w:bookmarkEnd w:id="131"/>
      <w:bookmarkEnd w:id="132"/>
      <w:bookmarkEnd w:id="133"/>
      <w:bookmarkEnd w:id="134"/>
      <w:bookmarkEnd w:id="135"/>
      <w:bookmarkEnd w:id="136"/>
      <w:bookmarkEnd w:id="137"/>
      <w:bookmarkEnd w:id="138"/>
      <w:bookmarkEnd w:id="139"/>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证明</w:t>
      </w:r>
      <w:r>
        <w:rPr>
          <w:rFonts w:hint="eastAsia" w:asciiTheme="minorEastAsia" w:hAnsiTheme="minorEastAsia" w:eastAsiaTheme="minorEastAsia" w:cstheme="minorEastAsia"/>
          <w:color w:val="000000" w:themeColor="text1"/>
          <w:highlight w:val="none"/>
          <w:u w:val="none" w:color="auto"/>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的合格性和符合</w:t>
      </w:r>
      <w:r>
        <w:rPr>
          <w:rFonts w:hint="eastAsia" w:asciiTheme="minorEastAsia" w:hAnsiTheme="minorEastAsia" w:eastAsiaTheme="minorEastAsia" w:cstheme="minorEastAsia"/>
          <w:color w:val="000000" w:themeColor="text1"/>
          <w:highlight w:val="none"/>
          <w:u w:val="none" w:color="auto"/>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规定的技术文件</w:t>
      </w:r>
      <w:bookmarkEnd w:id="140"/>
    </w:p>
    <w:p w14:paraId="5BB6F939">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供应商应提交证明文件，证明其磋商内容符合磋商文件规定。该证明文件是响应文件的一部分。</w:t>
      </w:r>
    </w:p>
    <w:p w14:paraId="0B58026F">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bookmarkStart w:id="142" w:name="_Ref467306244"/>
      <w:r>
        <w:rPr>
          <w:rFonts w:hint="eastAsia" w:asciiTheme="minorEastAsia" w:hAnsiTheme="minorEastAsia" w:eastAsiaTheme="minorEastAsia" w:cstheme="minorEastAsia"/>
          <w:color w:val="000000" w:themeColor="text1"/>
          <w:sz w:val="24"/>
          <w:highlight w:val="none"/>
          <w14:textFill>
            <w14:solidFill>
              <w14:schemeClr w14:val="tx1"/>
            </w14:solidFill>
          </w14:textFill>
        </w:rPr>
        <w:t>10.2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上款所述的证明文件，可以是文字资料、图纸和数据</w:t>
      </w:r>
      <w:bookmarkEnd w:id="142"/>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75C7AD5A">
      <w:pPr>
        <w:pStyle w:val="4"/>
        <w:spacing w:before="0" w:after="0" w:line="400" w:lineRule="exact"/>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pPr>
      <w:bookmarkStart w:id="143" w:name="_Toc8529"/>
      <w:bookmarkStart w:id="144" w:name="_Toc518923073"/>
      <w:bookmarkStart w:id="145" w:name="_Toc24379"/>
      <w:bookmarkStart w:id="146" w:name="_Toc32368_WPSOffice_Level2"/>
      <w:bookmarkStart w:id="147" w:name="_Toc31272"/>
      <w:bookmarkStart w:id="148" w:name="_Toc15335_WPSOffice_Level2"/>
      <w:bookmarkStart w:id="149" w:name="_Toc26384"/>
      <w:bookmarkStart w:id="150" w:name="_Toc16161"/>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11.</w:t>
      </w:r>
      <w:bookmarkEnd w:id="141"/>
      <w:bookmarkEnd w:id="143"/>
      <w:bookmarkEnd w:id="144"/>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磋商报价</w:t>
      </w:r>
      <w:bookmarkEnd w:id="145"/>
      <w:bookmarkEnd w:id="146"/>
      <w:bookmarkEnd w:id="147"/>
      <w:bookmarkEnd w:id="148"/>
      <w:bookmarkEnd w:id="149"/>
      <w:bookmarkEnd w:id="150"/>
    </w:p>
    <w:p w14:paraId="0D1F5A98">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所有响应文件均以人民币报价。供应商的磋商报价应遵守《中华人民共和国价格法》。同时，根据《中华人民共和国政府采购法》第二条的规定，为保证公平竞争，如有主体磋商标的的赠与行为，其磋商将被认定为磋商无效。</w:t>
      </w:r>
    </w:p>
    <w:p w14:paraId="44C5ED62">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供应商应在标的分项报价表上标明分项服务的价格（如适用）和总价，并由法定代表人或其委托代理人签署。</w:t>
      </w:r>
    </w:p>
    <w:p w14:paraId="745271C3">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采购人不接受具有附加条件的报价。</w:t>
      </w:r>
    </w:p>
    <w:p w14:paraId="4718DAEF">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供应商所报的各分项磋商报价在合同履行过程中是固定不变的，不得以任何理由予以变更。任何包含价格调整要求的磋商，将被认定为磋商无效。</w:t>
      </w:r>
    </w:p>
    <w:p w14:paraId="3ECE0015">
      <w:pPr>
        <w:spacing w:line="400" w:lineRule="exact"/>
        <w:ind w:left="900" w:hanging="900" w:hangingChars="375"/>
        <w:rPr>
          <w:rFonts w:hint="eastAsia" w:asciiTheme="minorEastAsia" w:hAnsiTheme="minorEastAsia" w:eastAsiaTheme="minorEastAsia" w:cstheme="minorEastAsia"/>
          <w:b/>
          <w:bCs/>
          <w:color w:val="000000" w:themeColor="text1"/>
          <w:sz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11.5   </w:t>
      </w:r>
      <w:r>
        <w:rPr>
          <w:rFonts w:hint="eastAsia" w:asciiTheme="minorEastAsia" w:hAnsiTheme="minorEastAsia" w:eastAsiaTheme="minorEastAsia" w:cstheme="minorEastAsia"/>
          <w:b/>
          <w:bCs/>
          <w:color w:val="000000" w:themeColor="text1"/>
          <w:sz w:val="24"/>
          <w:highlight w:val="none"/>
          <w:u w:val="single"/>
          <w14:textFill>
            <w14:solidFill>
              <w14:schemeClr w14:val="tx1"/>
            </w14:solidFill>
          </w14:textFill>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14:paraId="3C75E520">
      <w:pPr>
        <w:pStyle w:val="4"/>
        <w:spacing w:before="0" w:after="0" w:line="400" w:lineRule="exact"/>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pPr>
      <w:bookmarkStart w:id="151" w:name="_Toc518923074"/>
      <w:bookmarkStart w:id="152" w:name="_Toc520356156"/>
      <w:bookmarkStart w:id="153" w:name="_Toc16199"/>
      <w:bookmarkStart w:id="154" w:name="_Ref467306513"/>
      <w:bookmarkStart w:id="155" w:name="_Toc14499"/>
      <w:bookmarkStart w:id="156" w:name="_Toc24125_WPSOffice_Level2"/>
      <w:bookmarkStart w:id="157" w:name="_Toc25748_WPSOffice_Level2"/>
      <w:bookmarkStart w:id="158" w:name="_Toc21273"/>
      <w:bookmarkStart w:id="159" w:name="_Toc7940"/>
      <w:bookmarkStart w:id="160" w:name="_Toc3595"/>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12.</w:t>
      </w:r>
      <w:bookmarkEnd w:id="151"/>
      <w:bookmarkEnd w:id="152"/>
      <w:bookmarkEnd w:id="153"/>
      <w:bookmarkEnd w:id="154"/>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磋商保证金</w:t>
      </w:r>
      <w:bookmarkEnd w:id="155"/>
      <w:bookmarkEnd w:id="156"/>
      <w:bookmarkEnd w:id="157"/>
      <w:bookmarkEnd w:id="158"/>
      <w:bookmarkEnd w:id="159"/>
      <w:bookmarkEnd w:id="160"/>
    </w:p>
    <w:p w14:paraId="763EC2B1">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bookmarkStart w:id="161" w:name="_Ref467306302"/>
      <w:r>
        <w:rPr>
          <w:rFonts w:hint="eastAsia" w:asciiTheme="minorEastAsia" w:hAnsiTheme="minorEastAsia" w:eastAsiaTheme="minorEastAsia" w:cstheme="minorEastAsia"/>
          <w:color w:val="000000" w:themeColor="text1"/>
          <w:sz w:val="24"/>
          <w:highlight w:val="none"/>
          <w14:textFill>
            <w14:solidFill>
              <w14:schemeClr w14:val="tx1"/>
            </w14:solidFill>
          </w14:textFill>
        </w:rPr>
        <w:t>12.1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供应商应提交</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供应商须知资料表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中规定的</w:t>
      </w:r>
      <w:bookmarkEnd w:id="161"/>
      <w:r>
        <w:rPr>
          <w:rFonts w:hint="eastAsia" w:asciiTheme="minorEastAsia" w:hAnsiTheme="minorEastAsia" w:eastAsiaTheme="minorEastAsia" w:cstheme="minorEastAsia"/>
          <w:color w:val="000000" w:themeColor="text1"/>
          <w:sz w:val="24"/>
          <w:highlight w:val="none"/>
          <w14:textFill>
            <w14:solidFill>
              <w14:schemeClr w14:val="tx1"/>
            </w14:solidFill>
          </w14:textFill>
        </w:rPr>
        <w:t>磋商保证金，并作为其磋商的一部分。</w:t>
      </w:r>
    </w:p>
    <w:p w14:paraId="6895627B">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12.2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供应商存在下列情形的，磋商保证金不予退还：</w:t>
      </w:r>
    </w:p>
    <w:p w14:paraId="044ABE7E">
      <w:pPr>
        <w:spacing w:line="400" w:lineRule="exact"/>
        <w:ind w:left="1752" w:leftChars="400" w:hanging="912" w:hangingChars="3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（1）在磋商有效期内，撤销磋商的；</w:t>
      </w:r>
    </w:p>
    <w:p w14:paraId="0784EB2D">
      <w:pPr>
        <w:pStyle w:val="16"/>
        <w:tabs>
          <w:tab w:val="left" w:pos="2240"/>
        </w:tabs>
        <w:spacing w:line="400" w:lineRule="exact"/>
        <w:ind w:left="1079" w:leftChars="371" w:hanging="300" w:hangingChars="12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（2）成交后不按本须知第30条的规定与采购人签订合同的；</w:t>
      </w:r>
    </w:p>
    <w:p w14:paraId="1A03AA49">
      <w:pPr>
        <w:pStyle w:val="16"/>
        <w:tabs>
          <w:tab w:val="left" w:pos="2240"/>
        </w:tabs>
        <w:spacing w:line="400" w:lineRule="exact"/>
        <w:ind w:left="1079" w:leftChars="371" w:hanging="300" w:hangingChars="12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（3）成交后不按本须知第31条的规定缴纳成交服务费的；</w:t>
      </w:r>
      <w:bookmarkStart w:id="162" w:name="_Ref467306336"/>
    </w:p>
    <w:p w14:paraId="69266F99">
      <w:pPr>
        <w:pStyle w:val="16"/>
        <w:tabs>
          <w:tab w:val="left" w:pos="2240"/>
        </w:tabs>
        <w:spacing w:line="400" w:lineRule="exact"/>
        <w:ind w:left="1079" w:leftChars="371" w:hanging="300" w:hangingChars="12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后不按本须知第32条的规定缴纳</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成交服务费</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w:t>
      </w:r>
    </w:p>
    <w:p w14:paraId="605EB9ED">
      <w:pPr>
        <w:pStyle w:val="16"/>
        <w:tabs>
          <w:tab w:val="left" w:pos="2240"/>
        </w:tabs>
        <w:spacing w:line="400" w:lineRule="exact"/>
        <w:ind w:left="1079" w:leftChars="371" w:hanging="300" w:hangingChars="12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（5）存在其他违法违规行为的。</w:t>
      </w:r>
    </w:p>
    <w:p w14:paraId="2B914F9A">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12.3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bookmarkEnd w:id="162"/>
      <w:r>
        <w:rPr>
          <w:rFonts w:hint="eastAsia" w:asciiTheme="minorEastAsia" w:hAnsiTheme="minorEastAsia" w:eastAsiaTheme="minorEastAsia" w:cstheme="minorEastAsia"/>
          <w:color w:val="000000" w:themeColor="text1"/>
          <w:sz w:val="24"/>
          <w:highlight w:val="none"/>
          <w14:textFill>
            <w14:solidFill>
              <w14:schemeClr w14:val="tx1"/>
            </w14:solidFill>
          </w14:textFill>
        </w:rPr>
        <w:t>政府采购信用担保试点范围内的项目，接受符合财政部门规定的政府采购磋商担保函原件。</w:t>
      </w:r>
    </w:p>
    <w:p w14:paraId="4DDAA753">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12.4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供应商未按本须知第12.1和12.3条规定提交磋商保证金的，其磋商资格将被认定为</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无效</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28282263">
      <w:pPr>
        <w:spacing w:line="400" w:lineRule="exac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12.4.1  采用电汇形式的，一般可以实时入账；</w:t>
      </w:r>
    </w:p>
    <w:p w14:paraId="6298BD8E">
      <w:pPr>
        <w:spacing w:line="400" w:lineRule="exact"/>
        <w:ind w:left="960" w:hanging="960" w:hangingChars="4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14:paraId="5CFC6D39">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12.5    联合体磋商的，可以由联合体中的一方或者共同提交磋商保证金。以一方名义提交磋商保证金的，对联合体各方均具有约束力。</w:t>
      </w:r>
    </w:p>
    <w:p w14:paraId="28C880AB">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12.6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磋商保证金的退还</w:t>
      </w:r>
    </w:p>
    <w:p w14:paraId="313B8F5B">
      <w:pPr>
        <w:spacing w:line="400" w:lineRule="exact"/>
        <w:ind w:left="1020" w:hanging="1020" w:hangingChars="42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12.6.1  </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成交人应在与采购人签订合同之日起5个工作日内，及时联系保证金收受机构办理磋商保证金无息退还手续。</w:t>
      </w:r>
    </w:p>
    <w:p w14:paraId="0F6B88DF">
      <w:pPr>
        <w:spacing w:line="400" w:lineRule="exact"/>
        <w:ind w:left="1020" w:hanging="1020" w:hangingChars="42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12.6.2  未成交供应商的磋商保证金将在成交通知书发出之日暨成交结果公告公布之日起5个工作日内无息退还。供应商及时联系保证金收受机构办理退还磋商保证金手续。</w:t>
      </w:r>
      <w:bookmarkStart w:id="163" w:name="_Toc518923075"/>
    </w:p>
    <w:p w14:paraId="05700E7E">
      <w:pPr>
        <w:spacing w:line="400" w:lineRule="exact"/>
        <w:ind w:left="893" w:hanging="892" w:hangingChars="425"/>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12.6.3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政府采购磋商担保函不予退回。</w:t>
      </w:r>
      <w:bookmarkEnd w:id="163"/>
    </w:p>
    <w:p w14:paraId="610A47AD">
      <w:pPr>
        <w:spacing w:line="400" w:lineRule="exact"/>
        <w:ind w:left="960" w:hanging="960" w:hangingChars="4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12.7   因供应商自身原因导致无法及时退还的，采购人或采购代理机构将不承担相应责任。</w:t>
      </w:r>
    </w:p>
    <w:p w14:paraId="3FFC025A">
      <w:pPr>
        <w:pStyle w:val="4"/>
        <w:spacing w:before="0" w:after="0" w:line="400" w:lineRule="exact"/>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pPr>
      <w:bookmarkStart w:id="164" w:name="_Toc518923076"/>
      <w:bookmarkStart w:id="165" w:name="_Toc520356157"/>
      <w:bookmarkStart w:id="166" w:name="_Toc20355"/>
      <w:bookmarkStart w:id="167" w:name="_Toc4716_WPSOffice_Level2"/>
      <w:bookmarkStart w:id="168" w:name="_Toc21509"/>
      <w:bookmarkStart w:id="169" w:name="_Toc16901"/>
      <w:bookmarkStart w:id="170" w:name="_Toc11106_WPSOffice_Level2"/>
      <w:bookmarkStart w:id="171" w:name="_Toc1149"/>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13.</w:t>
      </w:r>
      <w:bookmarkEnd w:id="164"/>
      <w:bookmarkEnd w:id="165"/>
      <w:bookmarkEnd w:id="166"/>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磋商有效期</w:t>
      </w:r>
      <w:bookmarkEnd w:id="167"/>
      <w:bookmarkEnd w:id="168"/>
      <w:bookmarkEnd w:id="169"/>
      <w:bookmarkEnd w:id="170"/>
      <w:bookmarkEnd w:id="171"/>
    </w:p>
    <w:p w14:paraId="3210A27D">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磋商应在</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供应商须知资料表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中规定时间内保持有效。磋商有效期不满足要求的响应，其磋商资格将被认定为</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无效</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3D249FB9">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为保证有充分时间签订合同，采购人或采购代理机构可根据实际情况，在原磋商有效期截止之前，要求供应商延长响应文件的有效期。接受该要求的供应商将不会被要求和允许修正其磋商，且本须知中有关磋商保证金的要求须在延长的有效期内继续有效。供应商可以拒绝延长磋商有效期的要求，其磋商保证金将及时按规定无息退还。上述要求和答复都应以书面形式提交。</w:t>
      </w:r>
    </w:p>
    <w:p w14:paraId="0CFBA823">
      <w:pPr>
        <w:pStyle w:val="4"/>
        <w:spacing w:before="0" w:after="0" w:line="400" w:lineRule="exact"/>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pPr>
      <w:bookmarkStart w:id="172" w:name="_Toc520356158"/>
      <w:bookmarkStart w:id="173" w:name="_Toc26406"/>
      <w:bookmarkStart w:id="174" w:name="_Toc13034_WPSOffice_Level2"/>
      <w:bookmarkStart w:id="175" w:name="_Toc6718"/>
      <w:bookmarkStart w:id="176" w:name="_Toc31308_WPSOffice_Level2"/>
      <w:bookmarkStart w:id="177" w:name="_Toc10232"/>
      <w:bookmarkStart w:id="178" w:name="_Toc24713"/>
      <w:bookmarkStart w:id="179" w:name="_Toc27303"/>
      <w:bookmarkStart w:id="180" w:name="_Toc518923077"/>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14.响应文件的签署</w:t>
      </w:r>
      <w:bookmarkEnd w:id="172"/>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及规定</w:t>
      </w:r>
      <w:bookmarkEnd w:id="173"/>
      <w:bookmarkEnd w:id="174"/>
      <w:bookmarkEnd w:id="175"/>
      <w:bookmarkEnd w:id="176"/>
      <w:bookmarkEnd w:id="177"/>
      <w:bookmarkEnd w:id="178"/>
      <w:bookmarkEnd w:id="179"/>
      <w:bookmarkEnd w:id="180"/>
    </w:p>
    <w:p w14:paraId="553C1C0C">
      <w:pPr>
        <w:spacing w:line="36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供应商应按供应商须知资料表中的规定，准备和</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上传</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5E4D0ED7">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由供应商的法定代表人或经其正式委托代理人按</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规定在</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上签字或盖章并加盖单位印章。委托代理人须有书面的“法定代表人授权委托书”，并将其附在</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中。如对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进行了修改，则应由供应商的法定代表人或其委托代理人在每一修改处签字。</w:t>
      </w:r>
    </w:p>
    <w:p w14:paraId="1638282D">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14.3    响应文件因字迹潦草、表达不清所引起的后果由供应商负责。</w:t>
      </w:r>
    </w:p>
    <w:p w14:paraId="3134D5DF">
      <w:pPr>
        <w:pStyle w:val="3"/>
        <w:spacing w:before="0" w:line="400" w:lineRule="exact"/>
        <w:ind w:left="1080" w:leftChars="257" w:hanging="54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81" w:name="_Toc13622"/>
      <w:bookmarkStart w:id="182" w:name="_Toc10715356"/>
      <w:bookmarkStart w:id="183" w:name="_Toc23730"/>
      <w:bookmarkStart w:id="184" w:name="_Toc520356159"/>
      <w:bookmarkStart w:id="185" w:name="_Toc22303"/>
      <w:bookmarkStart w:id="186" w:name="_Toc1132"/>
      <w:bookmarkStart w:id="187" w:name="_Toc25699"/>
      <w:bookmarkStart w:id="188" w:name="_Toc518923078"/>
      <w:bookmarkStart w:id="189" w:name="_Toc11544"/>
      <w:bookmarkStart w:id="190" w:name="_Toc30674_WPSOffice_Level1"/>
      <w:bookmarkStart w:id="191" w:name="_Toc216582808"/>
      <w:r>
        <w:rPr>
          <w:rFonts w:hint="eastAsia" w:asciiTheme="minorEastAsia" w:hAnsiTheme="minorEastAsia" w:eastAsiaTheme="minorEastAsia" w:cstheme="minorEastAsia"/>
          <w:color w:val="000000" w:themeColor="text1"/>
          <w:sz w:val="24"/>
          <w:highlight w:val="none"/>
          <w14:textFill>
            <w14:solidFill>
              <w14:schemeClr w14:val="tx1"/>
            </w14:solidFill>
          </w14:textFill>
        </w:rPr>
        <w:t>四   响应文件的递交</w:t>
      </w:r>
      <w:bookmarkEnd w:id="181"/>
      <w:bookmarkEnd w:id="182"/>
      <w:bookmarkEnd w:id="183"/>
      <w:bookmarkEnd w:id="184"/>
      <w:bookmarkEnd w:id="185"/>
      <w:bookmarkEnd w:id="186"/>
      <w:bookmarkEnd w:id="187"/>
      <w:bookmarkEnd w:id="188"/>
      <w:bookmarkEnd w:id="189"/>
      <w:bookmarkEnd w:id="190"/>
      <w:bookmarkEnd w:id="191"/>
    </w:p>
    <w:p w14:paraId="35F3E13D">
      <w:pPr>
        <w:pStyle w:val="4"/>
        <w:spacing w:before="0" w:after="0" w:line="400" w:lineRule="exact"/>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pPr>
      <w:bookmarkStart w:id="192" w:name="_Toc6943"/>
      <w:bookmarkStart w:id="193" w:name="_Toc4317"/>
      <w:bookmarkStart w:id="194" w:name="_Toc24004_WPSOffice_Level2"/>
      <w:bookmarkStart w:id="195" w:name="_Toc518923079"/>
      <w:bookmarkStart w:id="196" w:name="_Toc13247"/>
      <w:bookmarkStart w:id="197" w:name="_Toc2082"/>
      <w:bookmarkStart w:id="198" w:name="_Toc22654_WPSOffice_Level2"/>
      <w:bookmarkStart w:id="199" w:name="_Toc520356160"/>
      <w:bookmarkStart w:id="200" w:name="_Toc15803"/>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15.响应文件的</w:t>
      </w:r>
      <w:r>
        <w:rPr>
          <w:rFonts w:hint="eastAsia" w:asciiTheme="minorEastAsia" w:hAnsiTheme="minorEastAsia" w:eastAsiaTheme="minorEastAsia" w:cstheme="minorEastAsia"/>
          <w:color w:val="000000" w:themeColor="text1"/>
          <w:highlight w:val="none"/>
          <w:u w:val="none" w:color="auto"/>
          <w:lang w:eastAsia="zh-CN"/>
          <w14:textFill>
            <w14:solidFill>
              <w14:schemeClr w14:val="tx1"/>
            </w14:solidFill>
          </w14:textFill>
        </w:rPr>
        <w:t>上传</w:t>
      </w:r>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和标记</w:t>
      </w:r>
      <w:bookmarkEnd w:id="192"/>
      <w:bookmarkEnd w:id="193"/>
      <w:bookmarkEnd w:id="194"/>
      <w:bookmarkEnd w:id="195"/>
      <w:bookmarkEnd w:id="196"/>
      <w:bookmarkEnd w:id="197"/>
      <w:bookmarkEnd w:id="198"/>
      <w:bookmarkEnd w:id="199"/>
      <w:r>
        <w:rPr>
          <w:rFonts w:hint="eastAsia" w:asciiTheme="minorEastAsia" w:hAnsiTheme="minorEastAsia" w:eastAsiaTheme="minorEastAsia" w:cstheme="minorEastAsia"/>
          <w:color w:val="000000" w:themeColor="text1"/>
          <w:highlight w:val="none"/>
          <w:u w:val="none" w:color="auto"/>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u w:val="none" w:color="auto"/>
          <w:lang w:val="en-US" w:eastAsia="zh-CN"/>
          <w14:textFill>
            <w14:solidFill>
              <w14:schemeClr w14:val="tx1"/>
            </w14:solidFill>
          </w14:textFill>
        </w:rPr>
        <w:t>全面电子化</w:t>
      </w:r>
      <w:r>
        <w:rPr>
          <w:rFonts w:hint="eastAsia" w:asciiTheme="minorEastAsia" w:hAnsiTheme="minorEastAsia" w:eastAsiaTheme="minorEastAsia" w:cstheme="minorEastAsia"/>
          <w:color w:val="000000" w:themeColor="text1"/>
          <w:highlight w:val="none"/>
          <w:u w:val="none" w:color="auto"/>
          <w:lang w:eastAsia="zh-CN"/>
          <w14:textFill>
            <w14:solidFill>
              <w14:schemeClr w14:val="tx1"/>
            </w14:solidFill>
          </w14:textFill>
        </w:rPr>
        <w:t>）</w:t>
      </w:r>
      <w:bookmarkEnd w:id="200"/>
    </w:p>
    <w:p w14:paraId="0B946C1D">
      <w:pPr>
        <w:spacing w:line="400" w:lineRule="exact"/>
        <w:ind w:left="900" w:hanging="900" w:hangingChars="375"/>
        <w:jc w:val="left"/>
        <w:rPr>
          <w:rFonts w:hint="eastAsia" w:asciiTheme="minorEastAsia" w:hAnsiTheme="minorEastAsia" w:eastAsiaTheme="minorEastAsia" w:cstheme="minorEastAsia"/>
          <w:b/>
          <w:bCs/>
          <w:color w:val="000000" w:themeColor="text1"/>
          <w:sz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15.1   </w:t>
      </w:r>
      <w:r>
        <w:rPr>
          <w:rFonts w:hint="eastAsia" w:asciiTheme="minorEastAsia" w:hAnsiTheme="minorEastAsia" w:eastAsiaTheme="minorEastAsia" w:cstheme="minorEastAsia"/>
          <w:b/>
          <w:bCs/>
          <w:color w:val="000000" w:themeColor="text1"/>
          <w:sz w:val="24"/>
          <w:highlight w:val="none"/>
          <w:u w:val="single"/>
          <w14:textFill>
            <w14:solidFill>
              <w14:schemeClr w14:val="tx1"/>
            </w14:solidFill>
          </w14:textFill>
        </w:rPr>
        <w:t>为方便</w:t>
      </w:r>
      <w:r>
        <w:rPr>
          <w:rFonts w:hint="eastAsia" w:asciiTheme="minorEastAsia" w:hAnsiTheme="minorEastAsia" w:eastAsiaTheme="minorEastAsia" w:cstheme="minorEastAsia"/>
          <w:b/>
          <w:bCs/>
          <w:color w:val="000000" w:themeColor="text1"/>
          <w:sz w:val="24"/>
          <w:highlight w:val="none"/>
          <w:u w:val="single"/>
          <w:lang w:val="en-US" w:eastAsia="zh-CN"/>
          <w14:textFill>
            <w14:solidFill>
              <w14:schemeClr w14:val="tx1"/>
            </w14:solidFill>
          </w14:textFill>
        </w:rPr>
        <w:t>评审</w:t>
      </w:r>
      <w:r>
        <w:rPr>
          <w:rFonts w:hint="eastAsia" w:asciiTheme="minorEastAsia" w:hAnsiTheme="minorEastAsia" w:eastAsiaTheme="minorEastAsia" w:cstheme="minorEastAsia"/>
          <w:b/>
          <w:bCs/>
          <w:color w:val="000000" w:themeColor="text1"/>
          <w:sz w:val="24"/>
          <w:highlight w:val="none"/>
          <w:u w:val="single"/>
          <w14:textFill>
            <w14:solidFill>
              <w14:schemeClr w14:val="tx1"/>
            </w14:solidFill>
          </w14:textFill>
        </w:rPr>
        <w:t>及进行资格审查，供应商应完整地按</w:t>
      </w:r>
      <w:r>
        <w:rPr>
          <w:rFonts w:hint="eastAsia" w:asciiTheme="minorEastAsia" w:hAnsiTheme="minorEastAsia" w:eastAsiaTheme="minorEastAsia" w:cstheme="minorEastAsia"/>
          <w:b/>
          <w:bCs/>
          <w:color w:val="000000" w:themeColor="text1"/>
          <w:sz w:val="24"/>
          <w:highlight w:val="none"/>
          <w:u w:val="single"/>
          <w:lang w:eastAsia="zh-CN"/>
          <w14:textFill>
            <w14:solidFill>
              <w14:schemeClr w14:val="tx1"/>
            </w14:solidFill>
          </w14:textFill>
        </w:rPr>
        <w:t>磋商文件</w:t>
      </w:r>
      <w:r>
        <w:rPr>
          <w:rFonts w:hint="eastAsia" w:asciiTheme="minorEastAsia" w:hAnsiTheme="minorEastAsia" w:eastAsiaTheme="minorEastAsia" w:cstheme="minorEastAsia"/>
          <w:b/>
          <w:bCs/>
          <w:color w:val="000000" w:themeColor="text1"/>
          <w:sz w:val="24"/>
          <w:highlight w:val="none"/>
          <w:u w:val="single"/>
          <w14:textFill>
            <w14:solidFill>
              <w14:schemeClr w14:val="tx1"/>
            </w14:solidFill>
          </w14:textFill>
        </w:rPr>
        <w:t>提供的</w:t>
      </w:r>
      <w:r>
        <w:rPr>
          <w:rFonts w:hint="eastAsia" w:asciiTheme="minorEastAsia" w:hAnsiTheme="minorEastAsia" w:eastAsiaTheme="minorEastAsia" w:cstheme="minorEastAsia"/>
          <w:b/>
          <w:bCs/>
          <w:color w:val="000000" w:themeColor="text1"/>
          <w:sz w:val="24"/>
          <w:highlight w:val="none"/>
          <w:u w:val="single"/>
          <w:lang w:eastAsia="zh-CN"/>
          <w14:textFill>
            <w14:solidFill>
              <w14:schemeClr w14:val="tx1"/>
            </w14:solidFill>
          </w14:textFill>
        </w:rPr>
        <w:t>响应文件</w:t>
      </w:r>
      <w:r>
        <w:rPr>
          <w:rFonts w:hint="eastAsia" w:asciiTheme="minorEastAsia" w:hAnsiTheme="minorEastAsia" w:eastAsiaTheme="minorEastAsia" w:cstheme="minorEastAsia"/>
          <w:b/>
          <w:bCs/>
          <w:color w:val="000000" w:themeColor="text1"/>
          <w:sz w:val="24"/>
          <w:highlight w:val="none"/>
          <w:u w:val="single"/>
          <w14:textFill>
            <w14:solidFill>
              <w14:schemeClr w14:val="tx1"/>
            </w14:solidFill>
          </w14:textFill>
        </w:rPr>
        <w:t>格式及要求编写</w:t>
      </w:r>
      <w:r>
        <w:rPr>
          <w:rFonts w:hint="eastAsia" w:asciiTheme="minorEastAsia" w:hAnsiTheme="minorEastAsia" w:eastAsiaTheme="minorEastAsia" w:cstheme="minorEastAsia"/>
          <w:b/>
          <w:bCs/>
          <w:color w:val="000000" w:themeColor="text1"/>
          <w:sz w:val="24"/>
          <w:highlight w:val="none"/>
          <w:u w:val="single"/>
          <w:lang w:eastAsia="zh-CN"/>
          <w14:textFill>
            <w14:solidFill>
              <w14:schemeClr w14:val="tx1"/>
            </w14:solidFill>
          </w14:textFill>
        </w:rPr>
        <w:t>响应文件</w:t>
      </w:r>
      <w:r>
        <w:rPr>
          <w:rFonts w:hint="eastAsia" w:asciiTheme="minorEastAsia" w:hAnsiTheme="minorEastAsia" w:eastAsiaTheme="minorEastAsia" w:cstheme="minorEastAsia"/>
          <w:b/>
          <w:bCs/>
          <w:color w:val="000000" w:themeColor="text1"/>
          <w:sz w:val="24"/>
          <w:highlight w:val="none"/>
          <w:u w:val="single"/>
          <w14:textFill>
            <w14:solidFill>
              <w14:schemeClr w14:val="tx1"/>
            </w14:solidFill>
          </w14:textFill>
        </w:rPr>
        <w:t>，根据平台关联点上传对应佐证资料，</w:t>
      </w:r>
      <w:r>
        <w:rPr>
          <w:rFonts w:hint="eastAsia" w:asciiTheme="minorEastAsia" w:hAnsiTheme="minorEastAsia" w:eastAsiaTheme="minorEastAsia" w:cstheme="minorEastAsia"/>
          <w:b/>
          <w:bCs/>
          <w:color w:val="000000" w:themeColor="text1"/>
          <w:sz w:val="24"/>
          <w:highlight w:val="none"/>
          <w:u w:val="single"/>
          <w:lang w:eastAsia="zh-CN"/>
          <w14:textFill>
            <w14:solidFill>
              <w14:schemeClr w14:val="tx1"/>
            </w14:solidFill>
          </w14:textFill>
        </w:rPr>
        <w:t>响应文件</w:t>
      </w:r>
      <w:r>
        <w:rPr>
          <w:rFonts w:hint="eastAsia" w:asciiTheme="minorEastAsia" w:hAnsiTheme="minorEastAsia" w:eastAsiaTheme="minorEastAsia" w:cstheme="minorEastAsia"/>
          <w:b/>
          <w:bCs/>
          <w:color w:val="000000" w:themeColor="text1"/>
          <w:sz w:val="24"/>
          <w:highlight w:val="none"/>
          <w:u w:val="single"/>
          <w14:textFill>
            <w14:solidFill>
              <w14:schemeClr w14:val="tx1"/>
            </w14:solidFill>
          </w14:textFill>
        </w:rPr>
        <w:t>应包括“</w:t>
      </w:r>
      <w:r>
        <w:rPr>
          <w:rFonts w:hint="eastAsia" w:asciiTheme="minorEastAsia" w:hAnsiTheme="minorEastAsia" w:eastAsiaTheme="minorEastAsia" w:cstheme="minorEastAsia"/>
          <w:b/>
          <w:bCs/>
          <w:color w:val="000000" w:themeColor="text1"/>
          <w:sz w:val="24"/>
          <w:highlight w:val="none"/>
          <w:u w:val="single"/>
          <w:lang w:eastAsia="zh-CN"/>
          <w14:textFill>
            <w14:solidFill>
              <w14:schemeClr w14:val="tx1"/>
            </w14:solidFill>
          </w14:textFill>
        </w:rPr>
        <w:t>磋商一览表</w:t>
      </w:r>
      <w:r>
        <w:rPr>
          <w:rFonts w:hint="eastAsia" w:asciiTheme="minorEastAsia" w:hAnsiTheme="minorEastAsia" w:eastAsiaTheme="minorEastAsia" w:cstheme="minorEastAsia"/>
          <w:b/>
          <w:bCs/>
          <w:color w:val="000000" w:themeColor="text1"/>
          <w:sz w:val="24"/>
          <w:highlight w:val="none"/>
          <w:u w:val="single"/>
          <w14:textFill>
            <w14:solidFill>
              <w14:schemeClr w14:val="tx1"/>
            </w14:solidFill>
          </w14:textFill>
        </w:rPr>
        <w:t>及资格证明文件”和“商务及技术文件”两部分，两部分合并成完整一册</w:t>
      </w:r>
      <w:r>
        <w:rPr>
          <w:rFonts w:hint="eastAsia" w:asciiTheme="minorEastAsia" w:hAnsiTheme="minorEastAsia" w:eastAsiaTheme="minorEastAsia" w:cstheme="minorEastAsia"/>
          <w:b/>
          <w:bCs/>
          <w:color w:val="000000" w:themeColor="text1"/>
          <w:sz w:val="24"/>
          <w:highlight w:val="none"/>
          <w:u w:val="single"/>
          <w:lang w:val="en-US" w:eastAsia="zh-CN"/>
          <w14:textFill>
            <w14:solidFill>
              <w14:schemeClr w14:val="tx1"/>
            </w14:solidFill>
          </w14:textFill>
        </w:rPr>
        <w:t>经CA证书加密后上传提交</w:t>
      </w:r>
      <w:r>
        <w:rPr>
          <w:rFonts w:hint="eastAsia" w:asciiTheme="minorEastAsia" w:hAnsiTheme="minorEastAsia" w:eastAsiaTheme="minorEastAsia" w:cstheme="minorEastAsia"/>
          <w:b/>
          <w:bCs/>
          <w:color w:val="000000" w:themeColor="text1"/>
          <w:sz w:val="24"/>
          <w:highlight w:val="none"/>
          <w:u w:val="single"/>
          <w14:textFill>
            <w14:solidFill>
              <w14:schemeClr w14:val="tx1"/>
            </w14:solidFill>
          </w14:textFill>
        </w:rPr>
        <w:t>至政采云平台</w:t>
      </w:r>
      <w:r>
        <w:rPr>
          <w:rFonts w:hint="eastAsia" w:asciiTheme="minorEastAsia" w:hAnsiTheme="minorEastAsia" w:eastAsiaTheme="minorEastAsia" w:cstheme="minorEastAsia"/>
          <w:b/>
          <w:bCs/>
          <w:color w:val="000000" w:themeColor="text1"/>
          <w:sz w:val="24"/>
          <w:highlight w:val="none"/>
          <w:u w:val="singl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highlight w:val="none"/>
          <w:u w:val="single"/>
          <w:lang w:val="en-US" w:eastAsia="zh-CN"/>
          <w14:textFill>
            <w14:solidFill>
              <w14:schemeClr w14:val="tx1"/>
            </w14:solidFill>
          </w14:textFill>
        </w:rPr>
        <w:t>任何单位或个人均无法在投标截止时间(即投标时间)之前查看或篡改，不存在泄密风险。（严格按照政采云电子投标流程制作并上传电子响应文件）。</w:t>
      </w:r>
    </w:p>
    <w:p w14:paraId="35FBE244">
      <w:pPr>
        <w:spacing w:line="360" w:lineRule="exac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highlight w:val="none"/>
          <w:u w:val="none"/>
          <w:lang w:val="en-US" w:eastAsia="zh-CN"/>
          <w14:textFill>
            <w14:solidFill>
              <w14:schemeClr w14:val="tx1"/>
            </w14:solidFill>
          </w14:textFill>
        </w:rPr>
        <w:t xml:space="preserve">15.2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如果供应商未按上述要求标记</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上传响应文件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的，将承担相应的后果。</w:t>
      </w:r>
    </w:p>
    <w:p w14:paraId="1C66EB13">
      <w:pPr>
        <w:pStyle w:val="36"/>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14:paraId="7E3D5D38">
      <w:pPr>
        <w:spacing w:line="400" w:lineRule="exact"/>
        <w:ind w:left="900" w:hanging="900" w:hangingChars="3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成交公告发布后，成交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须提交纸质版响应文件，响应文件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第一部分和第二部分的内容合并装订成一册提交，并在封皮正面标明“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”字样。</w:t>
      </w:r>
    </w:p>
    <w:p w14:paraId="1277C085">
      <w:pPr>
        <w:pStyle w:val="4"/>
        <w:spacing w:before="0" w:after="0" w:line="400" w:lineRule="exact"/>
        <w:rPr>
          <w:rFonts w:hint="eastAsia" w:asciiTheme="minorEastAsia" w:hAnsiTheme="minorEastAsia" w:eastAsiaTheme="minorEastAsia" w:cstheme="minorEastAsia"/>
          <w:color w:val="000000" w:themeColor="text1"/>
          <w:highlight w:val="none"/>
          <w:u w:val="none" w:color="auto"/>
          <w:lang w:eastAsia="zh-CN"/>
          <w14:textFill>
            <w14:solidFill>
              <w14:schemeClr w14:val="tx1"/>
            </w14:solidFill>
          </w14:textFill>
        </w:rPr>
      </w:pPr>
      <w:bookmarkStart w:id="201" w:name="_Toc14358_WPSOffice_Level2"/>
      <w:bookmarkStart w:id="202" w:name="_Toc520356161"/>
      <w:bookmarkStart w:id="203" w:name="_Toc178_WPSOffice_Level2"/>
      <w:bookmarkStart w:id="204" w:name="_Toc8141"/>
      <w:bookmarkStart w:id="205" w:name="_Toc25787"/>
      <w:bookmarkStart w:id="206" w:name="_Toc518923080"/>
      <w:bookmarkStart w:id="207" w:name="_Toc24593"/>
      <w:bookmarkStart w:id="208" w:name="_Toc13450"/>
      <w:bookmarkStart w:id="209" w:name="_Toc2845"/>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16.磋商截止</w:t>
      </w:r>
      <w:bookmarkEnd w:id="201"/>
      <w:bookmarkEnd w:id="202"/>
      <w:bookmarkEnd w:id="203"/>
      <w:bookmarkEnd w:id="204"/>
      <w:bookmarkEnd w:id="205"/>
      <w:bookmarkEnd w:id="206"/>
      <w:bookmarkEnd w:id="207"/>
      <w:bookmarkEnd w:id="208"/>
      <w:bookmarkEnd w:id="209"/>
    </w:p>
    <w:p w14:paraId="569FA470">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16.1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供应商应在供应商须知资料表中规定的截止时间前，将响应文件上传到磋商公告中规定的地点。</w:t>
      </w:r>
    </w:p>
    <w:p w14:paraId="4B2859E1">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16.2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采购人和采购代理机构有权按本须知的规定，延迟磋商截止时间。在此情况下，采购人、采购代理机构和供应商受磋商截止时间制约的所有权利和义务均应延长至新的截止时间。</w:t>
      </w:r>
    </w:p>
    <w:p w14:paraId="64206713">
      <w:pPr>
        <w:pStyle w:val="96"/>
        <w:ind w:left="0" w:leftChars="0" w:firstLine="0" w:firstLineChars="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16.3   采购人和采购代理机构将拒绝接收在磋商截止时间后上传的响应文件。</w:t>
      </w:r>
    </w:p>
    <w:p w14:paraId="74E931C3">
      <w:pPr>
        <w:pStyle w:val="4"/>
        <w:spacing w:before="0" w:after="0" w:line="400" w:lineRule="exact"/>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pPr>
      <w:bookmarkStart w:id="210" w:name="_Toc26522_WPSOffice_Level2"/>
      <w:bookmarkStart w:id="211" w:name="_Toc18193"/>
      <w:bookmarkStart w:id="212" w:name="_Toc518923081"/>
      <w:bookmarkStart w:id="213" w:name="_Toc829"/>
      <w:bookmarkStart w:id="214" w:name="_Toc5249"/>
      <w:bookmarkStart w:id="215" w:name="_Toc17985_WPSOffice_Level2"/>
      <w:bookmarkStart w:id="216" w:name="_Toc520356162"/>
      <w:bookmarkStart w:id="217" w:name="_Toc13921"/>
      <w:bookmarkStart w:id="218" w:name="_Toc12018"/>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17.响应文件的接收、修改与撤回</w:t>
      </w:r>
      <w:bookmarkEnd w:id="210"/>
      <w:bookmarkEnd w:id="211"/>
      <w:bookmarkEnd w:id="212"/>
      <w:bookmarkEnd w:id="213"/>
      <w:bookmarkEnd w:id="214"/>
      <w:bookmarkEnd w:id="215"/>
      <w:bookmarkEnd w:id="216"/>
      <w:bookmarkEnd w:id="217"/>
      <w:bookmarkEnd w:id="218"/>
    </w:p>
    <w:p w14:paraId="2984332E">
      <w:pPr>
        <w:spacing w:line="400" w:lineRule="exact"/>
        <w:ind w:left="900" w:hanging="900" w:hangingChars="375"/>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17.1   在磋商截止时间后上传的响应文件的，采购人和采购代理机构将拒绝接收。</w:t>
      </w:r>
    </w:p>
    <w:p w14:paraId="757865CD">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17.2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上传响应文件以后，如果供应商要进行修改或撤回磋商，供应商对响应文件的修改或撤回通知应按本须知规定编制、标记。</w:t>
      </w:r>
    </w:p>
    <w:p w14:paraId="6F86071E">
      <w:pPr>
        <w:pStyle w:val="96"/>
        <w:ind w:firstLine="720" w:firstLineChars="3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采购人和采购代理机构将予以接收，并视为响应文件的组成部分。</w:t>
      </w:r>
    </w:p>
    <w:p w14:paraId="2279424E">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17.3   在磋商截止期之后，采购人和采购代理机构不接受供应商主动对其响应文件做任何修改。</w:t>
      </w:r>
    </w:p>
    <w:p w14:paraId="2C85C3B6">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17.4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采购人和采购代理机构对所接收响应文件概不退回。</w:t>
      </w:r>
    </w:p>
    <w:p w14:paraId="32861D5C">
      <w:pPr>
        <w:pStyle w:val="3"/>
        <w:spacing w:before="0" w:line="400" w:lineRule="exact"/>
        <w:ind w:left="1080" w:leftChars="257" w:hanging="54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219" w:name="_Toc518923082"/>
      <w:bookmarkStart w:id="220" w:name="_Toc520356163"/>
      <w:bookmarkStart w:id="221" w:name="_Toc216582809"/>
      <w:bookmarkStart w:id="222" w:name="_Toc10257"/>
      <w:bookmarkStart w:id="223" w:name="_Toc15790"/>
      <w:bookmarkStart w:id="224" w:name="_Toc8802"/>
      <w:bookmarkStart w:id="225" w:name="_Toc193"/>
      <w:bookmarkStart w:id="226" w:name="_Toc10715357"/>
      <w:bookmarkStart w:id="227" w:name="_Toc6601_WPSOffice_Level1"/>
      <w:bookmarkStart w:id="228" w:name="_Toc1762"/>
      <w:r>
        <w:rPr>
          <w:rFonts w:hint="eastAsia" w:asciiTheme="minorEastAsia" w:hAnsiTheme="minorEastAsia" w:eastAsiaTheme="minorEastAsia" w:cstheme="minorEastAsia"/>
          <w:color w:val="000000" w:themeColor="text1"/>
          <w:sz w:val="24"/>
          <w:highlight w:val="none"/>
          <w14:textFill>
            <w14:solidFill>
              <w14:schemeClr w14:val="tx1"/>
            </w14:solidFill>
          </w14:textFill>
        </w:rPr>
        <w:t>五   磋商开启及</w:t>
      </w:r>
      <w:bookmarkEnd w:id="219"/>
      <w:bookmarkEnd w:id="220"/>
      <w:bookmarkEnd w:id="221"/>
      <w:bookmarkEnd w:id="222"/>
      <w:r>
        <w:rPr>
          <w:rFonts w:hint="eastAsia" w:asciiTheme="minorEastAsia" w:hAnsiTheme="minorEastAsia" w:eastAsiaTheme="minorEastAsia" w:cstheme="minorEastAsia"/>
          <w:color w:val="000000" w:themeColor="text1"/>
          <w:sz w:val="24"/>
          <w:highlight w:val="none"/>
          <w14:textFill>
            <w14:solidFill>
              <w14:schemeClr w14:val="tx1"/>
            </w14:solidFill>
          </w14:textFill>
        </w:rPr>
        <w:t>评审</w:t>
      </w:r>
      <w:bookmarkEnd w:id="223"/>
      <w:bookmarkEnd w:id="224"/>
      <w:bookmarkEnd w:id="225"/>
      <w:bookmarkEnd w:id="226"/>
      <w:bookmarkEnd w:id="227"/>
      <w:bookmarkEnd w:id="228"/>
    </w:p>
    <w:p w14:paraId="64E66A07">
      <w:pPr>
        <w:pStyle w:val="4"/>
        <w:spacing w:before="0" w:after="0" w:line="400" w:lineRule="exact"/>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pPr>
      <w:bookmarkStart w:id="229" w:name="_Toc520356164"/>
      <w:bookmarkStart w:id="230" w:name="_Toc518923083"/>
      <w:bookmarkStart w:id="231" w:name="_Toc8653"/>
      <w:bookmarkStart w:id="232" w:name="_Toc6831"/>
      <w:bookmarkStart w:id="233" w:name="_Toc29729"/>
      <w:bookmarkStart w:id="234" w:name="_Toc25258"/>
      <w:bookmarkStart w:id="235" w:name="_Toc13011_WPSOffice_Level2"/>
      <w:bookmarkStart w:id="236" w:name="_Toc21639"/>
      <w:bookmarkStart w:id="237" w:name="_Toc32308_WPSOffice_Level2"/>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18.</w:t>
      </w:r>
      <w:bookmarkEnd w:id="229"/>
      <w:bookmarkEnd w:id="230"/>
      <w:bookmarkEnd w:id="231"/>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磋商开启</w:t>
      </w:r>
      <w:bookmarkEnd w:id="232"/>
      <w:bookmarkEnd w:id="233"/>
      <w:bookmarkEnd w:id="234"/>
      <w:bookmarkEnd w:id="235"/>
      <w:bookmarkEnd w:id="236"/>
      <w:bookmarkEnd w:id="237"/>
    </w:p>
    <w:p w14:paraId="53B77486">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18.1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采购人和采购代理机构将按</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供应商须知资料表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中规定的磋商开启时间和地点组织公开磋商开启并邀请所有供应商代表参加。  </w:t>
      </w:r>
    </w:p>
    <w:p w14:paraId="7A41B87F">
      <w:pPr>
        <w:spacing w:line="400" w:lineRule="exact"/>
        <w:ind w:left="960" w:hanging="960" w:hangingChars="4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18.2    供应商按照须知资料表中规定的开标时间和地点，在规定时间内上传响应文件。</w:t>
      </w:r>
    </w:p>
    <w:p w14:paraId="3F9D0D00">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18.3    采购代理机构在规定时间内度响应文件进行解密，时长为 30 分钟。</w:t>
      </w:r>
    </w:p>
    <w:p w14:paraId="3EE5854F">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18.4    由采购代理机构开启开标记录，须供应商在政采云平台对报价进行签字确认。</w:t>
      </w:r>
    </w:p>
    <w:p w14:paraId="7D69D3AD">
      <w:pPr>
        <w:pStyle w:val="4"/>
        <w:snapToGrid w:val="0"/>
        <w:spacing w:before="0" w:after="0" w:line="380" w:lineRule="exact"/>
        <w:textAlignment w:val="baseline"/>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pPr>
      <w:bookmarkStart w:id="238" w:name="_Toc11051"/>
      <w:bookmarkStart w:id="239" w:name="_Toc6779"/>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19.</w:t>
      </w:r>
      <w:bookmarkEnd w:id="19"/>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资格审查及组建</w:t>
      </w:r>
      <w:bookmarkEnd w:id="20"/>
      <w:bookmarkEnd w:id="21"/>
      <w:bookmarkEnd w:id="22"/>
      <w:bookmarkEnd w:id="23"/>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磋商小组</w:t>
      </w:r>
      <w:bookmarkEnd w:id="24"/>
      <w:bookmarkEnd w:id="25"/>
      <w:bookmarkEnd w:id="26"/>
      <w:bookmarkEnd w:id="27"/>
      <w:bookmarkEnd w:id="28"/>
      <w:bookmarkEnd w:id="29"/>
      <w:bookmarkEnd w:id="30"/>
      <w:bookmarkEnd w:id="31"/>
      <w:bookmarkEnd w:id="238"/>
      <w:bookmarkEnd w:id="239"/>
    </w:p>
    <w:p w14:paraId="6BB9CB9D">
      <w:pPr>
        <w:snapToGrid w:val="0"/>
        <w:spacing w:line="380" w:lineRule="exact"/>
        <w:ind w:left="960" w:hanging="960" w:hangingChars="400"/>
        <w:textAlignment w:val="baseline"/>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19.1    采购人或采购代理机构依据法律法规和磋商文件中规定的内容，对供应商资格进行审查，未通过资格审查的供应商不进入评标。</w:t>
      </w:r>
    </w:p>
    <w:p w14:paraId="4DD3B8C7">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19.2    采购人或采购代理机构将在磋商开启前1个工作日至磋商截止后1小时的期间内查询供应商的信用记录。供应商存在不良信用记录的，其磋商将被认定为磋商无效。</w:t>
      </w:r>
    </w:p>
    <w:p w14:paraId="53B70694">
      <w:pPr>
        <w:spacing w:line="400" w:lineRule="exact"/>
        <w:ind w:left="857" w:leftChars="2" w:hanging="853"/>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19.2.1  不良信用记录指：在“信用中国”网站（ www.creditchina.gov.cn） 被列入失信被执行人、重大税收违法案件当事人名单</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中国政府采购网（http://www.ccgp.gov.cn/search/cr/）严重违法失信行为记录名单的（尚在处罚期内的）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，国家企业公司信息系统</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（www.gsxt.gov.cn）（经营异常名录、严重违法失信名单）的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将拒绝其参加本次招标活动</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以及存在《中华人民共和国政府采购法实施条例》第十九条规定的行政处罚记录。以联合体形式参加磋商的，联合体任何成员存在以上不良信用记录的，联合体磋商将被认定为磋商无效。</w:t>
      </w:r>
    </w:p>
    <w:p w14:paraId="5DE01EE2">
      <w:pPr>
        <w:pStyle w:val="7"/>
        <w:spacing w:line="400" w:lineRule="exact"/>
        <w:ind w:left="850" w:hanging="849" w:hangingChars="354"/>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19.2.2 查询及记录方式：采购人或采购代理机构经办人将查询网页打印、签字并存档备查。供应商不良信用记录以采购人或采购代理机构查询结果为准。</w:t>
      </w:r>
      <w:r>
        <w:rPr>
          <w:rFonts w:hint="eastAsia" w:asciiTheme="minorEastAsia" w:hAnsiTheme="minorEastAsia" w:eastAsiaTheme="minorEastAsia" w:cstheme="minorEastAsia"/>
          <w:b/>
          <w:bCs/>
          <w:color w:val="000000" w:themeColor="text1"/>
          <w:highlight w:val="none"/>
          <w14:textFill>
            <w14:solidFill>
              <w14:schemeClr w14:val="tx1"/>
            </w14:solidFill>
          </w14:textFill>
        </w:rPr>
        <w:t>在本磋商文件规定的查询时间之后，网站信息发生的任何变更均不再作为评审依据。供应商自行提供的与网站信息不一致的其他证明材料亦不作为资格审查的依据。</w:t>
      </w:r>
    </w:p>
    <w:p w14:paraId="5517148F">
      <w:pPr>
        <w:spacing w:line="400" w:lineRule="exact"/>
        <w:ind w:left="850" w:hanging="853" w:hangingChars="354"/>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 xml:space="preserve">19.3   </w:t>
      </w:r>
      <w:bookmarkStart w:id="240" w:name="_Toc520356166"/>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按照《中华人民共和国政府采购法》、《中华人民共和国政府采购法实施条例》、《政府采购货物和服务招标投标管理办法》财政部令第87号及本项目本级和上级财政部门的有关规定依法在政采云平台上</w:t>
      </w:r>
      <w:r>
        <w:rPr>
          <w:rFonts w:hint="eastAsia" w:asciiTheme="minorEastAsia" w:hAnsiTheme="minorEastAsia" w:eastAsiaTheme="minorEastAsia" w:cstheme="minorEastAsia"/>
          <w:b/>
          <w:bCs/>
          <w:color w:val="000000" w:themeColor="text1"/>
          <w:sz w:val="24"/>
          <w:highlight w:val="none"/>
          <w:u w:val="single"/>
          <w14:textFill>
            <w14:solidFill>
              <w14:schemeClr w14:val="tx1"/>
            </w14:solidFill>
          </w14:textFill>
        </w:rPr>
        <w:t>自行抽取</w:t>
      </w:r>
      <w:r>
        <w:rPr>
          <w:rFonts w:hint="eastAsia" w:asciiTheme="minorEastAsia" w:hAnsiTheme="minorEastAsia" w:eastAsiaTheme="minorEastAsia" w:cstheme="minorEastAsia"/>
          <w:b/>
          <w:bCs/>
          <w:color w:val="000000" w:themeColor="text1"/>
          <w:sz w:val="24"/>
          <w:highlight w:val="none"/>
          <w:u w:val="single"/>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sz w:val="24"/>
          <w:highlight w:val="none"/>
          <w:u w:val="single"/>
          <w14:textFill>
            <w14:solidFill>
              <w14:schemeClr w14:val="tx1"/>
            </w14:solidFill>
          </w14:textFill>
        </w:rPr>
        <w:t>名</w:t>
      </w:r>
      <w:r>
        <w:rPr>
          <w:rFonts w:hint="eastAsia" w:asciiTheme="minorEastAsia" w:hAnsiTheme="minorEastAsia" w:eastAsiaTheme="minorEastAsia" w:cstheme="minorEastAsia"/>
          <w:b/>
          <w:bCs/>
          <w:color w:val="000000" w:themeColor="text1"/>
          <w:sz w:val="24"/>
          <w:highlight w:val="none"/>
          <w:u w:val="single"/>
          <w:lang w:val="en-US" w:eastAsia="zh-CN"/>
          <w14:textFill>
            <w14:solidFill>
              <w14:schemeClr w14:val="tx1"/>
            </w14:solidFill>
          </w14:textFill>
        </w:rPr>
        <w:t>专家</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，组成</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磋商小组</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负责评标工作</w:t>
      </w:r>
    </w:p>
    <w:p w14:paraId="55CFCC95">
      <w:pPr>
        <w:pStyle w:val="4"/>
        <w:spacing w:before="0" w:after="0" w:line="400" w:lineRule="exact"/>
        <w:rPr>
          <w:rFonts w:hint="eastAsia" w:asciiTheme="minorEastAsia" w:hAnsiTheme="minorEastAsia" w:eastAsiaTheme="minorEastAsia" w:cstheme="minorEastAsia"/>
          <w:b w:val="0"/>
          <w:bCs/>
          <w:color w:val="000000" w:themeColor="text1"/>
          <w:highlight w:val="none"/>
          <w:u w:val="none" w:color="auto"/>
          <w:bdr w:val="single" w:color="auto" w:sz="4" w:space="0"/>
          <w14:textFill>
            <w14:solidFill>
              <w14:schemeClr w14:val="tx1"/>
            </w14:solidFill>
          </w14:textFill>
        </w:rPr>
      </w:pPr>
      <w:bookmarkStart w:id="241" w:name="_Toc31689_WPSOffice_Level2"/>
      <w:bookmarkStart w:id="242" w:name="_Toc518923085"/>
      <w:bookmarkStart w:id="243" w:name="_Toc6842"/>
      <w:bookmarkStart w:id="244" w:name="_Toc20937"/>
      <w:bookmarkStart w:id="245" w:name="_Toc28603"/>
      <w:bookmarkStart w:id="246" w:name="_Toc11751"/>
      <w:bookmarkStart w:id="247" w:name="_Toc17843_WPSOffice_Level2"/>
      <w:bookmarkStart w:id="248" w:name="_Toc19610"/>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20.响应文件的</w:t>
      </w:r>
      <w:bookmarkEnd w:id="240"/>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符合性审查与澄清</w:t>
      </w:r>
      <w:bookmarkEnd w:id="241"/>
      <w:bookmarkEnd w:id="242"/>
      <w:bookmarkEnd w:id="243"/>
      <w:bookmarkEnd w:id="244"/>
      <w:bookmarkEnd w:id="245"/>
      <w:bookmarkEnd w:id="246"/>
      <w:bookmarkEnd w:id="247"/>
      <w:bookmarkEnd w:id="248"/>
    </w:p>
    <w:p w14:paraId="35DF6536">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20.1   符合性审查是指依据磋商文件的规定，从响应文件的有效性和完整性对磋商文件的响应程度进行审查，以确定是否对磋商文件的实质性要求做出响应。</w:t>
      </w:r>
      <w:bookmarkStart w:id="249" w:name="_Hlt522424701"/>
      <w:bookmarkEnd w:id="249"/>
      <w:bookmarkStart w:id="250" w:name="_Toc520356167"/>
    </w:p>
    <w:p w14:paraId="6210DFE9">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20.2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响应文件的澄清</w:t>
      </w:r>
    </w:p>
    <w:p w14:paraId="3061384A">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20.2.1  在评审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澄清、说明或补正。应在磋商小组规定的时间内以书面方式进行，并不得超出响应文件范围或者改变响应文件的实质性内容。</w:t>
      </w:r>
    </w:p>
    <w:p w14:paraId="197623B6">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20.2.2  供应商的澄清、说明或补正将作为响应文件的一部分。</w:t>
      </w:r>
    </w:p>
    <w:p w14:paraId="68E564AA">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20.3   响应文件报价出现前后不一致的，按照下列规定修正：</w:t>
      </w:r>
    </w:p>
    <w:p w14:paraId="500C966F">
      <w:pPr>
        <w:spacing w:line="400" w:lineRule="exact"/>
        <w:ind w:left="1020" w:hanging="1020" w:hangingChars="42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（一）响应文件中磋商开启报价一览表（报价表）内容与响应文件中相应内容不一致的，以磋商开启报价一览表（报价表）为准；</w:t>
      </w:r>
    </w:p>
    <w:p w14:paraId="5BEDD68C">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（二）大写金额和小写金额不一致的，以大写金额为准；</w:t>
      </w:r>
    </w:p>
    <w:p w14:paraId="5891DE62">
      <w:pPr>
        <w:spacing w:line="400" w:lineRule="exact"/>
        <w:ind w:left="1020" w:hanging="1020" w:hangingChars="42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（三）单价金额小数点或者百分比有明显错位的，以磋商开启报价一览表的总价为准，并修改单价；</w:t>
      </w:r>
    </w:p>
    <w:p w14:paraId="1E28A7F2">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（四）总价金额与按单价汇总金额不一致的，以单价金额计算结果为准。</w:t>
      </w:r>
    </w:p>
    <w:p w14:paraId="4201149D">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同时出现两种以上不一致的，按照前款规定的顺序修正。修正后的报价按照第20.2条的规定经供应商确认后产生约束力，供应商不确认的，将被认定为磋商无效。对不同文字文本响应文件的解释发生异议的，以中文文本为准。</w:t>
      </w:r>
    </w:p>
    <w:p w14:paraId="2BEEB738">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20.4   供应商为提供服务所伴随磋商的产品如被列入财政部与国家主管部门颁发的节能产品目录或环境标志产品目录或无线局域网产品目录，应提供相关证明，在评审时予以优先采购，具体优先采购办法见第6章评审方法和标准。</w:t>
      </w:r>
    </w:p>
    <w:p w14:paraId="3D163B9B">
      <w:pPr>
        <w:pStyle w:val="4"/>
        <w:spacing w:before="0" w:after="0" w:line="400" w:lineRule="exact"/>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pPr>
      <w:bookmarkStart w:id="251" w:name="_Toc32038"/>
      <w:bookmarkStart w:id="252" w:name="_Toc7726"/>
      <w:bookmarkStart w:id="253" w:name="_Toc8603"/>
      <w:bookmarkStart w:id="254" w:name="_Toc1249"/>
      <w:bookmarkStart w:id="255" w:name="_Toc13592"/>
      <w:bookmarkStart w:id="256" w:name="_Toc26452_WPSOffice_Level2"/>
      <w:bookmarkStart w:id="257" w:name="_Toc518923086"/>
      <w:bookmarkStart w:id="258" w:name="_Toc6346_WPSOffice_Level2"/>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21.响应偏离</w:t>
      </w:r>
      <w:bookmarkEnd w:id="251"/>
      <w:bookmarkEnd w:id="252"/>
      <w:bookmarkEnd w:id="253"/>
      <w:bookmarkEnd w:id="254"/>
      <w:bookmarkEnd w:id="255"/>
      <w:bookmarkEnd w:id="256"/>
      <w:bookmarkEnd w:id="257"/>
      <w:bookmarkEnd w:id="258"/>
    </w:p>
    <w:p w14:paraId="558E69D5">
      <w:pPr>
        <w:spacing w:line="400" w:lineRule="exact"/>
        <w:ind w:left="848" w:leftChars="99" w:hanging="640" w:hangingChars="267"/>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磋商小组可以接受响应文件中不构成实质性偏离的不正规或不一致</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p>
    <w:p w14:paraId="666BD67C">
      <w:pPr>
        <w:pStyle w:val="4"/>
        <w:spacing w:before="0" w:after="0" w:line="400" w:lineRule="exact"/>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pPr>
      <w:bookmarkStart w:id="259" w:name="_Toc25236_WPSOffice_Level2"/>
      <w:bookmarkStart w:id="260" w:name="_Toc5777"/>
      <w:bookmarkStart w:id="261" w:name="_Toc12082"/>
      <w:bookmarkStart w:id="262" w:name="_Toc518923087"/>
      <w:bookmarkStart w:id="263" w:name="_Toc24099"/>
      <w:bookmarkStart w:id="264" w:name="_Toc11645_WPSOffice_Level2"/>
      <w:bookmarkStart w:id="265" w:name="_Toc12452"/>
      <w:bookmarkStart w:id="266" w:name="_Toc25255"/>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22.响应无效</w:t>
      </w:r>
      <w:bookmarkEnd w:id="259"/>
      <w:bookmarkEnd w:id="260"/>
      <w:bookmarkEnd w:id="261"/>
      <w:bookmarkEnd w:id="262"/>
      <w:bookmarkEnd w:id="263"/>
      <w:bookmarkEnd w:id="264"/>
      <w:bookmarkEnd w:id="265"/>
      <w:bookmarkEnd w:id="266"/>
    </w:p>
    <w:p w14:paraId="7969B27E">
      <w:pPr>
        <w:spacing w:line="400" w:lineRule="exact"/>
        <w:ind w:left="852" w:leftChars="-23"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22.1   在比较与评价之前，根据本须知的规定，磋商小组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磋商成为实质上响应。</w:t>
      </w:r>
    </w:p>
    <w:p w14:paraId="1906A779">
      <w:pPr>
        <w:spacing w:line="400" w:lineRule="exact"/>
        <w:ind w:left="792" w:leftChars="377"/>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磋商小组决定磋商的响应性只根据磋商文件要求、响应文件内容及财政主管部门指定相关信息发布媒体。</w:t>
      </w:r>
    </w:p>
    <w:p w14:paraId="523E9FA8">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22.2   </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如发现下列情况之一的，其磋商将被认定为无效：（</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以下情形应当在磋商文件中规定，并以醒目的方式标明</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31DDF3F1">
      <w:pPr>
        <w:numPr>
          <w:ilvl w:val="0"/>
          <w:numId w:val="0"/>
        </w:numPr>
        <w:spacing w:line="400" w:lineRule="exact"/>
        <w:ind w:left="1081" w:leftChars="429" w:hanging="180"/>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未按磋商文件规定的形式和金额提交磋商保证金的；</w:t>
      </w:r>
    </w:p>
    <w:p w14:paraId="6C38056B">
      <w:pPr>
        <w:numPr>
          <w:ilvl w:val="0"/>
          <w:numId w:val="0"/>
        </w:numPr>
        <w:spacing w:line="400" w:lineRule="exact"/>
        <w:ind w:left="1081" w:leftChars="429" w:hanging="180"/>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未按照磋商文件规定要求签署、盖章的；</w:t>
      </w:r>
    </w:p>
    <w:p w14:paraId="17DDFBF8">
      <w:pPr>
        <w:numPr>
          <w:ilvl w:val="0"/>
          <w:numId w:val="0"/>
        </w:numPr>
        <w:spacing w:line="400" w:lineRule="exact"/>
        <w:ind w:left="1081" w:leftChars="429" w:hanging="180"/>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未满足磋商文件中技术条款的实质性要求；</w:t>
      </w:r>
    </w:p>
    <w:p w14:paraId="59DF1F65">
      <w:pPr>
        <w:numPr>
          <w:ilvl w:val="0"/>
          <w:numId w:val="0"/>
        </w:numPr>
        <w:spacing w:line="400" w:lineRule="exact"/>
        <w:ind w:left="1081" w:leftChars="429" w:hanging="180"/>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与其他供应商串通参加磋商或者与采购人串通参加磋商；</w:t>
      </w:r>
    </w:p>
    <w:p w14:paraId="30C0B05A">
      <w:pPr>
        <w:numPr>
          <w:ilvl w:val="0"/>
          <w:numId w:val="0"/>
        </w:numPr>
        <w:spacing w:line="400" w:lineRule="exact"/>
        <w:ind w:left="1081" w:leftChars="429" w:hanging="180"/>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属于磋商文件规定的其他磋商无效情形；</w:t>
      </w:r>
    </w:p>
    <w:p w14:paraId="1E7A30BB">
      <w:pPr>
        <w:numPr>
          <w:ilvl w:val="0"/>
          <w:numId w:val="0"/>
        </w:numPr>
        <w:spacing w:line="400" w:lineRule="exact"/>
        <w:ind w:left="1081" w:leftChars="429" w:hanging="180"/>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磋商小组认为供应商的报价明显低于其他通过符合性检查供</w:t>
      </w:r>
    </w:p>
    <w:p w14:paraId="7FC67F56">
      <w:pPr>
        <w:spacing w:line="400" w:lineRule="exact"/>
        <w:ind w:left="958" w:leftChars="456"/>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应商的报价，有可能影响履约的，且供应商未按照规定证明其报价合理性的；</w:t>
      </w:r>
    </w:p>
    <w:p w14:paraId="702144BD">
      <w:pPr>
        <w:numPr>
          <w:ilvl w:val="0"/>
          <w:numId w:val="0"/>
        </w:numPr>
        <w:spacing w:line="400" w:lineRule="exact"/>
        <w:ind w:left="1081" w:leftChars="429" w:hanging="180"/>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响应文件含有采购人不能接受的附加条件的；</w:t>
      </w:r>
    </w:p>
    <w:p w14:paraId="6A311198">
      <w:pPr>
        <w:numPr>
          <w:ilvl w:val="0"/>
          <w:numId w:val="0"/>
        </w:numPr>
        <w:tabs>
          <w:tab w:val="left" w:pos="0"/>
        </w:tabs>
        <w:spacing w:line="400" w:lineRule="exact"/>
        <w:ind w:left="1081" w:leftChars="429" w:hanging="180"/>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不符合法规和磋商文件中规定的其他实质性要求的。</w:t>
      </w:r>
    </w:p>
    <w:p w14:paraId="7325CBE6">
      <w:pPr>
        <w:spacing w:line="400" w:lineRule="exact"/>
        <w:outlineLvl w:val="2"/>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bookmarkStart w:id="267" w:name="_Toc25702"/>
      <w:bookmarkStart w:id="268" w:name="_Toc518923088"/>
      <w:bookmarkStart w:id="269" w:name="_Toc22743_WPSOffice_Level2"/>
      <w:bookmarkStart w:id="270" w:name="_Toc20835"/>
      <w:bookmarkStart w:id="271" w:name="_Toc8816"/>
      <w:bookmarkStart w:id="272" w:name="_Toc14330_WPSOffice_Level2"/>
      <w:bookmarkStart w:id="273" w:name="_Toc8550"/>
      <w:bookmarkStart w:id="274" w:name="_Toc4029"/>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23</w:t>
      </w:r>
      <w:bookmarkEnd w:id="250"/>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.比较与评价</w:t>
      </w:r>
      <w:bookmarkEnd w:id="267"/>
      <w:bookmarkEnd w:id="268"/>
      <w:bookmarkEnd w:id="269"/>
      <w:bookmarkEnd w:id="270"/>
      <w:bookmarkEnd w:id="271"/>
      <w:bookmarkEnd w:id="272"/>
      <w:bookmarkEnd w:id="273"/>
      <w:bookmarkEnd w:id="274"/>
    </w:p>
    <w:p w14:paraId="05AD9CDD">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23.1   经符合性审查合格的响应文件，磋商小组将根据磋商文件确定的评审方法和标准，对其技术部分和商务部分作进一步的比较和评价。</w:t>
      </w:r>
    </w:p>
    <w:p w14:paraId="4E96CC6F">
      <w:pPr>
        <w:pStyle w:val="26"/>
        <w:spacing w:line="400" w:lineRule="exact"/>
        <w:ind w:left="718" w:leftChars="342" w:firstLine="118" w:firstLineChars="49"/>
        <w:rPr>
          <w:rFonts w:hint="eastAsia" w:asciiTheme="minorEastAsia" w:hAnsiTheme="minorEastAsia" w:eastAsiaTheme="minorEastAsia" w:cstheme="minorEastAsia"/>
          <w:b/>
          <w:bCs/>
          <w:color w:val="000000" w:themeColor="text1"/>
          <w:sz w:val="24"/>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u w:val="single"/>
          <w14:textFill>
            <w14:solidFill>
              <w14:schemeClr w14:val="tx1"/>
            </w14:solidFill>
          </w14:textFill>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高到低的顺序提出成交候选人，并编写评审报告，将结果通知所有参加磋商的未成交的供应商；</w:t>
      </w:r>
    </w:p>
    <w:p w14:paraId="68F2375B">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23.2   评审严格按照磋商文件的要求和条件进行。根据实际情况，在</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供应商须知资料表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中规定采用下列一种评审方法，详细评审标准见磋商文件第六章：</w:t>
      </w:r>
    </w:p>
    <w:p w14:paraId="4692C9D3">
      <w:pPr>
        <w:pStyle w:val="16"/>
        <w:spacing w:line="400" w:lineRule="exact"/>
        <w:ind w:left="958" w:leftChars="456" w:firstLine="33" w:firstLineChars="14"/>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综合评分法，是指响应文件满足磋商文件全部实质性要求，且按照评审因素的量化指标评审得分最高的供应商为成交候选人的评审方法。</w:t>
      </w:r>
    </w:p>
    <w:p w14:paraId="4A6B07DA">
      <w:pPr>
        <w:pStyle w:val="16"/>
        <w:spacing w:line="400" w:lineRule="exact"/>
        <w:ind w:left="958" w:leftChars="456" w:firstLine="34" w:firstLineChars="14"/>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本项目采用采购方式：竞争性磋商</w:t>
      </w:r>
    </w:p>
    <w:p w14:paraId="4116D011">
      <w:pPr>
        <w:pStyle w:val="16"/>
        <w:spacing w:line="400" w:lineRule="exact"/>
        <w:ind w:left="958" w:leftChars="456" w:firstLine="34" w:firstLineChars="14"/>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评分方法：综合评分法</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 xml:space="preserve">。 </w:t>
      </w:r>
    </w:p>
    <w:p w14:paraId="7F228F6E">
      <w:pPr>
        <w:pStyle w:val="16"/>
        <w:pageBreakBefore w:val="0"/>
        <w:kinsoku/>
        <w:wordWrap/>
        <w:overflowPunct/>
        <w:topLinePunct w:val="0"/>
        <w:bidi w:val="0"/>
        <w:spacing w:line="480" w:lineRule="exact"/>
        <w:ind w:left="900" w:hanging="904" w:hangingChars="375"/>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bookmarkStart w:id="275" w:name="_Toc520356168"/>
      <w:bookmarkStart w:id="276" w:name="_Toc5823"/>
      <w:bookmarkStart w:id="277" w:name="_Toc518923089"/>
      <w:bookmarkStart w:id="278" w:name="_Toc21686_WPSOffice_Level2"/>
      <w:bookmarkStart w:id="279" w:name="_Toc27560_WPSOffice_Level2"/>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 xml:space="preserve">23.3   </w:t>
      </w: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根据《政府采购促进中小企业发展管理办法》（财库﹝2020﹞46 号）</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关于落实好政府采购支持中小企业发展的通知</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新财购 〔2022〕22号</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、《财政部司法部关于政府采购支持监狱企业发展有关问 题 的通知》（财库〔2014〕68号）和《三部门联合发布关于促进残疾人就业政府采购政策的通知》（财库〔2017〕141号）的规定，其中小型、微型及小微企业在</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响应文件</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中提交了《中小企业声明函》、《残疾人福利性单位声明函》或省级以上监狱管理局、戒毒管理局（含新疆生产建设兵团）出具的属于监狱企业的证明文件的供应商，其报价扣除</w:t>
      </w:r>
      <w:bookmarkStart w:id="280" w:name="OLE_LINK3"/>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highlight w:val="none"/>
          <w:u w:val="single"/>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 xml:space="preserve"> </w:t>
      </w:r>
      <w:bookmarkEnd w:id="280"/>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%后参与评审。对于同时属于小型、微型及小微企业、监狱企业或残疾人福利性单位的，不重复进行报价扣除。具体办法详见</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磋商文件</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第6章。</w:t>
      </w:r>
    </w:p>
    <w:p w14:paraId="4441C546">
      <w:pPr>
        <w:pStyle w:val="16"/>
        <w:pageBreakBefore w:val="0"/>
        <w:kinsoku/>
        <w:wordWrap/>
        <w:overflowPunct/>
        <w:topLinePunct w:val="0"/>
        <w:bidi w:val="0"/>
        <w:spacing w:line="480" w:lineRule="exact"/>
        <w:ind w:left="900" w:hanging="904" w:hangingChars="375"/>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 xml:space="preserve">23.4   </w:t>
      </w: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根据《政府采购促进中小企业发展管理办法》（财库[2022】19号）</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关于落实好政府采购支持中小企业发展的通知</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》（新财购 〔2022〕22号）</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所采购产品需符合国家节能环保要求。结合本项目具体情况，根据财政部的相关规定符合政府采购促进中小企业发展政策的供应商为小、微型企业，产品有环境标志认证证书或节能标志认证证书的依据规定给予评标优惠。监狱企业及残疾人福利性单位视同小型、微型企业，享受预留份额、评标中价格扣除等政府采购促进中小企业发展的政府采购政策。</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w:t>
      </w:r>
    </w:p>
    <w:p w14:paraId="3C517BC3">
      <w:pPr>
        <w:pStyle w:val="4"/>
        <w:spacing w:before="0" w:after="0" w:line="400" w:lineRule="exact"/>
        <w:rPr>
          <w:rFonts w:hint="eastAsia" w:asciiTheme="minorEastAsia" w:hAnsiTheme="minorEastAsia" w:eastAsiaTheme="minorEastAsia" w:cstheme="minorEastAsia"/>
          <w:b/>
          <w:bCs w:val="0"/>
          <w:color w:val="000000" w:themeColor="text1"/>
          <w:kern w:val="2"/>
          <w:szCs w:val="24"/>
          <w:highlight w:val="none"/>
          <w:u w:val="none" w:color="auto"/>
          <w14:textFill>
            <w14:solidFill>
              <w14:schemeClr w14:val="tx1"/>
            </w14:solidFill>
          </w14:textFill>
        </w:rPr>
      </w:pPr>
      <w:bookmarkStart w:id="281" w:name="_Toc12880"/>
      <w:bookmarkStart w:id="282" w:name="_Toc14321"/>
      <w:bookmarkStart w:id="283" w:name="_Toc20128"/>
      <w:r>
        <w:rPr>
          <w:rFonts w:hint="eastAsia" w:asciiTheme="minorEastAsia" w:hAnsiTheme="minorEastAsia" w:eastAsiaTheme="minorEastAsia" w:cstheme="minorEastAsia"/>
          <w:b/>
          <w:bCs w:val="0"/>
          <w:color w:val="000000" w:themeColor="text1"/>
          <w:kern w:val="2"/>
          <w:szCs w:val="24"/>
          <w:highlight w:val="none"/>
          <w:u w:val="none" w:color="auto"/>
          <w14:textFill>
            <w14:solidFill>
              <w14:schemeClr w14:val="tx1"/>
            </w14:solidFill>
          </w14:textFill>
        </w:rPr>
        <w:t>24</w:t>
      </w:r>
      <w:bookmarkEnd w:id="275"/>
      <w:r>
        <w:rPr>
          <w:rFonts w:hint="eastAsia" w:asciiTheme="minorEastAsia" w:hAnsiTheme="minorEastAsia" w:eastAsiaTheme="minorEastAsia" w:cstheme="minorEastAsia"/>
          <w:b/>
          <w:bCs w:val="0"/>
          <w:color w:val="000000" w:themeColor="text1"/>
          <w:kern w:val="2"/>
          <w:szCs w:val="24"/>
          <w:highlight w:val="none"/>
          <w:u w:val="none" w:color="auto"/>
          <w14:textFill>
            <w14:solidFill>
              <w14:schemeClr w14:val="tx1"/>
            </w14:solidFill>
          </w14:textFill>
        </w:rPr>
        <w:t>.废标</w:t>
      </w:r>
      <w:bookmarkEnd w:id="276"/>
      <w:bookmarkEnd w:id="277"/>
      <w:bookmarkEnd w:id="278"/>
      <w:bookmarkEnd w:id="279"/>
      <w:bookmarkEnd w:id="281"/>
      <w:bookmarkEnd w:id="282"/>
      <w:bookmarkEnd w:id="283"/>
    </w:p>
    <w:p w14:paraId="5E19A8A7">
      <w:pPr>
        <w:pStyle w:val="16"/>
        <w:spacing w:line="400" w:lineRule="exact"/>
        <w:ind w:left="840" w:leftChars="400"/>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t xml:space="preserve">出现下列情形之一，将导致项目废标： </w:t>
      </w:r>
    </w:p>
    <w:p w14:paraId="5996ACB3">
      <w:pPr>
        <w:pStyle w:val="16"/>
        <w:spacing w:line="400" w:lineRule="exact"/>
        <w:ind w:left="840" w:leftChars="400"/>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t>（1）符合专业条件的供应商或者对磋商文件做实质性响应的供应商不足三家；</w:t>
      </w:r>
    </w:p>
    <w:p w14:paraId="6013FACF">
      <w:pPr>
        <w:pStyle w:val="16"/>
        <w:spacing w:line="400" w:lineRule="exact"/>
        <w:ind w:left="840" w:leftChars="400"/>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t>（2）出现影响采购公正的违法、违规行为的；</w:t>
      </w:r>
    </w:p>
    <w:p w14:paraId="2096DADE">
      <w:pPr>
        <w:pStyle w:val="16"/>
        <w:spacing w:line="400" w:lineRule="exact"/>
        <w:ind w:left="840" w:leftChars="400"/>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t>（3）供应商的报价均超过了采购预算，采购人不能支付的；</w:t>
      </w:r>
    </w:p>
    <w:p w14:paraId="5BC74A6E">
      <w:pPr>
        <w:pStyle w:val="16"/>
        <w:spacing w:line="400" w:lineRule="exact"/>
        <w:ind w:left="840" w:leftChars="400"/>
        <w:rPr>
          <w:rFonts w:hint="eastAsia" w:asciiTheme="minorEastAsia" w:hAnsiTheme="minorEastAsia" w:eastAsiaTheme="minorEastAsia" w:cstheme="minorEastAsia"/>
          <w:b/>
          <w:bCs w:val="0"/>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t xml:space="preserve">（4）因重大变故，采购任务取消的。 </w:t>
      </w:r>
    </w:p>
    <w:p w14:paraId="16AC5AB4">
      <w:pPr>
        <w:pStyle w:val="4"/>
        <w:pageBreakBefore w:val="0"/>
        <w:widowControl w:val="0"/>
        <w:kinsoku/>
        <w:wordWrap/>
        <w:overflowPunct/>
        <w:topLinePunct w:val="0"/>
        <w:bidi w:val="0"/>
        <w:snapToGrid/>
        <w:spacing w:before="0" w:after="0" w:line="460" w:lineRule="exact"/>
        <w:ind w:left="0" w:leftChars="0"/>
        <w:textAlignment w:val="auto"/>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pPr>
      <w:bookmarkStart w:id="284" w:name="_Toc518923090"/>
      <w:bookmarkStart w:id="285" w:name="_Toc23660"/>
      <w:bookmarkStart w:id="286" w:name="_Toc16649_WPSOffice_Level2"/>
      <w:bookmarkStart w:id="287" w:name="_Toc4205_WPSOffice_Level2"/>
      <w:bookmarkStart w:id="288" w:name="_Toc27296"/>
      <w:bookmarkStart w:id="289" w:name="_Toc17751"/>
      <w:bookmarkStart w:id="290" w:name="_Toc2459"/>
      <w:bookmarkStart w:id="291" w:name="_Toc6204"/>
      <w:bookmarkStart w:id="292" w:name="_Toc520356169"/>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25.保密原则</w:t>
      </w:r>
      <w:bookmarkEnd w:id="284"/>
      <w:bookmarkEnd w:id="285"/>
      <w:bookmarkEnd w:id="286"/>
      <w:bookmarkEnd w:id="287"/>
      <w:bookmarkEnd w:id="288"/>
      <w:bookmarkEnd w:id="289"/>
      <w:bookmarkEnd w:id="290"/>
      <w:bookmarkEnd w:id="291"/>
    </w:p>
    <w:p w14:paraId="45161F10">
      <w:pPr>
        <w:pageBreakBefore w:val="0"/>
        <w:widowControl w:val="0"/>
        <w:kinsoku/>
        <w:wordWrap/>
        <w:overflowPunct/>
        <w:topLinePunct w:val="0"/>
        <w:bidi w:val="0"/>
        <w:snapToGrid/>
        <w:spacing w:line="460" w:lineRule="exact"/>
        <w:ind w:left="0" w:leftChars="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25.1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评审将在严格保密的情况下进行。</w:t>
      </w:r>
    </w:p>
    <w:p w14:paraId="422A3740">
      <w:pPr>
        <w:pageBreakBefore w:val="0"/>
        <w:widowControl w:val="0"/>
        <w:kinsoku/>
        <w:wordWrap/>
        <w:overflowPunct/>
        <w:topLinePunct w:val="0"/>
        <w:bidi w:val="0"/>
        <w:snapToGrid/>
        <w:spacing w:line="460" w:lineRule="exact"/>
        <w:ind w:left="840" w:leftChars="0" w:hanging="840" w:hangingChars="35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25.2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政府采购评审专家应当遵守评审工作纪律，不得泄露评审文件、评审情况和评审中获悉的商业秘密。</w:t>
      </w:r>
    </w:p>
    <w:p w14:paraId="65A3DA08">
      <w:pPr>
        <w:pStyle w:val="3"/>
        <w:pageBreakBefore w:val="0"/>
        <w:widowControl w:val="0"/>
        <w:kinsoku/>
        <w:wordWrap/>
        <w:overflowPunct/>
        <w:topLinePunct w:val="0"/>
        <w:bidi w:val="0"/>
        <w:snapToGrid/>
        <w:spacing w:before="0" w:line="460" w:lineRule="exact"/>
        <w:ind w:left="0" w:leftChars="0" w:hanging="54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293" w:name="_Toc518923091"/>
      <w:bookmarkStart w:id="294" w:name="_Toc10964"/>
      <w:bookmarkStart w:id="295" w:name="_Toc216582810"/>
      <w:bookmarkStart w:id="296" w:name="_Toc1290"/>
      <w:bookmarkStart w:id="297" w:name="_Toc12023"/>
      <w:bookmarkStart w:id="298" w:name="_Toc4193_WPSOffice_Level1"/>
      <w:bookmarkStart w:id="299" w:name="_Toc10715358"/>
      <w:bookmarkStart w:id="300" w:name="_Toc1539"/>
      <w:bookmarkStart w:id="301" w:name="_Toc26937"/>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六   </w:t>
      </w:r>
      <w:bookmarkEnd w:id="292"/>
      <w:r>
        <w:rPr>
          <w:rFonts w:hint="eastAsia" w:asciiTheme="minorEastAsia" w:hAnsiTheme="minorEastAsia" w:eastAsiaTheme="minorEastAsia" w:cstheme="minorEastAsia"/>
          <w:color w:val="000000" w:themeColor="text1"/>
          <w:sz w:val="24"/>
          <w:highlight w:val="none"/>
          <w14:textFill>
            <w14:solidFill>
              <w14:schemeClr w14:val="tx1"/>
            </w14:solidFill>
          </w14:textFill>
        </w:rPr>
        <w:t>确定</w:t>
      </w:r>
      <w:bookmarkEnd w:id="293"/>
      <w:bookmarkEnd w:id="294"/>
      <w:bookmarkEnd w:id="295"/>
      <w:r>
        <w:rPr>
          <w:rFonts w:hint="eastAsia" w:asciiTheme="minorEastAsia" w:hAnsiTheme="minorEastAsia" w:eastAsiaTheme="minorEastAsia" w:cstheme="minorEastAsia"/>
          <w:color w:val="000000" w:themeColor="text1"/>
          <w:sz w:val="24"/>
          <w:highlight w:val="none"/>
          <w14:textFill>
            <w14:solidFill>
              <w14:schemeClr w14:val="tx1"/>
            </w14:solidFill>
          </w14:textFill>
        </w:rPr>
        <w:t>成交</w:t>
      </w:r>
      <w:bookmarkEnd w:id="296"/>
      <w:bookmarkEnd w:id="297"/>
      <w:bookmarkEnd w:id="298"/>
      <w:bookmarkEnd w:id="299"/>
      <w:bookmarkEnd w:id="300"/>
      <w:bookmarkEnd w:id="301"/>
    </w:p>
    <w:p w14:paraId="700F1565">
      <w:pPr>
        <w:pStyle w:val="4"/>
        <w:pageBreakBefore w:val="0"/>
        <w:widowControl w:val="0"/>
        <w:kinsoku/>
        <w:wordWrap/>
        <w:overflowPunct/>
        <w:topLinePunct w:val="0"/>
        <w:bidi w:val="0"/>
        <w:snapToGrid/>
        <w:spacing w:before="0" w:after="0" w:line="460" w:lineRule="exact"/>
        <w:ind w:left="0" w:leftChars="0"/>
        <w:textAlignment w:val="auto"/>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pPr>
      <w:bookmarkStart w:id="302" w:name="_Toc32578"/>
      <w:bookmarkStart w:id="303" w:name="_Toc19969"/>
      <w:bookmarkStart w:id="304" w:name="_Toc518923092"/>
      <w:bookmarkStart w:id="305" w:name="_Toc31921_WPSOffice_Level2"/>
      <w:bookmarkStart w:id="306" w:name="_Toc12096"/>
      <w:bookmarkStart w:id="307" w:name="_Toc20251"/>
      <w:bookmarkStart w:id="308" w:name="_Toc20904"/>
      <w:bookmarkStart w:id="309" w:name="_Ref467307010"/>
      <w:bookmarkStart w:id="310" w:name="_Toc520356170"/>
      <w:bookmarkStart w:id="311" w:name="_Toc4749_WPSOffice_Level2"/>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26.成交候选人的确定原则及标准</w:t>
      </w:r>
      <w:bookmarkEnd w:id="302"/>
      <w:bookmarkEnd w:id="303"/>
      <w:bookmarkEnd w:id="304"/>
      <w:bookmarkEnd w:id="305"/>
      <w:bookmarkEnd w:id="306"/>
      <w:bookmarkEnd w:id="307"/>
      <w:bookmarkEnd w:id="308"/>
      <w:bookmarkEnd w:id="309"/>
      <w:bookmarkEnd w:id="310"/>
      <w:bookmarkEnd w:id="311"/>
    </w:p>
    <w:p w14:paraId="74783708">
      <w:pPr>
        <w:pageBreakBefore w:val="0"/>
        <w:widowControl w:val="0"/>
        <w:kinsoku/>
        <w:wordWrap/>
        <w:overflowPunct/>
        <w:topLinePunct w:val="0"/>
        <w:bidi w:val="0"/>
        <w:snapToGrid/>
        <w:spacing w:line="460" w:lineRule="exact"/>
        <w:ind w:left="900" w:leftChars="0" w:hanging="900" w:hangingChars="375"/>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除第28条规定外，对实质上响应磋商文件的供应商按下列方法进行排序，确定成交候选人：</w:t>
      </w:r>
      <w:bookmarkStart w:id="312" w:name="_Toc520356171"/>
      <w:bookmarkStart w:id="313" w:name="_Toc10555"/>
      <w:bookmarkStart w:id="314" w:name="_Toc518923093"/>
      <w:bookmarkStart w:id="315" w:name="_Toc3689_WPSOffice_Level2"/>
      <w:bookmarkStart w:id="316" w:name="_Toc5355"/>
      <w:bookmarkStart w:id="317" w:name="_Toc2420_WPSOffice_Level2"/>
    </w:p>
    <w:p w14:paraId="6E6C949A">
      <w:pPr>
        <w:spacing w:line="360" w:lineRule="exact"/>
        <w:ind w:firstLine="720" w:firstLineChars="3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（1）采用最低评标价法的，除了算术修正和落实政府采购政策需进行的价格扣除外，不对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价格进行任何调整。评标结果按修正和扣除后的</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报价由低到高顺序排列。报价相同的处理方式详见</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第6章。</w:t>
      </w:r>
    </w:p>
    <w:p w14:paraId="573892C4">
      <w:pPr>
        <w:spacing w:line="360" w:lineRule="exact"/>
        <w:ind w:firstLine="720" w:firstLineChars="3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（2）采用综合评分法的，评标结果按评审后得分由高到低顺序排列。得分相同的，按修正和扣除后的</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报价由低到高顺序排列。得分与</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报价均相同的处理方式详见</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第6章。</w:t>
      </w:r>
    </w:p>
    <w:p w14:paraId="68BB6D73">
      <w:pPr>
        <w:pStyle w:val="36"/>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09C2A3AB">
      <w:pPr>
        <w:pageBreakBefore w:val="0"/>
        <w:widowControl w:val="0"/>
        <w:kinsoku/>
        <w:wordWrap/>
        <w:overflowPunct/>
        <w:topLinePunct w:val="0"/>
        <w:bidi w:val="0"/>
        <w:snapToGrid/>
        <w:spacing w:line="460" w:lineRule="exact"/>
        <w:ind w:left="718" w:leftChars="342" w:firstLine="60" w:firstLineChars="25"/>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本项目</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采用</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综合评分法</w:t>
      </w:r>
    </w:p>
    <w:p w14:paraId="42088BA0">
      <w:pPr>
        <w:pStyle w:val="4"/>
        <w:pageBreakBefore w:val="0"/>
        <w:widowControl w:val="0"/>
        <w:kinsoku/>
        <w:wordWrap/>
        <w:overflowPunct/>
        <w:topLinePunct w:val="0"/>
        <w:bidi w:val="0"/>
        <w:snapToGrid/>
        <w:spacing w:before="0" w:after="0" w:line="460" w:lineRule="exact"/>
        <w:ind w:left="0" w:leftChars="0"/>
        <w:textAlignment w:val="auto"/>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pPr>
      <w:bookmarkStart w:id="318" w:name="_Toc13875"/>
      <w:bookmarkStart w:id="319" w:name="_Toc28488"/>
      <w:bookmarkStart w:id="320" w:name="_Toc495"/>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27</w:t>
      </w:r>
      <w:bookmarkEnd w:id="312"/>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.确定成交候选人和成交人</w:t>
      </w:r>
      <w:bookmarkEnd w:id="313"/>
      <w:bookmarkEnd w:id="314"/>
      <w:bookmarkEnd w:id="315"/>
      <w:bookmarkEnd w:id="316"/>
      <w:bookmarkEnd w:id="317"/>
      <w:bookmarkEnd w:id="318"/>
      <w:bookmarkEnd w:id="319"/>
      <w:bookmarkEnd w:id="320"/>
    </w:p>
    <w:p w14:paraId="02452211">
      <w:pPr>
        <w:pageBreakBefore w:val="0"/>
        <w:widowControl w:val="0"/>
        <w:kinsoku/>
        <w:wordWrap/>
        <w:overflowPunct/>
        <w:topLinePunct w:val="0"/>
        <w:bidi w:val="0"/>
        <w:snapToGrid/>
        <w:spacing w:line="460" w:lineRule="exact"/>
        <w:ind w:left="900" w:leftChars="0" w:hanging="900" w:hangingChars="375"/>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磋商小组将根据评审标准，按</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供应商须知资料表中</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规定数量推荐成交候选人；</w:t>
      </w:r>
      <w:r>
        <w:rPr>
          <w:rFonts w:hint="eastAsia" w:asciiTheme="minorEastAsia" w:hAnsiTheme="minorEastAsia" w:eastAsiaTheme="minorEastAsia" w:cstheme="minorEastAsia"/>
          <w:b/>
          <w:bCs/>
          <w:color w:val="000000" w:themeColor="text1"/>
          <w:sz w:val="24"/>
          <w:highlight w:val="none"/>
          <w:u w:val="single"/>
          <w14:textFill>
            <w14:solidFill>
              <w14:schemeClr w14:val="tx1"/>
            </w14:solidFill>
          </w14:textFill>
        </w:rPr>
        <w:t>磋商小组应当根据综合评分情况，按照评审得分由高到低顺序推荐成交候选供应商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或根据采购人的委托，直接确定成交人。</w:t>
      </w:r>
    </w:p>
    <w:p w14:paraId="6A272384">
      <w:pPr>
        <w:pStyle w:val="4"/>
        <w:pageBreakBefore w:val="0"/>
        <w:widowControl w:val="0"/>
        <w:tabs>
          <w:tab w:val="left" w:pos="900"/>
        </w:tabs>
        <w:kinsoku/>
        <w:wordWrap/>
        <w:overflowPunct/>
        <w:topLinePunct w:val="0"/>
        <w:bidi w:val="0"/>
        <w:snapToGrid/>
        <w:spacing w:before="0" w:after="0" w:line="460" w:lineRule="exact"/>
        <w:ind w:left="0" w:leftChars="0"/>
        <w:textAlignment w:val="auto"/>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pPr>
      <w:bookmarkStart w:id="321" w:name="_Toc520356173"/>
      <w:bookmarkStart w:id="322" w:name="_Ref467306874"/>
      <w:bookmarkStart w:id="323" w:name="_Toc17138"/>
      <w:bookmarkStart w:id="324" w:name="_Toc17336_WPSOffice_Level2"/>
      <w:bookmarkStart w:id="325" w:name="_Toc620_WPSOffice_Level2"/>
      <w:bookmarkStart w:id="326" w:name="_Toc9209"/>
      <w:bookmarkStart w:id="327" w:name="_Toc31435"/>
      <w:bookmarkStart w:id="328" w:name="_Toc518923094"/>
      <w:bookmarkStart w:id="329" w:name="_Toc22544"/>
      <w:bookmarkStart w:id="330" w:name="_Toc11003"/>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28</w:t>
      </w:r>
      <w:bookmarkEnd w:id="321"/>
      <w:bookmarkEnd w:id="322"/>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.采购任务取消</w:t>
      </w:r>
      <w:bookmarkEnd w:id="323"/>
      <w:bookmarkEnd w:id="324"/>
      <w:bookmarkEnd w:id="325"/>
      <w:bookmarkEnd w:id="326"/>
      <w:bookmarkEnd w:id="327"/>
      <w:bookmarkEnd w:id="328"/>
      <w:bookmarkEnd w:id="329"/>
      <w:bookmarkEnd w:id="330"/>
    </w:p>
    <w:p w14:paraId="20F20F9B">
      <w:pPr>
        <w:pageBreakBefore w:val="0"/>
        <w:widowControl w:val="0"/>
        <w:kinsoku/>
        <w:wordWrap/>
        <w:overflowPunct/>
        <w:topLinePunct w:val="0"/>
        <w:bidi w:val="0"/>
        <w:snapToGrid/>
        <w:spacing w:line="460" w:lineRule="exact"/>
        <w:ind w:left="900" w:leftChars="0" w:hanging="900" w:hangingChars="375"/>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因重大变故采购任务取消时，采购人有权拒绝任何供应商成交，且对受影响的供应商不承担任何责任。</w:t>
      </w:r>
      <w:bookmarkStart w:id="331" w:name="_Toc520356174"/>
    </w:p>
    <w:p w14:paraId="1189A50D">
      <w:pPr>
        <w:pStyle w:val="4"/>
        <w:pageBreakBefore w:val="0"/>
        <w:widowControl w:val="0"/>
        <w:kinsoku/>
        <w:wordWrap/>
        <w:overflowPunct/>
        <w:topLinePunct w:val="0"/>
        <w:bidi w:val="0"/>
        <w:snapToGrid/>
        <w:spacing w:before="0" w:after="0" w:line="460" w:lineRule="exact"/>
        <w:ind w:left="0" w:leftChars="0"/>
        <w:textAlignment w:val="auto"/>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pPr>
      <w:bookmarkStart w:id="332" w:name="_Toc7273_WPSOffice_Level2"/>
      <w:bookmarkStart w:id="333" w:name="_Toc22288"/>
      <w:bookmarkStart w:id="334" w:name="_Toc18072"/>
      <w:bookmarkStart w:id="335" w:name="_Toc518923095"/>
      <w:bookmarkStart w:id="336" w:name="_Toc4588"/>
      <w:bookmarkStart w:id="337" w:name="_Toc5757"/>
      <w:bookmarkStart w:id="338" w:name="_Toc22810_WPSOffice_Level2"/>
      <w:bookmarkStart w:id="339" w:name="_Toc8733"/>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29.成交通知书</w:t>
      </w:r>
      <w:bookmarkEnd w:id="331"/>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和采购结果通知书</w:t>
      </w:r>
      <w:bookmarkEnd w:id="332"/>
      <w:bookmarkEnd w:id="333"/>
      <w:bookmarkEnd w:id="334"/>
      <w:bookmarkEnd w:id="335"/>
      <w:bookmarkEnd w:id="336"/>
      <w:bookmarkEnd w:id="337"/>
      <w:bookmarkEnd w:id="338"/>
      <w:bookmarkEnd w:id="339"/>
    </w:p>
    <w:p w14:paraId="3A7BC0D4">
      <w:pPr>
        <w:pageBreakBefore w:val="0"/>
        <w:widowControl w:val="0"/>
        <w:kinsoku/>
        <w:wordWrap/>
        <w:overflowPunct/>
        <w:topLinePunct w:val="0"/>
        <w:bidi w:val="0"/>
        <w:snapToGrid/>
        <w:spacing w:line="460" w:lineRule="exact"/>
        <w:ind w:left="900" w:leftChars="0" w:hanging="900" w:hangingChars="375"/>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29.1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在磋商有效期内，成交人确定后，采购人或者采购代理机构发布成交公告，同时以书面形式向成交人发出成交通知书；</w:t>
      </w:r>
    </w:p>
    <w:p w14:paraId="038DE605">
      <w:pPr>
        <w:pageBreakBefore w:val="0"/>
        <w:widowControl w:val="0"/>
        <w:kinsoku/>
        <w:wordWrap/>
        <w:overflowPunct/>
        <w:topLinePunct w:val="0"/>
        <w:bidi w:val="0"/>
        <w:snapToGrid/>
        <w:spacing w:line="460" w:lineRule="exact"/>
        <w:ind w:left="900" w:leftChars="0" w:hanging="900" w:hangingChars="375"/>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29.2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成交通知书是合同的组成部分；</w:t>
      </w:r>
    </w:p>
    <w:p w14:paraId="7ADFD0E2">
      <w:pPr>
        <w:pageBreakBefore w:val="0"/>
        <w:widowControl w:val="0"/>
        <w:kinsoku/>
        <w:wordWrap/>
        <w:overflowPunct/>
        <w:topLinePunct w:val="0"/>
        <w:bidi w:val="0"/>
        <w:snapToGrid/>
        <w:spacing w:line="460" w:lineRule="exact"/>
        <w:ind w:left="900" w:leftChars="0" w:hanging="900" w:hangingChars="375"/>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29.3    采购结果通知书和成交通知书同时发出。采购结果通知书中将告知未通过资格审查的供应商未通过的原因；采用综合评分法评审的，还将告知未成交人本人的评审得分和排序。</w:t>
      </w:r>
    </w:p>
    <w:p w14:paraId="2BD4341E">
      <w:pPr>
        <w:pStyle w:val="4"/>
        <w:pageBreakBefore w:val="0"/>
        <w:widowControl w:val="0"/>
        <w:kinsoku/>
        <w:wordWrap/>
        <w:overflowPunct/>
        <w:topLinePunct w:val="0"/>
        <w:bidi w:val="0"/>
        <w:snapToGrid/>
        <w:spacing w:before="0" w:after="0" w:line="460" w:lineRule="exact"/>
        <w:ind w:left="0" w:leftChars="0"/>
        <w:textAlignment w:val="auto"/>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pPr>
      <w:bookmarkStart w:id="340" w:name="_Toc23285_WPSOffice_Level2"/>
      <w:bookmarkStart w:id="341" w:name="_Toc23671"/>
      <w:bookmarkStart w:id="342" w:name="_Toc16952"/>
      <w:bookmarkStart w:id="343" w:name="_Ref467306978"/>
      <w:bookmarkStart w:id="344" w:name="_Toc520356175"/>
      <w:bookmarkStart w:id="345" w:name="_Toc2181"/>
      <w:bookmarkStart w:id="346" w:name="_Ref467307062"/>
      <w:bookmarkStart w:id="347" w:name="_Toc518923096"/>
      <w:bookmarkStart w:id="348" w:name="_Toc18344"/>
      <w:bookmarkStart w:id="349" w:name="_Toc9717_WPSOffice_Level2"/>
      <w:bookmarkStart w:id="350" w:name="_Ref467307204"/>
      <w:bookmarkStart w:id="351" w:name="_Toc4222"/>
      <w:bookmarkStart w:id="352" w:name="_Ref467306377"/>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30.签订合同</w:t>
      </w:r>
      <w:bookmarkEnd w:id="340"/>
      <w:bookmarkEnd w:id="341"/>
      <w:bookmarkEnd w:id="342"/>
      <w:bookmarkEnd w:id="343"/>
      <w:bookmarkEnd w:id="344"/>
      <w:bookmarkEnd w:id="345"/>
      <w:bookmarkEnd w:id="346"/>
      <w:bookmarkEnd w:id="347"/>
      <w:bookmarkEnd w:id="348"/>
      <w:bookmarkEnd w:id="349"/>
      <w:bookmarkEnd w:id="350"/>
      <w:bookmarkEnd w:id="351"/>
      <w:bookmarkEnd w:id="352"/>
    </w:p>
    <w:p w14:paraId="6B51FAA0">
      <w:pPr>
        <w:pageBreakBefore w:val="0"/>
        <w:widowControl w:val="0"/>
        <w:kinsoku/>
        <w:wordWrap/>
        <w:overflowPunct/>
        <w:topLinePunct w:val="0"/>
        <w:bidi w:val="0"/>
        <w:snapToGrid/>
        <w:spacing w:line="460" w:lineRule="exact"/>
        <w:ind w:left="900" w:leftChars="0" w:hanging="900" w:hangingChars="375"/>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30.1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成交人应当自发出成交通知书之日起30日内，与采购人签订合同。</w:t>
      </w:r>
    </w:p>
    <w:p w14:paraId="6C540938">
      <w:pPr>
        <w:pageBreakBefore w:val="0"/>
        <w:widowControl w:val="0"/>
        <w:kinsoku/>
        <w:wordWrap/>
        <w:overflowPunct/>
        <w:topLinePunct w:val="0"/>
        <w:bidi w:val="0"/>
        <w:snapToGrid/>
        <w:spacing w:line="460" w:lineRule="exact"/>
        <w:ind w:left="900" w:leftChars="0" w:hanging="900" w:hangingChars="375"/>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30.2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磋商文件、成交人的响应文件及其澄清文件等，均为签订合同的依据。</w:t>
      </w:r>
    </w:p>
    <w:p w14:paraId="420B4BA3">
      <w:pPr>
        <w:pageBreakBefore w:val="0"/>
        <w:widowControl w:val="0"/>
        <w:kinsoku/>
        <w:wordWrap/>
        <w:overflowPunct/>
        <w:topLinePunct w:val="0"/>
        <w:bidi w:val="0"/>
        <w:snapToGrid/>
        <w:spacing w:line="460" w:lineRule="exact"/>
        <w:ind w:left="900" w:leftChars="0" w:hanging="900" w:hangingChars="375"/>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30.3   成交人拒绝与采购人签订合同的，采购人可以按照评审报告推荐的成交候选人名单排序，确定下一成交候选人为成交人，也可以重新开展政府采购活动。</w:t>
      </w:r>
    </w:p>
    <w:p w14:paraId="5FA81E4A">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30.4   当出现法规规定的</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成交无效或成交结果无效</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情形时，采购人可与排名下一位的成交候选人另行签订合同，或依法重新开展采购活动。</w:t>
      </w:r>
    </w:p>
    <w:p w14:paraId="0025ED4C">
      <w:pPr>
        <w:pStyle w:val="4"/>
        <w:pageBreakBefore w:val="0"/>
        <w:kinsoku/>
        <w:wordWrap/>
        <w:overflowPunct/>
        <w:topLinePunct w:val="0"/>
        <w:bidi w:val="0"/>
        <w:spacing w:before="0" w:after="0" w:line="440" w:lineRule="exact"/>
        <w:textAlignment w:val="auto"/>
        <w:rPr>
          <w:rFonts w:hint="eastAsia" w:asciiTheme="minorEastAsia" w:hAnsiTheme="minorEastAsia" w:eastAsiaTheme="minorEastAsia" w:cstheme="minorEastAsia"/>
          <w:color w:val="000000" w:themeColor="text1"/>
          <w:sz w:val="22"/>
          <w:szCs w:val="22"/>
          <w:highlight w:val="none"/>
          <w:u w:val="none" w:color="auto"/>
          <w14:textFill>
            <w14:solidFill>
              <w14:schemeClr w14:val="tx1"/>
            </w14:solidFill>
          </w14:textFill>
        </w:rPr>
      </w:pPr>
      <w:bookmarkStart w:id="353" w:name="_Toc22555"/>
      <w:bookmarkStart w:id="354" w:name="_Toc20240"/>
      <w:bookmarkStart w:id="355" w:name="_Toc14080"/>
      <w:bookmarkStart w:id="356" w:name="_Toc515647793"/>
      <w:bookmarkStart w:id="357" w:name="_Toc19746"/>
      <w:r>
        <w:rPr>
          <w:rFonts w:hint="eastAsia" w:asciiTheme="minorEastAsia" w:hAnsiTheme="minorEastAsia" w:eastAsiaTheme="minorEastAsia" w:cstheme="minorEastAsia"/>
          <w:color w:val="000000" w:themeColor="text1"/>
          <w:sz w:val="22"/>
          <w:szCs w:val="22"/>
          <w:highlight w:val="none"/>
          <w:u w:val="none" w:color="auto"/>
          <w14:textFill>
            <w14:solidFill>
              <w14:schemeClr w14:val="tx1"/>
            </w14:solidFill>
          </w14:textFill>
        </w:rPr>
        <w:t>31.履约保证金</w:t>
      </w:r>
      <w:bookmarkEnd w:id="353"/>
      <w:bookmarkEnd w:id="354"/>
      <w:bookmarkEnd w:id="355"/>
      <w:bookmarkEnd w:id="356"/>
      <w:bookmarkEnd w:id="357"/>
    </w:p>
    <w:p w14:paraId="0C0A1AC8">
      <w:pPr>
        <w:pageBreakBefore w:val="0"/>
        <w:kinsoku/>
        <w:wordWrap/>
        <w:overflowPunct/>
        <w:topLinePunct w:val="0"/>
        <w:bidi w:val="0"/>
        <w:spacing w:line="440" w:lineRule="exact"/>
        <w:ind w:left="825" w:hanging="825" w:hangingChars="375"/>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31.1</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应按照</w:t>
      </w:r>
      <w:r>
        <w:rPr>
          <w:rFonts w:hint="eastAsia" w:asciiTheme="minorEastAsia" w:hAnsiTheme="minorEastAsia" w:eastAsiaTheme="minorEastAsia" w:cstheme="minorEastAsia"/>
          <w:color w:val="000000" w:themeColor="text1"/>
          <w:sz w:val="22"/>
          <w:szCs w:val="22"/>
          <w:highlight w:val="none"/>
          <w:u w:val="single"/>
          <w14:textFill>
            <w14:solidFill>
              <w14:schemeClr w14:val="tx1"/>
            </w14:solidFill>
          </w14:textFill>
        </w:rPr>
        <w:t>供应商须知资料表</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规定向采购人缴纳履约保证金（如采用保函形式，格式见本章附件1）。</w:t>
      </w:r>
    </w:p>
    <w:p w14:paraId="38044D83">
      <w:pPr>
        <w:pageBreakBefore w:val="0"/>
        <w:kinsoku/>
        <w:wordWrap/>
        <w:overflowPunct/>
        <w:topLinePunct w:val="0"/>
        <w:bidi w:val="0"/>
        <w:spacing w:line="440" w:lineRule="exact"/>
        <w:ind w:left="825" w:hanging="825" w:hangingChars="375"/>
        <w:textAlignment w:val="auto"/>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31.2</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政府采购利用担保试点范围内的项目，除31.1规定的情形外，</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成交人</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也可以按照财政部门的规定，向采购人提供合格的履约担保函。</w:t>
      </w:r>
    </w:p>
    <w:p w14:paraId="27F89D6F">
      <w:pPr>
        <w:spacing w:line="400" w:lineRule="exact"/>
        <w:ind w:left="900" w:hanging="825"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31.3   如果</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成交人</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没有按照上述履约保证金的规定执行，将视为放弃</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资格，</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成交人</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保证金将不予退还。在此情况下，采购人可确定下一候选人为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人，也可以重新开展采购活动。</w:t>
      </w:r>
    </w:p>
    <w:p w14:paraId="05E323B1">
      <w:pPr>
        <w:pStyle w:val="4"/>
        <w:spacing w:before="0" w:after="0" w:line="400" w:lineRule="exact"/>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pPr>
      <w:bookmarkStart w:id="358" w:name="_Toc518923098"/>
      <w:bookmarkStart w:id="359" w:name="_Toc12542"/>
      <w:bookmarkStart w:id="360" w:name="_Toc29948"/>
      <w:bookmarkStart w:id="361" w:name="_Toc21635_WPSOffice_Level2"/>
      <w:bookmarkStart w:id="362" w:name="_Toc12960_WPSOffice_Level2"/>
      <w:bookmarkStart w:id="363" w:name="_Toc31655"/>
      <w:bookmarkStart w:id="364" w:name="_Toc8476"/>
      <w:bookmarkStart w:id="365" w:name="_Toc22936"/>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3</w:t>
      </w:r>
      <w:r>
        <w:rPr>
          <w:rFonts w:hint="eastAsia" w:asciiTheme="minorEastAsia" w:hAnsiTheme="minorEastAsia" w:eastAsiaTheme="minorEastAsia" w:cstheme="minorEastAsia"/>
          <w:color w:val="000000" w:themeColor="text1"/>
          <w:highlight w:val="none"/>
          <w:u w:val="none" w:color="auto"/>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.成交服务费</w:t>
      </w:r>
      <w:bookmarkEnd w:id="358"/>
      <w:bookmarkEnd w:id="359"/>
      <w:bookmarkEnd w:id="360"/>
      <w:bookmarkEnd w:id="361"/>
      <w:bookmarkEnd w:id="362"/>
      <w:bookmarkEnd w:id="363"/>
      <w:bookmarkEnd w:id="364"/>
      <w:bookmarkEnd w:id="365"/>
    </w:p>
    <w:p w14:paraId="1789F0CC">
      <w:pPr>
        <w:spacing w:line="400" w:lineRule="exact"/>
        <w:ind w:left="840" w:leftChars="200" w:hanging="420" w:hangingChars="1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成交人须按照</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磋商须知资料表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规定，向采购代理机构支付成交服务费。</w:t>
      </w:r>
    </w:p>
    <w:p w14:paraId="5E309F43">
      <w:pPr>
        <w:pStyle w:val="4"/>
        <w:spacing w:before="0" w:after="0" w:line="400" w:lineRule="exact"/>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pPr>
      <w:bookmarkStart w:id="366" w:name="_Toc25794"/>
      <w:bookmarkStart w:id="367" w:name="_Toc30567_WPSOffice_Level2"/>
      <w:bookmarkStart w:id="368" w:name="_Toc5851"/>
      <w:bookmarkStart w:id="369" w:name="_Toc11698"/>
      <w:bookmarkStart w:id="370" w:name="_Toc5132"/>
      <w:bookmarkStart w:id="371" w:name="_Toc518923099"/>
      <w:bookmarkStart w:id="372" w:name="_Toc9330_WPSOffice_Level2"/>
      <w:bookmarkStart w:id="373" w:name="_Toc31411"/>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3</w:t>
      </w:r>
      <w:r>
        <w:rPr>
          <w:rFonts w:hint="eastAsia" w:asciiTheme="minorEastAsia" w:hAnsiTheme="minorEastAsia" w:eastAsiaTheme="minorEastAsia" w:cstheme="minorEastAsia"/>
          <w:color w:val="000000" w:themeColor="text1"/>
          <w:highlight w:val="none"/>
          <w:u w:val="none" w:color="auto"/>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.政府采购信用担保</w:t>
      </w:r>
      <w:bookmarkEnd w:id="366"/>
      <w:bookmarkEnd w:id="367"/>
      <w:bookmarkEnd w:id="368"/>
      <w:bookmarkEnd w:id="369"/>
      <w:bookmarkEnd w:id="370"/>
      <w:bookmarkEnd w:id="371"/>
      <w:bookmarkEnd w:id="372"/>
      <w:bookmarkEnd w:id="373"/>
    </w:p>
    <w:p w14:paraId="644D3CBE">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   本项目是否属于信用担保试点范围见</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供应商须知资料表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2E2B1706">
      <w:pPr>
        <w:spacing w:line="400" w:lineRule="exact"/>
        <w:ind w:left="850" w:hanging="849" w:hangingChars="354"/>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   如属于政府采购信用担保试点范围内，中小型企业供应商可以自由按照财政部门的规定，采用磋商担保、履约担保和融资担保。</w:t>
      </w:r>
    </w:p>
    <w:p w14:paraId="5D410636">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.2.1 供应商递交的磋商担保函应符合本磋商文件的规定。</w:t>
      </w:r>
    </w:p>
    <w:p w14:paraId="7BD1659E">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.2.2 合格的政府采购专业信用担保机构见</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供应商须知资料表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34CE6A5A">
      <w:pPr>
        <w:pStyle w:val="4"/>
        <w:spacing w:before="0" w:after="0" w:line="400" w:lineRule="exact"/>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pPr>
      <w:bookmarkStart w:id="374" w:name="_Toc518923100"/>
      <w:bookmarkStart w:id="375" w:name="_Toc411"/>
      <w:bookmarkStart w:id="376" w:name="_Toc32748"/>
      <w:bookmarkStart w:id="377" w:name="_Toc4701"/>
      <w:bookmarkStart w:id="378" w:name="_Toc13147"/>
      <w:bookmarkStart w:id="379" w:name="_Toc5233_WPSOffice_Level2"/>
      <w:bookmarkStart w:id="380" w:name="_Toc9469_WPSOffice_Level2"/>
      <w:bookmarkStart w:id="381" w:name="_Toc3611"/>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3</w:t>
      </w:r>
      <w:r>
        <w:rPr>
          <w:rFonts w:hint="eastAsia" w:asciiTheme="minorEastAsia" w:hAnsiTheme="minorEastAsia" w:eastAsiaTheme="minorEastAsia" w:cstheme="minorEastAsia"/>
          <w:color w:val="000000" w:themeColor="text1"/>
          <w:highlight w:val="none"/>
          <w:u w:val="none" w:color="auto"/>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.廉洁自律规定</w:t>
      </w:r>
      <w:bookmarkEnd w:id="374"/>
      <w:bookmarkEnd w:id="375"/>
      <w:bookmarkEnd w:id="376"/>
      <w:bookmarkEnd w:id="377"/>
      <w:bookmarkEnd w:id="378"/>
      <w:bookmarkEnd w:id="379"/>
      <w:bookmarkEnd w:id="380"/>
      <w:bookmarkEnd w:id="381"/>
    </w:p>
    <w:p w14:paraId="26C593E4">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   采购代理机构工作人员不得以不正当手段获取政府采购代理业务，不得与采购人、供应商恶意串通操纵政府采购活动。</w:t>
      </w:r>
    </w:p>
    <w:p w14:paraId="7C352601">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   采购代理机构工作人员不得接受采购人或者供应商组织的宴请、旅游、娱乐，不得收受礼品、现金、有价证券等，不得向采购人或者供应商报销应当由个人承担的费用。</w:t>
      </w:r>
    </w:p>
    <w:p w14:paraId="5C14E0CD">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.3   为强化采购代理机构内部监督机制，供应商可按</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供应商须知资料表中的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监督电话和信箱，反映采购代理机构的廉洁自律等问题。</w:t>
      </w:r>
    </w:p>
    <w:p w14:paraId="4C2C9320">
      <w:pPr>
        <w:pStyle w:val="4"/>
        <w:spacing w:before="0" w:after="0" w:line="400" w:lineRule="exact"/>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pPr>
      <w:bookmarkStart w:id="382" w:name="_Toc6264"/>
      <w:bookmarkStart w:id="383" w:name="_Toc27272_WPSOffice_Level2"/>
      <w:bookmarkStart w:id="384" w:name="_Toc518923101"/>
      <w:bookmarkStart w:id="385" w:name="_Toc19099"/>
      <w:bookmarkStart w:id="386" w:name="_Toc23568"/>
      <w:bookmarkStart w:id="387" w:name="_Toc27811_WPSOffice_Level2"/>
      <w:bookmarkStart w:id="388" w:name="_Toc1948"/>
      <w:bookmarkStart w:id="389" w:name="_Toc21055"/>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3</w:t>
      </w:r>
      <w:r>
        <w:rPr>
          <w:rFonts w:hint="eastAsia" w:asciiTheme="minorEastAsia" w:hAnsiTheme="minorEastAsia" w:eastAsiaTheme="minorEastAsia" w:cstheme="minorEastAsia"/>
          <w:color w:val="000000" w:themeColor="text1"/>
          <w:highlight w:val="none"/>
          <w:u w:val="none" w:color="auto"/>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.人员回避</w:t>
      </w:r>
      <w:bookmarkEnd w:id="382"/>
      <w:bookmarkEnd w:id="383"/>
      <w:bookmarkEnd w:id="384"/>
      <w:bookmarkEnd w:id="385"/>
      <w:bookmarkEnd w:id="386"/>
      <w:bookmarkEnd w:id="387"/>
      <w:bookmarkEnd w:id="388"/>
      <w:bookmarkEnd w:id="389"/>
    </w:p>
    <w:p w14:paraId="1C9A08BB">
      <w:pPr>
        <w:spacing w:line="400" w:lineRule="exact"/>
        <w:ind w:left="900" w:hanging="900" w:hangingChars="37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供应商认为采购人员及其相关人员有法律法规所列与其他供应商有利害关系的，可以向采购人或采购代理机构书面提出回避申请，并说明理由。</w:t>
      </w:r>
    </w:p>
    <w:p w14:paraId="78B98550">
      <w:pPr>
        <w:pStyle w:val="4"/>
        <w:spacing w:before="0" w:after="0" w:line="400" w:lineRule="exact"/>
        <w:rPr>
          <w:rFonts w:hint="eastAsia" w:asciiTheme="minorEastAsia" w:hAnsiTheme="minorEastAsia" w:eastAsiaTheme="minorEastAsia" w:cstheme="minorEastAsia"/>
          <w:bCs/>
          <w:color w:val="000000" w:themeColor="text1"/>
          <w:szCs w:val="24"/>
          <w:highlight w:val="none"/>
          <w:u w:val="none" w:color="auto"/>
          <w14:textFill>
            <w14:solidFill>
              <w14:schemeClr w14:val="tx1"/>
            </w14:solidFill>
          </w14:textFill>
        </w:rPr>
      </w:pPr>
      <w:bookmarkStart w:id="390" w:name="_Toc13943"/>
      <w:bookmarkStart w:id="391" w:name="_Toc3168"/>
      <w:bookmarkStart w:id="392" w:name="_Toc22841"/>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3</w:t>
      </w:r>
      <w:r>
        <w:rPr>
          <w:rFonts w:hint="eastAsia" w:asciiTheme="minorEastAsia" w:hAnsiTheme="minorEastAsia" w:eastAsiaTheme="minorEastAsia" w:cstheme="minorEastAsia"/>
          <w:color w:val="000000" w:themeColor="text1"/>
          <w:highlight w:val="none"/>
          <w:u w:val="none" w:color="auto"/>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highlight w:val="none"/>
          <w:u w:val="none" w:color="auto"/>
          <w14:textFill>
            <w14:solidFill>
              <w14:schemeClr w14:val="tx1"/>
            </w14:solidFill>
          </w14:textFill>
        </w:rPr>
        <w:t>.质疑与接收</w:t>
      </w:r>
      <w:bookmarkEnd w:id="390"/>
      <w:bookmarkEnd w:id="391"/>
      <w:bookmarkEnd w:id="392"/>
    </w:p>
    <w:p w14:paraId="296C185B">
      <w:pPr>
        <w:spacing w:line="400" w:lineRule="exact"/>
        <w:ind w:left="900" w:hanging="900" w:hangingChars="3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   供应商认为磋商文件、招标过程和成交结果使自己的权益受到损害的，可以根据《中华人民共和国政府采购法》、《中华人民共和国政府采购法实施条例》和《政府采购质疑和投诉办法》的有关规定，依法向采购人或其委托的采购代理机构提出质疑。</w:t>
      </w:r>
    </w:p>
    <w:p w14:paraId="529B48FF">
      <w:pPr>
        <w:spacing w:line="400" w:lineRule="exact"/>
        <w:ind w:left="900" w:hanging="900" w:hangingChars="3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19E2447B">
      <w:pPr>
        <w:spacing w:line="400" w:lineRule="exact"/>
        <w:ind w:left="900" w:hanging="900" w:hangingChars="3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.3   采购代理机构质疑函接收部门、联系电话和通讯地址, 见供应商须知资料表。</w:t>
      </w:r>
    </w:p>
    <w:p w14:paraId="124E4615">
      <w:pPr>
        <w:spacing w:line="400" w:lineRule="exact"/>
        <w:ind w:left="900" w:hanging="900" w:hangingChars="3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.4   质疑的提出</w:t>
      </w:r>
    </w:p>
    <w:p w14:paraId="1BFCC3F5">
      <w:pPr>
        <w:spacing w:line="400" w:lineRule="exact"/>
        <w:ind w:left="900" w:hanging="900" w:hangingChars="3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.5   本采购文件中所称质疑及答复，是指参加本次采购活动的供应商对政府采购活动中的采购文件、采购过程和成交结果向采购方提出质疑，采购方答复质疑的行为。</w:t>
      </w:r>
    </w:p>
    <w:p w14:paraId="515E7330">
      <w:pPr>
        <w:spacing w:line="400" w:lineRule="exact"/>
        <w:ind w:left="900" w:hanging="900" w:hangingChars="3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.6   供应商认为采购文件、采购过程和成交结果使自己的权益受到损害的，可以在知道或者应知其权益受到损害之日起7个工作日内，以书面形式向采购方提出质疑。供应商应知其权益受到损害之日，是指：</w:t>
      </w:r>
    </w:p>
    <w:p w14:paraId="79FAD4C8">
      <w:pPr>
        <w:spacing w:line="400" w:lineRule="exact"/>
        <w:ind w:left="898" w:leftChars="342" w:hanging="180" w:hangingChars="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（一）对可以质疑的采购文件提出质疑的，为收到采购文件之日或者采购文件公告期限届满之日；</w:t>
      </w:r>
    </w:p>
    <w:p w14:paraId="3E654B53">
      <w:pPr>
        <w:spacing w:line="400" w:lineRule="exact"/>
        <w:ind w:left="898" w:leftChars="342" w:hanging="180" w:hangingChars="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（二）对采购过程提出质疑的，为各采购程序环节结束之日；</w:t>
      </w:r>
    </w:p>
    <w:p w14:paraId="6A2CB12C">
      <w:pPr>
        <w:spacing w:line="400" w:lineRule="exact"/>
        <w:ind w:firstLine="720" w:firstLineChars="300"/>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（三）对成交结果提出质疑的，为成交结果公告期限届满之日。</w:t>
      </w:r>
    </w:p>
    <w:p w14:paraId="289AA987">
      <w:pPr>
        <w:spacing w:line="400" w:lineRule="exact"/>
        <w:ind w:left="900" w:hanging="900" w:hangingChars="3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.7   对可以质疑的采购文件提出质疑的，质疑人为参与本项目的报价方或潜在报价方。可质疑的文件为采购公告以及采购文件（包括属于其组成部分的澄清、修改、补充文件和评审标准、合同文本等）。</w:t>
      </w:r>
    </w:p>
    <w:p w14:paraId="03DA513E">
      <w:pPr>
        <w:spacing w:line="400" w:lineRule="exact"/>
        <w:ind w:left="900" w:hanging="900" w:hangingChars="3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.8   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1BF6EE94">
      <w:pPr>
        <w:spacing w:line="400" w:lineRule="exact"/>
        <w:ind w:left="900" w:hanging="900" w:hangingChars="3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.9   提出质疑应当符合下列条件：</w:t>
      </w:r>
    </w:p>
    <w:p w14:paraId="520711BC">
      <w:pPr>
        <w:spacing w:line="400" w:lineRule="exact"/>
        <w:ind w:left="898" w:leftChars="342" w:hanging="180" w:hangingChars="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（一）质疑主体应当符合有关规定；</w:t>
      </w:r>
    </w:p>
    <w:p w14:paraId="3E7DE05A">
      <w:pPr>
        <w:spacing w:line="400" w:lineRule="exact"/>
        <w:ind w:left="898" w:leftChars="342" w:hanging="180" w:hangingChars="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（二）在质疑法定期限内提出；</w:t>
      </w:r>
    </w:p>
    <w:p w14:paraId="5DB0A946">
      <w:pPr>
        <w:spacing w:line="400" w:lineRule="exact"/>
        <w:ind w:left="898" w:leftChars="342" w:hanging="180" w:hangingChars="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（三）属于可以提出质疑的政府采购事项受理范围和本项目采购人的管辖权范围；</w:t>
      </w:r>
    </w:p>
    <w:p w14:paraId="0064BAEA">
      <w:pPr>
        <w:spacing w:line="400" w:lineRule="exact"/>
        <w:ind w:left="898" w:leftChars="342" w:hanging="180" w:hangingChars="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（四）政府采购法律、法规、规章规定的其他条件。</w:t>
      </w:r>
    </w:p>
    <w:p w14:paraId="19B42DF0">
      <w:pPr>
        <w:spacing w:line="400" w:lineRule="exact"/>
        <w:ind w:left="900" w:hanging="900" w:hangingChars="3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68EA6838">
      <w:pPr>
        <w:spacing w:line="400" w:lineRule="exact"/>
        <w:ind w:left="900" w:hanging="900" w:hangingChars="3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  质疑人所提供的证明材料应当具有真实性、合法性以及与质疑事项的关联性和证明力，否则不能作为认定该质疑事项成立的依据。</w:t>
      </w:r>
    </w:p>
    <w:p w14:paraId="2D425DE2">
      <w:pPr>
        <w:spacing w:line="400" w:lineRule="exact"/>
        <w:ind w:left="900" w:hanging="900" w:hangingChars="3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.12  质疑人提出质疑时应当提交质疑函。质疑函包括下列内容：</w:t>
      </w:r>
    </w:p>
    <w:p w14:paraId="2F9690E1">
      <w:pPr>
        <w:spacing w:line="400" w:lineRule="exact"/>
        <w:ind w:left="898" w:leftChars="342" w:hanging="180" w:hangingChars="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（一）提出质疑的质疑人的名称、地址、邮编、联系人及联系电话等；</w:t>
      </w:r>
    </w:p>
    <w:p w14:paraId="5B130B49">
      <w:pPr>
        <w:spacing w:line="400" w:lineRule="exact"/>
        <w:ind w:left="898" w:leftChars="342" w:hanging="180" w:hangingChars="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（二）质疑项目的名称、编号；</w:t>
      </w:r>
    </w:p>
    <w:p w14:paraId="0D7E5384">
      <w:pPr>
        <w:spacing w:line="400" w:lineRule="exact"/>
        <w:ind w:left="898" w:leftChars="342" w:hanging="180" w:hangingChars="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（三）质疑事项；</w:t>
      </w:r>
    </w:p>
    <w:p w14:paraId="6D567F71">
      <w:pPr>
        <w:spacing w:line="400" w:lineRule="exact"/>
        <w:ind w:left="898" w:leftChars="342" w:hanging="180" w:hangingChars="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（四）事实依据和证明材料；</w:t>
      </w:r>
    </w:p>
    <w:p w14:paraId="7784C59D">
      <w:pPr>
        <w:spacing w:line="400" w:lineRule="exact"/>
        <w:ind w:left="898" w:leftChars="342" w:hanging="180" w:hangingChars="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（五）法律依据；</w:t>
      </w:r>
    </w:p>
    <w:p w14:paraId="63AFD491">
      <w:pPr>
        <w:spacing w:line="400" w:lineRule="exact"/>
        <w:ind w:left="898" w:leftChars="342" w:hanging="180" w:hangingChars="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（六）提出质疑的日期。</w:t>
      </w:r>
    </w:p>
    <w:p w14:paraId="092C0929">
      <w:pPr>
        <w:spacing w:line="400" w:lineRule="exact"/>
        <w:ind w:left="958" w:leftChars="456" w:firstLine="60" w:firstLineChars="2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质疑函采用实名制。质疑人为自然人的应当由本人签字，并附有效身份证明文件；质疑人为法人或者非法人组织的应当由法定代表人或者负责人签字并加盖公章，并附有效身份证明文件。</w:t>
      </w:r>
    </w:p>
    <w:p w14:paraId="20D77262">
      <w:pPr>
        <w:spacing w:line="400" w:lineRule="exact"/>
        <w:ind w:left="900" w:hanging="900" w:hangingChars="3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  质疑人可以委托代理人进行质疑。代理人应当提交授权委托书。授权委托书应当载明委托代理的具体权限、期限和相关事项。</w:t>
      </w:r>
    </w:p>
    <w:p w14:paraId="6BD94C72">
      <w:pPr>
        <w:spacing w:line="400" w:lineRule="exact"/>
        <w:ind w:left="900" w:hanging="900" w:hangingChars="3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  质疑的审查和受理</w:t>
      </w:r>
    </w:p>
    <w:p w14:paraId="64FEF77B">
      <w:pPr>
        <w:spacing w:line="400" w:lineRule="exact"/>
        <w:ind w:left="840" w:leftChars="400"/>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采购方在收到质疑函后应当及时审查是否符合质疑受理条件，对符合质疑受理条件的，及时予以受理。</w:t>
      </w:r>
    </w:p>
    <w:p w14:paraId="770C433C">
      <w:pPr>
        <w:spacing w:line="400" w:lineRule="exact"/>
        <w:ind w:left="900" w:hanging="900" w:hangingChars="3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  对不符合质疑受理条件的，分别按照下列不同情形予以处理：</w:t>
      </w:r>
    </w:p>
    <w:p w14:paraId="7BB07694">
      <w:pPr>
        <w:spacing w:line="400" w:lineRule="exact"/>
        <w:ind w:left="898" w:leftChars="342" w:hanging="180" w:hangingChars="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（一）质疑函内容不符合规定的，告知质疑人进行修改并重新提出质疑。修改后质疑事项仍不具体、不明确或者最终递交质疑函的时间超过质疑法定期限的，不予受理；</w:t>
      </w:r>
    </w:p>
    <w:p w14:paraId="7AE4C1F0">
      <w:pPr>
        <w:spacing w:line="400" w:lineRule="exact"/>
        <w:ind w:left="898" w:leftChars="342" w:hanging="180" w:hangingChars="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（二）质疑主体不符合有关规定的，告知质疑人不予受理；</w:t>
      </w:r>
    </w:p>
    <w:p w14:paraId="7FF09ACB">
      <w:pPr>
        <w:spacing w:line="400" w:lineRule="exact"/>
        <w:ind w:left="898" w:leftChars="342" w:hanging="180" w:hangingChars="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（三）超过质疑法定期限提出质疑的，告知质疑人不予受理；</w:t>
      </w:r>
    </w:p>
    <w:p w14:paraId="7A586015">
      <w:pPr>
        <w:spacing w:line="400" w:lineRule="exact"/>
        <w:ind w:left="898" w:leftChars="342" w:hanging="180" w:hangingChars="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（四）对不属于可以提出质疑的政府采购事项提出质疑的，告知质疑人不予受理；</w:t>
      </w:r>
    </w:p>
    <w:p w14:paraId="2B217DCF">
      <w:pPr>
        <w:spacing w:line="400" w:lineRule="exact"/>
        <w:ind w:left="898" w:leftChars="342" w:hanging="180" w:hangingChars="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（五）质疑不属于本项目采购方管辖的，告知质疑人向有管辖权的采购人提出质疑；</w:t>
      </w:r>
    </w:p>
    <w:p w14:paraId="20AE77CF">
      <w:pPr>
        <w:spacing w:line="400" w:lineRule="exact"/>
        <w:ind w:left="898" w:leftChars="342" w:hanging="180" w:hangingChars="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（六）质疑不符合其他条件的，告知质疑人不予受理。</w:t>
      </w:r>
    </w:p>
    <w:p w14:paraId="47C489FE">
      <w:pPr>
        <w:spacing w:line="400" w:lineRule="exact"/>
        <w:ind w:left="900" w:hanging="900" w:hangingChars="3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.16  质疑的处理和答复</w:t>
      </w:r>
    </w:p>
    <w:p w14:paraId="711421E9">
      <w:pPr>
        <w:spacing w:line="400" w:lineRule="exact"/>
        <w:ind w:left="900" w:hanging="900" w:hangingChars="3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.17  采购方受理质疑后，将及时把质疑函发送给被质疑人，并要求其在一定限期内提交书面答复，同时提供有关证据、依据和相关材料。</w:t>
      </w:r>
    </w:p>
    <w:p w14:paraId="40719A41">
      <w:pPr>
        <w:spacing w:line="400" w:lineRule="exact"/>
        <w:ind w:left="900" w:hanging="900" w:hangingChars="3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.18  对于质疑事项中涉及的问题较多、情况比较复杂的，为了全面查清事实、取得充分的证据，采购方认为有必要时，可以进行调查取证或者组织质证。</w:t>
      </w:r>
    </w:p>
    <w:p w14:paraId="4FF05CA8">
      <w:pPr>
        <w:spacing w:line="400" w:lineRule="exact"/>
        <w:ind w:left="900" w:hanging="900" w:hangingChars="3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.19  对评审过程、成交结果提出质疑的，采购方可以组织原磋商小组协助答复质疑。</w:t>
      </w:r>
    </w:p>
    <w:p w14:paraId="3EFBCABC">
      <w:pPr>
        <w:spacing w:line="400" w:lineRule="exact"/>
        <w:ind w:left="900" w:hanging="900" w:hangingChars="3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.20  质疑处理过程中，质疑人书面申请撤回质疑的，将终止质疑处理程序。</w:t>
      </w:r>
    </w:p>
    <w:p w14:paraId="229318C5">
      <w:pPr>
        <w:spacing w:line="400" w:lineRule="exact"/>
        <w:ind w:left="900" w:hanging="900" w:hangingChars="3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.21  质疑人拒绝配合采购方依法对质疑进行调查处理的，采购方将按质疑人自动撤回质疑处理；被质疑人拒绝配合采购方依法对质疑进行调查处理的，采购方将视同其认可质疑事项。</w:t>
      </w:r>
    </w:p>
    <w:p w14:paraId="12A22BB1">
      <w:pPr>
        <w:spacing w:line="400" w:lineRule="exact"/>
        <w:ind w:left="900" w:hanging="900" w:hangingChars="3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.22  质疑人拒绝配合采购方依法对质疑进行调查处理的，采购方将按质疑人自动撤回质疑处理；被质疑人拒绝配合采购方依法对质疑进行调查处理的，采购方将视同其认可质疑事项。</w:t>
      </w:r>
    </w:p>
    <w:p w14:paraId="6370F2C8">
      <w:pPr>
        <w:spacing w:line="400" w:lineRule="exact"/>
        <w:ind w:left="900" w:hanging="900" w:hangingChars="375"/>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.23  采购方将在正式受理质疑后7个工作日内作出答复。</w:t>
      </w:r>
    </w:p>
    <w:p w14:paraId="5BAB04FF">
      <w:pPr>
        <w:pStyle w:val="55"/>
        <w:spacing w:line="40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36</w:t>
      </w:r>
      <w:r>
        <w:rPr>
          <w:rFonts w:hint="eastAsia" w:asciiTheme="minorEastAsia" w:hAnsiTheme="minorEastAsia" w:eastAsiaTheme="minorEastAsia" w:cstheme="minorEastAsia"/>
          <w:color w:val="000000" w:themeColor="text1"/>
          <w:highlight w:val="none"/>
          <w14:textFill>
            <w14:solidFill>
              <w14:schemeClr w14:val="tx1"/>
            </w14:solidFill>
          </w14:textFill>
        </w:rPr>
        <w:t>.24  质疑答复应当包括下列内容：</w:t>
      </w:r>
    </w:p>
    <w:p w14:paraId="51C528DE">
      <w:pPr>
        <w:pStyle w:val="55"/>
        <w:spacing w:line="400" w:lineRule="exact"/>
        <w:ind w:left="840" w:leftChars="4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（一）质疑人的姓名或者名称；</w:t>
      </w:r>
    </w:p>
    <w:p w14:paraId="7AB4E230">
      <w:pPr>
        <w:pStyle w:val="55"/>
        <w:spacing w:line="400" w:lineRule="exact"/>
        <w:ind w:left="840" w:leftChars="4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（二）收到质疑函的日期、质疑项目名称及编号；</w:t>
      </w:r>
    </w:p>
    <w:p w14:paraId="0DADF42F">
      <w:pPr>
        <w:pStyle w:val="55"/>
        <w:spacing w:line="400" w:lineRule="exact"/>
        <w:ind w:left="840" w:leftChars="4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（三）质疑事项、质疑答复的具体内容、事实依据和法律依据；</w:t>
      </w:r>
    </w:p>
    <w:p w14:paraId="3724D295">
      <w:pPr>
        <w:pStyle w:val="55"/>
        <w:spacing w:line="400" w:lineRule="exact"/>
        <w:ind w:left="840" w:leftChars="4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（四）告知质疑供应商依法投诉的权利；</w:t>
      </w:r>
    </w:p>
    <w:p w14:paraId="5F7082EF">
      <w:pPr>
        <w:pStyle w:val="55"/>
        <w:spacing w:line="400" w:lineRule="exact"/>
        <w:ind w:left="840" w:leftChars="4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（五）质疑答复人名称；</w:t>
      </w:r>
    </w:p>
    <w:p w14:paraId="5F61DD90">
      <w:pPr>
        <w:pStyle w:val="55"/>
        <w:spacing w:line="400" w:lineRule="exact"/>
        <w:ind w:left="840" w:leftChars="4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（六）答复质疑的日期。</w:t>
      </w:r>
    </w:p>
    <w:p w14:paraId="41BEB7BA">
      <w:pPr>
        <w:spacing w:line="400" w:lineRule="exact"/>
        <w:jc w:val="cente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p>
    <w:p w14:paraId="63B3944F">
      <w:pPr>
        <w:spacing w:line="400" w:lineRule="exact"/>
        <w:outlineLvl w:val="2"/>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bookmarkStart w:id="393" w:name="_Toc1108"/>
      <w:bookmarkStart w:id="394" w:name="_Toc2677"/>
      <w:bookmarkStart w:id="395" w:name="_Toc15587"/>
      <w:bookmarkStart w:id="396" w:name="_Toc16497"/>
      <w:bookmarkStart w:id="397" w:name="_Toc6556"/>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质疑函范本</w:t>
      </w:r>
      <w:bookmarkEnd w:id="393"/>
      <w:bookmarkEnd w:id="394"/>
      <w:bookmarkEnd w:id="395"/>
      <w:bookmarkEnd w:id="396"/>
      <w:bookmarkEnd w:id="397"/>
    </w:p>
    <w:p w14:paraId="35414241">
      <w:pPr>
        <w:adjustRightInd w:val="0"/>
        <w:snapToGrid w:val="0"/>
        <w:spacing w:before="312" w:beforeLines="100" w:line="400" w:lineRule="exact"/>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一、质疑供应商基本信息</w:t>
      </w:r>
    </w:p>
    <w:p w14:paraId="5E4F2A7A">
      <w:pPr>
        <w:adjustRightInd w:val="0"/>
        <w:snapToGrid w:val="0"/>
        <w:spacing w:line="400" w:lineRule="exact"/>
        <w:rPr>
          <w:rFonts w:hint="eastAsia" w:asciiTheme="minorEastAsia" w:hAnsiTheme="minorEastAsia" w:eastAsiaTheme="minorEastAsia" w:cstheme="minorEastAsia"/>
          <w:color w:val="000000" w:themeColor="text1"/>
          <w:sz w:val="24"/>
          <w:highlight w:val="none"/>
          <w:u w:val="dotted"/>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质疑供应商：</w:t>
      </w:r>
    </w:p>
    <w:p w14:paraId="371E22B3">
      <w:pPr>
        <w:adjustRightInd w:val="0"/>
        <w:snapToGrid w:val="0"/>
        <w:spacing w:line="400" w:lineRule="exac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地址：邮编：</w:t>
      </w:r>
    </w:p>
    <w:p w14:paraId="1FBD83E9">
      <w:pPr>
        <w:adjustRightInd w:val="0"/>
        <w:snapToGrid w:val="0"/>
        <w:spacing w:line="400" w:lineRule="exac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联系人：联系电话：</w:t>
      </w:r>
    </w:p>
    <w:p w14:paraId="4920785E">
      <w:pPr>
        <w:adjustRightInd w:val="0"/>
        <w:snapToGrid w:val="0"/>
        <w:spacing w:line="400" w:lineRule="exact"/>
        <w:rPr>
          <w:rFonts w:hint="eastAsia" w:asciiTheme="minorEastAsia" w:hAnsiTheme="minorEastAsia" w:eastAsiaTheme="minorEastAsia" w:cstheme="minorEastAsia"/>
          <w:color w:val="000000" w:themeColor="text1"/>
          <w:sz w:val="24"/>
          <w:highlight w:val="none"/>
          <w:u w:val="dotted"/>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授权代表：</w:t>
      </w:r>
    </w:p>
    <w:p w14:paraId="1985D479">
      <w:pPr>
        <w:adjustRightInd w:val="0"/>
        <w:snapToGrid w:val="0"/>
        <w:spacing w:line="400" w:lineRule="exac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联系电话：</w:t>
      </w:r>
    </w:p>
    <w:p w14:paraId="0A8C2DAC">
      <w:pPr>
        <w:adjustRightInd w:val="0"/>
        <w:snapToGrid w:val="0"/>
        <w:spacing w:line="400" w:lineRule="exac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地址： 邮编：</w:t>
      </w:r>
    </w:p>
    <w:p w14:paraId="6DC3501A">
      <w:pPr>
        <w:adjustRightInd w:val="0"/>
        <w:snapToGrid w:val="0"/>
        <w:spacing w:before="312" w:beforeLines="100" w:line="400" w:lineRule="exact"/>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二、质疑项目基本情况</w:t>
      </w:r>
    </w:p>
    <w:p w14:paraId="52B003FF">
      <w:pPr>
        <w:adjustRightInd w:val="0"/>
        <w:snapToGrid w:val="0"/>
        <w:spacing w:line="400" w:lineRule="exac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质疑项目的名称：</w:t>
      </w:r>
    </w:p>
    <w:p w14:paraId="1B6F87B5">
      <w:pPr>
        <w:adjustRightInd w:val="0"/>
        <w:snapToGrid w:val="0"/>
        <w:spacing w:line="400" w:lineRule="exac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质疑项目的编号：包号</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（如有）</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22F3EFC2">
      <w:pPr>
        <w:adjustRightInd w:val="0"/>
        <w:snapToGrid w:val="0"/>
        <w:spacing w:line="400" w:lineRule="exact"/>
        <w:rPr>
          <w:rFonts w:hint="eastAsia" w:asciiTheme="minorEastAsia" w:hAnsiTheme="minorEastAsia" w:eastAsiaTheme="minorEastAsia" w:cstheme="minorEastAsia"/>
          <w:color w:val="000000" w:themeColor="text1"/>
          <w:sz w:val="24"/>
          <w:highlight w:val="none"/>
          <w:u w:val="dotted"/>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采购人名称：</w:t>
      </w:r>
    </w:p>
    <w:p w14:paraId="0847DA6D">
      <w:pPr>
        <w:adjustRightInd w:val="0"/>
        <w:snapToGrid w:val="0"/>
        <w:spacing w:line="400" w:lineRule="exac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采购文件获取日期：</w:t>
      </w:r>
    </w:p>
    <w:p w14:paraId="666236B7">
      <w:pPr>
        <w:adjustRightInd w:val="0"/>
        <w:snapToGrid w:val="0"/>
        <w:spacing w:before="312" w:beforeLines="100" w:line="400" w:lineRule="exact"/>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三、质疑事项具体内容</w:t>
      </w:r>
    </w:p>
    <w:p w14:paraId="66B660AC">
      <w:pPr>
        <w:adjustRightInd w:val="0"/>
        <w:snapToGrid w:val="0"/>
        <w:spacing w:line="400" w:lineRule="exact"/>
        <w:rPr>
          <w:rFonts w:hint="eastAsia" w:asciiTheme="minorEastAsia" w:hAnsiTheme="minorEastAsia" w:eastAsiaTheme="minorEastAsia" w:cstheme="minorEastAsia"/>
          <w:color w:val="000000" w:themeColor="text1"/>
          <w:sz w:val="24"/>
          <w:highlight w:val="none"/>
          <w:u w:val="dotted"/>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质疑事项1：</w:t>
      </w:r>
    </w:p>
    <w:p w14:paraId="6A3D02DB">
      <w:pPr>
        <w:adjustRightInd w:val="0"/>
        <w:snapToGrid w:val="0"/>
        <w:spacing w:line="400" w:lineRule="exact"/>
        <w:rPr>
          <w:rFonts w:hint="eastAsia" w:asciiTheme="minorEastAsia" w:hAnsiTheme="minorEastAsia" w:eastAsiaTheme="minorEastAsia" w:cstheme="minorEastAsia"/>
          <w:color w:val="000000" w:themeColor="text1"/>
          <w:sz w:val="24"/>
          <w:highlight w:val="none"/>
          <w:u w:val="dotted"/>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事实依据：</w:t>
      </w:r>
    </w:p>
    <w:p w14:paraId="56A3B468">
      <w:pPr>
        <w:adjustRightInd w:val="0"/>
        <w:snapToGrid w:val="0"/>
        <w:spacing w:line="400" w:lineRule="exac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1B0B52D2">
      <w:pPr>
        <w:adjustRightInd w:val="0"/>
        <w:snapToGrid w:val="0"/>
        <w:spacing w:line="400" w:lineRule="exact"/>
        <w:rPr>
          <w:rFonts w:hint="eastAsia" w:asciiTheme="minorEastAsia" w:hAnsiTheme="minorEastAsia" w:eastAsiaTheme="minorEastAsia" w:cstheme="minorEastAsia"/>
          <w:color w:val="000000" w:themeColor="text1"/>
          <w:sz w:val="24"/>
          <w:highlight w:val="none"/>
          <w:u w:val="dotted"/>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法律依据：</w:t>
      </w:r>
    </w:p>
    <w:p w14:paraId="0B0A3577">
      <w:pPr>
        <w:adjustRightInd w:val="0"/>
        <w:snapToGrid w:val="0"/>
        <w:spacing w:line="400" w:lineRule="exact"/>
        <w:rPr>
          <w:rFonts w:hint="eastAsia" w:asciiTheme="minorEastAsia" w:hAnsiTheme="minorEastAsia" w:eastAsiaTheme="minorEastAsia" w:cstheme="minorEastAsia"/>
          <w:color w:val="000000" w:themeColor="text1"/>
          <w:sz w:val="24"/>
          <w:highlight w:val="none"/>
          <w:u w:val="dotted"/>
          <w14:textFill>
            <w14:solidFill>
              <w14:schemeClr w14:val="tx1"/>
            </w14:solidFill>
          </w14:textFill>
        </w:rPr>
      </w:pPr>
    </w:p>
    <w:p w14:paraId="4CA4AFFB">
      <w:pPr>
        <w:adjustRightInd w:val="0"/>
        <w:snapToGrid w:val="0"/>
        <w:spacing w:line="400" w:lineRule="exact"/>
        <w:rPr>
          <w:rFonts w:hint="eastAsia" w:asciiTheme="minorEastAsia" w:hAnsiTheme="minorEastAsia" w:eastAsiaTheme="minorEastAsia" w:cstheme="minorEastAsia"/>
          <w:color w:val="000000" w:themeColor="text1"/>
          <w:sz w:val="24"/>
          <w:highlight w:val="none"/>
          <w:u w:val="dotted"/>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质疑事项2</w:t>
      </w:r>
    </w:p>
    <w:p w14:paraId="0248CBA1">
      <w:pPr>
        <w:adjustRightInd w:val="0"/>
        <w:snapToGrid w:val="0"/>
        <w:spacing w:line="400" w:lineRule="exac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2B4664E1">
      <w:pPr>
        <w:adjustRightInd w:val="0"/>
        <w:snapToGrid w:val="0"/>
        <w:spacing w:before="312" w:beforeLines="100" w:line="400" w:lineRule="exact"/>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四、与质疑事项相关的质疑请求</w:t>
      </w:r>
    </w:p>
    <w:p w14:paraId="2EA92225">
      <w:pPr>
        <w:adjustRightInd w:val="0"/>
        <w:snapToGrid w:val="0"/>
        <w:spacing w:line="400" w:lineRule="exact"/>
        <w:rPr>
          <w:rFonts w:hint="eastAsia" w:asciiTheme="minorEastAsia" w:hAnsiTheme="minorEastAsia" w:eastAsiaTheme="minorEastAsia" w:cstheme="minorEastAsia"/>
          <w:color w:val="000000" w:themeColor="text1"/>
          <w:sz w:val="24"/>
          <w:highlight w:val="none"/>
          <w:u w:val="dotted"/>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请求：</w:t>
      </w:r>
    </w:p>
    <w:p w14:paraId="18A07509">
      <w:pPr>
        <w:spacing w:line="400" w:lineRule="exac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签字(签章)：                   公章：                      </w:t>
      </w:r>
    </w:p>
    <w:p w14:paraId="1DF1E025">
      <w:pPr>
        <w:spacing w:line="400" w:lineRule="exac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日期：    </w:t>
      </w:r>
    </w:p>
    <w:p w14:paraId="5A1CC663">
      <w:pPr>
        <w:spacing w:line="400" w:lineRule="exact"/>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14:paraId="7BD6C11F">
      <w:pPr>
        <w:spacing w:line="400" w:lineRule="exact"/>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14:paraId="07AC9DB8">
      <w:pPr>
        <w:spacing w:line="400" w:lineRule="exact"/>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14:paraId="3FE8B65A">
      <w:pPr>
        <w:spacing w:line="400" w:lineRule="exact"/>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14:paraId="56B631EC">
      <w:pPr>
        <w:spacing w:line="400" w:lineRule="exact"/>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14:paraId="65187CE0">
      <w:pPr>
        <w:spacing w:line="400" w:lineRule="exact"/>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14:paraId="48138854">
      <w:pPr>
        <w:spacing w:line="400" w:lineRule="exact"/>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14:paraId="624B3540">
      <w:pPr>
        <w:spacing w:line="400" w:lineRule="exact"/>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质疑函制作说明：</w:t>
      </w:r>
    </w:p>
    <w:p w14:paraId="3ABAB362">
      <w:pPr>
        <w:widowControl/>
        <w:spacing w:line="400" w:lineRule="exact"/>
        <w:ind w:firstLine="480" w:firstLineChars="200"/>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1.供应商提出质疑时，应提交质疑函和必要的证明材料。</w:t>
      </w:r>
    </w:p>
    <w:p w14:paraId="7CDAA3D6">
      <w:pPr>
        <w:widowControl/>
        <w:spacing w:line="400" w:lineRule="exact"/>
        <w:ind w:firstLine="480" w:firstLineChars="200"/>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14:paraId="73E0FB6A">
      <w:pPr>
        <w:widowControl/>
        <w:spacing w:line="400" w:lineRule="exact"/>
        <w:ind w:firstLine="480" w:firstLineChars="200"/>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3.质疑供应商若对项目的某一分包进行质疑，质疑函中应列明具体分包号。</w:t>
      </w:r>
    </w:p>
    <w:p w14:paraId="3CEBC66D">
      <w:pPr>
        <w:widowControl/>
        <w:spacing w:line="400" w:lineRule="exact"/>
        <w:ind w:firstLine="480" w:firstLineChars="200"/>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4.质疑函的质疑事项应具体、明确，并有必要的事实依据和法律依据。</w:t>
      </w:r>
    </w:p>
    <w:p w14:paraId="573A5D98">
      <w:pPr>
        <w:widowControl/>
        <w:spacing w:line="400" w:lineRule="exact"/>
        <w:ind w:firstLine="480" w:firstLineChars="200"/>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5.质疑函的质疑请求应与质疑事项相关。</w:t>
      </w:r>
    </w:p>
    <w:p w14:paraId="190F413A">
      <w:pPr>
        <w:pStyle w:val="7"/>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6DB0464F">
      <w:pPr>
        <w:pStyle w:val="9"/>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ECD94B9">
      <w:pPr>
        <w:bidi w:val="0"/>
        <w:rPr>
          <w:rFonts w:hint="eastAsia"/>
          <w:color w:val="000000" w:themeColor="text1"/>
          <w:highlight w:val="none"/>
          <w14:textFill>
            <w14:solidFill>
              <w14:schemeClr w14:val="tx1"/>
            </w14:solidFill>
          </w14:textFill>
        </w:rPr>
      </w:pPr>
      <w:bookmarkStart w:id="398" w:name="_Toc728"/>
      <w:bookmarkStart w:id="399" w:name="_Toc216582812"/>
      <w:bookmarkStart w:id="400" w:name="_Toc15232"/>
      <w:bookmarkStart w:id="401" w:name="_Toc515647802"/>
      <w:bookmarkStart w:id="402" w:name="_Toc702"/>
    </w:p>
    <w:p w14:paraId="16F8B212">
      <w:pPr>
        <w:bidi w:val="0"/>
        <w:rPr>
          <w:rFonts w:hint="eastAsia"/>
          <w:color w:val="000000" w:themeColor="text1"/>
          <w:highlight w:val="none"/>
          <w14:textFill>
            <w14:solidFill>
              <w14:schemeClr w14:val="tx1"/>
            </w14:solidFill>
          </w14:textFill>
        </w:rPr>
      </w:pPr>
    </w:p>
    <w:p w14:paraId="31EA1EC8">
      <w:pPr>
        <w:bidi w:val="0"/>
        <w:rPr>
          <w:rFonts w:hint="eastAsia"/>
          <w:color w:val="000000" w:themeColor="text1"/>
          <w:highlight w:val="none"/>
          <w14:textFill>
            <w14:solidFill>
              <w14:schemeClr w14:val="tx1"/>
            </w14:solidFill>
          </w14:textFill>
        </w:rPr>
      </w:pPr>
    </w:p>
    <w:p w14:paraId="2151AB52">
      <w:pPr>
        <w:bidi w:val="0"/>
        <w:rPr>
          <w:rFonts w:hint="eastAsia"/>
          <w:color w:val="000000" w:themeColor="text1"/>
          <w:highlight w:val="none"/>
          <w14:textFill>
            <w14:solidFill>
              <w14:schemeClr w14:val="tx1"/>
            </w14:solidFill>
          </w14:textFill>
        </w:rPr>
      </w:pPr>
    </w:p>
    <w:p w14:paraId="208B68DA">
      <w:pPr>
        <w:bidi w:val="0"/>
        <w:rPr>
          <w:rFonts w:hint="eastAsia"/>
          <w:color w:val="000000" w:themeColor="text1"/>
          <w:highlight w:val="none"/>
          <w14:textFill>
            <w14:solidFill>
              <w14:schemeClr w14:val="tx1"/>
            </w14:solidFill>
          </w14:textFill>
        </w:rPr>
      </w:pPr>
    </w:p>
    <w:p w14:paraId="680ABF41">
      <w:pPr>
        <w:bidi w:val="0"/>
        <w:rPr>
          <w:rFonts w:hint="eastAsia"/>
          <w:color w:val="000000" w:themeColor="text1"/>
          <w:highlight w:val="none"/>
          <w14:textFill>
            <w14:solidFill>
              <w14:schemeClr w14:val="tx1"/>
            </w14:solidFill>
          </w14:textFill>
        </w:rPr>
      </w:pPr>
    </w:p>
    <w:p w14:paraId="65FFDBFD">
      <w:pPr>
        <w:bidi w:val="0"/>
        <w:rPr>
          <w:rFonts w:hint="eastAsia"/>
          <w:color w:val="000000" w:themeColor="text1"/>
          <w:highlight w:val="none"/>
          <w14:textFill>
            <w14:solidFill>
              <w14:schemeClr w14:val="tx1"/>
            </w14:solidFill>
          </w14:textFill>
        </w:rPr>
      </w:pPr>
    </w:p>
    <w:p w14:paraId="1A385F61">
      <w:pPr>
        <w:bidi w:val="0"/>
        <w:rPr>
          <w:rFonts w:hint="eastAsia"/>
          <w:color w:val="000000" w:themeColor="text1"/>
          <w:highlight w:val="none"/>
          <w14:textFill>
            <w14:solidFill>
              <w14:schemeClr w14:val="tx1"/>
            </w14:solidFill>
          </w14:textFill>
        </w:rPr>
      </w:pPr>
    </w:p>
    <w:p w14:paraId="2014543A">
      <w:pPr>
        <w:bidi w:val="0"/>
        <w:rPr>
          <w:rFonts w:hint="eastAsia"/>
          <w:color w:val="000000" w:themeColor="text1"/>
          <w:highlight w:val="none"/>
          <w14:textFill>
            <w14:solidFill>
              <w14:schemeClr w14:val="tx1"/>
            </w14:solidFill>
          </w14:textFill>
        </w:rPr>
      </w:pPr>
    </w:p>
    <w:p w14:paraId="5E4D5D59">
      <w:pPr>
        <w:bidi w:val="0"/>
        <w:rPr>
          <w:rFonts w:hint="eastAsia"/>
          <w:color w:val="000000" w:themeColor="text1"/>
          <w:highlight w:val="none"/>
          <w14:textFill>
            <w14:solidFill>
              <w14:schemeClr w14:val="tx1"/>
            </w14:solidFill>
          </w14:textFill>
        </w:rPr>
      </w:pPr>
    </w:p>
    <w:p w14:paraId="6E744B3A">
      <w:pPr>
        <w:bidi w:val="0"/>
        <w:rPr>
          <w:rFonts w:hint="eastAsia"/>
          <w:color w:val="000000" w:themeColor="text1"/>
          <w:highlight w:val="none"/>
          <w14:textFill>
            <w14:solidFill>
              <w14:schemeClr w14:val="tx1"/>
            </w14:solidFill>
          </w14:textFill>
        </w:rPr>
      </w:pPr>
    </w:p>
    <w:p w14:paraId="7A34384B">
      <w:pPr>
        <w:bidi w:val="0"/>
        <w:rPr>
          <w:rFonts w:hint="eastAsia"/>
          <w:color w:val="000000" w:themeColor="text1"/>
          <w:highlight w:val="none"/>
          <w14:textFill>
            <w14:solidFill>
              <w14:schemeClr w14:val="tx1"/>
            </w14:solidFill>
          </w14:textFill>
        </w:rPr>
      </w:pPr>
    </w:p>
    <w:p w14:paraId="436BA899">
      <w:pPr>
        <w:bidi w:val="0"/>
        <w:rPr>
          <w:rFonts w:hint="eastAsia"/>
          <w:color w:val="000000" w:themeColor="text1"/>
          <w:highlight w:val="none"/>
          <w14:textFill>
            <w14:solidFill>
              <w14:schemeClr w14:val="tx1"/>
            </w14:solidFill>
          </w14:textFill>
        </w:rPr>
      </w:pPr>
    </w:p>
    <w:p w14:paraId="79E2922D">
      <w:pPr>
        <w:bidi w:val="0"/>
        <w:rPr>
          <w:rFonts w:hint="eastAsia"/>
          <w:color w:val="000000" w:themeColor="text1"/>
          <w:highlight w:val="none"/>
          <w14:textFill>
            <w14:solidFill>
              <w14:schemeClr w14:val="tx1"/>
            </w14:solidFill>
          </w14:textFill>
        </w:rPr>
      </w:pPr>
    </w:p>
    <w:p w14:paraId="23427BB7">
      <w:pPr>
        <w:bidi w:val="0"/>
        <w:rPr>
          <w:rFonts w:hint="eastAsia"/>
          <w:color w:val="000000" w:themeColor="text1"/>
          <w:highlight w:val="none"/>
          <w14:textFill>
            <w14:solidFill>
              <w14:schemeClr w14:val="tx1"/>
            </w14:solidFill>
          </w14:textFill>
        </w:rPr>
      </w:pPr>
    </w:p>
    <w:p w14:paraId="5949F3D0">
      <w:pPr>
        <w:bidi w:val="0"/>
        <w:rPr>
          <w:rFonts w:hint="eastAsia"/>
          <w:color w:val="000000" w:themeColor="text1"/>
          <w:highlight w:val="none"/>
          <w14:textFill>
            <w14:solidFill>
              <w14:schemeClr w14:val="tx1"/>
            </w14:solidFill>
          </w14:textFill>
        </w:rPr>
      </w:pPr>
    </w:p>
    <w:p w14:paraId="37CF4231">
      <w:pPr>
        <w:bidi w:val="0"/>
        <w:rPr>
          <w:rFonts w:hint="eastAsia"/>
          <w:color w:val="000000" w:themeColor="text1"/>
          <w:highlight w:val="none"/>
          <w14:textFill>
            <w14:solidFill>
              <w14:schemeClr w14:val="tx1"/>
            </w14:solidFill>
          </w14:textFill>
        </w:rPr>
      </w:pPr>
    </w:p>
    <w:p w14:paraId="5DEF973E">
      <w:pPr>
        <w:bidi w:val="0"/>
        <w:rPr>
          <w:rFonts w:hint="eastAsia"/>
          <w:color w:val="000000" w:themeColor="text1"/>
          <w:highlight w:val="none"/>
          <w14:textFill>
            <w14:solidFill>
              <w14:schemeClr w14:val="tx1"/>
            </w14:solidFill>
          </w14:textFill>
        </w:rPr>
      </w:pPr>
    </w:p>
    <w:p w14:paraId="0B4868EF">
      <w:pPr>
        <w:bidi w:val="0"/>
        <w:rPr>
          <w:rFonts w:hint="eastAsia"/>
          <w:color w:val="000000" w:themeColor="text1"/>
          <w:highlight w:val="none"/>
          <w14:textFill>
            <w14:solidFill>
              <w14:schemeClr w14:val="tx1"/>
            </w14:solidFill>
          </w14:textFill>
        </w:rPr>
      </w:pPr>
    </w:p>
    <w:p w14:paraId="18C87700">
      <w:pPr>
        <w:bidi w:val="0"/>
        <w:rPr>
          <w:rFonts w:hint="eastAsia"/>
          <w:color w:val="000000" w:themeColor="text1"/>
          <w:highlight w:val="none"/>
          <w14:textFill>
            <w14:solidFill>
              <w14:schemeClr w14:val="tx1"/>
            </w14:solidFill>
          </w14:textFill>
        </w:rPr>
      </w:pPr>
    </w:p>
    <w:p w14:paraId="06A33261">
      <w:pPr>
        <w:bidi w:val="0"/>
        <w:rPr>
          <w:rFonts w:hint="eastAsia"/>
          <w:color w:val="000000" w:themeColor="text1"/>
          <w:highlight w:val="none"/>
          <w14:textFill>
            <w14:solidFill>
              <w14:schemeClr w14:val="tx1"/>
            </w14:solidFill>
          </w14:textFill>
        </w:rPr>
      </w:pPr>
    </w:p>
    <w:p w14:paraId="0B819564">
      <w:pPr>
        <w:bidi w:val="0"/>
        <w:rPr>
          <w:rFonts w:hint="eastAsia"/>
          <w:color w:val="000000" w:themeColor="text1"/>
          <w:highlight w:val="none"/>
          <w14:textFill>
            <w14:solidFill>
              <w14:schemeClr w14:val="tx1"/>
            </w14:solidFill>
          </w14:textFill>
        </w:rPr>
      </w:pPr>
    </w:p>
    <w:p w14:paraId="4EBC2BAA">
      <w:pPr>
        <w:bidi w:val="0"/>
        <w:rPr>
          <w:rFonts w:hint="eastAsia"/>
          <w:color w:val="000000" w:themeColor="text1"/>
          <w:highlight w:val="none"/>
          <w14:textFill>
            <w14:solidFill>
              <w14:schemeClr w14:val="tx1"/>
            </w14:solidFill>
          </w14:textFill>
        </w:rPr>
      </w:pPr>
    </w:p>
    <w:p w14:paraId="7A532E17">
      <w:pPr>
        <w:bidi w:val="0"/>
        <w:rPr>
          <w:rFonts w:hint="eastAsia"/>
          <w:color w:val="000000" w:themeColor="text1"/>
          <w:highlight w:val="none"/>
          <w14:textFill>
            <w14:solidFill>
              <w14:schemeClr w14:val="tx1"/>
            </w14:solidFill>
          </w14:textFill>
        </w:rPr>
      </w:pPr>
    </w:p>
    <w:p w14:paraId="41139736">
      <w:pPr>
        <w:bidi w:val="0"/>
        <w:rPr>
          <w:rFonts w:hint="eastAsia"/>
          <w:color w:val="000000" w:themeColor="text1"/>
          <w:highlight w:val="none"/>
          <w14:textFill>
            <w14:solidFill>
              <w14:schemeClr w14:val="tx1"/>
            </w14:solidFill>
          </w14:textFill>
        </w:rPr>
      </w:pPr>
    </w:p>
    <w:p w14:paraId="7AFE5221">
      <w:pPr>
        <w:bidi w:val="0"/>
        <w:rPr>
          <w:rFonts w:hint="eastAsia"/>
          <w:color w:val="000000" w:themeColor="text1"/>
          <w:highlight w:val="none"/>
          <w14:textFill>
            <w14:solidFill>
              <w14:schemeClr w14:val="tx1"/>
            </w14:solidFill>
          </w14:textFill>
        </w:rPr>
      </w:pPr>
    </w:p>
    <w:p w14:paraId="7F0F45EF">
      <w:pPr>
        <w:bidi w:val="0"/>
        <w:rPr>
          <w:rFonts w:hint="eastAsia"/>
          <w:color w:val="000000" w:themeColor="text1"/>
          <w:highlight w:val="none"/>
          <w14:textFill>
            <w14:solidFill>
              <w14:schemeClr w14:val="tx1"/>
            </w14:solidFill>
          </w14:textFill>
        </w:rPr>
      </w:pPr>
    </w:p>
    <w:p w14:paraId="43AF4AF3">
      <w:pPr>
        <w:bidi w:val="0"/>
        <w:rPr>
          <w:rFonts w:hint="eastAsia"/>
          <w:color w:val="000000" w:themeColor="text1"/>
          <w:highlight w:val="none"/>
          <w14:textFill>
            <w14:solidFill>
              <w14:schemeClr w14:val="tx1"/>
            </w14:solidFill>
          </w14:textFill>
        </w:rPr>
      </w:pPr>
    </w:p>
    <w:p w14:paraId="3A906112">
      <w:pPr>
        <w:bidi w:val="0"/>
        <w:rPr>
          <w:rFonts w:hint="eastAsia"/>
          <w:color w:val="000000" w:themeColor="text1"/>
          <w:highlight w:val="none"/>
          <w14:textFill>
            <w14:solidFill>
              <w14:schemeClr w14:val="tx1"/>
            </w14:solidFill>
          </w14:textFill>
        </w:rPr>
      </w:pPr>
    </w:p>
    <w:p w14:paraId="646F4EB9">
      <w:pPr>
        <w:bidi w:val="0"/>
        <w:rPr>
          <w:rFonts w:hint="eastAsia"/>
          <w:color w:val="000000" w:themeColor="text1"/>
          <w:highlight w:val="none"/>
          <w14:textFill>
            <w14:solidFill>
              <w14:schemeClr w14:val="tx1"/>
            </w14:solidFill>
          </w14:textFill>
        </w:rPr>
      </w:pPr>
    </w:p>
    <w:p w14:paraId="6F8D2622">
      <w:pPr>
        <w:bidi w:val="0"/>
        <w:rPr>
          <w:rFonts w:hint="eastAsia"/>
          <w:color w:val="000000" w:themeColor="text1"/>
          <w:highlight w:val="none"/>
          <w14:textFill>
            <w14:solidFill>
              <w14:schemeClr w14:val="tx1"/>
            </w14:solidFill>
          </w14:textFill>
        </w:rPr>
      </w:pPr>
    </w:p>
    <w:p w14:paraId="16E7C6DD">
      <w:pPr>
        <w:bidi w:val="0"/>
        <w:rPr>
          <w:rFonts w:hint="eastAsia"/>
          <w:color w:val="000000" w:themeColor="text1"/>
          <w:highlight w:val="none"/>
          <w14:textFill>
            <w14:solidFill>
              <w14:schemeClr w14:val="tx1"/>
            </w14:solidFill>
          </w14:textFill>
        </w:rPr>
      </w:pPr>
    </w:p>
    <w:p w14:paraId="655CEEB6">
      <w:pPr>
        <w:bidi w:val="0"/>
        <w:rPr>
          <w:rFonts w:hint="eastAsia"/>
          <w:color w:val="000000" w:themeColor="text1"/>
          <w:highlight w:val="none"/>
          <w14:textFill>
            <w14:solidFill>
              <w14:schemeClr w14:val="tx1"/>
            </w14:solidFill>
          </w14:textFill>
        </w:rPr>
      </w:pPr>
    </w:p>
    <w:p w14:paraId="69F8587E">
      <w:pPr>
        <w:bidi w:val="0"/>
        <w:rPr>
          <w:rFonts w:hint="eastAsia"/>
          <w:color w:val="000000" w:themeColor="text1"/>
          <w:highlight w:val="none"/>
          <w14:textFill>
            <w14:solidFill>
              <w14:schemeClr w14:val="tx1"/>
            </w14:solidFill>
          </w14:textFill>
        </w:rPr>
      </w:pPr>
    </w:p>
    <w:p w14:paraId="1173706D">
      <w:pPr>
        <w:bidi w:val="0"/>
        <w:rPr>
          <w:rFonts w:hint="eastAsia"/>
          <w:color w:val="000000" w:themeColor="text1"/>
          <w:highlight w:val="none"/>
          <w14:textFill>
            <w14:solidFill>
              <w14:schemeClr w14:val="tx1"/>
            </w14:solidFill>
          </w14:textFill>
        </w:rPr>
      </w:pPr>
    </w:p>
    <w:p w14:paraId="1BF1D3EE">
      <w:pPr>
        <w:bidi w:val="0"/>
        <w:rPr>
          <w:rFonts w:hint="eastAsia"/>
          <w:color w:val="000000" w:themeColor="text1"/>
          <w:highlight w:val="none"/>
          <w14:textFill>
            <w14:solidFill>
              <w14:schemeClr w14:val="tx1"/>
            </w14:solidFill>
          </w14:textFill>
        </w:rPr>
      </w:pPr>
    </w:p>
    <w:p w14:paraId="1F0510CA">
      <w:pPr>
        <w:bidi w:val="0"/>
        <w:rPr>
          <w:rFonts w:hint="eastAsia"/>
          <w:color w:val="000000" w:themeColor="text1"/>
          <w:highlight w:val="none"/>
          <w14:textFill>
            <w14:solidFill>
              <w14:schemeClr w14:val="tx1"/>
            </w14:solidFill>
          </w14:textFill>
        </w:rPr>
      </w:pPr>
    </w:p>
    <w:p w14:paraId="6D41EC62">
      <w:pPr>
        <w:bidi w:val="0"/>
        <w:rPr>
          <w:rFonts w:hint="eastAsia"/>
          <w:color w:val="000000" w:themeColor="text1"/>
          <w:highlight w:val="none"/>
          <w14:textFill>
            <w14:solidFill>
              <w14:schemeClr w14:val="tx1"/>
            </w14:solidFill>
          </w14:textFill>
        </w:rPr>
      </w:pPr>
    </w:p>
    <w:p w14:paraId="6D369B2C">
      <w:pPr>
        <w:bidi w:val="0"/>
        <w:rPr>
          <w:rFonts w:hint="eastAsia"/>
          <w:color w:val="000000" w:themeColor="text1"/>
          <w:highlight w:val="none"/>
          <w14:textFill>
            <w14:solidFill>
              <w14:schemeClr w14:val="tx1"/>
            </w14:solidFill>
          </w14:textFill>
        </w:rPr>
      </w:pPr>
    </w:p>
    <w:p w14:paraId="52B52D71">
      <w:pPr>
        <w:bidi w:val="0"/>
        <w:rPr>
          <w:rFonts w:hint="eastAsia"/>
          <w:color w:val="000000" w:themeColor="text1"/>
          <w:highlight w:val="none"/>
          <w14:textFill>
            <w14:solidFill>
              <w14:schemeClr w14:val="tx1"/>
            </w14:solidFill>
          </w14:textFill>
        </w:rPr>
      </w:pPr>
    </w:p>
    <w:p w14:paraId="1485B55D">
      <w:pPr>
        <w:bidi w:val="0"/>
        <w:rPr>
          <w:rFonts w:hint="eastAsia"/>
          <w:color w:val="000000" w:themeColor="text1"/>
          <w:highlight w:val="none"/>
          <w14:textFill>
            <w14:solidFill>
              <w14:schemeClr w14:val="tx1"/>
            </w14:solidFill>
          </w14:textFill>
        </w:rPr>
      </w:pPr>
    </w:p>
    <w:p w14:paraId="7BCD3836">
      <w:pPr>
        <w:bidi w:val="0"/>
        <w:rPr>
          <w:rFonts w:hint="eastAsia"/>
          <w:color w:val="000000" w:themeColor="text1"/>
          <w:highlight w:val="none"/>
          <w14:textFill>
            <w14:solidFill>
              <w14:schemeClr w14:val="tx1"/>
            </w14:solidFill>
          </w14:textFill>
        </w:rPr>
      </w:pPr>
    </w:p>
    <w:p w14:paraId="51B9940D">
      <w:pPr>
        <w:pStyle w:val="2"/>
        <w:numPr>
          <w:ilvl w:val="0"/>
          <w:numId w:val="0"/>
        </w:numPr>
        <w:snapToGrid w:val="0"/>
        <w:spacing w:before="0" w:after="0" w:line="240" w:lineRule="atLeas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响应文件格式</w:t>
      </w:r>
      <w:bookmarkEnd w:id="398"/>
      <w:bookmarkEnd w:id="399"/>
      <w:bookmarkEnd w:id="400"/>
      <w:bookmarkEnd w:id="401"/>
      <w:bookmarkEnd w:id="402"/>
    </w:p>
    <w:p w14:paraId="3F256995">
      <w:pPr>
        <w:bidi w:val="0"/>
        <w:rPr>
          <w:rFonts w:hint="eastAsia"/>
          <w:color w:val="000000" w:themeColor="text1"/>
          <w:highlight w:val="none"/>
          <w14:textFill>
            <w14:solidFill>
              <w14:schemeClr w14:val="tx1"/>
            </w14:solidFill>
          </w14:textFill>
        </w:rPr>
      </w:pPr>
      <w:bookmarkStart w:id="403" w:name="_Toc19411"/>
    </w:p>
    <w:p w14:paraId="12F0E75D">
      <w:pPr>
        <w:bidi w:val="0"/>
        <w:rPr>
          <w:rFonts w:hint="eastAsia"/>
          <w:color w:val="000000" w:themeColor="text1"/>
          <w:highlight w:val="none"/>
          <w14:textFill>
            <w14:solidFill>
              <w14:schemeClr w14:val="tx1"/>
            </w14:solidFill>
          </w14:textFill>
        </w:rPr>
      </w:pPr>
    </w:p>
    <w:p w14:paraId="0C7B7B44">
      <w:pPr>
        <w:pStyle w:val="3"/>
        <w:numPr>
          <w:ilvl w:val="0"/>
          <w:numId w:val="0"/>
        </w:numPr>
        <w:snapToGrid w:val="0"/>
        <w:spacing w:before="0" w:line="240" w:lineRule="atLeas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磋商开启一览表及资格证明文件</w:t>
      </w:r>
      <w:bookmarkEnd w:id="403"/>
    </w:p>
    <w:p w14:paraId="0BF5271D">
      <w:pPr>
        <w:keepNext w:val="0"/>
        <w:keepLines w:val="0"/>
        <w:pageBreakBefore w:val="0"/>
        <w:tabs>
          <w:tab w:val="left" w:pos="5580"/>
        </w:tabs>
        <w:kinsoku/>
        <w:wordWrap/>
        <w:overflowPunct/>
        <w:topLinePunct w:val="0"/>
        <w:bidi w:val="0"/>
        <w:snapToGrid w:val="0"/>
        <w:spacing w:line="500" w:lineRule="exact"/>
        <w:ind w:firstLine="480" w:firstLineChars="200"/>
        <w:jc w:val="lef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1.磋商报价一览表;</w:t>
      </w:r>
    </w:p>
    <w:p w14:paraId="6678B3A6">
      <w:pPr>
        <w:pStyle w:val="7"/>
        <w:keepNext w:val="0"/>
        <w:keepLines w:val="0"/>
        <w:pageBreakBefore w:val="0"/>
        <w:kinsoku/>
        <w:wordWrap/>
        <w:overflowPunct/>
        <w:topLinePunct w:val="0"/>
        <w:bidi w:val="0"/>
        <w:spacing w:line="500" w:lineRule="exact"/>
        <w:ind w:firstLine="480" w:firstLineChars="200"/>
        <w:textAlignment w:val="auto"/>
        <w:rPr>
          <w:rFonts w:hint="eastAsia" w:asciiTheme="minorEastAsia" w:hAnsiTheme="minorEastAsia" w:eastAsiaTheme="minorEastAsia" w:cstheme="minorEastAsia"/>
          <w:b w:val="0"/>
          <w:bCs/>
          <w:iCs/>
          <w:color w:val="000000" w:themeColor="text1"/>
          <w:kern w:val="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iCs/>
          <w:color w:val="000000" w:themeColor="text1"/>
          <w:kern w:val="2"/>
          <w:sz w:val="24"/>
          <w:szCs w:val="24"/>
          <w:highlight w:val="none"/>
          <w:lang w:val="en-US" w:eastAsia="zh-CN"/>
          <w14:textFill>
            <w14:solidFill>
              <w14:schemeClr w14:val="tx1"/>
            </w14:solidFill>
          </w14:textFill>
        </w:rPr>
        <w:t>2.满足《中华人民共和国政府采购法》第二十二条规定；</w:t>
      </w:r>
    </w:p>
    <w:p w14:paraId="6E286239">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rPr>
          <w:rFonts w:hint="default" w:asciiTheme="minorEastAsia" w:hAnsiTheme="minorEastAsia" w:eastAsiaTheme="minorEastAsia" w:cstheme="minorEastAsia"/>
          <w:b w:val="0"/>
          <w:bCs/>
          <w:i w:val="0"/>
          <w:iCs w:val="0"/>
          <w:caps w:val="0"/>
          <w:color w:val="000000" w:themeColor="text1"/>
          <w:spacing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i w:val="0"/>
          <w:iCs w:val="0"/>
          <w:caps w:val="0"/>
          <w:color w:val="000000" w:themeColor="text1"/>
          <w:spacing w:val="0"/>
          <w:sz w:val="24"/>
          <w:szCs w:val="24"/>
          <w:highlight w:val="none"/>
          <w:lang w:val="en-US" w:eastAsia="zh-CN"/>
          <w14:textFill>
            <w14:solidFill>
              <w14:schemeClr w14:val="tx1"/>
            </w14:solidFill>
          </w14:textFill>
        </w:rPr>
        <w:t>①具有有效的营业执照;</w:t>
      </w:r>
    </w:p>
    <w:p w14:paraId="76382A4A">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rPr>
          <w:rFonts w:hint="default" w:asciiTheme="minorEastAsia" w:hAnsiTheme="minorEastAsia" w:eastAsiaTheme="minorEastAsia" w:cstheme="minorEastAsia"/>
          <w:b w:val="0"/>
          <w:bCs/>
          <w:i w:val="0"/>
          <w:iCs w:val="0"/>
          <w:caps w:val="0"/>
          <w:color w:val="000000" w:themeColor="text1"/>
          <w:spacing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i w:val="0"/>
          <w:iCs w:val="0"/>
          <w:caps w:val="0"/>
          <w:color w:val="000000" w:themeColor="text1"/>
          <w:spacing w:val="0"/>
          <w:sz w:val="24"/>
          <w:szCs w:val="24"/>
          <w:highlight w:val="none"/>
          <w:lang w:val="en-US" w:eastAsia="zh-CN"/>
          <w14:textFill>
            <w14:solidFill>
              <w14:schemeClr w14:val="tx1"/>
            </w14:solidFill>
          </w14:textFill>
        </w:rPr>
        <w:t>②提供法定代表人资格证明及授权书、被授权人身份证；(法定代表人投标需提供法定代表人身份证);</w:t>
      </w:r>
    </w:p>
    <w:p w14:paraId="3A4574DE">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rPr>
          <w:rFonts w:hint="eastAsia" w:asciiTheme="minorEastAsia" w:hAnsiTheme="minorEastAsia" w:eastAsiaTheme="minorEastAsia" w:cstheme="minorEastAsia"/>
          <w:b w:val="0"/>
          <w:bCs/>
          <w:i w:val="0"/>
          <w:iCs w:val="0"/>
          <w:caps w:val="0"/>
          <w:color w:val="000000" w:themeColor="text1"/>
          <w:spacing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i w:val="0"/>
          <w:iCs w:val="0"/>
          <w:caps w:val="0"/>
          <w:color w:val="000000" w:themeColor="text1"/>
          <w:spacing w:val="0"/>
          <w:sz w:val="24"/>
          <w:szCs w:val="24"/>
          <w:highlight w:val="none"/>
          <w:lang w:val="en-US" w:eastAsia="zh-CN"/>
          <w14:textFill>
            <w14:solidFill>
              <w14:schemeClr w14:val="tx1"/>
            </w14:solidFill>
          </w14:textFill>
        </w:rPr>
        <w:t>③本单位依法缴纳的近三个月内任意一个月的社会保险的凭据；</w:t>
      </w:r>
    </w:p>
    <w:p w14:paraId="00F24794">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rPr>
          <w:rFonts w:hint="eastAsia" w:asciiTheme="minorEastAsia" w:hAnsiTheme="minorEastAsia" w:eastAsiaTheme="minorEastAsia" w:cstheme="minorEastAsia"/>
          <w:b w:val="0"/>
          <w:bCs/>
          <w:i w:val="0"/>
          <w:iCs w:val="0"/>
          <w:caps w:val="0"/>
          <w:color w:val="000000" w:themeColor="text1"/>
          <w:spacing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i w:val="0"/>
          <w:iCs w:val="0"/>
          <w:caps w:val="0"/>
          <w:color w:val="000000" w:themeColor="text1"/>
          <w:spacing w:val="0"/>
          <w:sz w:val="24"/>
          <w:szCs w:val="24"/>
          <w:highlight w:val="none"/>
          <w:lang w:val="en-US" w:eastAsia="zh-CN"/>
          <w14:textFill>
            <w14:solidFill>
              <w14:schemeClr w14:val="tx1"/>
            </w14:solidFill>
          </w14:textFill>
        </w:rPr>
        <w:t>④税务部门出具的近六个月任意一个月完税证明（依法免缴的应提供依法免缴的相关证明文件或零申报报表）；</w:t>
      </w:r>
    </w:p>
    <w:p w14:paraId="0350527A">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rPr>
          <w:rFonts w:hint="eastAsia" w:asciiTheme="minorEastAsia" w:hAnsiTheme="minorEastAsia" w:eastAsiaTheme="minorEastAsia" w:cstheme="minorEastAsia"/>
          <w:b w:val="0"/>
          <w:bCs/>
          <w:i w:val="0"/>
          <w:iCs w:val="0"/>
          <w:caps w:val="0"/>
          <w:color w:val="000000" w:themeColor="text1"/>
          <w:spacing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i w:val="0"/>
          <w:iCs w:val="0"/>
          <w:caps w:val="0"/>
          <w:color w:val="000000" w:themeColor="text1"/>
          <w:spacing w:val="0"/>
          <w:sz w:val="24"/>
          <w:szCs w:val="24"/>
          <w:highlight w:val="none"/>
          <w:lang w:val="en-US" w:eastAsia="zh-CN"/>
          <w14:textFill>
            <w14:solidFill>
              <w14:schemeClr w14:val="tx1"/>
            </w14:solidFill>
          </w14:textFill>
        </w:rPr>
        <w:t>⑤投标人须提供近两年内（以投标截止日为基准倒推计算）任意一个完整自然年度的财务审计报告。完整自然年度指自 1 月 1 日起至 12 月 31 日止的连续十二个月期间，（成立不满一年的可提供近三个月的银行资信证明）；</w:t>
      </w:r>
    </w:p>
    <w:p w14:paraId="7B78BFBD">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0" w:firstLineChars="200"/>
        <w:textAlignment w:val="auto"/>
        <w:rPr>
          <w:rFonts w:hint="eastAsia" w:asciiTheme="minorEastAsia" w:hAnsiTheme="minorEastAsia" w:eastAsiaTheme="minorEastAsia" w:cstheme="minorEastAsia"/>
          <w:b w:val="0"/>
          <w:bCs/>
          <w:i w:val="0"/>
          <w:iCs w:val="0"/>
          <w:caps w:val="0"/>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b w:val="0"/>
          <w:bCs/>
          <w:i w:val="0"/>
          <w:iCs w:val="0"/>
          <w:caps w:val="0"/>
          <w:color w:val="000000" w:themeColor="text1"/>
          <w:spacing w:val="0"/>
          <w:sz w:val="24"/>
          <w:szCs w:val="24"/>
          <w:highlight w:val="none"/>
          <w:lang w:val="en-US" w:eastAsia="zh-CN"/>
          <w14:textFill>
            <w14:solidFill>
              <w14:schemeClr w14:val="tx1"/>
            </w14:solidFill>
          </w14:textFill>
        </w:rPr>
        <w:t>⑥</w:t>
      </w:r>
      <w:r>
        <w:rPr>
          <w:rFonts w:hint="eastAsia" w:asciiTheme="minorEastAsia" w:hAnsiTheme="minorEastAsia" w:eastAsiaTheme="minorEastAsia" w:cstheme="minorEastAsia"/>
          <w:b w:val="0"/>
          <w:bCs/>
          <w:i w:val="0"/>
          <w:iCs w:val="0"/>
          <w:caps w:val="0"/>
          <w:color w:val="000000" w:themeColor="text1"/>
          <w:spacing w:val="0"/>
          <w:sz w:val="24"/>
          <w:szCs w:val="24"/>
          <w:highlight w:val="none"/>
          <w14:textFill>
            <w14:solidFill>
              <w14:schemeClr w14:val="tx1"/>
            </w14:solidFill>
          </w14:textFill>
        </w:rPr>
        <w:t>参与政府采购活动前3年内未被列入失信、重大税收违法案件、财政部门禁止参加政府采购活动的承诺书；</w:t>
      </w:r>
    </w:p>
    <w:p w14:paraId="427AED5F">
      <w:pPr>
        <w:keepNext w:val="0"/>
        <w:keepLines w:val="0"/>
        <w:pageBreakBefore w:val="0"/>
        <w:kinsoku/>
        <w:wordWrap/>
        <w:overflowPunct/>
        <w:topLinePunct w:val="0"/>
        <w:bidi w:val="0"/>
        <w:spacing w:line="500" w:lineRule="exact"/>
        <w:ind w:firstLine="480" w:firstLineChars="200"/>
        <w:textAlignment w:val="auto"/>
        <w:rPr>
          <w:rFonts w:hint="eastAsia" w:asciiTheme="minorEastAsia" w:hAnsiTheme="minorEastAsia" w:eastAsiaTheme="minorEastAsia" w:cstheme="minorEastAsia"/>
          <w:b w:val="0"/>
          <w:bCs/>
          <w:iCs/>
          <w:color w:val="000000" w:themeColor="text1"/>
          <w:kern w:val="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iCs/>
          <w:color w:val="000000" w:themeColor="text1"/>
          <w:kern w:val="2"/>
          <w:sz w:val="24"/>
          <w:szCs w:val="24"/>
          <w:highlight w:val="none"/>
          <w:lang w:val="en-US" w:eastAsia="zh-CN"/>
          <w14:textFill>
            <w14:solidFill>
              <w14:schemeClr w14:val="tx1"/>
            </w14:solidFill>
          </w14:textFill>
        </w:rPr>
        <w:t>⑦提供针对本次项目的反商业贿赂承诺书;</w:t>
      </w:r>
    </w:p>
    <w:p w14:paraId="294CC249">
      <w:pPr>
        <w:pStyle w:val="7"/>
        <w:keepNext w:val="0"/>
        <w:keepLines w:val="0"/>
        <w:pageBreakBefore w:val="0"/>
        <w:kinsoku/>
        <w:wordWrap/>
        <w:overflowPunct/>
        <w:topLinePunct w:val="0"/>
        <w:bidi w:val="0"/>
        <w:spacing w:line="500" w:lineRule="exact"/>
        <w:ind w:firstLine="480" w:firstLineChars="200"/>
        <w:rPr>
          <w:rFonts w:hint="eastAsia" w:asciiTheme="minorEastAsia" w:hAnsiTheme="minorEastAsia" w:eastAsiaTheme="minorEastAsia" w:cstheme="minorEastAsia"/>
          <w:b w:val="0"/>
          <w:bCs/>
          <w:iCs/>
          <w:color w:val="000000" w:themeColor="text1"/>
          <w:kern w:val="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iCs/>
          <w:color w:val="000000" w:themeColor="text1"/>
          <w:kern w:val="2"/>
          <w:sz w:val="24"/>
          <w:szCs w:val="24"/>
          <w:highlight w:val="none"/>
          <w:lang w:val="en-US" w:eastAsia="zh-CN"/>
          <w14:textFill>
            <w14:solidFill>
              <w14:schemeClr w14:val="tx1"/>
            </w14:solidFill>
          </w14:textFill>
        </w:rPr>
        <w:t>⑧</w:t>
      </w:r>
      <w:r>
        <w:rPr>
          <w:rFonts w:hint="eastAsia" w:asciiTheme="minorEastAsia" w:hAnsiTheme="minorEastAsia" w:eastAsiaTheme="minorEastAsia" w:cstheme="minorEastAsia"/>
          <w:b w:val="0"/>
          <w:bCs/>
          <w:iCs/>
          <w:color w:val="000000" w:themeColor="text1"/>
          <w:kern w:val="2"/>
          <w:sz w:val="24"/>
          <w:szCs w:val="24"/>
          <w:highlight w:val="none"/>
          <w:lang w:val="en-US" w:eastAsia="zh-CN" w:bidi="ar-SA"/>
          <w14:textFill>
            <w14:solidFill>
              <w14:schemeClr w14:val="tx1"/>
            </w14:solidFill>
          </w14:textFill>
        </w:rPr>
        <w:t>根据《财政部关于在政府采购活动中查询及使用信用记录有关问题的通知》（财库﹝2016﹞125号）的要求，凡拟参加本次招标项目的供应商，如在“信用中国”网站（https://www.creditchina.gov.cn/） 被列入失信被执行人、重大税收违法失信主体名单、中国政府采购（http://www.ccgp.gov.cn/search/cr/）政府采购严重违法失信行为记录名单（尚在处罚期内的），国家企业信用信息公示系统（https://www.gsxt.gov.cn/index.html）被列入经营异常名录、严重违法失信名单，将拒绝其参加本次招标活动（以招标代理机构或采购人查询为准)；</w:t>
      </w:r>
    </w:p>
    <w:p w14:paraId="30627C46">
      <w:pPr>
        <w:keepNext w:val="0"/>
        <w:keepLines w:val="0"/>
        <w:pageBreakBefore w:val="0"/>
        <w:kinsoku/>
        <w:wordWrap/>
        <w:overflowPunct/>
        <w:topLinePunct w:val="0"/>
        <w:bidi w:val="0"/>
        <w:spacing w:line="500" w:lineRule="exact"/>
        <w:ind w:firstLine="480" w:firstLineChars="200"/>
        <w:outlineLvl w:val="9"/>
        <w:rPr>
          <w:rFonts w:hint="eastAsia" w:asciiTheme="minorEastAsia" w:hAnsiTheme="minorEastAsia" w:eastAsiaTheme="minorEastAsia" w:cstheme="minorEastAsia"/>
          <w:b w:val="0"/>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4"/>
          <w:szCs w:val="24"/>
          <w:highlight w:val="none"/>
          <w:lang w:val="en-US" w:eastAsia="zh-CN"/>
          <w14:textFill>
            <w14:solidFill>
              <w14:schemeClr w14:val="tx1"/>
            </w14:solidFill>
          </w14:textFill>
        </w:rPr>
        <w:t>⑨</w:t>
      </w:r>
      <w:r>
        <w:rPr>
          <w:rFonts w:hint="eastAsia" w:asciiTheme="minorEastAsia" w:hAnsiTheme="minorEastAsia" w:eastAsiaTheme="minorEastAsia" w:cstheme="minorEastAsia"/>
          <w:b w:val="0"/>
          <w:bCs/>
          <w:color w:val="000000" w:themeColor="text1"/>
          <w:kern w:val="0"/>
          <w:sz w:val="24"/>
          <w:szCs w:val="24"/>
          <w:highlight w:val="none"/>
          <w14:textFill>
            <w14:solidFill>
              <w14:schemeClr w14:val="tx1"/>
            </w14:solidFill>
          </w14:textFill>
        </w:rPr>
        <w:t>缴纳磋商保证金有效凭证；</w:t>
      </w:r>
    </w:p>
    <w:p w14:paraId="786230C3">
      <w:pPr>
        <w:pStyle w:val="7"/>
        <w:keepNext w:val="0"/>
        <w:keepLines w:val="0"/>
        <w:pageBreakBefore w:val="0"/>
        <w:kinsoku/>
        <w:wordWrap/>
        <w:overflowPunct/>
        <w:topLinePunct w:val="0"/>
        <w:bidi w:val="0"/>
        <w:spacing w:line="500" w:lineRule="exact"/>
        <w:ind w:firstLine="480" w:firstLineChars="200"/>
        <w:textAlignment w:val="auto"/>
        <w:rPr>
          <w:rFonts w:hint="eastAsia" w:asciiTheme="minorEastAsia" w:hAnsiTheme="minorEastAsia" w:eastAsiaTheme="minorEastAsia" w:cstheme="minorEastAsia"/>
          <w:b w:val="0"/>
          <w:bCs/>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4"/>
          <w:szCs w:val="24"/>
          <w:highlight w:val="none"/>
          <w:lang w:val="en-US" w:eastAsia="zh-CN" w:bidi="ar-SA"/>
          <w14:textFill>
            <w14:solidFill>
              <w14:schemeClr w14:val="tx1"/>
            </w14:solidFill>
          </w14:textFill>
        </w:rPr>
        <w:t>⑩中小企业声明函；</w:t>
      </w:r>
    </w:p>
    <w:p w14:paraId="2ACF4D63">
      <w:pPr>
        <w:outlineLvl w:val="9"/>
        <w:rPr>
          <w:rFonts w:hint="eastAsia" w:asciiTheme="minorEastAsia" w:hAnsiTheme="minorEastAsia" w:eastAsiaTheme="minorEastAsia" w:cstheme="minorEastAsia"/>
          <w:b w:val="0"/>
          <w:bCs/>
          <w:color w:val="000000" w:themeColor="text1"/>
          <w:highlight w:val="none"/>
          <w14:textFill>
            <w14:solidFill>
              <w14:schemeClr w14:val="tx1"/>
            </w14:solidFill>
          </w14:textFill>
        </w:rPr>
      </w:pPr>
    </w:p>
    <w:p w14:paraId="4E3C1468">
      <w:pPr>
        <w:pStyle w:val="4"/>
        <w:snapToGrid w:val="0"/>
        <w:spacing w:before="0" w:line="400" w:lineRule="atLeast"/>
        <w:jc w:val="both"/>
        <w:textAlignment w:val="baseline"/>
        <w:rPr>
          <w:rFonts w:hint="eastAsia" w:asciiTheme="minorEastAsia" w:hAnsiTheme="minorEastAsia" w:eastAsiaTheme="minorEastAsia" w:cstheme="minorEastAsia"/>
          <w:color w:val="000000" w:themeColor="text1"/>
          <w:sz w:val="24"/>
          <w:szCs w:val="24"/>
          <w:highlight w:val="none"/>
          <w:u w:val="none" w:color="auto"/>
          <w14:textFill>
            <w14:solidFill>
              <w14:schemeClr w14:val="tx1"/>
            </w14:solidFill>
          </w14:textFill>
        </w:rPr>
      </w:pPr>
      <w:bookmarkStart w:id="404" w:name="_Toc16568"/>
      <w:bookmarkStart w:id="405" w:name="_Toc22539"/>
      <w:bookmarkStart w:id="406" w:name="_Toc26846"/>
      <w:bookmarkStart w:id="407" w:name="_Toc21484"/>
      <w:bookmarkStart w:id="408" w:name="_Toc16750"/>
      <w:bookmarkStart w:id="409" w:name="_Toc30524"/>
      <w:bookmarkStart w:id="410" w:name="_Toc132"/>
      <w:bookmarkStart w:id="411" w:name="_Toc3620"/>
      <w:bookmarkStart w:id="412" w:name="_Toc17198"/>
      <w:bookmarkStart w:id="413" w:name="_Toc31089"/>
      <w:bookmarkStart w:id="414" w:name="_Toc30630"/>
      <w:bookmarkStart w:id="415" w:name="_Toc18477"/>
      <w:bookmarkStart w:id="416" w:name="_Toc4431"/>
      <w:bookmarkStart w:id="417" w:name="_Toc21614"/>
      <w:bookmarkStart w:id="418" w:name="_Toc14118"/>
      <w:bookmarkStart w:id="419" w:name="_Toc515647804"/>
      <w:bookmarkStart w:id="420" w:name="_Toc11138"/>
      <w:r>
        <w:rPr>
          <w:rFonts w:hint="eastAsia" w:asciiTheme="minorEastAsia" w:hAnsiTheme="minorEastAsia" w:eastAsiaTheme="minorEastAsia" w:cstheme="minorEastAsia"/>
          <w:color w:val="000000" w:themeColor="text1"/>
          <w:sz w:val="24"/>
          <w:szCs w:val="24"/>
          <w:highlight w:val="none"/>
          <w:u w:val="none" w:color="auto"/>
          <w14:textFill>
            <w14:solidFill>
              <w14:schemeClr w14:val="tx1"/>
            </w14:solidFill>
          </w14:textFill>
        </w:rPr>
        <w:t>1、磋商报价一览表</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10DCAFB6">
      <w:pPr>
        <w:pStyle w:val="7"/>
        <w:tabs>
          <w:tab w:val="left" w:pos="5580"/>
        </w:tabs>
        <w:snapToGrid w:val="0"/>
        <w:spacing w:line="400" w:lineRule="atLeast"/>
        <w:ind w:firstLine="0"/>
        <w:jc w:val="center"/>
        <w:textAlignment w:val="baseline"/>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bookmarkStart w:id="421" w:name="_Hlt520356241"/>
      <w:bookmarkEnd w:id="421"/>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磋商报价一览表</w:t>
      </w:r>
    </w:p>
    <w:p w14:paraId="3E7FCA15">
      <w:pPr>
        <w:tabs>
          <w:tab w:val="left" w:pos="1800"/>
          <w:tab w:val="left" w:pos="5580"/>
        </w:tabs>
        <w:snapToGrid w:val="0"/>
        <w:spacing w:line="400" w:lineRule="atLeast"/>
        <w:ind w:left="1080" w:leftChars="257" w:right="-867" w:hanging="540"/>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项目名称：　                  项目编号：                        </w:t>
      </w:r>
    </w:p>
    <w:p w14:paraId="0D87B0B5">
      <w:pPr>
        <w:tabs>
          <w:tab w:val="left" w:pos="1800"/>
          <w:tab w:val="left" w:pos="5580"/>
        </w:tabs>
        <w:snapToGrid w:val="0"/>
        <w:spacing w:line="400" w:lineRule="atLeast"/>
        <w:ind w:left="1080" w:leftChars="257" w:right="-867" w:hanging="540"/>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报价单位：人民币 </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元</w:t>
      </w:r>
    </w:p>
    <w:tbl>
      <w:tblPr>
        <w:tblStyle w:val="37"/>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20"/>
        <w:gridCol w:w="2530"/>
        <w:gridCol w:w="1315"/>
        <w:gridCol w:w="1485"/>
        <w:gridCol w:w="1665"/>
      </w:tblGrid>
      <w:tr w14:paraId="77D1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2" w:hRule="atLeast"/>
          <w:jc w:val="center"/>
        </w:trPr>
        <w:tc>
          <w:tcPr>
            <w:tcW w:w="1720" w:type="dxa"/>
            <w:vAlign w:val="center"/>
          </w:tcPr>
          <w:p w14:paraId="239DB2D7">
            <w:pPr>
              <w:tabs>
                <w:tab w:val="left" w:pos="5580"/>
              </w:tabs>
              <w:snapToGrid w:val="0"/>
              <w:spacing w:line="400" w:lineRule="atLeast"/>
              <w:ind w:right="-199"/>
              <w:jc w:val="center"/>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名称</w:t>
            </w:r>
          </w:p>
        </w:tc>
        <w:tc>
          <w:tcPr>
            <w:tcW w:w="2530" w:type="dxa"/>
            <w:vAlign w:val="center"/>
          </w:tcPr>
          <w:p w14:paraId="78C876A9">
            <w:pPr>
              <w:tabs>
                <w:tab w:val="left" w:pos="5580"/>
              </w:tabs>
              <w:snapToGrid w:val="0"/>
              <w:spacing w:line="400" w:lineRule="atLeast"/>
              <w:jc w:val="center"/>
              <w:textAlignment w:val="baseline"/>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报价</w:t>
            </w:r>
          </w:p>
        </w:tc>
        <w:tc>
          <w:tcPr>
            <w:tcW w:w="1315" w:type="dxa"/>
            <w:vAlign w:val="center"/>
          </w:tcPr>
          <w:p w14:paraId="30820D3B">
            <w:pPr>
              <w:tabs>
                <w:tab w:val="left" w:pos="5580"/>
              </w:tabs>
              <w:snapToGrid w:val="0"/>
              <w:spacing w:line="400" w:lineRule="atLeast"/>
              <w:jc w:val="center"/>
              <w:textAlignment w:val="baseline"/>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磋商保证金</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缴纳方式</w:t>
            </w:r>
          </w:p>
        </w:tc>
        <w:tc>
          <w:tcPr>
            <w:tcW w:w="1485" w:type="dxa"/>
            <w:vAlign w:val="center"/>
          </w:tcPr>
          <w:p w14:paraId="24857648">
            <w:pPr>
              <w:tabs>
                <w:tab w:val="left" w:pos="5580"/>
              </w:tabs>
              <w:snapToGrid w:val="0"/>
              <w:spacing w:line="400" w:lineRule="atLeast"/>
              <w:jc w:val="center"/>
              <w:textAlignment w:val="baseline"/>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服务期</w:t>
            </w:r>
          </w:p>
        </w:tc>
        <w:tc>
          <w:tcPr>
            <w:tcW w:w="1665" w:type="dxa"/>
            <w:vAlign w:val="center"/>
          </w:tcPr>
          <w:p w14:paraId="3CDEC1AC">
            <w:pPr>
              <w:tabs>
                <w:tab w:val="left" w:pos="5580"/>
              </w:tabs>
              <w:snapToGrid w:val="0"/>
              <w:spacing w:line="400" w:lineRule="atLeast"/>
              <w:jc w:val="center"/>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备注</w:t>
            </w:r>
          </w:p>
        </w:tc>
      </w:tr>
      <w:tr w14:paraId="54AF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6" w:hRule="atLeast"/>
          <w:jc w:val="center"/>
        </w:trPr>
        <w:tc>
          <w:tcPr>
            <w:tcW w:w="1720" w:type="dxa"/>
            <w:vAlign w:val="center"/>
          </w:tcPr>
          <w:p w14:paraId="4EBA3387">
            <w:pPr>
              <w:tabs>
                <w:tab w:val="left" w:pos="5580"/>
              </w:tabs>
              <w:snapToGrid w:val="0"/>
              <w:spacing w:line="400" w:lineRule="atLeast"/>
              <w:ind w:left="1080" w:leftChars="257" w:hanging="540"/>
              <w:jc w:val="center"/>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530" w:type="dxa"/>
            <w:vAlign w:val="center"/>
          </w:tcPr>
          <w:p w14:paraId="6949E49D">
            <w:pPr>
              <w:tabs>
                <w:tab w:val="left" w:pos="5580"/>
              </w:tabs>
              <w:snapToGrid w:val="0"/>
              <w:spacing w:line="400" w:lineRule="atLeast"/>
              <w:jc w:val="lef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大写：</w:t>
            </w:r>
          </w:p>
          <w:p w14:paraId="41D49E9F">
            <w:pPr>
              <w:tabs>
                <w:tab w:val="left" w:pos="5580"/>
              </w:tabs>
              <w:snapToGrid w:val="0"/>
              <w:spacing w:line="400" w:lineRule="atLeast"/>
              <w:jc w:val="lef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小写：</w:t>
            </w:r>
          </w:p>
        </w:tc>
        <w:tc>
          <w:tcPr>
            <w:tcW w:w="1315" w:type="dxa"/>
            <w:vAlign w:val="center"/>
          </w:tcPr>
          <w:p w14:paraId="2AE24FE6">
            <w:pPr>
              <w:tabs>
                <w:tab w:val="left" w:pos="5580"/>
              </w:tabs>
              <w:snapToGrid w:val="0"/>
              <w:spacing w:line="400" w:lineRule="atLeast"/>
              <w:ind w:left="1080" w:leftChars="257" w:hanging="540"/>
              <w:jc w:val="center"/>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485" w:type="dxa"/>
            <w:vAlign w:val="center"/>
          </w:tcPr>
          <w:p w14:paraId="7C19CBAB">
            <w:pPr>
              <w:tabs>
                <w:tab w:val="left" w:pos="5580"/>
              </w:tabs>
              <w:snapToGrid w:val="0"/>
              <w:spacing w:line="400" w:lineRule="atLeast"/>
              <w:ind w:left="1080" w:leftChars="257" w:hanging="540"/>
              <w:jc w:val="center"/>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665" w:type="dxa"/>
            <w:vAlign w:val="center"/>
          </w:tcPr>
          <w:p w14:paraId="747A44DB">
            <w:pPr>
              <w:tabs>
                <w:tab w:val="left" w:pos="5580"/>
              </w:tabs>
              <w:snapToGrid w:val="0"/>
              <w:spacing w:line="400" w:lineRule="atLeast"/>
              <w:ind w:left="1080" w:leftChars="257" w:hanging="540"/>
              <w:jc w:val="center"/>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bl>
    <w:p w14:paraId="4E285A57">
      <w:pPr>
        <w:pStyle w:val="16"/>
        <w:tabs>
          <w:tab w:val="left" w:pos="5580"/>
        </w:tabs>
        <w:snapToGrid w:val="0"/>
        <w:spacing w:line="400" w:lineRule="atLeast"/>
        <w:textAlignment w:val="baseline"/>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pPr>
    </w:p>
    <w:p w14:paraId="69BE85A4">
      <w:pPr>
        <w:pStyle w:val="16"/>
        <w:tabs>
          <w:tab w:val="left" w:pos="5580"/>
        </w:tabs>
        <w:snapToGrid w:val="0"/>
        <w:spacing w:line="400" w:lineRule="atLeast"/>
        <w:ind w:left="1080" w:leftChars="257" w:hanging="540"/>
        <w:textAlignment w:val="baseline"/>
        <w:rPr>
          <w:rFonts w:hint="default"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供应商名称（公章）：</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p>
    <w:p w14:paraId="6AE7109B">
      <w:pPr>
        <w:pStyle w:val="16"/>
        <w:tabs>
          <w:tab w:val="left" w:pos="5580"/>
        </w:tabs>
        <w:snapToGrid w:val="0"/>
        <w:spacing w:line="400" w:lineRule="atLeast"/>
        <w:ind w:left="1080" w:leftChars="257" w:hanging="540"/>
        <w:textAlignment w:val="baseline"/>
        <w:rPr>
          <w:rFonts w:hint="default" w:asciiTheme="minorEastAsia" w:hAnsiTheme="minorEastAsia" w:eastAsiaTheme="minorEastAsia" w:cstheme="minorEastAsia"/>
          <w:color w:val="000000" w:themeColor="text1"/>
          <w:sz w:val="24"/>
          <w:szCs w:val="24"/>
          <w:highlight w:val="none"/>
          <w:u w:val="single" w:color="00000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法定代表人或委托代理(签字</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并盖章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tab/>
      </w:r>
      <w:r>
        <w:rPr>
          <w:rFonts w:hint="eastAsia" w:asciiTheme="minorEastAsia" w:hAnsiTheme="minorEastAsia" w:eastAsiaTheme="minorEastAsia" w:cstheme="minorEastAsia"/>
          <w:color w:val="000000" w:themeColor="text1"/>
          <w:sz w:val="24"/>
          <w:szCs w:val="24"/>
          <w:highlight w:val="none"/>
          <w:u w:val="single" w:color="000000"/>
          <w:lang w:val="en-US" w:eastAsia="zh-CN"/>
          <w14:textFill>
            <w14:solidFill>
              <w14:schemeClr w14:val="tx1"/>
            </w14:solidFill>
          </w14:textFill>
        </w:rPr>
        <w:t xml:space="preserve">        </w:t>
      </w:r>
    </w:p>
    <w:p w14:paraId="7C3C8036">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7D79D56D">
      <w:pPr>
        <w:pStyle w:val="16"/>
        <w:tabs>
          <w:tab w:val="left" w:pos="5580"/>
        </w:tabs>
        <w:spacing w:line="240" w:lineRule="atLeas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注:</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、此表中，投标总价应和</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分项报价表的总价相一致。</w:t>
      </w:r>
    </w:p>
    <w:p w14:paraId="632EA333">
      <w:pPr>
        <w:pStyle w:val="1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28FF8138">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4707811D">
      <w:pPr>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311C9916">
      <w:pPr>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269C523E">
      <w:pPr>
        <w:rPr>
          <w:rFonts w:hint="eastAsia" w:asciiTheme="minorEastAsia" w:hAnsiTheme="minorEastAsia" w:eastAsiaTheme="minorEastAsia" w:cstheme="minorEastAsia"/>
          <w:b/>
          <w:bCs/>
          <w:color w:val="000000" w:themeColor="text1"/>
          <w:highlight w:val="none"/>
          <w14:textFill>
            <w14:solidFill>
              <w14:schemeClr w14:val="tx1"/>
            </w14:solidFill>
          </w14:textFill>
        </w:rPr>
      </w:pPr>
      <w:bookmarkStart w:id="422" w:name="_Toc32348"/>
      <w:bookmarkStart w:id="423" w:name="_Toc3218"/>
      <w:r>
        <w:rPr>
          <w:rFonts w:hint="eastAsia" w:asciiTheme="minorEastAsia" w:hAnsiTheme="minorEastAsia" w:eastAsiaTheme="minorEastAsia" w:cstheme="minorEastAsia"/>
          <w:b/>
          <w:bCs/>
          <w:color w:val="000000" w:themeColor="text1"/>
          <w:highlight w:val="none"/>
          <w14:textFill>
            <w14:solidFill>
              <w14:schemeClr w14:val="tx1"/>
            </w14:solidFill>
          </w14:textFill>
        </w:rPr>
        <w:br w:type="page"/>
      </w:r>
    </w:p>
    <w:p w14:paraId="0278E16C">
      <w:pPr>
        <w:pStyle w:val="4"/>
        <w:snapToGrid w:val="0"/>
        <w:spacing w:before="0" w:line="400" w:lineRule="atLeast"/>
        <w:jc w:val="both"/>
        <w:textAlignment w:val="baseline"/>
        <w:rPr>
          <w:rFonts w:hint="eastAsia" w:asciiTheme="minorEastAsia" w:hAnsiTheme="minorEastAsia" w:eastAsiaTheme="minorEastAsia" w:cstheme="minorEastAsia"/>
          <w:b/>
          <w:bCs/>
          <w:color w:val="000000" w:themeColor="text1"/>
          <w:highlight w:val="none"/>
          <w:u w:val="none" w:color="auto"/>
          <w14:textFill>
            <w14:solidFill>
              <w14:schemeClr w14:val="tx1"/>
            </w14:solidFill>
          </w14:textFill>
        </w:rPr>
      </w:pPr>
      <w:bookmarkStart w:id="424" w:name="_Toc23528"/>
      <w:r>
        <w:rPr>
          <w:rFonts w:hint="eastAsia" w:asciiTheme="minorEastAsia" w:hAnsiTheme="minorEastAsia" w:eastAsiaTheme="minorEastAsia" w:cstheme="minorEastAsia"/>
          <w:color w:val="000000" w:themeColor="text1"/>
          <w:sz w:val="24"/>
          <w:szCs w:val="24"/>
          <w:highlight w:val="none"/>
          <w:u w:val="none" w:color="auto"/>
          <w14:textFill>
            <w14:solidFill>
              <w14:schemeClr w14:val="tx1"/>
            </w14:solidFill>
          </w14:textFill>
        </w:rPr>
        <w:t>2</w:t>
      </w:r>
      <w:bookmarkEnd w:id="422"/>
      <w:r>
        <w:rPr>
          <w:rFonts w:hint="eastAsia" w:asciiTheme="minorEastAsia" w:hAnsiTheme="minorEastAsia" w:eastAsiaTheme="minorEastAsia" w:cstheme="minorEastAsia"/>
          <w:color w:val="000000" w:themeColor="text1"/>
          <w:sz w:val="24"/>
          <w:szCs w:val="24"/>
          <w:highlight w:val="none"/>
          <w:u w:val="none" w:color="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none" w:color="auto"/>
          <w14:textFill>
            <w14:solidFill>
              <w14:schemeClr w14:val="tx1"/>
            </w14:solidFill>
          </w14:textFill>
        </w:rPr>
        <w:t>符合《中华人民共和国政府采购法》第二十二条的规定</w:t>
      </w:r>
      <w:bookmarkEnd w:id="423"/>
      <w:bookmarkEnd w:id="424"/>
    </w:p>
    <w:p w14:paraId="7E54FA11">
      <w:pPr>
        <w:pStyle w:val="5"/>
        <w:numPr>
          <w:ilvl w:val="3"/>
          <w:numId w:val="0"/>
        </w:numPr>
        <w:bidi w:val="0"/>
        <w:ind w:leftChars="200"/>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①具有有效的营业执照</w:t>
      </w:r>
    </w:p>
    <w:p w14:paraId="7ABAE3F1">
      <w:pPr>
        <w:pStyle w:val="7"/>
        <w:outlineLvl w:val="9"/>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说明：具有有效的营业执照正本或副本，须上传扫描件并加盖本单位公章。</w:t>
      </w:r>
    </w:p>
    <w:p w14:paraId="503F0A96">
      <w:pP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14:paraId="1C3D8F48">
      <w:pP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14:paraId="577F8786">
      <w:pP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14:paraId="04DA15FA">
      <w:pP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14:paraId="0A671790">
      <w:pP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14:paraId="26073022">
      <w:pP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14:paraId="6FC4F1FD">
      <w:pP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14:paraId="33FD9761">
      <w:pP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14:paraId="2724F498">
      <w:pP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14:paraId="74565238">
      <w:pP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14:paraId="0BAAA1F3">
      <w:pP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14:paraId="2E55E0FA">
      <w:pP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14:paraId="1D9EC725">
      <w:pP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14:paraId="1454DB78">
      <w:pP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14:paraId="3B2A1CDF">
      <w:pP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14:paraId="34770125">
      <w:pP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14:paraId="30B05002">
      <w:pP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14:paraId="20BF2EC0">
      <w:pP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14:paraId="5F11054F">
      <w:pP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14:paraId="41909757">
      <w:pP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14:paraId="6B73B108">
      <w:pP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14:paraId="3F2B891D">
      <w:pP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14:paraId="28116E01">
      <w:pP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14:paraId="672E6902">
      <w:pP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14:paraId="67E9C4C1">
      <w:pP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14:paraId="2FFC18D6">
      <w:pP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14:paraId="5B8A89BC">
      <w:pPr>
        <w:pStyle w:val="7"/>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14:paraId="2E4A5E5F">
      <w:pPr>
        <w:pStyle w:val="7"/>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14:paraId="553D7A7C">
      <w:pPr>
        <w:pStyle w:val="7"/>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14:paraId="602CA22B">
      <w:pPr>
        <w:pStyle w:val="7"/>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14:paraId="24D5F0C0">
      <w:pPr>
        <w:pStyle w:val="7"/>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14:paraId="7B6F4B75">
      <w:pPr>
        <w:pStyle w:val="7"/>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14:paraId="07B5AC82">
      <w:pPr>
        <w:pStyle w:val="7"/>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14:paraId="75ACA9FE">
      <w:pPr>
        <w:pStyle w:val="7"/>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14:paraId="605D2EB9">
      <w:pP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14:paraId="7936A0B8">
      <w:pP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p>
    <w:p w14:paraId="54F8ABFA">
      <w:pPr>
        <w:pStyle w:val="5"/>
        <w:numPr>
          <w:ilvl w:val="3"/>
          <w:numId w:val="0"/>
        </w:numPr>
        <w:bidi w:val="0"/>
        <w:ind w:leftChars="200"/>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②提供法定代表人资格证明及授权书、被授权人身份证；(法定代表人投标需提供法定代表人身份证)</w:t>
      </w:r>
    </w:p>
    <w:p w14:paraId="67428BE5">
      <w:pPr>
        <w:pStyle w:val="9"/>
        <w:snapToGrid w:val="0"/>
        <w:ind w:firstLine="482" w:firstLineChars="200"/>
        <w:textAlignment w:val="baseline"/>
        <w:outlineLvl w:val="9"/>
        <w:rPr>
          <w:rFonts w:hint="eastAsia" w:asciiTheme="minorEastAsia" w:hAnsiTheme="minorEastAsia" w:eastAsiaTheme="minorEastAsia" w:cstheme="minorEastAsia"/>
          <w:b/>
          <w:bCs/>
          <w:i w:val="0"/>
          <w:iCs w:val="0"/>
          <w:caps w:val="0"/>
          <w:color w:val="000000" w:themeColor="text1"/>
          <w:spacing w:val="0"/>
          <w:kern w:val="0"/>
          <w:sz w:val="24"/>
          <w:szCs w:val="24"/>
          <w:highlight w:val="none"/>
          <w:lang w:val="en-US" w:eastAsia="zh-CN" w:bidi="ar-SA"/>
          <w14:textFill>
            <w14:solidFill>
              <w14:schemeClr w14:val="tx1"/>
            </w14:solidFill>
          </w14:textFill>
        </w:rPr>
      </w:pPr>
    </w:p>
    <w:p w14:paraId="7E8188AB">
      <w:pPr>
        <w:snapToGrid w:val="0"/>
        <w:spacing w:before="312" w:after="312" w:line="400" w:lineRule="exact"/>
        <w:jc w:val="center"/>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法定代表人资格证明书</w:t>
      </w:r>
    </w:p>
    <w:p w14:paraId="16BF2D09">
      <w:pPr>
        <w:snapToGrid w:val="0"/>
        <w:spacing w:line="40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同志，现任我单位          职务，为法定代表人，特此证明。</w:t>
      </w:r>
    </w:p>
    <w:p w14:paraId="2043D408">
      <w:pPr>
        <w:snapToGrid w:val="0"/>
        <w:spacing w:line="400" w:lineRule="exact"/>
        <w:ind w:firstLine="240" w:firstLineChars="100"/>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签发日期：                  单位：         </w:t>
      </w:r>
    </w:p>
    <w:p w14:paraId="2076D328">
      <w:pPr>
        <w:snapToGrid w:val="0"/>
        <w:spacing w:line="400" w:lineRule="exact"/>
        <w:ind w:firstLine="240" w:firstLineChars="100"/>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附：代表人性别：            年龄：           身份证号码：</w:t>
      </w:r>
    </w:p>
    <w:p w14:paraId="363C847E">
      <w:pPr>
        <w:snapToGrid w:val="0"/>
        <w:spacing w:line="400" w:lineRule="exact"/>
        <w:ind w:firstLine="240" w:firstLineChars="100"/>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联系电话：</w:t>
      </w:r>
    </w:p>
    <w:p w14:paraId="5498EE69">
      <w:pPr>
        <w:snapToGrid w:val="0"/>
        <w:spacing w:line="400" w:lineRule="exact"/>
        <w:ind w:firstLine="240" w:firstLineChars="100"/>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营业执照号码：              经济性质：</w:t>
      </w:r>
    </w:p>
    <w:p w14:paraId="29387D19">
      <w:pPr>
        <w:snapToGrid w:val="0"/>
        <w:spacing w:line="400" w:lineRule="exact"/>
        <w:ind w:firstLine="240" w:firstLineChars="100"/>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5B1E7CE7">
      <w:pPr>
        <w:snapToGrid w:val="0"/>
        <w:spacing w:line="40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column">
                  <wp:posOffset>154305</wp:posOffset>
                </wp:positionH>
                <wp:positionV relativeFrom="paragraph">
                  <wp:posOffset>10795</wp:posOffset>
                </wp:positionV>
                <wp:extent cx="2114550" cy="1375410"/>
                <wp:effectExtent l="4445" t="4445" r="14605" b="10795"/>
                <wp:wrapNone/>
                <wp:docPr id="1026" name="流程图: 可选过程 14"/>
                <wp:cNvGraphicFramePr/>
                <a:graphic xmlns:a="http://schemas.openxmlformats.org/drawingml/2006/main">
                  <a:graphicData uri="http://schemas.microsoft.com/office/word/2010/wordprocessingShape">
                    <wps:wsp>
                      <wps:cNvSpPr/>
                      <wps:spPr>
                        <a:xfrm>
                          <a:off x="0" y="0"/>
                          <a:ext cx="2114550" cy="13754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DC0128D">
                            <w:pPr>
                              <w:jc w:val="center"/>
                              <w:rPr>
                                <w:rFonts w:hAnsi="宋体"/>
                                <w:szCs w:val="21"/>
                              </w:rPr>
                            </w:pPr>
                          </w:p>
                          <w:p w14:paraId="4BD11B1C">
                            <w:pPr>
                              <w:jc w:val="both"/>
                              <w:rPr>
                                <w:szCs w:val="21"/>
                              </w:rPr>
                            </w:pPr>
                          </w:p>
                        </w:txbxContent>
                      </wps:txbx>
                      <wps:bodyPr upright="1"/>
                    </wps:wsp>
                  </a:graphicData>
                </a:graphic>
              </wp:anchor>
            </w:drawing>
          </mc:Choice>
          <mc:Fallback>
            <w:pict>
              <v:shape id="流程图: 可选过程 14" o:spid="_x0000_s1026" o:spt="176" type="#_x0000_t176" style="position:absolute;left:0pt;margin-left:12.15pt;margin-top:0.85pt;height:108.3pt;width:166.5pt;z-index:251659264;mso-width-relative:page;mso-height-relative:page;" fillcolor="#FFFFFF" filled="t" stroked="t" coordsize="21600,21600" o:gfxdata="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GZ14n9UAAAAIAQAADwAAAAAAAAABACAAAAAiAAAAZHJzL2Rvd25yZXYueG1sUEsBAhQA&#10;FAAAAAgAh07iQOgyQHguAgAAVAQAAA4AAAAAAAAAAQAgAAAAJAEAAGRycy9lMm9Eb2MueG1sUEsF&#10;BgAAAAAGAAYAWQEAAMQFAAAAAA==&#10;">
                <v:fill on="t" focussize="0,0"/>
                <v:stroke color="#000000" joinstyle="miter"/>
                <v:imagedata o:title=""/>
                <o:lock v:ext="edit" aspectratio="f"/>
                <v:textbox>
                  <w:txbxContent>
                    <w:p w14:paraId="5DC0128D">
                      <w:pPr>
                        <w:jc w:val="center"/>
                        <w:rPr>
                          <w:rFonts w:hAnsi="宋体"/>
                          <w:szCs w:val="21"/>
                        </w:rPr>
                      </w:pPr>
                    </w:p>
                    <w:p w14:paraId="4BD11B1C">
                      <w:pPr>
                        <w:jc w:val="both"/>
                        <w:rPr>
                          <w:szCs w:val="21"/>
                        </w:rPr>
                      </w:pPr>
                    </w:p>
                  </w:txbxContent>
                </v:textbox>
              </v:shape>
            </w:pict>
          </mc:Fallback>
        </mc:AlternateContent>
      </w:r>
      <w:r>
        <w:rPr>
          <w:rFonts w:hint="eastAsia" w:asciiTheme="minorEastAsia" w:hAnsiTheme="minorEastAsia" w:eastAsiaTheme="minorEastAsia" w:cstheme="minorEastAsia"/>
          <w:color w:val="000000" w:themeColor="text1"/>
          <w:sz w:val="24"/>
          <w:highlight w:val="none"/>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column">
                  <wp:posOffset>2918460</wp:posOffset>
                </wp:positionH>
                <wp:positionV relativeFrom="paragraph">
                  <wp:posOffset>28575</wp:posOffset>
                </wp:positionV>
                <wp:extent cx="2077085" cy="1385570"/>
                <wp:effectExtent l="7620" t="7620" r="10795" b="16510"/>
                <wp:wrapNone/>
                <wp:docPr id="1027" name="圆角矩形 18"/>
                <wp:cNvGraphicFramePr/>
                <a:graphic xmlns:a="http://schemas.openxmlformats.org/drawingml/2006/main">
                  <a:graphicData uri="http://schemas.microsoft.com/office/word/2010/wordprocessingShape">
                    <wps:wsp>
                      <wps:cNvSpPr/>
                      <wps:spPr>
                        <a:xfrm>
                          <a:off x="0" y="0"/>
                          <a:ext cx="2077084" cy="138557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272CB138">
                            <w:pPr>
                              <w:jc w:val="center"/>
                              <w:rPr>
                                <w:rFonts w:hAnsi="宋体"/>
                                <w:szCs w:val="21"/>
                              </w:rPr>
                            </w:pPr>
                          </w:p>
                          <w:p w14:paraId="4442588C">
                            <w:pPr>
                              <w:jc w:val="center"/>
                              <w:rPr>
                                <w:rFonts w:hAnsi="宋体"/>
                                <w:szCs w:val="21"/>
                              </w:rPr>
                            </w:pPr>
                          </w:p>
                          <w:p w14:paraId="312EB9D6">
                            <w:pPr>
                              <w:jc w:val="center"/>
                              <w:rPr>
                                <w:rFonts w:hAnsi="宋体"/>
                                <w:szCs w:val="21"/>
                              </w:rPr>
                            </w:pPr>
                          </w:p>
                          <w:p w14:paraId="0DD379C6">
                            <w:pPr>
                              <w:jc w:val="center"/>
                              <w:rPr>
                                <w:szCs w:val="21"/>
                              </w:rPr>
                            </w:pPr>
                          </w:p>
                          <w:p w14:paraId="6B415311"/>
                          <w:p w14:paraId="7F6EECBD">
                            <w:pPr>
                              <w:pStyle w:val="7"/>
                            </w:pPr>
                          </w:p>
                          <w:p w14:paraId="6C86E124">
                            <w:pPr>
                              <w:pStyle w:val="7"/>
                            </w:pPr>
                          </w:p>
                          <w:p w14:paraId="3EE8A680">
                            <w:pPr>
                              <w:pStyle w:val="7"/>
                            </w:pPr>
                          </w:p>
                          <w:p w14:paraId="0010759E">
                            <w:pPr>
                              <w:pStyle w:val="7"/>
                            </w:pPr>
                          </w:p>
                        </w:txbxContent>
                      </wps:txbx>
                      <wps:bodyPr upright="1"/>
                    </wps:wsp>
                  </a:graphicData>
                </a:graphic>
              </wp:anchor>
            </w:drawing>
          </mc:Choice>
          <mc:Fallback>
            <w:pict>
              <v:roundrect id="圆角矩形 18" o:spid="_x0000_s1026" o:spt="2" style="position:absolute;left:0pt;margin-left:229.8pt;margin-top:2.25pt;height:109.1pt;width:163.55pt;z-index:251659264;mso-width-relative:page;mso-height-relative:page;" fillcolor="#FFFFFF" filled="t" stroked="t" coordsize="21600,21600" arcsize="0.166666666666667" o:gfxdata="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P3JNnaAAAACQEAAA8AAAAAAAAAAQAgAAAAIgAAAGRycy9kb3ducmV2LnhtbFBL&#10;AQIUABQAAAAIAIdO4kA2KviDLQIAAGYEAAAOAAAAAAAAAAEAIAAAACkBAABkcnMvZTJvRG9jLnht&#10;bFBLBQYAAAAABgAGAFkBAADIBQAAAAA=&#10;">
                <v:fill on="t" focussize="0,0"/>
                <v:stroke weight="1.25pt" color="#808080" joinstyle="round"/>
                <v:imagedata o:title=""/>
                <o:lock v:ext="edit" aspectratio="f"/>
                <v:textbox>
                  <w:txbxContent>
                    <w:p w14:paraId="272CB138">
                      <w:pPr>
                        <w:jc w:val="center"/>
                        <w:rPr>
                          <w:rFonts w:hAnsi="宋体"/>
                          <w:szCs w:val="21"/>
                        </w:rPr>
                      </w:pPr>
                    </w:p>
                    <w:p w14:paraId="4442588C">
                      <w:pPr>
                        <w:jc w:val="center"/>
                        <w:rPr>
                          <w:rFonts w:hAnsi="宋体"/>
                          <w:szCs w:val="21"/>
                        </w:rPr>
                      </w:pPr>
                    </w:p>
                    <w:p w14:paraId="312EB9D6">
                      <w:pPr>
                        <w:jc w:val="center"/>
                        <w:rPr>
                          <w:rFonts w:hAnsi="宋体"/>
                          <w:szCs w:val="21"/>
                        </w:rPr>
                      </w:pPr>
                    </w:p>
                    <w:p w14:paraId="0DD379C6">
                      <w:pPr>
                        <w:jc w:val="center"/>
                        <w:rPr>
                          <w:szCs w:val="21"/>
                        </w:rPr>
                      </w:pPr>
                    </w:p>
                    <w:p w14:paraId="6B415311"/>
                    <w:p w14:paraId="7F6EECBD">
                      <w:pPr>
                        <w:pStyle w:val="7"/>
                      </w:pPr>
                    </w:p>
                    <w:p w14:paraId="6C86E124">
                      <w:pPr>
                        <w:pStyle w:val="7"/>
                      </w:pPr>
                    </w:p>
                    <w:p w14:paraId="3EE8A680">
                      <w:pPr>
                        <w:pStyle w:val="7"/>
                      </w:pPr>
                    </w:p>
                    <w:p w14:paraId="0010759E">
                      <w:pPr>
                        <w:pStyle w:val="7"/>
                      </w:pPr>
                    </w:p>
                  </w:txbxContent>
                </v:textbox>
              </v:roundrect>
            </w:pict>
          </mc:Fallback>
        </mc:AlternateContent>
      </w:r>
    </w:p>
    <w:p w14:paraId="428B25D5">
      <w:pPr>
        <w:snapToGrid w:val="0"/>
        <w:spacing w:line="40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52850DB1">
      <w:pPr>
        <w:snapToGrid w:val="0"/>
        <w:spacing w:line="40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66D5E360">
      <w:pPr>
        <w:pStyle w:val="26"/>
        <w:spacing w:line="400" w:lineRule="exac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3D6B5787">
      <w:pPr>
        <w:pStyle w:val="26"/>
        <w:spacing w:line="400" w:lineRule="exac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330EADB2">
      <w:pPr>
        <w:snapToGrid w:val="0"/>
        <w:spacing w:line="400" w:lineRule="exact"/>
        <w:ind w:right="246"/>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78C4FA97">
      <w:pPr>
        <w:snapToGrid w:val="0"/>
        <w:spacing w:line="400" w:lineRule="exact"/>
        <w:ind w:right="246" w:firstLine="784" w:firstLineChars="327"/>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供应商（盖章）：</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p>
    <w:p w14:paraId="4C120F91">
      <w:pPr>
        <w:snapToGrid w:val="0"/>
        <w:spacing w:line="400" w:lineRule="exact"/>
        <w:ind w:right="246" w:firstLine="784" w:firstLineChars="327"/>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p>
    <w:p w14:paraId="6B95D6A1">
      <w:pPr>
        <w:snapToGrid w:val="0"/>
        <w:spacing w:line="400" w:lineRule="exact"/>
        <w:ind w:firstLine="784" w:firstLineChars="327"/>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法定代表人(签</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字或签</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章)：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p>
    <w:p w14:paraId="53374022">
      <w:pPr>
        <w:snapToGrid w:val="0"/>
        <w:spacing w:line="400" w:lineRule="exact"/>
        <w:ind w:firstLine="784" w:firstLineChars="327"/>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2551DA84">
      <w:pPr>
        <w:snapToGrid w:val="0"/>
        <w:spacing w:line="400" w:lineRule="exact"/>
        <w:ind w:firstLine="784" w:firstLineChars="327"/>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供应商(公章):</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p>
    <w:p w14:paraId="693E8D5D">
      <w:pPr>
        <w:snapToGrid w:val="0"/>
        <w:spacing w:line="400" w:lineRule="exact"/>
        <w:ind w:firstLine="784" w:firstLineChars="327"/>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37F26284">
      <w:pPr>
        <w:snapToGrid w:val="0"/>
        <w:spacing w:line="400" w:lineRule="exact"/>
        <w:ind w:firstLine="784" w:firstLineChars="327"/>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p>
    <w:p w14:paraId="41AD060B">
      <w:pPr>
        <w:pStyle w:val="36"/>
        <w:snapToGrid w:val="0"/>
        <w:spacing w:line="400" w:lineRule="exact"/>
        <w:ind w:firstLine="480"/>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425" w:name="_Toc16640"/>
      <w:bookmarkStart w:id="426" w:name="_Toc22472"/>
      <w:bookmarkStart w:id="427" w:name="_Toc13107"/>
      <w:bookmarkStart w:id="428" w:name="_Toc1083"/>
      <w:bookmarkStart w:id="429" w:name="_Toc5436"/>
      <w:bookmarkStart w:id="430" w:name="_Toc21867"/>
      <w:bookmarkStart w:id="431" w:name="_Toc6829"/>
      <w:bookmarkStart w:id="432" w:name="_Toc515647807"/>
    </w:p>
    <w:p w14:paraId="47DAD1A6">
      <w:pP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bookmarkStart w:id="433" w:name="_Toc7748"/>
      <w:bookmarkStart w:id="434" w:name="_Toc27943"/>
      <w:bookmarkStart w:id="435" w:name="_Toc8491"/>
      <w:bookmarkStart w:id="436" w:name="_Toc14483"/>
      <w:bookmarkStart w:id="437" w:name="_Toc16635"/>
      <w:bookmarkStart w:id="438" w:name="_Toc4082"/>
      <w:bookmarkStart w:id="439" w:name="_Toc4926"/>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br w:type="page"/>
      </w:r>
    </w:p>
    <w:p w14:paraId="614DBCFF">
      <w:pPr>
        <w:snapToGrid w:val="0"/>
        <w:spacing w:line="400" w:lineRule="exact"/>
        <w:ind w:left="1080" w:leftChars="257" w:hanging="540"/>
        <w:jc w:val="center"/>
        <w:textAlignment w:val="baseline"/>
        <w:rPr>
          <w:rFonts w:hint="eastAsia" w:asciiTheme="minorEastAsia" w:hAnsiTheme="minorEastAsia" w:eastAsiaTheme="minorEastAsia" w:cstheme="minorEastAsia"/>
          <w:b/>
          <w:bCs/>
          <w:color w:val="000000" w:themeColor="text1"/>
          <w:sz w:val="24"/>
          <w:highlight w:val="none"/>
          <w:u w:val="single" w:color="000000"/>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法定代表人授权委托书</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67539C79">
      <w:pPr>
        <w:pStyle w:val="16"/>
        <w:tabs>
          <w:tab w:val="left" w:pos="5580"/>
        </w:tabs>
        <w:snapToGrid w:val="0"/>
        <w:spacing w:line="400" w:lineRule="exac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440" w:name="_Toc7039"/>
      <w:bookmarkStart w:id="441" w:name="_Toc515647808"/>
      <w:bookmarkStart w:id="442" w:name="_Toc32520"/>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cr/>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本授权书声明：注册于（国家或地区的名称）的（供应商）的在下面签字的（法人代表姓名、职务）代表我单位授权（单位名称）的在下面签字的（被授权人的姓名、职务）为我单位的合法代理人，就（项目名称）的磋商，以我单位名义处理一切与之有关的事务。　　</w:t>
      </w:r>
    </w:p>
    <w:p w14:paraId="2E6A5699">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本授权书于        年    月   日签字生效,特此声明。</w:t>
      </w:r>
    </w:p>
    <w:p w14:paraId="4F05AD2D">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column">
                  <wp:posOffset>3039110</wp:posOffset>
                </wp:positionH>
                <wp:positionV relativeFrom="paragraph">
                  <wp:posOffset>97155</wp:posOffset>
                </wp:positionV>
                <wp:extent cx="2478405" cy="1387475"/>
                <wp:effectExtent l="7620" t="7620" r="9525" b="14605"/>
                <wp:wrapNone/>
                <wp:docPr id="1028" name="圆角矩形 15"/>
                <wp:cNvGraphicFramePr/>
                <a:graphic xmlns:a="http://schemas.openxmlformats.org/drawingml/2006/main">
                  <a:graphicData uri="http://schemas.microsoft.com/office/word/2010/wordprocessingShape">
                    <wps:wsp>
                      <wps:cNvSpPr/>
                      <wps:spPr>
                        <a:xfrm>
                          <a:off x="0" y="0"/>
                          <a:ext cx="2478405" cy="138747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25E48F2E">
                            <w:pPr>
                              <w:rPr>
                                <w:rFonts w:hAnsi="宋体"/>
                              </w:rPr>
                            </w:pPr>
                          </w:p>
                          <w:p w14:paraId="2EE84742">
                            <w:pPr>
                              <w:rPr>
                                <w:rFonts w:hAnsi="宋体"/>
                              </w:rPr>
                            </w:pPr>
                          </w:p>
                          <w:p w14:paraId="57C06B2C">
                            <w:pPr>
                              <w:rPr>
                                <w:rFonts w:hAnsi="宋体"/>
                              </w:rPr>
                            </w:pPr>
                          </w:p>
                          <w:p w14:paraId="4D8A9F2A">
                            <w:pPr>
                              <w:ind w:firstLine="420" w:firstLineChars="200"/>
                            </w:pPr>
                            <w:r>
                              <w:rPr>
                                <w:rFonts w:hint="eastAsia" w:hAnsi="宋体"/>
                              </w:rPr>
                              <w:t>授权委托人身份证复印件反面</w:t>
                            </w:r>
                          </w:p>
                          <w:p w14:paraId="697816E2"/>
                        </w:txbxContent>
                      </wps:txbx>
                      <wps:bodyPr upright="1"/>
                    </wps:wsp>
                  </a:graphicData>
                </a:graphic>
              </wp:anchor>
            </w:drawing>
          </mc:Choice>
          <mc:Fallback>
            <w:pict>
              <v:roundrect id="圆角矩形 15" o:spid="_x0000_s1026" o:spt="2" style="position:absolute;left:0pt;margin-left:239.3pt;margin-top:7.65pt;height:109.25pt;width:195.15pt;z-index:251659264;mso-width-relative:page;mso-height-relative:page;" fillcolor="#FFFFFF" filled="t" stroked="t" coordsize="21600,21600" arcsize="0.166666666666667" o:gfxdata="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Bk62fbAAAACgEAAA8AAAAAAAAAAQAgAAAAIgAAAGRycy9kb3ducmV2LnhtbFBL&#10;AQIUABQAAAAIAIdO4kC/extPLAIAAGYEAAAOAAAAAAAAAAEAIAAAACoBAABkcnMvZTJvRG9jLnht&#10;bFBLBQYAAAAABgAGAFkBAADIBQAAAAA=&#10;">
                <v:fill on="t" focussize="0,0"/>
                <v:stroke weight="1.25pt" color="#808080" joinstyle="round"/>
                <v:imagedata o:title=""/>
                <o:lock v:ext="edit" aspectratio="f"/>
                <v:textbox>
                  <w:txbxContent>
                    <w:p w14:paraId="25E48F2E">
                      <w:pPr>
                        <w:rPr>
                          <w:rFonts w:hAnsi="宋体"/>
                        </w:rPr>
                      </w:pPr>
                    </w:p>
                    <w:p w14:paraId="2EE84742">
                      <w:pPr>
                        <w:rPr>
                          <w:rFonts w:hAnsi="宋体"/>
                        </w:rPr>
                      </w:pPr>
                    </w:p>
                    <w:p w14:paraId="57C06B2C">
                      <w:pPr>
                        <w:rPr>
                          <w:rFonts w:hAnsi="宋体"/>
                        </w:rPr>
                      </w:pPr>
                    </w:p>
                    <w:p w14:paraId="4D8A9F2A">
                      <w:pPr>
                        <w:ind w:firstLine="420" w:firstLineChars="200"/>
                      </w:pPr>
                      <w:r>
                        <w:rPr>
                          <w:rFonts w:hint="eastAsia" w:hAnsi="宋体"/>
                        </w:rPr>
                        <w:t>授权委托人身份证复印件反面</w:t>
                      </w:r>
                    </w:p>
                    <w:p w14:paraId="697816E2"/>
                  </w:txbxContent>
                </v:textbox>
              </v:roundrect>
            </w:pict>
          </mc:Fallback>
        </mc:AlternateConten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column">
                  <wp:posOffset>20955</wp:posOffset>
                </wp:positionH>
                <wp:positionV relativeFrom="paragraph">
                  <wp:posOffset>135890</wp:posOffset>
                </wp:positionV>
                <wp:extent cx="2507615" cy="1405890"/>
                <wp:effectExtent l="4445" t="4445" r="21590" b="18415"/>
                <wp:wrapNone/>
                <wp:docPr id="1029" name="流程图: 可选过程 1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C852F23">
                            <w:pPr>
                              <w:jc w:val="center"/>
                              <w:rPr>
                                <w:rFonts w:hAnsi="宋体"/>
                              </w:rPr>
                            </w:pPr>
                          </w:p>
                          <w:p w14:paraId="50C9ACE2">
                            <w:pPr>
                              <w:jc w:val="center"/>
                              <w:rPr>
                                <w:rFonts w:hAnsi="宋体"/>
                              </w:rPr>
                            </w:pPr>
                          </w:p>
                          <w:p w14:paraId="56D64B4C">
                            <w:pPr>
                              <w:jc w:val="center"/>
                              <w:rPr>
                                <w:rFonts w:hAnsi="宋体"/>
                              </w:rPr>
                            </w:pPr>
                          </w:p>
                          <w:p w14:paraId="747992D6">
                            <w:pPr>
                              <w:jc w:val="center"/>
                            </w:pPr>
                            <w:r>
                              <w:rPr>
                                <w:rFonts w:hint="eastAsia" w:hAnsi="宋体"/>
                              </w:rPr>
                              <w:t>授权委托人身份证复印件正面</w:t>
                            </w:r>
                          </w:p>
                        </w:txbxContent>
                      </wps:txbx>
                      <wps:bodyPr upright="1"/>
                    </wps:wsp>
                  </a:graphicData>
                </a:graphic>
              </wp:anchor>
            </w:drawing>
          </mc:Choice>
          <mc:Fallback>
            <w:pict>
              <v:shape id="流程图: 可选过程 19" o:spid="_x0000_s1026" o:spt="176" type="#_x0000_t176" style="position:absolute;left:0pt;margin-left:1.65pt;margin-top:10.7pt;height:110.7pt;width:197.45pt;z-index:251659264;mso-width-relative:page;mso-height-relative:page;" fillcolor="#FFFFFF" filled="t" stroked="t" coordsize="21600,21600" o:gfxdata="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OS6tt1wAAAAgBAAAPAAAAAAAAAAEAIAAAACIAAABkcnMvZG93bnJldi54bWxQSwEC&#10;FAAUAAAACACHTuJAbjjyqS4CAABUBAAADgAAAAAAAAABACAAAAAmAQAAZHJzL2Uyb0RvYy54bWxQ&#10;SwUGAAAAAAYABgBZAQAAxgUAAAAA&#10;">
                <v:fill on="t" focussize="0,0"/>
                <v:stroke color="#000000" joinstyle="miter"/>
                <v:imagedata o:title=""/>
                <o:lock v:ext="edit" aspectratio="f"/>
                <v:textbox>
                  <w:txbxContent>
                    <w:p w14:paraId="4C852F23">
                      <w:pPr>
                        <w:jc w:val="center"/>
                        <w:rPr>
                          <w:rFonts w:hAnsi="宋体"/>
                        </w:rPr>
                      </w:pPr>
                    </w:p>
                    <w:p w14:paraId="50C9ACE2">
                      <w:pPr>
                        <w:jc w:val="center"/>
                        <w:rPr>
                          <w:rFonts w:hAnsi="宋体"/>
                        </w:rPr>
                      </w:pPr>
                    </w:p>
                    <w:p w14:paraId="56D64B4C">
                      <w:pPr>
                        <w:jc w:val="center"/>
                        <w:rPr>
                          <w:rFonts w:hAnsi="宋体"/>
                        </w:rPr>
                      </w:pPr>
                    </w:p>
                    <w:p w14:paraId="747992D6">
                      <w:pPr>
                        <w:jc w:val="center"/>
                      </w:pPr>
                      <w:r>
                        <w:rPr>
                          <w:rFonts w:hint="eastAsia" w:hAnsi="宋体"/>
                        </w:rPr>
                        <w:t>授权委托人身份证复印件正面</w:t>
                      </w:r>
                    </w:p>
                  </w:txbxContent>
                </v:textbox>
              </v:shape>
            </w:pict>
          </mc:Fallback>
        </mc:AlternateContent>
      </w:r>
    </w:p>
    <w:p w14:paraId="17AA1670">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45F39552">
      <w:pPr>
        <w:pStyle w:val="16"/>
        <w:tabs>
          <w:tab w:val="left" w:pos="5580"/>
        </w:tabs>
        <w:snapToGrid w:val="0"/>
        <w:spacing w:line="400" w:lineRule="exac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2DBD4CB6">
      <w:pPr>
        <w:pStyle w:val="16"/>
        <w:tabs>
          <w:tab w:val="left" w:pos="5580"/>
        </w:tabs>
        <w:snapToGrid w:val="0"/>
        <w:spacing w:line="400" w:lineRule="exac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463C2FA3">
      <w:pPr>
        <w:pStyle w:val="16"/>
        <w:tabs>
          <w:tab w:val="left" w:pos="5580"/>
        </w:tabs>
        <w:snapToGrid w:val="0"/>
        <w:spacing w:line="400" w:lineRule="exac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21406CDF">
      <w:pPr>
        <w:pStyle w:val="16"/>
        <w:tabs>
          <w:tab w:val="left" w:pos="5580"/>
        </w:tabs>
        <w:snapToGrid w:val="0"/>
        <w:spacing w:line="400" w:lineRule="exac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7E0AB9D0">
      <w:pPr>
        <w:pStyle w:val="16"/>
        <w:tabs>
          <w:tab w:val="left" w:pos="5580"/>
        </w:tabs>
        <w:snapToGrid w:val="0"/>
        <w:spacing w:line="400" w:lineRule="exac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34A6FB3B">
      <w:pPr>
        <w:pStyle w:val="16"/>
        <w:tabs>
          <w:tab w:val="left" w:pos="5580"/>
        </w:tabs>
        <w:snapToGrid w:val="0"/>
        <w:spacing w:line="400" w:lineRule="exac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column">
                  <wp:posOffset>29845</wp:posOffset>
                </wp:positionH>
                <wp:positionV relativeFrom="paragraph">
                  <wp:posOffset>235585</wp:posOffset>
                </wp:positionV>
                <wp:extent cx="2555240" cy="1409065"/>
                <wp:effectExtent l="7620" t="7620" r="8890" b="12065"/>
                <wp:wrapNone/>
                <wp:docPr id="1030" name="圆角矩形 16"/>
                <wp:cNvGraphicFramePr/>
                <a:graphic xmlns:a="http://schemas.openxmlformats.org/drawingml/2006/main">
                  <a:graphicData uri="http://schemas.microsoft.com/office/word/2010/wordprocessingShape">
                    <wps:wsp>
                      <wps:cNvSpPr/>
                      <wps:spPr>
                        <a:xfrm>
                          <a:off x="0" y="0"/>
                          <a:ext cx="2555240" cy="140906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33523A47">
                            <w:pPr>
                              <w:jc w:val="center"/>
                              <w:rPr>
                                <w:rFonts w:hAnsi="宋体"/>
                              </w:rPr>
                            </w:pPr>
                          </w:p>
                          <w:p w14:paraId="1FC52AC5">
                            <w:pPr>
                              <w:jc w:val="center"/>
                              <w:rPr>
                                <w:rFonts w:hAnsi="宋体"/>
                              </w:rPr>
                            </w:pPr>
                          </w:p>
                          <w:p w14:paraId="79F9526C">
                            <w:pPr>
                              <w:jc w:val="center"/>
                              <w:rPr>
                                <w:rFonts w:hAnsi="宋体"/>
                              </w:rPr>
                            </w:pPr>
                          </w:p>
                          <w:p w14:paraId="51D9C2A1">
                            <w:pPr>
                              <w:jc w:val="center"/>
                            </w:pPr>
                            <w:r>
                              <w:rPr>
                                <w:rFonts w:hint="eastAsia" w:hAnsi="宋体"/>
                              </w:rPr>
                              <w:t>法人身份证复印件正面</w:t>
                            </w:r>
                          </w:p>
                          <w:p w14:paraId="4DD76785"/>
                        </w:txbxContent>
                      </wps:txbx>
                      <wps:bodyPr upright="1"/>
                    </wps:wsp>
                  </a:graphicData>
                </a:graphic>
              </wp:anchor>
            </w:drawing>
          </mc:Choice>
          <mc:Fallback>
            <w:pict>
              <v:roundrect id="圆角矩形 16" o:spid="_x0000_s1026" o:spt="2" style="position:absolute;left:0pt;margin-left:2.35pt;margin-top:18.55pt;height:110.95pt;width:201.2pt;z-index:251659264;mso-width-relative:page;mso-height-relative:page;" fillcolor="#FFFFFF" filled="t" stroked="t" coordsize="21600,21600" arcsize="0.166666666666667" o:gfxdata="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1cJUzZAAAACAEAAA8AAAAAAAAAAQAgAAAAIgAAAGRycy9kb3ducmV2LnhtbFBLAQIU&#10;ABQAAAAIAIdO4kAwn2ooKwIAAGYEAAAOAAAAAAAAAAEAIAAAACgBAABkcnMvZTJvRG9jLnhtbFBL&#10;BQYAAAAABgAGAFkBAADFBQAAAAA=&#10;">
                <v:fill on="t" focussize="0,0"/>
                <v:stroke weight="1.25pt" color="#808080" joinstyle="round"/>
                <v:imagedata o:title=""/>
                <o:lock v:ext="edit" aspectratio="f"/>
                <v:textbox>
                  <w:txbxContent>
                    <w:p w14:paraId="33523A47">
                      <w:pPr>
                        <w:jc w:val="center"/>
                        <w:rPr>
                          <w:rFonts w:hAnsi="宋体"/>
                        </w:rPr>
                      </w:pPr>
                    </w:p>
                    <w:p w14:paraId="1FC52AC5">
                      <w:pPr>
                        <w:jc w:val="center"/>
                        <w:rPr>
                          <w:rFonts w:hAnsi="宋体"/>
                        </w:rPr>
                      </w:pPr>
                    </w:p>
                    <w:p w14:paraId="79F9526C">
                      <w:pPr>
                        <w:jc w:val="center"/>
                        <w:rPr>
                          <w:rFonts w:hAnsi="宋体"/>
                        </w:rPr>
                      </w:pPr>
                    </w:p>
                    <w:p w14:paraId="51D9C2A1">
                      <w:pPr>
                        <w:jc w:val="center"/>
                      </w:pPr>
                      <w:r>
                        <w:rPr>
                          <w:rFonts w:hint="eastAsia" w:hAnsi="宋体"/>
                        </w:rPr>
                        <w:t>法人身份证复印件正面</w:t>
                      </w:r>
                    </w:p>
                    <w:p w14:paraId="4DD76785"/>
                  </w:txbxContent>
                </v:textbox>
              </v:roundrect>
            </w:pict>
          </mc:Fallback>
        </mc:AlternateContent>
      </w:r>
    </w:p>
    <w:p w14:paraId="6B396FF4">
      <w:pPr>
        <w:pStyle w:val="16"/>
        <w:tabs>
          <w:tab w:val="left" w:pos="5580"/>
        </w:tabs>
        <w:snapToGrid w:val="0"/>
        <w:spacing w:line="400" w:lineRule="exac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mc:AlternateContent>
          <mc:Choice Requires="wps">
            <w:drawing>
              <wp:anchor distT="0" distB="0" distL="0" distR="0" simplePos="0" relativeHeight="251660288" behindDoc="0" locked="0" layoutInCell="1" allowOverlap="1">
                <wp:simplePos x="0" y="0"/>
                <wp:positionH relativeFrom="column">
                  <wp:posOffset>2830195</wp:posOffset>
                </wp:positionH>
                <wp:positionV relativeFrom="paragraph">
                  <wp:posOffset>29210</wp:posOffset>
                </wp:positionV>
                <wp:extent cx="2555240" cy="1409065"/>
                <wp:effectExtent l="7620" t="7620" r="8890" b="12065"/>
                <wp:wrapNone/>
                <wp:docPr id="4" name="圆角矩形 16"/>
                <wp:cNvGraphicFramePr/>
                <a:graphic xmlns:a="http://schemas.openxmlformats.org/drawingml/2006/main">
                  <a:graphicData uri="http://schemas.microsoft.com/office/word/2010/wordprocessingShape">
                    <wps:wsp>
                      <wps:cNvSpPr/>
                      <wps:spPr>
                        <a:xfrm>
                          <a:off x="0" y="0"/>
                          <a:ext cx="2555240" cy="140906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5C62C4F5">
                            <w:pPr>
                              <w:jc w:val="center"/>
                              <w:rPr>
                                <w:rFonts w:hAnsi="宋体"/>
                              </w:rPr>
                            </w:pPr>
                          </w:p>
                          <w:p w14:paraId="22805B3B">
                            <w:pPr>
                              <w:jc w:val="center"/>
                              <w:rPr>
                                <w:rFonts w:hAnsi="宋体"/>
                              </w:rPr>
                            </w:pPr>
                          </w:p>
                          <w:p w14:paraId="5C52E635">
                            <w:pPr>
                              <w:jc w:val="center"/>
                              <w:rPr>
                                <w:rFonts w:hAnsi="宋体"/>
                              </w:rPr>
                            </w:pPr>
                          </w:p>
                          <w:p w14:paraId="21856273">
                            <w:pPr>
                              <w:jc w:val="center"/>
                            </w:pPr>
                            <w:r>
                              <w:rPr>
                                <w:rFonts w:hint="eastAsia" w:hAnsi="宋体"/>
                              </w:rPr>
                              <w:t>法人身份证复印件</w:t>
                            </w:r>
                            <w:r>
                              <w:rPr>
                                <w:rFonts w:hint="eastAsia" w:hAnsi="宋体"/>
                                <w:lang w:val="en-US" w:eastAsia="zh-CN"/>
                              </w:rPr>
                              <w:t>反</w:t>
                            </w:r>
                            <w:r>
                              <w:rPr>
                                <w:rFonts w:hint="eastAsia" w:hAnsi="宋体"/>
                              </w:rPr>
                              <w:t>面</w:t>
                            </w:r>
                          </w:p>
                          <w:p w14:paraId="1C344EEB"/>
                        </w:txbxContent>
                      </wps:txbx>
                      <wps:bodyPr upright="1"/>
                    </wps:wsp>
                  </a:graphicData>
                </a:graphic>
              </wp:anchor>
            </w:drawing>
          </mc:Choice>
          <mc:Fallback>
            <w:pict>
              <v:roundrect id="圆角矩形 16" o:spid="_x0000_s1026" o:spt="2" style="position:absolute;left:0pt;margin-left:222.85pt;margin-top:2.3pt;height:110.95pt;width:201.2pt;z-index:251660288;mso-width-relative:page;mso-height-relative:page;" fillcolor="#FFFFFF" filled="t" stroked="t" coordsize="21600,21600" arcsize="0.166666666666667" o:gfxdata="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UprL/bAAAACQEAAA8AAAAAAAAAAQAgAAAAIgAAAGRycy9kb3ducmV2LnhtbFBLAQIU&#10;ABQAAAAIAIdO4kBfZh7EKQIAAGMEAAAOAAAAAAAAAAEAIAAAACoBAABkcnMvZTJvRG9jLnhtbFBL&#10;BQYAAAAABgAGAFkBAADFBQAAAAA=&#10;">
                <v:fill on="t" focussize="0,0"/>
                <v:stroke weight="1.25pt" color="#808080" joinstyle="round"/>
                <v:imagedata o:title=""/>
                <o:lock v:ext="edit" aspectratio="f"/>
                <v:textbox>
                  <w:txbxContent>
                    <w:p w14:paraId="5C62C4F5">
                      <w:pPr>
                        <w:jc w:val="center"/>
                        <w:rPr>
                          <w:rFonts w:hAnsi="宋体"/>
                        </w:rPr>
                      </w:pPr>
                    </w:p>
                    <w:p w14:paraId="22805B3B">
                      <w:pPr>
                        <w:jc w:val="center"/>
                        <w:rPr>
                          <w:rFonts w:hAnsi="宋体"/>
                        </w:rPr>
                      </w:pPr>
                    </w:p>
                    <w:p w14:paraId="5C52E635">
                      <w:pPr>
                        <w:jc w:val="center"/>
                        <w:rPr>
                          <w:rFonts w:hAnsi="宋体"/>
                        </w:rPr>
                      </w:pPr>
                    </w:p>
                    <w:p w14:paraId="21856273">
                      <w:pPr>
                        <w:jc w:val="center"/>
                      </w:pPr>
                      <w:r>
                        <w:rPr>
                          <w:rFonts w:hint="eastAsia" w:hAnsi="宋体"/>
                        </w:rPr>
                        <w:t>法人身份证复印件</w:t>
                      </w:r>
                      <w:r>
                        <w:rPr>
                          <w:rFonts w:hint="eastAsia" w:hAnsi="宋体"/>
                          <w:lang w:val="en-US" w:eastAsia="zh-CN"/>
                        </w:rPr>
                        <w:t>反</w:t>
                      </w:r>
                      <w:r>
                        <w:rPr>
                          <w:rFonts w:hint="eastAsia" w:hAnsi="宋体"/>
                        </w:rPr>
                        <w:t>面</w:t>
                      </w:r>
                    </w:p>
                    <w:p w14:paraId="1C344EEB"/>
                  </w:txbxContent>
                </v:textbox>
              </v:roundrect>
            </w:pict>
          </mc:Fallback>
        </mc:AlternateContent>
      </w:r>
    </w:p>
    <w:p w14:paraId="6B20426E">
      <w:pPr>
        <w:pStyle w:val="16"/>
        <w:tabs>
          <w:tab w:val="left" w:pos="5580"/>
        </w:tabs>
        <w:snapToGrid w:val="0"/>
        <w:spacing w:line="400" w:lineRule="exac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5A735701">
      <w:pPr>
        <w:pStyle w:val="16"/>
        <w:tabs>
          <w:tab w:val="left" w:pos="5580"/>
        </w:tabs>
        <w:snapToGrid w:val="0"/>
        <w:spacing w:line="400" w:lineRule="exac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3F4E67E0">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供应商（盖单位章）;               </w:t>
      </w:r>
    </w:p>
    <w:p w14:paraId="70B6CBCA">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71A8ACC3">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12A7D9F0">
      <w:pPr>
        <w:pStyle w:val="16"/>
        <w:tabs>
          <w:tab w:val="left" w:pos="5370"/>
        </w:tabs>
        <w:snapToGrid w:val="0"/>
        <w:spacing w:line="400" w:lineRule="exact"/>
        <w:ind w:firstLine="480" w:firstLineChars="200"/>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供应商(公章):</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p>
    <w:p w14:paraId="0D5AA9EE">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法定代表人（签/章）：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14:paraId="1E32DBE7">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身份证号码：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p>
    <w:p w14:paraId="06E0F48E">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委托代理人（签/章）：</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14:paraId="3A336660">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身份证号码：</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14:paraId="3B7B2003">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详细通讯地址：</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14:paraId="69151176">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邮 政 编 码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14:paraId="0D739134">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传　　　真：</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14:paraId="16A721C4">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电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话：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14:paraId="06F68299">
      <w:pPr>
        <w:pStyle w:val="16"/>
        <w:tabs>
          <w:tab w:val="left" w:pos="5580"/>
        </w:tabs>
        <w:snapToGrid w:val="0"/>
        <w:spacing w:line="400" w:lineRule="exac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日</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期：</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bookmarkEnd w:id="440"/>
      <w:bookmarkEnd w:id="441"/>
      <w:bookmarkEnd w:id="442"/>
    </w:p>
    <w:p w14:paraId="4B526F85">
      <w:pPr>
        <w:pStyle w:val="16"/>
        <w:tabs>
          <w:tab w:val="left" w:pos="5580"/>
        </w:tabs>
        <w:snapToGrid w:val="0"/>
        <w:spacing w:line="240" w:lineRule="atLeas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6B6C95CC">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5F46AF7D">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0DAFC990">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028A3384">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7A9E71FD">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3C7481E1">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br w:type="page"/>
      </w:r>
    </w:p>
    <w:p w14:paraId="2DA2B949">
      <w:pPr>
        <w:pStyle w:val="5"/>
        <w:numPr>
          <w:ilvl w:val="3"/>
          <w:numId w:val="0"/>
        </w:numPr>
        <w:bidi w:val="0"/>
        <w:ind w:leftChars="200"/>
        <w:rPr>
          <w:rFonts w:hint="eastAsia" w:ascii="仿宋" w:hAnsi="仿宋" w:eastAsia="仿宋" w:cs="仿宋"/>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③本单位依法缴纳的近三个月内任意一个月的社会保险的凭据；</w:t>
      </w:r>
    </w:p>
    <w:p w14:paraId="58F83D6D">
      <w:pPr>
        <w:pStyle w:val="36"/>
        <w:snapToGrid w:val="0"/>
        <w:spacing w:line="240" w:lineRule="auto"/>
        <w:ind w:firstLine="480"/>
        <w:textAlignment w:val="baseline"/>
        <w:outlineLvl w:val="9"/>
        <w:rPr>
          <w:rFonts w:hint="eastAsia" w:ascii="仿宋" w:hAnsi="仿宋" w:eastAsia="仿宋" w:cs="仿宋"/>
          <w:b w:val="0"/>
          <w:bCs/>
          <w:color w:val="000000" w:themeColor="text1"/>
          <w:kern w:val="0"/>
          <w:sz w:val="22"/>
          <w:szCs w:val="28"/>
          <w:highlight w:val="none"/>
          <w:lang w:val="en-US" w:eastAsia="zh-CN"/>
          <w14:textFill>
            <w14:solidFill>
              <w14:schemeClr w14:val="tx1"/>
            </w14:solidFill>
          </w14:textFill>
        </w:rPr>
      </w:pPr>
      <w:r>
        <w:rPr>
          <w:rFonts w:hint="eastAsia" w:ascii="仿宋" w:hAnsi="仿宋" w:eastAsia="仿宋" w:cs="仿宋"/>
          <w:b w:val="0"/>
          <w:bCs/>
          <w:color w:val="000000" w:themeColor="text1"/>
          <w:kern w:val="0"/>
          <w:sz w:val="22"/>
          <w:szCs w:val="28"/>
          <w:highlight w:val="none"/>
          <w:lang w:val="en-US" w:eastAsia="zh-CN"/>
          <w14:textFill>
            <w14:solidFill>
              <w14:schemeClr w14:val="tx1"/>
            </w14:solidFill>
          </w14:textFill>
        </w:rPr>
        <w:t>说明：1.社保证明可含：社保缴费凭证或社保缴费证明或社保缴费汇总单或依法缴纳社保的完税证明。</w:t>
      </w:r>
    </w:p>
    <w:p w14:paraId="41086F9D">
      <w:pPr>
        <w:pStyle w:val="16"/>
        <w:numPr>
          <w:ilvl w:val="0"/>
          <w:numId w:val="0"/>
        </w:numPr>
        <w:tabs>
          <w:tab w:val="left" w:pos="5580"/>
        </w:tabs>
        <w:snapToGrid w:val="0"/>
        <w:spacing w:line="240" w:lineRule="atLeast"/>
        <w:ind w:firstLine="660" w:firstLineChars="300"/>
        <w:textAlignment w:val="baseline"/>
        <w:rPr>
          <w:rFonts w:hint="eastAsia" w:ascii="仿宋" w:hAnsi="仿宋" w:eastAsia="仿宋" w:cs="仿宋"/>
          <w:color w:val="000000" w:themeColor="text1"/>
          <w:sz w:val="22"/>
          <w:szCs w:val="21"/>
          <w:highlight w:val="none"/>
          <w14:textFill>
            <w14:solidFill>
              <w14:schemeClr w14:val="tx1"/>
            </w14:solidFill>
          </w14:textFill>
        </w:rPr>
      </w:pPr>
      <w:r>
        <w:rPr>
          <w:rFonts w:hint="eastAsia" w:ascii="仿宋" w:hAnsi="仿宋" w:eastAsia="仿宋" w:cs="仿宋"/>
          <w:b w:val="0"/>
          <w:bCs/>
          <w:color w:val="000000" w:themeColor="text1"/>
          <w:kern w:val="0"/>
          <w:sz w:val="22"/>
          <w:szCs w:val="21"/>
          <w:highlight w:val="none"/>
          <w:lang w:val="en-US" w:eastAsia="zh-CN"/>
          <w14:textFill>
            <w14:solidFill>
              <w14:schemeClr w14:val="tx1"/>
            </w14:solidFill>
          </w14:textFill>
        </w:rPr>
        <w:t>近3个月是指招标公告发布前的3个月</w:t>
      </w:r>
    </w:p>
    <w:p w14:paraId="1E3DA842">
      <w:pPr>
        <w:pStyle w:val="36"/>
        <w:rPr>
          <w:rFonts w:hint="eastAsia" w:ascii="仿宋" w:hAnsi="仿宋" w:eastAsia="仿宋" w:cs="仿宋"/>
          <w:color w:val="000000" w:themeColor="text1"/>
          <w:sz w:val="22"/>
          <w:szCs w:val="28"/>
          <w:highlight w:val="none"/>
          <w14:textFill>
            <w14:solidFill>
              <w14:schemeClr w14:val="tx1"/>
            </w14:solidFill>
          </w14:textFill>
        </w:rPr>
      </w:pPr>
    </w:p>
    <w:p w14:paraId="6E60F0AD">
      <w:pPr>
        <w:pStyle w:val="5"/>
        <w:numPr>
          <w:ilvl w:val="3"/>
          <w:numId w:val="0"/>
        </w:numPr>
        <w:bidi w:val="0"/>
        <w:ind w:leftChars="200"/>
        <w:rPr>
          <w:rFonts w:hint="eastAsia" w:ascii="仿宋" w:hAnsi="仿宋" w:eastAsia="仿宋" w:cs="仿宋"/>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④税务部门出具的近六个月任意一个月完税证明（依法免缴的应提供依法免缴的相关证明文件或零申报报表）；</w:t>
      </w:r>
    </w:p>
    <w:p w14:paraId="31FEF93B">
      <w:pPr>
        <w:pStyle w:val="36"/>
        <w:snapToGrid w:val="0"/>
        <w:spacing w:line="240" w:lineRule="auto"/>
        <w:ind w:firstLine="480"/>
        <w:textAlignment w:val="baseline"/>
        <w:outlineLvl w:val="9"/>
        <w:rPr>
          <w:rFonts w:hint="eastAsia" w:ascii="仿宋" w:hAnsi="仿宋" w:eastAsia="仿宋" w:cs="仿宋"/>
          <w:b w:val="0"/>
          <w:bCs/>
          <w:color w:val="000000" w:themeColor="text1"/>
          <w:kern w:val="0"/>
          <w:sz w:val="22"/>
          <w:szCs w:val="28"/>
          <w:highlight w:val="none"/>
          <w:lang w:val="en-US" w:eastAsia="zh-CN"/>
          <w14:textFill>
            <w14:solidFill>
              <w14:schemeClr w14:val="tx1"/>
            </w14:solidFill>
          </w14:textFill>
        </w:rPr>
      </w:pPr>
      <w:r>
        <w:rPr>
          <w:rFonts w:hint="eastAsia" w:ascii="仿宋" w:hAnsi="仿宋" w:eastAsia="仿宋" w:cs="仿宋"/>
          <w:b w:val="0"/>
          <w:bCs/>
          <w:color w:val="000000" w:themeColor="text1"/>
          <w:kern w:val="0"/>
          <w:sz w:val="22"/>
          <w:szCs w:val="28"/>
          <w:highlight w:val="none"/>
          <w:lang w:val="en-US" w:eastAsia="zh-CN"/>
          <w14:textFill>
            <w14:solidFill>
              <w14:schemeClr w14:val="tx1"/>
            </w14:solidFill>
          </w14:textFill>
        </w:rPr>
        <w:t>说明：1、新成立公司若无纳税记录，可开具无欠税证明或零申报报表。</w:t>
      </w:r>
    </w:p>
    <w:p w14:paraId="51BFA67F">
      <w:pPr>
        <w:pStyle w:val="36"/>
        <w:snapToGrid w:val="0"/>
        <w:spacing w:line="240" w:lineRule="auto"/>
        <w:ind w:firstLine="1100" w:firstLineChars="500"/>
        <w:textAlignment w:val="baseline"/>
        <w:outlineLvl w:val="9"/>
        <w:rPr>
          <w:rFonts w:hint="eastAsia" w:ascii="仿宋" w:hAnsi="仿宋" w:eastAsia="仿宋" w:cs="仿宋"/>
          <w:b w:val="0"/>
          <w:bCs/>
          <w:color w:val="000000" w:themeColor="text1"/>
          <w:kern w:val="0"/>
          <w:sz w:val="22"/>
          <w:szCs w:val="28"/>
          <w:highlight w:val="none"/>
          <w:lang w:val="en-US" w:eastAsia="zh-CN"/>
          <w14:textFill>
            <w14:solidFill>
              <w14:schemeClr w14:val="tx1"/>
            </w14:solidFill>
          </w14:textFill>
        </w:rPr>
      </w:pPr>
      <w:r>
        <w:rPr>
          <w:rFonts w:hint="eastAsia" w:ascii="仿宋" w:hAnsi="仿宋" w:eastAsia="仿宋" w:cs="仿宋"/>
          <w:b w:val="0"/>
          <w:bCs/>
          <w:color w:val="000000" w:themeColor="text1"/>
          <w:kern w:val="0"/>
          <w:sz w:val="22"/>
          <w:szCs w:val="28"/>
          <w:highlight w:val="none"/>
          <w:lang w:val="en-US" w:eastAsia="zh-CN"/>
          <w14:textFill>
            <w14:solidFill>
              <w14:schemeClr w14:val="tx1"/>
            </w14:solidFill>
          </w14:textFill>
        </w:rPr>
        <w:t>2、完税证明中“税种”非养老保险、医疗保险、失业保险、工伤保险和生育保险。</w:t>
      </w:r>
    </w:p>
    <w:p w14:paraId="5EF0624B">
      <w:pPr>
        <w:pStyle w:val="16"/>
        <w:numPr>
          <w:ilvl w:val="0"/>
          <w:numId w:val="0"/>
        </w:numPr>
        <w:tabs>
          <w:tab w:val="left" w:pos="5580"/>
        </w:tabs>
        <w:snapToGrid w:val="0"/>
        <w:spacing w:line="240" w:lineRule="atLeast"/>
        <w:ind w:firstLine="1100" w:firstLineChars="500"/>
        <w:textAlignment w:val="baseline"/>
        <w:rPr>
          <w:rFonts w:hint="eastAsia" w:ascii="仿宋" w:hAnsi="仿宋" w:eastAsia="仿宋" w:cs="仿宋"/>
          <w:b/>
          <w:color w:val="000000" w:themeColor="text1"/>
          <w:kern w:val="0"/>
          <w:sz w:val="28"/>
          <w:szCs w:val="28"/>
          <w:highlight w:val="none"/>
          <w14:textFill>
            <w14:solidFill>
              <w14:schemeClr w14:val="tx1"/>
            </w14:solidFill>
          </w14:textFill>
        </w:rPr>
      </w:pPr>
      <w:r>
        <w:rPr>
          <w:rFonts w:hint="eastAsia" w:ascii="仿宋" w:hAnsi="仿宋" w:eastAsia="仿宋" w:cs="仿宋"/>
          <w:b w:val="0"/>
          <w:bCs/>
          <w:color w:val="000000" w:themeColor="text1"/>
          <w:kern w:val="0"/>
          <w:sz w:val="22"/>
          <w:szCs w:val="21"/>
          <w:highlight w:val="none"/>
          <w:lang w:val="en-US" w:eastAsia="zh-CN"/>
          <w14:textFill>
            <w14:solidFill>
              <w14:schemeClr w14:val="tx1"/>
            </w14:solidFill>
          </w14:textFill>
        </w:rPr>
        <w:t>3、近6个月是指招标公告发布前的6个月。</w:t>
      </w:r>
    </w:p>
    <w:p w14:paraId="55E2D5F6">
      <w:pPr>
        <w:rPr>
          <w:rFonts w:hint="eastAsia" w:ascii="仿宋" w:hAnsi="仿宋" w:eastAsia="仿宋" w:cs="仿宋"/>
          <w:color w:val="000000" w:themeColor="text1"/>
          <w:sz w:val="22"/>
          <w:szCs w:val="28"/>
          <w:highlight w:val="none"/>
          <w14:textFill>
            <w14:solidFill>
              <w14:schemeClr w14:val="tx1"/>
            </w14:solidFill>
          </w14:textFill>
        </w:rPr>
      </w:pPr>
    </w:p>
    <w:p w14:paraId="572881A6">
      <w:pPr>
        <w:pStyle w:val="5"/>
        <w:numPr>
          <w:ilvl w:val="3"/>
          <w:numId w:val="0"/>
        </w:numPr>
        <w:bidi w:val="0"/>
        <w:ind w:leftChars="200"/>
        <w:rPr>
          <w:rFonts w:hint="eastAsia" w:ascii="仿宋" w:hAnsi="仿宋" w:eastAsia="仿宋" w:cs="仿宋"/>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⑤投标人须提供近两年内（以投标截止日为基准倒推计算）任意一个完整自然年度的财务审计报告。完整自然年度指自 1 月 1 日起至 12 月 31 日止的连续十二个月期间，（成立不满一年的可提供近三个月的银行资信证明）；</w:t>
      </w:r>
    </w:p>
    <w:p w14:paraId="59342C5B">
      <w:pPr>
        <w:tabs>
          <w:tab w:val="left" w:pos="5580"/>
        </w:tabs>
        <w:spacing w:line="240" w:lineRule="auto"/>
        <w:ind w:left="1080" w:leftChars="257" w:hanging="540"/>
        <w:rPr>
          <w:rFonts w:hint="eastAsia" w:ascii="仿宋" w:hAnsi="仿宋" w:eastAsia="仿宋" w:cs="仿宋"/>
          <w:b w:val="0"/>
          <w:bCs/>
          <w:color w:val="000000" w:themeColor="text1"/>
          <w:kern w:val="0"/>
          <w:sz w:val="28"/>
          <w:szCs w:val="21"/>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0"/>
          <w:sz w:val="28"/>
          <w:szCs w:val="21"/>
          <w:highlight w:val="none"/>
          <w:lang w:val="en-US" w:eastAsia="zh-CN" w:bidi="ar-SA"/>
          <w14:textFill>
            <w14:solidFill>
              <w14:schemeClr w14:val="tx1"/>
            </w14:solidFill>
          </w14:textFill>
        </w:rPr>
        <w:t>说明：1、如提供本单位上年度经会计师事务所出具的完整审计报告复印件须加盖本单位章。</w:t>
      </w:r>
    </w:p>
    <w:p w14:paraId="094FD397">
      <w:pPr>
        <w:pStyle w:val="7"/>
        <w:spacing w:line="240" w:lineRule="auto"/>
        <w:rPr>
          <w:rFonts w:hint="eastAsia" w:ascii="仿宋" w:hAnsi="仿宋" w:eastAsia="仿宋" w:cs="仿宋"/>
          <w:b w:val="0"/>
          <w:bCs/>
          <w:color w:val="000000" w:themeColor="text1"/>
          <w:kern w:val="0"/>
          <w:sz w:val="28"/>
          <w:szCs w:val="21"/>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0"/>
          <w:sz w:val="28"/>
          <w:szCs w:val="21"/>
          <w:highlight w:val="none"/>
          <w:lang w:val="en-US" w:eastAsia="zh-CN" w:bidi="ar-SA"/>
          <w14:textFill>
            <w14:solidFill>
              <w14:schemeClr w14:val="tx1"/>
            </w14:solidFill>
          </w14:textFill>
        </w:rPr>
        <w:t>2、如果是联合体投标，联合体各方均需提供上述证明。</w:t>
      </w:r>
    </w:p>
    <w:p w14:paraId="23C29317">
      <w:pPr>
        <w:pStyle w:val="9"/>
        <w:ind w:firstLine="560" w:firstLineChars="200"/>
        <w:rPr>
          <w:rFonts w:hint="eastAsia" w:ascii="仿宋" w:hAnsi="仿宋" w:eastAsia="仿宋" w:cs="仿宋"/>
          <w:b w:val="0"/>
          <w:bCs/>
          <w:color w:val="000000" w:themeColor="text1"/>
          <w:kern w:val="0"/>
          <w:sz w:val="28"/>
          <w:szCs w:val="21"/>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0"/>
          <w:sz w:val="28"/>
          <w:szCs w:val="21"/>
          <w:highlight w:val="none"/>
          <w:lang w:val="en-US" w:eastAsia="zh-CN" w:bidi="ar-SA"/>
          <w14:textFill>
            <w14:solidFill>
              <w14:schemeClr w14:val="tx1"/>
            </w14:solidFill>
          </w14:textFill>
        </w:rPr>
        <w:t>3、近两年任意一年指2024年或2025年，近3个月是指招标公告发布前3个月。</w:t>
      </w:r>
    </w:p>
    <w:p w14:paraId="060F0895">
      <w:pPr>
        <w:ind w:firstLine="560" w:firstLineChars="200"/>
        <w:rPr>
          <w:rFonts w:hint="eastAsia" w:ascii="仿宋" w:hAnsi="仿宋" w:eastAsia="仿宋" w:cs="仿宋"/>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b w:val="0"/>
          <w:bCs/>
          <w:color w:val="000000" w:themeColor="text1"/>
          <w:kern w:val="0"/>
          <w:sz w:val="28"/>
          <w:szCs w:val="21"/>
          <w:highlight w:val="none"/>
          <w:lang w:val="en-US" w:eastAsia="zh-CN" w:bidi="ar-SA"/>
          <w14:textFill>
            <w14:solidFill>
              <w14:schemeClr w14:val="tx1"/>
            </w14:solidFill>
          </w14:textFill>
        </w:rPr>
        <w:t>4、</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成立不满一年是指公司成立至投标截止时间不满一年。</w:t>
      </w:r>
    </w:p>
    <w:p w14:paraId="6B226D6A">
      <w:pPr>
        <w:ind w:firstLine="560" w:firstLineChars="200"/>
        <w:rPr>
          <w:rFonts w:hint="eastAsia" w:ascii="仿宋" w:hAnsi="仿宋" w:eastAsia="仿宋" w:cs="仿宋"/>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5、财务审计报告须由依法设立并取得财政部门颁发的《会计师事务所执业证书》的会计师事务所出具，并加盖事务所公章及注册会计师签章，报告内容应完整、真实、有效。</w:t>
      </w:r>
    </w:p>
    <w:p w14:paraId="12B7C840">
      <w:pPr>
        <w:rPr>
          <w:rFonts w:hint="eastAsia" w:ascii="仿宋" w:hAnsi="仿宋" w:eastAsia="仿宋" w:cs="仿宋"/>
          <w:color w:val="000000" w:themeColor="text1"/>
          <w:sz w:val="22"/>
          <w:szCs w:val="28"/>
          <w:highlight w:val="none"/>
          <w14:textFill>
            <w14:solidFill>
              <w14:schemeClr w14:val="tx1"/>
            </w14:solidFill>
          </w14:textFill>
        </w:rPr>
      </w:pPr>
    </w:p>
    <w:p w14:paraId="4BFFD482">
      <w:pPr>
        <w:pStyle w:val="5"/>
        <w:numPr>
          <w:ilvl w:val="3"/>
          <w:numId w:val="0"/>
        </w:numPr>
        <w:bidi w:val="0"/>
        <w:ind w:leftChars="200"/>
        <w:rPr>
          <w:rFonts w:hint="eastAsia" w:ascii="仿宋" w:hAnsi="仿宋" w:eastAsia="仿宋" w:cs="仿宋"/>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⑥参与政府采购活动前3年内未被列入失信、重大税收违法案件、财政部门禁止参加政府采购活动的承诺书；</w:t>
      </w:r>
    </w:p>
    <w:p w14:paraId="27211A47">
      <w:pPr>
        <w:pStyle w:val="7"/>
        <w:ind w:left="0" w:leftChars="0" w:firstLine="840" w:firstLineChars="300"/>
        <w:rPr>
          <w:rFonts w:hint="eastAsia" w:ascii="仿宋" w:hAnsi="仿宋" w:eastAsia="仿宋" w:cs="仿宋"/>
          <w:b/>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sz w:val="28"/>
          <w:szCs w:val="21"/>
          <w:highlight w:val="none"/>
          <w:lang w:val="en-US" w:eastAsia="zh-CN"/>
          <w14:textFill>
            <w14:solidFill>
              <w14:schemeClr w14:val="tx1"/>
            </w14:solidFill>
          </w14:textFill>
        </w:rPr>
        <w:t>说明：1.供应商应按照相关法规规定如实作出说明。</w:t>
      </w:r>
    </w:p>
    <w:p w14:paraId="1EFBD7FA">
      <w:pPr>
        <w:rPr>
          <w:rFonts w:hint="eastAsia" w:ascii="仿宋" w:hAnsi="仿宋" w:eastAsia="仿宋" w:cs="仿宋"/>
          <w:color w:val="000000" w:themeColor="text1"/>
          <w:sz w:val="22"/>
          <w:szCs w:val="28"/>
          <w:highlight w:val="none"/>
          <w14:textFill>
            <w14:solidFill>
              <w14:schemeClr w14:val="tx1"/>
            </w14:solidFill>
          </w14:textFill>
        </w:rPr>
      </w:pPr>
    </w:p>
    <w:p w14:paraId="3B99CDA2">
      <w:pPr>
        <w:pStyle w:val="5"/>
        <w:numPr>
          <w:ilvl w:val="3"/>
          <w:numId w:val="0"/>
        </w:numPr>
        <w:bidi w:val="0"/>
        <w:ind w:leftChars="200"/>
        <w:rPr>
          <w:rFonts w:hint="eastAsia" w:ascii="仿宋" w:hAnsi="仿宋" w:eastAsia="仿宋" w:cs="仿宋"/>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⑦提供针对本次项目的反商业贿赂承诺书;</w:t>
      </w:r>
    </w:p>
    <w:p w14:paraId="4AA82908">
      <w:pPr>
        <w:pStyle w:val="7"/>
        <w:ind w:left="0" w:leftChars="0" w:firstLine="840" w:firstLineChars="300"/>
        <w:rPr>
          <w:rFonts w:hint="eastAsia" w:ascii="仿宋" w:hAnsi="仿宋" w:eastAsia="仿宋" w:cs="仿宋"/>
          <w:color w:val="000000" w:themeColor="text1"/>
          <w:sz w:val="28"/>
          <w:szCs w:val="21"/>
          <w:highlight w:val="none"/>
          <w:lang w:val="en-US" w:eastAsia="zh-CN"/>
          <w14:textFill>
            <w14:solidFill>
              <w14:schemeClr w14:val="tx1"/>
            </w14:solidFill>
          </w14:textFill>
        </w:rPr>
      </w:pPr>
      <w:r>
        <w:rPr>
          <w:rFonts w:hint="eastAsia" w:ascii="仿宋" w:hAnsi="仿宋" w:eastAsia="仿宋" w:cs="仿宋"/>
          <w:color w:val="000000" w:themeColor="text1"/>
          <w:sz w:val="28"/>
          <w:szCs w:val="21"/>
          <w:highlight w:val="none"/>
          <w:lang w:val="en-US" w:eastAsia="zh-CN"/>
          <w14:textFill>
            <w14:solidFill>
              <w14:schemeClr w14:val="tx1"/>
            </w14:solidFill>
          </w14:textFill>
        </w:rPr>
        <w:t>说明：1.供应商应按照相关法规规定如实作出说明。</w:t>
      </w:r>
    </w:p>
    <w:p w14:paraId="232952F1">
      <w:pPr>
        <w:pStyle w:val="5"/>
        <w:numPr>
          <w:ilvl w:val="3"/>
          <w:numId w:val="0"/>
        </w:numPr>
        <w:bidi w:val="0"/>
        <w:ind w:leftChars="200"/>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⑧根据《财政部关于在政府采购活动中查询及使用信用记录有关问题的通知》（财库﹝2016﹞125号）的要求，凡拟参加本次招标项目的供应商，如在“信用中国”网站（https://www.creditchina.gov.cn/） 被列入失信被执行人、重大税收违法失信主体名单、中国政府采购（http://www.ccgp.gov.cn/search/cr/）政府采购严重违法失信行为记录名单（尚在处罚期内的），国家企业信用信息公示系统（https://www.gsxt.gov.cn/index.html）被列入经营异常名录、严重违法失信名单，将拒绝其参加本次招标活动（以招标代理机构或采购人查询为准)；</w:t>
      </w:r>
    </w:p>
    <w:p w14:paraId="02F47A9C">
      <w:pPr>
        <w:pStyle w:val="5"/>
        <w:numPr>
          <w:ilvl w:val="3"/>
          <w:numId w:val="0"/>
        </w:numPr>
        <w:bidi w:val="0"/>
        <w:ind w:leftChars="200"/>
        <w:rPr>
          <w:rFonts w:hint="eastAsia" w:asciiTheme="minorEastAsia" w:hAnsiTheme="minorEastAsia" w:eastAsiaTheme="minorEastAsia" w:cstheme="minorEastAsia"/>
          <w:color w:val="000000" w:themeColor="text1"/>
          <w:sz w:val="21"/>
          <w:highlight w:val="none"/>
          <w14:textFill>
            <w14:solidFill>
              <w14:schemeClr w14:val="tx1"/>
            </w14:solidFill>
          </w14:textFill>
        </w:rPr>
      </w:pPr>
      <w:bookmarkStart w:id="443" w:name="_Toc7682"/>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⑨缴纳磋商保证金有效凭证；</w:t>
      </w:r>
      <w:bookmarkEnd w:id="443"/>
    </w:p>
    <w:p w14:paraId="54F6B258">
      <w:pPr>
        <w:pStyle w:val="5"/>
        <w:numPr>
          <w:ilvl w:val="3"/>
          <w:numId w:val="0"/>
        </w:numPr>
        <w:bidi w:val="0"/>
        <w:ind w:leftChars="200"/>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bookmarkStart w:id="444" w:name="_Toc7348"/>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⑩中小企业声明函</w:t>
      </w:r>
      <w:bookmarkEnd w:id="444"/>
    </w:p>
    <w:p w14:paraId="721CD864">
      <w:pPr>
        <w:pStyle w:val="5"/>
        <w:numPr>
          <w:ilvl w:val="3"/>
          <w:numId w:val="0"/>
        </w:numPr>
        <w:bidi w:val="0"/>
        <w:ind w:leftChars="200" w:firstLine="2891" w:firstLineChars="1200"/>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中小企业声明函（服务）</w:t>
      </w:r>
    </w:p>
    <w:p w14:paraId="4D1867BB">
      <w:pPr>
        <w:rPr>
          <w:rFonts w:hint="eastAsia"/>
          <w:color w:val="000000" w:themeColor="text1"/>
          <w:highlight w:val="none"/>
          <w:lang w:val="en-US" w:eastAsia="zh-CN"/>
          <w14:textFill>
            <w14:solidFill>
              <w14:schemeClr w14:val="tx1"/>
            </w14:solidFill>
          </w14:textFill>
        </w:rPr>
      </w:pPr>
    </w:p>
    <w:p w14:paraId="1490BBF1">
      <w:pPr>
        <w:widowControl/>
        <w:spacing w:before="100" w:beforeAutospacing="1" w:after="100" w:afterAutospacing="1" w:line="330" w:lineRule="atLeast"/>
        <w:ind w:firstLine="480" w:firstLineChars="200"/>
        <w:jc w:val="left"/>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Theme="minorEastAsia" w:hAnsiTheme="minorEastAsia" w:eastAsiaTheme="minorEastAsia" w:cstheme="minorEastAsia"/>
          <w:i w:val="0"/>
          <w:iCs w:val="0"/>
          <w:color w:val="000000" w:themeColor="text1"/>
          <w:kern w:val="0"/>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4"/>
          <w:szCs w:val="24"/>
          <w:highlight w:val="none"/>
          <w:u w:val="single"/>
          <w14:textFill>
            <w14:solidFill>
              <w14:schemeClr w14:val="tx1"/>
            </w14:solidFill>
          </w14:textFill>
        </w:rPr>
        <w:t>（单位名称  ）</w:t>
      </w:r>
      <w:r>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t>的</w:t>
      </w:r>
      <w:r>
        <w:rPr>
          <w:rFonts w:hint="eastAsia" w:asciiTheme="minorEastAsia" w:hAnsiTheme="minorEastAsia" w:eastAsiaTheme="minorEastAsia" w:cstheme="minorEastAsia"/>
          <w:i w:val="0"/>
          <w:iCs w:val="0"/>
          <w:color w:val="000000" w:themeColor="text1"/>
          <w:kern w:val="0"/>
          <w:sz w:val="24"/>
          <w:szCs w:val="24"/>
          <w:highlight w:val="none"/>
          <w:u w:val="single"/>
          <w14:textFill>
            <w14:solidFill>
              <w14:schemeClr w14:val="tx1"/>
            </w14:solidFill>
          </w14:textFill>
        </w:rPr>
        <w:t>（项目名称）</w:t>
      </w:r>
      <w:r>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t>采购活动，服务全部由符合政策要求的中小企业承接。相关企业（含联合 体中的中小企业、签订分包意向协议的中小企业）的具体情况如下：</w:t>
      </w:r>
    </w:p>
    <w:p w14:paraId="4FCF6D6A">
      <w:pPr>
        <w:pStyle w:val="86"/>
        <w:tabs>
          <w:tab w:val="left" w:pos="1243"/>
        </w:tabs>
        <w:spacing w:line="402" w:lineRule="exact"/>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t>1.</w:t>
      </w:r>
      <w:r>
        <w:rPr>
          <w:rFonts w:hint="eastAsia" w:asciiTheme="minorEastAsia" w:hAnsiTheme="minorEastAsia" w:eastAsiaTheme="minorEastAsia" w:cstheme="minorEastAsia"/>
          <w:i w:val="0"/>
          <w:iCs w:val="0"/>
          <w:color w:val="000000" w:themeColor="text1"/>
          <w:kern w:val="0"/>
          <w:sz w:val="24"/>
          <w:szCs w:val="24"/>
          <w:highlight w:val="none"/>
          <w:u w:val="single"/>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0"/>
          <w:sz w:val="24"/>
          <w:szCs w:val="24"/>
          <w:highlight w:val="none"/>
          <w:u w:val="single"/>
          <w:lang w:eastAsia="zh-CN"/>
          <w14:textFill>
            <w14:solidFill>
              <w14:schemeClr w14:val="tx1"/>
            </w14:solidFill>
          </w14:textFill>
        </w:rPr>
        <w:t>标的名称</w:t>
      </w:r>
      <w:r>
        <w:rPr>
          <w:rFonts w:hint="eastAsia" w:asciiTheme="minorEastAsia" w:hAnsiTheme="minorEastAsia" w:eastAsiaTheme="minorEastAsia" w:cstheme="minorEastAsia"/>
          <w:i w:val="0"/>
          <w:iCs w:val="0"/>
          <w:color w:val="000000" w:themeColor="text1"/>
          <w:kern w:val="0"/>
          <w:sz w:val="24"/>
          <w:szCs w:val="24"/>
          <w:highlight w:val="none"/>
          <w:u w:val="single"/>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t>，属于</w:t>
      </w:r>
      <w:r>
        <w:rPr>
          <w:rFonts w:hint="eastAsia" w:asciiTheme="minorEastAsia" w:hAnsiTheme="minorEastAsia" w:eastAsiaTheme="minorEastAsia" w:cstheme="minorEastAsia"/>
          <w:i w:val="0"/>
          <w:iCs w:val="0"/>
          <w:color w:val="000000" w:themeColor="text1"/>
          <w:kern w:val="0"/>
          <w:sz w:val="24"/>
          <w:szCs w:val="24"/>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t xml:space="preserve">；承接企业为 </w:t>
      </w:r>
      <w:r>
        <w:rPr>
          <w:rFonts w:hint="eastAsia" w:asciiTheme="minorEastAsia" w:hAnsiTheme="minorEastAsia" w:eastAsiaTheme="minorEastAsia" w:cstheme="minorEastAsia"/>
          <w:i w:val="0"/>
          <w:iCs w:val="0"/>
          <w:color w:val="000000" w:themeColor="text1"/>
          <w:kern w:val="0"/>
          <w:sz w:val="24"/>
          <w:szCs w:val="24"/>
          <w:highlight w:val="none"/>
          <w:u w:val="single"/>
          <w14:textFill>
            <w14:solidFill>
              <w14:schemeClr w14:val="tx1"/>
            </w14:solidFill>
          </w14:textFill>
        </w:rPr>
        <w:t xml:space="preserve">  （企业名称） </w:t>
      </w:r>
      <w:r>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t>，从业人员</w:t>
      </w:r>
      <w:r>
        <w:rPr>
          <w:rFonts w:hint="eastAsia" w:asciiTheme="minorEastAsia" w:hAnsiTheme="minorEastAsia" w:eastAsiaTheme="minorEastAsia" w:cstheme="minorEastAsia"/>
          <w:i w:val="0"/>
          <w:iCs w:val="0"/>
          <w:color w:val="000000" w:themeColor="text1"/>
          <w:kern w:val="0"/>
          <w:sz w:val="24"/>
          <w:szCs w:val="24"/>
          <w:highlight w:val="none"/>
          <w:u w:val="single"/>
          <w14:textFill>
            <w14:solidFill>
              <w14:schemeClr w14:val="tx1"/>
            </w14:solidFill>
          </w14:textFill>
        </w:rPr>
        <w:tab/>
      </w:r>
      <w:r>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t>人，营业收入为</w:t>
      </w:r>
      <w:r>
        <w:rPr>
          <w:rFonts w:hint="eastAsia" w:asciiTheme="minorEastAsia" w:hAnsiTheme="minorEastAsia" w:eastAsiaTheme="minorEastAsia" w:cstheme="minorEastAsia"/>
          <w:i w:val="0"/>
          <w:iCs w:val="0"/>
          <w:color w:val="000000" w:themeColor="text1"/>
          <w:kern w:val="0"/>
          <w:sz w:val="24"/>
          <w:szCs w:val="24"/>
          <w:highlight w:val="none"/>
          <w:u w:val="single"/>
          <w14:textFill>
            <w14:solidFill>
              <w14:schemeClr w14:val="tx1"/>
            </w14:solidFill>
          </w14:textFill>
        </w:rPr>
        <w:tab/>
      </w:r>
      <w:r>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t>万元，资产总额为</w:t>
      </w:r>
      <w:r>
        <w:rPr>
          <w:rFonts w:hint="eastAsia" w:asciiTheme="minorEastAsia" w:hAnsiTheme="minorEastAsia" w:eastAsiaTheme="minorEastAsia" w:cstheme="minorEastAsia"/>
          <w:i w:val="0"/>
          <w:iCs w:val="0"/>
          <w:color w:val="000000" w:themeColor="text1"/>
          <w:kern w:val="0"/>
          <w:sz w:val="24"/>
          <w:szCs w:val="24"/>
          <w:highlight w:val="none"/>
          <w:u w:val="single"/>
          <w14:textFill>
            <w14:solidFill>
              <w14:schemeClr w14:val="tx1"/>
            </w14:solidFill>
          </w14:textFill>
        </w:rPr>
        <w:tab/>
      </w:r>
      <w:r>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t>万元，属于</w:t>
      </w:r>
      <w:r>
        <w:rPr>
          <w:rFonts w:hint="eastAsia" w:asciiTheme="minorEastAsia" w:hAnsiTheme="minorEastAsia" w:eastAsiaTheme="minorEastAsia" w:cstheme="minorEastAsia"/>
          <w:i w:val="0"/>
          <w:iCs w:val="0"/>
          <w:color w:val="000000" w:themeColor="text1"/>
          <w:kern w:val="0"/>
          <w:sz w:val="24"/>
          <w:szCs w:val="24"/>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t>；</w:t>
      </w:r>
    </w:p>
    <w:p w14:paraId="2B28F652">
      <w:pPr>
        <w:pStyle w:val="86"/>
        <w:tabs>
          <w:tab w:val="left" w:pos="1243"/>
        </w:tabs>
        <w:spacing w:line="402" w:lineRule="exact"/>
        <w:rPr>
          <w:rFonts w:hint="eastAsia" w:asciiTheme="minorEastAsia" w:hAnsiTheme="minorEastAsia" w:eastAsiaTheme="minorEastAsia" w:cstheme="minorEastAsia"/>
          <w:i w:val="0"/>
          <w:iCs w:val="0"/>
          <w:color w:val="000000" w:themeColor="text1"/>
          <w:kern w:val="0"/>
          <w:sz w:val="24"/>
          <w:szCs w:val="24"/>
          <w:highlight w:val="none"/>
          <w:u w:val="singl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t>2.</w:t>
      </w:r>
      <w:r>
        <w:rPr>
          <w:rFonts w:hint="eastAsia" w:asciiTheme="minorEastAsia" w:hAnsiTheme="minorEastAsia" w:eastAsiaTheme="minorEastAsia" w:cstheme="minorEastAsia"/>
          <w:i w:val="0"/>
          <w:iCs w:val="0"/>
          <w:color w:val="000000" w:themeColor="text1"/>
          <w:kern w:val="0"/>
          <w:sz w:val="24"/>
          <w:szCs w:val="24"/>
          <w:highlight w:val="none"/>
          <w:u w:val="single"/>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0"/>
          <w:sz w:val="24"/>
          <w:szCs w:val="24"/>
          <w:highlight w:val="none"/>
          <w:u w:val="single"/>
          <w:lang w:eastAsia="zh-CN"/>
          <w14:textFill>
            <w14:solidFill>
              <w14:schemeClr w14:val="tx1"/>
            </w14:solidFill>
          </w14:textFill>
        </w:rPr>
        <w:t>标的名称</w:t>
      </w:r>
      <w:r>
        <w:rPr>
          <w:rFonts w:hint="eastAsia" w:asciiTheme="minorEastAsia" w:hAnsiTheme="minorEastAsia" w:eastAsiaTheme="minorEastAsia" w:cstheme="minorEastAsia"/>
          <w:i w:val="0"/>
          <w:iCs w:val="0"/>
          <w:color w:val="000000" w:themeColor="text1"/>
          <w:kern w:val="0"/>
          <w:sz w:val="24"/>
          <w:szCs w:val="24"/>
          <w:highlight w:val="none"/>
          <w:u w:val="single"/>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t>属于</w:t>
      </w:r>
      <w:r>
        <w:rPr>
          <w:rFonts w:hint="eastAsia" w:asciiTheme="minorEastAsia" w:hAnsiTheme="minorEastAsia" w:eastAsiaTheme="minorEastAsia" w:cstheme="minorEastAsia"/>
          <w:i w:val="0"/>
          <w:iCs w:val="0"/>
          <w:color w:val="000000" w:themeColor="text1"/>
          <w:kern w:val="0"/>
          <w:sz w:val="24"/>
          <w:szCs w:val="24"/>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t>；承接企业为</w:t>
      </w:r>
      <w:r>
        <w:rPr>
          <w:rFonts w:hint="eastAsia" w:asciiTheme="minorEastAsia" w:hAnsiTheme="minorEastAsia" w:eastAsiaTheme="minorEastAsia" w:cstheme="minorEastAsia"/>
          <w:i w:val="0"/>
          <w:iCs w:val="0"/>
          <w:color w:val="000000" w:themeColor="text1"/>
          <w:kern w:val="0"/>
          <w:sz w:val="24"/>
          <w:szCs w:val="24"/>
          <w:highlight w:val="none"/>
          <w:u w:val="single"/>
          <w14:textFill>
            <w14:solidFill>
              <w14:schemeClr w14:val="tx1"/>
            </w14:solidFill>
          </w14:textFill>
        </w:rPr>
        <w:t>（企业名称）</w:t>
      </w:r>
      <w:r>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t>，从业人员</w:t>
      </w:r>
      <w:r>
        <w:rPr>
          <w:rFonts w:hint="eastAsia" w:asciiTheme="minorEastAsia" w:hAnsiTheme="minorEastAsia" w:eastAsiaTheme="minorEastAsia" w:cstheme="minorEastAsia"/>
          <w:i w:val="0"/>
          <w:iCs w:val="0"/>
          <w:color w:val="000000" w:themeColor="text1"/>
          <w:kern w:val="0"/>
          <w:sz w:val="24"/>
          <w:szCs w:val="24"/>
          <w:highlight w:val="none"/>
          <w:u w:val="single"/>
          <w14:textFill>
            <w14:solidFill>
              <w14:schemeClr w14:val="tx1"/>
            </w14:solidFill>
          </w14:textFill>
        </w:rPr>
        <w:tab/>
      </w:r>
      <w:r>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t>人，营业收入为</w:t>
      </w:r>
      <w:r>
        <w:rPr>
          <w:rFonts w:hint="eastAsia" w:asciiTheme="minorEastAsia" w:hAnsiTheme="minorEastAsia" w:eastAsiaTheme="minorEastAsia" w:cstheme="minorEastAsia"/>
          <w:i w:val="0"/>
          <w:iCs w:val="0"/>
          <w:color w:val="000000" w:themeColor="text1"/>
          <w:kern w:val="0"/>
          <w:sz w:val="24"/>
          <w:szCs w:val="24"/>
          <w:highlight w:val="none"/>
          <w:u w:val="single"/>
          <w14:textFill>
            <w14:solidFill>
              <w14:schemeClr w14:val="tx1"/>
            </w14:solidFill>
          </w14:textFill>
        </w:rPr>
        <w:tab/>
      </w:r>
      <w:r>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t>万元，资产总额为</w:t>
      </w:r>
      <w:r>
        <w:rPr>
          <w:rFonts w:hint="eastAsia" w:asciiTheme="minorEastAsia" w:hAnsiTheme="minorEastAsia" w:eastAsiaTheme="minorEastAsia" w:cstheme="minorEastAsia"/>
          <w:i w:val="0"/>
          <w:iCs w:val="0"/>
          <w:color w:val="000000" w:themeColor="text1"/>
          <w:kern w:val="0"/>
          <w:sz w:val="24"/>
          <w:szCs w:val="24"/>
          <w:highlight w:val="none"/>
          <w:u w:val="single"/>
          <w14:textFill>
            <w14:solidFill>
              <w14:schemeClr w14:val="tx1"/>
            </w14:solidFill>
          </w14:textFill>
        </w:rPr>
        <w:tab/>
      </w:r>
      <w:r>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t>万元，属于</w:t>
      </w:r>
      <w:r>
        <w:rPr>
          <w:rFonts w:hint="eastAsia" w:asciiTheme="minorEastAsia" w:hAnsiTheme="minorEastAsia" w:eastAsiaTheme="minorEastAsia" w:cstheme="minorEastAsia"/>
          <w:i w:val="0"/>
          <w:iCs w:val="0"/>
          <w:color w:val="000000" w:themeColor="text1"/>
          <w:kern w:val="0"/>
          <w:sz w:val="24"/>
          <w:szCs w:val="24"/>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t>；</w:t>
      </w:r>
    </w:p>
    <w:p w14:paraId="3B6A422C">
      <w:pPr>
        <w:pStyle w:val="11"/>
        <w:spacing w:before="11"/>
        <w:ind w:left="860"/>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t>……</w:t>
      </w:r>
    </w:p>
    <w:p w14:paraId="344BDED0">
      <w:pPr>
        <w:pStyle w:val="11"/>
        <w:spacing w:before="108" w:line="304" w:lineRule="auto"/>
        <w:ind w:right="417" w:firstLine="480" w:firstLineChars="200"/>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7AF47A5E">
      <w:pPr>
        <w:pStyle w:val="11"/>
        <w:spacing w:before="108" w:line="304" w:lineRule="auto"/>
        <w:ind w:right="417" w:firstLine="480" w:firstLineChars="200"/>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t>本企业对上述声明内容的真实性负责。如有虚假，将依法承担相应责任。</w:t>
      </w:r>
    </w:p>
    <w:p w14:paraId="5E8B46A3">
      <w:pPr>
        <w:pStyle w:val="86"/>
        <w:tabs>
          <w:tab w:val="left" w:pos="1243"/>
        </w:tabs>
        <w:spacing w:line="402" w:lineRule="exact"/>
        <w:ind w:left="420" w:leftChars="200" w:firstLine="0" w:firstLineChars="0"/>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pPr>
    </w:p>
    <w:p w14:paraId="3D002C49">
      <w:pPr>
        <w:pStyle w:val="86"/>
        <w:tabs>
          <w:tab w:val="left" w:pos="1243"/>
        </w:tabs>
        <w:spacing w:line="402" w:lineRule="exact"/>
        <w:ind w:left="420" w:leftChars="200" w:firstLine="0" w:firstLineChars="0"/>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t>供应商名称（盖章）：</w:t>
      </w:r>
      <w:r>
        <w:rPr>
          <w:rFonts w:hint="eastAsia" w:asciiTheme="minorEastAsia" w:hAnsiTheme="minorEastAsia" w:eastAsiaTheme="minorEastAsia" w:cstheme="minorEastAsia"/>
          <w:i w:val="0"/>
          <w:iCs w:val="0"/>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sz w:val="24"/>
          <w:highlight w:val="none"/>
          <w14:textFill>
            <w14:solidFill>
              <w14:schemeClr w14:val="tx1"/>
            </w14:solidFill>
          </w14:textFill>
        </w:rPr>
        <w:t xml:space="preserve"> </w:t>
      </w:r>
    </w:p>
    <w:p w14:paraId="04B89793">
      <w:pPr>
        <w:pStyle w:val="86"/>
        <w:tabs>
          <w:tab w:val="left" w:pos="1243"/>
        </w:tabs>
        <w:spacing w:line="402" w:lineRule="exact"/>
        <w:ind w:left="420" w:leftChars="200" w:firstLine="0" w:firstLineChars="0"/>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pPr>
    </w:p>
    <w:p w14:paraId="4BF2904A">
      <w:pPr>
        <w:pStyle w:val="86"/>
        <w:tabs>
          <w:tab w:val="left" w:pos="1243"/>
        </w:tabs>
        <w:spacing w:line="402" w:lineRule="exact"/>
        <w:ind w:left="420" w:leftChars="200" w:firstLine="0" w:firstLineChars="0"/>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t>日期：</w:t>
      </w:r>
      <w:r>
        <w:rPr>
          <w:rFonts w:hint="eastAsia" w:asciiTheme="minorEastAsia" w:hAnsiTheme="minorEastAsia" w:eastAsiaTheme="minorEastAsia" w:cstheme="minorEastAsia"/>
          <w:i w:val="0"/>
          <w:iCs w:val="0"/>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sz w:val="24"/>
          <w:highlight w:val="none"/>
          <w14:textFill>
            <w14:solidFill>
              <w14:schemeClr w14:val="tx1"/>
            </w14:solidFill>
          </w14:textFill>
        </w:rPr>
        <w:t xml:space="preserve"> </w:t>
      </w:r>
    </w:p>
    <w:p w14:paraId="4536B346">
      <w:pPr>
        <w:pStyle w:val="86"/>
        <w:tabs>
          <w:tab w:val="left" w:pos="1243"/>
        </w:tabs>
        <w:spacing w:line="402" w:lineRule="exact"/>
        <w:ind w:left="0" w:leftChars="0" w:firstLine="0" w:firstLineChars="0"/>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pPr>
    </w:p>
    <w:p w14:paraId="7D097665">
      <w:pPr>
        <w:spacing w:line="240" w:lineRule="atLeast"/>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t>注：1、须附从业人员、营业收入、资产总额填报上一年度数据，无上一年度数据的新成立企业可不填报。</w:t>
      </w:r>
    </w:p>
    <w:p w14:paraId="144DFB2E">
      <w:pPr>
        <w:spacing w:line="240" w:lineRule="atLeast"/>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pPr>
    </w:p>
    <w:p w14:paraId="2A4A978C">
      <w:pPr>
        <w:numPr>
          <w:ilvl w:val="0"/>
          <w:numId w:val="1"/>
        </w:numPr>
        <w:spacing w:line="240" w:lineRule="atLeast"/>
        <w:ind w:left="360" w:leftChars="0" w:firstLine="0" w:firstLineChars="0"/>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t xml:space="preserve">潜在投标企业属于中小微企业的，应在投标文件中提供‘’中小企业声明函“如果未提供或提供的“中小企业声明函”存在虚假情况的，承接商将不享受中小企业相关优惠政策。 </w:t>
      </w:r>
    </w:p>
    <w:p w14:paraId="3530B2E7">
      <w:pPr>
        <w:pStyle w:val="20"/>
        <w:rPr>
          <w:rFonts w:hint="eastAsia" w:asciiTheme="minorEastAsia" w:hAnsiTheme="minorEastAsia" w:eastAsiaTheme="minorEastAsia" w:cstheme="minorEastAsia"/>
          <w:b/>
          <w:bCs/>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14:textFill>
            <w14:solidFill>
              <w14:schemeClr w14:val="tx1"/>
            </w14:solidFill>
          </w14:textFill>
        </w:rPr>
        <w:t xml:space="preserve">     </w:t>
      </w:r>
    </w:p>
    <w:p w14:paraId="4FB39870">
      <w:pPr>
        <w:pStyle w:val="36"/>
        <w:ind w:left="0" w:leftChars="0" w:firstLine="0" w:firstLineChars="0"/>
        <w:rPr>
          <w:rFonts w:hint="eastAsia" w:asciiTheme="minorEastAsia" w:hAnsiTheme="minorEastAsia" w:eastAsiaTheme="minorEastAsia" w:cstheme="minorEastAsia"/>
          <w:color w:val="000000" w:themeColor="text1"/>
          <w:sz w:val="21"/>
          <w:highlight w:val="none"/>
          <w14:textFill>
            <w14:solidFill>
              <w14:schemeClr w14:val="tx1"/>
            </w14:solidFill>
          </w14:textFill>
        </w:rPr>
      </w:pPr>
    </w:p>
    <w:p w14:paraId="211CB881">
      <w:pPr>
        <w:keepNext w:val="0"/>
        <w:keepLines w:val="0"/>
        <w:pageBreakBefore w:val="0"/>
        <w:kinsoku/>
        <w:wordWrap/>
        <w:overflowPunct/>
        <w:topLinePunct w:val="0"/>
        <w:autoSpaceDE/>
        <w:autoSpaceDN/>
        <w:bidi w:val="0"/>
        <w:adjustRightInd/>
        <w:spacing w:line="400" w:lineRule="exact"/>
        <w:jc w:val="left"/>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附：</w:t>
      </w:r>
    </w:p>
    <w:p w14:paraId="604D9A7A">
      <w:pPr>
        <w:widowControl/>
        <w:spacing w:before="100" w:beforeAutospacing="1" w:after="100" w:afterAutospacing="1" w:line="400" w:lineRule="exact"/>
        <w:ind w:left="420" w:leftChars="200" w:firstLine="0" w:firstLineChars="0"/>
        <w:jc w:val="cente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pPr>
      <w:bookmarkStart w:id="445" w:name="bookmark0"/>
      <w:bookmarkStart w:id="446" w:name="bookmark1"/>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中小企业划分标准</w:t>
      </w:r>
      <w:bookmarkEnd w:id="445"/>
      <w:bookmarkEnd w:id="446"/>
    </w:p>
    <w:p w14:paraId="431B38F5">
      <w:pPr>
        <w:keepNext w:val="0"/>
        <w:keepLines w:val="0"/>
        <w:pageBreakBefore w:val="0"/>
        <w:kinsoku/>
        <w:wordWrap/>
        <w:overflowPunct/>
        <w:topLinePunct w:val="0"/>
        <w:autoSpaceDE/>
        <w:autoSpaceDN/>
        <w:bidi w:val="0"/>
        <w:adjustRightInd/>
        <w:spacing w:line="420" w:lineRule="exact"/>
        <w:ind w:firstLine="480" w:firstLineChars="200"/>
        <w:jc w:val="left"/>
        <w:outlineLvl w:val="9"/>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bookmarkStart w:id="447" w:name="bookmark5"/>
      <w:bookmarkStart w:id="448" w:name="bookmark4"/>
      <w:r>
        <w:rPr>
          <w:rFonts w:hint="eastAsia" w:asciiTheme="minorEastAsia" w:hAnsiTheme="minorEastAsia" w:eastAsiaTheme="minorEastAsia" w:cstheme="minorEastAsia"/>
          <w:b w:val="0"/>
          <w:bCs w:val="0"/>
          <w:color w:val="000000" w:themeColor="text1"/>
          <w:kern w:val="0"/>
          <w:sz w:val="24"/>
          <w:szCs w:val="24"/>
          <w:highlight w:val="none"/>
          <w14:textFill>
            <w14:solidFill>
              <w14:schemeClr w14:val="tx1"/>
            </w14:solidFill>
          </w14:textFill>
        </w:rPr>
        <w:t>工业和信息化部、国家统计局、发展改革委、财政部等四部门《关于印发中 小企业划型标准规定的通知》（工信部联企业〔2011〕300号）规定中小企业划型标准如表所示：</w:t>
      </w:r>
      <w:bookmarkEnd w:id="447"/>
      <w:bookmarkEnd w:id="448"/>
    </w:p>
    <w:tbl>
      <w:tblPr>
        <w:tblStyle w:val="37"/>
        <w:tblW w:w="97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91"/>
        <w:gridCol w:w="849"/>
        <w:gridCol w:w="6553"/>
      </w:tblGrid>
      <w:tr w14:paraId="5DFF9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DFE8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农、林、牧、渔业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24FB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营业收入20000万元以下的为中小微型企业。</w:t>
            </w:r>
          </w:p>
        </w:tc>
      </w:tr>
      <w:tr w14:paraId="572F7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C2E6E">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67D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F02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500万元-20000万元</w:t>
            </w:r>
          </w:p>
        </w:tc>
      </w:tr>
      <w:tr w14:paraId="10BA5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9B48D">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4B0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C10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50万元-500万元</w:t>
            </w:r>
          </w:p>
        </w:tc>
      </w:tr>
      <w:tr w14:paraId="1CAB5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D8E4B">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65B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1C0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50万元以下</w:t>
            </w:r>
          </w:p>
        </w:tc>
      </w:tr>
      <w:tr w14:paraId="6333F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D496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工业</w:t>
            </w: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（包括采矿业，制造 业，电力、热力、燃 气及水生产和供应</w:t>
            </w: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35A5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从业人员1000人以下或营业收入 40000万元以下的为中小微型企业。</w:t>
            </w:r>
          </w:p>
        </w:tc>
      </w:tr>
      <w:tr w14:paraId="472BD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C329D">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3D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8C5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 300人一1000人，且营业收入 2000万元一40000万元</w:t>
            </w:r>
          </w:p>
        </w:tc>
      </w:tr>
      <w:tr w14:paraId="148B1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17876">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EBC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95A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从业人员20人一300人，且营业收入 300万元一2000万元</w:t>
            </w:r>
          </w:p>
        </w:tc>
      </w:tr>
      <w:tr w14:paraId="13A10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4FA6B">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AF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F36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从业人员20人以下或营业收入 300万元以下</w:t>
            </w:r>
          </w:p>
        </w:tc>
      </w:tr>
      <w:tr w14:paraId="1736C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D59C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建筑业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5710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营业收入80000万元以下或资产总额 80000万元以下的为中小微型企业。</w:t>
            </w:r>
          </w:p>
        </w:tc>
      </w:tr>
      <w:tr w14:paraId="1CE48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8D862">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7B9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22E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营业收入6000万元一80000万元，且资产总额 5000万元一80000万元</w:t>
            </w:r>
          </w:p>
        </w:tc>
      </w:tr>
      <w:tr w14:paraId="31828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8BC2A">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538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13A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营业收入 300万元一6000万元，且资产总额 300万一5000万元</w:t>
            </w:r>
          </w:p>
        </w:tc>
      </w:tr>
      <w:tr w14:paraId="49912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23E3D">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923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5A3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营业收入300万元以下或资产总额 300万元以下</w:t>
            </w:r>
          </w:p>
        </w:tc>
      </w:tr>
      <w:tr w14:paraId="6EC31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0941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批发业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8BBD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从业人员200人以下或营业收入40000万元以下的为中小微型企业。</w:t>
            </w:r>
          </w:p>
        </w:tc>
      </w:tr>
      <w:tr w14:paraId="5B3B5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EB1B0">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2E6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BEC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从业人员20人一200人，且营业收入5000万元一40000万元</w:t>
            </w:r>
          </w:p>
        </w:tc>
      </w:tr>
      <w:tr w14:paraId="36484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6FF0C">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5F7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815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从业人员5人一20人，且营业收入1000万元一5000万元</w:t>
            </w:r>
          </w:p>
        </w:tc>
      </w:tr>
      <w:tr w14:paraId="43FFA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9ADC9">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E74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BFF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从业人员5人以下或营业收入1000万元以下</w:t>
            </w:r>
          </w:p>
        </w:tc>
      </w:tr>
      <w:tr w14:paraId="3AFAF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C848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零售业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EAD6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从业人员300人以下或营业收入 20000万元以下的为中小微型企业。</w:t>
            </w:r>
          </w:p>
        </w:tc>
      </w:tr>
      <w:tr w14:paraId="68C59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84535">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8A5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AC6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 50人一300人，且营业收入500万元一20000万元</w:t>
            </w:r>
          </w:p>
        </w:tc>
      </w:tr>
      <w:tr w14:paraId="32B8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B76F4">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418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DB9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从业人员10人一50人，且营业收入100万元一500万元</w:t>
            </w:r>
          </w:p>
        </w:tc>
      </w:tr>
      <w:tr w14:paraId="79370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AE663">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F88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340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从业人员10人以下或营业收入100万元以下</w:t>
            </w:r>
          </w:p>
        </w:tc>
      </w:tr>
      <w:tr w14:paraId="7C319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C66B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交通运输业 （不含铁路运输业）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7578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从业人员1000人以下或营业收入 30000万元以下的为中小微型企业。</w:t>
            </w:r>
          </w:p>
        </w:tc>
      </w:tr>
      <w:tr w14:paraId="72344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8BAE0">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FD0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67C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 300人一1000人，且营业收入 3000万元一30000万元</w:t>
            </w:r>
          </w:p>
        </w:tc>
      </w:tr>
      <w:tr w14:paraId="5459B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826F6">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9A7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80C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从业人员20人一300人，且营业收入 200万元一3000万元</w:t>
            </w:r>
          </w:p>
        </w:tc>
      </w:tr>
      <w:tr w14:paraId="67EBC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B7A25">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825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B9E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从业人员20人以下或营业收入200万元以下</w:t>
            </w:r>
          </w:p>
        </w:tc>
      </w:tr>
      <w:tr w14:paraId="6DAEA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BE58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仓储业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EAA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从业人员200人以下或营业收入 30000万元以下的为中小微型企业。</w:t>
            </w:r>
          </w:p>
        </w:tc>
      </w:tr>
      <w:tr w14:paraId="6A3C1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F4640">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DE6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A9A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从业人员100人一200人，且营业收入 1000万元一30000万元</w:t>
            </w:r>
          </w:p>
        </w:tc>
      </w:tr>
      <w:tr w14:paraId="2E8D4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04B49">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7DF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4D0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从业人员20人一100人，且营业收入 100万元一1000万元</w:t>
            </w:r>
          </w:p>
        </w:tc>
      </w:tr>
      <w:tr w14:paraId="5F245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D6741">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94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8E6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从业人员20人以下或营业收入 100万元以下</w:t>
            </w:r>
          </w:p>
        </w:tc>
      </w:tr>
      <w:tr w14:paraId="0F98D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994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邮政业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F03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从业人员1000人以下或营业收入 30000万元以下的为中小微型企业。</w:t>
            </w:r>
          </w:p>
        </w:tc>
      </w:tr>
      <w:tr w14:paraId="647F7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E023B">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F0E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2D7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 300人一1000人，且营业收入 2000万元一30000万元</w:t>
            </w:r>
          </w:p>
        </w:tc>
      </w:tr>
      <w:tr w14:paraId="15E31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071A7">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820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BC0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从业人员20人一300人，且营业收入 100万元一2000万元</w:t>
            </w:r>
          </w:p>
        </w:tc>
      </w:tr>
      <w:tr w14:paraId="1F5C4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E2789">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62F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1E3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从业人员20人以下或营业收入 100万元以下</w:t>
            </w:r>
          </w:p>
        </w:tc>
      </w:tr>
      <w:tr w14:paraId="71495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B1A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住宿业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82A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从业人员300人以下或营业收入 10000万元以下的为中小微型企业。</w:t>
            </w:r>
          </w:p>
        </w:tc>
      </w:tr>
      <w:tr w14:paraId="1D5A4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10A41">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007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0CA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从业人员100人一300人，且营业收入 2000万元一10000万元</w:t>
            </w:r>
          </w:p>
        </w:tc>
      </w:tr>
      <w:tr w14:paraId="77F04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FA959">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D0E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8DB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从业人员10人一100人，且营业收入 100万元一2000万元</w:t>
            </w:r>
          </w:p>
        </w:tc>
      </w:tr>
      <w:tr w14:paraId="7A2F6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A1748">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21C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D33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从业人员10人以下或营业收入 100万元以下</w:t>
            </w:r>
          </w:p>
        </w:tc>
      </w:tr>
      <w:tr w14:paraId="1DB70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4787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餐饮业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8D5E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从业人员300人以下或营业收入 10000万元以下的为中小微型企业。</w:t>
            </w:r>
          </w:p>
        </w:tc>
      </w:tr>
      <w:tr w14:paraId="1EB73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E66A0">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01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A43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从业人员100— 300人，且营业收入 2000万元一10000万元</w:t>
            </w:r>
          </w:p>
        </w:tc>
      </w:tr>
      <w:tr w14:paraId="5896C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04507">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DAB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633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从业人员10人一100人，且营业收入 100万元一2000万元</w:t>
            </w:r>
          </w:p>
        </w:tc>
      </w:tr>
      <w:tr w14:paraId="22A0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99E1A">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44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A36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从业人员10人以下或营业收入 100万元以下</w:t>
            </w:r>
          </w:p>
        </w:tc>
      </w:tr>
      <w:tr w14:paraId="30C48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BA9C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信息传输业 （包括电信、互联网 和相关服务）</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9367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从业人员2000人以下或营业收入 100000万元以下的为中小微型企业。</w:t>
            </w:r>
          </w:p>
        </w:tc>
      </w:tr>
      <w:tr w14:paraId="5543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6E6E3">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AAD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48A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从业人员100人一2000人，且营业收入 1000万元一10000万元</w:t>
            </w:r>
          </w:p>
        </w:tc>
      </w:tr>
      <w:tr w14:paraId="2011A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AA3E5">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29E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422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从业人员10人一100人，且营业收入 100万元一1000万元</w:t>
            </w:r>
          </w:p>
        </w:tc>
      </w:tr>
      <w:tr w14:paraId="5811A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621B6">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92E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EB3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从业人员10人以下或营业收入 100万元以下</w:t>
            </w:r>
          </w:p>
        </w:tc>
      </w:tr>
      <w:tr w14:paraId="48FA0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778E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软件和信息技术服务业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C66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从业人员300人以下或营业收入 10000万元以下的为中小微型企业。</w:t>
            </w:r>
          </w:p>
        </w:tc>
      </w:tr>
      <w:tr w14:paraId="430ED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5565E">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02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ADD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从业人员100— 300人，且营业收入 1000万元一10000万元</w:t>
            </w:r>
          </w:p>
        </w:tc>
      </w:tr>
      <w:tr w14:paraId="05B1B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6120E">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E9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83B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从业人员10人一100人，且营业收入 50万元一1000万元</w:t>
            </w:r>
          </w:p>
        </w:tc>
      </w:tr>
      <w:tr w14:paraId="27240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298E6">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710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650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从业人员10人以下或营业收入 50万元以下</w:t>
            </w:r>
          </w:p>
        </w:tc>
      </w:tr>
      <w:tr w14:paraId="6C271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802A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房地产开发经营</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F2BC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营业收入200000万元以下或资产总额 10000万元以下的为中小微型企业。</w:t>
            </w:r>
          </w:p>
        </w:tc>
      </w:tr>
      <w:tr w14:paraId="5A9A8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6DA07">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020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B8D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营业收入1000万元一200000万元，且资产总额 5000万元一10000万元</w:t>
            </w:r>
          </w:p>
        </w:tc>
      </w:tr>
      <w:tr w14:paraId="64E4D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E6F7C">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A35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439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营业收入100万元一1000万元，且资产总额 2 000万元一5000 万元</w:t>
            </w:r>
          </w:p>
        </w:tc>
      </w:tr>
      <w:tr w14:paraId="40ABC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DE5B7">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1D2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56F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营业收入100万元以下或资产总额 2000万元以下的为微型企业</w:t>
            </w:r>
          </w:p>
        </w:tc>
      </w:tr>
      <w:tr w14:paraId="1B085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904D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物业管理</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88A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从业人员1000人以下或营业收入 5000万元以下的为中小微型企业。</w:t>
            </w:r>
          </w:p>
        </w:tc>
      </w:tr>
      <w:tr w14:paraId="51B62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8D8F9">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975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9D1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 300人一1 000人，且营业收入 1000万元一5000万元</w:t>
            </w:r>
          </w:p>
        </w:tc>
      </w:tr>
      <w:tr w14:paraId="26357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45045">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C56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4EB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从业人员100人一300人，且营业收入 500万元一1000万元</w:t>
            </w:r>
          </w:p>
        </w:tc>
      </w:tr>
      <w:tr w14:paraId="4B3A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64B9C">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AA4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38B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从业人员100人以下或营业收入 500万元以下</w:t>
            </w:r>
          </w:p>
        </w:tc>
      </w:tr>
      <w:tr w14:paraId="59ECE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63B7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租赁和商务服务业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60D8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从业人员300人以下或资产总额 120 000万元以下的为中小微型企业。其中，从业人员100人及以上，且资产总额 8 000万元及以上的为中型企业；从业人员10人及以上，且资产总额 100万元及以上的为小型企业；从业人员 10人以下或资产总额 100万元以下的为微型企业。</w:t>
            </w:r>
          </w:p>
        </w:tc>
      </w:tr>
      <w:tr w14:paraId="33F74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16EDB">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84D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D90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从业人员100人一300人，且资产总额 8000万元一120000万元</w:t>
            </w:r>
          </w:p>
        </w:tc>
      </w:tr>
      <w:tr w14:paraId="36D23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44761">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F6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193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从业人员10人一100人，且资产总额 100万元一8000万元</w:t>
            </w:r>
          </w:p>
        </w:tc>
      </w:tr>
      <w:tr w14:paraId="08C28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313CA">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2AA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A19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从业人员10人以下或资产总额 100万元以下</w:t>
            </w:r>
          </w:p>
        </w:tc>
      </w:tr>
      <w:tr w14:paraId="14AAB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F0C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其他未列明行业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35C1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从业人员300人以下的为中小微型企业。</w:t>
            </w:r>
          </w:p>
        </w:tc>
      </w:tr>
      <w:tr w14:paraId="01F49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EE5B5">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19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E0F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从业人员100— 300人</w:t>
            </w:r>
          </w:p>
        </w:tc>
      </w:tr>
      <w:tr w14:paraId="5E523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BCBFC">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C32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267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从业人员10人一100人</w:t>
            </w:r>
          </w:p>
        </w:tc>
      </w:tr>
      <w:tr w14:paraId="244CD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D7069">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A1F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AFB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bCs/>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spacing w:val="0"/>
                <w:w w:val="100"/>
                <w:kern w:val="0"/>
                <w:position w:val="0"/>
                <w:sz w:val="21"/>
                <w:szCs w:val="21"/>
                <w:highlight w:val="none"/>
                <w:u w:val="none"/>
                <w:shd w:val="clear" w:color="auto" w:fill="auto"/>
                <w:lang w:val="en-US" w:eastAsia="zh-CN" w:bidi="ar"/>
                <w14:textFill>
                  <w14:solidFill>
                    <w14:schemeClr w14:val="tx1"/>
                  </w14:solidFill>
                </w14:textFill>
              </w:rPr>
              <w:t>从业人员10人以下</w:t>
            </w:r>
          </w:p>
        </w:tc>
      </w:tr>
    </w:tbl>
    <w:p w14:paraId="3F5A7ABD">
      <w:pPr>
        <w:keepNext w:val="0"/>
        <w:keepLines w:val="0"/>
        <w:pageBreakBefore w:val="0"/>
        <w:widowControl w:val="0"/>
        <w:kinsoku/>
        <w:wordWrap/>
        <w:overflowPunct/>
        <w:topLinePunct w:val="0"/>
        <w:autoSpaceDE/>
        <w:autoSpaceDN/>
        <w:bidi w:val="0"/>
        <w:adjustRightInd/>
        <w:snapToGrid w:val="0"/>
        <w:spacing w:line="420" w:lineRule="exact"/>
        <w:contextualSpacing/>
        <w:jc w:val="left"/>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pPr>
    </w:p>
    <w:p w14:paraId="35B8029F">
      <w:pPr>
        <w:keepNext w:val="0"/>
        <w:keepLines w:val="0"/>
        <w:pageBreakBefore w:val="0"/>
        <w:widowControl w:val="0"/>
        <w:kinsoku/>
        <w:wordWrap/>
        <w:overflowPunct/>
        <w:topLinePunct w:val="0"/>
        <w:autoSpaceDE/>
        <w:autoSpaceDN/>
        <w:bidi w:val="0"/>
        <w:adjustRightInd/>
        <w:snapToGrid w:val="0"/>
        <w:spacing w:line="420" w:lineRule="exact"/>
        <w:ind w:firstLine="241" w:firstLineChars="100"/>
        <w:contextualSpacing/>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t>行业包括：</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w:t>
      </w:r>
    </w:p>
    <w:p w14:paraId="178C7348">
      <w:pPr>
        <w:keepNext w:val="0"/>
        <w:keepLines w:val="0"/>
        <w:pageBreakBefore w:val="0"/>
        <w:widowControl w:val="0"/>
        <w:kinsoku/>
        <w:wordWrap/>
        <w:overflowPunct/>
        <w:topLinePunct w:val="0"/>
        <w:autoSpaceDE/>
        <w:autoSpaceDN/>
        <w:bidi w:val="0"/>
        <w:adjustRightInd/>
        <w:snapToGrid w:val="0"/>
        <w:spacing w:line="420" w:lineRule="exact"/>
        <w:contextualSpacing/>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说明：</w:t>
      </w:r>
    </w:p>
    <w:p w14:paraId="0D3393B0">
      <w:pPr>
        <w:keepNext w:val="0"/>
        <w:keepLines w:val="0"/>
        <w:pageBreakBefore w:val="0"/>
        <w:widowControl w:val="0"/>
        <w:kinsoku/>
        <w:wordWrap/>
        <w:overflowPunct/>
        <w:topLinePunct w:val="0"/>
        <w:autoSpaceDE/>
        <w:autoSpaceDN/>
        <w:bidi w:val="0"/>
        <w:adjustRightInd/>
        <w:snapToGrid w:val="0"/>
        <w:spacing w:line="420" w:lineRule="exact"/>
        <w:contextualSpacing/>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上述标准参照《关于印发中小企业划型标准规定的通知》（工信部联企业[2011]300号），大型、中型和小型企业须同时满足所列指标的下限，否则下划一档；微型企业只须满足所列指标中的一项即可。</w:t>
      </w:r>
    </w:p>
    <w:p w14:paraId="501DE63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所称中小企业，是指在中华人民共和国境内依法设立，依据国务院批准的</w:t>
      </w:r>
    </w:p>
    <w:p w14:paraId="458C44C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规定的中小企业扶持政策：</w:t>
      </w:r>
    </w:p>
    <w:p w14:paraId="7F7662A9">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0B7125F8">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（2）在工程采购项目中，工程由中小企业承建，即工程施工单位为中小企业，不对其中涉及的货物的制造商和服务的承接商作出要求；</w:t>
      </w:r>
    </w:p>
    <w:p w14:paraId="10524EB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58D8F73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在货物采购项目中，供应商提供的货物既有中小企业制造货物，也有大型企业制造货物的，不享受本</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规定的中小企业扶持政策。以联合体形式参加政府采购活动，联合体各方均为中小企业的，联合体视同中小企业。其中，联合体各方均为小微企业的，联合体视同小微企业。</w:t>
      </w:r>
    </w:p>
    <w:p w14:paraId="3979E8C4">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依据本</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规定享受扶持政策获得政府采购合同的，小微企业不得将合同分包给大中型企业，中型企业不得将合同分包给大型企业。</w:t>
      </w:r>
    </w:p>
    <w:p w14:paraId="43834BE5">
      <w:pPr>
        <w:pStyle w:val="35"/>
        <w:rPr>
          <w:rFonts w:hint="eastAsia" w:asciiTheme="minorEastAsia" w:hAnsiTheme="minorEastAsia" w:eastAsiaTheme="minorEastAsia" w:cstheme="minorEastAsia"/>
          <w:color w:val="000000" w:themeColor="text1"/>
          <w:sz w:val="21"/>
          <w:highlight w:val="none"/>
          <w14:textFill>
            <w14:solidFill>
              <w14:schemeClr w14:val="tx1"/>
            </w14:solidFill>
          </w14:textFill>
        </w:rPr>
      </w:pPr>
    </w:p>
    <w:p w14:paraId="4E9D7748">
      <w:pPr>
        <w:pStyle w:val="36"/>
        <w:rPr>
          <w:rFonts w:hint="eastAsia" w:asciiTheme="minorEastAsia" w:hAnsiTheme="minorEastAsia" w:eastAsiaTheme="minorEastAsia" w:cstheme="minorEastAsia"/>
          <w:color w:val="000000" w:themeColor="text1"/>
          <w:sz w:val="21"/>
          <w:highlight w:val="none"/>
          <w14:textFill>
            <w14:solidFill>
              <w14:schemeClr w14:val="tx1"/>
            </w14:solidFill>
          </w14:textFill>
        </w:rPr>
      </w:pPr>
    </w:p>
    <w:p w14:paraId="27589D8B">
      <w:pPr>
        <w:rPr>
          <w:rFonts w:hint="eastAsia" w:asciiTheme="minorEastAsia" w:hAnsiTheme="minorEastAsia" w:eastAsiaTheme="minorEastAsia" w:cstheme="minorEastAsia"/>
          <w:color w:val="000000" w:themeColor="text1"/>
          <w:sz w:val="21"/>
          <w:highlight w:val="none"/>
          <w14:textFill>
            <w14:solidFill>
              <w14:schemeClr w14:val="tx1"/>
            </w14:solidFill>
          </w14:textFill>
        </w:rPr>
      </w:pPr>
    </w:p>
    <w:p w14:paraId="152B1A8D">
      <w:pPr>
        <w:pStyle w:val="7"/>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7B0C92B9">
      <w:pPr>
        <w:pStyle w:val="36"/>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42A8B6CB">
      <w:pPr>
        <w:pStyle w:val="16"/>
        <w:tabs>
          <w:tab w:val="left" w:pos="5580"/>
        </w:tabs>
        <w:snapToGrid w:val="0"/>
        <w:spacing w:line="360" w:lineRule="exact"/>
        <w:textAlignment w:val="baseline"/>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pPr>
    </w:p>
    <w:p w14:paraId="1F802B65">
      <w:pPr>
        <w:snapToGrid w:val="0"/>
        <w:spacing w:line="240" w:lineRule="atLeast"/>
        <w:ind w:left="1080" w:leftChars="257" w:hanging="540"/>
        <w:jc w:val="center"/>
        <w:textAlignment w:val="baseline"/>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449" w:name="_Toc3552"/>
      <w:bookmarkStart w:id="450" w:name="_Toc11180"/>
      <w:bookmarkStart w:id="451" w:name="_Toc11956"/>
      <w:bookmarkStart w:id="452" w:name="_Toc22967"/>
      <w:bookmarkStart w:id="453" w:name="_Toc25827"/>
      <w:bookmarkStart w:id="454" w:name="_Toc515647816"/>
      <w:bookmarkStart w:id="455" w:name="_Toc12440"/>
    </w:p>
    <w:p w14:paraId="3211D831">
      <w:pPr>
        <w:pStyle w:val="7"/>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08DB7E59">
      <w:pPr>
        <w:pStyle w:val="7"/>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74B53CD6">
      <w:pPr>
        <w:pStyle w:val="3"/>
        <w:snapToGrid w:val="0"/>
        <w:spacing w:before="0" w:line="240" w:lineRule="atLeas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456" w:name="_Toc22738"/>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第二部分  商务及技术文件</w:t>
      </w:r>
      <w:bookmarkEnd w:id="449"/>
      <w:bookmarkEnd w:id="450"/>
      <w:bookmarkEnd w:id="451"/>
      <w:bookmarkEnd w:id="452"/>
      <w:bookmarkEnd w:id="453"/>
      <w:bookmarkEnd w:id="454"/>
      <w:bookmarkEnd w:id="455"/>
      <w:bookmarkEnd w:id="456"/>
    </w:p>
    <w:p w14:paraId="6A7D238B">
      <w:pPr>
        <w:pStyle w:val="16"/>
        <w:spacing w:line="360" w:lineRule="exact"/>
        <w:ind w:firstLine="720" w:firstLineChars="3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1、磋商书</w:t>
      </w:r>
    </w:p>
    <w:p w14:paraId="32910F3A">
      <w:pPr>
        <w:pStyle w:val="16"/>
        <w:spacing w:line="360" w:lineRule="exact"/>
        <w:ind w:firstLine="720" w:firstLineChars="3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2、磋商分项报价表</w:t>
      </w:r>
    </w:p>
    <w:p w14:paraId="52ACBA71">
      <w:pPr>
        <w:pStyle w:val="16"/>
        <w:spacing w:line="360" w:lineRule="exact"/>
        <w:ind w:firstLine="720" w:firstLineChars="3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说明一览表</w:t>
      </w:r>
    </w:p>
    <w:p w14:paraId="626B74A5">
      <w:pPr>
        <w:pStyle w:val="16"/>
        <w:spacing w:line="360" w:lineRule="exact"/>
        <w:ind w:firstLine="720" w:firstLineChars="30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、商务条款偏离表</w:t>
      </w:r>
    </w:p>
    <w:p w14:paraId="11F7A87E">
      <w:pPr>
        <w:pStyle w:val="16"/>
        <w:spacing w:line="360" w:lineRule="exact"/>
        <w:ind w:firstLine="720" w:firstLineChars="3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残疾人福利性单位声明函</w:t>
      </w:r>
    </w:p>
    <w:p w14:paraId="793D894E">
      <w:pPr>
        <w:pStyle w:val="16"/>
        <w:spacing w:line="360" w:lineRule="exact"/>
        <w:ind w:firstLine="720" w:firstLineChars="3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、供应商关联单位的说明</w:t>
      </w:r>
    </w:p>
    <w:p w14:paraId="1226A9B5">
      <w:pPr>
        <w:pStyle w:val="16"/>
        <w:spacing w:line="360" w:lineRule="exact"/>
        <w:ind w:firstLine="720" w:firstLineChars="3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、其他有利于磋商的技术条件</w:t>
      </w:r>
    </w:p>
    <w:p w14:paraId="73291918">
      <w:pPr>
        <w:pStyle w:val="16"/>
        <w:spacing w:line="360" w:lineRule="exact"/>
        <w:ind w:firstLine="720" w:firstLineChars="3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、响应文件格式范本</w:t>
      </w:r>
    </w:p>
    <w:p w14:paraId="79E5E8FB">
      <w:pPr>
        <w:pStyle w:val="16"/>
        <w:snapToGrid w:val="0"/>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2AD93DE7">
      <w:pPr>
        <w:pStyle w:val="16"/>
        <w:tabs>
          <w:tab w:val="left" w:pos="5580"/>
        </w:tabs>
        <w:snapToGrid w:val="0"/>
        <w:spacing w:line="240" w:lineRule="atLeas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4EFF81A2">
      <w:pPr>
        <w:pStyle w:val="16"/>
        <w:tabs>
          <w:tab w:val="left" w:pos="5580"/>
        </w:tabs>
        <w:snapToGrid w:val="0"/>
        <w:spacing w:line="240" w:lineRule="atLeas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6BCB1BE5">
      <w:pPr>
        <w:pStyle w:val="16"/>
        <w:tabs>
          <w:tab w:val="left" w:pos="5580"/>
        </w:tabs>
        <w:snapToGrid w:val="0"/>
        <w:spacing w:line="240" w:lineRule="atLeas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3F2AD77A">
      <w:pPr>
        <w:pStyle w:val="16"/>
        <w:tabs>
          <w:tab w:val="left" w:pos="5580"/>
        </w:tabs>
        <w:snapToGrid w:val="0"/>
        <w:spacing w:line="240" w:lineRule="atLeas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6D28694B">
      <w:pPr>
        <w:pStyle w:val="16"/>
        <w:tabs>
          <w:tab w:val="left" w:pos="5580"/>
        </w:tabs>
        <w:snapToGrid w:val="0"/>
        <w:spacing w:line="240" w:lineRule="atLeas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3A651EBD">
      <w:pPr>
        <w:pStyle w:val="16"/>
        <w:tabs>
          <w:tab w:val="left" w:pos="5580"/>
        </w:tabs>
        <w:snapToGrid w:val="0"/>
        <w:spacing w:line="240" w:lineRule="atLeas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41047C5A">
      <w:pPr>
        <w:pStyle w:val="16"/>
        <w:tabs>
          <w:tab w:val="left" w:pos="5580"/>
        </w:tabs>
        <w:snapToGrid w:val="0"/>
        <w:spacing w:line="240" w:lineRule="atLeas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015357DF">
      <w:pPr>
        <w:pStyle w:val="16"/>
        <w:tabs>
          <w:tab w:val="left" w:pos="5580"/>
        </w:tabs>
        <w:snapToGrid w:val="0"/>
        <w:spacing w:line="240" w:lineRule="atLeas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511308D0">
      <w:pPr>
        <w:pStyle w:val="16"/>
        <w:tabs>
          <w:tab w:val="left" w:pos="5580"/>
        </w:tabs>
        <w:snapToGrid w:val="0"/>
        <w:spacing w:line="240" w:lineRule="atLeas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2257E3F0">
      <w:pPr>
        <w:pStyle w:val="16"/>
        <w:tabs>
          <w:tab w:val="left" w:pos="5580"/>
        </w:tabs>
        <w:snapToGrid w:val="0"/>
        <w:spacing w:line="240" w:lineRule="atLeas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72EFD520">
      <w:pPr>
        <w:pStyle w:val="16"/>
        <w:tabs>
          <w:tab w:val="left" w:pos="5580"/>
        </w:tabs>
        <w:snapToGrid w:val="0"/>
        <w:spacing w:line="240" w:lineRule="atLeas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264C27A0">
      <w:pPr>
        <w:pStyle w:val="16"/>
        <w:tabs>
          <w:tab w:val="left" w:pos="5580"/>
        </w:tabs>
        <w:snapToGrid w:val="0"/>
        <w:spacing w:line="240" w:lineRule="atLeas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027D1300">
      <w:pPr>
        <w:pStyle w:val="1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6C4D4CC6">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08A916EC">
      <w:pPr>
        <w:pStyle w:val="20"/>
        <w:rPr>
          <w:rFonts w:hint="eastAsia"/>
          <w:color w:val="000000" w:themeColor="text1"/>
          <w:highlight w:val="none"/>
          <w14:textFill>
            <w14:solidFill>
              <w14:schemeClr w14:val="tx1"/>
            </w14:solidFill>
          </w14:textFill>
        </w:rPr>
      </w:pPr>
    </w:p>
    <w:p w14:paraId="5CF0F665">
      <w:pPr>
        <w:pStyle w:val="16"/>
        <w:tabs>
          <w:tab w:val="left" w:pos="5580"/>
        </w:tabs>
        <w:snapToGrid w:val="0"/>
        <w:spacing w:line="240" w:lineRule="atLeas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315E2D65">
      <w:pPr>
        <w:pStyle w:val="16"/>
        <w:tabs>
          <w:tab w:val="left" w:pos="5580"/>
        </w:tabs>
        <w:snapToGrid w:val="0"/>
        <w:spacing w:line="240" w:lineRule="atLeas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069B5FB9">
      <w:pPr>
        <w:pStyle w:val="16"/>
        <w:tabs>
          <w:tab w:val="left" w:pos="5580"/>
        </w:tabs>
        <w:snapToGrid w:val="0"/>
        <w:spacing w:line="240" w:lineRule="atLeas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1DB3953E">
      <w:pPr>
        <w:pStyle w:val="1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3123EE00">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1838EDF1">
      <w:pPr>
        <w:pStyle w:val="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4AADEFC2">
      <w:pPr>
        <w:pStyle w:val="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7D52B88D">
      <w:pPr>
        <w:pStyle w:val="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466B768F">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4DB1091D">
      <w:pPr>
        <w:pStyle w:val="2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6FF3C413">
      <w:pPr>
        <w:pStyle w:val="2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58B6FA88">
      <w:pPr>
        <w:pStyle w:val="2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4783B7EF">
      <w:pPr>
        <w:pStyle w:val="2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544CF25C">
      <w:pPr>
        <w:pStyle w:val="2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291B7C6D">
      <w:pPr>
        <w:pStyle w:val="2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5650A8AC">
      <w:pPr>
        <w:pStyle w:val="4"/>
        <w:bidi w:val="0"/>
        <w:rPr>
          <w:rFonts w:hint="eastAsia" w:asciiTheme="minorEastAsia" w:hAnsiTheme="minorEastAsia" w:eastAsiaTheme="minorEastAsia" w:cstheme="minorEastAsia"/>
          <w:color w:val="000000" w:themeColor="text1"/>
          <w:highlight w:val="none"/>
          <w:u w:val="none" w:color="auto"/>
          <w:lang w:val="en-US" w:eastAsia="zh-CN"/>
          <w14:textFill>
            <w14:solidFill>
              <w14:schemeClr w14:val="tx1"/>
            </w14:solidFill>
          </w14:textFill>
        </w:rPr>
      </w:pPr>
      <w:bookmarkStart w:id="457" w:name="_Toc8940"/>
      <w:bookmarkStart w:id="458" w:name="_Toc14858"/>
      <w:bookmarkStart w:id="459" w:name="_Toc11475"/>
      <w:bookmarkStart w:id="460" w:name="_Toc2041"/>
      <w:bookmarkStart w:id="461" w:name="_Toc12852"/>
      <w:bookmarkStart w:id="462" w:name="_Toc27453"/>
      <w:bookmarkStart w:id="463" w:name="_Toc515647817"/>
      <w:bookmarkStart w:id="464" w:name="_Toc14915"/>
      <w:bookmarkStart w:id="465" w:name="_Toc18506"/>
      <w:bookmarkStart w:id="466" w:name="_Toc22432"/>
      <w:bookmarkStart w:id="467" w:name="_Toc18614"/>
      <w:bookmarkStart w:id="468" w:name="_Toc9529"/>
      <w:r>
        <w:rPr>
          <w:rFonts w:hint="eastAsia" w:asciiTheme="minorEastAsia" w:hAnsiTheme="minorEastAsia" w:eastAsiaTheme="minorEastAsia" w:cstheme="minorEastAsia"/>
          <w:color w:val="000000" w:themeColor="text1"/>
          <w:highlight w:val="none"/>
          <w:u w:val="none" w:color="auto"/>
          <w:lang w:val="en-US" w:eastAsia="zh-CN"/>
          <w14:textFill>
            <w14:solidFill>
              <w14:schemeClr w14:val="tx1"/>
            </w14:solidFill>
          </w14:textFill>
        </w:rPr>
        <w:t>1</w:t>
      </w:r>
      <w:bookmarkStart w:id="469" w:name="_Hlt520355504"/>
      <w:bookmarkEnd w:id="469"/>
      <w:r>
        <w:rPr>
          <w:rFonts w:hint="eastAsia" w:asciiTheme="minorEastAsia" w:hAnsiTheme="minorEastAsia" w:eastAsiaTheme="minorEastAsia" w:cstheme="minorEastAsia"/>
          <w:color w:val="000000" w:themeColor="text1"/>
          <w:highlight w:val="none"/>
          <w:u w:val="none" w:color="auto"/>
          <w:lang w:val="en-US" w:eastAsia="zh-CN"/>
          <w14:textFill>
            <w14:solidFill>
              <w14:schemeClr w14:val="tx1"/>
            </w14:solidFill>
          </w14:textFill>
        </w:rPr>
        <w:t xml:space="preserve"> 、磋商书</w:t>
      </w:r>
      <w:bookmarkEnd w:id="457"/>
      <w:bookmarkEnd w:id="458"/>
      <w:bookmarkEnd w:id="459"/>
      <w:bookmarkEnd w:id="460"/>
      <w:bookmarkEnd w:id="461"/>
      <w:bookmarkEnd w:id="462"/>
      <w:bookmarkEnd w:id="463"/>
      <w:bookmarkEnd w:id="464"/>
      <w:bookmarkEnd w:id="465"/>
      <w:bookmarkEnd w:id="466"/>
      <w:bookmarkEnd w:id="467"/>
    </w:p>
    <w:p w14:paraId="3A05EF17">
      <w:pPr>
        <w:tabs>
          <w:tab w:val="left" w:pos="5580"/>
        </w:tabs>
        <w:snapToGrid w:val="0"/>
        <w:spacing w:line="400" w:lineRule="atLeast"/>
        <w:ind w:left="1080" w:hanging="1080"/>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致：</w:t>
      </w:r>
    </w:p>
    <w:p w14:paraId="7302BC2B">
      <w:pPr>
        <w:pStyle w:val="16"/>
        <w:tabs>
          <w:tab w:val="left" w:pos="5580"/>
        </w:tabs>
        <w:snapToGrid w:val="0"/>
        <w:spacing w:line="400" w:lineRule="atLeast"/>
        <w:ind w:left="2" w:leftChars="1" w:firstLine="480" w:firstLineChars="20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szCs w:val="24"/>
          <w:highlight w:val="none"/>
          <w14:textFill>
            <w14:solidFill>
              <w14:schemeClr w14:val="tx1"/>
            </w14:solidFill>
          </w14:textFill>
        </w:rPr>
        <w:t>根据贵方</w:t>
      </w:r>
      <w:r>
        <w:rPr>
          <w:rFonts w:hint="eastAsia" w:asciiTheme="minorEastAsia" w:hAnsiTheme="minorEastAsia" w:eastAsiaTheme="minorEastAsia" w:cstheme="minorEastAsia"/>
          <w:i w:val="0"/>
          <w:iCs w:val="0"/>
          <w:color w:val="000000" w:themeColor="text1"/>
          <w:sz w:val="24"/>
          <w:szCs w:val="24"/>
          <w:highlight w:val="none"/>
          <w:u w:val="single" w:color="auto"/>
          <w:lang w:val="en-US" w:eastAsia="zh-CN"/>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sz w:val="24"/>
          <w:szCs w:val="24"/>
          <w:highlight w:val="none"/>
          <w:u w:val="single" w:color="auto"/>
          <w14:textFill>
            <w14:solidFill>
              <w14:schemeClr w14:val="tx1"/>
            </w14:solidFill>
          </w14:textFill>
        </w:rPr>
        <w:t>(项目名称)</w:t>
      </w:r>
      <w:r>
        <w:rPr>
          <w:rFonts w:hint="eastAsia" w:asciiTheme="minorEastAsia" w:hAnsiTheme="minorEastAsia" w:eastAsiaTheme="minorEastAsia" w:cstheme="minorEastAsia"/>
          <w:i w:val="0"/>
          <w:iCs w:val="0"/>
          <w:color w:val="000000" w:themeColor="text1"/>
          <w:sz w:val="24"/>
          <w:szCs w:val="24"/>
          <w:highlight w:val="none"/>
          <w:u w:val="single" w:color="auto"/>
          <w:lang w:val="en-US" w:eastAsia="zh-CN"/>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sz w:val="24"/>
          <w:szCs w:val="24"/>
          <w:highlight w:val="none"/>
          <w14:textFill>
            <w14:solidFill>
              <w14:schemeClr w14:val="tx1"/>
            </w14:solidFill>
          </w14:textFill>
        </w:rPr>
        <w:t>项目的磋商邀请</w:t>
      </w:r>
      <w:r>
        <w:rPr>
          <w:rFonts w:hint="eastAsia" w:asciiTheme="minorEastAsia" w:hAnsiTheme="minorEastAsia" w:eastAsiaTheme="minorEastAsia" w:cstheme="minorEastAsia"/>
          <w:i w:val="0"/>
          <w:iCs w:val="0"/>
          <w:color w:val="000000" w:themeColor="text1"/>
          <w:sz w:val="24"/>
          <w:szCs w:val="24"/>
          <w:highlight w:val="none"/>
          <w:u w:val="single" w:color="auto"/>
          <w:lang w:val="en-US" w:eastAsia="zh-CN"/>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sz w:val="24"/>
          <w:szCs w:val="24"/>
          <w:highlight w:val="none"/>
          <w:u w:val="single" w:color="auto"/>
          <w14:textFill>
            <w14:solidFill>
              <w14:schemeClr w14:val="tx1"/>
            </w14:solidFill>
          </w14:textFill>
        </w:rPr>
        <w:t>(项目编号)</w:t>
      </w:r>
      <w:r>
        <w:rPr>
          <w:rFonts w:hint="eastAsia" w:asciiTheme="minorEastAsia" w:hAnsiTheme="minorEastAsia" w:eastAsiaTheme="minorEastAsia" w:cstheme="minorEastAsia"/>
          <w:i w:val="0"/>
          <w:iCs w:val="0"/>
          <w:color w:val="000000" w:themeColor="text1"/>
          <w:sz w:val="24"/>
          <w:szCs w:val="24"/>
          <w:highlight w:val="none"/>
          <w:u w:val="single" w:color="auto"/>
          <w:lang w:val="en-US" w:eastAsia="zh-CN"/>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sz w:val="24"/>
          <w:szCs w:val="24"/>
          <w:highlight w:val="none"/>
          <w14:textFill>
            <w14:solidFill>
              <w14:schemeClr w14:val="tx1"/>
            </w14:solidFill>
          </w14:textFill>
        </w:rPr>
        <w:t>,签字代表</w:t>
      </w:r>
      <w:r>
        <w:rPr>
          <w:rFonts w:hint="eastAsia" w:asciiTheme="minorEastAsia" w:hAnsiTheme="minorEastAsia" w:eastAsiaTheme="minorEastAsia" w:cstheme="minorEastAsia"/>
          <w:i w:val="0"/>
          <w:iCs w:val="0"/>
          <w:color w:val="000000" w:themeColor="text1"/>
          <w:sz w:val="24"/>
          <w:szCs w:val="24"/>
          <w:highlight w:val="none"/>
          <w:u w:val="single" w:color="auto"/>
          <w:lang w:val="en-US" w:eastAsia="zh-CN"/>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sz w:val="24"/>
          <w:szCs w:val="24"/>
          <w:highlight w:val="none"/>
          <w:u w:val="single" w:color="auto"/>
          <w14:textFill>
            <w14:solidFill>
              <w14:schemeClr w14:val="tx1"/>
            </w14:solidFill>
          </w14:textFill>
        </w:rPr>
        <w:t>(姓名、职务)</w:t>
      </w:r>
      <w:r>
        <w:rPr>
          <w:rFonts w:hint="eastAsia" w:asciiTheme="minorEastAsia" w:hAnsiTheme="minorEastAsia" w:eastAsiaTheme="minorEastAsia" w:cstheme="minorEastAsia"/>
          <w:i w:val="0"/>
          <w:iCs w:val="0"/>
          <w:color w:val="000000" w:themeColor="text1"/>
          <w:sz w:val="24"/>
          <w:szCs w:val="24"/>
          <w:highlight w:val="none"/>
          <w:u w:val="single" w:color="auto"/>
          <w:lang w:val="en-US" w:eastAsia="zh-CN"/>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sz w:val="24"/>
          <w:szCs w:val="24"/>
          <w:highlight w:val="none"/>
          <w14:textFill>
            <w14:solidFill>
              <w14:schemeClr w14:val="tx1"/>
            </w14:solidFill>
          </w14:textFill>
        </w:rPr>
        <w:t>经正式授权并代表供应商</w:t>
      </w:r>
      <w:r>
        <w:rPr>
          <w:rFonts w:hint="eastAsia" w:asciiTheme="minorEastAsia" w:hAnsiTheme="minorEastAsia" w:eastAsiaTheme="minorEastAsia" w:cstheme="minorEastAsia"/>
          <w:i w:val="0"/>
          <w:iCs w:val="0"/>
          <w:color w:val="000000" w:themeColor="text1"/>
          <w:sz w:val="24"/>
          <w:szCs w:val="24"/>
          <w:highlight w:val="none"/>
          <w:u w:val="single" w:color="auto"/>
          <w:lang w:val="en-US" w:eastAsia="zh-CN"/>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sz w:val="24"/>
          <w:szCs w:val="24"/>
          <w:highlight w:val="none"/>
          <w:u w:val="single" w:color="auto"/>
          <w14:textFill>
            <w14:solidFill>
              <w14:schemeClr w14:val="tx1"/>
            </w14:solidFill>
          </w14:textFill>
        </w:rPr>
        <w:t>（名称、地址）</w:t>
      </w:r>
      <w:r>
        <w:rPr>
          <w:rFonts w:hint="eastAsia" w:asciiTheme="minorEastAsia" w:hAnsiTheme="minorEastAsia" w:eastAsiaTheme="minorEastAsia" w:cstheme="minorEastAsia"/>
          <w:i w:val="0"/>
          <w:iCs w:val="0"/>
          <w:color w:val="000000" w:themeColor="text1"/>
          <w:sz w:val="24"/>
          <w:szCs w:val="24"/>
          <w:highlight w:val="none"/>
          <w:u w:val="single" w:color="auto"/>
          <w:lang w:val="en-US" w:eastAsia="zh-CN"/>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sz w:val="24"/>
          <w:szCs w:val="24"/>
          <w:highlight w:val="none"/>
          <w:lang w:val="en-US" w:eastAsia="zh-CN"/>
          <w14:textFill>
            <w14:solidFill>
              <w14:schemeClr w14:val="tx1"/>
            </w14:solidFill>
          </w14:textFill>
        </w:rPr>
        <w:t>上传并签署响应文件</w:t>
      </w:r>
      <w:r>
        <w:rPr>
          <w:rFonts w:hint="eastAsia" w:asciiTheme="minorEastAsia" w:hAnsiTheme="minorEastAsia" w:eastAsiaTheme="minorEastAsia" w:cstheme="minorEastAsia"/>
          <w:i w:val="0"/>
          <w:iCs w:val="0"/>
          <w:color w:val="000000" w:themeColor="text1"/>
          <w:sz w:val="24"/>
          <w:szCs w:val="24"/>
          <w:highlight w:val="none"/>
          <w14:textFill>
            <w14:solidFill>
              <w14:schemeClr w14:val="tx1"/>
            </w14:solidFill>
          </w14:textFill>
        </w:rPr>
        <w:t>，并以</w:t>
      </w:r>
      <w:r>
        <w:rPr>
          <w:rFonts w:hint="eastAsia" w:asciiTheme="minorEastAsia" w:hAnsiTheme="minorEastAsia" w:eastAsiaTheme="minorEastAsia" w:cstheme="minorEastAsia"/>
          <w:i w:val="0"/>
          <w:iCs w:val="0"/>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sz w:val="24"/>
          <w:szCs w:val="24"/>
          <w:highlight w:val="none"/>
          <w14:textFill>
            <w14:solidFill>
              <w14:schemeClr w14:val="tx1"/>
            </w14:solidFill>
          </w14:textFill>
        </w:rPr>
        <w:t>形式出具的金额为人民币</w:t>
      </w:r>
      <w:r>
        <w:rPr>
          <w:rFonts w:hint="eastAsia" w:asciiTheme="minorEastAsia" w:hAnsiTheme="minorEastAsia" w:eastAsiaTheme="minorEastAsia" w:cstheme="minorEastAsia"/>
          <w:i w:val="0"/>
          <w:iCs w:val="0"/>
          <w:color w:val="000000" w:themeColor="text1"/>
          <w:sz w:val="24"/>
          <w:szCs w:val="24"/>
          <w:highlight w:val="none"/>
          <w:u w:val="single" w:color="000000"/>
          <w14:textFill>
            <w14:solidFill>
              <w14:schemeClr w14:val="tx1"/>
            </w14:solidFill>
          </w14:textFill>
        </w:rPr>
        <w:t>　　　　</w:t>
      </w:r>
      <w:r>
        <w:rPr>
          <w:rFonts w:hint="eastAsia" w:asciiTheme="minorEastAsia" w:hAnsiTheme="minorEastAsia" w:eastAsiaTheme="minorEastAsia" w:cstheme="minorEastAsia"/>
          <w:i w:val="0"/>
          <w:iCs w:val="0"/>
          <w:color w:val="000000" w:themeColor="text1"/>
          <w:sz w:val="24"/>
          <w:szCs w:val="24"/>
          <w:highlight w:val="none"/>
          <w14:textFill>
            <w14:solidFill>
              <w14:schemeClr w14:val="tx1"/>
            </w14:solidFill>
          </w14:textFill>
        </w:rPr>
        <w:t>元的磋商保证金</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728E7F83">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据此，签字代表宣布同意如下：</w:t>
      </w:r>
    </w:p>
    <w:p w14:paraId="23AF99A3">
      <w:pPr>
        <w:pStyle w:val="16"/>
        <w:tabs>
          <w:tab w:val="left" w:pos="720"/>
          <w:tab w:val="left" w:pos="900"/>
        </w:tabs>
        <w:snapToGrid w:val="0"/>
        <w:spacing w:line="400" w:lineRule="atLeast"/>
        <w:ind w:left="769" w:leftChars="257" w:hanging="229"/>
        <w:textAlignment w:val="baseline"/>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（1）附磋商价格表中规定的应提供</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的服务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磋商总价详见磋商开启一览表，</w:t>
      </w:r>
      <w:r>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t>其中由小型和</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微型企业</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承接商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的价格为</w:t>
      </w:r>
      <w:r>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t xml:space="preserve"> （用文字和数字表示），占磋商总价</w:t>
      </w:r>
      <w:r>
        <w:rPr>
          <w:rFonts w:hint="eastAsia" w:asciiTheme="minorEastAsia" w:hAnsiTheme="minorEastAsia" w:eastAsiaTheme="minorEastAsia" w:cstheme="minorEastAsia"/>
          <w:color w:val="000000" w:themeColor="text1"/>
          <w:sz w:val="24"/>
          <w:szCs w:val="24"/>
          <w:highlight w:val="none"/>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56881135">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（2）本磋商有效期为自磋商截止之日起个日历日。</w:t>
      </w:r>
    </w:p>
    <w:p w14:paraId="6BD3D4C7">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（3）联合体中的大中型企业和其他自然人、法人或者非法人组织，与联合体中的小型、微型企业之间</w:t>
      </w:r>
      <w:r>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存在、不存在）投资关系（如果是联合体的话）。</w:t>
      </w:r>
    </w:p>
    <w:p w14:paraId="3BB09A67">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（4）已详细审查全部磋商文件，包括所有补充通知（如果有的话），完全理解并同意放弃对这方面有不明、误解和质疑的权力。</w:t>
      </w:r>
    </w:p>
    <w:p w14:paraId="3B2894EC">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（5）在规定的磋商开启时间后，遵守磋商文件中有关保证金的规定。</w:t>
      </w:r>
    </w:p>
    <w:p w14:paraId="1C4EF448">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（6）我方不是为本项目提供整体设计、规范编制或者项目管理、监理、检测等服务的供应商，我方不是采购代理机构的附属机构。</w:t>
      </w:r>
    </w:p>
    <w:p w14:paraId="7C90D5EA">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（7）在领取成交通知书的同时按磋商文件规定的形式，向贵方一次性支付成交服务费。</w:t>
      </w:r>
    </w:p>
    <w:p w14:paraId="044ACC57">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（8）按照贵方可能要求，提供与其磋商有关的一切数据或资料，完全理解贵方不一定接受最低价的磋商或收到的任何磋商。</w:t>
      </w:r>
    </w:p>
    <w:p w14:paraId="36F1340A">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（9）按照磋商文件的规定履行合同责任和义务。</w:t>
      </w:r>
    </w:p>
    <w:p w14:paraId="4EFA98C3">
      <w:pPr>
        <w:pStyle w:val="16"/>
        <w:tabs>
          <w:tab w:val="left" w:pos="5580"/>
        </w:tabs>
        <w:snapToGrid w:val="0"/>
        <w:spacing w:line="400" w:lineRule="atLeast"/>
        <w:ind w:left="359" w:leftChars="68" w:hanging="216" w:hangingChars="9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与本磋商有关的一切正式往来信函请寄：</w:t>
      </w:r>
    </w:p>
    <w:p w14:paraId="02B11261">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地址 </w:t>
      </w:r>
      <w:r>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t>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14:paraId="24FA4A10">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传真　</w:t>
      </w:r>
      <w:r>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t>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14:paraId="393A1790">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电话  </w:t>
      </w:r>
      <w:r>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t>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14:paraId="354878D3">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电子函件　</w:t>
      </w:r>
      <w:r>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t>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14:paraId="30BC9525">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法定代表人或其委托代理人（签/章）</w:t>
      </w:r>
      <w:r>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t xml:space="preserve">　　　　　　 </w:t>
      </w:r>
    </w:p>
    <w:p w14:paraId="4E9D4ED4">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供应商名称（全称）</w:t>
      </w:r>
      <w:r>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t xml:space="preserve">　　　　　　 </w:t>
      </w:r>
    </w:p>
    <w:p w14:paraId="38485C5B">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供应商开户银行（全称）</w:t>
      </w:r>
      <w:r>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t xml:space="preserve">　　　　　　 </w:t>
      </w:r>
    </w:p>
    <w:p w14:paraId="42DD214B">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供应商银行帐号</w:t>
      </w:r>
      <w:r>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t>　　　　　　　　 　　</w:t>
      </w:r>
    </w:p>
    <w:p w14:paraId="3B2C9380">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供应商（公章）</w:t>
      </w:r>
      <w:r>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t xml:space="preserve">　　　　　　       </w:t>
      </w:r>
    </w:p>
    <w:p w14:paraId="60BA93CA">
      <w:pPr>
        <w:pStyle w:val="16"/>
        <w:tabs>
          <w:tab w:val="left" w:pos="5580"/>
        </w:tabs>
        <w:snapToGrid w:val="0"/>
        <w:spacing w:line="400" w:lineRule="atLeast"/>
        <w:ind w:left="1080" w:leftChars="257" w:hanging="540"/>
        <w:textAlignment w:val="baseline"/>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t>　　　　　　</w:t>
      </w:r>
    </w:p>
    <w:p w14:paraId="4E0B6C4E">
      <w:pPr>
        <w:pStyle w:val="16"/>
        <w:spacing w:line="360" w:lineRule="exact"/>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p>
    <w:p w14:paraId="777888EE">
      <w:pPr>
        <w:pStyle w:val="16"/>
        <w:spacing w:line="360" w:lineRule="exact"/>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p>
    <w:p w14:paraId="0DD0FC39">
      <w:pPr>
        <w:pStyle w:val="16"/>
        <w:spacing w:line="360" w:lineRule="exact"/>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p>
    <w:p w14:paraId="498B55D9">
      <w:pPr>
        <w:pStyle w:val="16"/>
        <w:spacing w:line="360" w:lineRule="exact"/>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p>
    <w:p w14:paraId="480BAC9F">
      <w:pPr>
        <w:pStyle w:val="4"/>
        <w:bidi w:val="0"/>
        <w:rPr>
          <w:rFonts w:hint="eastAsia" w:asciiTheme="minorEastAsia" w:hAnsiTheme="minorEastAsia" w:eastAsiaTheme="minorEastAsia" w:cstheme="minorEastAsia"/>
          <w:color w:val="000000" w:themeColor="text1"/>
          <w:highlight w:val="none"/>
          <w:u w:val="none" w:color="auto"/>
          <w:lang w:val="en-US" w:eastAsia="zh-CN"/>
          <w14:textFill>
            <w14:solidFill>
              <w14:schemeClr w14:val="tx1"/>
            </w14:solidFill>
          </w14:textFill>
        </w:rPr>
      </w:pPr>
      <w:bookmarkStart w:id="470" w:name="_Toc22742"/>
      <w:r>
        <w:rPr>
          <w:rFonts w:hint="eastAsia" w:asciiTheme="minorEastAsia" w:hAnsiTheme="minorEastAsia" w:eastAsiaTheme="minorEastAsia" w:cstheme="minorEastAsia"/>
          <w:color w:val="000000" w:themeColor="text1"/>
          <w:highlight w:val="none"/>
          <w:u w:val="none" w:color="auto"/>
          <w:lang w:val="en-US" w:eastAsia="zh-CN"/>
          <w14:textFill>
            <w14:solidFill>
              <w14:schemeClr w14:val="tx1"/>
            </w14:solidFill>
          </w14:textFill>
        </w:rPr>
        <w:t xml:space="preserve">2 </w:t>
      </w:r>
      <w:bookmarkStart w:id="471" w:name="_Toc5101"/>
      <w:r>
        <w:rPr>
          <w:rFonts w:hint="eastAsia" w:asciiTheme="minorEastAsia" w:hAnsiTheme="minorEastAsia" w:eastAsiaTheme="minorEastAsia" w:cstheme="minorEastAsia"/>
          <w:color w:val="000000" w:themeColor="text1"/>
          <w:highlight w:val="none"/>
          <w:u w:val="none" w:color="auto"/>
          <w:lang w:val="en-US" w:eastAsia="zh-CN"/>
          <w14:textFill>
            <w14:solidFill>
              <w14:schemeClr w14:val="tx1"/>
            </w14:solidFill>
          </w14:textFill>
        </w:rPr>
        <w:t>、磋商分项报价表</w:t>
      </w:r>
      <w:bookmarkEnd w:id="468"/>
      <w:bookmarkEnd w:id="470"/>
      <w:bookmarkEnd w:id="471"/>
      <w:r>
        <w:rPr>
          <w:rFonts w:hint="eastAsia" w:asciiTheme="minorEastAsia" w:hAnsiTheme="minorEastAsia" w:eastAsiaTheme="minorEastAsia" w:cstheme="minorEastAsia"/>
          <w:color w:val="000000" w:themeColor="text1"/>
          <w:highlight w:val="none"/>
          <w:u w:val="none" w:color="auto"/>
          <w:lang w:val="en-US" w:eastAsia="zh-CN"/>
          <w14:textFill>
            <w14:solidFill>
              <w14:schemeClr w14:val="tx1"/>
            </w14:solidFill>
          </w14:textFill>
        </w:rPr>
        <w:t>（格式可自拟）</w:t>
      </w:r>
    </w:p>
    <w:p w14:paraId="3D563D26">
      <w:pPr>
        <w:pStyle w:val="16"/>
        <w:spacing w:line="360" w:lineRule="exact"/>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7B093B04">
      <w:pPr>
        <w:pStyle w:val="16"/>
        <w:spacing w:line="400" w:lineRule="exact"/>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项目名称:                      招标编号:                       　 　             报价单位：</w:t>
      </w:r>
    </w:p>
    <w:tbl>
      <w:tblPr>
        <w:tblStyle w:val="37"/>
        <w:tblW w:w="9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2280"/>
        <w:gridCol w:w="2280"/>
        <w:gridCol w:w="1348"/>
        <w:gridCol w:w="1348"/>
        <w:gridCol w:w="1349"/>
      </w:tblGrid>
      <w:tr w14:paraId="6621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noWrap/>
            <w:vAlign w:val="center"/>
          </w:tcPr>
          <w:p w14:paraId="74F0CCBA">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序号</w:t>
            </w:r>
          </w:p>
        </w:tc>
        <w:tc>
          <w:tcPr>
            <w:tcW w:w="0" w:type="auto"/>
            <w:noWrap/>
            <w:vAlign w:val="center"/>
          </w:tcPr>
          <w:p w14:paraId="33D4B642">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服务名称</w:t>
            </w:r>
          </w:p>
        </w:tc>
        <w:tc>
          <w:tcPr>
            <w:tcW w:w="0" w:type="auto"/>
            <w:noWrap/>
            <w:vAlign w:val="center"/>
          </w:tcPr>
          <w:p w14:paraId="6157DC42">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服务内容</w:t>
            </w:r>
          </w:p>
        </w:tc>
        <w:tc>
          <w:tcPr>
            <w:tcW w:w="0" w:type="auto"/>
            <w:noWrap/>
            <w:vAlign w:val="center"/>
          </w:tcPr>
          <w:p w14:paraId="60898B1C">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单价</w:t>
            </w:r>
          </w:p>
        </w:tc>
        <w:tc>
          <w:tcPr>
            <w:tcW w:w="0" w:type="auto"/>
            <w:noWrap/>
            <w:vAlign w:val="center"/>
          </w:tcPr>
          <w:p w14:paraId="128F4EEA">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总价</w:t>
            </w:r>
          </w:p>
        </w:tc>
        <w:tc>
          <w:tcPr>
            <w:tcW w:w="1349" w:type="dxa"/>
            <w:noWrap/>
            <w:vAlign w:val="center"/>
          </w:tcPr>
          <w:p w14:paraId="1420CB1E">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备注</w:t>
            </w:r>
          </w:p>
        </w:tc>
      </w:tr>
      <w:tr w14:paraId="0513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ign w:val="center"/>
          </w:tcPr>
          <w:p w14:paraId="552DE52A">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0" w:type="auto"/>
            <w:noWrap/>
            <w:vAlign w:val="center"/>
          </w:tcPr>
          <w:p w14:paraId="29D210F4">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0" w:type="auto"/>
            <w:noWrap/>
            <w:vAlign w:val="center"/>
          </w:tcPr>
          <w:p w14:paraId="626F4865">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0" w:type="auto"/>
            <w:noWrap/>
            <w:vAlign w:val="center"/>
          </w:tcPr>
          <w:p w14:paraId="453738AB">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0" w:type="auto"/>
            <w:noWrap/>
            <w:vAlign w:val="center"/>
          </w:tcPr>
          <w:p w14:paraId="7DB80D1B">
            <w:pPr>
              <w:pStyle w:val="16"/>
              <w:snapToGrid w:val="0"/>
              <w:spacing w:line="240" w:lineRule="auto"/>
              <w:ind w:left="0" w:leftChars="0" w:right="0" w:rightChars="0" w:firstLine="0" w:firstLineChars="0"/>
              <w:jc w:val="righ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49" w:type="dxa"/>
            <w:noWrap/>
            <w:vAlign w:val="center"/>
          </w:tcPr>
          <w:p w14:paraId="7F6B722A">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1F91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ign w:val="center"/>
          </w:tcPr>
          <w:p w14:paraId="16F81BD3">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p>
        </w:tc>
        <w:tc>
          <w:tcPr>
            <w:tcW w:w="0" w:type="auto"/>
            <w:noWrap/>
            <w:vAlign w:val="center"/>
          </w:tcPr>
          <w:p w14:paraId="36D3DD66">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0" w:type="auto"/>
            <w:noWrap/>
            <w:vAlign w:val="center"/>
          </w:tcPr>
          <w:p w14:paraId="63585C80">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0" w:type="auto"/>
            <w:noWrap/>
            <w:vAlign w:val="center"/>
          </w:tcPr>
          <w:p w14:paraId="5C809C54">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0" w:type="auto"/>
            <w:noWrap/>
            <w:vAlign w:val="center"/>
          </w:tcPr>
          <w:p w14:paraId="1C24CB25">
            <w:pPr>
              <w:pStyle w:val="16"/>
              <w:snapToGrid w:val="0"/>
              <w:spacing w:line="240" w:lineRule="auto"/>
              <w:ind w:left="0" w:leftChars="0" w:right="0" w:rightChars="0" w:firstLine="0" w:firstLineChars="0"/>
              <w:jc w:val="righ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49" w:type="dxa"/>
            <w:noWrap/>
            <w:vAlign w:val="center"/>
          </w:tcPr>
          <w:p w14:paraId="1753F0FE">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533F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ign w:val="center"/>
          </w:tcPr>
          <w:p w14:paraId="252E2F53">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p>
        </w:tc>
        <w:tc>
          <w:tcPr>
            <w:tcW w:w="0" w:type="auto"/>
            <w:noWrap/>
            <w:vAlign w:val="center"/>
          </w:tcPr>
          <w:p w14:paraId="5CA92A9B">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0" w:type="auto"/>
            <w:noWrap/>
            <w:vAlign w:val="center"/>
          </w:tcPr>
          <w:p w14:paraId="1BF47913">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0" w:type="auto"/>
            <w:noWrap/>
            <w:vAlign w:val="center"/>
          </w:tcPr>
          <w:p w14:paraId="3CDC3D63">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0" w:type="auto"/>
            <w:noWrap/>
            <w:vAlign w:val="center"/>
          </w:tcPr>
          <w:p w14:paraId="27984800">
            <w:pPr>
              <w:pStyle w:val="16"/>
              <w:snapToGrid w:val="0"/>
              <w:spacing w:line="240" w:lineRule="auto"/>
              <w:ind w:left="0" w:leftChars="0" w:right="0" w:rightChars="0" w:firstLine="0" w:firstLineChars="0"/>
              <w:jc w:val="righ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49" w:type="dxa"/>
            <w:noWrap/>
            <w:vAlign w:val="center"/>
          </w:tcPr>
          <w:p w14:paraId="1F54D693">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1C9D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ign w:val="center"/>
          </w:tcPr>
          <w:p w14:paraId="00C6246A">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w:t>
            </w:r>
          </w:p>
        </w:tc>
        <w:tc>
          <w:tcPr>
            <w:tcW w:w="0" w:type="auto"/>
            <w:noWrap/>
            <w:vAlign w:val="center"/>
          </w:tcPr>
          <w:p w14:paraId="031EE598">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0" w:type="auto"/>
            <w:noWrap/>
            <w:vAlign w:val="center"/>
          </w:tcPr>
          <w:p w14:paraId="149FA5E0">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0" w:type="auto"/>
            <w:noWrap/>
            <w:vAlign w:val="center"/>
          </w:tcPr>
          <w:p w14:paraId="203DAC8E">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0" w:type="auto"/>
            <w:noWrap/>
            <w:vAlign w:val="center"/>
          </w:tcPr>
          <w:p w14:paraId="195E7BEA">
            <w:pPr>
              <w:pStyle w:val="16"/>
              <w:snapToGrid w:val="0"/>
              <w:spacing w:line="240" w:lineRule="auto"/>
              <w:ind w:left="0" w:leftChars="0" w:right="0" w:rightChars="0" w:firstLine="0" w:firstLineChars="0"/>
              <w:jc w:val="righ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49" w:type="dxa"/>
            <w:noWrap/>
            <w:vAlign w:val="center"/>
          </w:tcPr>
          <w:p w14:paraId="460C4AEB">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61D3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8" w:type="dxa"/>
            <w:noWrap/>
            <w:vAlign w:val="center"/>
          </w:tcPr>
          <w:p w14:paraId="560A261D">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w:t>
            </w:r>
          </w:p>
        </w:tc>
        <w:tc>
          <w:tcPr>
            <w:tcW w:w="2280" w:type="dxa"/>
            <w:noWrap/>
            <w:vAlign w:val="center"/>
          </w:tcPr>
          <w:p w14:paraId="4E631F1E">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280" w:type="dxa"/>
            <w:noWrap/>
            <w:vAlign w:val="center"/>
          </w:tcPr>
          <w:p w14:paraId="759FE3BF">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48" w:type="dxa"/>
            <w:noWrap/>
            <w:vAlign w:val="center"/>
          </w:tcPr>
          <w:p w14:paraId="3036052D">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48" w:type="dxa"/>
            <w:noWrap/>
            <w:vAlign w:val="center"/>
          </w:tcPr>
          <w:p w14:paraId="6AE405CD">
            <w:pPr>
              <w:pStyle w:val="16"/>
              <w:snapToGrid w:val="0"/>
              <w:spacing w:line="240" w:lineRule="auto"/>
              <w:ind w:left="0" w:leftChars="0" w:right="0" w:rightChars="0" w:firstLine="0" w:firstLineChars="0"/>
              <w:jc w:val="righ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49" w:type="dxa"/>
            <w:noWrap/>
            <w:vAlign w:val="center"/>
          </w:tcPr>
          <w:p w14:paraId="7FC55866">
            <w:pPr>
              <w:pStyle w:val="16"/>
              <w:snapToGrid w:val="0"/>
              <w:spacing w:line="240" w:lineRule="auto"/>
              <w:ind w:left="0" w:leftChars="0" w:right="0" w:rightChars="0" w:firstLine="0" w:firstLine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14:paraId="4D300627">
      <w:pPr>
        <w:pStyle w:val="16"/>
        <w:spacing w:line="400" w:lineRule="exact"/>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1E1ADA74">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3AC03E8D">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法定代表人或其委托代理人（签</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字并盖章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p>
    <w:p w14:paraId="4A04141D">
      <w:pPr>
        <w:pStyle w:val="17"/>
        <w:rPr>
          <w:rFonts w:hint="eastAsia"/>
          <w:color w:val="000000" w:themeColor="text1"/>
          <w:highlight w:val="none"/>
          <w14:textFill>
            <w14:solidFill>
              <w14:schemeClr w14:val="tx1"/>
            </w14:solidFill>
          </w14:textFill>
        </w:rPr>
      </w:pPr>
    </w:p>
    <w:p w14:paraId="352CA7FD">
      <w:pPr>
        <w:pStyle w:val="16"/>
        <w:tabs>
          <w:tab w:val="left" w:pos="5370"/>
        </w:tabs>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供应商(公章):</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p>
    <w:p w14:paraId="60BE466F">
      <w:pPr>
        <w:pStyle w:val="16"/>
        <w:spacing w:line="400" w:lineRule="exact"/>
        <w:rPr>
          <w:rFonts w:hint="eastAsia" w:asciiTheme="minorEastAsia" w:hAnsiTheme="minorEastAsia" w:eastAsiaTheme="minorEastAsia" w:cstheme="minorEastAsia"/>
          <w:b/>
          <w:color w:val="000000" w:themeColor="text1"/>
          <w:kern w:val="0"/>
          <w:sz w:val="24"/>
          <w:szCs w:val="24"/>
          <w:highlight w:val="none"/>
          <w:lang w:val="en-US" w:eastAsia="zh-CN"/>
          <w14:textFill>
            <w14:solidFill>
              <w14:schemeClr w14:val="tx1"/>
            </w14:solidFill>
          </w14:textFill>
        </w:rPr>
      </w:pPr>
    </w:p>
    <w:p w14:paraId="0A433E58">
      <w:pPr>
        <w:pStyle w:val="16"/>
        <w:spacing w:line="400" w:lineRule="exact"/>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p>
    <w:p w14:paraId="00C0D6D3">
      <w:pPr>
        <w:pStyle w:val="17"/>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p>
    <w:p w14:paraId="732D980C">
      <w:pP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p>
    <w:p w14:paraId="09792E33">
      <w:pP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p>
    <w:p w14:paraId="56DB302F">
      <w:pPr>
        <w:pStyle w:val="16"/>
        <w:spacing w:line="400" w:lineRule="exact"/>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p>
    <w:p w14:paraId="644A9C33">
      <w:pPr>
        <w:pStyle w:val="16"/>
        <w:spacing w:line="400" w:lineRule="exact"/>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p>
    <w:p w14:paraId="7B7C305D">
      <w:pPr>
        <w:pStyle w:val="16"/>
        <w:spacing w:line="400" w:lineRule="exact"/>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p>
    <w:p w14:paraId="31CC0265">
      <w:pPr>
        <w:pStyle w:val="16"/>
        <w:spacing w:line="400" w:lineRule="exact"/>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p>
    <w:p w14:paraId="21A04318">
      <w:pPr>
        <w:pStyle w:val="17"/>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p>
    <w:p w14:paraId="282A9B27">
      <w:pP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p>
    <w:p w14:paraId="759FFE2A">
      <w:pPr>
        <w:pStyle w:val="36"/>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p>
    <w:p w14:paraId="75D1FE41">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27FD18E8">
      <w:pPr>
        <w:pStyle w:val="16"/>
        <w:spacing w:line="360" w:lineRule="exact"/>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p>
    <w:p w14:paraId="409F0B94">
      <w:pPr>
        <w:pStyle w:val="4"/>
        <w:bidi w:val="0"/>
        <w:rPr>
          <w:rFonts w:hint="eastAsia" w:asciiTheme="minorEastAsia" w:hAnsiTheme="minorEastAsia" w:eastAsiaTheme="minorEastAsia" w:cstheme="minorEastAsia"/>
          <w:color w:val="000000" w:themeColor="text1"/>
          <w:highlight w:val="none"/>
          <w:u w:val="none" w:color="auto"/>
          <w:lang w:val="en-US" w:eastAsia="zh-CN"/>
          <w14:textFill>
            <w14:solidFill>
              <w14:schemeClr w14:val="tx1"/>
            </w14:solidFill>
          </w14:textFill>
        </w:rPr>
      </w:pPr>
      <w:bookmarkStart w:id="472" w:name="_Toc2193"/>
      <w:bookmarkStart w:id="473" w:name="_Toc12459"/>
      <w:bookmarkStart w:id="474" w:name="_Toc6446"/>
      <w:bookmarkStart w:id="475" w:name="_Toc23233"/>
      <w:bookmarkStart w:id="476" w:name="_Toc5553"/>
    </w:p>
    <w:p w14:paraId="3670517D">
      <w:pPr>
        <w:pStyle w:val="4"/>
        <w:bidi w:val="0"/>
        <w:rPr>
          <w:rFonts w:hint="eastAsia" w:asciiTheme="minorEastAsia" w:hAnsiTheme="minorEastAsia" w:eastAsiaTheme="minorEastAsia" w:cstheme="minorEastAsia"/>
          <w:color w:val="000000" w:themeColor="text1"/>
          <w:highlight w:val="none"/>
          <w:u w:val="none" w:color="auto"/>
          <w:lang w:val="en-US" w:eastAsia="zh-CN"/>
          <w14:textFill>
            <w14:solidFill>
              <w14:schemeClr w14:val="tx1"/>
            </w14:solidFill>
          </w14:textFill>
        </w:rPr>
      </w:pPr>
    </w:p>
    <w:p w14:paraId="2A097881">
      <w:pPr>
        <w:rPr>
          <w:rFonts w:hint="eastAsia"/>
          <w:color w:val="000000" w:themeColor="text1"/>
          <w:highlight w:val="none"/>
          <w:lang w:val="en-US" w:eastAsia="zh-CN"/>
          <w14:textFill>
            <w14:solidFill>
              <w14:schemeClr w14:val="tx1"/>
            </w14:solidFill>
          </w14:textFill>
        </w:rPr>
      </w:pPr>
    </w:p>
    <w:p w14:paraId="6D5BB472">
      <w:pPr>
        <w:pStyle w:val="4"/>
        <w:bidi w:val="0"/>
        <w:rPr>
          <w:rFonts w:hint="eastAsia" w:asciiTheme="minorEastAsia" w:hAnsiTheme="minorEastAsia" w:eastAsiaTheme="minorEastAsia" w:cstheme="minorEastAsia"/>
          <w:color w:val="000000" w:themeColor="text1"/>
          <w:highlight w:val="none"/>
          <w:u w:val="none" w:color="auto"/>
          <w:lang w:val="en-US" w:eastAsia="zh-CN"/>
          <w14:textFill>
            <w14:solidFill>
              <w14:schemeClr w14:val="tx1"/>
            </w14:solidFill>
          </w14:textFill>
        </w:rPr>
      </w:pPr>
    </w:p>
    <w:p w14:paraId="5124F6A1">
      <w:pPr>
        <w:rPr>
          <w:rFonts w:hint="eastAsia"/>
          <w:color w:val="000000" w:themeColor="text1"/>
          <w:highlight w:val="none"/>
          <w:lang w:val="en-US" w:eastAsia="zh-CN"/>
          <w14:textFill>
            <w14:solidFill>
              <w14:schemeClr w14:val="tx1"/>
            </w14:solidFill>
          </w14:textFill>
        </w:rPr>
      </w:pPr>
    </w:p>
    <w:p w14:paraId="595F9475">
      <w:pPr>
        <w:pStyle w:val="4"/>
        <w:bidi w:val="0"/>
        <w:rPr>
          <w:rFonts w:hint="eastAsia" w:asciiTheme="minorEastAsia" w:hAnsiTheme="minorEastAsia" w:eastAsiaTheme="minorEastAsia" w:cstheme="minorEastAsia"/>
          <w:color w:val="000000" w:themeColor="text1"/>
          <w:highlight w:val="none"/>
          <w:u w:val="none" w:color="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u w:val="none" w:color="auto"/>
          <w:lang w:val="en-US" w:eastAsia="zh-CN"/>
          <w14:textFill>
            <w14:solidFill>
              <w14:schemeClr w14:val="tx1"/>
            </w14:solidFill>
          </w14:textFill>
        </w:rPr>
        <w:t>3、服务说明一览表</w:t>
      </w:r>
      <w:bookmarkEnd w:id="472"/>
      <w:bookmarkEnd w:id="473"/>
      <w:bookmarkEnd w:id="474"/>
      <w:r>
        <w:rPr>
          <w:rFonts w:hint="eastAsia" w:asciiTheme="minorEastAsia" w:hAnsiTheme="minorEastAsia" w:eastAsiaTheme="minorEastAsia" w:cstheme="minorEastAsia"/>
          <w:color w:val="000000" w:themeColor="text1"/>
          <w:highlight w:val="none"/>
          <w:u w:val="none" w:color="auto"/>
          <w:lang w:val="en-US" w:eastAsia="zh-CN"/>
          <w14:textFill>
            <w14:solidFill>
              <w14:schemeClr w14:val="tx1"/>
            </w14:solidFill>
          </w14:textFill>
        </w:rPr>
        <w:t>（格式可自拟）</w:t>
      </w:r>
    </w:p>
    <w:p w14:paraId="342BE545">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项目名称:                </w:t>
      </w:r>
    </w:p>
    <w:p w14:paraId="7040A622">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项目编号:                                         </w:t>
      </w:r>
    </w:p>
    <w:p w14:paraId="1767A372">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bl>
      <w:tblPr>
        <w:tblStyle w:val="37"/>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40"/>
        <w:gridCol w:w="1452"/>
        <w:gridCol w:w="1428"/>
        <w:gridCol w:w="1584"/>
        <w:gridCol w:w="1584"/>
      </w:tblGrid>
      <w:tr w14:paraId="554C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center"/>
          </w:tcPr>
          <w:p w14:paraId="62AB8478">
            <w:pPr>
              <w:pStyle w:val="16"/>
              <w:spacing w:line="240" w:lineRule="atLeast"/>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序号</w:t>
            </w:r>
          </w:p>
        </w:tc>
        <w:tc>
          <w:tcPr>
            <w:tcW w:w="1640" w:type="dxa"/>
            <w:noWrap w:val="0"/>
            <w:vAlign w:val="center"/>
          </w:tcPr>
          <w:p w14:paraId="18CD179A">
            <w:pPr>
              <w:pStyle w:val="16"/>
              <w:spacing w:line="240" w:lineRule="atLeast"/>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服务名称</w:t>
            </w:r>
          </w:p>
        </w:tc>
        <w:tc>
          <w:tcPr>
            <w:tcW w:w="1452" w:type="dxa"/>
            <w:noWrap w:val="0"/>
            <w:vAlign w:val="center"/>
          </w:tcPr>
          <w:p w14:paraId="3AB40BD1">
            <w:pPr>
              <w:pStyle w:val="16"/>
              <w:spacing w:line="240" w:lineRule="atLeast"/>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服务内容</w:t>
            </w:r>
          </w:p>
        </w:tc>
        <w:tc>
          <w:tcPr>
            <w:tcW w:w="1428" w:type="dxa"/>
            <w:noWrap w:val="0"/>
            <w:vAlign w:val="center"/>
          </w:tcPr>
          <w:p w14:paraId="5593FCBF">
            <w:pPr>
              <w:pStyle w:val="16"/>
              <w:spacing w:line="240" w:lineRule="atLeast"/>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服务期</w:t>
            </w:r>
          </w:p>
        </w:tc>
        <w:tc>
          <w:tcPr>
            <w:tcW w:w="1584" w:type="dxa"/>
            <w:noWrap w:val="0"/>
            <w:vAlign w:val="center"/>
          </w:tcPr>
          <w:p w14:paraId="55581819">
            <w:pPr>
              <w:pStyle w:val="16"/>
              <w:spacing w:line="240" w:lineRule="atLeast"/>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服务地点</w:t>
            </w:r>
          </w:p>
        </w:tc>
        <w:tc>
          <w:tcPr>
            <w:tcW w:w="1584" w:type="dxa"/>
            <w:noWrap w:val="0"/>
            <w:vAlign w:val="center"/>
          </w:tcPr>
          <w:p w14:paraId="49D86527">
            <w:pPr>
              <w:pStyle w:val="16"/>
              <w:spacing w:line="240" w:lineRule="atLeast"/>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其它</w:t>
            </w:r>
          </w:p>
        </w:tc>
      </w:tr>
      <w:tr w14:paraId="642E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1C3F920D">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640" w:type="dxa"/>
            <w:noWrap w:val="0"/>
            <w:vAlign w:val="top"/>
          </w:tcPr>
          <w:p w14:paraId="5AEFDBD0">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452" w:type="dxa"/>
            <w:noWrap w:val="0"/>
            <w:vAlign w:val="top"/>
          </w:tcPr>
          <w:p w14:paraId="39BE034C">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428" w:type="dxa"/>
            <w:noWrap w:val="0"/>
            <w:vAlign w:val="top"/>
          </w:tcPr>
          <w:p w14:paraId="6236FD66">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584" w:type="dxa"/>
            <w:noWrap w:val="0"/>
            <w:vAlign w:val="top"/>
          </w:tcPr>
          <w:p w14:paraId="0B88C268">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584" w:type="dxa"/>
            <w:noWrap w:val="0"/>
            <w:vAlign w:val="top"/>
          </w:tcPr>
          <w:p w14:paraId="122BB8EA">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5D09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7B845200">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640" w:type="dxa"/>
            <w:noWrap w:val="0"/>
            <w:vAlign w:val="top"/>
          </w:tcPr>
          <w:p w14:paraId="6E336293">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452" w:type="dxa"/>
            <w:noWrap w:val="0"/>
            <w:vAlign w:val="top"/>
          </w:tcPr>
          <w:p w14:paraId="4790B0ED">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428" w:type="dxa"/>
            <w:noWrap w:val="0"/>
            <w:vAlign w:val="top"/>
          </w:tcPr>
          <w:p w14:paraId="2CF0CC0B">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584" w:type="dxa"/>
            <w:noWrap w:val="0"/>
            <w:vAlign w:val="top"/>
          </w:tcPr>
          <w:p w14:paraId="7F74996B">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584" w:type="dxa"/>
            <w:noWrap w:val="0"/>
            <w:vAlign w:val="top"/>
          </w:tcPr>
          <w:p w14:paraId="7E0BC701">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6E86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59683278">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640" w:type="dxa"/>
            <w:noWrap w:val="0"/>
            <w:vAlign w:val="top"/>
          </w:tcPr>
          <w:p w14:paraId="4C5A0F6A">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452" w:type="dxa"/>
            <w:noWrap w:val="0"/>
            <w:vAlign w:val="top"/>
          </w:tcPr>
          <w:p w14:paraId="731D64DE">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428" w:type="dxa"/>
            <w:noWrap w:val="0"/>
            <w:vAlign w:val="top"/>
          </w:tcPr>
          <w:p w14:paraId="328D20FA">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584" w:type="dxa"/>
            <w:noWrap w:val="0"/>
            <w:vAlign w:val="top"/>
          </w:tcPr>
          <w:p w14:paraId="448A576A">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584" w:type="dxa"/>
            <w:noWrap w:val="0"/>
            <w:vAlign w:val="top"/>
          </w:tcPr>
          <w:p w14:paraId="62819416">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57C2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1478EB47">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640" w:type="dxa"/>
            <w:noWrap w:val="0"/>
            <w:vAlign w:val="top"/>
          </w:tcPr>
          <w:p w14:paraId="5C3E23BB">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452" w:type="dxa"/>
            <w:noWrap w:val="0"/>
            <w:vAlign w:val="top"/>
          </w:tcPr>
          <w:p w14:paraId="33BA3F7A">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428" w:type="dxa"/>
            <w:noWrap w:val="0"/>
            <w:vAlign w:val="top"/>
          </w:tcPr>
          <w:p w14:paraId="21658899">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584" w:type="dxa"/>
            <w:noWrap w:val="0"/>
            <w:vAlign w:val="top"/>
          </w:tcPr>
          <w:p w14:paraId="10F792F1">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584" w:type="dxa"/>
            <w:noWrap w:val="0"/>
            <w:vAlign w:val="top"/>
          </w:tcPr>
          <w:p w14:paraId="5C6C3001">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29E6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5B3C6E20">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640" w:type="dxa"/>
            <w:noWrap w:val="0"/>
            <w:vAlign w:val="top"/>
          </w:tcPr>
          <w:p w14:paraId="0F56FA41">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452" w:type="dxa"/>
            <w:noWrap w:val="0"/>
            <w:vAlign w:val="top"/>
          </w:tcPr>
          <w:p w14:paraId="2B8FAD09">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428" w:type="dxa"/>
            <w:noWrap w:val="0"/>
            <w:vAlign w:val="top"/>
          </w:tcPr>
          <w:p w14:paraId="52BDFAAB">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584" w:type="dxa"/>
            <w:noWrap w:val="0"/>
            <w:vAlign w:val="top"/>
          </w:tcPr>
          <w:p w14:paraId="69E3E53F">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584" w:type="dxa"/>
            <w:noWrap w:val="0"/>
            <w:vAlign w:val="top"/>
          </w:tcPr>
          <w:p w14:paraId="4E680D37">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383E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3B37664E">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640" w:type="dxa"/>
            <w:noWrap w:val="0"/>
            <w:vAlign w:val="top"/>
          </w:tcPr>
          <w:p w14:paraId="65748713">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452" w:type="dxa"/>
            <w:noWrap w:val="0"/>
            <w:vAlign w:val="top"/>
          </w:tcPr>
          <w:p w14:paraId="2268348E">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428" w:type="dxa"/>
            <w:noWrap w:val="0"/>
            <w:vAlign w:val="top"/>
          </w:tcPr>
          <w:p w14:paraId="3E23A313">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584" w:type="dxa"/>
            <w:noWrap w:val="0"/>
            <w:vAlign w:val="top"/>
          </w:tcPr>
          <w:p w14:paraId="3556FD87">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584" w:type="dxa"/>
            <w:noWrap w:val="0"/>
            <w:vAlign w:val="top"/>
          </w:tcPr>
          <w:p w14:paraId="5020736D">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6400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1A50FAA7">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640" w:type="dxa"/>
            <w:noWrap w:val="0"/>
            <w:vAlign w:val="top"/>
          </w:tcPr>
          <w:p w14:paraId="1056E50F">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452" w:type="dxa"/>
            <w:noWrap w:val="0"/>
            <w:vAlign w:val="top"/>
          </w:tcPr>
          <w:p w14:paraId="70D413DB">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428" w:type="dxa"/>
            <w:noWrap w:val="0"/>
            <w:vAlign w:val="top"/>
          </w:tcPr>
          <w:p w14:paraId="7C9385FB">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584" w:type="dxa"/>
            <w:noWrap w:val="0"/>
            <w:vAlign w:val="top"/>
          </w:tcPr>
          <w:p w14:paraId="6C9EE13B">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584" w:type="dxa"/>
            <w:noWrap w:val="0"/>
            <w:vAlign w:val="top"/>
          </w:tcPr>
          <w:p w14:paraId="4AAF33D8">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14D4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2C202D33">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640" w:type="dxa"/>
            <w:noWrap w:val="0"/>
            <w:vAlign w:val="top"/>
          </w:tcPr>
          <w:p w14:paraId="117D92B5">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452" w:type="dxa"/>
            <w:noWrap w:val="0"/>
            <w:vAlign w:val="top"/>
          </w:tcPr>
          <w:p w14:paraId="3B49DD4C">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428" w:type="dxa"/>
            <w:noWrap w:val="0"/>
            <w:vAlign w:val="top"/>
          </w:tcPr>
          <w:p w14:paraId="4872DB6A">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584" w:type="dxa"/>
            <w:noWrap w:val="0"/>
            <w:vAlign w:val="top"/>
          </w:tcPr>
          <w:p w14:paraId="5F2878C3">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584" w:type="dxa"/>
            <w:noWrap w:val="0"/>
            <w:vAlign w:val="top"/>
          </w:tcPr>
          <w:p w14:paraId="4B1F2F18">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bl>
    <w:p w14:paraId="190650A5">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33FDD1D9">
      <w:pPr>
        <w:pStyle w:val="16"/>
        <w:spacing w:line="240" w:lineRule="atLeast"/>
        <w:ind w:left="1080" w:leftChars="257" w:hanging="540"/>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法定代表人或其委托代理人</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签/章</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p>
    <w:p w14:paraId="3DD04F68">
      <w:pPr>
        <w:pStyle w:val="17"/>
        <w:rPr>
          <w:rFonts w:hint="eastAsia"/>
          <w:color w:val="000000" w:themeColor="text1"/>
          <w:highlight w:val="none"/>
          <w14:textFill>
            <w14:solidFill>
              <w14:schemeClr w14:val="tx1"/>
            </w14:solidFill>
          </w14:textFill>
        </w:rPr>
      </w:pPr>
    </w:p>
    <w:p w14:paraId="0BF40642">
      <w:pPr>
        <w:pStyle w:val="16"/>
        <w:tabs>
          <w:tab w:val="left" w:pos="5370"/>
        </w:tabs>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公章</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p>
    <w:p w14:paraId="39E4BC1D">
      <w:pPr>
        <w:spacing w:line="360" w:lineRule="exac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47A606F0">
      <w:pPr>
        <w:pStyle w:val="16"/>
        <w:spacing w:line="240" w:lineRule="atLeas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6D742ED0">
      <w:pPr>
        <w:spacing w:line="360" w:lineRule="exact"/>
        <w:ind w:left="1080" w:leftChars="257" w:hanging="54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49151FBE">
      <w:pPr>
        <w:pStyle w:val="7"/>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24F14DC0">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3B638FD4">
      <w:pPr>
        <w:pStyle w:val="26"/>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5E4A2D78">
      <w:pPr>
        <w:pStyle w:val="26"/>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51CAC9C1">
      <w:pPr>
        <w:pStyle w:val="26"/>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0D221160">
      <w:pPr>
        <w:pStyle w:val="26"/>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76B732BD">
      <w:pPr>
        <w:pStyle w:val="26"/>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7697BEF5">
      <w:pPr>
        <w:pStyle w:val="7"/>
        <w:ind w:firstLine="0"/>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0DCCBEC">
      <w:pP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br w:type="page"/>
      </w:r>
    </w:p>
    <w:p w14:paraId="4C3970A6">
      <w:pPr>
        <w:pStyle w:val="4"/>
        <w:bidi w:val="0"/>
        <w:rPr>
          <w:rFonts w:hint="eastAsia" w:asciiTheme="minorEastAsia" w:hAnsiTheme="minorEastAsia" w:eastAsiaTheme="minorEastAsia" w:cstheme="minorEastAsia"/>
          <w:color w:val="000000" w:themeColor="text1"/>
          <w:highlight w:val="none"/>
          <w:u w:val="none" w:color="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u w:val="none" w:color="auto"/>
          <w:lang w:val="en-US" w:eastAsia="zh-CN"/>
          <w14:textFill>
            <w14:solidFill>
              <w14:schemeClr w14:val="tx1"/>
            </w14:solidFill>
          </w14:textFill>
        </w:rPr>
        <w:t>4、商务条款偏离表</w:t>
      </w:r>
      <w:bookmarkEnd w:id="475"/>
      <w:bookmarkEnd w:id="476"/>
    </w:p>
    <w:p w14:paraId="025890B2">
      <w:pPr>
        <w:pStyle w:val="16"/>
        <w:spacing w:line="240" w:lineRule="atLeas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4C0B51A0">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项目名称:                      招标编号:            </w:t>
      </w:r>
    </w:p>
    <w:p w14:paraId="4DED6396">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bl>
      <w:tblPr>
        <w:tblStyle w:val="37"/>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1014"/>
        <w:gridCol w:w="1014"/>
      </w:tblGrid>
      <w:tr w14:paraId="3901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9593F5C">
            <w:pPr>
              <w:pStyle w:val="16"/>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序号</w:t>
            </w:r>
          </w:p>
        </w:tc>
        <w:tc>
          <w:tcPr>
            <w:tcW w:w="2040" w:type="dxa"/>
          </w:tcPr>
          <w:p w14:paraId="582E5B0D">
            <w:pPr>
              <w:pStyle w:val="16"/>
              <w:spacing w:line="400" w:lineRule="exact"/>
              <w:jc w:val="cente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服务名称</w:t>
            </w:r>
          </w:p>
        </w:tc>
        <w:tc>
          <w:tcPr>
            <w:tcW w:w="2520" w:type="dxa"/>
          </w:tcPr>
          <w:p w14:paraId="09F5B5B4">
            <w:pPr>
              <w:pStyle w:val="16"/>
              <w:spacing w:line="400" w:lineRule="exact"/>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服务内容</w:t>
            </w:r>
          </w:p>
        </w:tc>
        <w:tc>
          <w:tcPr>
            <w:tcW w:w="2520" w:type="dxa"/>
          </w:tcPr>
          <w:p w14:paraId="02D9067D">
            <w:pPr>
              <w:pStyle w:val="16"/>
              <w:spacing w:line="400" w:lineRule="exact"/>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服务内容</w:t>
            </w:r>
          </w:p>
        </w:tc>
        <w:tc>
          <w:tcPr>
            <w:tcW w:w="1014" w:type="dxa"/>
          </w:tcPr>
          <w:p w14:paraId="077EC46F">
            <w:pPr>
              <w:pStyle w:val="16"/>
              <w:spacing w:line="400" w:lineRule="exact"/>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偏离</w:t>
            </w:r>
          </w:p>
        </w:tc>
        <w:tc>
          <w:tcPr>
            <w:tcW w:w="1014" w:type="dxa"/>
          </w:tcPr>
          <w:p w14:paraId="0A98E59F">
            <w:pPr>
              <w:pStyle w:val="16"/>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说明</w:t>
            </w:r>
          </w:p>
        </w:tc>
      </w:tr>
      <w:tr w14:paraId="0F24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345668AD">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40" w:type="dxa"/>
          </w:tcPr>
          <w:p w14:paraId="46E486A6">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20" w:type="dxa"/>
          </w:tcPr>
          <w:p w14:paraId="00F53901">
            <w:pPr>
              <w:pStyle w:val="16"/>
              <w:spacing w:line="400" w:lineRule="exact"/>
              <w:ind w:left="1080" w:leftChars="257" w:hanging="54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20" w:type="dxa"/>
          </w:tcPr>
          <w:p w14:paraId="21C0CB2D">
            <w:pPr>
              <w:pStyle w:val="16"/>
              <w:spacing w:line="400" w:lineRule="exact"/>
              <w:ind w:left="1080" w:leftChars="257" w:hanging="54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14" w:type="dxa"/>
          </w:tcPr>
          <w:p w14:paraId="20418C78">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14" w:type="dxa"/>
          </w:tcPr>
          <w:p w14:paraId="0F430BC7">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3827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BCBE11D">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40" w:type="dxa"/>
          </w:tcPr>
          <w:p w14:paraId="2DE77335">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20" w:type="dxa"/>
          </w:tcPr>
          <w:p w14:paraId="20A0155C">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20" w:type="dxa"/>
          </w:tcPr>
          <w:p w14:paraId="6069D478">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14" w:type="dxa"/>
          </w:tcPr>
          <w:p w14:paraId="1C580594">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14" w:type="dxa"/>
          </w:tcPr>
          <w:p w14:paraId="27C7F8D6">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5546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B7EACA7">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40" w:type="dxa"/>
          </w:tcPr>
          <w:p w14:paraId="5EFAB3D1">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20" w:type="dxa"/>
          </w:tcPr>
          <w:p w14:paraId="300C2388">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20" w:type="dxa"/>
          </w:tcPr>
          <w:p w14:paraId="6BAF693D">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14" w:type="dxa"/>
          </w:tcPr>
          <w:p w14:paraId="7228072C">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14" w:type="dxa"/>
          </w:tcPr>
          <w:p w14:paraId="62827F54">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5D48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A2E4B26">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40" w:type="dxa"/>
          </w:tcPr>
          <w:p w14:paraId="52B714BA">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20" w:type="dxa"/>
          </w:tcPr>
          <w:p w14:paraId="43A1789D">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20" w:type="dxa"/>
          </w:tcPr>
          <w:p w14:paraId="72E95AB4">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14" w:type="dxa"/>
          </w:tcPr>
          <w:p w14:paraId="303D92DE">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14" w:type="dxa"/>
          </w:tcPr>
          <w:p w14:paraId="35F47F9B">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0B98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725B5AEA">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40" w:type="dxa"/>
          </w:tcPr>
          <w:p w14:paraId="0FB5E026">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20" w:type="dxa"/>
          </w:tcPr>
          <w:p w14:paraId="415F33D1">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20" w:type="dxa"/>
          </w:tcPr>
          <w:p w14:paraId="7BB54CC2">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14" w:type="dxa"/>
          </w:tcPr>
          <w:p w14:paraId="3AAA9A2F">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14" w:type="dxa"/>
          </w:tcPr>
          <w:p w14:paraId="39CD05B9">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0BEB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E986BE6">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40" w:type="dxa"/>
          </w:tcPr>
          <w:p w14:paraId="7DF69993">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20" w:type="dxa"/>
          </w:tcPr>
          <w:p w14:paraId="5CC1A6BF">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20" w:type="dxa"/>
          </w:tcPr>
          <w:p w14:paraId="17720D9E">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14" w:type="dxa"/>
          </w:tcPr>
          <w:p w14:paraId="159DDB0B">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14" w:type="dxa"/>
          </w:tcPr>
          <w:p w14:paraId="564819C3">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55D0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B6F73DD">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40" w:type="dxa"/>
          </w:tcPr>
          <w:p w14:paraId="51E7C06C">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20" w:type="dxa"/>
          </w:tcPr>
          <w:p w14:paraId="6228254D">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20" w:type="dxa"/>
          </w:tcPr>
          <w:p w14:paraId="4671D354">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14" w:type="dxa"/>
          </w:tcPr>
          <w:p w14:paraId="41B0C4CA">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14" w:type="dxa"/>
          </w:tcPr>
          <w:p w14:paraId="636BE576">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6F8C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717CB84">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40" w:type="dxa"/>
          </w:tcPr>
          <w:p w14:paraId="4792FC1C">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20" w:type="dxa"/>
          </w:tcPr>
          <w:p w14:paraId="0041EA4D">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20" w:type="dxa"/>
          </w:tcPr>
          <w:p w14:paraId="7342FF1F">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14" w:type="dxa"/>
          </w:tcPr>
          <w:p w14:paraId="1C29A1BB">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14" w:type="dxa"/>
          </w:tcPr>
          <w:p w14:paraId="0E4A3595">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60CD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EF43FBE">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40" w:type="dxa"/>
          </w:tcPr>
          <w:p w14:paraId="5F8C058F">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20" w:type="dxa"/>
          </w:tcPr>
          <w:p w14:paraId="2B4C9CF8">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20" w:type="dxa"/>
          </w:tcPr>
          <w:p w14:paraId="245B6EF3">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14" w:type="dxa"/>
          </w:tcPr>
          <w:p w14:paraId="05AC6AD2">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14" w:type="dxa"/>
          </w:tcPr>
          <w:p w14:paraId="546C6EF1">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04469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CC38695">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40" w:type="dxa"/>
          </w:tcPr>
          <w:p w14:paraId="4D974CFF">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20" w:type="dxa"/>
          </w:tcPr>
          <w:p w14:paraId="7208C2BC">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20" w:type="dxa"/>
          </w:tcPr>
          <w:p w14:paraId="654A4E9A">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14" w:type="dxa"/>
          </w:tcPr>
          <w:p w14:paraId="3A008EBA">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14" w:type="dxa"/>
          </w:tcPr>
          <w:p w14:paraId="043249A6">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4A71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9BAE0BF">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40" w:type="dxa"/>
          </w:tcPr>
          <w:p w14:paraId="2F837136">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20" w:type="dxa"/>
          </w:tcPr>
          <w:p w14:paraId="50C134B7">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20" w:type="dxa"/>
          </w:tcPr>
          <w:p w14:paraId="59F8B23C">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14" w:type="dxa"/>
          </w:tcPr>
          <w:p w14:paraId="435BBF42">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14" w:type="dxa"/>
          </w:tcPr>
          <w:p w14:paraId="1A3D9EE9">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16935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B71B583">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40" w:type="dxa"/>
          </w:tcPr>
          <w:p w14:paraId="63D3094A">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20" w:type="dxa"/>
          </w:tcPr>
          <w:p w14:paraId="41EB59D6">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20" w:type="dxa"/>
          </w:tcPr>
          <w:p w14:paraId="4A281601">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14" w:type="dxa"/>
          </w:tcPr>
          <w:p w14:paraId="5CE17A9C">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14" w:type="dxa"/>
          </w:tcPr>
          <w:p w14:paraId="028415D7">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20F4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2FD8D73">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40" w:type="dxa"/>
          </w:tcPr>
          <w:p w14:paraId="56911FDB">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20" w:type="dxa"/>
          </w:tcPr>
          <w:p w14:paraId="57F28C4F">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20" w:type="dxa"/>
          </w:tcPr>
          <w:p w14:paraId="5BC751B1">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14" w:type="dxa"/>
          </w:tcPr>
          <w:p w14:paraId="6C8C5829">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14" w:type="dxa"/>
          </w:tcPr>
          <w:p w14:paraId="6C215146">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0F28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2949576">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40" w:type="dxa"/>
          </w:tcPr>
          <w:p w14:paraId="3EB36F66">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20" w:type="dxa"/>
          </w:tcPr>
          <w:p w14:paraId="709B6761">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20" w:type="dxa"/>
          </w:tcPr>
          <w:p w14:paraId="3BA9849F">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14" w:type="dxa"/>
          </w:tcPr>
          <w:p w14:paraId="70933BA9">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14" w:type="dxa"/>
          </w:tcPr>
          <w:p w14:paraId="20B2AA5D">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14:paraId="1E5E6D3C">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2ECE8358">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576578E3">
      <w:pPr>
        <w:pStyle w:val="16"/>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法定代表人或其委托代理人（签/章）:</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p>
    <w:p w14:paraId="72C8D6FA">
      <w:pPr>
        <w:pStyle w:val="17"/>
        <w:rPr>
          <w:rFonts w:hint="eastAsia"/>
          <w:color w:val="000000" w:themeColor="text1"/>
          <w:highlight w:val="none"/>
          <w14:textFill>
            <w14:solidFill>
              <w14:schemeClr w14:val="tx1"/>
            </w14:solidFill>
          </w14:textFill>
        </w:rPr>
      </w:pPr>
    </w:p>
    <w:p w14:paraId="1E5740E8">
      <w:pPr>
        <w:pStyle w:val="16"/>
        <w:tabs>
          <w:tab w:val="left" w:pos="5370"/>
        </w:tabs>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供应商(公章):</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p>
    <w:p w14:paraId="35B2BFC8">
      <w:pPr>
        <w:pStyle w:val="16"/>
        <w:tabs>
          <w:tab w:val="left" w:pos="5370"/>
        </w:tabs>
        <w:spacing w:line="400" w:lineRule="exact"/>
        <w:ind w:left="1080" w:leftChars="257" w:hanging="540"/>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p>
    <w:p w14:paraId="56C37041">
      <w:pPr>
        <w:pStyle w:val="16"/>
        <w:spacing w:line="360" w:lineRule="exact"/>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pPr>
    </w:p>
    <w:p w14:paraId="64B88B8C">
      <w:pPr>
        <w:pStyle w:val="17"/>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pPr>
    </w:p>
    <w:p w14:paraId="18CC5587">
      <w:pPr>
        <w:outlineLvl w:val="9"/>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pPr>
    </w:p>
    <w:p w14:paraId="67D1B8F6">
      <w:pPr>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65E19F29">
      <w:pPr>
        <w:pStyle w:val="17"/>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pPr>
    </w:p>
    <w:p w14:paraId="7FA02CE0">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4A3A54A0">
      <w:pPr>
        <w:spacing w:line="240" w:lineRule="atLeast"/>
        <w:jc w:val="both"/>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31F90DF7">
      <w:pPr>
        <w:pStyle w:val="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41EA84BE">
      <w:pPr>
        <w:pStyle w:val="4"/>
        <w:bidi w:val="0"/>
        <w:rPr>
          <w:rFonts w:hint="eastAsia" w:asciiTheme="minorEastAsia" w:hAnsiTheme="minorEastAsia" w:eastAsiaTheme="minorEastAsia" w:cstheme="minorEastAsia"/>
          <w:color w:val="000000" w:themeColor="text1"/>
          <w:highlight w:val="none"/>
          <w:u w:val="none" w:color="auto"/>
          <w:lang w:val="en-US" w:eastAsia="zh-CN"/>
          <w14:textFill>
            <w14:solidFill>
              <w14:schemeClr w14:val="tx1"/>
            </w14:solidFill>
          </w14:textFill>
        </w:rPr>
      </w:pPr>
      <w:bookmarkStart w:id="477" w:name="_Hlt520343392"/>
      <w:bookmarkEnd w:id="477"/>
      <w:bookmarkStart w:id="478" w:name="_Hlt520273973"/>
      <w:bookmarkEnd w:id="478"/>
      <w:bookmarkStart w:id="479" w:name="_Hlt520350957"/>
      <w:bookmarkEnd w:id="479"/>
      <w:bookmarkStart w:id="480" w:name="_Hlt520274407"/>
      <w:bookmarkEnd w:id="480"/>
      <w:bookmarkStart w:id="481" w:name="_Hlt520273711"/>
      <w:bookmarkEnd w:id="481"/>
      <w:bookmarkStart w:id="482" w:name="_Hlt520350918"/>
      <w:bookmarkEnd w:id="482"/>
      <w:bookmarkStart w:id="483" w:name="_Hlt520274393"/>
      <w:bookmarkEnd w:id="483"/>
      <w:bookmarkStart w:id="484" w:name="_Hlt520274065"/>
      <w:bookmarkEnd w:id="484"/>
      <w:bookmarkStart w:id="485" w:name="_Hlt520274911"/>
      <w:bookmarkEnd w:id="485"/>
      <w:bookmarkStart w:id="486" w:name="_Hlt520271212"/>
      <w:bookmarkEnd w:id="486"/>
      <w:bookmarkStart w:id="487" w:name="_Hlt520343000"/>
      <w:bookmarkEnd w:id="487"/>
      <w:bookmarkStart w:id="488" w:name="_Toc19284"/>
      <w:bookmarkStart w:id="489" w:name="_Toc26116"/>
      <w:bookmarkStart w:id="490" w:name="_Toc1860"/>
      <w:bookmarkStart w:id="491" w:name="_Toc515647825"/>
      <w:bookmarkStart w:id="492" w:name="_Toc10530"/>
      <w:bookmarkStart w:id="493" w:name="_Toc15209"/>
      <w:bookmarkStart w:id="494" w:name="_Toc23068"/>
      <w:bookmarkStart w:id="495" w:name="_Toc12917"/>
      <w:bookmarkStart w:id="496" w:name="_Toc23103"/>
      <w:bookmarkStart w:id="497" w:name="OLE_LINK14"/>
      <w:bookmarkStart w:id="498" w:name="_Toc30321"/>
      <w:bookmarkStart w:id="499" w:name="_Toc10900"/>
      <w:bookmarkStart w:id="500" w:name="OLE_LINK13"/>
      <w:bookmarkStart w:id="501" w:name="_Toc5825"/>
      <w:bookmarkStart w:id="502" w:name="_Toc13191"/>
      <w:r>
        <w:rPr>
          <w:rFonts w:hint="eastAsia" w:asciiTheme="minorEastAsia" w:hAnsiTheme="minorEastAsia" w:eastAsiaTheme="minorEastAsia" w:cstheme="minorEastAsia"/>
          <w:color w:val="000000" w:themeColor="text1"/>
          <w:highlight w:val="none"/>
          <w:u w:val="none" w:color="auto"/>
          <w:lang w:val="en-US" w:eastAsia="zh-CN"/>
          <w14:textFill>
            <w14:solidFill>
              <w14:schemeClr w14:val="tx1"/>
            </w14:solidFill>
          </w14:textFill>
        </w:rPr>
        <w:t>5、残疾人福利性单位声明函</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144EA70C">
      <w:pPr>
        <w:spacing w:line="240" w:lineRule="atLeast"/>
        <w:ind w:left="1080" w:leftChars="257" w:hanging="540"/>
        <w:jc w:val="cente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p w14:paraId="595CFA16">
      <w:pPr>
        <w:spacing w:line="240" w:lineRule="atLeast"/>
        <w:ind w:firstLine="567"/>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4D601C89">
      <w:pPr>
        <w:spacing w:line="240" w:lineRule="atLeast"/>
        <w:ind w:left="1080" w:leftChars="257" w:hanging="54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本单位对上述声明的真实性负责。如有虚假，将依法承担相应责任。</w:t>
      </w:r>
    </w:p>
    <w:p w14:paraId="33572CB1">
      <w:pPr>
        <w:spacing w:line="240" w:lineRule="atLeast"/>
        <w:ind w:left="1080" w:leftChars="257" w:hanging="540"/>
        <w:jc w:val="cente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p w14:paraId="0267193A">
      <w:pPr>
        <w:spacing w:line="240" w:lineRule="atLeast"/>
        <w:ind w:left="1080" w:leftChars="257" w:hanging="540"/>
        <w:jc w:val="cente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p w14:paraId="120CF5A6">
      <w:pPr>
        <w:spacing w:line="240" w:lineRule="atLeast"/>
        <w:ind w:left="1080" w:leftChars="257" w:hanging="540"/>
        <w:jc w:val="cente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 xml:space="preserve"> 残疾人福利性单位名称（公章）：</w:t>
      </w:r>
    </w:p>
    <w:p w14:paraId="6F3004F1">
      <w:pPr>
        <w:spacing w:line="240" w:lineRule="atLeast"/>
        <w:ind w:left="1080" w:leftChars="257" w:hanging="54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日  期：</w:t>
      </w:r>
    </w:p>
    <w:p w14:paraId="5F5F953C">
      <w:pPr>
        <w:spacing w:line="480" w:lineRule="exact"/>
        <w:ind w:left="1080" w:leftChars="257" w:hanging="54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2C004BB3">
      <w:pPr>
        <w:spacing w:line="480" w:lineRule="exact"/>
        <w:ind w:left="1080" w:leftChars="257" w:hanging="54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23D710F1">
      <w:pPr>
        <w:spacing w:line="480" w:lineRule="exact"/>
        <w:ind w:left="1080" w:leftChars="257" w:hanging="54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5297D4EA">
      <w:pPr>
        <w:pStyle w:val="4"/>
        <w:bidi w:val="0"/>
        <w:rPr>
          <w:rFonts w:hint="eastAsia" w:asciiTheme="minorEastAsia" w:hAnsiTheme="minorEastAsia" w:eastAsiaTheme="minorEastAsia" w:cstheme="minorEastAsia"/>
          <w:color w:val="000000" w:themeColor="text1"/>
          <w:highlight w:val="none"/>
          <w:u w:val="none" w:color="auto"/>
          <w:lang w:val="en-US" w:eastAsia="zh-CN"/>
          <w14:textFill>
            <w14:solidFill>
              <w14:schemeClr w14:val="tx1"/>
            </w14:solidFill>
          </w14:textFill>
        </w:rPr>
      </w:pPr>
      <w:bookmarkStart w:id="503" w:name="_Toc30946"/>
      <w:bookmarkStart w:id="504" w:name="_Toc515647827"/>
      <w:bookmarkStart w:id="505" w:name="_Toc28099"/>
      <w:bookmarkStart w:id="506" w:name="_Toc5568"/>
      <w:bookmarkStart w:id="507" w:name="_Toc16850"/>
      <w:bookmarkStart w:id="508" w:name="_Toc452"/>
      <w:bookmarkStart w:id="509" w:name="_Toc11868"/>
      <w:bookmarkStart w:id="510" w:name="_Toc26133"/>
      <w:bookmarkStart w:id="511" w:name="_Toc6009"/>
      <w:bookmarkStart w:id="512" w:name="_Toc5527"/>
      <w:bookmarkStart w:id="513" w:name="_Toc20362"/>
      <w:bookmarkStart w:id="514" w:name="_Toc6004"/>
      <w:bookmarkStart w:id="515" w:name="_Toc22378"/>
      <w:bookmarkStart w:id="516" w:name="_Toc22561"/>
      <w:bookmarkStart w:id="517" w:name="_Toc19223"/>
      <w:bookmarkStart w:id="518" w:name="_Toc2304"/>
      <w:bookmarkStart w:id="519" w:name="_Toc30795"/>
      <w:r>
        <w:rPr>
          <w:rFonts w:hint="eastAsia" w:asciiTheme="minorEastAsia" w:hAnsiTheme="minorEastAsia" w:eastAsiaTheme="minorEastAsia" w:cstheme="minorEastAsia"/>
          <w:color w:val="000000" w:themeColor="text1"/>
          <w:highlight w:val="none"/>
          <w:u w:val="none" w:color="auto"/>
          <w:lang w:val="en-US" w:eastAsia="zh-CN"/>
          <w14:textFill>
            <w14:solidFill>
              <w14:schemeClr w14:val="tx1"/>
            </w14:solidFill>
          </w14:textFill>
        </w:rPr>
        <w:t>6、供应商关联单位的说明</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0248DA79">
      <w:pPr>
        <w:pStyle w:val="7"/>
        <w:spacing w:line="480" w:lineRule="exact"/>
        <w:jc w:val="cente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pPr>
    </w:p>
    <w:p w14:paraId="20A6A2DB">
      <w:pPr>
        <w:pStyle w:val="7"/>
        <w:spacing w:line="480" w:lineRule="exact"/>
        <w:ind w:firstLineChars="200"/>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说明：供应商应当如实披露与本单位存在下列关联关系的单位名称：</w:t>
      </w:r>
    </w:p>
    <w:p w14:paraId="7125424A">
      <w:pPr>
        <w:pStyle w:val="7"/>
        <w:spacing w:line="480" w:lineRule="exact"/>
        <w:ind w:firstLineChars="200"/>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（1）与供应商单位负责人为同一人的其他单位；</w:t>
      </w:r>
    </w:p>
    <w:p w14:paraId="6CBB6ED1">
      <w:pPr>
        <w:pStyle w:val="7"/>
        <w:spacing w:line="480" w:lineRule="exact"/>
        <w:ind w:firstLineChars="200"/>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 xml:space="preserve">    （2）与供应商存在直接控股、管理关系的其他单位。</w:t>
      </w:r>
    </w:p>
    <w:p w14:paraId="1A3BCC1D">
      <w:pPr>
        <w:pStyle w:val="7"/>
        <w:spacing w:line="480" w:lineRule="exact"/>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pPr>
    </w:p>
    <w:p w14:paraId="64093B58">
      <w:pPr>
        <w:spacing w:line="48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5C741E59">
      <w:pPr>
        <w:spacing w:line="48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28CB94A1">
      <w:pPr>
        <w:spacing w:line="480" w:lineRule="exact"/>
        <w:jc w:val="both"/>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14:paraId="1FE6BD44">
      <w:pPr>
        <w:pStyle w:val="4"/>
        <w:bidi w:val="0"/>
        <w:rPr>
          <w:rFonts w:hint="eastAsia" w:asciiTheme="minorEastAsia" w:hAnsiTheme="minorEastAsia" w:eastAsiaTheme="minorEastAsia" w:cstheme="minorEastAsia"/>
          <w:color w:val="000000" w:themeColor="text1"/>
          <w:highlight w:val="none"/>
          <w:u w:val="none" w:color="auto"/>
          <w:lang w:val="en-US" w:eastAsia="zh-CN"/>
          <w14:textFill>
            <w14:solidFill>
              <w14:schemeClr w14:val="tx1"/>
            </w14:solidFill>
          </w14:textFill>
        </w:rPr>
      </w:pPr>
      <w:bookmarkStart w:id="520" w:name="_Toc20015"/>
      <w:bookmarkStart w:id="521" w:name="_Toc27058"/>
      <w:bookmarkStart w:id="522" w:name="_Toc15535"/>
      <w:bookmarkStart w:id="523" w:name="_Toc23897"/>
      <w:bookmarkStart w:id="524" w:name="_Toc25126"/>
      <w:bookmarkStart w:id="525" w:name="_Toc7966"/>
      <w:bookmarkStart w:id="526" w:name="_Toc31226"/>
      <w:bookmarkStart w:id="527" w:name="_Toc12486"/>
      <w:bookmarkStart w:id="528" w:name="_Toc27478"/>
      <w:bookmarkStart w:id="529" w:name="_Toc305"/>
      <w:bookmarkStart w:id="530" w:name="_Toc16811"/>
      <w:bookmarkStart w:id="531" w:name="_Toc17843"/>
      <w:bookmarkStart w:id="532" w:name="_Toc6932"/>
      <w:r>
        <w:rPr>
          <w:rFonts w:hint="eastAsia" w:asciiTheme="minorEastAsia" w:hAnsiTheme="minorEastAsia" w:eastAsiaTheme="minorEastAsia" w:cstheme="minorEastAsia"/>
          <w:color w:val="000000" w:themeColor="text1"/>
          <w:highlight w:val="none"/>
          <w:u w:val="none" w:color="auto"/>
          <w:lang w:val="en-US" w:eastAsia="zh-CN"/>
          <w14:textFill>
            <w14:solidFill>
              <w14:schemeClr w14:val="tx1"/>
            </w14:solidFill>
          </w14:textFill>
        </w:rPr>
        <w:t>7、供应商可提供有利于投标的其他资格证明材料</w:t>
      </w:r>
      <w:bookmarkEnd w:id="520"/>
      <w:bookmarkEnd w:id="521"/>
      <w:bookmarkEnd w:id="522"/>
      <w:bookmarkEnd w:id="523"/>
      <w:bookmarkEnd w:id="524"/>
      <w:bookmarkEnd w:id="525"/>
      <w:bookmarkEnd w:id="526"/>
      <w:bookmarkEnd w:id="527"/>
      <w:bookmarkEnd w:id="528"/>
      <w:bookmarkEnd w:id="529"/>
      <w:bookmarkEnd w:id="530"/>
      <w:bookmarkEnd w:id="531"/>
      <w:bookmarkEnd w:id="532"/>
    </w:p>
    <w:p w14:paraId="352549E8">
      <w:pPr>
        <w:spacing w:line="480" w:lineRule="exact"/>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49063579">
      <w:pPr>
        <w:pStyle w:val="36"/>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439EBCF4">
      <w:pPr>
        <w:pStyle w:val="36"/>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45AD176">
      <w:pPr>
        <w:pStyle w:val="35"/>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22916161">
      <w:pPr>
        <w:pStyle w:val="36"/>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31026AAA">
      <w:pPr>
        <w:pStyle w:val="35"/>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396D7337">
      <w:pPr>
        <w:pStyle w:val="36"/>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56304E98">
      <w:pPr>
        <w:pStyle w:val="35"/>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5F298D41">
      <w:pPr>
        <w:pStyle w:val="36"/>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60C41848">
      <w:pPr>
        <w:pStyle w:val="35"/>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47F8340D">
      <w:pPr>
        <w:pStyle w:val="4"/>
        <w:bidi w:val="0"/>
        <w:rPr>
          <w:rFonts w:hint="eastAsia" w:asciiTheme="minorEastAsia" w:hAnsiTheme="minorEastAsia" w:eastAsiaTheme="minorEastAsia" w:cstheme="minorEastAsia"/>
          <w:color w:val="000000" w:themeColor="text1"/>
          <w:highlight w:val="none"/>
          <w:u w:val="none" w:color="auto"/>
          <w:lang w:val="en-US" w:eastAsia="zh-CN"/>
          <w14:textFill>
            <w14:solidFill>
              <w14:schemeClr w14:val="tx1"/>
            </w14:solidFill>
          </w14:textFill>
        </w:rPr>
      </w:pPr>
      <w:bookmarkStart w:id="533" w:name="_Toc9655"/>
      <w:r>
        <w:rPr>
          <w:rFonts w:hint="eastAsia" w:asciiTheme="minorEastAsia" w:hAnsiTheme="minorEastAsia" w:eastAsiaTheme="minorEastAsia" w:cstheme="minorEastAsia"/>
          <w:color w:val="000000" w:themeColor="text1"/>
          <w:highlight w:val="none"/>
          <w:u w:val="none" w:color="auto"/>
          <w:lang w:val="en-US" w:eastAsia="zh-CN"/>
          <w14:textFill>
            <w14:solidFill>
              <w14:schemeClr w14:val="tx1"/>
            </w14:solidFill>
          </w14:textFill>
        </w:rPr>
        <w:t>8、响应文件格式范本</w:t>
      </w:r>
      <w:bookmarkEnd w:id="533"/>
    </w:p>
    <w:tbl>
      <w:tblPr>
        <w:tblStyle w:val="37"/>
        <w:tblpPr w:leftFromText="180" w:rightFromText="180" w:vertAnchor="text" w:horzAnchor="page" w:tblpX="1343" w:tblpY="413"/>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36A9C316">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2046" w:hRule="atLeast"/>
        </w:trPr>
        <w:tc>
          <w:tcPr>
            <w:tcW w:w="9120" w:type="dxa"/>
            <w:shd w:val="clear" w:color="auto" w:fill="FCFEEA"/>
          </w:tcPr>
          <w:p w14:paraId="3459E665">
            <w:pPr>
              <w:pStyle w:val="11"/>
              <w:snapToGrid w:val="0"/>
              <w:jc w:val="center"/>
              <w:textAlignment w:val="baseline"/>
              <w:rPr>
                <w:rFonts w:hint="eastAsia" w:asciiTheme="minorEastAsia" w:hAnsiTheme="minorEastAsia" w:eastAsiaTheme="minorEastAsia" w:cstheme="minorEastAsia"/>
                <w:b/>
                <w:bCs/>
                <w:color w:val="000000" w:themeColor="text1"/>
                <w:sz w:val="28"/>
                <w:szCs w:val="28"/>
                <w:highlight w:val="none"/>
                <w:u w:val="single" w:color="auto"/>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u w:val="single" w:color="auto"/>
                <w14:textFill>
                  <w14:solidFill>
                    <w14:schemeClr w14:val="tx1"/>
                  </w14:solidFill>
                </w14:textFill>
              </w:rPr>
              <w:t xml:space="preserve">                                               </w:t>
            </w:r>
          </w:p>
          <w:p w14:paraId="2F2ADAAD">
            <w:pPr>
              <w:pStyle w:val="11"/>
              <w:snapToGrid w:val="0"/>
              <w:ind w:firstLine="4216" w:firstLineChars="1500"/>
              <w:textAlignment w:val="baseline"/>
              <w:rPr>
                <w:rFonts w:hint="eastAsia" w:asciiTheme="minorEastAsia" w:hAnsiTheme="minorEastAsia" w:eastAsiaTheme="minorEastAsia" w:cstheme="minorEastAsia"/>
                <w:b/>
                <w:bCs/>
                <w:color w:val="000000" w:themeColor="text1"/>
                <w:sz w:val="28"/>
                <w:szCs w:val="28"/>
                <w:highlight w:val="none"/>
                <w:u w:val="single" w:color="auto"/>
                <w14:textFill>
                  <w14:solidFill>
                    <w14:schemeClr w14:val="tx1"/>
                  </w14:solidFill>
                </w14:textFill>
              </w:rPr>
            </w:pPr>
          </w:p>
          <w:p w14:paraId="75EEEBC4">
            <w:pPr>
              <w:pStyle w:val="11"/>
              <w:snapToGrid w:val="0"/>
              <w:ind w:firstLine="4216" w:firstLineChars="1500"/>
              <w:textAlignment w:val="baseline"/>
              <w:rPr>
                <w:rFonts w:hint="eastAsia" w:asciiTheme="minorEastAsia" w:hAnsiTheme="minorEastAsia" w:eastAsiaTheme="minorEastAsia" w:cstheme="minorEastAsia"/>
                <w:b/>
                <w:bCs/>
                <w:color w:val="000000" w:themeColor="text1"/>
                <w:sz w:val="28"/>
                <w:szCs w:val="28"/>
                <w:highlight w:val="none"/>
                <w:u w:val="single" w:color="auto"/>
                <w14:textFill>
                  <w14:solidFill>
                    <w14:schemeClr w14:val="tx1"/>
                  </w14:solidFill>
                </w14:textFill>
              </w:rPr>
            </w:pPr>
          </w:p>
          <w:p w14:paraId="44F45777">
            <w:pPr>
              <w:pStyle w:val="11"/>
              <w:snapToGrid w:val="0"/>
              <w:textAlignment w:val="baseline"/>
              <w:rPr>
                <w:rFonts w:hint="eastAsia" w:asciiTheme="minorEastAsia" w:hAnsiTheme="minorEastAsia" w:eastAsiaTheme="minorEastAsia" w:cstheme="minorEastAsia"/>
                <w:b/>
                <w:bCs/>
                <w:color w:val="000000" w:themeColor="text1"/>
                <w:sz w:val="28"/>
                <w:szCs w:val="28"/>
                <w:highlight w:val="none"/>
                <w:u w:val="none" w:color="auto"/>
                <w14:textFill>
                  <w14:solidFill>
                    <w14:schemeClr w14:val="tx1"/>
                  </w14:solidFill>
                </w14:textFill>
              </w:rPr>
            </w:pPr>
          </w:p>
          <w:p w14:paraId="7D017DAA">
            <w:pPr>
              <w:pStyle w:val="11"/>
              <w:snapToGrid w:val="0"/>
              <w:ind w:firstLine="2891" w:firstLineChars="900"/>
              <w:textAlignment w:val="baseline"/>
              <w:rPr>
                <w:rFonts w:hint="eastAsia" w:asciiTheme="minorEastAsia" w:hAnsiTheme="minorEastAsia" w:eastAsiaTheme="minorEastAsia" w:cstheme="minorEastAsia"/>
                <w:b/>
                <w:bCs/>
                <w:color w:val="000000" w:themeColor="text1"/>
                <w:sz w:val="32"/>
                <w:szCs w:val="32"/>
                <w:highlight w:val="none"/>
                <w:u w:val="none" w:color="auto"/>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u w:val="none" w:color="auto"/>
                <w14:textFill>
                  <w14:solidFill>
                    <w14:schemeClr w14:val="tx1"/>
                  </w14:solidFill>
                </w14:textFill>
              </w:rPr>
              <w:t>***** *** *** *** ***  项目</w:t>
            </w:r>
            <w:r>
              <w:rPr>
                <w:rFonts w:hint="eastAsia" w:asciiTheme="minorEastAsia" w:hAnsiTheme="minorEastAsia" w:eastAsiaTheme="minorEastAsia" w:cstheme="minorEastAsia"/>
                <w:b/>
                <w:bCs/>
                <w:color w:val="000000" w:themeColor="text1"/>
                <w:sz w:val="32"/>
                <w:szCs w:val="32"/>
                <w:highlight w:val="none"/>
                <w:u w:val="none" w:color="auto"/>
                <w:lang w:val="en-US" w:eastAsia="zh-CN"/>
                <w14:textFill>
                  <w14:solidFill>
                    <w14:schemeClr w14:val="tx1"/>
                  </w14:solidFill>
                </w14:textFill>
              </w:rPr>
              <w:t xml:space="preserve"> </w:t>
            </w:r>
          </w:p>
          <w:p w14:paraId="4994E822">
            <w:pPr>
              <w:pStyle w:val="11"/>
              <w:snapToGrid w:val="0"/>
              <w:jc w:val="center"/>
              <w:textAlignment w:val="baseline"/>
              <w:rPr>
                <w:rFonts w:hint="eastAsia" w:asciiTheme="minorEastAsia" w:hAnsiTheme="minorEastAsia" w:eastAsiaTheme="minorEastAsia" w:cstheme="minorEastAsia"/>
                <w:b/>
                <w:bCs/>
                <w:color w:val="000000" w:themeColor="text1"/>
                <w:sz w:val="32"/>
                <w:szCs w:val="32"/>
                <w:highlight w:val="none"/>
                <w:u w:val="none" w:color="auto"/>
                <w14:textFill>
                  <w14:solidFill>
                    <w14:schemeClr w14:val="tx1"/>
                  </w14:solidFill>
                </w14:textFill>
              </w:rPr>
            </w:pPr>
          </w:p>
          <w:p w14:paraId="5E0DB624">
            <w:pPr>
              <w:pStyle w:val="11"/>
              <w:snapToGrid w:val="0"/>
              <w:jc w:val="center"/>
              <w:textAlignment w:val="baseline"/>
              <w:rPr>
                <w:rFonts w:hint="eastAsia" w:asciiTheme="minorEastAsia" w:hAnsiTheme="minorEastAsia" w:eastAsiaTheme="minorEastAsia" w:cstheme="minorEastAsia"/>
                <w:b/>
                <w:bCs/>
                <w:color w:val="000000" w:themeColor="text1"/>
                <w:sz w:val="32"/>
                <w:szCs w:val="32"/>
                <w:highlight w:val="none"/>
                <w:u w:val="none" w:color="auto"/>
                <w14:textFill>
                  <w14:solidFill>
                    <w14:schemeClr w14:val="tx1"/>
                  </w14:solidFill>
                </w14:textFill>
              </w:rPr>
            </w:pPr>
          </w:p>
          <w:p w14:paraId="07B59B86">
            <w:pPr>
              <w:pStyle w:val="11"/>
              <w:snapToGrid w:val="0"/>
              <w:ind w:firstLine="3534" w:firstLineChars="1100"/>
              <w:textAlignment w:val="baseline"/>
              <w:rPr>
                <w:rFonts w:hint="eastAsia" w:asciiTheme="minorEastAsia" w:hAnsiTheme="minorEastAsia" w:eastAsiaTheme="minorEastAsia" w:cstheme="minorEastAsia"/>
                <w:b/>
                <w:bCs/>
                <w:color w:val="000000" w:themeColor="text1"/>
                <w:sz w:val="32"/>
                <w:szCs w:val="32"/>
                <w:highlight w:val="none"/>
                <w:u w:val="none" w:color="auto"/>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u w:val="none" w:color="auto"/>
                <w14:textFill>
                  <w14:solidFill>
                    <w14:schemeClr w14:val="tx1"/>
                  </w14:solidFill>
                </w14:textFill>
              </w:rPr>
              <w:t>编号 ＊＊＊</w:t>
            </w:r>
          </w:p>
          <w:p w14:paraId="136CE7B6">
            <w:pPr>
              <w:pStyle w:val="11"/>
              <w:snapToGrid w:val="0"/>
              <w:jc w:val="center"/>
              <w:textAlignment w:val="baseline"/>
              <w:rPr>
                <w:rFonts w:hint="eastAsia" w:asciiTheme="minorEastAsia" w:hAnsiTheme="minorEastAsia" w:eastAsiaTheme="minorEastAsia" w:cstheme="minorEastAsia"/>
                <w:b/>
                <w:bCs/>
                <w:color w:val="000000" w:themeColor="text1"/>
                <w:sz w:val="48"/>
                <w:highlight w:val="none"/>
                <w:u w:val="none" w:color="auto"/>
                <w14:textFill>
                  <w14:solidFill>
                    <w14:schemeClr w14:val="tx1"/>
                  </w14:solidFill>
                </w14:textFill>
              </w:rPr>
            </w:pPr>
          </w:p>
          <w:p w14:paraId="36B111D0">
            <w:pPr>
              <w:pStyle w:val="11"/>
              <w:snapToGrid w:val="0"/>
              <w:jc w:val="center"/>
              <w:textAlignment w:val="baseline"/>
              <w:rPr>
                <w:rFonts w:hint="eastAsia" w:asciiTheme="minorEastAsia" w:hAnsiTheme="minorEastAsia" w:eastAsiaTheme="minorEastAsia" w:cstheme="minorEastAsia"/>
                <w:b/>
                <w:bCs/>
                <w:color w:val="000000" w:themeColor="text1"/>
                <w:sz w:val="48"/>
                <w:highlight w:val="none"/>
                <w:u w:val="none" w:color="auto"/>
                <w14:textFill>
                  <w14:solidFill>
                    <w14:schemeClr w14:val="tx1"/>
                  </w14:solidFill>
                </w14:textFill>
              </w:rPr>
            </w:pPr>
          </w:p>
          <w:p w14:paraId="50287050">
            <w:pPr>
              <w:pStyle w:val="11"/>
              <w:snapToGrid w:val="0"/>
              <w:jc w:val="center"/>
              <w:textAlignment w:val="baseline"/>
              <w:rPr>
                <w:rFonts w:hint="eastAsia" w:asciiTheme="minorEastAsia" w:hAnsiTheme="minorEastAsia" w:eastAsiaTheme="minorEastAsia" w:cstheme="minorEastAsia"/>
                <w:b/>
                <w:bCs/>
                <w:color w:val="000000" w:themeColor="text1"/>
                <w:sz w:val="48"/>
                <w:highlight w:val="none"/>
                <w:u w:val="none" w:color="auto"/>
                <w14:textFill>
                  <w14:solidFill>
                    <w14:schemeClr w14:val="tx1"/>
                  </w14:solidFill>
                </w14:textFill>
              </w:rPr>
            </w:pPr>
            <w:r>
              <w:rPr>
                <w:rFonts w:hint="eastAsia" w:asciiTheme="minorEastAsia" w:hAnsiTheme="minorEastAsia" w:eastAsiaTheme="minorEastAsia" w:cstheme="minorEastAsia"/>
                <w:b/>
                <w:bCs/>
                <w:color w:val="000000" w:themeColor="text1"/>
                <w:sz w:val="48"/>
                <w:highlight w:val="none"/>
                <w:u w:val="none" w:color="auto"/>
                <w14:textFill>
                  <w14:solidFill>
                    <w14:schemeClr w14:val="tx1"/>
                  </w14:solidFill>
                </w14:textFill>
              </w:rPr>
              <w:t>响 应 文 件</w:t>
            </w:r>
          </w:p>
          <w:p w14:paraId="7DED1979">
            <w:pPr>
              <w:snapToGrid w:val="0"/>
              <w:jc w:val="center"/>
              <w:textAlignment w:val="baseline"/>
              <w:rPr>
                <w:rFonts w:hint="eastAsia" w:asciiTheme="minorEastAsia" w:hAnsiTheme="minorEastAsia" w:eastAsiaTheme="minorEastAsia" w:cstheme="minorEastAsia"/>
                <w:b/>
                <w:color w:val="000000" w:themeColor="text1"/>
                <w:sz w:val="32"/>
                <w:highlight w:val="none"/>
                <w:u w:val="single" w:color="auto"/>
                <w14:textFill>
                  <w14:solidFill>
                    <w14:schemeClr w14:val="tx1"/>
                  </w14:solidFill>
                </w14:textFill>
              </w:rPr>
            </w:pPr>
          </w:p>
          <w:p w14:paraId="279CBB7B">
            <w:pPr>
              <w:snapToGrid w:val="0"/>
              <w:jc w:val="center"/>
              <w:textAlignment w:val="baseline"/>
              <w:rPr>
                <w:rFonts w:hint="eastAsia" w:asciiTheme="minorEastAsia" w:hAnsiTheme="minorEastAsia" w:eastAsiaTheme="minorEastAsia" w:cstheme="minorEastAsia"/>
                <w:b/>
                <w:color w:val="000000" w:themeColor="text1"/>
                <w:sz w:val="32"/>
                <w:highlight w:val="none"/>
                <w:u w:val="single" w:color="auto"/>
                <w14:textFill>
                  <w14:solidFill>
                    <w14:schemeClr w14:val="tx1"/>
                  </w14:solidFill>
                </w14:textFill>
              </w:rPr>
            </w:pPr>
          </w:p>
          <w:p w14:paraId="10089A2A">
            <w:pPr>
              <w:snapToGrid w:val="0"/>
              <w:jc w:val="center"/>
              <w:textAlignment w:val="baseline"/>
              <w:rPr>
                <w:rFonts w:hint="eastAsia" w:asciiTheme="minorEastAsia" w:hAnsiTheme="minorEastAsia" w:eastAsiaTheme="minorEastAsia" w:cstheme="minorEastAsia"/>
                <w:b/>
                <w:color w:val="000000" w:themeColor="text1"/>
                <w:sz w:val="32"/>
                <w:highlight w:val="none"/>
                <w:u w:val="single" w:color="auto"/>
                <w14:textFill>
                  <w14:solidFill>
                    <w14:schemeClr w14:val="tx1"/>
                  </w14:solidFill>
                </w14:textFill>
              </w:rPr>
            </w:pPr>
          </w:p>
          <w:p w14:paraId="2BECE047">
            <w:pPr>
              <w:pStyle w:val="7"/>
              <w:snapToGrid w:val="0"/>
              <w:ind w:firstLine="0"/>
              <w:textAlignment w:val="baseline"/>
              <w:rPr>
                <w:rFonts w:hint="eastAsia" w:asciiTheme="minorEastAsia" w:hAnsiTheme="minorEastAsia" w:eastAsiaTheme="minorEastAsia" w:cstheme="minorEastAsia"/>
                <w:b/>
                <w:color w:val="000000" w:themeColor="text1"/>
                <w:sz w:val="32"/>
                <w:highlight w:val="none"/>
                <w:u w:val="single" w:color="auto"/>
                <w14:textFill>
                  <w14:solidFill>
                    <w14:schemeClr w14:val="tx1"/>
                  </w14:solidFill>
                </w14:textFill>
              </w:rPr>
            </w:pPr>
          </w:p>
          <w:p w14:paraId="76FD266B">
            <w:pPr>
              <w:snapToGrid w:val="0"/>
              <w:spacing w:line="360" w:lineRule="auto"/>
              <w:ind w:left="176" w:leftChars="84" w:firstLine="840" w:firstLineChars="400"/>
              <w:textAlignment w:val="baseline"/>
              <w:rPr>
                <w:rFonts w:hint="eastAsia" w:asciiTheme="minorEastAsia" w:hAnsiTheme="minorEastAsia" w:eastAsiaTheme="minorEastAsia" w:cstheme="minorEastAsia"/>
                <w:color w:val="000000" w:themeColor="text1"/>
                <w:sz w:val="20"/>
                <w:szCs w:val="21"/>
                <w:highlight w:val="none"/>
                <w:u w:val="single" w:color="auto"/>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none" w:color="auto"/>
                <w14:textFill>
                  <w14:solidFill>
                    <w14:schemeClr w14:val="tx1"/>
                  </w14:solidFill>
                </w14:textFill>
              </w:rPr>
              <w:t>磋商单位：</w:t>
            </w:r>
            <w:r>
              <w:rPr>
                <w:rFonts w:hint="eastAsia" w:asciiTheme="minorEastAsia" w:hAnsiTheme="minorEastAsia" w:eastAsiaTheme="minorEastAsia" w:cstheme="minorEastAsia"/>
                <w:color w:val="000000" w:themeColor="text1"/>
                <w:szCs w:val="21"/>
                <w:highlight w:val="none"/>
                <w:u w:val="single" w:color="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none" w:color="auto"/>
                <w14:textFill>
                  <w14:solidFill>
                    <w14:schemeClr w14:val="tx1"/>
                  </w14:solidFill>
                </w14:textFill>
              </w:rPr>
              <w:t>（公章）</w:t>
            </w:r>
          </w:p>
          <w:p w14:paraId="0DCDC504">
            <w:pPr>
              <w:snapToGrid w:val="0"/>
              <w:spacing w:line="360" w:lineRule="auto"/>
              <w:ind w:left="176" w:leftChars="84" w:firstLine="840" w:firstLineChars="400"/>
              <w:textAlignment w:val="baseline"/>
              <w:rPr>
                <w:rFonts w:hint="default" w:asciiTheme="minorEastAsia" w:hAnsiTheme="minorEastAsia" w:eastAsiaTheme="minorEastAsia" w:cstheme="minorEastAsia"/>
                <w:i w:val="0"/>
                <w:iCs w:val="0"/>
                <w:color w:val="000000" w:themeColor="text1"/>
                <w:sz w:val="20"/>
                <w:szCs w:val="21"/>
                <w:highlight w:val="none"/>
                <w:u w:val="single" w:color="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none" w:color="auto"/>
                <w14:textFill>
                  <w14:solidFill>
                    <w14:schemeClr w14:val="tx1"/>
                  </w14:solidFill>
                </w14:textFill>
              </w:rPr>
              <w:t>联 系 人：</w:t>
            </w:r>
            <w:r>
              <w:rPr>
                <w:rFonts w:hint="eastAsia" w:asciiTheme="minorEastAsia" w:hAnsiTheme="minorEastAsia" w:eastAsiaTheme="minorEastAsia" w:cstheme="minorEastAsia"/>
                <w:i w:val="0"/>
                <w:iCs w:val="0"/>
                <w:color w:val="000000" w:themeColor="text1"/>
                <w:szCs w:val="21"/>
                <w:highlight w:val="none"/>
                <w:u w:val="single" w:color="auto"/>
                <w:lang w:val="en-US" w:eastAsia="zh-CN"/>
                <w14:textFill>
                  <w14:solidFill>
                    <w14:schemeClr w14:val="tx1"/>
                  </w14:solidFill>
                </w14:textFill>
              </w:rPr>
              <w:t xml:space="preserve">                          </w:t>
            </w:r>
          </w:p>
          <w:p w14:paraId="3E195243">
            <w:pPr>
              <w:snapToGrid w:val="0"/>
              <w:spacing w:line="360" w:lineRule="auto"/>
              <w:ind w:left="176" w:leftChars="84" w:firstLine="840" w:firstLineChars="400"/>
              <w:textAlignment w:val="baseline"/>
              <w:rPr>
                <w:rFonts w:hint="default" w:asciiTheme="minorEastAsia" w:hAnsiTheme="minorEastAsia" w:eastAsiaTheme="minorEastAsia" w:cstheme="minorEastAsia"/>
                <w:color w:val="000000" w:themeColor="text1"/>
                <w:sz w:val="20"/>
                <w:szCs w:val="21"/>
                <w:highlight w:val="none"/>
                <w:u w:val="single" w:color="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none" w:color="auto"/>
                <w14:textFill>
                  <w14:solidFill>
                    <w14:schemeClr w14:val="tx1"/>
                  </w14:solidFill>
                </w14:textFill>
              </w:rPr>
              <w:t>电    话：</w:t>
            </w:r>
            <w:r>
              <w:rPr>
                <w:rFonts w:hint="eastAsia" w:asciiTheme="minorEastAsia" w:hAnsiTheme="minorEastAsia" w:eastAsiaTheme="minorEastAsia" w:cstheme="minorEastAsia"/>
                <w:color w:val="000000" w:themeColor="text1"/>
                <w:szCs w:val="21"/>
                <w:highlight w:val="none"/>
                <w:u w:val="single" w:color="auto"/>
                <w:lang w:val="en-US" w:eastAsia="zh-CN"/>
                <w14:textFill>
                  <w14:solidFill>
                    <w14:schemeClr w14:val="tx1"/>
                  </w14:solidFill>
                </w14:textFill>
              </w:rPr>
              <w:t xml:space="preserve">                          </w:t>
            </w:r>
          </w:p>
          <w:p w14:paraId="208F9031">
            <w:pPr>
              <w:snapToGrid w:val="0"/>
              <w:spacing w:line="360" w:lineRule="auto"/>
              <w:ind w:left="176" w:leftChars="84" w:firstLine="840" w:firstLineChars="400"/>
              <w:textAlignment w:val="baseline"/>
              <w:rPr>
                <w:rFonts w:hint="default" w:asciiTheme="minorEastAsia" w:hAnsiTheme="minorEastAsia" w:eastAsiaTheme="minorEastAsia" w:cstheme="minorEastAsia"/>
                <w:color w:val="000000" w:themeColor="text1"/>
                <w:sz w:val="20"/>
                <w:szCs w:val="21"/>
                <w:highlight w:val="none"/>
                <w:u w:val="single" w:color="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none" w:color="auto"/>
                <w14:textFill>
                  <w14:solidFill>
                    <w14:schemeClr w14:val="tx1"/>
                  </w14:solidFill>
                </w14:textFill>
              </w:rPr>
              <w:t>地    址：</w:t>
            </w:r>
            <w:r>
              <w:rPr>
                <w:rFonts w:hint="eastAsia" w:asciiTheme="minorEastAsia" w:hAnsiTheme="minorEastAsia" w:eastAsiaTheme="minorEastAsia" w:cstheme="minorEastAsia"/>
                <w:color w:val="000000" w:themeColor="text1"/>
                <w:szCs w:val="21"/>
                <w:highlight w:val="none"/>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color="auto"/>
                <w:lang w:val="en-US" w:eastAsia="zh-CN"/>
                <w14:textFill>
                  <w14:solidFill>
                    <w14:schemeClr w14:val="tx1"/>
                  </w14:solidFill>
                </w14:textFill>
              </w:rPr>
              <w:t xml:space="preserve">                        </w:t>
            </w:r>
          </w:p>
          <w:p w14:paraId="367FE20F">
            <w:pPr>
              <w:snapToGrid w:val="0"/>
              <w:spacing w:line="360" w:lineRule="auto"/>
              <w:ind w:left="176" w:leftChars="84" w:firstLine="960" w:firstLineChars="400"/>
              <w:textAlignment w:val="baseline"/>
              <w:rPr>
                <w:rFonts w:hint="eastAsia" w:asciiTheme="minorEastAsia" w:hAnsiTheme="minorEastAsia" w:eastAsiaTheme="minorEastAsia" w:cstheme="minorEastAsia"/>
                <w:color w:val="000000" w:themeColor="text1"/>
                <w:sz w:val="24"/>
                <w:highlight w:val="none"/>
                <w:u w:val="single" w:color="auto"/>
                <w14:textFill>
                  <w14:solidFill>
                    <w14:schemeClr w14:val="tx1"/>
                  </w14:solidFill>
                </w14:textFill>
              </w:rPr>
            </w:pPr>
          </w:p>
          <w:p w14:paraId="0A9C8E03">
            <w:pPr>
              <w:pStyle w:val="4"/>
              <w:rPr>
                <w:rFonts w:hint="eastAsia" w:asciiTheme="minorEastAsia" w:hAnsiTheme="minorEastAsia" w:eastAsiaTheme="minorEastAsia" w:cstheme="minorEastAsia"/>
                <w:color w:val="000000" w:themeColor="text1"/>
                <w:sz w:val="24"/>
                <w:highlight w:val="none"/>
                <w:u w:val="single" w:color="auto"/>
                <w14:textFill>
                  <w14:solidFill>
                    <w14:schemeClr w14:val="tx1"/>
                  </w14:solidFill>
                </w14:textFill>
              </w:rPr>
            </w:pPr>
          </w:p>
          <w:p w14:paraId="5A54AE02">
            <w:pPr>
              <w:pStyle w:val="7"/>
              <w:rPr>
                <w:rFonts w:hint="eastAsia" w:asciiTheme="minorEastAsia" w:hAnsiTheme="minorEastAsia" w:eastAsiaTheme="minorEastAsia" w:cstheme="minorEastAsia"/>
                <w:color w:val="000000" w:themeColor="text1"/>
                <w:sz w:val="24"/>
                <w:highlight w:val="none"/>
                <w:u w:val="single" w:color="auto"/>
                <w14:textFill>
                  <w14:solidFill>
                    <w14:schemeClr w14:val="tx1"/>
                  </w14:solidFill>
                </w14:textFill>
              </w:rPr>
            </w:pPr>
          </w:p>
          <w:p w14:paraId="0F0839C0">
            <w:pPr>
              <w:rPr>
                <w:rFonts w:hint="eastAsia"/>
                <w:color w:val="000000" w:themeColor="text1"/>
                <w:highlight w:val="none"/>
                <w:u w:val="single" w:color="auto"/>
                <w14:textFill>
                  <w14:solidFill>
                    <w14:schemeClr w14:val="tx1"/>
                  </w14:solidFill>
                </w14:textFill>
              </w:rPr>
            </w:pPr>
          </w:p>
          <w:p w14:paraId="6208B360">
            <w:pPr>
              <w:snapToGrid w:val="0"/>
              <w:jc w:val="both"/>
              <w:textAlignment w:val="baseline"/>
              <w:rPr>
                <w:rFonts w:hint="eastAsia" w:asciiTheme="minorEastAsia" w:hAnsiTheme="minorEastAsia" w:eastAsiaTheme="minorEastAsia" w:cstheme="minorEastAsia"/>
                <w:b/>
                <w:bCs/>
                <w:color w:val="000000" w:themeColor="text1"/>
                <w:sz w:val="20"/>
                <w:highlight w:val="none"/>
                <w:u w:val="single" w:color="auto"/>
                <w14:textFill>
                  <w14:solidFill>
                    <w14:schemeClr w14:val="tx1"/>
                  </w14:solidFill>
                </w14:textFill>
              </w:rPr>
            </w:pPr>
          </w:p>
          <w:p w14:paraId="31E1668F">
            <w:pPr>
              <w:snapToGrid w:val="0"/>
              <w:jc w:val="center"/>
              <w:textAlignment w:val="baseline"/>
              <w:rPr>
                <w:rFonts w:hint="eastAsia" w:asciiTheme="minorEastAsia" w:hAnsiTheme="minorEastAsia" w:eastAsiaTheme="minorEastAsia" w:cstheme="minorEastAsia"/>
                <w:b/>
                <w:bCs/>
                <w:color w:val="000000" w:themeColor="text1"/>
                <w:sz w:val="20"/>
                <w:highlight w:val="none"/>
                <w:u w:val="single" w:color="auto"/>
                <w14:textFill>
                  <w14:solidFill>
                    <w14:schemeClr w14:val="tx1"/>
                  </w14:solidFill>
                </w14:textFill>
              </w:rPr>
            </w:pPr>
          </w:p>
          <w:p w14:paraId="5ED2F5A0">
            <w:pPr>
              <w:snapToGrid w:val="0"/>
              <w:jc w:val="center"/>
              <w:textAlignment w:val="baseline"/>
              <w:rPr>
                <w:rFonts w:hint="eastAsia" w:asciiTheme="minorEastAsia" w:hAnsiTheme="minorEastAsia" w:eastAsiaTheme="minorEastAsia" w:cstheme="minorEastAsia"/>
                <w:b/>
                <w:bCs/>
                <w:color w:val="000000" w:themeColor="text1"/>
                <w:sz w:val="20"/>
                <w:highlight w:val="none"/>
                <w:u w:val="none" w:color="auto"/>
                <w14:textFill>
                  <w14:solidFill>
                    <w14:schemeClr w14:val="tx1"/>
                  </w14:solidFill>
                </w14:textFill>
              </w:rPr>
            </w:pPr>
            <w:r>
              <w:rPr>
                <w:rFonts w:hint="eastAsia" w:asciiTheme="minorEastAsia" w:hAnsiTheme="minorEastAsia" w:eastAsiaTheme="minorEastAsia" w:cstheme="minorEastAsia"/>
                <w:b/>
                <w:bCs/>
                <w:color w:val="000000" w:themeColor="text1"/>
                <w:highlight w:val="none"/>
                <w:u w:val="none" w:color="auto"/>
                <w14:textFill>
                  <w14:solidFill>
                    <w14:schemeClr w14:val="tx1"/>
                  </w14:solidFill>
                </w14:textFill>
              </w:rPr>
              <w:t xml:space="preserve">注：   在XX年   月  日 </w:t>
            </w:r>
            <w:r>
              <w:rPr>
                <w:rFonts w:hint="eastAsia" w:asciiTheme="minorEastAsia" w:hAnsiTheme="minorEastAsia" w:eastAsiaTheme="minorEastAsia" w:cstheme="minorEastAsia"/>
                <w:b/>
                <w:bCs/>
                <w:color w:val="000000" w:themeColor="text1"/>
                <w:highlight w:val="none"/>
                <w:u w:val="none" w:color="auto"/>
                <w:lang w:val="en-US" w:eastAsia="zh-CN"/>
                <w14:textFill>
                  <w14:solidFill>
                    <w14:schemeClr w14:val="tx1"/>
                  </w14:solidFill>
                </w14:textFill>
              </w:rPr>
              <w:t>X午XX:XX</w:t>
            </w:r>
            <w:r>
              <w:rPr>
                <w:rFonts w:hint="eastAsia" w:asciiTheme="minorEastAsia" w:hAnsiTheme="minorEastAsia" w:eastAsiaTheme="minorEastAsia" w:cstheme="minorEastAsia"/>
                <w:b/>
                <w:bCs/>
                <w:color w:val="000000" w:themeColor="text1"/>
                <w:highlight w:val="none"/>
                <w:u w:val="none" w:color="auto"/>
                <w14:textFill>
                  <w14:solidFill>
                    <w14:schemeClr w14:val="tx1"/>
                  </w14:solidFill>
                </w14:textFill>
              </w:rPr>
              <w:t>之前不得启封</w:t>
            </w:r>
          </w:p>
          <w:p w14:paraId="7B559EE2">
            <w:pPr>
              <w:snapToGrid w:val="0"/>
              <w:jc w:val="center"/>
              <w:textAlignment w:val="baseline"/>
              <w:rPr>
                <w:rFonts w:hint="eastAsia" w:asciiTheme="minorEastAsia" w:hAnsiTheme="minorEastAsia" w:eastAsiaTheme="minorEastAsia" w:cstheme="minorEastAsia"/>
                <w:b/>
                <w:bCs/>
                <w:color w:val="000000" w:themeColor="text1"/>
                <w:sz w:val="20"/>
                <w:highlight w:val="none"/>
                <w:u w:val="single" w:color="auto"/>
                <w14:textFill>
                  <w14:solidFill>
                    <w14:schemeClr w14:val="tx1"/>
                  </w14:solidFill>
                </w14:textFill>
              </w:rPr>
            </w:pPr>
          </w:p>
        </w:tc>
      </w:tr>
    </w:tbl>
    <w:p w14:paraId="387F5643">
      <w:pPr>
        <w:snapToGrid w:val="0"/>
        <w:spacing w:line="240" w:lineRule="atLeast"/>
        <w:textAlignment w:val="baseline"/>
        <w:rPr>
          <w:rFonts w:hint="eastAsia" w:asciiTheme="minorEastAsia" w:hAnsiTheme="minorEastAsia" w:eastAsiaTheme="minorEastAsia" w:cstheme="minorEastAsia"/>
          <w:b/>
          <w:color w:val="000000" w:themeColor="text1"/>
          <w:sz w:val="30"/>
          <w:szCs w:val="30"/>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br w:type="page"/>
      </w:r>
    </w:p>
    <w:p w14:paraId="1C6283B7">
      <w:pPr>
        <w:snapToGrid w:val="0"/>
        <w:spacing w:line="240" w:lineRule="atLeast"/>
        <w:jc w:val="center"/>
        <w:textAlignment w:val="baseline"/>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pPr>
    </w:p>
    <w:p w14:paraId="5BBF884E">
      <w:pPr>
        <w:snapToGrid w:val="0"/>
        <w:spacing w:line="240" w:lineRule="atLeast"/>
        <w:jc w:val="center"/>
        <w:textAlignment w:val="baseline"/>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pPr>
    </w:p>
    <w:p w14:paraId="1303818B">
      <w:pPr>
        <w:snapToGrid w:val="0"/>
        <w:spacing w:line="240" w:lineRule="atLeast"/>
        <w:jc w:val="center"/>
        <w:textAlignment w:val="baseline"/>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pPr>
    </w:p>
    <w:p w14:paraId="7B902732">
      <w:pPr>
        <w:snapToGrid w:val="0"/>
        <w:spacing w:line="240" w:lineRule="atLeast"/>
        <w:jc w:val="center"/>
        <w:textAlignment w:val="baseline"/>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pPr>
    </w:p>
    <w:p w14:paraId="1AE6D6BC">
      <w:pPr>
        <w:snapToGrid w:val="0"/>
        <w:spacing w:line="240" w:lineRule="atLeast"/>
        <w:jc w:val="center"/>
        <w:textAlignment w:val="baseline"/>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pPr>
    </w:p>
    <w:p w14:paraId="37D7FCE3">
      <w:pPr>
        <w:pStyle w:val="36"/>
        <w:snapToGrid w:val="0"/>
        <w:ind w:firstLine="0" w:firstLineChars="0"/>
        <w:textAlignment w:val="baseline"/>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pPr>
    </w:p>
    <w:p w14:paraId="6C8D4FAF">
      <w:pPr>
        <w:pStyle w:val="7"/>
        <w:ind w:left="0" w:leftChars="0" w:firstLine="0" w:firstLineChars="0"/>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pPr>
    </w:p>
    <w:p w14:paraId="4F878B34">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4931025">
      <w:pPr>
        <w:snapToGrid w:val="0"/>
        <w:spacing w:line="240" w:lineRule="atLeast"/>
        <w:jc w:val="center"/>
        <w:textAlignment w:val="baseline"/>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pPr>
    </w:p>
    <w:p w14:paraId="1366A9B8">
      <w:pPr>
        <w:snapToGrid w:val="0"/>
        <w:spacing w:line="240" w:lineRule="atLeast"/>
        <w:jc w:val="center"/>
        <w:textAlignment w:val="baseline"/>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52"/>
          <w:szCs w:val="52"/>
          <w:highlight w:val="none"/>
          <w14:textFill>
            <w14:solidFill>
              <w14:schemeClr w14:val="tx1"/>
            </w14:solidFill>
          </w14:textFill>
        </w:rPr>
        <w:t>竞争性磋商文件</w:t>
      </w:r>
    </w:p>
    <w:p w14:paraId="4196068A">
      <w:pPr>
        <w:snapToGrid w:val="0"/>
        <w:spacing w:line="240" w:lineRule="atLeast"/>
        <w:textAlignment w:val="baseline"/>
        <w:rPr>
          <w:rFonts w:hint="eastAsia" w:asciiTheme="minorEastAsia" w:hAnsiTheme="minorEastAsia" w:eastAsiaTheme="minorEastAsia" w:cstheme="minorEastAsia"/>
          <w:b/>
          <w:color w:val="000000" w:themeColor="text1"/>
          <w:sz w:val="52"/>
          <w:highlight w:val="none"/>
          <w14:textFill>
            <w14:solidFill>
              <w14:schemeClr w14:val="tx1"/>
            </w14:solidFill>
          </w14:textFill>
        </w:rPr>
      </w:pPr>
    </w:p>
    <w:p w14:paraId="12DC8E3C">
      <w:pPr>
        <w:snapToGrid w:val="0"/>
        <w:spacing w:line="240" w:lineRule="atLeast"/>
        <w:jc w:val="center"/>
        <w:textAlignment w:val="baseline"/>
        <w:rPr>
          <w:rFonts w:hint="eastAsia" w:asciiTheme="minorEastAsia" w:hAnsiTheme="minorEastAsia" w:eastAsiaTheme="minorEastAsia" w:cstheme="minorEastAsia"/>
          <w:b/>
          <w:color w:val="000000" w:themeColor="text1"/>
          <w:sz w:val="48"/>
          <w:szCs w:val="4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48"/>
          <w:szCs w:val="48"/>
          <w:highlight w:val="none"/>
          <w14:textFill>
            <w14:solidFill>
              <w14:schemeClr w14:val="tx1"/>
            </w14:solidFill>
          </w14:textFill>
        </w:rPr>
        <w:t>第二册</w:t>
      </w:r>
    </w:p>
    <w:p w14:paraId="3DC4758D">
      <w:pPr>
        <w:snapToGrid w:val="0"/>
        <w:spacing w:line="240" w:lineRule="atLeast"/>
        <w:ind w:left="1080" w:leftChars="257" w:hanging="540"/>
        <w:textAlignment w:val="baseline"/>
        <w:rPr>
          <w:rFonts w:hint="eastAsia" w:asciiTheme="minorEastAsia" w:hAnsiTheme="minorEastAsia" w:eastAsiaTheme="minorEastAsia" w:cstheme="minorEastAsia"/>
          <w:b/>
          <w:color w:val="000000" w:themeColor="text1"/>
          <w:sz w:val="28"/>
          <w:highlight w:val="none"/>
          <w14:textFill>
            <w14:solidFill>
              <w14:schemeClr w14:val="tx1"/>
            </w14:solidFill>
          </w14:textFill>
        </w:rPr>
      </w:pPr>
    </w:p>
    <w:p w14:paraId="19BE044F">
      <w:pPr>
        <w:snapToGrid w:val="0"/>
        <w:spacing w:line="240" w:lineRule="atLeast"/>
        <w:ind w:left="1080" w:leftChars="257" w:hanging="540"/>
        <w:textAlignment w:val="baseline"/>
        <w:rPr>
          <w:rFonts w:hint="eastAsia" w:asciiTheme="minorEastAsia" w:hAnsiTheme="minorEastAsia" w:eastAsiaTheme="minorEastAsia" w:cstheme="minorEastAsia"/>
          <w:b/>
          <w:color w:val="000000" w:themeColor="text1"/>
          <w:sz w:val="28"/>
          <w:highlight w:val="none"/>
          <w14:textFill>
            <w14:solidFill>
              <w14:schemeClr w14:val="tx1"/>
            </w14:solidFill>
          </w14:textFill>
        </w:rPr>
      </w:pPr>
    </w:p>
    <w:p w14:paraId="2EFC85C3">
      <w:pPr>
        <w:snapToGrid w:val="0"/>
        <w:spacing w:line="240" w:lineRule="atLeast"/>
        <w:ind w:left="1080" w:leftChars="257" w:hanging="540"/>
        <w:textAlignment w:val="baseline"/>
        <w:rPr>
          <w:rFonts w:hint="eastAsia" w:asciiTheme="minorEastAsia" w:hAnsiTheme="minorEastAsia" w:eastAsiaTheme="minorEastAsia" w:cstheme="minorEastAsia"/>
          <w:b/>
          <w:color w:val="000000" w:themeColor="text1"/>
          <w:sz w:val="28"/>
          <w:highlight w:val="none"/>
          <w14:textFill>
            <w14:solidFill>
              <w14:schemeClr w14:val="tx1"/>
            </w14:solidFill>
          </w14:textFill>
        </w:rPr>
      </w:pPr>
    </w:p>
    <w:p w14:paraId="19976281">
      <w:pPr>
        <w:pStyle w:val="20"/>
        <w:rPr>
          <w:rFonts w:hint="eastAsia" w:asciiTheme="minorEastAsia" w:hAnsiTheme="minorEastAsia" w:eastAsiaTheme="minorEastAsia" w:cstheme="minorEastAsia"/>
          <w:b/>
          <w:color w:val="000000" w:themeColor="text1"/>
          <w:sz w:val="28"/>
          <w:highlight w:val="none"/>
          <w14:textFill>
            <w14:solidFill>
              <w14:schemeClr w14:val="tx1"/>
            </w14:solidFill>
          </w14:textFill>
        </w:rPr>
      </w:pPr>
    </w:p>
    <w:p w14:paraId="7E0733DC">
      <w:pPr>
        <w:pStyle w:val="20"/>
        <w:rPr>
          <w:rFonts w:hint="eastAsia" w:asciiTheme="minorEastAsia" w:hAnsiTheme="minorEastAsia" w:eastAsiaTheme="minorEastAsia" w:cstheme="minorEastAsia"/>
          <w:b/>
          <w:color w:val="000000" w:themeColor="text1"/>
          <w:sz w:val="28"/>
          <w:highlight w:val="none"/>
          <w14:textFill>
            <w14:solidFill>
              <w14:schemeClr w14:val="tx1"/>
            </w14:solidFill>
          </w14:textFill>
        </w:rPr>
      </w:pPr>
    </w:p>
    <w:p w14:paraId="36F55685">
      <w:pPr>
        <w:pStyle w:val="20"/>
        <w:rPr>
          <w:rFonts w:hint="eastAsia" w:asciiTheme="minorEastAsia" w:hAnsiTheme="minorEastAsia" w:eastAsiaTheme="minorEastAsia" w:cstheme="minorEastAsia"/>
          <w:b/>
          <w:color w:val="000000" w:themeColor="text1"/>
          <w:sz w:val="28"/>
          <w:highlight w:val="none"/>
          <w14:textFill>
            <w14:solidFill>
              <w14:schemeClr w14:val="tx1"/>
            </w14:solidFill>
          </w14:textFill>
        </w:rPr>
      </w:pPr>
    </w:p>
    <w:p w14:paraId="31CBB552">
      <w:pPr>
        <w:pStyle w:val="20"/>
        <w:rPr>
          <w:rFonts w:hint="eastAsia" w:asciiTheme="minorEastAsia" w:hAnsiTheme="minorEastAsia" w:eastAsiaTheme="minorEastAsia" w:cstheme="minorEastAsia"/>
          <w:b/>
          <w:color w:val="000000" w:themeColor="text1"/>
          <w:sz w:val="28"/>
          <w:highlight w:val="none"/>
          <w14:textFill>
            <w14:solidFill>
              <w14:schemeClr w14:val="tx1"/>
            </w14:solidFill>
          </w14:textFill>
        </w:rPr>
      </w:pPr>
    </w:p>
    <w:p w14:paraId="5F7C7B28">
      <w:pPr>
        <w:pStyle w:val="20"/>
        <w:rPr>
          <w:rFonts w:hint="eastAsia" w:asciiTheme="minorEastAsia" w:hAnsiTheme="minorEastAsia" w:eastAsiaTheme="minorEastAsia" w:cstheme="minorEastAsia"/>
          <w:b/>
          <w:color w:val="000000" w:themeColor="text1"/>
          <w:sz w:val="28"/>
          <w:highlight w:val="none"/>
          <w14:textFill>
            <w14:solidFill>
              <w14:schemeClr w14:val="tx1"/>
            </w14:solidFill>
          </w14:textFill>
        </w:rPr>
      </w:pPr>
    </w:p>
    <w:p w14:paraId="53D29B62">
      <w:pPr>
        <w:pStyle w:val="20"/>
        <w:rPr>
          <w:rFonts w:hint="eastAsia" w:asciiTheme="minorEastAsia" w:hAnsiTheme="minorEastAsia" w:eastAsiaTheme="minorEastAsia" w:cstheme="minorEastAsia"/>
          <w:b/>
          <w:color w:val="000000" w:themeColor="text1"/>
          <w:sz w:val="28"/>
          <w:highlight w:val="none"/>
          <w14:textFill>
            <w14:solidFill>
              <w14:schemeClr w14:val="tx1"/>
            </w14:solidFill>
          </w14:textFill>
        </w:rPr>
      </w:pPr>
    </w:p>
    <w:p w14:paraId="14EEFC1E">
      <w:pPr>
        <w:pStyle w:val="20"/>
        <w:rPr>
          <w:rFonts w:hint="eastAsia" w:asciiTheme="minorEastAsia" w:hAnsiTheme="minorEastAsia" w:eastAsiaTheme="minorEastAsia" w:cstheme="minorEastAsia"/>
          <w:b/>
          <w:color w:val="000000" w:themeColor="text1"/>
          <w:sz w:val="28"/>
          <w:highlight w:val="none"/>
          <w14:textFill>
            <w14:solidFill>
              <w14:schemeClr w14:val="tx1"/>
            </w14:solidFill>
          </w14:textFill>
        </w:rPr>
      </w:pPr>
    </w:p>
    <w:p w14:paraId="7E51AAC9">
      <w:pPr>
        <w:pStyle w:val="20"/>
        <w:rPr>
          <w:rFonts w:hint="eastAsia" w:asciiTheme="minorEastAsia" w:hAnsiTheme="minorEastAsia" w:eastAsiaTheme="minorEastAsia" w:cstheme="minorEastAsia"/>
          <w:b/>
          <w:color w:val="000000" w:themeColor="text1"/>
          <w:sz w:val="28"/>
          <w:highlight w:val="none"/>
          <w14:textFill>
            <w14:solidFill>
              <w14:schemeClr w14:val="tx1"/>
            </w14:solidFill>
          </w14:textFill>
        </w:rPr>
      </w:pPr>
    </w:p>
    <w:p w14:paraId="0FE4C764">
      <w:pPr>
        <w:pStyle w:val="36"/>
        <w:snapToGrid w:val="0"/>
        <w:ind w:firstLine="560"/>
        <w:textAlignment w:val="baseline"/>
        <w:rPr>
          <w:rFonts w:hint="eastAsia" w:asciiTheme="minorEastAsia" w:hAnsiTheme="minorEastAsia" w:eastAsiaTheme="minorEastAsia" w:cstheme="minorEastAsia"/>
          <w:b/>
          <w:color w:val="000000" w:themeColor="text1"/>
          <w:sz w:val="28"/>
          <w:highlight w:val="none"/>
          <w14:textFill>
            <w14:solidFill>
              <w14:schemeClr w14:val="tx1"/>
            </w14:solidFill>
          </w14:textFill>
        </w:rPr>
      </w:pPr>
    </w:p>
    <w:p w14:paraId="0F5EFAF4">
      <w:pPr>
        <w:pStyle w:val="36"/>
        <w:snapToGrid w:val="0"/>
        <w:ind w:firstLine="560"/>
        <w:textAlignment w:val="baseline"/>
        <w:rPr>
          <w:rFonts w:hint="eastAsia" w:asciiTheme="minorEastAsia" w:hAnsiTheme="minorEastAsia" w:eastAsiaTheme="minorEastAsia" w:cstheme="minorEastAsia"/>
          <w:b/>
          <w:color w:val="000000" w:themeColor="text1"/>
          <w:sz w:val="28"/>
          <w:highlight w:val="none"/>
          <w14:textFill>
            <w14:solidFill>
              <w14:schemeClr w14:val="tx1"/>
            </w14:solidFill>
          </w14:textFill>
        </w:rPr>
      </w:pPr>
    </w:p>
    <w:p w14:paraId="2265F4AD">
      <w:pPr>
        <w:rPr>
          <w:rFonts w:hint="eastAsia" w:asciiTheme="minorEastAsia" w:hAnsiTheme="minorEastAsia" w:eastAsiaTheme="minorEastAsia" w:cstheme="minorEastAsia"/>
          <w:b/>
          <w:color w:val="000000" w:themeColor="text1"/>
          <w:sz w:val="28"/>
          <w:highlight w:val="none"/>
          <w14:textFill>
            <w14:solidFill>
              <w14:schemeClr w14:val="tx1"/>
            </w14:solidFill>
          </w14:textFill>
        </w:rPr>
      </w:pPr>
    </w:p>
    <w:p w14:paraId="2D765653">
      <w:pPr>
        <w:rPr>
          <w:rFonts w:hint="eastAsia" w:asciiTheme="minorEastAsia" w:hAnsiTheme="minorEastAsia" w:eastAsiaTheme="minorEastAsia" w:cstheme="minorEastAsia"/>
          <w:b/>
          <w:color w:val="000000" w:themeColor="text1"/>
          <w:sz w:val="28"/>
          <w:highlight w:val="none"/>
          <w14:textFill>
            <w14:solidFill>
              <w14:schemeClr w14:val="tx1"/>
            </w14:solidFill>
          </w14:textFill>
        </w:rPr>
      </w:pPr>
    </w:p>
    <w:p w14:paraId="72713BFF">
      <w:pPr>
        <w:pStyle w:val="36"/>
        <w:snapToGrid w:val="0"/>
        <w:ind w:firstLine="560"/>
        <w:textAlignment w:val="baseline"/>
        <w:rPr>
          <w:rFonts w:hint="eastAsia" w:asciiTheme="minorEastAsia" w:hAnsiTheme="minorEastAsia" w:eastAsiaTheme="minorEastAsia" w:cstheme="minorEastAsia"/>
          <w:b/>
          <w:color w:val="000000" w:themeColor="text1"/>
          <w:sz w:val="28"/>
          <w:highlight w:val="none"/>
          <w14:textFill>
            <w14:solidFill>
              <w14:schemeClr w14:val="tx1"/>
            </w14:solidFill>
          </w14:textFill>
        </w:rPr>
      </w:pPr>
    </w:p>
    <w:p w14:paraId="77014A6D">
      <w:pPr>
        <w:pStyle w:val="7"/>
        <w:snapToGrid w:val="0"/>
        <w:ind w:firstLine="0"/>
        <w:textAlignment w:val="baseline"/>
        <w:rPr>
          <w:rFonts w:hint="eastAsia" w:asciiTheme="minorEastAsia" w:hAnsiTheme="minorEastAsia" w:eastAsiaTheme="minorEastAsia" w:cstheme="minorEastAsia"/>
          <w:b/>
          <w:color w:val="000000" w:themeColor="text1"/>
          <w:sz w:val="52"/>
          <w:highlight w:val="none"/>
          <w14:textFill>
            <w14:solidFill>
              <w14:schemeClr w14:val="tx1"/>
            </w14:solidFill>
          </w14:textFill>
        </w:rPr>
      </w:pPr>
    </w:p>
    <w:p w14:paraId="0F7E4103">
      <w:pPr>
        <w:pStyle w:val="2"/>
        <w:tabs>
          <w:tab w:val="left" w:pos="0"/>
        </w:tabs>
        <w:snapToGrid w:val="0"/>
        <w:spacing w:before="0" w:after="0" w:line="240" w:lineRule="auto"/>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534" w:name="_Toc20261"/>
      <w:bookmarkStart w:id="535" w:name="_Toc216582823"/>
      <w:bookmarkStart w:id="536" w:name="_Toc512937850"/>
      <w:bookmarkStart w:id="537" w:name="_Toc515647830"/>
      <w:bookmarkStart w:id="538" w:name="_Toc507399903"/>
      <w:bookmarkStart w:id="539" w:name="_Toc10488"/>
      <w:bookmarkStart w:id="540" w:name="_Toc31583"/>
      <w:r>
        <w:rPr>
          <w:rFonts w:hint="eastAsia" w:asciiTheme="minorEastAsia" w:hAnsiTheme="minorEastAsia" w:eastAsiaTheme="minorEastAsia" w:cstheme="minorEastAsia"/>
          <w:color w:val="000000" w:themeColor="text1"/>
          <w:highlight w:val="none"/>
          <w14:textFill>
            <w14:solidFill>
              <w14:schemeClr w14:val="tx1"/>
            </w14:solidFill>
          </w14:textFill>
        </w:rPr>
        <w:t>第3章 磋商邀请</w:t>
      </w:r>
      <w:bookmarkEnd w:id="534"/>
    </w:p>
    <w:p w14:paraId="374896AB">
      <w:pPr>
        <w:pStyle w:val="26"/>
        <w:jc w:val="center"/>
        <w:rPr>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pPr>
      <w:bookmarkStart w:id="541" w:name="_Toc28359011"/>
      <w:bookmarkStart w:id="542" w:name="_Toc35393797"/>
      <w:r>
        <w:rPr>
          <w:rFonts w:hint="eastAsia" w:asciiTheme="minorEastAsia" w:hAnsiTheme="minorEastAsia" w:eastAsiaTheme="minorEastAsia" w:cstheme="minorEastAsia"/>
          <w:b/>
          <w:bCs/>
          <w:color w:val="000000" w:themeColor="text1"/>
          <w:kern w:val="44"/>
          <w:sz w:val="30"/>
          <w:szCs w:val="30"/>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kern w:val="44"/>
          <w:sz w:val="30"/>
          <w:szCs w:val="30"/>
          <w:highlight w:val="none"/>
          <w:lang w:val="en-US" w:eastAsia="zh-CN"/>
          <w14:textFill>
            <w14:solidFill>
              <w14:schemeClr w14:val="tx1"/>
            </w14:solidFill>
          </w14:textFill>
        </w:rPr>
        <w:tab/>
      </w:r>
      <w:r>
        <w:rPr>
          <w:rFonts w:hint="eastAsia" w:asciiTheme="minorEastAsia" w:hAnsiTheme="minorEastAsia" w:eastAsiaTheme="minorEastAsia" w:cstheme="minorEastAsia"/>
          <w:b/>
          <w:bCs/>
          <w:color w:val="000000" w:themeColor="text1"/>
          <w:kern w:val="44"/>
          <w:sz w:val="30"/>
          <w:szCs w:val="30"/>
          <w:highlight w:val="none"/>
          <w:lang w:val="en-US" w:eastAsia="zh-CN"/>
          <w14:textFill>
            <w14:solidFill>
              <w14:schemeClr w14:val="tx1"/>
            </w14:solidFill>
          </w14:textFill>
        </w:rPr>
        <w:t>岳普湖县旅游服务能力提升项目(“山东人游喀什”、“喀什人看发展”)</w:t>
      </w:r>
      <w:r>
        <w:rPr>
          <w:rFonts w:hint="eastAsia" w:asciiTheme="minorEastAsia" w:hAnsiTheme="minorEastAsia" w:eastAsiaTheme="minorEastAsia" w:cstheme="minorEastAsia"/>
          <w:b/>
          <w:bCs/>
          <w:color w:val="000000" w:themeColor="text1"/>
          <w:kern w:val="44"/>
          <w:sz w:val="30"/>
          <w:szCs w:val="30"/>
          <w:highlight w:val="none"/>
          <w14:textFill>
            <w14:solidFill>
              <w14:schemeClr w14:val="tx1"/>
            </w14:solidFill>
          </w14:textFill>
        </w:rPr>
        <w:t>竞争性磋商公告</w:t>
      </w:r>
      <w:bookmarkEnd w:id="541"/>
      <w:bookmarkEnd w:id="542"/>
    </w:p>
    <w:p w14:paraId="02C59327">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项目概况</w:t>
      </w:r>
    </w:p>
    <w:p w14:paraId="75035D90">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岳普湖县旅游服务能力提升项目(“山东人游喀什”、“喀什人看发展”)</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的潜在供应商应在政采云平台（https://www.zcygov.cn/）获取采购文件，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并于</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2026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05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08</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日</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点</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00</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（北京时间）</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前提交响应文件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6DB5F2F3">
      <w:pPr>
        <w:keepNext/>
        <w:keepLines/>
        <w:pageBreakBefore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543" w:name="_Toc35393629"/>
      <w:bookmarkStart w:id="544" w:name="_Toc28359012"/>
      <w:bookmarkStart w:id="545" w:name="_Toc35393798"/>
      <w:bookmarkStart w:id="546" w:name="_Toc28359089"/>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一、项目基本情况</w:t>
      </w:r>
      <w:bookmarkEnd w:id="543"/>
      <w:bookmarkEnd w:id="544"/>
      <w:bookmarkEnd w:id="545"/>
      <w:bookmarkEnd w:id="546"/>
    </w:p>
    <w:p w14:paraId="7B1A0068">
      <w:pPr>
        <w:pageBreakBefore w:val="0"/>
        <w:kinsoku/>
        <w:wordWrap/>
        <w:overflowPunct/>
        <w:topLinePunct w:val="0"/>
        <w:autoSpaceDE/>
        <w:autoSpaceDN/>
        <w:bidi w:val="0"/>
        <w:adjustRightInd/>
        <w:spacing w:line="440" w:lineRule="exact"/>
        <w:ind w:firstLine="480" w:firstLineChars="200"/>
        <w:textAlignment w:val="auto"/>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i w:val="0"/>
          <w:iCs w:val="0"/>
          <w:color w:val="000000" w:themeColor="text1"/>
          <w:sz w:val="24"/>
          <w:szCs w:val="24"/>
          <w:highlight w:val="none"/>
          <w14:textFill>
            <w14:solidFill>
              <w14:schemeClr w14:val="tx1"/>
            </w14:solidFill>
          </w14:textFill>
        </w:rPr>
        <w:t>项目编号：</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YXHCCG-2026002</w:t>
      </w:r>
    </w:p>
    <w:p w14:paraId="70EC3CBA">
      <w:pPr>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i w:val="0"/>
          <w:iCs w:val="0"/>
          <w:color w:val="000000" w:themeColor="text1"/>
          <w:sz w:val="24"/>
          <w:szCs w:val="24"/>
          <w:highlight w:val="none"/>
          <w14:textFill>
            <w14:solidFill>
              <w14:schemeClr w14:val="tx1"/>
            </w14:solidFill>
          </w14:textFill>
        </w:rPr>
        <w:t>项目名称：</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 xml:space="preserve"> 岳普湖县旅游服务能力提升项目（“山东人游喀什”、“喀什人看发展”）</w:t>
      </w:r>
    </w:p>
    <w:p w14:paraId="0F5216E8">
      <w:pPr>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i w:val="0"/>
          <w:i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szCs w:val="24"/>
          <w:highlight w:val="none"/>
          <w:lang w:val="en-US" w:eastAsia="zh-CN"/>
          <w14:textFill>
            <w14:solidFill>
              <w14:schemeClr w14:val="tx1"/>
            </w14:solidFill>
          </w14:textFill>
        </w:rPr>
        <w:t>3、采购方式：竞争性磋商</w:t>
      </w:r>
    </w:p>
    <w:p w14:paraId="00764388">
      <w:pPr>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i w:val="0"/>
          <w:i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szCs w:val="24"/>
          <w:highlight w:val="none"/>
          <w:lang w:val="en-US" w:eastAsia="zh-CN"/>
          <w14:textFill>
            <w14:solidFill>
              <w14:schemeClr w14:val="tx1"/>
            </w14:solidFill>
          </w14:textFill>
        </w:rPr>
        <w:t>4、总预算金额：70万元</w:t>
      </w:r>
    </w:p>
    <w:p w14:paraId="7E3166C3">
      <w:pPr>
        <w:pageBreakBefore w:val="0"/>
        <w:kinsoku/>
        <w:wordWrap/>
        <w:overflowPunct/>
        <w:topLinePunct w:val="0"/>
        <w:autoSpaceDE/>
        <w:autoSpaceDN/>
        <w:bidi w:val="0"/>
        <w:adjustRightInd/>
        <w:spacing w:line="440" w:lineRule="exact"/>
        <w:ind w:firstLine="480" w:firstLineChars="200"/>
        <w:textAlignment w:val="auto"/>
        <w:rPr>
          <w:rFonts w:hint="default" w:asciiTheme="minorEastAsia" w:hAnsiTheme="minorEastAsia" w:eastAsiaTheme="minorEastAsia" w:cstheme="minorEastAsia"/>
          <w:i w:val="0"/>
          <w:i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szCs w:val="24"/>
          <w:highlight w:val="none"/>
          <w:lang w:val="en-US" w:eastAsia="zh-CN"/>
          <w14:textFill>
            <w14:solidFill>
              <w14:schemeClr w14:val="tx1"/>
            </w14:solidFill>
          </w14:textFill>
        </w:rPr>
        <w:t>5、采购需求：</w:t>
      </w:r>
      <w:r>
        <w:rPr>
          <w:rFonts w:hint="eastAsia" w:asciiTheme="minorEastAsia" w:hAnsiTheme="minorEastAsia" w:eastAsiaTheme="minorEastAsia" w:cstheme="minorEastAsia"/>
          <w:i w:val="0"/>
          <w:iCs w:val="0"/>
          <w:color w:val="000000" w:themeColor="text1"/>
          <w:sz w:val="24"/>
          <w:szCs w:val="24"/>
          <w:highlight w:val="none"/>
          <w:lang w:val="en-US" w:eastAsia="zh-CN"/>
          <w14:textFill>
            <w14:solidFill>
              <w14:schemeClr w14:val="tx1"/>
            </w14:solidFill>
          </w14:textFill>
        </w:rPr>
        <w:t>开展“山东人游喀什”活动，通过旅游包机等形式，组织内地游客到喀旅游不少于300人次;开展“喀什人看发展”活动，组织400名岳普湖干部群众到喀什其他县区进行观摩学习</w:t>
      </w:r>
      <w:r>
        <w:rPr>
          <w:rFonts w:hint="eastAsia" w:asciiTheme="minorEastAsia" w:hAnsiTheme="minorEastAsia" w:eastAsiaTheme="minorEastAsia" w:cstheme="minorEastAsia"/>
          <w:i w:val="0"/>
          <w:iCs w:val="0"/>
          <w:color w:val="000000" w:themeColor="text1"/>
          <w:sz w:val="24"/>
          <w:szCs w:val="24"/>
          <w:highlight w:val="none"/>
          <w:lang w:val="en-US" w:eastAsia="zh-CN"/>
          <w14:textFill>
            <w14:solidFill>
              <w14:schemeClr w14:val="tx1"/>
            </w14:solidFill>
          </w14:textFill>
        </w:rPr>
        <w:t>。(具体详见竞争性磋商文件)</w:t>
      </w:r>
    </w:p>
    <w:p w14:paraId="09763394">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szCs w:val="24"/>
          <w:highlight w:val="none"/>
          <w:lang w:val="en-US" w:eastAsia="zh-CN"/>
          <w14:textFill>
            <w14:solidFill>
              <w14:schemeClr w14:val="tx1"/>
            </w14:solidFill>
          </w14:textFill>
        </w:rPr>
        <w:t>6、服务期限：自合同签订之日起至2026年12月31日。</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具体以</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签订合同为准）</w:t>
      </w:r>
    </w:p>
    <w:p w14:paraId="28E57362">
      <w:pPr>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i w:val="0"/>
          <w:i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szCs w:val="24"/>
          <w:highlight w:val="none"/>
          <w:lang w:val="en-US" w:eastAsia="zh-CN"/>
          <w14:textFill>
            <w14:solidFill>
              <w14:schemeClr w14:val="tx1"/>
            </w14:solidFill>
          </w14:textFill>
        </w:rPr>
        <w:t>7、本项目不接受联合体。</w:t>
      </w:r>
      <w:bookmarkStart w:id="547" w:name="_Toc35393630"/>
      <w:bookmarkStart w:id="548" w:name="_Toc35393799"/>
      <w:bookmarkStart w:id="549" w:name="_Toc28359013"/>
      <w:bookmarkStart w:id="550" w:name="_Toc28359090"/>
    </w:p>
    <w:p w14:paraId="518A31D1">
      <w:pPr>
        <w:pageBreakBefore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二、供应商资格要求：</w:t>
      </w:r>
      <w:bookmarkEnd w:id="547"/>
      <w:bookmarkEnd w:id="548"/>
      <w:bookmarkEnd w:id="549"/>
      <w:bookmarkEnd w:id="550"/>
      <w:bookmarkStart w:id="551" w:name="_Toc35393632"/>
      <w:bookmarkStart w:id="552" w:name="_Toc28359092"/>
      <w:bookmarkStart w:id="553" w:name="_Toc35393801"/>
      <w:bookmarkStart w:id="554" w:name="_Toc28359015"/>
    </w:p>
    <w:p w14:paraId="7D07ED79">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t>1、满足《中华人民共和国政府采购法》第二十二条规定；</w:t>
      </w:r>
    </w:p>
    <w:p w14:paraId="60AB0A7F">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Theme="minorEastAsia" w:hAnsiTheme="minorEastAsia" w:eastAsiaTheme="minorEastAsia" w:cstheme="minorEastAsia"/>
          <w:b w:val="0"/>
          <w:bCs w:val="0"/>
          <w:i w:val="0"/>
          <w:iCs w:val="0"/>
          <w:caps w:val="0"/>
          <w:color w:val="000000" w:themeColor="text1"/>
          <w:spacing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t>2、落实政府采购政策需满足的资格要求：</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本项目为专门面向中小企业</w:t>
      </w:r>
    </w:p>
    <w:p w14:paraId="7EEB5549">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firstLine="480" w:firstLineChars="200"/>
        <w:textAlignment w:val="auto"/>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t>3、本项目的特定资格要求：无</w:t>
      </w:r>
    </w:p>
    <w:p w14:paraId="77FA6C79">
      <w:pPr>
        <w:keepNext/>
        <w:keepLines/>
        <w:pageBreakBefore w:val="0"/>
        <w:kinsoku/>
        <w:wordWrap/>
        <w:overflowPunct/>
        <w:topLinePunct w:val="0"/>
        <w:autoSpaceDE/>
        <w:autoSpaceDN/>
        <w:bidi w:val="0"/>
        <w:adjustRightInd/>
        <w:spacing w:line="440" w:lineRule="exact"/>
        <w:jc w:val="left"/>
        <w:textAlignment w:val="auto"/>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三、获取采购文件</w:t>
      </w:r>
    </w:p>
    <w:p w14:paraId="74A26AEF">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14:textFill>
            <w14:solidFill>
              <w14:schemeClr w14:val="tx1"/>
            </w14:solidFill>
          </w14:textFill>
        </w:rPr>
        <w:t> 时间：</w:t>
      </w:r>
      <w:r>
        <w:rPr>
          <w:rFonts w:hint="eastAsia" w:asciiTheme="minorEastAsia" w:hAnsiTheme="minorEastAsia" w:eastAsiaTheme="minorEastAsia" w:cstheme="minorEastAsia"/>
          <w:i w:val="0"/>
          <w:iCs w:val="0"/>
          <w:caps w:val="0"/>
          <w:color w:val="000000" w:themeColor="text1"/>
          <w:spacing w:val="0"/>
          <w:sz w:val="24"/>
          <w:szCs w:val="24"/>
          <w:highlight w:val="none"/>
          <w:u w:val="single"/>
          <w:lang w:val="en-US" w:eastAsia="zh-CN"/>
          <w14:textFill>
            <w14:solidFill>
              <w14:schemeClr w14:val="tx1"/>
            </w14:solidFill>
          </w14:textFill>
        </w:rPr>
        <w:t xml:space="preserve"> 2026年04</w:t>
      </w:r>
      <w:r>
        <w:rPr>
          <w:rFonts w:hint="eastAsia" w:asciiTheme="minorEastAsia" w:hAnsiTheme="minorEastAsia" w:eastAsiaTheme="minorEastAsia" w:cstheme="minorEastAsia"/>
          <w:i w:val="0"/>
          <w:iCs w:val="0"/>
          <w:caps w:val="0"/>
          <w:color w:val="000000" w:themeColor="text1"/>
          <w:spacing w:val="0"/>
          <w:sz w:val="24"/>
          <w:szCs w:val="24"/>
          <w:highlight w:val="none"/>
          <w:u w:val="single"/>
          <w14:textFill>
            <w14:solidFill>
              <w14:schemeClr w14:val="tx1"/>
            </w14:solidFill>
          </w14:textFill>
        </w:rPr>
        <w:t>月</w:t>
      </w:r>
      <w:r>
        <w:rPr>
          <w:rFonts w:hint="eastAsia" w:asciiTheme="minorEastAsia" w:hAnsiTheme="minorEastAsia" w:eastAsiaTheme="minorEastAsia" w:cstheme="minorEastAsia"/>
          <w:i w:val="0"/>
          <w:iCs w:val="0"/>
          <w:caps w:val="0"/>
          <w:color w:val="000000" w:themeColor="text1"/>
          <w:spacing w:val="0"/>
          <w:sz w:val="24"/>
          <w:szCs w:val="24"/>
          <w:highlight w:val="none"/>
          <w:u w:val="single"/>
          <w:lang w:val="en-US" w:eastAsia="zh-CN"/>
          <w14:textFill>
            <w14:solidFill>
              <w14:schemeClr w14:val="tx1"/>
            </w14:solidFill>
          </w14:textFill>
        </w:rPr>
        <w:t>23</w:t>
      </w:r>
      <w:r>
        <w:rPr>
          <w:rFonts w:hint="eastAsia" w:asciiTheme="minorEastAsia" w:hAnsiTheme="minorEastAsia" w:eastAsiaTheme="minorEastAsia" w:cstheme="minorEastAsia"/>
          <w:i w:val="0"/>
          <w:iCs w:val="0"/>
          <w:caps w:val="0"/>
          <w:color w:val="000000" w:themeColor="text1"/>
          <w:spacing w:val="0"/>
          <w:sz w:val="24"/>
          <w:szCs w:val="24"/>
          <w:highlight w:val="none"/>
          <w:u w:val="single"/>
          <w14:textFill>
            <w14:solidFill>
              <w14:schemeClr w14:val="tx1"/>
            </w14:solidFill>
          </w14:textFill>
        </w:rPr>
        <w:t>日至</w:t>
      </w:r>
      <w:r>
        <w:rPr>
          <w:rFonts w:hint="eastAsia" w:asciiTheme="minorEastAsia" w:hAnsiTheme="minorEastAsia" w:eastAsiaTheme="minorEastAsia" w:cstheme="minorEastAsia"/>
          <w:i w:val="0"/>
          <w:iCs w:val="0"/>
          <w:caps w:val="0"/>
          <w:color w:val="000000" w:themeColor="text1"/>
          <w:spacing w:val="0"/>
          <w:sz w:val="24"/>
          <w:szCs w:val="24"/>
          <w:highlight w:val="none"/>
          <w:u w:val="single"/>
          <w:lang w:val="en-US" w:eastAsia="zh-CN"/>
          <w14:textFill>
            <w14:solidFill>
              <w14:schemeClr w14:val="tx1"/>
            </w14:solidFill>
          </w14:textFill>
        </w:rPr>
        <w:t>2026</w:t>
      </w:r>
      <w:r>
        <w:rPr>
          <w:rFonts w:hint="eastAsia" w:asciiTheme="minorEastAsia" w:hAnsiTheme="minorEastAsia" w:eastAsiaTheme="minorEastAsia" w:cstheme="minorEastAsia"/>
          <w:i w:val="0"/>
          <w:iCs w:val="0"/>
          <w:caps w:val="0"/>
          <w:color w:val="000000" w:themeColor="text1"/>
          <w:spacing w:val="0"/>
          <w:sz w:val="24"/>
          <w:szCs w:val="24"/>
          <w:highlight w:val="none"/>
          <w:u w:val="single"/>
          <w14:textFill>
            <w14:solidFill>
              <w14:schemeClr w14:val="tx1"/>
            </w14:solidFill>
          </w14:textFill>
        </w:rPr>
        <w:t>年</w:t>
      </w:r>
      <w:r>
        <w:rPr>
          <w:rFonts w:hint="eastAsia" w:asciiTheme="minorEastAsia" w:hAnsiTheme="minorEastAsia" w:eastAsiaTheme="minorEastAsia" w:cstheme="minorEastAsia"/>
          <w:i w:val="0"/>
          <w:iCs w:val="0"/>
          <w:caps w:val="0"/>
          <w:color w:val="000000" w:themeColor="text1"/>
          <w:spacing w:val="0"/>
          <w:sz w:val="24"/>
          <w:szCs w:val="24"/>
          <w:highlight w:val="none"/>
          <w:u w:val="single"/>
          <w:lang w:val="en-US" w:eastAsia="zh-CN"/>
          <w14:textFill>
            <w14:solidFill>
              <w14:schemeClr w14:val="tx1"/>
            </w14:solidFill>
          </w14:textFill>
        </w:rPr>
        <w:t>04</w:t>
      </w:r>
      <w:r>
        <w:rPr>
          <w:rFonts w:hint="eastAsia" w:asciiTheme="minorEastAsia" w:hAnsiTheme="minorEastAsia" w:eastAsiaTheme="minorEastAsia" w:cstheme="minorEastAsia"/>
          <w:i w:val="0"/>
          <w:iCs w:val="0"/>
          <w:caps w:val="0"/>
          <w:color w:val="000000" w:themeColor="text1"/>
          <w:spacing w:val="0"/>
          <w:sz w:val="24"/>
          <w:szCs w:val="24"/>
          <w:highlight w:val="none"/>
          <w:u w:val="single"/>
          <w14:textFill>
            <w14:solidFill>
              <w14:schemeClr w14:val="tx1"/>
            </w14:solidFill>
          </w14:textFill>
        </w:rPr>
        <w:t>月</w:t>
      </w:r>
      <w:r>
        <w:rPr>
          <w:rFonts w:hint="eastAsia" w:asciiTheme="minorEastAsia" w:hAnsiTheme="minorEastAsia" w:eastAsiaTheme="minorEastAsia" w:cstheme="minorEastAsia"/>
          <w:i w:val="0"/>
          <w:iCs w:val="0"/>
          <w:caps w:val="0"/>
          <w:color w:val="000000" w:themeColor="text1"/>
          <w:spacing w:val="0"/>
          <w:sz w:val="24"/>
          <w:szCs w:val="24"/>
          <w:highlight w:val="none"/>
          <w:u w:val="single"/>
          <w:lang w:val="en-US" w:eastAsia="zh-CN"/>
          <w14:textFill>
            <w14:solidFill>
              <w14:schemeClr w14:val="tx1"/>
            </w14:solidFill>
          </w14:textFill>
        </w:rPr>
        <w:t>30</w:t>
      </w:r>
      <w:r>
        <w:rPr>
          <w:rFonts w:hint="eastAsia" w:asciiTheme="minorEastAsia" w:hAnsiTheme="minorEastAsia" w:eastAsiaTheme="minorEastAsia" w:cstheme="minorEastAsia"/>
          <w:i w:val="0"/>
          <w:iCs w:val="0"/>
          <w:caps w:val="0"/>
          <w:color w:val="000000" w:themeColor="text1"/>
          <w:spacing w:val="0"/>
          <w:sz w:val="24"/>
          <w:szCs w:val="24"/>
          <w:highlight w:val="none"/>
          <w:u w:val="single"/>
          <w14:textFill>
            <w14:solidFill>
              <w14:schemeClr w14:val="tx1"/>
            </w14:solidFill>
          </w14:textFill>
        </w:rPr>
        <w:t>日，每天上午</w:t>
      </w:r>
      <w:r>
        <w:rPr>
          <w:rFonts w:hint="eastAsia" w:asciiTheme="minorEastAsia" w:hAnsiTheme="minorEastAsia" w:eastAsiaTheme="minorEastAsia" w:cstheme="minorEastAsia"/>
          <w:i w:val="0"/>
          <w:iCs w:val="0"/>
          <w:caps w:val="0"/>
          <w:color w:val="000000" w:themeColor="text1"/>
          <w:spacing w:val="0"/>
          <w:sz w:val="24"/>
          <w:szCs w:val="24"/>
          <w:highlight w:val="none"/>
          <w:u w:val="single"/>
          <w:lang w:val="en-US" w:eastAsia="zh-CN"/>
          <w14:textFill>
            <w14:solidFill>
              <w14:schemeClr w14:val="tx1"/>
            </w14:solidFill>
          </w14:textFill>
        </w:rPr>
        <w:t>00</w:t>
      </w:r>
      <w:r>
        <w:rPr>
          <w:rFonts w:hint="eastAsia" w:asciiTheme="minorEastAsia" w:hAnsiTheme="minorEastAsia" w:eastAsiaTheme="minorEastAsia" w:cstheme="minorEastAsia"/>
          <w:i w:val="0"/>
          <w:iCs w:val="0"/>
          <w:caps w:val="0"/>
          <w:color w:val="000000" w:themeColor="text1"/>
          <w:spacing w:val="0"/>
          <w:sz w:val="24"/>
          <w:szCs w:val="24"/>
          <w:highlight w:val="none"/>
          <w:u w:val="single"/>
          <w14:textFill>
            <w14:solidFill>
              <w14:schemeClr w14:val="tx1"/>
            </w14:solidFill>
          </w14:textFill>
        </w:rPr>
        <w:t>:00至1</w:t>
      </w:r>
      <w:r>
        <w:rPr>
          <w:rFonts w:hint="eastAsia" w:asciiTheme="minorEastAsia" w:hAnsiTheme="minorEastAsia" w:eastAsiaTheme="minorEastAsia" w:cstheme="minorEastAsia"/>
          <w:i w:val="0"/>
          <w:iCs w:val="0"/>
          <w:caps w:val="0"/>
          <w:color w:val="000000" w:themeColor="text1"/>
          <w:spacing w:val="0"/>
          <w:sz w:val="24"/>
          <w:szCs w:val="24"/>
          <w:highlight w:val="none"/>
          <w:u w:val="single"/>
          <w:lang w:val="en-US" w:eastAsia="zh-CN"/>
          <w14:textFill>
            <w14:solidFill>
              <w14:schemeClr w14:val="tx1"/>
            </w14:solidFill>
          </w14:textFill>
        </w:rPr>
        <w:t>4</w:t>
      </w:r>
      <w:r>
        <w:rPr>
          <w:rFonts w:hint="eastAsia" w:asciiTheme="minorEastAsia" w:hAnsiTheme="minorEastAsia" w:eastAsiaTheme="minorEastAsia" w:cstheme="minorEastAsia"/>
          <w:i w:val="0"/>
          <w:iCs w:val="0"/>
          <w:caps w:val="0"/>
          <w:color w:val="000000" w:themeColor="text1"/>
          <w:spacing w:val="0"/>
          <w:sz w:val="24"/>
          <w:szCs w:val="24"/>
          <w:highlight w:val="none"/>
          <w:u w:val="single"/>
          <w14:textFill>
            <w14:solidFill>
              <w14:schemeClr w14:val="tx1"/>
            </w14:solidFill>
          </w14:textFill>
        </w:rPr>
        <w:t>:00，下午1</w:t>
      </w:r>
      <w:r>
        <w:rPr>
          <w:rFonts w:hint="eastAsia" w:asciiTheme="minorEastAsia" w:hAnsiTheme="minorEastAsia" w:eastAsiaTheme="minorEastAsia" w:cstheme="minorEastAsia"/>
          <w:i w:val="0"/>
          <w:iCs w:val="0"/>
          <w:caps w:val="0"/>
          <w:color w:val="000000" w:themeColor="text1"/>
          <w:spacing w:val="0"/>
          <w:sz w:val="24"/>
          <w:szCs w:val="24"/>
          <w:highlight w:val="none"/>
          <w:u w:val="single"/>
          <w:lang w:val="en-US" w:eastAsia="zh-CN"/>
          <w14:textFill>
            <w14:solidFill>
              <w14:schemeClr w14:val="tx1"/>
            </w14:solidFill>
          </w14:textFill>
        </w:rPr>
        <w:t>4</w:t>
      </w:r>
      <w:r>
        <w:rPr>
          <w:rFonts w:hint="eastAsia" w:asciiTheme="minorEastAsia" w:hAnsiTheme="minorEastAsia" w:eastAsiaTheme="minorEastAsia" w:cstheme="minorEastAsia"/>
          <w:i w:val="0"/>
          <w:iCs w:val="0"/>
          <w:caps w:val="0"/>
          <w:color w:val="000000" w:themeColor="text1"/>
          <w:spacing w:val="0"/>
          <w:sz w:val="24"/>
          <w:szCs w:val="24"/>
          <w:highlight w:val="none"/>
          <w:u w:val="single"/>
          <w14:textFill>
            <w14:solidFill>
              <w14:schemeClr w14:val="tx1"/>
            </w14:solidFill>
          </w14:textFill>
        </w:rPr>
        <w:t>:00至</w:t>
      </w:r>
      <w:r>
        <w:rPr>
          <w:rFonts w:hint="eastAsia" w:asciiTheme="minorEastAsia" w:hAnsiTheme="minorEastAsia" w:eastAsiaTheme="minorEastAsia" w:cstheme="minorEastAsia"/>
          <w:i w:val="0"/>
          <w:iCs w:val="0"/>
          <w:caps w:val="0"/>
          <w:color w:val="000000" w:themeColor="text1"/>
          <w:spacing w:val="0"/>
          <w:sz w:val="24"/>
          <w:szCs w:val="24"/>
          <w:highlight w:val="none"/>
          <w:u w:val="single"/>
          <w:lang w:val="en-US" w:eastAsia="zh-CN"/>
          <w14:textFill>
            <w14:solidFill>
              <w14:schemeClr w14:val="tx1"/>
            </w14:solidFill>
          </w14:textFill>
        </w:rPr>
        <w:t>23</w:t>
      </w:r>
      <w:r>
        <w:rPr>
          <w:rFonts w:hint="eastAsia" w:asciiTheme="minorEastAsia" w:hAnsiTheme="minorEastAsia" w:eastAsiaTheme="minorEastAsia" w:cstheme="minorEastAsia"/>
          <w:i w:val="0"/>
          <w:iCs w:val="0"/>
          <w:caps w:val="0"/>
          <w:color w:val="000000" w:themeColor="text1"/>
          <w:spacing w:val="0"/>
          <w:sz w:val="24"/>
          <w:szCs w:val="24"/>
          <w:highlight w:val="none"/>
          <w:u w:val="single"/>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4"/>
          <w:szCs w:val="24"/>
          <w:highlight w:val="none"/>
          <w:u w:val="single"/>
          <w:lang w:val="en-US" w:eastAsia="zh-CN"/>
          <w14:textFill>
            <w14:solidFill>
              <w14:schemeClr w14:val="tx1"/>
            </w14:solidFill>
          </w14:textFill>
        </w:rPr>
        <w:t>59</w:t>
      </w:r>
      <w:r>
        <w:rPr>
          <w:rFonts w:hint="eastAsia" w:asciiTheme="minorEastAsia" w:hAnsiTheme="minorEastAsia" w:eastAsiaTheme="minorEastAsia" w:cstheme="minorEastAsia"/>
          <w:i w:val="0"/>
          <w:iCs w:val="0"/>
          <w:caps w:val="0"/>
          <w:color w:val="000000" w:themeColor="text1"/>
          <w:spacing w:val="0"/>
          <w:sz w:val="24"/>
          <w:szCs w:val="24"/>
          <w:highlight w:val="none"/>
          <w14:textFill>
            <w14:solidFill>
              <w14:schemeClr w14:val="tx1"/>
            </w14:solidFill>
          </w14:textFill>
        </w:rPr>
        <w:t>（北</w:t>
      </w:r>
      <w:r>
        <w:rPr>
          <w:rFonts w:hint="eastAsia" w:asciiTheme="minorEastAsia" w:hAnsiTheme="minorEastAsia" w:eastAsiaTheme="minorEastAsia" w:cstheme="minorEastAsia"/>
          <w:i w:val="0"/>
          <w:iCs w:val="0"/>
          <w:caps w:val="0"/>
          <w:color w:val="000000" w:themeColor="text1"/>
          <w:spacing w:val="0"/>
          <w:sz w:val="24"/>
          <w:szCs w:val="24"/>
          <w:highlight w:val="none"/>
          <w14:textFill>
            <w14:solidFill>
              <w14:schemeClr w14:val="tx1"/>
            </w14:solidFill>
          </w14:textFill>
        </w:rPr>
        <w:t>京时间）</w:t>
      </w:r>
    </w:p>
    <w:p w14:paraId="143BD6B2">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14:textFill>
            <w14:solidFill>
              <w14:schemeClr w14:val="tx1"/>
            </w14:solidFill>
          </w14:textFill>
        </w:rPr>
        <w:t>地点：</w:t>
      </w:r>
      <w:r>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t>政采云平台（https://www.zcygov.cn/） </w:t>
      </w:r>
    </w:p>
    <w:p w14:paraId="5AE0F773">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14:textFill>
            <w14:solidFill>
              <w14:schemeClr w14:val="tx1"/>
            </w14:solidFill>
          </w14:textFill>
        </w:rPr>
        <w:t>方式：</w:t>
      </w:r>
      <w:r>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t>（1）线上获取（登录政府采购云平台 → 项目采购 → 获取磋商文件）。</w:t>
      </w:r>
    </w:p>
    <w:p w14:paraId="203F1C50">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1200" w:firstLineChars="500"/>
        <w:textAlignment w:val="auto"/>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t>（2）供应商获取磋商文件前应注册成为政府采购云平台正式供应商。</w:t>
      </w:r>
    </w:p>
    <w:p w14:paraId="1CF6484B">
      <w:pPr>
        <w:keepNext/>
        <w:keepLines/>
        <w:pageBreakBefore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四、响应文件提交</w:t>
      </w:r>
      <w:bookmarkEnd w:id="551"/>
      <w:bookmarkEnd w:id="552"/>
      <w:bookmarkEnd w:id="553"/>
      <w:bookmarkEnd w:id="554"/>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及开启</w:t>
      </w:r>
    </w:p>
    <w:p w14:paraId="6E1C7012">
      <w:pPr>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截止时间：</w:t>
      </w:r>
      <w:r>
        <w:rPr>
          <w:rFonts w:hint="eastAsia" w:asciiTheme="minorEastAsia" w:hAnsiTheme="minorEastAsia" w:eastAsiaTheme="minorEastAsia" w:cstheme="minorEastAsia"/>
          <w:i w:val="0"/>
          <w:iCs w:val="0"/>
          <w:caps w:val="0"/>
          <w:color w:val="000000" w:themeColor="text1"/>
          <w:spacing w:val="0"/>
          <w:sz w:val="24"/>
          <w:szCs w:val="24"/>
          <w:highlight w:val="none"/>
          <w:u w:val="none"/>
          <w:lang w:val="en-US" w:eastAsia="zh-CN"/>
          <w14:textFill>
            <w14:solidFill>
              <w14:schemeClr w14:val="tx1"/>
            </w14:solidFill>
          </w14:textFill>
        </w:rPr>
        <w:t>2026</w:t>
      </w:r>
      <w:r>
        <w:rPr>
          <w:rFonts w:hint="eastAsia" w:asciiTheme="minorEastAsia" w:hAnsiTheme="minorEastAsia" w:eastAsiaTheme="minorEastAsia" w:cstheme="minorEastAsia"/>
          <w:i w:val="0"/>
          <w:iCs w:val="0"/>
          <w:caps w:val="0"/>
          <w:color w:val="000000" w:themeColor="text1"/>
          <w:spacing w:val="0"/>
          <w:sz w:val="24"/>
          <w:szCs w:val="24"/>
          <w:highlight w:val="none"/>
          <w:u w:val="none"/>
          <w14:textFill>
            <w14:solidFill>
              <w14:schemeClr w14:val="tx1"/>
            </w14:solidFill>
          </w14:textFill>
        </w:rPr>
        <w:t>年</w:t>
      </w:r>
      <w:r>
        <w:rPr>
          <w:rFonts w:hint="eastAsia" w:asciiTheme="minorEastAsia" w:hAnsiTheme="minorEastAsia" w:eastAsiaTheme="minorEastAsia" w:cstheme="minorEastAsia"/>
          <w:i w:val="0"/>
          <w:iCs w:val="0"/>
          <w:caps w:val="0"/>
          <w:color w:val="000000" w:themeColor="text1"/>
          <w:spacing w:val="0"/>
          <w:sz w:val="24"/>
          <w:szCs w:val="24"/>
          <w:highlight w:val="none"/>
          <w:u w:val="none"/>
          <w:lang w:val="en-US" w:eastAsia="zh-CN"/>
          <w14:textFill>
            <w14:solidFill>
              <w14:schemeClr w14:val="tx1"/>
            </w14:solidFill>
          </w14:textFill>
        </w:rPr>
        <w:t>05</w:t>
      </w:r>
      <w:r>
        <w:rPr>
          <w:rFonts w:hint="eastAsia" w:asciiTheme="minorEastAsia" w:hAnsiTheme="minorEastAsia" w:eastAsiaTheme="minorEastAsia" w:cstheme="minorEastAsia"/>
          <w:i w:val="0"/>
          <w:iCs w:val="0"/>
          <w:caps w:val="0"/>
          <w:color w:val="000000" w:themeColor="text1"/>
          <w:spacing w:val="0"/>
          <w:sz w:val="24"/>
          <w:szCs w:val="24"/>
          <w:highlight w:val="none"/>
          <w:u w:val="none"/>
          <w14:textFill>
            <w14:solidFill>
              <w14:schemeClr w14:val="tx1"/>
            </w14:solidFill>
          </w14:textFill>
        </w:rPr>
        <w:t>月</w:t>
      </w:r>
      <w:r>
        <w:rPr>
          <w:rFonts w:hint="eastAsia" w:asciiTheme="minorEastAsia" w:hAnsiTheme="minorEastAsia" w:eastAsiaTheme="minorEastAsia" w:cstheme="minorEastAsia"/>
          <w:i w:val="0"/>
          <w:iCs w:val="0"/>
          <w:caps w:val="0"/>
          <w:color w:val="000000" w:themeColor="text1"/>
          <w:spacing w:val="0"/>
          <w:sz w:val="24"/>
          <w:szCs w:val="24"/>
          <w:highlight w:val="none"/>
          <w:u w:val="none"/>
          <w:lang w:val="en-US" w:eastAsia="zh-CN"/>
          <w14:textFill>
            <w14:solidFill>
              <w14:schemeClr w14:val="tx1"/>
            </w14:solidFill>
          </w14:textFill>
        </w:rPr>
        <w:t>08</w:t>
      </w:r>
      <w:r>
        <w:rPr>
          <w:rFonts w:hint="eastAsia" w:asciiTheme="minorEastAsia" w:hAnsiTheme="minorEastAsia" w:eastAsiaTheme="minorEastAsia" w:cstheme="minorEastAsia"/>
          <w:i w:val="0"/>
          <w:iCs w:val="0"/>
          <w:caps w:val="0"/>
          <w:color w:val="000000" w:themeColor="text1"/>
          <w:spacing w:val="0"/>
          <w:sz w:val="24"/>
          <w:szCs w:val="24"/>
          <w:highlight w:val="none"/>
          <w:u w:val="none"/>
          <w14:textFill>
            <w14:solidFill>
              <w14:schemeClr w14:val="tx1"/>
            </w14:solidFill>
          </w14:textFill>
        </w:rPr>
        <w:t>日</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点</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00</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分（北京时间）</w:t>
      </w:r>
    </w:p>
    <w:p w14:paraId="32B56311">
      <w:pPr>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地点：政采云平台（https://www.zcygov.cn/） </w:t>
      </w:r>
    </w:p>
    <w:p w14:paraId="0100317E">
      <w:pPr>
        <w:keepNext/>
        <w:keepLines/>
        <w:pageBreakBefore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555" w:name="_Toc28359093"/>
      <w:bookmarkStart w:id="556" w:name="_Toc28359016"/>
      <w:bookmarkStart w:id="557" w:name="_Toc35393802"/>
      <w:bookmarkStart w:id="558" w:name="_Toc35393633"/>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五、</w:t>
      </w:r>
      <w:bookmarkEnd w:id="555"/>
      <w:bookmarkEnd w:id="556"/>
      <w:bookmarkEnd w:id="557"/>
      <w:bookmarkEnd w:id="558"/>
      <w:bookmarkStart w:id="559" w:name="_Toc35393803"/>
      <w:bookmarkStart w:id="560" w:name="_Toc28359017"/>
      <w:bookmarkStart w:id="561" w:name="_Toc28359094"/>
      <w:bookmarkStart w:id="562" w:name="_Toc35393634"/>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公告期限</w:t>
      </w:r>
      <w:bookmarkEnd w:id="559"/>
      <w:bookmarkEnd w:id="560"/>
      <w:bookmarkEnd w:id="561"/>
      <w:bookmarkEnd w:id="562"/>
    </w:p>
    <w:p w14:paraId="3A3199FD">
      <w:pPr>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自本公告发布之日起3个工作日。</w:t>
      </w:r>
    </w:p>
    <w:p w14:paraId="3F3DA9D8">
      <w:pPr>
        <w:keepNext/>
        <w:keepLines/>
        <w:pageBreakBefore w:val="0"/>
        <w:numPr>
          <w:ilvl w:val="0"/>
          <w:numId w:val="2"/>
        </w:numPr>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其他补充事宜</w:t>
      </w:r>
    </w:p>
    <w:p w14:paraId="17FC3B41">
      <w:pPr>
        <w:keepNext/>
        <w:keepLines/>
        <w:pageBreakBefore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t>1、本项目实行网上投标，采用电子投标文件。</w:t>
      </w:r>
    </w:p>
    <w:p w14:paraId="35592CF1">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1F087656">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t>3、供应商将政采云电子交易客户端下载、安装完成后，可通过账号密码或CA登录客户端进行投标文件的制作。在使用政采云投标客户端时，建议使用WIN7及以上操作系统。</w:t>
      </w:r>
    </w:p>
    <w:p w14:paraId="1C3F3B6A">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Noto Sans SC" w:hAnsi="Noto Sans SC" w:eastAsia="Noto Sans SC" w:cs="Noto Sans SC"/>
          <w:i w:val="0"/>
          <w:iCs w:val="0"/>
          <w:caps w:val="0"/>
          <w:color w:val="000000" w:themeColor="text1"/>
          <w:spacing w:val="0"/>
          <w:sz w:val="27"/>
          <w:szCs w:val="27"/>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t>4、其他事项：</w:t>
      </w:r>
      <w:r>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 2.本项目实行网上投标，采用电子投标文件(供应商须使用CA加密设备通过政采云电子投标客户端制作投标文件)。若供应商参与投标，自行承担投标一切费用。 3.各供应商应在开标前应确保成为新疆政府采购网正式注册入库供应商，并完成CA数字证书申领。因未注册入库、未办理CA数字证书等原因造成无法投标或投标失败等后果由供应商自行承担。 4.供应商将政采云电子交易客户端下载、安装完成后，可通过账号密码或CA登录客户端进行投标文件制作。在使用政采云投标客户端时，建议使用 WIN7及以上操作系统。客户端请至新疆政府采购网400-881-7190进行咨询。 5.供应商在开标时须使用制作加密电子投标文件所使用的CA锁及电脑，电脑须提前配置好浏览器（建议使用谷歌浏览器），以便开标时解锁。 6.投标保证金缴纳及确认时间：凡拟参加本次招标项目的供应商，必须在开标前将投标保证金汇入指定账户。投标保证金汇款凭证上用途栏应注明:招标项目名称+投标保证金。否则，届时其投标将被拒绝。 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 </w:t>
      </w:r>
      <w:r>
        <w:rPr>
          <w:rFonts w:hint="eastAsia" w:ascii="仿宋" w:hAnsi="仿宋" w:eastAsia="仿宋" w:cs="仿宋"/>
          <w:i w:val="0"/>
          <w:iCs w:val="0"/>
          <w:caps w:val="0"/>
          <w:color w:val="000000" w:themeColor="text1"/>
          <w:spacing w:val="0"/>
          <w:sz w:val="27"/>
          <w:szCs w:val="27"/>
          <w:highlight w:val="none"/>
          <w14:textFill>
            <w14:solidFill>
              <w14:schemeClr w14:val="tx1"/>
            </w14:solidFill>
          </w14:textFill>
        </w:rPr>
        <w:t> </w:t>
      </w:r>
    </w:p>
    <w:p w14:paraId="342D6079">
      <w:pPr>
        <w:pStyle w:val="26"/>
        <w:pageBreakBefore w:val="0"/>
        <w:kinsoku/>
        <w:wordWrap/>
        <w:overflowPunct/>
        <w:topLinePunct w:val="0"/>
        <w:autoSpaceDE/>
        <w:autoSpaceDN/>
        <w:bidi w:val="0"/>
        <w:adjustRightInd/>
        <w:spacing w:line="440" w:lineRule="exact"/>
        <w:ind w:firstLine="241" w:firstLineChars="100"/>
        <w:textAlignment w:val="auto"/>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特别提示：</w:t>
      </w:r>
    </w:p>
    <w:p w14:paraId="46FE5D42">
      <w:pPr>
        <w:keepNext/>
        <w:keepLines/>
        <w:pageBreakBefore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pPr>
      <w:bookmarkStart w:id="563" w:name="_Toc35393804"/>
      <w:bookmarkStart w:id="564" w:name="_Toc35393635"/>
      <w:r>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t>1、采购限额标准以上，200万元以下的货物和服务采购项目、400万元以下的工程采购项目，适宜由中小企业提供的，采购人应当专门面向中小企业采购。</w:t>
      </w:r>
    </w:p>
    <w:p w14:paraId="071BFF78">
      <w:pPr>
        <w:keepNext/>
        <w:keepLines/>
        <w:pageBreakBefore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t>2、超过200万元的货物和服务采购项目，预留该部分采购项目预算总额的30%以上专门面向中小企业采购，其中预留给小微企业的比例不低于60%。</w:t>
      </w:r>
    </w:p>
    <w:p w14:paraId="689CB96C">
      <w:pPr>
        <w:keepNext/>
        <w:keepLines/>
        <w:pageBreakBefore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t>3、超过400万元的工程采购项目中适宜由中小企业提供的，预留该部分采购项目预算总额的40%以上专门面向中小企业采购，其中预留给小微企业的比例不低于60%。</w:t>
      </w:r>
    </w:p>
    <w:p w14:paraId="6456A65E">
      <w:pPr>
        <w:keepNext/>
        <w:keepLines/>
        <w:pageBreakBefore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51E4819">
      <w:pPr>
        <w:keepNext/>
        <w:keepLines/>
        <w:pageBreakBefore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A5FC866">
      <w:pPr>
        <w:pStyle w:val="26"/>
        <w:pageBreakBefore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七、</w:t>
      </w:r>
      <w:bookmarkEnd w:id="563"/>
      <w:bookmarkEnd w:id="564"/>
      <w:bookmarkStart w:id="565" w:name="_Toc28359018"/>
      <w:bookmarkStart w:id="566" w:name="_Toc35393805"/>
      <w:bookmarkStart w:id="567" w:name="_Toc35393636"/>
      <w:bookmarkStart w:id="568" w:name="_Toc28359095"/>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凡对本次采购提出询问，请按以下方式联系。</w:t>
      </w:r>
      <w:bookmarkEnd w:id="565"/>
      <w:bookmarkEnd w:id="566"/>
      <w:bookmarkEnd w:id="567"/>
      <w:bookmarkEnd w:id="568"/>
    </w:p>
    <w:p w14:paraId="3C03990E">
      <w:pPr>
        <w:pStyle w:val="31"/>
        <w:pageBreakBefore w:val="0"/>
        <w:widowControl/>
        <w:kinsoku/>
        <w:wordWrap/>
        <w:overflowPunct/>
        <w:topLinePunct w:val="0"/>
        <w:autoSpaceDE/>
        <w:autoSpaceDN/>
        <w:bidi w:val="0"/>
        <w:adjustRightInd/>
        <w:spacing w:before="75" w:beforeAutospacing="0" w:after="75" w:afterAutospacing="0" w:line="440" w:lineRule="exact"/>
        <w:ind w:firstLine="420"/>
        <w:textAlignment w:val="auto"/>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1.采购人信息</w:t>
      </w:r>
    </w:p>
    <w:p w14:paraId="5A87AD58">
      <w:pPr>
        <w:pStyle w:val="31"/>
        <w:pageBreakBefore w:val="0"/>
        <w:widowControl/>
        <w:kinsoku/>
        <w:wordWrap/>
        <w:overflowPunct/>
        <w:topLinePunct w:val="0"/>
        <w:bidi w:val="0"/>
        <w:spacing w:before="75" w:beforeAutospacing="0" w:after="75" w:afterAutospacing="0" w:line="440" w:lineRule="exact"/>
        <w:ind w:firstLine="420"/>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pPr>
      <w:bookmarkStart w:id="569" w:name="_Toc903"/>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1.采购人信息</w:t>
      </w:r>
    </w:p>
    <w:p w14:paraId="434ADE24">
      <w:pPr>
        <w:pStyle w:val="31"/>
        <w:pageBreakBefore w:val="0"/>
        <w:widowControl/>
        <w:kinsoku/>
        <w:wordWrap/>
        <w:overflowPunct/>
        <w:topLinePunct w:val="0"/>
        <w:bidi w:val="0"/>
        <w:spacing w:before="75" w:beforeAutospacing="0" w:after="75" w:afterAutospacing="0" w:line="440" w:lineRule="exact"/>
        <w:ind w:firstLine="420"/>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 xml:space="preserve">名 称：岳普湖县铁热木镇人民政府 </w:t>
      </w:r>
    </w:p>
    <w:p w14:paraId="412C8ED0">
      <w:pPr>
        <w:pStyle w:val="31"/>
        <w:pageBreakBefore w:val="0"/>
        <w:widowControl/>
        <w:kinsoku/>
        <w:wordWrap/>
        <w:overflowPunct/>
        <w:topLinePunct w:val="0"/>
        <w:bidi w:val="0"/>
        <w:spacing w:before="75" w:beforeAutospacing="0" w:after="75" w:afterAutospacing="0" w:line="440" w:lineRule="exact"/>
        <w:ind w:firstLine="420"/>
        <w:rPr>
          <w:rFonts w:hint="default"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联系人：顾宇</w:t>
      </w:r>
    </w:p>
    <w:p w14:paraId="78334688">
      <w:pPr>
        <w:pStyle w:val="31"/>
        <w:pageBreakBefore w:val="0"/>
        <w:widowControl/>
        <w:kinsoku/>
        <w:wordWrap/>
        <w:overflowPunct/>
        <w:topLinePunct w:val="0"/>
        <w:bidi w:val="0"/>
        <w:spacing w:before="75" w:beforeAutospacing="0" w:after="75" w:afterAutospacing="0" w:line="440" w:lineRule="exact"/>
        <w:ind w:firstLine="42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联系方式：</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15393669575</w:t>
      </w:r>
    </w:p>
    <w:p w14:paraId="3D7653D3">
      <w:pPr>
        <w:pStyle w:val="31"/>
        <w:pageBreakBefore w:val="0"/>
        <w:widowControl/>
        <w:kinsoku/>
        <w:wordWrap/>
        <w:overflowPunct/>
        <w:topLinePunct w:val="0"/>
        <w:bidi w:val="0"/>
        <w:spacing w:before="75" w:beforeAutospacing="0" w:after="75" w:afterAutospacing="0" w:line="440" w:lineRule="exact"/>
        <w:ind w:firstLine="420"/>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2.采购代理机构信息</w:t>
      </w:r>
    </w:p>
    <w:p w14:paraId="685946E8">
      <w:pPr>
        <w:pStyle w:val="31"/>
        <w:pageBreakBefore w:val="0"/>
        <w:widowControl/>
        <w:kinsoku/>
        <w:wordWrap/>
        <w:overflowPunct/>
        <w:topLinePunct w:val="0"/>
        <w:bidi w:val="0"/>
        <w:spacing w:before="75" w:beforeAutospacing="0" w:after="75" w:afterAutospacing="0" w:line="440" w:lineRule="exact"/>
        <w:ind w:firstLine="420"/>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名称：永信恒昌工程管理有限公司</w:t>
      </w:r>
    </w:p>
    <w:p w14:paraId="2C613448">
      <w:pPr>
        <w:pStyle w:val="31"/>
        <w:pageBreakBefore w:val="0"/>
        <w:widowControl/>
        <w:kinsoku/>
        <w:wordWrap/>
        <w:overflowPunct/>
        <w:topLinePunct w:val="0"/>
        <w:bidi w:val="0"/>
        <w:spacing w:before="75" w:beforeAutospacing="0" w:after="75" w:afterAutospacing="0" w:line="440" w:lineRule="exact"/>
        <w:ind w:left="239" w:leftChars="114" w:firstLine="240" w:firstLineChars="100"/>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地址：新疆维吾尔自治区喀什地区喀什市多来特巴格乡创新大道273号金泰综合商务楼4号楼1605</w:t>
      </w:r>
    </w:p>
    <w:p w14:paraId="49CFC765">
      <w:pPr>
        <w:pStyle w:val="31"/>
        <w:pageBreakBefore w:val="0"/>
        <w:widowControl/>
        <w:kinsoku/>
        <w:wordWrap/>
        <w:overflowPunct/>
        <w:topLinePunct w:val="0"/>
        <w:bidi w:val="0"/>
        <w:spacing w:before="75" w:beforeAutospacing="0" w:after="75" w:afterAutospacing="0" w:line="440" w:lineRule="exact"/>
        <w:ind w:firstLine="420"/>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项目联系人：王风茹</w:t>
      </w:r>
    </w:p>
    <w:p w14:paraId="378DE452">
      <w:pPr>
        <w:pStyle w:val="31"/>
        <w:pageBreakBefore w:val="0"/>
        <w:widowControl/>
        <w:kinsoku/>
        <w:wordWrap/>
        <w:overflowPunct/>
        <w:topLinePunct w:val="0"/>
        <w:bidi w:val="0"/>
        <w:spacing w:before="75" w:beforeAutospacing="0" w:after="75" w:afterAutospacing="0" w:line="440" w:lineRule="exact"/>
        <w:ind w:firstLine="420"/>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pPr>
      <w:bookmarkStart w:id="570" w:name="bookmark120"/>
      <w:bookmarkEnd w:id="570"/>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联系方式：18799518618</w:t>
      </w:r>
    </w:p>
    <w:p w14:paraId="754E9775">
      <w:pPr>
        <w:pStyle w:val="2"/>
        <w:tabs>
          <w:tab w:val="left" w:pos="0"/>
        </w:tabs>
        <w:snapToGrid w:val="0"/>
        <w:spacing w:before="0" w:after="0" w:line="240" w:lineRule="auto"/>
        <w:textAlignment w:val="baseline"/>
        <w:rPr>
          <w:rFonts w:hint="eastAsia" w:asciiTheme="minorEastAsia" w:hAnsiTheme="minorEastAsia" w:eastAsiaTheme="minorEastAsia" w:cstheme="minorEastAsia"/>
          <w:color w:val="000000" w:themeColor="text1"/>
          <w:szCs w:val="32"/>
          <w:highlight w:val="none"/>
          <w14:textFill>
            <w14:solidFill>
              <w14:schemeClr w14:val="tx1"/>
            </w14:solidFill>
          </w14:textFill>
        </w:rPr>
      </w:pPr>
    </w:p>
    <w:p w14:paraId="185EE55F">
      <w:pPr>
        <w:pStyle w:val="2"/>
        <w:tabs>
          <w:tab w:val="left" w:pos="0"/>
        </w:tabs>
        <w:snapToGrid w:val="0"/>
        <w:spacing w:before="0" w:after="0" w:line="240" w:lineRule="auto"/>
        <w:textAlignment w:val="baseline"/>
        <w:rPr>
          <w:rFonts w:hint="eastAsia" w:asciiTheme="minorEastAsia" w:hAnsiTheme="minorEastAsia" w:eastAsiaTheme="minorEastAsia" w:cstheme="minorEastAsia"/>
          <w:color w:val="000000" w:themeColor="text1"/>
          <w:szCs w:val="3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32"/>
          <w:highlight w:val="none"/>
          <w14:textFill>
            <w14:solidFill>
              <w14:schemeClr w14:val="tx1"/>
            </w14:solidFill>
          </w14:textFill>
        </w:rPr>
        <w:t>第4章  供应商须知资料表</w:t>
      </w:r>
      <w:bookmarkEnd w:id="535"/>
      <w:bookmarkEnd w:id="536"/>
      <w:bookmarkEnd w:id="537"/>
      <w:bookmarkEnd w:id="538"/>
      <w:bookmarkEnd w:id="539"/>
      <w:bookmarkEnd w:id="540"/>
      <w:bookmarkEnd w:id="569"/>
    </w:p>
    <w:p w14:paraId="65794FBC">
      <w:pPr>
        <w:snapToGrid w:val="0"/>
        <w:spacing w:line="240" w:lineRule="atLeast"/>
        <w:ind w:firstLine="360" w:firstLineChars="150"/>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本表是本采购项目的具体资料，是对供应商须知的具体补充和修改，如有矛盾，应以本资料表为准。</w:t>
      </w:r>
    </w:p>
    <w:tbl>
      <w:tblPr>
        <w:tblStyle w:val="37"/>
        <w:tblW w:w="95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70"/>
        <w:gridCol w:w="8140"/>
      </w:tblGrid>
      <w:tr w14:paraId="1A90AE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jc w:val="center"/>
        </w:trPr>
        <w:tc>
          <w:tcPr>
            <w:tcW w:w="1370" w:type="dxa"/>
            <w:vAlign w:val="center"/>
          </w:tcPr>
          <w:p w14:paraId="4D3F9A81">
            <w:pPr>
              <w:keepNext w:val="0"/>
              <w:keepLines w:val="0"/>
              <w:pageBreakBefore w:val="0"/>
              <w:kinsoku/>
              <w:wordWrap/>
              <w:overflowPunct/>
              <w:topLinePunct w:val="0"/>
              <w:bidi w:val="0"/>
              <w:snapToGrid w:val="0"/>
              <w:spacing w:line="480" w:lineRule="exact"/>
              <w:jc w:val="center"/>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条款号</w:t>
            </w:r>
          </w:p>
        </w:tc>
        <w:tc>
          <w:tcPr>
            <w:tcW w:w="8140" w:type="dxa"/>
            <w:vAlign w:val="center"/>
          </w:tcPr>
          <w:p w14:paraId="74D0A289">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内      容</w:t>
            </w:r>
          </w:p>
        </w:tc>
      </w:tr>
      <w:tr w14:paraId="3705D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6" w:hRule="atLeast"/>
          <w:jc w:val="center"/>
        </w:trPr>
        <w:tc>
          <w:tcPr>
            <w:tcW w:w="1370" w:type="dxa"/>
            <w:vAlign w:val="center"/>
          </w:tcPr>
          <w:p w14:paraId="62585B54">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w:t>
            </w:r>
          </w:p>
        </w:tc>
        <w:tc>
          <w:tcPr>
            <w:tcW w:w="8140" w:type="dxa"/>
            <w:vAlign w:val="center"/>
          </w:tcPr>
          <w:p w14:paraId="564E1637">
            <w:pPr>
              <w:pStyle w:val="31"/>
              <w:widowControl/>
              <w:spacing w:before="75" w:beforeAutospacing="0" w:after="75" w:afterAutospacing="0" w:line="400" w:lineRule="exact"/>
              <w:ind w:firstLine="420"/>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 xml:space="preserve">名 称： 岳普湖县岳普湖乡人民政府   </w:t>
            </w:r>
          </w:p>
          <w:p w14:paraId="10C51E47">
            <w:pPr>
              <w:pStyle w:val="31"/>
              <w:pageBreakBefore w:val="0"/>
              <w:widowControl/>
              <w:kinsoku/>
              <w:wordWrap/>
              <w:overflowPunct/>
              <w:topLinePunct w:val="0"/>
              <w:autoSpaceDE/>
              <w:autoSpaceDN/>
              <w:bidi w:val="0"/>
              <w:adjustRightInd/>
              <w:spacing w:before="75" w:beforeAutospacing="0" w:after="75" w:afterAutospacing="0" w:line="440" w:lineRule="exact"/>
              <w:ind w:firstLine="42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联系人：顾宇  联系方式：15393669575</w:t>
            </w:r>
          </w:p>
        </w:tc>
      </w:tr>
      <w:tr w14:paraId="6913AE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5011F7C6">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w:t>
            </w:r>
          </w:p>
        </w:tc>
        <w:tc>
          <w:tcPr>
            <w:tcW w:w="8140" w:type="dxa"/>
            <w:vAlign w:val="center"/>
          </w:tcPr>
          <w:p w14:paraId="0069388D">
            <w:pPr>
              <w:pStyle w:val="31"/>
              <w:pageBreakBefore w:val="0"/>
              <w:widowControl/>
              <w:kinsoku/>
              <w:wordWrap/>
              <w:overflowPunct/>
              <w:topLinePunct w:val="0"/>
              <w:bidi w:val="0"/>
              <w:spacing w:before="75" w:beforeAutospacing="0" w:after="75" w:afterAutospacing="0" w:line="440" w:lineRule="exact"/>
              <w:ind w:firstLine="420"/>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名称：</w:t>
            </w: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永信恒昌工程管理有限公司</w:t>
            </w:r>
          </w:p>
          <w:p w14:paraId="604E4BD7">
            <w:pPr>
              <w:pStyle w:val="31"/>
              <w:pageBreakBefore w:val="0"/>
              <w:widowControl/>
              <w:kinsoku/>
              <w:wordWrap/>
              <w:overflowPunct/>
              <w:topLinePunct w:val="0"/>
              <w:bidi w:val="0"/>
              <w:spacing w:before="75" w:beforeAutospacing="0" w:after="75" w:afterAutospacing="0" w:line="440" w:lineRule="exact"/>
              <w:ind w:firstLine="420"/>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地址：</w:t>
            </w: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新疆维吾尔自治区喀什地区喀什市多来特巴格乡创新大道273号金泰综合商务楼4号楼1605</w:t>
            </w:r>
          </w:p>
          <w:p w14:paraId="560935B3">
            <w:pPr>
              <w:pStyle w:val="31"/>
              <w:pageBreakBefore w:val="0"/>
              <w:widowControl/>
              <w:kinsoku/>
              <w:wordWrap/>
              <w:overflowPunct/>
              <w:topLinePunct w:val="0"/>
              <w:bidi w:val="0"/>
              <w:spacing w:before="75" w:beforeAutospacing="0" w:after="75" w:afterAutospacing="0" w:line="440" w:lineRule="exact"/>
              <w:ind w:firstLine="420"/>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项目联系人：</w:t>
            </w: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王风茹</w:t>
            </w:r>
          </w:p>
          <w:p w14:paraId="1060B722">
            <w:pPr>
              <w:pStyle w:val="31"/>
              <w:pageBreakBefore w:val="0"/>
              <w:widowControl/>
              <w:kinsoku/>
              <w:wordWrap/>
              <w:overflowPunct/>
              <w:topLinePunct w:val="0"/>
              <w:bidi w:val="0"/>
              <w:spacing w:before="75" w:beforeAutospacing="0" w:after="75" w:afterAutospacing="0" w:line="440" w:lineRule="exact"/>
              <w:ind w:firstLine="420"/>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联系方式：</w:t>
            </w: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18799518618</w:t>
            </w:r>
          </w:p>
        </w:tc>
      </w:tr>
      <w:tr w14:paraId="29B58E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1370" w:type="dxa"/>
            <w:vAlign w:val="center"/>
          </w:tcPr>
          <w:p w14:paraId="4F141650">
            <w:pPr>
              <w:keepNext w:val="0"/>
              <w:keepLines w:val="0"/>
              <w:pageBreakBefore w:val="0"/>
              <w:widowControl/>
              <w:kinsoku/>
              <w:wordWrap/>
              <w:overflowPunct/>
              <w:topLinePunct w:val="0"/>
              <w:bidi w:val="0"/>
              <w:snapToGrid w:val="0"/>
              <w:spacing w:line="480" w:lineRule="exact"/>
              <w:jc w:val="left"/>
              <w:textAlignment w:val="baseline"/>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1.3.4</w:t>
            </w:r>
          </w:p>
        </w:tc>
        <w:tc>
          <w:tcPr>
            <w:tcW w:w="8140" w:type="dxa"/>
            <w:vAlign w:val="center"/>
          </w:tcPr>
          <w:p w14:paraId="5BAEE604">
            <w:pPr>
              <w:keepNext w:val="0"/>
              <w:keepLines w:val="0"/>
              <w:pageBreakBefore w:val="0"/>
              <w:widowControl/>
              <w:kinsoku/>
              <w:wordWrap/>
              <w:overflowPunct/>
              <w:topLinePunct w:val="0"/>
              <w:bidi w:val="0"/>
              <w:snapToGrid w:val="0"/>
              <w:spacing w:line="480" w:lineRule="exact"/>
              <w:jc w:val="left"/>
              <w:textAlignment w:val="baseline"/>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合格供应商的其他资格要求：</w:t>
            </w:r>
          </w:p>
          <w:p w14:paraId="5B712665">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textAlignment w:val="auto"/>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t>1、满足《中华人民共和国政府采购法》第二十二条规定；</w:t>
            </w:r>
          </w:p>
          <w:p w14:paraId="58C9D82B">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t>①具有有效的营业执照</w:t>
            </w:r>
          </w:p>
          <w:p w14:paraId="4020488A">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t>②提供法定代表人资格证明及授权书、被授权人身份证；(法定代表人投标需提供法定代表人身份证)</w:t>
            </w:r>
          </w:p>
          <w:p w14:paraId="163B399F">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t>③本单位依法缴纳的近三个月内任意一个月的社会保险的凭据；</w:t>
            </w:r>
          </w:p>
          <w:p w14:paraId="2DD8CDEA">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t>④税务部门出具的近六个月任意一个月完税证明（依法免缴的应提供依法免缴的相关证明文件或零申报报表）；</w:t>
            </w:r>
          </w:p>
          <w:p w14:paraId="66639934">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t>⑤投标人须提供近两年内（以投标截止日为基准倒推计算）任意一个完整自然年度的财务审计报告。完整自然年度指自 1 月 1 日起至 12 月 31 日止的连续十二个月期间，（成立不满一年的可提供近三个月的银行资信证明）；</w:t>
            </w:r>
          </w:p>
          <w:p w14:paraId="628A96DE">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t>⑥参与政府采购活动前3年内未被列入失信、重大税收违法案件、财政部门禁止参加政府采购活动的承诺书；</w:t>
            </w:r>
          </w:p>
          <w:p w14:paraId="4DF40F68">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t>⑦提供针对本次项目的反商业贿赂承诺书;</w:t>
            </w:r>
          </w:p>
          <w:p w14:paraId="16523152">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t>⑧根据《财政部关于在政府采购活动中查询及使用信用记录有关问题的通知》（财库﹝2016﹞125号）的要求，凡拟参加本次招标项目的供应商，如在“信用中国”网站（https://www.creditchina.gov.cn/） 被列入失信被执行人、重大税收违法失信主体名单、中国政府采购（http://www.ccgp.gov.cn/search/cr/）政府采购严重违法失信行为记录名单（尚在处罚期内的），国家企业信用信息公示系统（https://www.gsxt.gov.cn/index.html）被列入经营异常名录、严重违法失信名单，将拒绝其参加本次招标活动（以招标代理机构或采购人查询为准)；</w:t>
            </w:r>
          </w:p>
          <w:p w14:paraId="77C38C3B">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t>⑨缴纳磋商保证金有效凭证；</w:t>
            </w:r>
          </w:p>
          <w:p w14:paraId="036593F9">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200" w:right="0" w:rightChars="0"/>
              <w:textAlignment w:val="auto"/>
              <w:rPr>
                <w:rFonts w:hint="eastAsia" w:asciiTheme="minorEastAsia" w:hAnsiTheme="minorEastAsia" w:eastAsiaTheme="minorEastAsia" w:cstheme="minorEastAsia"/>
                <w:b w:val="0"/>
                <w:bCs/>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t>⑩中小企业声明函；</w:t>
            </w:r>
          </w:p>
          <w:p w14:paraId="52536162">
            <w:pPr>
              <w:keepNext w:val="0"/>
              <w:keepLines w:val="0"/>
              <w:pageBreakBefore w:val="0"/>
              <w:widowControl/>
              <w:kinsoku/>
              <w:wordWrap/>
              <w:overflowPunct/>
              <w:topLinePunct w:val="0"/>
              <w:bidi w:val="0"/>
              <w:snapToGrid w:val="0"/>
              <w:spacing w:line="480" w:lineRule="exact"/>
              <w:jc w:val="left"/>
              <w:textAlignment w:val="baseline"/>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注：</w:t>
            </w:r>
          </w:p>
          <w:p w14:paraId="307A7973">
            <w:pPr>
              <w:keepNext w:val="0"/>
              <w:keepLines w:val="0"/>
              <w:pageBreakBefore w:val="0"/>
              <w:widowControl/>
              <w:kinsoku/>
              <w:wordWrap/>
              <w:overflowPunct/>
              <w:topLinePunct w:val="0"/>
              <w:bidi w:val="0"/>
              <w:snapToGrid w:val="0"/>
              <w:spacing w:line="480" w:lineRule="exact"/>
              <w:jc w:val="left"/>
              <w:textAlignment w:val="baseline"/>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1、完税证明中“税种”非养老保险、医疗保险、失业保险、工伤保险和生育保险。请各供应商注意！</w:t>
            </w:r>
          </w:p>
          <w:p w14:paraId="4AFE820C">
            <w:pPr>
              <w:keepNext w:val="0"/>
              <w:keepLines w:val="0"/>
              <w:pageBreakBefore w:val="0"/>
              <w:widowControl/>
              <w:kinsoku/>
              <w:wordWrap/>
              <w:overflowPunct/>
              <w:topLinePunct w:val="0"/>
              <w:bidi w:val="0"/>
              <w:snapToGrid w:val="0"/>
              <w:spacing w:line="480" w:lineRule="exact"/>
              <w:jc w:val="left"/>
              <w:textAlignment w:val="baseline"/>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2、未通过资格审查的供应商不进入评标；通过资格审查的供应商少于不足三家的，不得评标。</w:t>
            </w:r>
          </w:p>
          <w:p w14:paraId="5440B5C9">
            <w:pPr>
              <w:keepNext w:val="0"/>
              <w:keepLines w:val="0"/>
              <w:pageBreakBefore w:val="0"/>
              <w:widowControl/>
              <w:kinsoku/>
              <w:wordWrap/>
              <w:overflowPunct/>
              <w:topLinePunct w:val="0"/>
              <w:bidi w:val="0"/>
              <w:snapToGrid w:val="0"/>
              <w:spacing w:line="480" w:lineRule="exact"/>
              <w:jc w:val="left"/>
              <w:textAlignment w:val="baseline"/>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3、上述资质能够通过官方网络查证的，均视为合格供应商。</w:t>
            </w:r>
          </w:p>
        </w:tc>
      </w:tr>
      <w:tr w14:paraId="675B8F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41F53ABD">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1.3.5   </w:t>
            </w:r>
          </w:p>
        </w:tc>
        <w:tc>
          <w:tcPr>
            <w:tcW w:w="8140" w:type="dxa"/>
            <w:vAlign w:val="center"/>
          </w:tcPr>
          <w:p w14:paraId="2F18CCB3">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是否允许采购进口产品：</w:t>
            </w:r>
            <w:r>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t xml:space="preserve">  否  </w:t>
            </w:r>
          </w:p>
        </w:tc>
      </w:tr>
      <w:tr w14:paraId="73794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14250C3E">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1.3.6</w:t>
            </w:r>
          </w:p>
        </w:tc>
        <w:tc>
          <w:tcPr>
            <w:tcW w:w="8140" w:type="dxa"/>
            <w:vAlign w:val="center"/>
          </w:tcPr>
          <w:p w14:paraId="356DBAF4">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szCs w:val="24"/>
                <w:highlight w:val="none"/>
                <w14:textFill>
                  <w14:solidFill>
                    <w14:schemeClr w14:val="tx1"/>
                  </w14:solidFill>
                </w14:textFill>
              </w:rPr>
              <w:t>是否为专门面向中小企业采购：</w:t>
            </w:r>
            <w:r>
              <w:rPr>
                <w:rFonts w:hint="eastAsia" w:asciiTheme="minorEastAsia" w:hAnsiTheme="minorEastAsia" w:eastAsiaTheme="minorEastAsia" w:cstheme="minorEastAsia"/>
                <w:i w:val="0"/>
                <w:iCs w:val="0"/>
                <w:color w:val="000000" w:themeColor="text1"/>
                <w:sz w:val="24"/>
                <w:szCs w:val="24"/>
                <w:highlight w:val="none"/>
                <w:u w:val="single"/>
                <w:lang w:val="en-US" w:eastAsia="zh-CN"/>
                <w14:textFill>
                  <w14:solidFill>
                    <w14:schemeClr w14:val="tx1"/>
                  </w14:solidFill>
                </w14:textFill>
              </w:rPr>
              <w:t>是</w:t>
            </w:r>
            <w:r>
              <w:rPr>
                <w:rFonts w:hint="eastAsia" w:asciiTheme="minorEastAsia" w:hAnsiTheme="minorEastAsia" w:eastAsiaTheme="minorEastAsia" w:cstheme="minorEastAsia"/>
                <w:i w:val="0"/>
                <w:iCs w:val="0"/>
                <w:color w:val="000000" w:themeColor="text1"/>
                <w:sz w:val="24"/>
                <w:szCs w:val="24"/>
                <w:highlight w:val="none"/>
                <w14:textFill>
                  <w14:solidFill>
                    <w14:schemeClr w14:val="tx1"/>
                  </w14:solidFill>
                </w14:textFill>
              </w:rPr>
              <w:t>（是、否）</w:t>
            </w:r>
            <w:r>
              <w:rPr>
                <w:rFonts w:hint="eastAsia" w:asciiTheme="minorEastAsia" w:hAnsiTheme="minorEastAsia" w:eastAsiaTheme="minorEastAsia" w:cstheme="minorEastAsia"/>
                <w:b/>
                <w:bCs/>
                <w:i w:val="0"/>
                <w:iCs w:val="0"/>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注：潜在投标企业属于中小微企业的，应在响应文件中提供‘’中小企业声明函”如果未提供或提供“中小企业声明函”内容不实的，供应商将承担由此造成的一切不利后果。）</w:t>
            </w:r>
          </w:p>
        </w:tc>
      </w:tr>
      <w:tr w14:paraId="4EFB0C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5E26E5D1">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1.4</w:t>
            </w:r>
          </w:p>
        </w:tc>
        <w:tc>
          <w:tcPr>
            <w:tcW w:w="8140" w:type="dxa"/>
            <w:vAlign w:val="center"/>
          </w:tcPr>
          <w:p w14:paraId="14B2E5F7">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是否允许联合体磋商：</w:t>
            </w:r>
            <w:r>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t xml:space="preserve">   否   </w:t>
            </w:r>
          </w:p>
        </w:tc>
      </w:tr>
      <w:tr w14:paraId="038B6E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370" w:type="dxa"/>
            <w:vAlign w:val="center"/>
          </w:tcPr>
          <w:p w14:paraId="4EB0A208">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1.4.8</w:t>
            </w:r>
          </w:p>
        </w:tc>
        <w:tc>
          <w:tcPr>
            <w:tcW w:w="8140" w:type="dxa"/>
            <w:vAlign w:val="center"/>
          </w:tcPr>
          <w:p w14:paraId="50664010">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联合体的其他资格要求：无</w:t>
            </w:r>
          </w:p>
        </w:tc>
      </w:tr>
      <w:tr w14:paraId="20768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1370" w:type="dxa"/>
            <w:vAlign w:val="center"/>
          </w:tcPr>
          <w:p w14:paraId="413131D7">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2.2</w:t>
            </w:r>
          </w:p>
        </w:tc>
        <w:tc>
          <w:tcPr>
            <w:tcW w:w="8140" w:type="dxa"/>
            <w:vAlign w:val="center"/>
          </w:tcPr>
          <w:p w14:paraId="3BC4A336">
            <w:pPr>
              <w:pStyle w:val="7"/>
              <w:keepNext w:val="0"/>
              <w:keepLines w:val="0"/>
              <w:pageBreakBefore w:val="0"/>
              <w:kinsoku/>
              <w:wordWrap/>
              <w:overflowPunct/>
              <w:topLinePunct w:val="0"/>
              <w:bidi w:val="0"/>
              <w:snapToGrid w:val="0"/>
              <w:spacing w:line="480" w:lineRule="exact"/>
              <w:ind w:firstLine="0"/>
              <w:textAlignment w:val="baseline"/>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14:textFill>
                  <w14:solidFill>
                    <w14:schemeClr w14:val="tx1"/>
                  </w14:solidFill>
                </w14:textFill>
              </w:rPr>
              <w:t>预算金额：</w:t>
            </w:r>
            <w:r>
              <w:rPr>
                <w:rFonts w:hint="eastAsia" w:asciiTheme="minorEastAsia" w:hAnsiTheme="minorEastAsia" w:eastAsiaTheme="minorEastAsia" w:cstheme="minorEastAsia"/>
                <w:b/>
                <w:bCs/>
                <w:color w:val="000000" w:themeColor="text1"/>
                <w:kern w:val="2"/>
                <w:sz w:val="24"/>
                <w:szCs w:val="24"/>
                <w:highlight w:val="none"/>
                <w:lang w:val="en-US" w:eastAsia="zh-CN"/>
                <w14:textFill>
                  <w14:solidFill>
                    <w14:schemeClr w14:val="tx1"/>
                  </w14:solidFill>
                </w14:textFill>
              </w:rPr>
              <w:t>70万元</w:t>
            </w:r>
          </w:p>
        </w:tc>
      </w:tr>
      <w:tr w14:paraId="480311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7" w:hRule="atLeast"/>
          <w:jc w:val="center"/>
        </w:trPr>
        <w:tc>
          <w:tcPr>
            <w:tcW w:w="1370" w:type="dxa"/>
            <w:vAlign w:val="center"/>
          </w:tcPr>
          <w:p w14:paraId="19365B26">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12.1</w:t>
            </w:r>
          </w:p>
        </w:tc>
        <w:tc>
          <w:tcPr>
            <w:tcW w:w="8140" w:type="dxa"/>
            <w:vAlign w:val="center"/>
          </w:tcPr>
          <w:p w14:paraId="47061FD9">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磋商保证金形式：</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保函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电汇  ☑对公转账   </w:t>
            </w:r>
          </w:p>
          <w:p w14:paraId="10A9185C">
            <w:pPr>
              <w:keepNext w:val="0"/>
              <w:keepLines w:val="0"/>
              <w:pageBreakBefore w:val="0"/>
              <w:kinsoku/>
              <w:wordWrap/>
              <w:overflowPunct/>
              <w:topLinePunct w:val="0"/>
              <w:bidi w:val="0"/>
              <w:snapToGrid w:val="0"/>
              <w:spacing w:line="480" w:lineRule="exact"/>
              <w:textAlignment w:val="baseline"/>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磋商保证金金额：</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10000.00元（大写：壹万元整）</w:t>
            </w:r>
          </w:p>
          <w:p w14:paraId="0C8B3B35">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投标保证金收款账户：永信恒昌工程管理有限公司喀什地区分公司</w:t>
            </w:r>
          </w:p>
          <w:p w14:paraId="2455B090">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开 户 行：中国银行股份有限公司喀什市西城大道支行</w:t>
            </w:r>
          </w:p>
          <w:p w14:paraId="29FB6948">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账    号：108195004979</w:t>
            </w:r>
          </w:p>
          <w:p w14:paraId="3AF9F2A0">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行    号：104894001095</w:t>
            </w:r>
          </w:p>
          <w:p w14:paraId="6A65983F">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联 系 人：王凤茹</w:t>
            </w:r>
          </w:p>
          <w:p w14:paraId="0D2F207D">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联系方式：18799518618</w:t>
            </w:r>
          </w:p>
          <w:p w14:paraId="75E2E8DE">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1、电汇或转账时请在汇款备注栏：标项名称+投标保证金；如填写字数有要求可简写标项名称，由于未按要求注明信息而导致的一切后果由投标人自行承担。</w:t>
            </w:r>
          </w:p>
          <w:p w14:paraId="1754B027">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若采用电汇、转账、对公转账等形式，投标保证金须于投标截止前转入以上指定账户（资格审查以指定账户实际收到为准），投标保证金付款凭证（或收据）扫描件制作在投标文件中；若采用政采云电子保函形式：按照政采云电子投标流程制作并将电子保函制作在投标文件中；若采用银行保函或者金融机构、担保机构保函等形式，应将保函扫描件装订在本部分；扫描件上应加盖本单位公章；投标人未按照招标文件要求提交投标保证金的，投标无效。</w:t>
            </w:r>
          </w:p>
          <w:p w14:paraId="29EADE9D">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3.中标人应在与采购人签订合同之日起5个工作日内，保证金收受机构</w:t>
            </w:r>
            <w:bookmarkStart w:id="1033" w:name="_GoBack"/>
            <w:bookmarkEnd w:id="1033"/>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根据中标人提供的打款凭证及时办理投标保证金无息退还手续。</w:t>
            </w:r>
          </w:p>
          <w:p w14:paraId="34A021F4">
            <w:pPr>
              <w:keepNext w:val="0"/>
              <w:keepLines w:val="0"/>
              <w:pageBreakBefore w:val="0"/>
              <w:kinsoku/>
              <w:wordWrap/>
              <w:overflowPunct/>
              <w:topLinePunct w:val="0"/>
              <w:bidi w:val="0"/>
              <w:snapToGrid w:val="0"/>
              <w:spacing w:line="480" w:lineRule="exact"/>
              <w:textAlignment w:val="baseline"/>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4.未中标投标人的投标保证金将在中标通知书发出之日暨中标结果公告公布之日起5个工作日内退还，保证金收受机构根据未中标人提供的打款凭证及时办理退还投标保证金手续。</w:t>
            </w:r>
          </w:p>
        </w:tc>
      </w:tr>
      <w:tr w14:paraId="5EF9E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7ADCC63D">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13.1</w:t>
            </w:r>
          </w:p>
        </w:tc>
        <w:tc>
          <w:tcPr>
            <w:tcW w:w="8140" w:type="dxa"/>
            <w:vAlign w:val="center"/>
          </w:tcPr>
          <w:p w14:paraId="2370BAA7">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磋商有效期：</w:t>
            </w:r>
            <w:r>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t>　</w:t>
            </w:r>
            <w:r>
              <w:rPr>
                <w:rFonts w:hint="eastAsia" w:asciiTheme="minorEastAsia" w:hAnsiTheme="minorEastAsia" w:eastAsiaTheme="minorEastAsia" w:cstheme="minorEastAsia"/>
                <w:color w:val="000000" w:themeColor="text1"/>
                <w:sz w:val="24"/>
                <w:szCs w:val="24"/>
                <w:highlight w:val="none"/>
                <w:u w:val="single" w:color="000000"/>
                <w:lang w:val="en-US" w:eastAsia="zh-CN"/>
                <w14:textFill>
                  <w14:solidFill>
                    <w14:schemeClr w14:val="tx1"/>
                  </w14:solidFill>
                </w14:textFill>
              </w:rPr>
              <w:t>90</w:t>
            </w:r>
            <w:r>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t>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日历日</w:t>
            </w:r>
          </w:p>
        </w:tc>
      </w:tr>
      <w:tr w14:paraId="05C82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1370" w:type="dxa"/>
            <w:vAlign w:val="center"/>
          </w:tcPr>
          <w:p w14:paraId="4F8B1910">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14.1</w:t>
            </w:r>
          </w:p>
        </w:tc>
        <w:tc>
          <w:tcPr>
            <w:tcW w:w="8140" w:type="dxa"/>
            <w:vAlign w:val="center"/>
          </w:tcPr>
          <w:p w14:paraId="3A20B84F">
            <w:pPr>
              <w:pStyle w:val="7"/>
              <w:keepNext w:val="0"/>
              <w:keepLines w:val="0"/>
              <w:pageBreakBefore w:val="0"/>
              <w:widowControl w:val="0"/>
              <w:kinsoku/>
              <w:wordWrap/>
              <w:overflowPunct/>
              <w:topLinePunct w:val="0"/>
              <w:bidi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4D7E32B4">
            <w:pPr>
              <w:pStyle w:val="7"/>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（2）本项目实行网上投标响应，采用电子响应文件(供应商须使用CA加密设备通过政采云电子投标客户端制作响应文件)。若供应商参与投标，自行承担投标一切费用。</w:t>
            </w:r>
          </w:p>
          <w:p w14:paraId="76493CFA">
            <w:pPr>
              <w:pStyle w:val="7"/>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（3）各供应商应在开标前应确保成为新疆政府采购网正式注册入库供应商，并完成CA数字证书申领。因未注册入库、未办理CA数字证书等原因造成无法投标或投标失败等后果由供应商自行承担。</w:t>
            </w:r>
          </w:p>
          <w:p w14:paraId="0B6DADD9">
            <w:pPr>
              <w:pStyle w:val="7"/>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14:paraId="27D08B86">
            <w:pPr>
              <w:pStyle w:val="7"/>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（5）供应商在开标时须使用制作加密电子响应文件所使用的CA锁及电脑，电脑须提前配置好浏览器（建议使用谷歌浏览器），以便开标时解锁。</w:t>
            </w:r>
          </w:p>
          <w:p w14:paraId="3558CC6C">
            <w:pPr>
              <w:pStyle w:val="7"/>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（6）投标保证金缴纳及确认时间：凡拟参加本次招标项目的供应商，必须在开标前将投标保证金汇入指定账户。投标保证金汇款凭证上用途栏应注明:招标项目名称+投标保证金。否则，届时其投标将被拒绝。</w:t>
            </w:r>
          </w:p>
          <w:p w14:paraId="76FA45C9">
            <w:pPr>
              <w:pStyle w:val="7"/>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024D2260">
            <w:pPr>
              <w:pStyle w:val="7"/>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（8）各供应商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须在投标截止时间前完成在系统上递交电子</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的电子</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是经过CA证书加密后上传提交的，任何单位或个人均无法在投标截止时间(即开标时间)之前查看或篡改，不存在泄密风险。（严格按照政采云电子投标流程制作并上传电子</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3A556E5A">
            <w:pPr>
              <w:pStyle w:val="7"/>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各供应商在投标截止时间前将“响应文件”上传至政采云平台。响应文件包括“开标一览表表及资格证明文件”与“商务及技术文件”两部分合并成一册。响应文件应按照磋商文件规定的格式填写、签署和盖章，并以.jmbs格式上传至政采云开评标平台（响应文件为正本扫描件）。</w:t>
            </w:r>
          </w:p>
          <w:p w14:paraId="175065FD">
            <w:pPr>
              <w:pStyle w:val="7"/>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0" w:firstLineChars="0"/>
              <w:jc w:val="both"/>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（10）解密时长为30分钟，</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超出解密时长，作无效投标处理。</w:t>
            </w:r>
          </w:p>
        </w:tc>
      </w:tr>
      <w:tr w14:paraId="7F6276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1370" w:type="dxa"/>
            <w:vAlign w:val="center"/>
          </w:tcPr>
          <w:p w14:paraId="2852EEF6">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16.1</w:t>
            </w:r>
          </w:p>
        </w:tc>
        <w:tc>
          <w:tcPr>
            <w:tcW w:w="8140" w:type="dxa"/>
            <w:vAlign w:val="center"/>
          </w:tcPr>
          <w:p w14:paraId="4438384E">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响应文件递交截止时间</w:t>
            </w: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2026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05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08</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日</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点</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00</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分（北京时间）</w:t>
            </w:r>
          </w:p>
          <w:p w14:paraId="3B899283">
            <w:pPr>
              <w:pStyle w:val="7"/>
              <w:keepNext w:val="0"/>
              <w:keepLines w:val="0"/>
              <w:pageBreakBefore w:val="0"/>
              <w:kinsoku/>
              <w:wordWrap/>
              <w:overflowPunct/>
              <w:topLinePunct w:val="0"/>
              <w:bidi w:val="0"/>
              <w:spacing w:line="480" w:lineRule="exact"/>
              <w:ind w:left="0" w:leftChars="0" w:firstLine="0" w:firstLineChars="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响应文件递交地点：政采云平台（https://www.zcygov.cn/） </w:t>
            </w:r>
          </w:p>
        </w:tc>
      </w:tr>
      <w:tr w14:paraId="54414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16FD31DF">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18.1</w:t>
            </w:r>
          </w:p>
        </w:tc>
        <w:tc>
          <w:tcPr>
            <w:tcW w:w="8140" w:type="dxa"/>
            <w:vAlign w:val="center"/>
          </w:tcPr>
          <w:p w14:paraId="3B1ACEE6">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磋商开启时间：同响应文件递交截止时间</w:t>
            </w:r>
          </w:p>
          <w:p w14:paraId="728BD1D8">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磋商开启地点：政采云平台（https://www.zcygov.cn/） </w:t>
            </w:r>
          </w:p>
        </w:tc>
      </w:tr>
      <w:tr w14:paraId="5676E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1370" w:type="dxa"/>
            <w:vAlign w:val="center"/>
          </w:tcPr>
          <w:p w14:paraId="55F0BA2D">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23.2</w:t>
            </w:r>
          </w:p>
        </w:tc>
        <w:tc>
          <w:tcPr>
            <w:tcW w:w="8140" w:type="dxa"/>
            <w:vAlign w:val="center"/>
          </w:tcPr>
          <w:p w14:paraId="186219A0">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i/>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评审方法：</w:t>
            </w:r>
            <w:r>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t>　综合评分法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w:t>
            </w:r>
          </w:p>
        </w:tc>
      </w:tr>
      <w:tr w14:paraId="63898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1370" w:type="dxa"/>
            <w:vAlign w:val="center"/>
          </w:tcPr>
          <w:p w14:paraId="0E4973E6">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27</w:t>
            </w:r>
          </w:p>
        </w:tc>
        <w:tc>
          <w:tcPr>
            <w:tcW w:w="8140" w:type="dxa"/>
            <w:vAlign w:val="center"/>
          </w:tcPr>
          <w:p w14:paraId="4222A112">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推荐成交候选供应商的数量：</w:t>
            </w:r>
            <w:r>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t>　   3　　</w:t>
            </w:r>
          </w:p>
        </w:tc>
      </w:tr>
      <w:tr w14:paraId="2ACDB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70" w:type="dxa"/>
            <w:vAlign w:val="center"/>
          </w:tcPr>
          <w:p w14:paraId="3CA5C043">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27</w:t>
            </w:r>
          </w:p>
        </w:tc>
        <w:tc>
          <w:tcPr>
            <w:tcW w:w="8140" w:type="dxa"/>
            <w:vAlign w:val="center"/>
          </w:tcPr>
          <w:p w14:paraId="23370300">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采购人是否委托评审委员会直接确定成交人：</w:t>
            </w:r>
            <w:r>
              <w:rPr>
                <w:rFonts w:hint="eastAsia" w:asciiTheme="minorEastAsia" w:hAnsiTheme="minorEastAsia" w:eastAsiaTheme="minorEastAsia" w:cstheme="minorEastAsia"/>
                <w:color w:val="000000" w:themeColor="text1"/>
                <w:sz w:val="24"/>
                <w:szCs w:val="24"/>
                <w:highlight w:val="none"/>
                <w:u w:val="single" w:color="000000"/>
                <w:lang w:eastAsia="zh-CN"/>
                <w14:textFill>
                  <w14:solidFill>
                    <w14:schemeClr w14:val="tx1"/>
                  </w14:solidFill>
                </w14:textFill>
              </w:rPr>
              <w:t>否</w:t>
            </w:r>
          </w:p>
        </w:tc>
      </w:tr>
      <w:tr w14:paraId="66088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370" w:type="dxa"/>
            <w:vAlign w:val="center"/>
          </w:tcPr>
          <w:p w14:paraId="4D8E5538">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31</w:t>
            </w:r>
          </w:p>
        </w:tc>
        <w:tc>
          <w:tcPr>
            <w:tcW w:w="8140" w:type="dxa"/>
            <w:vAlign w:val="center"/>
          </w:tcPr>
          <w:p w14:paraId="4BE3744E">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000000" w:themeColor="text1"/>
                <w:sz w:val="24"/>
                <w:szCs w:val="24"/>
                <w:highlight w:val="none"/>
                <w:u w:val="single" w:color="000000"/>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履约保证金金额：合同总价的</w:t>
            </w:r>
            <w:r>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t>　</w:t>
            </w:r>
            <w:r>
              <w:rPr>
                <w:rFonts w:hint="eastAsia" w:asciiTheme="minorEastAsia" w:hAnsiTheme="minorEastAsia" w:eastAsiaTheme="minorEastAsia" w:cstheme="minorEastAsia"/>
                <w:color w:val="000000" w:themeColor="text1"/>
                <w:sz w:val="24"/>
                <w:szCs w:val="24"/>
                <w:highlight w:val="none"/>
                <w:u w:val="single" w:color="000000"/>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t>%　</w:t>
            </w:r>
            <w:r>
              <w:rPr>
                <w:rFonts w:hint="eastAsia" w:asciiTheme="minorEastAsia" w:hAnsiTheme="minorEastAsia" w:eastAsiaTheme="minorEastAsia" w:cstheme="minorEastAsia"/>
                <w:color w:val="000000" w:themeColor="text1"/>
                <w:sz w:val="24"/>
                <w:szCs w:val="24"/>
                <w:highlight w:val="none"/>
                <w:u w:val="single" w:color="000000"/>
                <w:lang w:eastAsia="zh-CN"/>
                <w14:textFill>
                  <w14:solidFill>
                    <w14:schemeClr w14:val="tx1"/>
                  </w14:solidFill>
                </w14:textFill>
              </w:rPr>
              <w:t>（具体以合同签订为准）</w:t>
            </w:r>
          </w:p>
          <w:p w14:paraId="56360C1A">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履约保证金形式：☑保函  ☑电汇  ☑对公转账 </w:t>
            </w:r>
          </w:p>
          <w:p w14:paraId="5D45E121">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000000" w:themeColor="text1"/>
                <w:sz w:val="24"/>
                <w:szCs w:val="24"/>
                <w:highlight w:val="none"/>
                <w:u w:val="single" w:color="00000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t>提交履约保证金的时间：签订合同</w:t>
            </w:r>
            <w:r>
              <w:rPr>
                <w:rFonts w:hint="eastAsia" w:asciiTheme="minorEastAsia" w:hAnsiTheme="minorEastAsia" w:eastAsiaTheme="minorEastAsia" w:cstheme="minorEastAsia"/>
                <w:color w:val="000000" w:themeColor="text1"/>
                <w:sz w:val="24"/>
                <w:szCs w:val="24"/>
                <w:highlight w:val="none"/>
                <w:u w:val="single" w:color="000000"/>
                <w:lang w:val="en-US" w:eastAsia="zh-CN"/>
                <w14:textFill>
                  <w14:solidFill>
                    <w14:schemeClr w14:val="tx1"/>
                  </w14:solidFill>
                </w14:textFill>
              </w:rPr>
              <w:t>后5个工作日</w:t>
            </w:r>
          </w:p>
          <w:p w14:paraId="5ED5AD68">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single" w:color="000000"/>
                <w:lang w:val="en-US" w:eastAsia="zh-CN"/>
                <w14:textFill>
                  <w14:solidFill>
                    <w14:schemeClr w14:val="tx1"/>
                  </w14:solidFill>
                </w14:textFill>
              </w:rPr>
              <w:t>退还时间：待项目验收合格无质量问题后退还。</w:t>
            </w:r>
          </w:p>
        </w:tc>
      </w:tr>
      <w:tr w14:paraId="219BA1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70" w:type="dxa"/>
            <w:vAlign w:val="center"/>
          </w:tcPr>
          <w:p w14:paraId="783C0586">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32</w:t>
            </w:r>
          </w:p>
        </w:tc>
        <w:tc>
          <w:tcPr>
            <w:tcW w:w="8140" w:type="dxa"/>
            <w:vAlign w:val="center"/>
          </w:tcPr>
          <w:p w14:paraId="3203D00F">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成交服务费：收费金额按照</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金额为标准计取，根据发改委价格[2015]299文件：本项目服务费按照差额定律累进计费方式计算收取。标准如下：</w:t>
            </w:r>
          </w:p>
          <w:p w14:paraId="2FAF2BB0">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金额100万元以下的部分,服务类采购费率1.50%,</w:t>
            </w:r>
          </w:p>
          <w:p w14:paraId="63767B3B">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金额100万元至500万元的部分,服务类采购费率0.8%,</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（成交供应商支付）</w:t>
            </w:r>
          </w:p>
          <w:p w14:paraId="0534E3E2">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支付形式：</w:t>
            </w:r>
            <w:r>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t xml:space="preserve"> 对公转账  </w:t>
            </w:r>
          </w:p>
          <w:p w14:paraId="02A5FC2F">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支付时间：</w:t>
            </w:r>
            <w:r>
              <w:rPr>
                <w:rFonts w:hint="eastAsia" w:asciiTheme="minorEastAsia" w:hAnsiTheme="minorEastAsia" w:eastAsiaTheme="minorEastAsia" w:cstheme="minorEastAsia"/>
                <w:color w:val="000000" w:themeColor="text1"/>
                <w:sz w:val="24"/>
                <w:szCs w:val="24"/>
                <w:highlight w:val="none"/>
                <w:u w:val="single" w:color="000000"/>
                <w14:textFill>
                  <w14:solidFill>
                    <w14:schemeClr w14:val="tx1"/>
                  </w14:solidFill>
                </w14:textFill>
              </w:rPr>
              <w:t xml:space="preserve"> 领取成交通知书时 </w:t>
            </w:r>
          </w:p>
        </w:tc>
      </w:tr>
      <w:tr w14:paraId="4800D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70" w:type="dxa"/>
            <w:vAlign w:val="center"/>
          </w:tcPr>
          <w:p w14:paraId="7E5E879C">
            <w:pPr>
              <w:keepNext w:val="0"/>
              <w:keepLines w:val="0"/>
              <w:pageBreakBefore w:val="0"/>
              <w:kinsoku/>
              <w:wordWrap/>
              <w:overflowPunct/>
              <w:topLinePunct w:val="0"/>
              <w:bidi w:val="0"/>
              <w:snapToGrid w:val="0"/>
              <w:spacing w:line="480" w:lineRule="exact"/>
              <w:ind w:left="1080" w:leftChars="257" w:hanging="540"/>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33.1</w:t>
            </w:r>
          </w:p>
        </w:tc>
        <w:tc>
          <w:tcPr>
            <w:tcW w:w="8140" w:type="dxa"/>
            <w:vAlign w:val="center"/>
          </w:tcPr>
          <w:p w14:paraId="5B26A0D3">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本项目是否属于信用担保试点范围：</w:t>
            </w:r>
            <w:r>
              <w:rPr>
                <w:rFonts w:hint="eastAsia" w:asciiTheme="minorEastAsia" w:hAnsiTheme="minorEastAsia" w:eastAsiaTheme="minorEastAsia" w:cstheme="minorEastAsia"/>
                <w:color w:val="000000" w:themeColor="text1"/>
                <w:sz w:val="24"/>
                <w:szCs w:val="24"/>
                <w:highlight w:val="none"/>
                <w:u w:val="single" w:color="000000"/>
                <w:lang w:val="en-US" w:eastAsia="zh-CN"/>
                <w14:textFill>
                  <w14:solidFill>
                    <w14:schemeClr w14:val="tx1"/>
                  </w14:solidFill>
                </w14:textFill>
              </w:rPr>
              <w:t>是</w:t>
            </w:r>
          </w:p>
        </w:tc>
      </w:tr>
      <w:tr w14:paraId="704C8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9510" w:type="dxa"/>
            <w:gridSpan w:val="2"/>
            <w:vAlign w:val="center"/>
          </w:tcPr>
          <w:p w14:paraId="758864E6">
            <w:pPr>
              <w:keepNext w:val="0"/>
              <w:keepLines w:val="0"/>
              <w:pageBreakBefore w:val="0"/>
              <w:kinsoku/>
              <w:wordWrap/>
              <w:overflowPunct/>
              <w:topLinePunct w:val="0"/>
              <w:bidi w:val="0"/>
              <w:snapToGrid w:val="0"/>
              <w:spacing w:line="480" w:lineRule="exact"/>
              <w:textAlignment w:val="baseline"/>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适用于本投标人须知的额外增加的变动：</w:t>
            </w:r>
          </w:p>
        </w:tc>
      </w:tr>
      <w:tr w14:paraId="4808B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70" w:type="dxa"/>
            <w:vAlign w:val="center"/>
          </w:tcPr>
          <w:p w14:paraId="04010859">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1</w:t>
            </w:r>
          </w:p>
        </w:tc>
        <w:tc>
          <w:tcPr>
            <w:tcW w:w="8140" w:type="dxa"/>
            <w:vAlign w:val="center"/>
          </w:tcPr>
          <w:p w14:paraId="038C4372">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本项目所属行业：</w:t>
            </w:r>
            <w:r>
              <w:rPr>
                <w:rFonts w:hint="eastAsia" w:asciiTheme="minorEastAsia" w:hAnsiTheme="minorEastAsia" w:eastAsiaTheme="minorEastAsia" w:cstheme="minorEastAsia"/>
                <w:b/>
                <w:bCs/>
                <w:i w:val="0"/>
                <w:iCs w:val="0"/>
                <w:color w:val="000000" w:themeColor="text1"/>
                <w:kern w:val="0"/>
                <w:sz w:val="24"/>
                <w:szCs w:val="24"/>
                <w:highlight w:val="none"/>
                <w:u w:val="single"/>
                <w14:textFill>
                  <w14:solidFill>
                    <w14:schemeClr w14:val="tx1"/>
                  </w14:solidFill>
                </w14:textFill>
              </w:rPr>
              <w:t>其他未列明行业</w:t>
            </w:r>
          </w:p>
        </w:tc>
      </w:tr>
      <w:tr w14:paraId="4F9D34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70" w:type="dxa"/>
            <w:vAlign w:val="center"/>
          </w:tcPr>
          <w:p w14:paraId="1C208D2F">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2</w:t>
            </w:r>
          </w:p>
        </w:tc>
        <w:tc>
          <w:tcPr>
            <w:tcW w:w="8140" w:type="dxa"/>
            <w:vAlign w:val="center"/>
          </w:tcPr>
          <w:p w14:paraId="7584E6BD">
            <w:pPr>
              <w:keepNext w:val="0"/>
              <w:keepLines w:val="0"/>
              <w:pageBreakBefore w:val="0"/>
              <w:kinsoku/>
              <w:wordWrap/>
              <w:overflowPunct/>
              <w:topLinePunct w:val="0"/>
              <w:bidi w:val="0"/>
              <w:spacing w:line="48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为保证本项目服务质量，最低报价不作为中标的唯一依据。</w:t>
            </w:r>
          </w:p>
        </w:tc>
      </w:tr>
      <w:tr w14:paraId="1237D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9510" w:type="dxa"/>
            <w:gridSpan w:val="2"/>
            <w:vAlign w:val="center"/>
          </w:tcPr>
          <w:p w14:paraId="0D2F1B79">
            <w:pPr>
              <w:keepNext w:val="0"/>
              <w:keepLines w:val="0"/>
              <w:pageBreakBefore w:val="0"/>
              <w:widowControl w:val="0"/>
              <w:kinsoku/>
              <w:wordWrap/>
              <w:overflowPunct/>
              <w:topLinePunct w:val="0"/>
              <w:bidi w:val="0"/>
              <w:snapToGrid/>
              <w:spacing w:line="480" w:lineRule="exac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注：供应商通过PS造假等手段提供虚假证明材料，隐瞒事实、虚假投标并中标（成交），验收过程中经过严格验收发现问题后，立即终止并反馈当地采购办要求列入黑名单，并承担造成的一切后果。 </w:t>
            </w:r>
          </w:p>
          <w:p w14:paraId="19DF2A36">
            <w:pPr>
              <w:keepNext w:val="0"/>
              <w:keepLines w:val="0"/>
              <w:pageBreakBefore w:val="0"/>
              <w:widowControl w:val="0"/>
              <w:kinsoku/>
              <w:wordWrap/>
              <w:overflowPunct/>
              <w:topLinePunct w:val="0"/>
              <w:bidi w:val="0"/>
              <w:snapToGrid/>
              <w:spacing w:line="480" w:lineRule="exac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供应商以他人名义投标或者以其他方式弄虚作假，骗取中标（成交）的，中标（成交）无效，给采购人造成损失的，依法承担赔偿责任；构成犯罪的，依法追究刑事责任。</w:t>
            </w:r>
          </w:p>
        </w:tc>
      </w:tr>
    </w:tbl>
    <w:p w14:paraId="6A856EED">
      <w:pPr>
        <w:pStyle w:val="36"/>
        <w:ind w:firstLine="0" w:firstLineChars="0"/>
        <w:rPr>
          <w:rFonts w:hint="eastAsia" w:asciiTheme="minorEastAsia" w:hAnsiTheme="minorEastAsia" w:eastAsiaTheme="minorEastAsia" w:cstheme="minorEastAsia"/>
          <w:b/>
          <w:bCs/>
          <w:color w:val="000000" w:themeColor="text1"/>
          <w:highlight w:val="none"/>
          <w14:textFill>
            <w14:solidFill>
              <w14:schemeClr w14:val="tx1"/>
            </w14:solidFill>
          </w14:textFill>
        </w:rPr>
        <w:sectPr>
          <w:headerReference r:id="rId5" w:type="default"/>
          <w:footerReference r:id="rId6" w:type="default"/>
          <w:pgSz w:w="11905" w:h="16838"/>
          <w:pgMar w:top="1440" w:right="1080" w:bottom="1440" w:left="1080" w:header="454" w:footer="992" w:gutter="0"/>
          <w:pgNumType w:fmt="decimal"/>
          <w:cols w:space="0" w:num="1"/>
          <w:docGrid w:linePitch="312" w:charSpace="0"/>
        </w:sectPr>
      </w:pPr>
    </w:p>
    <w:p w14:paraId="1C2805B1">
      <w:pPr>
        <w:pStyle w:val="2"/>
        <w:tabs>
          <w:tab w:val="left" w:pos="0"/>
        </w:tabs>
        <w:snapToGrid w:val="0"/>
        <w:spacing w:before="0" w:after="0" w:line="240" w:lineRule="atLeast"/>
        <w:jc w:val="center"/>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571" w:name="_Toc13137"/>
      <w:bookmarkStart w:id="572" w:name="_Toc218935355"/>
      <w:bookmarkStart w:id="573" w:name="_Toc219175639"/>
      <w:bookmarkStart w:id="574" w:name="_Toc216582826"/>
      <w:r>
        <w:rPr>
          <w:rFonts w:hint="eastAsia" w:asciiTheme="minorEastAsia" w:hAnsiTheme="minorEastAsia" w:eastAsiaTheme="minorEastAsia" w:cstheme="minorEastAsia"/>
          <w:color w:val="000000" w:themeColor="text1"/>
          <w:highlight w:val="none"/>
          <w14:textFill>
            <w14:solidFill>
              <w14:schemeClr w14:val="tx1"/>
            </w14:solidFill>
          </w14:textFill>
        </w:rPr>
        <w:t>第5章服务内容及项目需求</w:t>
      </w:r>
      <w:bookmarkEnd w:id="571"/>
    </w:p>
    <w:p w14:paraId="7EAFC59C">
      <w:pPr>
        <w:widowControl/>
        <w:kinsoku w:val="0"/>
        <w:autoSpaceDE w:val="0"/>
        <w:autoSpaceDN w:val="0"/>
        <w:adjustRightInd w:val="0"/>
        <w:snapToGrid w:val="0"/>
        <w:spacing w:before="205" w:beforeLines="0" w:afterLines="0" w:line="222" w:lineRule="auto"/>
        <w:ind w:left="644"/>
        <w:jc w:val="center"/>
        <w:textAlignment w:val="baseline"/>
        <w:outlineLvl w:val="2"/>
        <w:rPr>
          <w:rFonts w:hint="eastAsia" w:ascii="仿宋" w:hAnsi="仿宋" w:eastAsia="仿宋" w:cs="仿宋"/>
          <w:b/>
          <w:snapToGrid w:val="0"/>
          <w:color w:val="000000" w:themeColor="text1"/>
          <w:spacing w:val="-5"/>
          <w:kern w:val="0"/>
          <w:sz w:val="36"/>
          <w:szCs w:val="36"/>
          <w:highlight w:val="none"/>
          <w14:textFill>
            <w14:solidFill>
              <w14:schemeClr w14:val="tx1"/>
            </w14:solidFill>
          </w14:textFill>
        </w:rPr>
      </w:pPr>
    </w:p>
    <w:p w14:paraId="6C94B111">
      <w:pPr>
        <w:spacing w:beforeLines="0" w:afterLines="0"/>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第一部分、项目概况</w:t>
      </w:r>
    </w:p>
    <w:p w14:paraId="127186EE">
      <w:pPr>
        <w:keepNext w:val="0"/>
        <w:keepLines w:val="0"/>
        <w:pageBreakBefore w:val="0"/>
        <w:wordWrap/>
        <w:overflowPunct/>
        <w:topLinePunct w:val="0"/>
        <w:bidi w:val="0"/>
        <w:spacing w:beforeLines="0" w:afterLines="0" w:line="560" w:lineRule="exact"/>
        <w:ind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一、项目背景</w:t>
      </w:r>
    </w:p>
    <w:p w14:paraId="7DDF23E0">
      <w:pPr>
        <w:keepNext w:val="0"/>
        <w:keepLines w:val="0"/>
        <w:pageBreakBefore w:val="0"/>
        <w:wordWrap/>
        <w:overflowPunct/>
        <w:topLinePunct w:val="0"/>
        <w:bidi w:val="0"/>
        <w:spacing w:beforeLines="0" w:afterLines="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为深入贯彻落实新时代党的治疆方略，全面贯彻第九次全国对口支援新疆工作会议精神，铸牢中华民族共同体意识，扎实推进“文化润疆”工程。岳普湖县牢牢把握社会稳定和长治久安总目标，深入实施“文旅兴县”战略，推动“旅游+文化”“旅游+赛事”等业态深度融合，文旅产业已成为县域经济高质量发展的重要增长极。为进一步深化鲁喀协作成果，拓宽旅游客源市场，同时引导岳普湖县干部群众开阔视野、借鉴经验，持续提升县域旅游服务能力和发展质效，结合地区文旅发展部署，特制定本方案，重点推进“山东人游喀什”和“喀什人看发展”两大专项活动。</w:t>
      </w:r>
    </w:p>
    <w:p w14:paraId="0CFF88C6">
      <w:pPr>
        <w:keepNext w:val="0"/>
        <w:keepLines w:val="0"/>
        <w:pageBreakBefore w:val="0"/>
        <w:numPr>
          <w:ilvl w:val="0"/>
          <w:numId w:val="0"/>
        </w:numPr>
        <w:wordWrap/>
        <w:overflowPunct/>
        <w:topLinePunct w:val="0"/>
        <w:bidi w:val="0"/>
        <w:spacing w:beforeLines="0" w:afterLines="0" w:line="560" w:lineRule="exact"/>
        <w:ind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二、实施内容</w:t>
      </w:r>
    </w:p>
    <w:p w14:paraId="5142FB2A">
      <w:pPr>
        <w:keepNext w:val="0"/>
        <w:keepLines w:val="0"/>
        <w:pageBreakBefore w:val="0"/>
        <w:wordWrap/>
        <w:overflowPunct/>
        <w:topLinePunct w:val="0"/>
        <w:bidi w:val="0"/>
        <w:spacing w:beforeLines="0" w:afterLines="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开展“山东人游喀什”活动，通过旅游包机等形式，组织内地游客到喀旅游不少于300人次;开展“喀什人看发展”活动，组织400名岳普湖干部群众到喀什其他县区进行观摩学习。</w:t>
      </w:r>
    </w:p>
    <w:p w14:paraId="660AED17">
      <w:pPr>
        <w:keepNext w:val="0"/>
        <w:keepLines w:val="0"/>
        <w:pageBreakBefore w:val="0"/>
        <w:numPr>
          <w:ilvl w:val="0"/>
          <w:numId w:val="0"/>
        </w:numPr>
        <w:wordWrap/>
        <w:overflowPunct/>
        <w:topLinePunct w:val="0"/>
        <w:bidi w:val="0"/>
        <w:spacing w:beforeLines="0" w:afterLines="0" w:line="560" w:lineRule="exact"/>
        <w:ind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三、工作程序</w:t>
      </w:r>
    </w:p>
    <w:p w14:paraId="3FF2249C">
      <w:pPr>
        <w:keepNext w:val="0"/>
        <w:keepLines w:val="0"/>
        <w:pageBreakBefore w:val="0"/>
        <w:wordWrap/>
        <w:overflowPunct/>
        <w:topLinePunct w:val="0"/>
        <w:bidi w:val="0"/>
        <w:spacing w:beforeLines="0" w:afterLines="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根据项目开展需要，结合岳普湖县旅游资源禀赋（沙漠、胡杨、千年古树、民俗文化）及游客旅游偏好（文化体验、生态观光、休闲度假），开发“丝路风情+大漠生态”精品游路线1条，串联岳普湖核心景点与喀什市区经典景区，费用包括：路线设计、场地租赁、设备租赁、工作人员薪资、工作人员生活补贴及交通费用等。</w:t>
      </w:r>
    </w:p>
    <w:p w14:paraId="2D5D5405">
      <w:pPr>
        <w:keepNext w:val="0"/>
        <w:keepLines w:val="0"/>
        <w:pageBreakBefore w:val="0"/>
        <w:wordWrap/>
        <w:overflowPunct/>
        <w:topLinePunct w:val="0"/>
        <w:bidi w:val="0"/>
        <w:spacing w:beforeLines="0" w:afterLines="0" w:line="560" w:lineRule="exact"/>
        <w:ind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四、项目实施的必要性</w:t>
      </w:r>
    </w:p>
    <w:p w14:paraId="77DD299D">
      <w:pPr>
        <w:keepNext w:val="0"/>
        <w:keepLines w:val="0"/>
        <w:pageBreakBefore w:val="0"/>
        <w:wordWrap/>
        <w:overflowPunct/>
        <w:topLinePunct w:val="0"/>
        <w:bidi w:val="0"/>
        <w:spacing w:beforeLines="0" w:afterLines="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岳普湖县地处喀什地区核心旅游圈，拥有达瓦昆沙漠旅游风景区、千年柳树王、胡杨王等独特自然与人文旅游资源，是喀什地区“文旅兴县”战略的重要承载地。山东与喀什（鲁喀）深化东西部协作以来，已建立文旅大联盟、开通直航旅游包机及援疆旅游专列等协作基础，“百万山东人游喀什”活动成效显著。为进一步激活岳普湖县旅游资源价值，补齐旅游服务短板，加强鲁喀两地文旅产业深度协同，吸引更多旅行社带团入驻，促进县域旅游产业提质增效。</w:t>
      </w:r>
    </w:p>
    <w:p w14:paraId="50971294">
      <w:pPr>
        <w:keepNext w:val="0"/>
        <w:keepLines w:val="0"/>
        <w:pageBreakBefore w:val="0"/>
        <w:numPr>
          <w:ilvl w:val="0"/>
          <w:numId w:val="0"/>
        </w:numPr>
        <w:wordWrap/>
        <w:overflowPunct/>
        <w:topLinePunct w:val="0"/>
        <w:bidi w:val="0"/>
        <w:spacing w:beforeLines="0" w:afterLines="0" w:line="560" w:lineRule="exact"/>
        <w:ind w:left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五、社会效益</w:t>
      </w:r>
    </w:p>
    <w:p w14:paraId="6CBFD63D">
      <w:pPr>
        <w:keepNext w:val="0"/>
        <w:keepLines w:val="0"/>
        <w:pageBreakBefore w:val="0"/>
        <w:wordWrap/>
        <w:overflowPunct/>
        <w:topLinePunct w:val="0"/>
        <w:bidi w:val="0"/>
        <w:spacing w:beforeLines="0" w:afterLines="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通过项目实施，岳普湖县文旅知名度显著提升，旅游收入稳步增长；干部群众通过观摩学习，开阔发展视野，提升业务能力和创新意识，推动县域文旅产业、城市建设等工作提质增效；旅游接待设施不断完善，服务水平显著提升，游客满意度上涨；鲁喀协作进一步深化，区域交流合作机制更加健全，为岳普湖县经济高质量发展注入新动能。</w:t>
      </w:r>
    </w:p>
    <w:p w14:paraId="77A7E0A6">
      <w:pPr>
        <w:keepNext w:val="0"/>
        <w:keepLines w:val="0"/>
        <w:pageBreakBefore w:val="0"/>
        <w:wordWrap/>
        <w:overflowPunct/>
        <w:topLinePunct w:val="0"/>
        <w:bidi w:val="0"/>
        <w:spacing w:beforeLines="0" w:afterLines="0" w:line="560" w:lineRule="exact"/>
        <w:ind w:firstLine="562" w:firstLineChars="200"/>
        <w:jc w:val="center"/>
        <w:rPr>
          <w:rFonts w:hint="eastAsia" w:ascii="仿宋" w:hAnsi="仿宋" w:eastAsia="仿宋" w:cs="仿宋"/>
          <w:b/>
          <w:color w:val="000000" w:themeColor="text1"/>
          <w:sz w:val="28"/>
          <w:szCs w:val="28"/>
          <w:highlight w:val="none"/>
          <w14:textFill>
            <w14:solidFill>
              <w14:schemeClr w14:val="tx1"/>
            </w14:solidFill>
          </w14:textFill>
        </w:rPr>
      </w:pPr>
    </w:p>
    <w:p w14:paraId="73DABE8D">
      <w:pPr>
        <w:keepNext w:val="0"/>
        <w:keepLines w:val="0"/>
        <w:pageBreakBefore w:val="0"/>
        <w:wordWrap/>
        <w:overflowPunct/>
        <w:topLinePunct w:val="0"/>
        <w:bidi w:val="0"/>
        <w:spacing w:beforeLines="0" w:afterLines="0" w:line="560" w:lineRule="exact"/>
        <w:ind w:firstLine="562" w:firstLineChars="200"/>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第二部分采购需求及服务要求</w:t>
      </w:r>
    </w:p>
    <w:p w14:paraId="4B4C770C">
      <w:pPr>
        <w:keepNext w:val="0"/>
        <w:keepLines w:val="0"/>
        <w:pageBreakBefore w:val="0"/>
        <w:wordWrap/>
        <w:overflowPunct/>
        <w:topLinePunct w:val="0"/>
        <w:bidi w:val="0"/>
        <w:spacing w:beforeLines="0" w:afterLines="0" w:line="560" w:lineRule="exact"/>
        <w:rPr>
          <w:rFonts w:hint="eastAsia" w:ascii="仿宋" w:hAnsi="仿宋" w:eastAsia="仿宋" w:cs="仿宋"/>
          <w:color w:val="000000" w:themeColor="text1"/>
          <w:sz w:val="28"/>
          <w:szCs w:val="28"/>
          <w:highlight w:val="none"/>
          <w14:textFill>
            <w14:solidFill>
              <w14:schemeClr w14:val="tx1"/>
            </w14:solidFill>
          </w14:textFill>
        </w:rPr>
      </w:pPr>
    </w:p>
    <w:p w14:paraId="303DDB9E">
      <w:pPr>
        <w:keepNext w:val="0"/>
        <w:keepLines w:val="0"/>
        <w:pageBreakBefore w:val="0"/>
        <w:wordWrap/>
        <w:overflowPunct/>
        <w:topLinePunct w:val="0"/>
        <w:bidi w:val="0"/>
        <w:spacing w:beforeLines="0" w:afterLines="0" w:line="560" w:lineRule="exac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一、 采购内容及服务要求</w:t>
      </w:r>
    </w:p>
    <w:p w14:paraId="0339AE72">
      <w:pPr>
        <w:keepNext w:val="0"/>
        <w:keepLines w:val="0"/>
        <w:pageBreakBefore w:val="0"/>
        <w:wordWrap/>
        <w:overflowPunct/>
        <w:topLinePunct w:val="0"/>
        <w:bidi w:val="0"/>
        <w:spacing w:beforeLines="0" w:afterLines="0"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本次采购的服务内容包括两大专项活动的全程策划、产品设计、组织接待、落地执行及相关配套服务。供应商需组建专门团队，提供“交钥匙”式一体化服务。</w:t>
      </w:r>
    </w:p>
    <w:p w14:paraId="7F64E26B">
      <w:pPr>
        <w:keepNext w:val="0"/>
        <w:keepLines w:val="0"/>
        <w:pageBreakBefore w:val="0"/>
        <w:wordWrap/>
        <w:overflowPunct/>
        <w:topLinePunct w:val="0"/>
        <w:bidi w:val="0"/>
        <w:spacing w:beforeLines="0" w:afterLines="0" w:line="560" w:lineRule="exac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（一）“山东人游喀什”专项活动服务</w:t>
      </w:r>
    </w:p>
    <w:p w14:paraId="0BCC447C">
      <w:pPr>
        <w:keepNext w:val="0"/>
        <w:keepLines w:val="0"/>
        <w:pageBreakBefore w:val="0"/>
        <w:wordWrap/>
        <w:overflowPunct/>
        <w:topLinePunct w:val="0"/>
        <w:bidi w:val="0"/>
        <w:spacing w:beforeLines="0" w:afterLines="0"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服务内容：</w:t>
      </w:r>
      <w:r>
        <w:rPr>
          <w:rFonts w:hint="eastAsia" w:ascii="仿宋" w:hAnsi="仿宋" w:eastAsia="仿宋" w:cs="仿宋"/>
          <w:color w:val="000000" w:themeColor="text1"/>
          <w:sz w:val="28"/>
          <w:szCs w:val="28"/>
          <w:highlight w:val="none"/>
          <w14:textFill>
            <w14:solidFill>
              <w14:schemeClr w14:val="tx1"/>
            </w14:solidFill>
          </w14:textFill>
        </w:rPr>
        <w:t>策划并执行针对山东客源市场的旅游招徕、接待服务。</w:t>
      </w:r>
    </w:p>
    <w:p w14:paraId="593113B2">
      <w:pPr>
        <w:keepNext w:val="0"/>
        <w:keepLines w:val="0"/>
        <w:pageBreakBefore w:val="0"/>
        <w:wordWrap/>
        <w:overflowPunct/>
        <w:topLinePunct w:val="0"/>
        <w:bidi w:val="0"/>
        <w:spacing w:beforeLines="0" w:afterLines="0"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核心指标：</w:t>
      </w:r>
      <w:r>
        <w:rPr>
          <w:rFonts w:hint="eastAsia" w:ascii="仿宋" w:hAnsi="仿宋" w:eastAsia="仿宋" w:cs="仿宋"/>
          <w:color w:val="000000" w:themeColor="text1"/>
          <w:sz w:val="28"/>
          <w:szCs w:val="28"/>
          <w:highlight w:val="none"/>
          <w14:textFill>
            <w14:solidFill>
              <w14:schemeClr w14:val="tx1"/>
            </w14:solidFill>
          </w14:textFill>
        </w:rPr>
        <w:t>在服务期限内，通过旅游包机、专列或规模化组团形式，成功组织至少300名山东籍（或从山东出发的）游客，赴喀什地区（重点含岳普湖县）进行旅游。</w:t>
      </w:r>
    </w:p>
    <w:p w14:paraId="64E801C3">
      <w:pPr>
        <w:keepNext w:val="0"/>
        <w:keepLines w:val="0"/>
        <w:pageBreakBefore w:val="0"/>
        <w:wordWrap/>
        <w:overflowPunct/>
        <w:topLinePunct w:val="0"/>
        <w:bidi w:val="0"/>
        <w:spacing w:beforeLines="0" w:afterLines="0" w:line="560" w:lineRule="exact"/>
        <w:rPr>
          <w:rFonts w:hint="eastAsia"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服务要求：</w:t>
      </w:r>
    </w:p>
    <w:p w14:paraId="1D1F8249">
      <w:pPr>
        <w:keepNext w:val="0"/>
        <w:keepLines w:val="0"/>
        <w:pageBreakBefore w:val="0"/>
        <w:wordWrap/>
        <w:overflowPunct/>
        <w:topLinePunct w:val="0"/>
        <w:bidi w:val="0"/>
        <w:spacing w:beforeLines="0" w:afterLines="0"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产品策划：</w:t>
      </w:r>
      <w:r>
        <w:rPr>
          <w:rFonts w:hint="eastAsia" w:ascii="仿宋" w:hAnsi="仿宋" w:eastAsia="仿宋" w:cs="仿宋"/>
          <w:color w:val="000000" w:themeColor="text1"/>
          <w:sz w:val="28"/>
          <w:szCs w:val="28"/>
          <w:highlight w:val="none"/>
          <w14:textFill>
            <w14:solidFill>
              <w14:schemeClr w14:val="tx1"/>
            </w14:solidFill>
          </w14:textFill>
        </w:rPr>
        <w:t>围绕岳普湖县“沙漠、胡杨、千年古树、民俗文化”等核心资源，结合喀什市区经典景区，设计至少1条高品质的“丝路风情+大漠生态”精品旅游线路。线路需包含文化体验、生态观光、休闲度假等元素。</w:t>
      </w:r>
    </w:p>
    <w:p w14:paraId="2F77FFFD">
      <w:pPr>
        <w:keepNext w:val="0"/>
        <w:keepLines w:val="0"/>
        <w:pageBreakBefore w:val="0"/>
        <w:wordWrap/>
        <w:overflowPunct/>
        <w:topLinePunct w:val="0"/>
        <w:bidi w:val="0"/>
        <w:spacing w:beforeLines="0" w:afterLines="0"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组织实施：负责从山东客源地到喀什目的地的全程旅游组织，包括但不限于宣传招徕、客户咨询、行程安排、往返大交通（如包机协调）、当地交通、住宿、餐饮、景区门票、导游服务、旅游保险等。</w:t>
      </w:r>
    </w:p>
    <w:p w14:paraId="086FF0EF">
      <w:pPr>
        <w:keepNext w:val="0"/>
        <w:keepLines w:val="0"/>
        <w:pageBreakBefore w:val="0"/>
        <w:wordWrap/>
        <w:overflowPunct/>
        <w:topLinePunct w:val="0"/>
        <w:bidi w:val="0"/>
        <w:spacing w:beforeLines="0" w:afterLines="0"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质量保障：</w:t>
      </w:r>
      <w:r>
        <w:rPr>
          <w:rFonts w:hint="eastAsia" w:ascii="仿宋" w:hAnsi="仿宋" w:eastAsia="仿宋" w:cs="仿宋"/>
          <w:color w:val="000000" w:themeColor="text1"/>
          <w:sz w:val="28"/>
          <w:szCs w:val="28"/>
          <w:highlight w:val="none"/>
          <w14:textFill>
            <w14:solidFill>
              <w14:schemeClr w14:val="tx1"/>
            </w14:solidFill>
          </w14:textFill>
        </w:rPr>
        <w:t>确保接待服务质量，安排优秀导游讲解，保障游客安全与合法权益，处理旅游过程中的应急事务，确保游客满意度。</w:t>
      </w:r>
    </w:p>
    <w:p w14:paraId="2E52B53A">
      <w:pPr>
        <w:keepNext w:val="0"/>
        <w:keepLines w:val="0"/>
        <w:pageBreakBefore w:val="0"/>
        <w:wordWrap/>
        <w:overflowPunct/>
        <w:topLinePunct w:val="0"/>
        <w:bidi w:val="0"/>
        <w:spacing w:beforeLines="0" w:afterLines="0" w:line="560" w:lineRule="exac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（二）“喀什人看发展”专项活动服务</w:t>
      </w:r>
    </w:p>
    <w:p w14:paraId="38B66E03">
      <w:pPr>
        <w:keepNext w:val="0"/>
        <w:keepLines w:val="0"/>
        <w:pageBreakBefore w:val="0"/>
        <w:wordWrap/>
        <w:overflowPunct/>
        <w:topLinePunct w:val="0"/>
        <w:bidi w:val="0"/>
        <w:spacing w:beforeLines="0" w:afterLines="0"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服务内容：策划并执行面向岳普湖县干部群众的观摩学习活动。</w:t>
      </w:r>
    </w:p>
    <w:p w14:paraId="32FEB245">
      <w:pPr>
        <w:keepNext w:val="0"/>
        <w:keepLines w:val="0"/>
        <w:pageBreakBefore w:val="0"/>
        <w:wordWrap/>
        <w:overflowPunct/>
        <w:topLinePunct w:val="0"/>
        <w:bidi w:val="0"/>
        <w:spacing w:beforeLines="0" w:afterLines="0"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核心指标：在服务期限内，成功组织不少于400名岳普湖县干部群众，分批次赴喀什地区其他县市进行观摩学习交流。</w:t>
      </w:r>
    </w:p>
    <w:p w14:paraId="6AAEE68D">
      <w:pPr>
        <w:keepNext w:val="0"/>
        <w:keepLines w:val="0"/>
        <w:pageBreakBefore w:val="0"/>
        <w:wordWrap/>
        <w:overflowPunct/>
        <w:topLinePunct w:val="0"/>
        <w:bidi w:val="0"/>
        <w:spacing w:beforeLines="0" w:afterLines="0"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服务要求：</w:t>
      </w:r>
    </w:p>
    <w:p w14:paraId="4E8E091C">
      <w:pPr>
        <w:keepNext w:val="0"/>
        <w:keepLines w:val="0"/>
        <w:pageBreakBefore w:val="0"/>
        <w:wordWrap/>
        <w:overflowPunct/>
        <w:topLinePunct w:val="0"/>
        <w:bidi w:val="0"/>
        <w:spacing w:beforeLines="0" w:afterLines="0"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路线规划：精选喀什地区内在文旅产业发展、城市建设、乡村振兴、景区管理、服务业提升等方面具有先进经验和突出成效的县市、点位，设计具有针对性的观摩学习路线。</w:t>
      </w:r>
    </w:p>
    <w:p w14:paraId="3BD02549">
      <w:pPr>
        <w:keepNext w:val="0"/>
        <w:keepLines w:val="0"/>
        <w:pageBreakBefore w:val="0"/>
        <w:wordWrap/>
        <w:overflowPunct/>
        <w:topLinePunct w:val="0"/>
        <w:bidi w:val="0"/>
        <w:spacing w:beforeLines="0" w:afterLines="0"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全程服务：负责整个观摩学习活动的全过程组织与执行，包括但不限于：制定详细日程、预订交通车辆、安排住宿餐饮、联系对接观摩点、组织座谈交流、准备学习资料、配备随行工作人员、保障人员安全等。</w:t>
      </w:r>
    </w:p>
    <w:p w14:paraId="7BE0EF8A">
      <w:pPr>
        <w:keepNext w:val="0"/>
        <w:keepLines w:val="0"/>
        <w:pageBreakBefore w:val="0"/>
        <w:wordWrap/>
        <w:overflowPunct/>
        <w:topLinePunct w:val="0"/>
        <w:bidi w:val="0"/>
        <w:spacing w:beforeLines="0" w:afterLines="0"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效果达成：确保活动组织有序，学习点具有代表性，交流环节深入有效，达成开阔视野、借鉴经验、提升能力的目的。</w:t>
      </w:r>
    </w:p>
    <w:p w14:paraId="2EE6D2CF">
      <w:pPr>
        <w:keepNext w:val="0"/>
        <w:keepLines w:val="0"/>
        <w:pageBreakBefore w:val="0"/>
        <w:wordWrap/>
        <w:overflowPunct/>
        <w:topLinePunct w:val="0"/>
        <w:bidi w:val="0"/>
        <w:spacing w:beforeLines="0" w:afterLines="0" w:line="560" w:lineRule="exac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（三）通用服务要求</w:t>
      </w:r>
    </w:p>
    <w:p w14:paraId="03431414">
      <w:pPr>
        <w:keepNext w:val="0"/>
        <w:keepLines w:val="0"/>
        <w:pageBreakBefore w:val="0"/>
        <w:wordWrap/>
        <w:overflowPunct/>
        <w:topLinePunct w:val="0"/>
        <w:bidi w:val="0"/>
        <w:spacing w:beforeLines="0" w:afterLines="0"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策划与设计：提供整体项目实施方案细化版，包括两大活动的详细执行计划、应急预案、宣传方案等。</w:t>
      </w:r>
    </w:p>
    <w:p w14:paraId="6EF987E6">
      <w:pPr>
        <w:keepNext w:val="0"/>
        <w:keepLines w:val="0"/>
        <w:pageBreakBefore w:val="0"/>
        <w:wordWrap/>
        <w:overflowPunct/>
        <w:topLinePunct w:val="0"/>
        <w:bidi w:val="0"/>
        <w:spacing w:beforeLines="0" w:afterLines="0"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人员配备：项目团队需配备具有丰富旅游运营、活动策划、接待服务经验的专业人员，并提供人员名单。</w:t>
      </w:r>
    </w:p>
    <w:p w14:paraId="62A59879">
      <w:pPr>
        <w:keepNext w:val="0"/>
        <w:keepLines w:val="0"/>
        <w:pageBreakBefore w:val="0"/>
        <w:wordWrap/>
        <w:overflowPunct/>
        <w:topLinePunct w:val="0"/>
        <w:bidi w:val="0"/>
        <w:spacing w:beforeLines="0" w:afterLines="0"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费用涵盖：服务报价应涵盖为完成本项目所必需的全部费用，主要包括：旅游线路设计费、活动组织策划费、大交通协调与费用（“山东人游喀什”部分）、当地交通租赁费、住宿费、餐饮费、场地租赁费（如需）、设备租赁费（如需）、观摩点对接协调费、工作人员劳务与补贴、保险、应急物资、管理费、合理利润及税金等。报价为全包价。</w:t>
      </w:r>
    </w:p>
    <w:p w14:paraId="72602212">
      <w:pPr>
        <w:keepNext w:val="0"/>
        <w:keepLines w:val="0"/>
        <w:pageBreakBefore w:val="0"/>
        <w:wordWrap/>
        <w:overflowPunct/>
        <w:topLinePunct w:val="0"/>
        <w:bidi w:val="0"/>
        <w:spacing w:beforeLines="0" w:afterLines="0"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安全责任：供应商必须为所有参与活动的游客、干部群众及工作人员购买相应的人身意外伤害保险。制定详尽的安全管理预案，对活动全过程安全负主体责任。</w:t>
      </w:r>
    </w:p>
    <w:p w14:paraId="04369E79">
      <w:pPr>
        <w:keepNext w:val="0"/>
        <w:keepLines w:val="0"/>
        <w:pageBreakBefore w:val="0"/>
        <w:wordWrap/>
        <w:overflowPunct/>
        <w:topLinePunct w:val="0"/>
        <w:bidi w:val="0"/>
        <w:spacing w:beforeLines="0" w:afterLines="0"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宣传与总结：配合采购人进行项目宣传，活动结束后提供完整的项目执行报告、影像资料、财务决算报告及效益评估分析。</w:t>
      </w:r>
    </w:p>
    <w:p w14:paraId="19910E12">
      <w:pPr>
        <w:keepNext w:val="0"/>
        <w:keepLines w:val="0"/>
        <w:pageBreakBefore w:val="0"/>
        <w:wordWrap/>
        <w:overflowPunct/>
        <w:topLinePunct w:val="0"/>
        <w:bidi w:val="0"/>
        <w:spacing w:beforeLines="0" w:afterLines="0" w:line="560" w:lineRule="exac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（四） 服务成果交付</w:t>
      </w:r>
    </w:p>
    <w:p w14:paraId="6A9B6CC9">
      <w:pPr>
        <w:keepNext w:val="0"/>
        <w:keepLines w:val="0"/>
        <w:pageBreakBefore w:val="0"/>
        <w:wordWrap/>
        <w:overflowPunct/>
        <w:topLinePunct w:val="0"/>
        <w:bidi w:val="0"/>
        <w:spacing w:beforeLines="0" w:afterLines="0"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《“山东人游喀什”活动专项执行方案》及《“喀什人看发展”活动专项执行方案》。</w:t>
      </w:r>
    </w:p>
    <w:p w14:paraId="7C6CE604">
      <w:pPr>
        <w:keepNext w:val="0"/>
        <w:keepLines w:val="0"/>
        <w:pageBreakBefore w:val="0"/>
        <w:wordWrap/>
        <w:overflowPunct/>
        <w:topLinePunct w:val="0"/>
        <w:bidi w:val="0"/>
        <w:spacing w:beforeLines="0" w:afterLines="0"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两大活动的全程高质量落地执行，确保达成300人次和400人次的硬性指标。</w:t>
      </w:r>
    </w:p>
    <w:p w14:paraId="4C176F62">
      <w:pPr>
        <w:keepNext w:val="0"/>
        <w:keepLines w:val="0"/>
        <w:pageBreakBefore w:val="0"/>
        <w:wordWrap/>
        <w:overflowPunct/>
        <w:topLinePunct w:val="0"/>
        <w:bidi w:val="0"/>
        <w:spacing w:beforeLines="0" w:afterLines="0"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活动过程中的影像记录资料（高清照片、短视频等）。</w:t>
      </w:r>
    </w:p>
    <w:p w14:paraId="367F97BA">
      <w:pPr>
        <w:keepNext w:val="0"/>
        <w:keepLines w:val="0"/>
        <w:pageBreakBefore w:val="0"/>
        <w:wordWrap/>
        <w:overflowPunct/>
        <w:topLinePunct w:val="0"/>
        <w:bidi w:val="0"/>
        <w:spacing w:beforeLines="0" w:afterLines="0"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《岳普湖县旅游服务能力提升项目总结评估报告》。</w:t>
      </w:r>
    </w:p>
    <w:p w14:paraId="292826E0">
      <w:pPr>
        <w:keepNext w:val="0"/>
        <w:keepLines w:val="0"/>
        <w:pageBreakBefore w:val="0"/>
        <w:numPr>
          <w:ilvl w:val="0"/>
          <w:numId w:val="3"/>
        </w:numPr>
        <w:wordWrap/>
        <w:overflowPunct/>
        <w:topLinePunct w:val="0"/>
        <w:bidi w:val="0"/>
        <w:spacing w:beforeLines="0" w:afterLines="0" w:line="560" w:lineRule="exac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其他要求</w:t>
      </w:r>
    </w:p>
    <w:p w14:paraId="79569338">
      <w:pPr>
        <w:keepNext w:val="0"/>
        <w:keepLines w:val="0"/>
        <w:pageBreakBefore w:val="0"/>
        <w:wordWrap/>
        <w:overflowPunct/>
        <w:topLinePunct w:val="0"/>
        <w:bidi w:val="0"/>
        <w:spacing w:beforeLines="0" w:afterLines="0"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付款方式：合同签订后支付合同总额的30%作为预付款；活动执行过半且经采购人确认后支付40%；项目验收合格并提交完整成果后支付剩余30%。”</w:t>
      </w:r>
    </w:p>
    <w:p w14:paraId="36C6272B">
      <w:pPr>
        <w:keepNext w:val="0"/>
        <w:keepLines w:val="0"/>
        <w:pageBreakBefore w:val="0"/>
        <w:wordWrap/>
        <w:overflowPunct/>
        <w:topLinePunct w:val="0"/>
        <w:bidi w:val="0"/>
        <w:spacing w:beforeLines="0" w:afterLines="0"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服务期限：自合同签订之日起至2026年12月31日。</w:t>
      </w:r>
    </w:p>
    <w:p w14:paraId="69B70D97">
      <w:pPr>
        <w:keepNext w:val="0"/>
        <w:keepLines w:val="0"/>
        <w:pageBreakBefore w:val="0"/>
        <w:wordWrap/>
        <w:overflowPunct/>
        <w:topLinePunct w:val="0"/>
        <w:bidi w:val="0"/>
        <w:spacing w:beforeLines="0" w:afterLines="0"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服务地点：本项目服务地点覆盖山东省（客源地）、新疆维吾尔自治区喀什地区岳普湖县（核心实施地）及喀什地区其他相关县市（观摩地）。</w:t>
      </w:r>
    </w:p>
    <w:p w14:paraId="16935FB4">
      <w:pPr>
        <w:keepNext w:val="0"/>
        <w:keepLines w:val="0"/>
        <w:pageBreakBefore w:val="0"/>
        <w:widowControl/>
        <w:kinsoku w:val="0"/>
        <w:wordWrap/>
        <w:overflowPunct/>
        <w:topLinePunct w:val="0"/>
        <w:autoSpaceDE w:val="0"/>
        <w:autoSpaceDN w:val="0"/>
        <w:bidi w:val="0"/>
        <w:snapToGrid w:val="0"/>
        <w:spacing w:beforeLines="0" w:afterLines="0" w:line="560" w:lineRule="exact"/>
        <w:ind w:right="118"/>
        <w:textAlignment w:val="baseline"/>
        <w:rPr>
          <w:rFonts w:hint="eastAsia" w:ascii="仿宋" w:hAnsi="仿宋" w:eastAsia="仿宋" w:cs="仿宋"/>
          <w:snapToGrid w:val="0"/>
          <w:color w:val="000000" w:themeColor="text1"/>
          <w:spacing w:val="8"/>
          <w:kern w:val="0"/>
          <w:sz w:val="28"/>
          <w:szCs w:val="28"/>
          <w:highlight w:val="none"/>
          <w:lang w:val="en-US" w:eastAsia="zh-CN"/>
          <w14:textFill>
            <w14:solidFill>
              <w14:schemeClr w14:val="tx1"/>
            </w14:solidFill>
          </w14:textFill>
        </w:rPr>
      </w:pPr>
      <w:r>
        <w:rPr>
          <w:rFonts w:hint="eastAsia" w:ascii="仿宋" w:hAnsi="仿宋" w:eastAsia="仿宋" w:cs="仿宋"/>
          <w:snapToGrid w:val="0"/>
          <w:color w:val="000000" w:themeColor="text1"/>
          <w:spacing w:val="8"/>
          <w:kern w:val="0"/>
          <w:sz w:val="28"/>
          <w:szCs w:val="28"/>
          <w:highlight w:val="none"/>
          <w:lang w:val="en-US" w:eastAsia="zh-CN"/>
          <w14:textFill>
            <w14:solidFill>
              <w14:schemeClr w14:val="tx1"/>
            </w14:solidFill>
          </w14:textFill>
        </w:rPr>
        <w:t>本项目不允许转包和违法分包。</w:t>
      </w:r>
      <w:bookmarkStart w:id="575" w:name="bookmark124"/>
      <w:bookmarkEnd w:id="575"/>
    </w:p>
    <w:p w14:paraId="5F282C9C">
      <w:pPr>
        <w:keepNext w:val="0"/>
        <w:keepLines w:val="0"/>
        <w:pageBreakBefore w:val="0"/>
        <w:widowControl/>
        <w:kinsoku w:val="0"/>
        <w:wordWrap/>
        <w:overflowPunct/>
        <w:topLinePunct w:val="0"/>
        <w:autoSpaceDE w:val="0"/>
        <w:autoSpaceDN w:val="0"/>
        <w:bidi w:val="0"/>
        <w:snapToGrid w:val="0"/>
        <w:spacing w:beforeLines="0" w:afterLines="0" w:line="560" w:lineRule="exact"/>
        <w:ind w:right="118"/>
        <w:textAlignment w:val="baseline"/>
        <w:rPr>
          <w:rFonts w:hint="eastAsia" w:ascii="仿宋" w:hAnsi="仿宋" w:eastAsia="仿宋" w:cs="仿宋"/>
          <w:snapToGrid w:val="0"/>
          <w:color w:val="000000" w:themeColor="text1"/>
          <w:spacing w:val="8"/>
          <w:kern w:val="0"/>
          <w:sz w:val="28"/>
          <w:szCs w:val="28"/>
          <w:highlight w:val="none"/>
          <w:lang w:val="en-US" w:eastAsia="zh-CN"/>
          <w14:textFill>
            <w14:solidFill>
              <w14:schemeClr w14:val="tx1"/>
            </w14:solidFill>
          </w14:textFill>
        </w:rPr>
      </w:pPr>
      <w:r>
        <w:rPr>
          <w:rFonts w:hint="eastAsia" w:ascii="仿宋" w:hAnsi="仿宋" w:eastAsia="仿宋" w:cs="仿宋"/>
          <w:snapToGrid w:val="0"/>
          <w:color w:val="000000" w:themeColor="text1"/>
          <w:spacing w:val="8"/>
          <w:kern w:val="0"/>
          <w:sz w:val="28"/>
          <w:szCs w:val="28"/>
          <w:highlight w:val="none"/>
          <w:lang w:val="en-US" w:eastAsia="zh-CN"/>
          <w14:textFill>
            <w14:solidFill>
              <w14:schemeClr w14:val="tx1"/>
            </w14:solidFill>
          </w14:textFill>
        </w:rPr>
        <w:t>其他未尽事宜由供需双方在采购合同中详细约定。</w:t>
      </w:r>
    </w:p>
    <w:p w14:paraId="5F6942B3">
      <w:pPr>
        <w:keepNext w:val="0"/>
        <w:keepLines w:val="0"/>
        <w:pageBreakBefore w:val="0"/>
        <w:kinsoku/>
        <w:wordWrap/>
        <w:overflowPunct/>
        <w:topLinePunct w:val="0"/>
        <w:autoSpaceDE/>
        <w:autoSpaceDN/>
        <w:bidi w:val="0"/>
        <w:adjustRightInd/>
        <w:snapToGrid/>
        <w:spacing w:before="102" w:line="560" w:lineRule="exact"/>
        <w:ind w:firstLine="490"/>
        <w:jc w:val="both"/>
        <w:textAlignment w:val="auto"/>
        <w:rPr>
          <w:rFonts w:hint="eastAsia" w:ascii="仿宋" w:hAnsi="仿宋" w:eastAsia="仿宋" w:cs="仿宋"/>
          <w:b w:val="0"/>
          <w:color w:val="000000" w:themeColor="text1"/>
          <w:kern w:val="2"/>
          <w:sz w:val="28"/>
          <w:szCs w:val="28"/>
          <w:highlight w:val="none"/>
          <w:lang w:val="en-US" w:eastAsia="zh-CN" w:bidi="ar-SA"/>
          <w14:textFill>
            <w14:solidFill>
              <w14:schemeClr w14:val="tx1"/>
            </w14:solidFill>
          </w14:textFill>
        </w:rPr>
      </w:pPr>
    </w:p>
    <w:p w14:paraId="594E8CF5">
      <w:pPr>
        <w:keepNext w:val="0"/>
        <w:keepLines w:val="0"/>
        <w:pageBreakBefore w:val="0"/>
        <w:kinsoku/>
        <w:wordWrap/>
        <w:overflowPunct/>
        <w:topLinePunct w:val="0"/>
        <w:autoSpaceDE/>
        <w:autoSpaceDN/>
        <w:bidi w:val="0"/>
        <w:adjustRightInd/>
        <w:snapToGrid/>
        <w:spacing w:before="102" w:line="560" w:lineRule="exact"/>
        <w:ind w:firstLine="490"/>
        <w:jc w:val="both"/>
        <w:textAlignment w:val="auto"/>
        <w:rPr>
          <w:rFonts w:hint="eastAsia" w:ascii="仿宋" w:hAnsi="仿宋" w:eastAsia="仿宋" w:cs="仿宋"/>
          <w:b w:val="0"/>
          <w:color w:val="000000" w:themeColor="text1"/>
          <w:kern w:val="2"/>
          <w:sz w:val="28"/>
          <w:szCs w:val="28"/>
          <w:highlight w:val="none"/>
          <w:lang w:val="en-US" w:eastAsia="zh-CN" w:bidi="ar-SA"/>
          <w14:textFill>
            <w14:solidFill>
              <w14:schemeClr w14:val="tx1"/>
            </w14:solidFill>
          </w14:textFill>
        </w:rPr>
        <w:sectPr>
          <w:footerReference r:id="rId7" w:type="default"/>
          <w:pgSz w:w="11907" w:h="16840"/>
          <w:pgMar w:top="1440" w:right="1080" w:bottom="1440" w:left="1080" w:header="0" w:footer="1076" w:gutter="0"/>
          <w:pgNumType w:fmt="decimal"/>
          <w:cols w:space="720" w:num="1"/>
        </w:sectPr>
      </w:pPr>
    </w:p>
    <w:p w14:paraId="5A17E48E">
      <w:pPr>
        <w:pStyle w:val="2"/>
        <w:tabs>
          <w:tab w:val="left" w:pos="0"/>
        </w:tabs>
        <w:snapToGrid w:val="0"/>
        <w:spacing w:before="0" w:after="0" w:line="240" w:lineRule="atLeast"/>
        <w:textAlignment w:val="baseline"/>
        <w:rPr>
          <w:rFonts w:hint="eastAsia" w:asciiTheme="minorEastAsia" w:hAnsiTheme="minorEastAsia" w:eastAsiaTheme="minorEastAsia" w:cstheme="minorEastAsia"/>
          <w:b w:val="0"/>
          <w:color w:val="000000" w:themeColor="text1"/>
          <w:sz w:val="24"/>
          <w:highlight w:val="none"/>
          <w14:textFill>
            <w14:solidFill>
              <w14:schemeClr w14:val="tx1"/>
            </w14:solidFill>
          </w14:textFill>
        </w:rPr>
      </w:pPr>
      <w:bookmarkStart w:id="576" w:name="_Toc24660"/>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第6章 </w:t>
      </w:r>
      <w:bookmarkStart w:id="577" w:name="_Toc515647832"/>
      <w:bookmarkStart w:id="578" w:name="_Toc32647"/>
      <w:bookmarkStart w:id="579" w:name="_Toc7971"/>
      <w:bookmarkStart w:id="580" w:name="_Toc507399907"/>
      <w:r>
        <w:rPr>
          <w:rFonts w:hint="eastAsia" w:asciiTheme="minorEastAsia" w:hAnsiTheme="minorEastAsia" w:eastAsiaTheme="minorEastAsia" w:cstheme="minorEastAsia"/>
          <w:color w:val="000000" w:themeColor="text1"/>
          <w:highlight w:val="none"/>
          <w14:textFill>
            <w14:solidFill>
              <w14:schemeClr w14:val="tx1"/>
            </w14:solidFill>
          </w14:textFill>
        </w:rPr>
        <w:t>评审方法和标准</w:t>
      </w:r>
      <w:bookmarkEnd w:id="572"/>
      <w:bookmarkEnd w:id="573"/>
      <w:bookmarkEnd w:id="574"/>
      <w:bookmarkEnd w:id="576"/>
      <w:bookmarkEnd w:id="577"/>
      <w:bookmarkEnd w:id="578"/>
      <w:bookmarkEnd w:id="579"/>
      <w:bookmarkEnd w:id="580"/>
    </w:p>
    <w:p w14:paraId="34A0A7C2">
      <w:pPr>
        <w:pStyle w:val="11"/>
        <w:keepNext w:val="0"/>
        <w:keepLines w:val="0"/>
        <w:pageBreakBefore w:val="0"/>
        <w:kinsoku/>
        <w:wordWrap/>
        <w:overflowPunct/>
        <w:topLinePunct w:val="0"/>
        <w:bidi w:val="0"/>
        <w:snapToGrid w:val="0"/>
        <w:spacing w:before="0" w:beforeAutospacing="0" w:after="0" w:afterAutospacing="0" w:line="520" w:lineRule="exact"/>
        <w:ind w:firstLine="540" w:firstLineChars="225"/>
        <w:jc w:val="both"/>
        <w:textAlignment w:val="baseline"/>
        <w:rPr>
          <w:rFonts w:hint="eastAsia" w:asciiTheme="minorEastAsia" w:hAnsiTheme="minorEastAsia" w:eastAsiaTheme="minorEastAsia" w:cstheme="minorEastAsia"/>
          <w:b w:val="0"/>
          <w:i w:val="0"/>
          <w:caps w:val="0"/>
          <w:color w:val="000000" w:themeColor="text1"/>
          <w:spacing w:val="0"/>
          <w:w w:val="100"/>
          <w:sz w:val="24"/>
          <w:highlight w:val="none"/>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highlight w:val="none"/>
          <w14:textFill>
            <w14:solidFill>
              <w14:schemeClr w14:val="tx1"/>
            </w14:solidFill>
          </w14:textFill>
        </w:rPr>
        <w:t>本项目将按照磋商文件第一章供应商须知中“五 磋商开启及评审”、“六 确定成交”及本章的规定评标。</w:t>
      </w:r>
    </w:p>
    <w:p w14:paraId="1CC27CEF">
      <w:pPr>
        <w:keepNext w:val="0"/>
        <w:keepLines w:val="0"/>
        <w:pageBreakBefore w:val="0"/>
        <w:shd w:val="clear" w:color="auto" w:fill="auto"/>
        <w:kinsoku/>
        <w:wordWrap/>
        <w:overflowPunct/>
        <w:topLinePunct w:val="0"/>
        <w:bidi w:val="0"/>
        <w:spacing w:line="480" w:lineRule="exact"/>
        <w:ind w:firstLine="241" w:firstLineChars="100"/>
        <w:jc w:val="left"/>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1、落实政府采购政策</w:t>
      </w:r>
    </w:p>
    <w:p w14:paraId="0A3D193D">
      <w:pPr>
        <w:keepNext w:val="0"/>
        <w:keepLines w:val="0"/>
        <w:pageBreakBefore w:val="0"/>
        <w:widowControl/>
        <w:kinsoku/>
        <w:wordWrap/>
        <w:overflowPunct/>
        <w:topLinePunct w:val="0"/>
        <w:autoSpaceDE/>
        <w:autoSpaceDN/>
        <w:bidi w:val="0"/>
        <w:adjustRightInd/>
        <w:spacing w:line="480" w:lineRule="exact"/>
        <w:ind w:firstLine="480" w:firstLineChars="200"/>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①本项目属于专门面向中小微企业的项目，根据《政府采购促进中小企业发展管理办法》（财库﹝2020﹞46 号）</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关于落实好政府采购支持中小企业发展的通知</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新财购 〔2022〕22号</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财政部司法部关于政府采购支持监狱企业发展有关问题的通知》（财库〔2014〕68号）和《三部门联合发布关于促进残疾人就业政府采购政策的通知》（财库〔2017〕141号）的规定，其中小型、微型企业在响应文件中提交了《中小企业声明函》、《残疾人福利性单位声明函》或省级以上监狱管理局、戒毒管理局（含新疆生产建设兵团）出具的属于监狱企业的证明文件的供应商，其报价扣除</w:t>
      </w:r>
      <w:r>
        <w:rPr>
          <w:rFonts w:hint="eastAsia" w:asciiTheme="minorEastAsia" w:hAnsiTheme="minorEastAsia" w:eastAsiaTheme="minorEastAsia" w:cstheme="minorEastAsia"/>
          <w:b w:val="0"/>
          <w:bCs w:val="0"/>
          <w:color w:val="000000" w:themeColor="text1"/>
          <w:kern w:val="2"/>
          <w:sz w:val="24"/>
          <w:szCs w:val="24"/>
          <w:highlight w:val="none"/>
          <w:u w:val="single"/>
          <w:lang w:val="en-US" w:eastAsia="zh-CN" w:bidi="ar-SA"/>
          <w14:textFill>
            <w14:solidFill>
              <w14:schemeClr w14:val="tx1"/>
            </w14:solidFill>
          </w14:textFill>
        </w:rPr>
        <w:t xml:space="preserve">  / </w:t>
      </w: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%后参与评审。对于同时属于小型、微型及小微企业、监狱企业或残疾人福利性单位的，不重复进行报价扣除。</w:t>
      </w:r>
    </w:p>
    <w:p w14:paraId="35B31BB7">
      <w:pPr>
        <w:pStyle w:val="7"/>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Theme="minorEastAsia" w:hAnsiTheme="minorEastAsia" w:eastAsiaTheme="minorEastAsia" w:cstheme="minorEastAsia"/>
          <w:b w:val="0"/>
          <w:bCs w:val="0"/>
          <w:i w:val="0"/>
          <w:caps w:val="0"/>
          <w:color w:val="000000" w:themeColor="text1"/>
          <w:spacing w:val="0"/>
          <w:w w:val="100"/>
          <w:sz w:val="24"/>
          <w:szCs w:val="24"/>
          <w:highlight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eastAsia="zh-CN"/>
          <w14:textFill>
            <w14:solidFill>
              <w14:schemeClr w14:val="tx1"/>
            </w14:solidFill>
          </w14:textFill>
        </w:rPr>
        <w:t>②</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14:textFill>
            <w14:solidFill>
              <w14:schemeClr w14:val="tx1"/>
            </w14:solidFill>
          </w14:textFill>
        </w:rPr>
        <w:t>联合协议中约定，小型、微型企业和监狱企业的协议合同金额占到联合体协议合同总金额40%以上的，可给予联合体4%~6%的价格扣除。（本项目不适用）</w:t>
      </w:r>
    </w:p>
    <w:p w14:paraId="05FEAB35">
      <w:pPr>
        <w:pStyle w:val="7"/>
        <w:keepNext w:val="0"/>
        <w:keepLines w:val="0"/>
        <w:pageBreakBefore w:val="0"/>
        <w:widowControl w:val="0"/>
        <w:kinsoku/>
        <w:wordWrap/>
        <w:overflowPunct/>
        <w:topLinePunct w:val="0"/>
        <w:bidi w:val="0"/>
        <w:snapToGrid w:val="0"/>
        <w:spacing w:before="0" w:beforeAutospacing="0" w:after="0" w:afterAutospacing="0" w:line="480" w:lineRule="exact"/>
        <w:ind w:firstLine="0"/>
        <w:jc w:val="left"/>
        <w:textAlignment w:val="baseline"/>
        <w:rPr>
          <w:rFonts w:hint="eastAsia" w:asciiTheme="minorEastAsia" w:hAnsiTheme="minorEastAsia" w:eastAsiaTheme="minorEastAsia" w:cstheme="minorEastAsia"/>
          <w:b w:val="0"/>
          <w:bCs w:val="0"/>
          <w:i w:val="0"/>
          <w:caps w:val="0"/>
          <w:color w:val="000000" w:themeColor="text1"/>
          <w:spacing w:val="0"/>
          <w:w w:val="100"/>
          <w:sz w:val="24"/>
          <w:szCs w:val="24"/>
          <w:highlight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14:textFill>
            <w14:solidFill>
              <w14:schemeClr w14:val="tx1"/>
            </w14:solidFill>
          </w14:textFill>
        </w:rPr>
        <w:t>联合体各方均为小型、微型企业和监狱企业的，联合体视同为小型、微型企业和监狱企业。</w:t>
      </w:r>
    </w:p>
    <w:p w14:paraId="2D72B885">
      <w:pPr>
        <w:pStyle w:val="7"/>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Theme="minorEastAsia" w:hAnsiTheme="minorEastAsia" w:eastAsiaTheme="minorEastAsia" w:cstheme="minorEastAsia"/>
          <w:b w:val="0"/>
          <w:bCs w:val="0"/>
          <w:i w:val="0"/>
          <w:caps w:val="0"/>
          <w:color w:val="000000" w:themeColor="text1"/>
          <w:spacing w:val="0"/>
          <w:w w:val="100"/>
          <w:sz w:val="24"/>
          <w:szCs w:val="24"/>
          <w:highlight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eastAsia="zh-CN"/>
          <w14:textFill>
            <w14:solidFill>
              <w14:schemeClr w14:val="tx1"/>
            </w14:solidFill>
          </w14:textFill>
        </w:rPr>
        <w:t>③</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14:textFill>
            <w14:solidFill>
              <w14:schemeClr w14:val="tx1"/>
            </w14:solidFill>
          </w14:textFill>
        </w:rPr>
        <w:t>供应商所投产品如被列入财政部与国家主管部门颁发的节能产品目录或环境标志产品目录或无线局域网产品目录，应提供相关证明，在评标时予以优先采购，具体优惠措施为： 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p>
    <w:p w14:paraId="51D17936">
      <w:pPr>
        <w:pStyle w:val="7"/>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Theme="minorEastAsia" w:hAnsiTheme="minorEastAsia" w:eastAsiaTheme="minorEastAsia" w:cstheme="minorEastAsia"/>
          <w:b w:val="0"/>
          <w:bCs w:val="0"/>
          <w:i w:val="0"/>
          <w:caps w:val="0"/>
          <w:color w:val="000000" w:themeColor="text1"/>
          <w:spacing w:val="0"/>
          <w:w w:val="100"/>
          <w:sz w:val="24"/>
          <w:szCs w:val="24"/>
          <w:highlight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eastAsia="zh-CN"/>
          <w14:textFill>
            <w14:solidFill>
              <w14:schemeClr w14:val="tx1"/>
            </w14:solidFill>
          </w14:textFill>
        </w:rPr>
        <w:t>④</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14:textFill>
            <w14:solidFill>
              <w14:schemeClr w14:val="tx1"/>
            </w14:solidFill>
          </w14:textFill>
        </w:rPr>
        <w:t>如采购人所采购产品为政府强制采购的节能产品，供应商所投产品的品牌及型号必须为清单中有效期内产品并提供证明文件，否则其投标将被认定为投标无效。</w:t>
      </w:r>
    </w:p>
    <w:p w14:paraId="27419672">
      <w:pPr>
        <w:ind w:firstLine="480" w:firstLineChars="200"/>
        <w:rPr>
          <w:rFonts w:hint="eastAsia" w:asciiTheme="minorEastAsia" w:hAnsiTheme="minorEastAsia" w:eastAsiaTheme="minorEastAsia" w:cstheme="minorEastAsia"/>
          <w:b w:val="0"/>
          <w:bCs w:val="0"/>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w w:val="100"/>
          <w:sz w:val="24"/>
          <w:szCs w:val="24"/>
          <w:highlight w:val="none"/>
          <w:lang w:eastAsia="zh-CN"/>
          <w14:textFill>
            <w14:solidFill>
              <w14:schemeClr w14:val="tx1"/>
            </w14:solidFill>
          </w14:textFill>
        </w:rPr>
        <w:t>⑤</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14:textFill>
            <w14:solidFill>
              <w14:schemeClr w14:val="tx1"/>
            </w14:solidFill>
          </w14:textFill>
        </w:rPr>
        <w:t>对创新产品或创新性企业的优惠措施为：</w:t>
      </w:r>
      <w:r>
        <w:rPr>
          <w:rFonts w:hint="eastAsia" w:asciiTheme="minorEastAsia" w:hAnsiTheme="minorEastAsia" w:eastAsiaTheme="minorEastAsia" w:cstheme="minorEastAsia"/>
          <w:b w:val="0"/>
          <w:bCs w:val="0"/>
          <w:i w:val="0"/>
          <w:caps w:val="0"/>
          <w:color w:val="000000" w:themeColor="text1"/>
          <w:spacing w:val="0"/>
          <w:w w:val="100"/>
          <w:sz w:val="24"/>
          <w:szCs w:val="24"/>
          <w:highlight w:val="none"/>
          <w:u w:val="single"/>
          <w14:textFill>
            <w14:solidFill>
              <w14:schemeClr w14:val="tx1"/>
            </w14:solidFill>
          </w14:textFill>
        </w:rPr>
        <w:t xml:space="preserve">    / </w:t>
      </w:r>
    </w:p>
    <w:p w14:paraId="1D7AB984">
      <w:pPr>
        <w:keepNext w:val="0"/>
        <w:keepLines w:val="0"/>
        <w:pageBreakBefore w:val="0"/>
        <w:shd w:val="clear" w:color="auto" w:fill="auto"/>
        <w:kinsoku/>
        <w:wordWrap/>
        <w:overflowPunct/>
        <w:topLinePunct w:val="0"/>
        <w:bidi w:val="0"/>
        <w:snapToGrid w:val="0"/>
        <w:spacing w:line="480" w:lineRule="exact"/>
        <w:ind w:firstLine="482" w:firstLineChars="200"/>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bookmarkStart w:id="581" w:name="_Toc5480"/>
      <w:bookmarkStart w:id="582" w:name="_Toc25450"/>
      <w:bookmarkStart w:id="583" w:name="_Toc18284"/>
      <w:bookmarkStart w:id="584" w:name="_Toc11629"/>
      <w:bookmarkStart w:id="585" w:name="_Toc4729"/>
      <w:bookmarkStart w:id="586" w:name="_Toc15607"/>
      <w:bookmarkStart w:id="587" w:name="_Toc9048"/>
      <w:bookmarkStart w:id="588" w:name="_Toc5997"/>
      <w:bookmarkStart w:id="589" w:name="_Toc3722"/>
      <w:bookmarkStart w:id="590" w:name="_Toc19292"/>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2、 开标</w:t>
      </w:r>
    </w:p>
    <w:p w14:paraId="53A3F76F">
      <w:pPr>
        <w:keepNext w:val="0"/>
        <w:keepLines w:val="0"/>
        <w:pageBreakBefore w:val="0"/>
        <w:shd w:val="clear" w:color="auto" w:fill="auto"/>
        <w:kinsoku/>
        <w:wordWrap/>
        <w:overflowPunct/>
        <w:topLinePunct w:val="0"/>
        <w:bidi w:val="0"/>
        <w:snapToGrid w:val="0"/>
        <w:spacing w:line="480" w:lineRule="exact"/>
        <w:ind w:firstLine="482" w:firstLineChars="200"/>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bookmarkStart w:id="591" w:name="_Toc73975822"/>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2.1开标邀请</w:t>
      </w:r>
      <w:bookmarkEnd w:id="591"/>
    </w:p>
    <w:p w14:paraId="52DFA6A3">
      <w:pPr>
        <w:pStyle w:val="16"/>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开标准备：本项目开标的准备工作由采购组织机构负责落实，开标过程由采购组织机构负责记录；</w:t>
      </w:r>
    </w:p>
    <w:p w14:paraId="036102BA">
      <w:pPr>
        <w:pStyle w:val="16"/>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开标主持：本项目开标由采购人或者采购代理机构主持；</w:t>
      </w:r>
    </w:p>
    <w:p w14:paraId="067E6FA7">
      <w:pPr>
        <w:pStyle w:val="16"/>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b w:val="0"/>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color w:val="000000" w:themeColor="text1"/>
          <w:sz w:val="24"/>
          <w:szCs w:val="24"/>
          <w:highlight w:val="none"/>
          <w14:textFill>
            <w14:solidFill>
              <w14:schemeClr w14:val="tx1"/>
            </w14:solidFill>
          </w14:textFill>
        </w:rPr>
        <w:t>开标邀请：本项目采用电子交易，采购组织机构将按照</w:t>
      </w:r>
      <w:r>
        <w:rPr>
          <w:rFonts w:hint="eastAsia" w:asciiTheme="minorEastAsia" w:hAnsiTheme="minorEastAsia" w:eastAsiaTheme="minorEastAsia" w:cstheme="minorEastAsia"/>
          <w:b w:val="0"/>
          <w:color w:val="000000" w:themeColor="text1"/>
          <w:sz w:val="24"/>
          <w:szCs w:val="24"/>
          <w:highlight w:val="none"/>
          <w:lang w:eastAsia="zh-CN"/>
          <w14:textFill>
            <w14:solidFill>
              <w14:schemeClr w14:val="tx1"/>
            </w14:solidFill>
          </w14:textFill>
        </w:rPr>
        <w:t>竞争性磋商文件</w:t>
      </w:r>
      <w:r>
        <w:rPr>
          <w:rFonts w:hint="eastAsia" w:asciiTheme="minorEastAsia" w:hAnsiTheme="minorEastAsia" w:eastAsiaTheme="minorEastAsia" w:cstheme="minorEastAsia"/>
          <w:b w:val="0"/>
          <w:color w:val="000000" w:themeColor="text1"/>
          <w:sz w:val="24"/>
          <w:szCs w:val="24"/>
          <w:highlight w:val="none"/>
          <w14:textFill>
            <w14:solidFill>
              <w14:schemeClr w14:val="tx1"/>
            </w14:solidFill>
          </w14:textFill>
        </w:rPr>
        <w:t>规定的时间通过“</w:t>
      </w:r>
      <w:r>
        <w:rPr>
          <w:rFonts w:hint="eastAsia" w:asciiTheme="minorEastAsia" w:hAnsiTheme="minorEastAsia" w:eastAsiaTheme="minorEastAsia" w:cstheme="minorEastAsia"/>
          <w:b w:val="0"/>
          <w:color w:val="000000" w:themeColor="text1"/>
          <w:sz w:val="24"/>
          <w:szCs w:val="24"/>
          <w:highlight w:val="none"/>
          <w:lang w:eastAsia="zh-CN"/>
          <w14:textFill>
            <w14:solidFill>
              <w14:schemeClr w14:val="tx1"/>
            </w14:solidFill>
          </w14:textFill>
        </w:rPr>
        <w:t>新疆</w:t>
      </w:r>
      <w:r>
        <w:rPr>
          <w:rFonts w:hint="eastAsia" w:asciiTheme="minorEastAsia" w:hAnsiTheme="minorEastAsia" w:eastAsiaTheme="minorEastAsia" w:cstheme="minorEastAsia"/>
          <w:b w:val="0"/>
          <w:color w:val="000000" w:themeColor="text1"/>
          <w:sz w:val="24"/>
          <w:szCs w:val="24"/>
          <w:highlight w:val="none"/>
          <w14:textFill>
            <w14:solidFill>
              <w14:schemeClr w14:val="tx1"/>
            </w14:solidFill>
          </w14:textFill>
        </w:rPr>
        <w:t>政府采购云平台，网址：</w:t>
      </w:r>
      <w:r>
        <w:rPr>
          <w:rFonts w:hint="eastAsia" w:asciiTheme="minorEastAsia" w:hAnsiTheme="minorEastAsia" w:eastAsiaTheme="minorEastAsia" w:cstheme="minorEastAsia"/>
          <w:b w:val="0"/>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b w:val="0"/>
          <w:color w:val="000000" w:themeColor="text1"/>
          <w:sz w:val="24"/>
          <w:szCs w:val="24"/>
          <w:highlight w:val="none"/>
          <w14:textFill>
            <w14:solidFill>
              <w14:schemeClr w14:val="tx1"/>
            </w14:solidFill>
          </w14:textFill>
        </w:rPr>
        <w:instrText xml:space="preserve">HYPERLINK "http://www.zcygov.cn"</w:instrText>
      </w:r>
      <w:r>
        <w:rPr>
          <w:rFonts w:hint="eastAsia" w:asciiTheme="minorEastAsia" w:hAnsiTheme="minorEastAsia" w:eastAsiaTheme="minorEastAsia" w:cstheme="minorEastAsia"/>
          <w:b w:val="0"/>
          <w:color w:val="000000" w:themeColor="text1"/>
          <w:sz w:val="24"/>
          <w:szCs w:val="24"/>
          <w:highlight w:val="none"/>
          <w14:textFill>
            <w14:solidFill>
              <w14:schemeClr w14:val="tx1"/>
            </w14:solidFill>
          </w14:textFill>
        </w:rPr>
        <w:fldChar w:fldCharType="separate"/>
      </w:r>
      <w:r>
        <w:rPr>
          <w:rStyle w:val="44"/>
          <w:rFonts w:hint="eastAsia" w:asciiTheme="minorEastAsia" w:hAnsiTheme="minorEastAsia" w:eastAsiaTheme="minorEastAsia" w:cstheme="minorEastAsia"/>
          <w:b w:val="0"/>
          <w:color w:val="000000" w:themeColor="text1"/>
          <w:sz w:val="24"/>
          <w:szCs w:val="24"/>
          <w:highlight w:val="none"/>
          <w:u w:val="none"/>
          <w14:textFill>
            <w14:solidFill>
              <w14:schemeClr w14:val="tx1"/>
            </w14:solidFill>
          </w14:textFill>
        </w:rPr>
        <w:t>www.zcygov.cn</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b w:val="0"/>
          <w:color w:val="000000" w:themeColor="text1"/>
          <w:sz w:val="24"/>
          <w:szCs w:val="24"/>
          <w:highlight w:val="none"/>
          <w14:textFill>
            <w14:solidFill>
              <w14:schemeClr w14:val="tx1"/>
            </w14:solidFill>
          </w14:textFill>
        </w:rPr>
        <w:t>”组织开标、开启投标响应文件，所有供应商均应当准时在线参加。</w:t>
      </w:r>
    </w:p>
    <w:p w14:paraId="4F6D5CE7">
      <w:pPr>
        <w:pStyle w:val="16"/>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val="0"/>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color w:val="000000" w:themeColor="text1"/>
          <w:sz w:val="24"/>
          <w:szCs w:val="24"/>
          <w:highlight w:val="none"/>
          <w14:textFill>
            <w14:solidFill>
              <w14:schemeClr w14:val="tx1"/>
            </w14:solidFill>
          </w14:textFill>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w:t>
      </w:r>
      <w:r>
        <w:rPr>
          <w:rFonts w:hint="eastAsia" w:asciiTheme="minorEastAsia" w:hAnsiTheme="minorEastAsia" w:eastAsiaTheme="minorEastAsia" w:cstheme="minorEastAsia"/>
          <w:b w:val="0"/>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b w:val="0"/>
          <w:color w:val="000000" w:themeColor="text1"/>
          <w:sz w:val="24"/>
          <w:szCs w:val="24"/>
          <w:highlight w:val="none"/>
          <w14:textFill>
            <w14:solidFill>
              <w14:schemeClr w14:val="tx1"/>
            </w14:solidFill>
          </w14:textFill>
        </w:rPr>
        <w:t>因未在线参加开标而导致</w:t>
      </w:r>
      <w:r>
        <w:rPr>
          <w:rFonts w:hint="eastAsia" w:asciiTheme="minorEastAsia" w:hAnsiTheme="minorEastAsia" w:eastAsiaTheme="minorEastAsia" w:cstheme="minorEastAsia"/>
          <w:b w:val="0"/>
          <w:color w:val="000000" w:themeColor="text1"/>
          <w:sz w:val="24"/>
          <w:szCs w:val="24"/>
          <w:highlight w:val="none"/>
          <w:lang w:eastAsia="zh-CN"/>
          <w14:textFill>
            <w14:solidFill>
              <w14:schemeClr w14:val="tx1"/>
            </w14:solidFill>
          </w14:textFill>
        </w:rPr>
        <w:t>响应文件</w:t>
      </w:r>
      <w:r>
        <w:rPr>
          <w:rFonts w:hint="eastAsia" w:asciiTheme="minorEastAsia" w:hAnsiTheme="minorEastAsia" w:eastAsiaTheme="minorEastAsia" w:cstheme="minorEastAsia"/>
          <w:b w:val="0"/>
          <w:color w:val="000000" w:themeColor="text1"/>
          <w:sz w:val="24"/>
          <w:szCs w:val="24"/>
          <w:highlight w:val="none"/>
          <w14:textFill>
            <w14:solidFill>
              <w14:schemeClr w14:val="tx1"/>
            </w14:solidFill>
          </w14:textFill>
        </w:rPr>
        <w:t>无法按时解密等一切后果由供应商自行承担。</w:t>
      </w:r>
    </w:p>
    <w:p w14:paraId="6F475456">
      <w:pPr>
        <w:keepNext w:val="0"/>
        <w:keepLines w:val="0"/>
        <w:pageBreakBefore w:val="0"/>
        <w:shd w:val="clear" w:color="auto" w:fill="auto"/>
        <w:kinsoku/>
        <w:wordWrap/>
        <w:overflowPunct/>
        <w:topLinePunct w:val="0"/>
        <w:bidi w:val="0"/>
        <w:snapToGrid w:val="0"/>
        <w:spacing w:line="480" w:lineRule="exact"/>
        <w:ind w:firstLine="482" w:firstLineChars="200"/>
        <w:outlineLvl w:val="9"/>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592" w:name="_Toc32017"/>
      <w:bookmarkStart w:id="593" w:name="_Toc21384"/>
      <w:bookmarkStart w:id="594" w:name="_Toc22653"/>
      <w:bookmarkStart w:id="595" w:name="_Toc19065"/>
      <w:bookmarkStart w:id="596" w:name="_Toc27602"/>
      <w:bookmarkStart w:id="597" w:name="_Toc32193"/>
      <w:bookmarkStart w:id="598" w:name="_Toc73975823"/>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2.2</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开标程序（</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先资格性</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后符合性、最终报价、再商务</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技术）</w:t>
      </w:r>
      <w:bookmarkEnd w:id="592"/>
      <w:bookmarkEnd w:id="593"/>
      <w:bookmarkEnd w:id="594"/>
      <w:bookmarkEnd w:id="595"/>
      <w:bookmarkEnd w:id="596"/>
      <w:bookmarkEnd w:id="597"/>
      <w:bookmarkEnd w:id="598"/>
    </w:p>
    <w:p w14:paraId="4BE25CF0">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开标时间到后，主持人宣布开标会议开始。</w:t>
      </w:r>
    </w:p>
    <w:p w14:paraId="2B376EF6">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解密（</w:t>
      </w: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解密规定见《供应商须知前附表》</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4090AF71">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解密异常情况处理（</w:t>
      </w: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处理办法见《供应商须知前附表》</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7FF92C35">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公布</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解密情况（</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成功解密的供应商名单等信息）。</w:t>
      </w:r>
    </w:p>
    <w:p w14:paraId="3062820A">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开启标书信息（资格</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证明</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文件、商务技术文件）。标书信息开启后，首先由采购人或采购代理机构依法对供应商的资格</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证明</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文件进行审查， 审查结束公布供应商的资格符合情况。资格审查未获通过的供应商，其</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符合性</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不再进入评审。</w:t>
      </w:r>
    </w:p>
    <w:p w14:paraId="5D32C253">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通过资格性审查的供应商，</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依法对供应商的</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符合性证明</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文件进行审查， 审查结束公布</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符合性</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审查情况。</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符合性</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审查未获通过的供应商，其</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不再进入磋商环节</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p>
    <w:p w14:paraId="28835447">
      <w:pPr>
        <w:keepNext w:val="0"/>
        <w:keepLines w:val="0"/>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（7）通过符合性审查的供应商，评审小组所有成员集中于单一供应商分别进行磋商；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并给予所有参加磋商的供应商平等的磋商机会。在磋商中，磋商的任何一方不得透露与磋商有关的其他供应商的技术资料、价格和其他信息。磋商文件有实质性变动的，磋商小组应当以书面</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形式通知所有参加磋商的供应商。</w:t>
      </w:r>
    </w:p>
    <w:p w14:paraId="491B22A2">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（8）磋商结束后，磋商小组应当要求所有实质性响应的供应商在规定时间内提交最终报价，</w:t>
      </w:r>
      <w:r>
        <w:rPr>
          <w:rFonts w:hint="eastAsia" w:asciiTheme="minorEastAsia" w:hAnsiTheme="minorEastAsia" w:eastAsiaTheme="minorEastAsia" w:cstheme="minorEastAsia"/>
          <w:color w:val="000000" w:themeColor="text1"/>
          <w:sz w:val="24"/>
          <w:szCs w:val="24"/>
          <w:highlight w:val="none"/>
          <w:lang w:bidi="zh-CN"/>
          <w14:textFill>
            <w14:solidFill>
              <w14:schemeClr w14:val="tx1"/>
            </w14:solidFill>
          </w14:textFill>
        </w:rPr>
        <w:t>供应商对</w:t>
      </w:r>
      <w:r>
        <w:rPr>
          <w:rFonts w:hint="eastAsia" w:asciiTheme="minorEastAsia" w:hAnsiTheme="minorEastAsia" w:eastAsiaTheme="minorEastAsia" w:cstheme="minorEastAsia"/>
          <w:color w:val="000000" w:themeColor="text1"/>
          <w:sz w:val="24"/>
          <w:szCs w:val="24"/>
          <w:highlight w:val="none"/>
          <w:lang w:val="en-US" w:bidi="zh-CN"/>
          <w14:textFill>
            <w14:solidFill>
              <w14:schemeClr w14:val="tx1"/>
            </w14:solidFill>
          </w14:textFill>
        </w:rPr>
        <w:t>最终报价</w:t>
      </w:r>
      <w:r>
        <w:rPr>
          <w:rFonts w:hint="eastAsia" w:asciiTheme="minorEastAsia" w:hAnsiTheme="minorEastAsia" w:eastAsiaTheme="minorEastAsia" w:cstheme="minorEastAsia"/>
          <w:color w:val="000000" w:themeColor="text1"/>
          <w:sz w:val="24"/>
          <w:szCs w:val="24"/>
          <w:highlight w:val="none"/>
          <w:lang w:bidi="zh-CN"/>
          <w14:textFill>
            <w14:solidFill>
              <w14:schemeClr w14:val="tx1"/>
            </w14:solidFill>
          </w14:textFill>
        </w:rPr>
        <w:t>进行在线签字确认（不予确认的应说明理由，否则视为无异议）</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。开标结束后，由评标委员会对报价的合理性、准确性等进行审查核实</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39ED0119">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（9）最终报价结束后，</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依法对</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商务</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技术</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进行</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评分</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p>
    <w:p w14:paraId="404C7209">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评审结束后，采购代理机构在系统上公布评审结果。</w:t>
      </w:r>
    </w:p>
    <w:p w14:paraId="6FE11875">
      <w:pPr>
        <w:keepNext w:val="0"/>
        <w:keepLines w:val="0"/>
        <w:pageBreakBefore w:val="0"/>
        <w:shd w:val="clear" w:color="auto" w:fill="auto"/>
        <w:kinsoku/>
        <w:wordWrap/>
        <w:overflowPunct/>
        <w:topLinePunct w:val="0"/>
        <w:bidi w:val="0"/>
        <w:snapToGrid w:val="0"/>
        <w:spacing w:line="480" w:lineRule="exact"/>
        <w:ind w:left="48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特别情况说明：</w:t>
      </w:r>
    </w:p>
    <w:p w14:paraId="3FE07726">
      <w:pPr>
        <w:keepNext w:val="0"/>
        <w:keepLines w:val="0"/>
        <w:pageBreakBefore w:val="0"/>
        <w:shd w:val="clear" w:color="auto" w:fill="auto"/>
        <w:kinsoku/>
        <w:wordWrap/>
        <w:overflowPunct/>
        <w:topLinePunct w:val="0"/>
        <w:bidi w:val="0"/>
        <w:snapToGrid w:val="0"/>
        <w:spacing w:line="480" w:lineRule="exact"/>
        <w:ind w:firstLine="426" w:firstLineChars="177"/>
        <w:jc w:val="left"/>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（1）本项目采用电子交易，如遇“</w:t>
      </w:r>
      <w:r>
        <w:rPr>
          <w:rFonts w:hint="eastAsia" w:asciiTheme="minorEastAsia" w:hAnsiTheme="minorEastAsia" w:eastAsiaTheme="minorEastAsia" w:cstheme="minorEastAsia"/>
          <w:b/>
          <w:color w:val="000000" w:themeColor="text1"/>
          <w:kern w:val="0"/>
          <w:sz w:val="24"/>
          <w:szCs w:val="24"/>
          <w:highlight w:val="none"/>
          <w:lang w:eastAsia="zh-CN"/>
          <w14:textFill>
            <w14:solidFill>
              <w14:schemeClr w14:val="tx1"/>
            </w14:solidFill>
          </w14:textFill>
        </w:rPr>
        <w:t>新疆</w:t>
      </w: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政府采购云平台”电子化开标或评审程序调整的，按调整后程序执行。</w:t>
      </w:r>
    </w:p>
    <w:p w14:paraId="011D7079">
      <w:pPr>
        <w:keepNext w:val="0"/>
        <w:keepLines w:val="0"/>
        <w:pageBreakBefore w:val="0"/>
        <w:shd w:val="clear" w:color="auto" w:fill="auto"/>
        <w:kinsoku/>
        <w:wordWrap/>
        <w:overflowPunct/>
        <w:topLinePunct w:val="0"/>
        <w:bidi w:val="0"/>
        <w:snapToGrid w:val="0"/>
        <w:spacing w:line="480" w:lineRule="exact"/>
        <w:ind w:firstLine="426" w:firstLineChars="177"/>
        <w:jc w:val="left"/>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Theme="minorEastAsia" w:hAnsiTheme="minorEastAsia" w:eastAsiaTheme="minorEastAsia" w:cstheme="minorEastAsia"/>
          <w:b/>
          <w:color w:val="000000" w:themeColor="text1"/>
          <w:kern w:val="0"/>
          <w:sz w:val="24"/>
          <w:szCs w:val="24"/>
          <w:highlight w:val="none"/>
          <w:u w:val="single"/>
          <w14:textFill>
            <w14:solidFill>
              <w14:schemeClr w14:val="tx1"/>
            </w14:solidFill>
          </w14:textFill>
        </w:rPr>
        <w:t>请供应商保证办理投标事宜人员电话畅通、网络在线，签字或盖章确认的时间为</w:t>
      </w:r>
      <w:r>
        <w:rPr>
          <w:rFonts w:hint="eastAsia" w:asciiTheme="minorEastAsia" w:hAnsiTheme="minorEastAsia" w:eastAsiaTheme="minorEastAsia" w:cstheme="minorEastAsia"/>
          <w:b/>
          <w:color w:val="000000" w:themeColor="text1"/>
          <w:kern w:val="0"/>
          <w:sz w:val="24"/>
          <w:szCs w:val="24"/>
          <w:highlight w:val="none"/>
          <w:u w:val="single"/>
          <w:lang w:val="en-US" w:eastAsia="zh-CN"/>
          <w14:textFill>
            <w14:solidFill>
              <w14:schemeClr w14:val="tx1"/>
            </w14:solidFill>
          </w14:textFill>
        </w:rPr>
        <w:t>20</w:t>
      </w:r>
      <w:r>
        <w:rPr>
          <w:rFonts w:hint="eastAsia" w:asciiTheme="minorEastAsia" w:hAnsiTheme="minorEastAsia" w:eastAsiaTheme="minorEastAsia" w:cstheme="minorEastAsia"/>
          <w:b/>
          <w:color w:val="000000" w:themeColor="text1"/>
          <w:kern w:val="0"/>
          <w:sz w:val="24"/>
          <w:szCs w:val="24"/>
          <w:highlight w:val="none"/>
          <w:u w:val="single"/>
          <w14:textFill>
            <w14:solidFill>
              <w14:schemeClr w14:val="tx1"/>
            </w14:solidFill>
          </w14:textFill>
        </w:rPr>
        <w:t>分钟。如未及时签字或盖章确认的，视为无异议</w:t>
      </w: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w:t>
      </w:r>
    </w:p>
    <w:p w14:paraId="41082587">
      <w:pPr>
        <w:keepNext w:val="0"/>
        <w:keepLines w:val="0"/>
        <w:pageBreakBefore w:val="0"/>
        <w:shd w:val="clear" w:color="auto" w:fill="auto"/>
        <w:kinsoku/>
        <w:wordWrap/>
        <w:overflowPunct/>
        <w:topLinePunct w:val="0"/>
        <w:bidi w:val="0"/>
        <w:snapToGrid w:val="0"/>
        <w:spacing w:line="480" w:lineRule="exact"/>
        <w:ind w:firstLine="482" w:firstLineChars="200"/>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lang w:val="en-US" w:eastAsia="zh-CN"/>
          <w14:textFill>
            <w14:solidFill>
              <w14:schemeClr w14:val="tx1"/>
            </w14:solidFill>
          </w14:textFill>
        </w:rPr>
        <w:t>2.3</w:t>
      </w:r>
      <w:r>
        <w:rPr>
          <w:rFonts w:hint="eastAsia" w:asciiTheme="minorEastAsia" w:hAnsiTheme="minorEastAsia" w:eastAsiaTheme="minorEastAsia" w:cstheme="minorEastAsia"/>
          <w:b/>
          <w:color w:val="000000" w:themeColor="text1"/>
          <w:kern w:val="0"/>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资格审查：</w:t>
      </w:r>
    </w:p>
    <w:p w14:paraId="11DB42D9">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bCs/>
          <w:color w:val="000000" w:themeColor="text1"/>
          <w:kern w:val="0"/>
          <w:sz w:val="24"/>
          <w:szCs w:val="24"/>
          <w:highlight w:val="none"/>
          <w14:textFill>
            <w14:solidFill>
              <w14:schemeClr w14:val="tx1"/>
            </w14:solidFill>
          </w14:textFill>
        </w:rPr>
        <w:t>开标（标书信息开启）后，采购人或采购代理机构首先依法对</w:t>
      </w:r>
      <w:r>
        <w:rPr>
          <w:rFonts w:hint="eastAsia" w:asciiTheme="minorEastAsia" w:hAnsiTheme="minorEastAsia" w:eastAsiaTheme="minorEastAsia" w:cstheme="minorEastAsia"/>
          <w:bCs/>
          <w:color w:val="000000" w:themeColor="text1"/>
          <w:kern w:val="0"/>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kern w:val="0"/>
          <w:sz w:val="24"/>
          <w:szCs w:val="24"/>
          <w:highlight w:val="none"/>
          <w14:textFill>
            <w14:solidFill>
              <w14:schemeClr w14:val="tx1"/>
            </w14:solidFill>
          </w14:textFill>
        </w:rPr>
        <w:t>的资格文件进行审查，审查各</w:t>
      </w:r>
      <w:r>
        <w:rPr>
          <w:rFonts w:hint="eastAsia" w:asciiTheme="minorEastAsia" w:hAnsiTheme="minorEastAsia" w:eastAsiaTheme="minorEastAsia" w:cstheme="minorEastAsia"/>
          <w:bCs/>
          <w:color w:val="000000" w:themeColor="text1"/>
          <w:kern w:val="0"/>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kern w:val="0"/>
          <w:sz w:val="24"/>
          <w:szCs w:val="24"/>
          <w:highlight w:val="none"/>
          <w14:textFill>
            <w14:solidFill>
              <w14:schemeClr w14:val="tx1"/>
            </w14:solidFill>
          </w14:textFill>
        </w:rPr>
        <w:t>的资格符合情况。</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采购人或采购代理机构对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所提交的资格证明材料仅负审核的责任。如发现</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所提交的资格证明材料不合法或与事实不符，采购人可取消其中标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资格并追究</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的法律责任。</w:t>
      </w:r>
    </w:p>
    <w:p w14:paraId="1B4A13EA">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提交的资格证明材料无法证明其符合</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竞争性磋商文件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规定的“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资格要求”的，采购人或采购代理机构将对其作“资格审查不合格”处理（无效投标），并不再将其投标提交评标委员会进行后续评审。</w:t>
      </w:r>
    </w:p>
    <w:p w14:paraId="3AA0E07F">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（3）供应商信用记录查询与使用：见《供应商须知前附表》。</w:t>
      </w:r>
    </w:p>
    <w:p w14:paraId="03967828">
      <w:pPr>
        <w:keepNext w:val="0"/>
        <w:keepLines w:val="0"/>
        <w:pageBreakBefore w:val="0"/>
        <w:shd w:val="clear" w:color="auto" w:fill="auto"/>
        <w:kinsoku/>
        <w:wordWrap/>
        <w:overflowPunct/>
        <w:topLinePunct w:val="0"/>
        <w:bidi w:val="0"/>
        <w:snapToGrid w:val="0"/>
        <w:spacing w:line="480" w:lineRule="exact"/>
        <w:ind w:firstLine="482" w:firstLineChars="20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评审工作的组织</w:t>
      </w:r>
    </w:p>
    <w:p w14:paraId="7F0AD4E3">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采购人或采购代理机构负责组织本项目的评审工作，并依据《政府采购货物和服务招标投标管理办法（财政部第87号令）》第四十五条的相关规定履行职责。</w:t>
      </w:r>
    </w:p>
    <w:p w14:paraId="189D0551">
      <w:pPr>
        <w:keepNext w:val="0"/>
        <w:keepLines w:val="0"/>
        <w:pageBreakBefore w:val="0"/>
        <w:shd w:val="clear" w:color="auto" w:fill="auto"/>
        <w:kinsoku/>
        <w:wordWrap/>
        <w:overflowPunct/>
        <w:topLinePunct w:val="0"/>
        <w:bidi w:val="0"/>
        <w:snapToGrid w:val="0"/>
        <w:spacing w:line="480" w:lineRule="exact"/>
        <w:ind w:firstLine="482" w:firstLineChars="20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评标委员会的组建</w:t>
      </w:r>
    </w:p>
    <w:p w14:paraId="515A9C36">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.1评标委员会由采购人或采购代理机构依法组建，成员由采购人代表和评审专家组成，成员人数为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人或以上单数，其中评审专家不少于成员总数的三分之二。</w:t>
      </w:r>
    </w:p>
    <w:p w14:paraId="556F931C">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按照《中华人民共和国政府采购法》、《中华人民共和国政府采购法实施条例》及本项目本级和上级财政部门的有关规定依法在政采云平台</w:t>
      </w:r>
      <w:r>
        <w:rPr>
          <w:rFonts w:hint="eastAsia" w:asciiTheme="minorEastAsia" w:hAnsiTheme="minorEastAsia" w:eastAsiaTheme="minorEastAsia" w:cstheme="minorEastAsia"/>
          <w:b/>
          <w:bCs/>
          <w:color w:val="000000" w:themeColor="text1"/>
          <w:sz w:val="24"/>
          <w:highlight w:val="none"/>
          <w:u w:val="single"/>
          <w:lang w:eastAsia="zh-CN"/>
          <w14:textFill>
            <w14:solidFill>
              <w14:schemeClr w14:val="tx1"/>
            </w14:solidFill>
          </w14:textFill>
        </w:rPr>
        <w:t>随机</w:t>
      </w:r>
      <w:r>
        <w:rPr>
          <w:rFonts w:hint="eastAsia" w:asciiTheme="minorEastAsia" w:hAnsiTheme="minorEastAsia" w:eastAsiaTheme="minorEastAsia" w:cstheme="minorEastAsia"/>
          <w:b/>
          <w:bCs/>
          <w:color w:val="000000" w:themeColor="text1"/>
          <w:sz w:val="24"/>
          <w:highlight w:val="none"/>
          <w:u w:val="single"/>
          <w14:textFill>
            <w14:solidFill>
              <w14:schemeClr w14:val="tx1"/>
            </w14:solidFill>
          </w14:textFill>
        </w:rPr>
        <w:t>抽取3人</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，组成</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磋商</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小组，负责评审工作</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68DA1030">
      <w:pPr>
        <w:keepNext w:val="0"/>
        <w:keepLines w:val="0"/>
        <w:pageBreakBefore w:val="0"/>
        <w:shd w:val="clear" w:color="auto" w:fill="auto"/>
        <w:kinsoku/>
        <w:wordWrap/>
        <w:overflowPunct/>
        <w:topLinePunct w:val="0"/>
        <w:bidi w:val="0"/>
        <w:snapToGrid w:val="0"/>
        <w:spacing w:line="480" w:lineRule="exact"/>
        <w:ind w:firstLine="482" w:firstLineChars="20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评标委员会的职责</w:t>
      </w:r>
    </w:p>
    <w:p w14:paraId="2B00D876">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.1审查、评价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是否符合</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竞争性磋商文件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的商务、技术等实质性要求。</w:t>
      </w:r>
    </w:p>
    <w:p w14:paraId="6530D213">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.2要求供应商对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有关事项作出澄清或者说明。</w:t>
      </w:r>
    </w:p>
    <w:p w14:paraId="68994414">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进行比较和评价。</w:t>
      </w:r>
    </w:p>
    <w:p w14:paraId="74992938">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.4确定中标候选人名单，以及根据采购人委托直接确定中标人。</w:t>
      </w:r>
    </w:p>
    <w:p w14:paraId="6365F3F5">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.5向采购人、采购代理机构或者有关部门报告评审中发现的违法行为。</w:t>
      </w:r>
    </w:p>
    <w:p w14:paraId="5004BCF4">
      <w:pPr>
        <w:keepNext w:val="0"/>
        <w:keepLines w:val="0"/>
        <w:pageBreakBefore w:val="0"/>
        <w:widowControl/>
        <w:shd w:val="clear" w:color="auto" w:fill="auto"/>
        <w:kinsoku/>
        <w:wordWrap/>
        <w:overflowPunct/>
        <w:topLinePunct w:val="0"/>
        <w:autoSpaceDE/>
        <w:autoSpaceDN/>
        <w:bidi w:val="0"/>
        <w:spacing w:line="480" w:lineRule="exact"/>
        <w:ind w:firstLine="482" w:firstLineChars="20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评标原则</w:t>
      </w:r>
    </w:p>
    <w:p w14:paraId="67EC227B">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.1评标委员会将遵循公平、公正、科学的原则，对供应商提交的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进行综合评审，评标委员会按照</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竞争性磋商文件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规定的评标细则进行评分。</w:t>
      </w:r>
    </w:p>
    <w:p w14:paraId="46C1663A">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.2客观公正对待所有供应商，对所有投标评价均采用相同的程序和标准。 </w:t>
      </w:r>
    </w:p>
    <w:p w14:paraId="519F6F08">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.3评标委员会成员对需要共同认定的事项存在争议的，按照少数服从多数的原则作出结论。持不同意见的评标委员会成员应当在评审报告上签署不同意见及理由，否则视为同意评审报告。</w:t>
      </w:r>
    </w:p>
    <w:p w14:paraId="2A10FBF1">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人推荐资格；评审得分相同的，由采购人或者采购人委托评标委员会按照</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竞争性磋商文件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规定的方式确定一个供应商获得中标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人推荐资格，</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竞争性磋商文件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未规定的采取随机抽取方式确定，其他同品牌供应商不作为中标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候选人。</w:t>
      </w:r>
    </w:p>
    <w:p w14:paraId="72182E52">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非单一产品采购项目，采购人应当根据采购项目技术构成、产品价格比重等合理确定核心产品，并在</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竞争性磋商文件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中载明。多家供应商提供的核心产品品牌相同的，按前款规定处理。      </w:t>
      </w:r>
    </w:p>
    <w:p w14:paraId="5760BF3C">
      <w:pPr>
        <w:keepNext w:val="0"/>
        <w:keepLines w:val="0"/>
        <w:pageBreakBefore w:val="0"/>
        <w:widowControl/>
        <w:shd w:val="clear" w:color="auto" w:fill="auto"/>
        <w:kinsoku/>
        <w:wordWrap/>
        <w:overflowPunct/>
        <w:topLinePunct w:val="0"/>
        <w:bidi w:val="0"/>
        <w:spacing w:line="480" w:lineRule="exact"/>
        <w:ind w:firstLine="482" w:firstLineChars="20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评委纪律</w:t>
      </w:r>
    </w:p>
    <w:p w14:paraId="3ABD26DC">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评标委员会成员必须严格遵守保密规定</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不得携带手机进入评标场所</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，不得泄露评审的有关情况，任何单位和个人不得干扰、影响评标的正常进行，评标委员会成员不得私下与</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接触，不得出现</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新疆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政府采购活动现场组织管理办法中规定的其他禁止行为。</w:t>
      </w:r>
    </w:p>
    <w:p w14:paraId="3D78082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7.2</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评标专家</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与供应商有下列利害关系之一的人员，应当回避</w:t>
      </w:r>
    </w:p>
    <w:p w14:paraId="47A1374A">
      <w:pPr>
        <w:pStyle w:val="51"/>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1）参加采购活动前3年内与供应商存在劳动关系；</w:t>
      </w:r>
    </w:p>
    <w:p w14:paraId="6E239A0C">
      <w:pPr>
        <w:pStyle w:val="51"/>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2）参加采购活动前3年内担任供应商的董事、监事；</w:t>
      </w:r>
    </w:p>
    <w:p w14:paraId="28006BF4">
      <w:pPr>
        <w:pStyle w:val="51"/>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3）参加采购活动前3年内是供应商的控股股东或者实际控制人；</w:t>
      </w:r>
    </w:p>
    <w:p w14:paraId="49104E0C">
      <w:pPr>
        <w:pStyle w:val="51"/>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4）与供应商的法定代表人或者负责人有夫妻、直系血亲、三代以内旁系血亲或者近姻亲关系。</w:t>
      </w:r>
    </w:p>
    <w:p w14:paraId="630C0ED7">
      <w:pPr>
        <w:keepNext w:val="0"/>
        <w:keepLines w:val="0"/>
        <w:pageBreakBefore w:val="0"/>
        <w:widowControl/>
        <w:shd w:val="clear" w:color="auto" w:fill="auto"/>
        <w:kinsoku/>
        <w:wordWrap/>
        <w:overflowPunct/>
        <w:topLinePunct w:val="0"/>
        <w:bidi w:val="0"/>
        <w:spacing w:line="480" w:lineRule="exact"/>
        <w:ind w:firstLine="482" w:firstLineChars="20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评标程序</w:t>
      </w:r>
    </w:p>
    <w:p w14:paraId="132B4CA0">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 在评审专家中推选评标委员会组长，采购人代表不得担任评标委员会组长。</w:t>
      </w:r>
    </w:p>
    <w:p w14:paraId="29963E39">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 评标委员会组长召集成员认真阅读</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竞争性磋商文件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以及相关补充、质疑、答复文件、项目书面说明等材料，熟悉采购项目的基本概况，采购项目的质量要求、数量、主要技术标准或服务需求，采购合同主要条款，</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无效情形，评审方法、评审依据、评审标准等。</w:t>
      </w:r>
    </w:p>
    <w:p w14:paraId="1625F68C">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3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评审专家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对符合资格的供应商的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的有效性、符合性、完整性和响应程度进行审查，确定是否对</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竞争性磋商文件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作出实质性响应。</w:t>
      </w:r>
    </w:p>
    <w:p w14:paraId="4540FFB6">
      <w:pPr>
        <w:keepNext w:val="0"/>
        <w:keepLines w:val="0"/>
        <w:pageBreakBefore w:val="0"/>
        <w:widowControl/>
        <w:shd w:val="clear" w:color="auto" w:fill="auto"/>
        <w:kinsoku/>
        <w:wordWrap/>
        <w:overflowPunct/>
        <w:topLinePunct w:val="0"/>
        <w:bidi w:val="0"/>
        <w:spacing w:line="480" w:lineRule="exact"/>
        <w:ind w:firstLine="480"/>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8.4竞争性磋商共有两次报价，二次报价为最终报价，对竞争性磋商文件做出实质性响应的供应商，评审专家所有成员应当集中与单一供应商分别进行磋商，并给予所有参加磋商的供应商平等的磋商机会。评审专家要求所有实质性响应的供应商在规定时间内提交最后报价（提交最后报价的供应商不得少于3家），最后报价是供应商响应文件的有效组成部分，经磋商确定最终采购需求和提交最后报价的供应商后，由评审专家采用综合评分法对提交最后报价的供应商的响应文件进行综合评分。</w:t>
      </w:r>
    </w:p>
    <w:p w14:paraId="62E6F79E">
      <w:pPr>
        <w:keepNext w:val="0"/>
        <w:keepLines w:val="0"/>
        <w:pageBreakBefore w:val="0"/>
        <w:widowControl/>
        <w:shd w:val="clear" w:color="auto" w:fill="auto"/>
        <w:kinsoku/>
        <w:wordWrap/>
        <w:overflowPunct/>
        <w:topLinePunct w:val="0"/>
        <w:bidi w:val="0"/>
        <w:spacing w:line="480" w:lineRule="exact"/>
        <w:ind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8.5</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评审专家</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按</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竞争性磋商文</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规定的评审方法和评审标准，依法独立对供应商</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进行评估、比较，并给予评价或打分，不受任何单位和个人的干预。</w:t>
      </w:r>
    </w:p>
    <w:p w14:paraId="276ED2C8">
      <w:pPr>
        <w:keepNext w:val="0"/>
        <w:keepLines w:val="0"/>
        <w:pageBreakBefore w:val="0"/>
        <w:widowControl/>
        <w:shd w:val="clear" w:color="auto" w:fill="auto"/>
        <w:kinsoku/>
        <w:wordWrap/>
        <w:overflowPunct/>
        <w:topLinePunct w:val="0"/>
        <w:bidi w:val="0"/>
        <w:spacing w:line="480" w:lineRule="exact"/>
        <w:ind w:firstLine="48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eastAsia="zh-CN"/>
          <w14:textFill>
            <w14:solidFill>
              <w14:schemeClr w14:val="tx1"/>
            </w14:solidFill>
          </w14:textFill>
        </w:rPr>
        <w:t>本项目采用：</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综合评分法</w:t>
      </w:r>
      <w:r>
        <w:rPr>
          <w:rFonts w:hint="eastAsia" w:asciiTheme="minorEastAsia" w:hAnsiTheme="minorEastAsia" w:eastAsiaTheme="minorEastAsia" w:cstheme="minorEastAsia"/>
          <w:b/>
          <w:bCs/>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是指响应文件满足磋商文件全部实质性要求且按评审因素的量化指标评审得分最高的供应商为成交候选供应商的评审方法。</w:t>
      </w:r>
    </w:p>
    <w:p w14:paraId="291C9A92">
      <w:pPr>
        <w:keepNext w:val="0"/>
        <w:keepLines w:val="0"/>
        <w:pageBreakBefore w:val="0"/>
        <w:widowControl/>
        <w:shd w:val="clear" w:color="auto" w:fill="auto"/>
        <w:kinsoku/>
        <w:wordWrap/>
        <w:overflowPunct/>
        <w:topLinePunct w:val="0"/>
        <w:bidi w:val="0"/>
        <w:spacing w:line="480" w:lineRule="exact"/>
        <w:ind w:firstLine="480"/>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综合评分法中的价格分统一采用低价优先法计算，即满足</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要求且最后报价最低的供应商的价格为</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招标</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基准价，其价格分为满分。</w:t>
      </w:r>
    </w:p>
    <w:p w14:paraId="73A97E30">
      <w:pPr>
        <w:keepNext w:val="0"/>
        <w:keepLines w:val="0"/>
        <w:pageBreakBefore w:val="0"/>
        <w:widowControl/>
        <w:shd w:val="clear" w:color="auto" w:fill="auto"/>
        <w:kinsoku/>
        <w:wordWrap/>
        <w:overflowPunct/>
        <w:topLinePunct w:val="0"/>
        <w:bidi w:val="0"/>
        <w:spacing w:line="480" w:lineRule="exact"/>
        <w:ind w:firstLine="48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项目评审过程中，不得去掉最后报价中的最高报价和最低报价。</w:t>
      </w:r>
    </w:p>
    <w:p w14:paraId="5BF9BA1C">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8.6</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评审专家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对各供应商</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0FCA6128">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8.7</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评审专家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需对采购方工作人员唱票或统计的评审结果进行确认，现场监督员应对评审结果签署监督意见。如发现分值汇总计算错误、分项评分超出评分标准范围、客观评分不一致以及存在评分畸高、畸低情形的，应由相关人员当场改正或作出书面说明；拒不改正又不作书面说明的，由现场监督员如实记载后存入项目档案资料。</w:t>
      </w:r>
    </w:p>
    <w:p w14:paraId="700C9767">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8.8</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评标委员会根据评审汇总情况和</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竞争性磋商文件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规定</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推荐</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中标中标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候选供应商排序名单。</w:t>
      </w:r>
    </w:p>
    <w:p w14:paraId="3BF6851D">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8.9</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起草评审报告，所有</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评审专家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须在评审报告上签字确认，对自己的评审意见承担法律责任。 </w:t>
      </w:r>
    </w:p>
    <w:p w14:paraId="7B79E625">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8.10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采购组织机构对评标委员会评审专家进行评价。</w:t>
      </w:r>
    </w:p>
    <w:p w14:paraId="1DDE58E4">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8.11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修改评审结果</w:t>
      </w:r>
    </w:p>
    <w:p w14:paraId="2B08B91B">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评标结果汇总完成后，除下列情形外，任何人不得修改评标结果：</w:t>
      </w:r>
    </w:p>
    <w:p w14:paraId="4A2B7993">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（1）分值汇总计算错误的；</w:t>
      </w:r>
    </w:p>
    <w:p w14:paraId="4C28E539">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（2）分项评分超出评分标准范围的；</w:t>
      </w:r>
    </w:p>
    <w:p w14:paraId="54D901E6">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（3）评标委员会成员对客观评审因素评分不一致的；</w:t>
      </w:r>
    </w:p>
    <w:p w14:paraId="230D9622">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（4）经评标委员会认定评分畸高、畸低的。</w:t>
      </w:r>
    </w:p>
    <w:p w14:paraId="0588C19E">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30F6118">
      <w:pPr>
        <w:keepNext w:val="0"/>
        <w:keepLines w:val="0"/>
        <w:pageBreakBefore w:val="0"/>
        <w:shd w:val="clear" w:color="auto" w:fill="auto"/>
        <w:kinsoku/>
        <w:wordWrap/>
        <w:overflowPunct/>
        <w:topLinePunct w:val="0"/>
        <w:bidi w:val="0"/>
        <w:spacing w:line="480" w:lineRule="exact"/>
        <w:ind w:firstLine="482" w:firstLineChars="200"/>
        <w:jc w:val="left"/>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9、澄清、说明或补正的形式</w:t>
      </w:r>
    </w:p>
    <w:p w14:paraId="54491C6C">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9.1对于响应文件中含义不明确、同类问题表述不一致或者有明显文字和计算错误的内容，评标委员会将通过“政府采购云平台”在线询标的方式要求供应商在规定的时间内作出必要的澄清、说明或者补正，</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供应商澄清、说明或补正时间为20分钟</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w:t>
      </w:r>
    </w:p>
    <w:p w14:paraId="54CFD34C">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9.2供应商的澄清、说明或者补正应当通过“政府采购云平台”在线答复的方式提交，并加盖公章（电子印章），或者由法定代表人（负责人）或其授权的代表签字。供应商的澄清、说明或者补正不得超出响应文件的范围或者改变响应文件的实质性内容，不接受供应商主动对响应文件的澄清、说明或者补正。</w:t>
      </w:r>
    </w:p>
    <w:p w14:paraId="4778A3E2">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9.3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45DCD7AF">
      <w:pPr>
        <w:keepNext w:val="0"/>
        <w:keepLines w:val="0"/>
        <w:pageBreakBefore w:val="0"/>
        <w:shd w:val="clear" w:color="auto" w:fill="auto"/>
        <w:kinsoku/>
        <w:wordWrap/>
        <w:overflowPunct/>
        <w:topLinePunct w:val="0"/>
        <w:bidi w:val="0"/>
        <w:spacing w:line="480" w:lineRule="exact"/>
        <w:ind w:firstLine="482" w:firstLineChars="200"/>
        <w:jc w:val="left"/>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10、错误修正的原则</w:t>
      </w:r>
    </w:p>
    <w:p w14:paraId="1D1D748F">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10.1电子交易平台客户端里开标一览表录入的磋商报价或优惠率与扫描上传的报价文件信息不一致的，以扫描上传的报价文件信息为准进行修正。</w:t>
      </w:r>
    </w:p>
    <w:p w14:paraId="3DC72F06">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10.2响应文件报价出现前后不一致的，除竞争性磋商文件另有规定外，按照下列规定修正：</w:t>
      </w:r>
    </w:p>
    <w:p w14:paraId="61494CDF">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10.3投标函中表述的内容与报价表中不一致的，以报价表为准；报价表中的内容与报价明细表不一致的，以报价表为准；</w:t>
      </w:r>
    </w:p>
    <w:p w14:paraId="54735898">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10.4响应文件中的大写金额和小写金额不一致的，以大写金额为准；</w:t>
      </w:r>
    </w:p>
    <w:p w14:paraId="6B7212AD">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10.5单价金额小数点或者百分比有明显错位的，以开标一览表的总价为准，并修改单价；</w:t>
      </w:r>
    </w:p>
    <w:p w14:paraId="117ACA9E">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10.6总价金额与按单价汇总金额不一致的，以单价金额计算结果为准；</w:t>
      </w:r>
    </w:p>
    <w:p w14:paraId="2065A1BE">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10.7若用文字表示的数值与用数字表示的数值不一致，以文字表示的数值为准；</w:t>
      </w:r>
    </w:p>
    <w:p w14:paraId="3E073E35">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10.8如有多报（指数量超出竞争性磋商文件需求）、重报（指同一货物重复报价），其投标总价在评标过程中不予调整，如其中标，其合同价按其投标单价予以调整；</w:t>
      </w:r>
    </w:p>
    <w:p w14:paraId="52F5E392">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10.9对不同文字文本响应文件的解释发生异议的，以中文文本为准；</w:t>
      </w:r>
    </w:p>
    <w:p w14:paraId="2F30C640">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同时出现两种以上不一致的，按照前款规定的顺序修正。按上述修正错误的原则及方法调整或修正响应文件的投标报价，供应商确认后，以调整或修正后的投标报价为准。如供应商拒绝调整或修正的，其响应文件按无效标处理。</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修正应当采用电子标的形式，并加盖公章（电子印章）。</w:t>
      </w:r>
    </w:p>
    <w:p w14:paraId="2B5BCE77">
      <w:pPr>
        <w:keepNext w:val="0"/>
        <w:keepLines w:val="0"/>
        <w:pageBreakBefore w:val="0"/>
        <w:shd w:val="clear" w:color="auto" w:fill="auto"/>
        <w:kinsoku/>
        <w:wordWrap/>
        <w:overflowPunct/>
        <w:topLinePunct w:val="0"/>
        <w:bidi w:val="0"/>
        <w:spacing w:line="480" w:lineRule="exact"/>
        <w:ind w:firstLine="482" w:firstLineChars="2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11、有下列情形之一的，响应文件按无效标处理：</w:t>
      </w:r>
    </w:p>
    <w:p w14:paraId="5ED137F2">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11.1 报名的供应商与参加投标的供应商发生实质性变更的且未提供有效证明的；</w:t>
      </w:r>
    </w:p>
    <w:p w14:paraId="5376D7FE">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11.2供应商提交两份或两份以上内容不同的响应文件，未声明哪一份有效的；</w:t>
      </w:r>
    </w:p>
    <w:p w14:paraId="376FD2EC">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11.3 响应文件非供应商法定代表人签署的，未提供或提供无效的法定代表人授权书的；</w:t>
      </w:r>
    </w:p>
    <w:p w14:paraId="66E81ABB">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11.4响应文件内容未按</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竞争性</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磋商文件规定签字或盖章的；</w:t>
      </w:r>
    </w:p>
    <w:p w14:paraId="7DBA716C">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11.5 响应文件组成漏项或未按规定的格式编制或上传的响应文件内容不全或内容字迹模糊辨认不清的而导致评标活动无法正常进行；</w:t>
      </w:r>
    </w:p>
    <w:p w14:paraId="0861BC75">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11.6供应商未按</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竞争性</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磋商文件变更通知更改响应文件的；</w:t>
      </w:r>
    </w:p>
    <w:p w14:paraId="691C312E">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11.7《开标一览表》和《投标分项报价表》内容不完整且不接受修正意见或字迹不能辨认的或未提供的；</w:t>
      </w:r>
    </w:p>
    <w:p w14:paraId="6578E57F">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11.8标项投标报价超过</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竞争性</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磋商文件规定的预算金额或最高限价；</w:t>
      </w:r>
    </w:p>
    <w:p w14:paraId="7804EA48">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11.9 因供应商原因编制错误造成经评标委员会修正后的报价达到或超过投标报价的0.5%；</w:t>
      </w:r>
    </w:p>
    <w:p w14:paraId="49B2C1C0">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11.10供应商的报价明显低于其他通过符合性审查供应商的报价，有可能影响产品质量或者不能诚信履约的，且在规定时间内不能合理说明原因并提供证明材料的；</w:t>
      </w:r>
    </w:p>
    <w:p w14:paraId="4EE8A2B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11.11未实质性响应</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竞争性</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磋商文件中条款要求的响应文件；</w:t>
      </w:r>
    </w:p>
    <w:p w14:paraId="40E6737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11.12不符合招标范围、技术规格、技术标准的要求无法满足采购人使用要求；</w:t>
      </w:r>
    </w:p>
    <w:p w14:paraId="43D1F6DC">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11.13响应文件附有采购人不能接受的条款；</w:t>
      </w:r>
    </w:p>
    <w:p w14:paraId="204F8677">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11.14响应文件中提供了赠品或者与本项目采购无关的其他商品、服务；</w:t>
      </w:r>
    </w:p>
    <w:p w14:paraId="2A98724C">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11.15响应文件中承诺的投标有效期少于磋商文件中载明的投标有效期；</w:t>
      </w:r>
    </w:p>
    <w:p w14:paraId="18AEE8C9">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11.16供应商串通投标，妨碍其他供应商的竞争行为，损害采购人或者其他供应商的合法权益；</w:t>
      </w:r>
    </w:p>
    <w:p w14:paraId="18F750E7">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11.17违反国家及政府部门相关法律、法规、文件规定或经评标委员会认定的其他属于重大偏离；</w:t>
      </w:r>
    </w:p>
    <w:p w14:paraId="68488C18">
      <w:pPr>
        <w:keepNext w:val="0"/>
        <w:keepLines w:val="0"/>
        <w:pageBreakBefore w:val="0"/>
        <w:shd w:val="clear" w:color="auto" w:fill="auto"/>
        <w:kinsoku/>
        <w:wordWrap/>
        <w:overflowPunct/>
        <w:topLinePunct w:val="0"/>
        <w:bidi w:val="0"/>
        <w:spacing w:line="480" w:lineRule="exact"/>
        <w:ind w:firstLine="482" w:firstLineChars="200"/>
        <w:jc w:val="left"/>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12、废标</w:t>
      </w:r>
    </w:p>
    <w:p w14:paraId="34CF8746">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12.1符合</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竞争性</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磋商文件规定废标情形的；</w:t>
      </w:r>
    </w:p>
    <w:p w14:paraId="5BD19D49">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12.2出现影响采购公正的违法、违规行为的；</w:t>
      </w:r>
    </w:p>
    <w:p w14:paraId="73BC8959">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12.3供应商的报价均超过了采购预算（或最高限价），采购人不能支付的;</w:t>
      </w:r>
    </w:p>
    <w:p w14:paraId="1BA60CF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12.4因重大变故，采购任务取消的。</w:t>
      </w:r>
    </w:p>
    <w:p w14:paraId="07CE0B2E">
      <w:pPr>
        <w:keepNext w:val="0"/>
        <w:keepLines w:val="0"/>
        <w:pageBreakBefore w:val="0"/>
        <w:shd w:val="clear" w:color="auto" w:fill="auto"/>
        <w:kinsoku/>
        <w:wordWrap/>
        <w:overflowPunct/>
        <w:topLinePunct w:val="0"/>
        <w:bidi w:val="0"/>
        <w:spacing w:line="480" w:lineRule="exact"/>
        <w:ind w:firstLine="482" w:firstLineChars="200"/>
        <w:jc w:val="left"/>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13、突发情况处理</w:t>
      </w:r>
    </w:p>
    <w:p w14:paraId="15811AD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13.1采购过程中出现以下情形，导致电子交易平台无法正常运行，或者无法保证电子交易的公平、公正和安全时，采购组织机构可中止电子交易活动：</w:t>
      </w:r>
    </w:p>
    <w:p w14:paraId="4BB2E1EF">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 xml:space="preserve">（1）电子交易平台发生故障而无法登录访问的； </w:t>
      </w:r>
    </w:p>
    <w:p w14:paraId="69A7991D">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（2）电子交易平台应用或数据库出现错误，不能进行正常操作的；</w:t>
      </w:r>
    </w:p>
    <w:p w14:paraId="6E2D6FAA">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（3）电子交易平台发现严重安全漏洞，有潜在泄密危险的；</w:t>
      </w:r>
    </w:p>
    <w:p w14:paraId="424DD610">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 xml:space="preserve">（4）病毒发作导致不能进行正常操作的； </w:t>
      </w:r>
    </w:p>
    <w:p w14:paraId="38C73DB5">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（5）其他无法保证电子交易的公平、公正和安全的情况。</w:t>
      </w:r>
    </w:p>
    <w:p w14:paraId="338F547D">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14:paraId="058BE388">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13.2采购代理机构或评审小组因不可抗力（不可抗力包括但不限于自然灾害、断电、传播疫病等）原因造成电子交易活动无法正常运行的，将采取以下措施：</w:t>
      </w:r>
    </w:p>
    <w:p w14:paraId="146EFA39">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 xml:space="preserve">（1）短时间内能消除不可抗力因素的，采购代理机构或评审小组在消除不可抗力因素后继续组织电子交易活动； </w:t>
      </w:r>
    </w:p>
    <w:p w14:paraId="529FAF68">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（2）长时间内无法消除不可抗力因素的，采购代理机构或评审小组将中止电子交易活动。中止电子交易活动的，采购人应当重新组织政府采购活动。</w:t>
      </w:r>
    </w:p>
    <w:p w14:paraId="709F4E03">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exact"/>
        <w:ind w:firstLine="482" w:firstLineChars="200"/>
        <w:jc w:val="both"/>
        <w:textAlignment w:val="baseline"/>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w w:val="100"/>
          <w:sz w:val="24"/>
          <w:szCs w:val="24"/>
          <w:highlight w:val="none"/>
          <w:lang w:val="en-US" w:eastAsia="zh-CN"/>
          <w14:textFill>
            <w14:solidFill>
              <w14:schemeClr w14:val="tx1"/>
            </w14:solidFill>
          </w14:textFill>
        </w:rPr>
        <w:t>14.保密要求：</w:t>
      </w:r>
    </w:p>
    <w:p w14:paraId="73A60DC5">
      <w:pPr>
        <w:keepNext w:val="0"/>
        <w:keepLines w:val="0"/>
        <w:pageBreakBefore w:val="0"/>
        <w:widowControl/>
        <w:kinsoku/>
        <w:wordWrap/>
        <w:overflowPunct/>
        <w:topLinePunct w:val="0"/>
        <w:autoSpaceDE/>
        <w:autoSpaceDN/>
        <w:bidi w:val="0"/>
        <w:adjustRightInd/>
        <w:snapToGrid/>
        <w:spacing w:line="480" w:lineRule="exact"/>
        <w:ind w:firstLine="240" w:firstLineChars="100"/>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采购人、采购代理机构确保</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评标</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活动在严格保密的情况下进行。在采购结果确定前，采购人、采购代理机构对</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评审专家</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名单保密。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与</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评审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工作无关的人员不得进入现场</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。有关人员须对评审情况以及在评审过程中获悉的国家秘密、商业秘密负有保密责任</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p>
    <w:p w14:paraId="3203FAD3">
      <w:pPr>
        <w:keepNext w:val="0"/>
        <w:keepLines w:val="0"/>
        <w:pageBreakBefore w:val="0"/>
        <w:numPr>
          <w:ilvl w:val="0"/>
          <w:numId w:val="0"/>
        </w:numPr>
        <w:shd w:val="clear" w:color="auto" w:fill="auto"/>
        <w:kinsoku/>
        <w:wordWrap/>
        <w:overflowPunct/>
        <w:topLinePunct w:val="0"/>
        <w:bidi w:val="0"/>
        <w:snapToGrid w:val="0"/>
        <w:spacing w:line="480" w:lineRule="exact"/>
        <w:ind w:firstLine="482" w:firstLineChars="20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15.</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定标</w:t>
      </w:r>
    </w:p>
    <w:p w14:paraId="3B037732">
      <w:pPr>
        <w:keepNext w:val="0"/>
        <w:keepLines w:val="0"/>
        <w:pageBreakBefore w:val="0"/>
        <w:numPr>
          <w:ilvl w:val="0"/>
          <w:numId w:val="0"/>
        </w:numPr>
        <w:shd w:val="clear" w:color="auto" w:fill="auto"/>
        <w:kinsoku/>
        <w:wordWrap/>
        <w:overflowPunct/>
        <w:topLinePunct w:val="0"/>
        <w:bidi w:val="0"/>
        <w:snapToGrid w:val="0"/>
        <w:spacing w:line="480" w:lineRule="exact"/>
        <w:ind w:firstLine="480" w:firstLineChars="200"/>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15.1采购结果确认（确定</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(成交)</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供应商）</w:t>
      </w:r>
    </w:p>
    <w:p w14:paraId="6171A243">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采购结果确认（确定</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(成交)</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供应商）：本项目由采购人根据评审专家提交的《评审报告》，通过“政府采购云平台”依法确认采购结果、确定</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(成交)</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供应商。具体流程如下：</w:t>
      </w:r>
    </w:p>
    <w:p w14:paraId="3631504A">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（1）采购代理机构将在评审结束后2个工作日内将评审报告送采购人，同时在政采云平台提交采购结果至采购人确认。</w:t>
      </w:r>
    </w:p>
    <w:p w14:paraId="2933952F">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（2）采购人将在收到评审报告之日起5个工作日内，在评审报告推荐的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(成交)</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候选供应商名单中按顺序确定</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(成交)</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 xml:space="preserve">供应商，并将确认意见以书面形式回复采购代理机构，同时在政采云平台线上确认采购结果。 </w:t>
      </w:r>
    </w:p>
    <w:p w14:paraId="54A34410">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15.2采购结果经采购人确认后2个工作日内，采购代理机构将在</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新疆政府采购网（www.zjzfcg.gov.cn）上公示采购结果，中标（成交）公示期限为1个工作日。</w:t>
      </w:r>
    </w:p>
    <w:p w14:paraId="12F2CF69">
      <w:pPr>
        <w:keepNext w:val="0"/>
        <w:keepLines w:val="0"/>
        <w:pageBreakBefore w:val="0"/>
        <w:shd w:val="clear" w:color="auto" w:fill="auto"/>
        <w:kinsoku/>
        <w:wordWrap/>
        <w:overflowPunct/>
        <w:topLinePunct w:val="0"/>
        <w:bidi w:val="0"/>
        <w:spacing w:line="480" w:lineRule="exact"/>
        <w:ind w:firstLine="482" w:firstLineChars="200"/>
        <w:jc w:val="left"/>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16.中标（成交）通知书</w:t>
      </w:r>
    </w:p>
    <w:p w14:paraId="3241F704">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16.1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在</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中标（成交）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通知书发出前，</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将</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中标（成交）供应商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的情况在</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新疆政府采购网</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予以公示，</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公示期为</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一</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个工作日。</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待公示期结束后，</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采购组织机构向</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(成交)供应商</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发出中标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（成交）</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通知书。</w:t>
      </w:r>
    </w:p>
    <w:p w14:paraId="6B84CA4F">
      <w:pPr>
        <w:pStyle w:val="7"/>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16.2中标（成交）通知书作为签订合同的重要依据，对采购人和中标（成交）供应商均具有法律效力。采购人改变中标（成交）结果或者中标（成交）供应商放弃中标（成交）项目的都应承担法律责任。成交供应商不得向他人转让中标（成交）项目，也不得将中标（成交）项目肢解后分别向他人转让。</w:t>
      </w:r>
    </w:p>
    <w:p w14:paraId="526DA4DC">
      <w:pPr>
        <w:pStyle w:val="7"/>
        <w:keepNext w:val="0"/>
        <w:keepLines w:val="0"/>
        <w:pageBreakBefore w:val="0"/>
        <w:widowControl w:val="0"/>
        <w:numPr>
          <w:ilvl w:val="0"/>
          <w:numId w:val="4"/>
        </w:numPr>
        <w:kinsoku/>
        <w:wordWrap/>
        <w:overflowPunct/>
        <w:topLinePunct w:val="0"/>
        <w:bidi w:val="0"/>
        <w:snapToGrid w:val="0"/>
        <w:spacing w:before="0" w:beforeAutospacing="0" w:after="0" w:afterAutospacing="0" w:line="480" w:lineRule="exact"/>
        <w:ind w:firstLine="482" w:firstLineChars="200"/>
        <w:jc w:val="left"/>
        <w:textAlignment w:val="baseline"/>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磋商小组推荐成交候选供应商的数量</w:t>
      </w:r>
      <w:r>
        <w:rPr>
          <w:rFonts w:hint="eastAsia" w:asciiTheme="minorEastAsia" w:hAnsiTheme="minorEastAsia" w:eastAsiaTheme="minorEastAsia" w:cstheme="minorEastAsia"/>
          <w:b/>
          <w:bCs/>
          <w:color w:val="000000" w:themeColor="text1"/>
          <w:kern w:val="2"/>
          <w:sz w:val="24"/>
          <w:szCs w:val="24"/>
          <w:highlight w:val="none"/>
          <w:u w:val="single"/>
          <w:lang w:val="en-US" w:eastAsia="zh-CN" w:bidi="ar-SA"/>
          <w14:textFill>
            <w14:solidFill>
              <w14:schemeClr w14:val="tx1"/>
            </w14:solidFill>
          </w14:textFill>
        </w:rPr>
        <w:t>：3</w:t>
      </w: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 xml:space="preserve">。 </w:t>
      </w:r>
    </w:p>
    <w:p w14:paraId="672C3DF8">
      <w:pPr>
        <w:pStyle w:val="7"/>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480" w:lineRule="exact"/>
        <w:jc w:val="left"/>
        <w:textAlignment w:val="baseline"/>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p>
    <w:p w14:paraId="4F607C3E">
      <w:pPr>
        <w:pStyle w:val="7"/>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480" w:lineRule="exact"/>
        <w:jc w:val="left"/>
        <w:textAlignment w:val="baseline"/>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p>
    <w:p w14:paraId="7AE218D7">
      <w:pPr>
        <w:pStyle w:val="7"/>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480" w:lineRule="exact"/>
        <w:jc w:val="left"/>
        <w:textAlignment w:val="baseline"/>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p>
    <w:p w14:paraId="7955C059">
      <w:pPr>
        <w:pStyle w:val="7"/>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480" w:lineRule="exact"/>
        <w:jc w:val="left"/>
        <w:textAlignment w:val="baseline"/>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p>
    <w:p w14:paraId="0F84235E">
      <w:pPr>
        <w:pStyle w:val="7"/>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480" w:lineRule="exact"/>
        <w:jc w:val="left"/>
        <w:textAlignment w:val="baseline"/>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p>
    <w:p w14:paraId="00F9EDB5">
      <w:pPr>
        <w:pStyle w:val="7"/>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480" w:lineRule="exact"/>
        <w:jc w:val="left"/>
        <w:textAlignment w:val="baseline"/>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p>
    <w:p w14:paraId="384B9D50">
      <w:pPr>
        <w:pStyle w:val="7"/>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480" w:lineRule="exact"/>
        <w:jc w:val="left"/>
        <w:textAlignment w:val="baseline"/>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p>
    <w:p w14:paraId="62BC6D4D">
      <w:pPr>
        <w:pStyle w:val="7"/>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480" w:lineRule="exact"/>
        <w:jc w:val="left"/>
        <w:textAlignment w:val="baseline"/>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p>
    <w:p w14:paraId="150E7A98">
      <w:pPr>
        <w:pStyle w:val="36"/>
        <w:widowControl w:val="0"/>
        <w:numPr>
          <w:ilvl w:val="0"/>
          <w:numId w:val="0"/>
        </w:numPr>
        <w:spacing w:line="360" w:lineRule="auto"/>
        <w:jc w:val="both"/>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14:paraId="07F6AB4F">
      <w:pPr>
        <w:snapToGrid w:val="0"/>
        <w:spacing w:line="360" w:lineRule="exact"/>
        <w:jc w:val="center"/>
        <w:textAlignment w:val="baseline"/>
        <w:outlineLvl w:val="1"/>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bookmarkStart w:id="599" w:name="_Toc1826"/>
      <w:bookmarkStart w:id="600" w:name="_Toc31379"/>
      <w:bookmarkStart w:id="601" w:name="_Toc10077"/>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初步评审—资格性审查表</w:t>
      </w:r>
      <w:bookmarkEnd w:id="581"/>
      <w:bookmarkEnd w:id="582"/>
      <w:bookmarkEnd w:id="583"/>
      <w:bookmarkEnd w:id="584"/>
      <w:bookmarkEnd w:id="585"/>
      <w:bookmarkEnd w:id="586"/>
      <w:bookmarkEnd w:id="587"/>
      <w:bookmarkEnd w:id="588"/>
      <w:bookmarkEnd w:id="589"/>
      <w:bookmarkEnd w:id="590"/>
      <w:bookmarkEnd w:id="599"/>
      <w:bookmarkEnd w:id="600"/>
      <w:bookmarkEnd w:id="601"/>
    </w:p>
    <w:tbl>
      <w:tblPr>
        <w:tblStyle w:val="37"/>
        <w:tblpPr w:leftFromText="180" w:rightFromText="180" w:vertAnchor="text" w:horzAnchor="page" w:tblpXSpec="center" w:tblpY="116"/>
        <w:tblOverlap w:val="never"/>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7327"/>
        <w:gridCol w:w="773"/>
        <w:gridCol w:w="889"/>
        <w:gridCol w:w="727"/>
      </w:tblGrid>
      <w:tr w14:paraId="2109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51" w:type="dxa"/>
            <w:vMerge w:val="restart"/>
            <w:vAlign w:val="center"/>
          </w:tcPr>
          <w:p w14:paraId="4E9F57E3">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序号</w:t>
            </w:r>
          </w:p>
        </w:tc>
        <w:tc>
          <w:tcPr>
            <w:tcW w:w="7327" w:type="dxa"/>
            <w:vMerge w:val="restart"/>
            <w:vAlign w:val="center"/>
          </w:tcPr>
          <w:p w14:paraId="2460BDB9">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评审内容</w:t>
            </w:r>
          </w:p>
        </w:tc>
        <w:tc>
          <w:tcPr>
            <w:tcW w:w="2389" w:type="dxa"/>
            <w:gridSpan w:val="3"/>
            <w:vAlign w:val="center"/>
          </w:tcPr>
          <w:p w14:paraId="415F8D5E">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供应商</w:t>
            </w:r>
          </w:p>
        </w:tc>
      </w:tr>
      <w:tr w14:paraId="1D44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51" w:type="dxa"/>
            <w:vMerge w:val="continue"/>
            <w:vAlign w:val="center"/>
          </w:tcPr>
          <w:p w14:paraId="602C7ECC">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p>
        </w:tc>
        <w:tc>
          <w:tcPr>
            <w:tcW w:w="7327" w:type="dxa"/>
            <w:vMerge w:val="continue"/>
            <w:vAlign w:val="center"/>
          </w:tcPr>
          <w:p w14:paraId="293186A4">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p>
        </w:tc>
        <w:tc>
          <w:tcPr>
            <w:tcW w:w="773" w:type="dxa"/>
            <w:vAlign w:val="center"/>
          </w:tcPr>
          <w:p w14:paraId="193AC436">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是否合格</w:t>
            </w:r>
          </w:p>
        </w:tc>
        <w:tc>
          <w:tcPr>
            <w:tcW w:w="889" w:type="dxa"/>
            <w:vAlign w:val="center"/>
          </w:tcPr>
          <w:p w14:paraId="20E54861">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是否合格</w:t>
            </w:r>
          </w:p>
        </w:tc>
        <w:tc>
          <w:tcPr>
            <w:tcW w:w="727" w:type="dxa"/>
            <w:vAlign w:val="center"/>
          </w:tcPr>
          <w:p w14:paraId="4C0E74A7">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是否合格</w:t>
            </w:r>
          </w:p>
        </w:tc>
      </w:tr>
      <w:tr w14:paraId="0FEC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51" w:type="dxa"/>
            <w:vAlign w:val="center"/>
          </w:tcPr>
          <w:p w14:paraId="0A21DBA7">
            <w:pPr>
              <w:keepNext w:val="0"/>
              <w:keepLines w:val="0"/>
              <w:pageBreakBefore w:val="0"/>
              <w:widowControl/>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p>
        </w:tc>
        <w:tc>
          <w:tcPr>
            <w:tcW w:w="7327" w:type="dxa"/>
            <w:vAlign w:val="center"/>
          </w:tcPr>
          <w:p w14:paraId="1FD8201A">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right="0" w:rightChars="0"/>
              <w:textAlignment w:val="auto"/>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具有有效的营业执照</w:t>
            </w:r>
          </w:p>
        </w:tc>
        <w:tc>
          <w:tcPr>
            <w:tcW w:w="773" w:type="dxa"/>
          </w:tcPr>
          <w:p w14:paraId="5F2089F6">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889" w:type="dxa"/>
          </w:tcPr>
          <w:p w14:paraId="188F97C4">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727" w:type="dxa"/>
          </w:tcPr>
          <w:p w14:paraId="00C973D4">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59C22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551" w:type="dxa"/>
            <w:vAlign w:val="center"/>
          </w:tcPr>
          <w:p w14:paraId="4412E468">
            <w:pPr>
              <w:keepNext w:val="0"/>
              <w:keepLines w:val="0"/>
              <w:pageBreakBefore w:val="0"/>
              <w:widowControl/>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p>
        </w:tc>
        <w:tc>
          <w:tcPr>
            <w:tcW w:w="7327" w:type="dxa"/>
            <w:vAlign w:val="center"/>
          </w:tcPr>
          <w:p w14:paraId="28005D82">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right="0" w:rightChars="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t>提供法定代表人资格证明及授权书、被授权人身份证；(法定代表人投标需提供法定代表人身份证)</w:t>
            </w:r>
          </w:p>
        </w:tc>
        <w:tc>
          <w:tcPr>
            <w:tcW w:w="773" w:type="dxa"/>
          </w:tcPr>
          <w:p w14:paraId="52696A6E">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889" w:type="dxa"/>
          </w:tcPr>
          <w:p w14:paraId="1490223C">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727" w:type="dxa"/>
          </w:tcPr>
          <w:p w14:paraId="49FE997A">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03F5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1" w:type="dxa"/>
            <w:vAlign w:val="center"/>
          </w:tcPr>
          <w:p w14:paraId="62EC48E9">
            <w:pPr>
              <w:keepNext w:val="0"/>
              <w:keepLines w:val="0"/>
              <w:pageBreakBefore w:val="0"/>
              <w:widowControl/>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p>
        </w:tc>
        <w:tc>
          <w:tcPr>
            <w:tcW w:w="7327" w:type="dxa"/>
            <w:vAlign w:val="center"/>
          </w:tcPr>
          <w:p w14:paraId="58672F1E">
            <w:pPr>
              <w:pStyle w:val="3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rightChars="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t>本单位依法缴纳的近三个月内任意一个月的社会保险的凭据；</w:t>
            </w:r>
          </w:p>
        </w:tc>
        <w:tc>
          <w:tcPr>
            <w:tcW w:w="773" w:type="dxa"/>
          </w:tcPr>
          <w:p w14:paraId="13B63D52">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889" w:type="dxa"/>
          </w:tcPr>
          <w:p w14:paraId="05BDB576">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727" w:type="dxa"/>
          </w:tcPr>
          <w:p w14:paraId="5B46CDEA">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476B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51" w:type="dxa"/>
            <w:vAlign w:val="center"/>
          </w:tcPr>
          <w:p w14:paraId="6F6CB2E4">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4</w:t>
            </w:r>
          </w:p>
        </w:tc>
        <w:tc>
          <w:tcPr>
            <w:tcW w:w="7327" w:type="dxa"/>
            <w:vAlign w:val="center"/>
          </w:tcPr>
          <w:p w14:paraId="123AC101">
            <w:pPr>
              <w:spacing w:line="24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t>税务部门出具的近六个月任意一个月完税证明（依法免缴的应提供依法免缴的相关证明文件或零申报报表）；</w:t>
            </w:r>
          </w:p>
        </w:tc>
        <w:tc>
          <w:tcPr>
            <w:tcW w:w="773" w:type="dxa"/>
          </w:tcPr>
          <w:p w14:paraId="5E5C0A6A">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889" w:type="dxa"/>
          </w:tcPr>
          <w:p w14:paraId="774BFEF7">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727" w:type="dxa"/>
          </w:tcPr>
          <w:p w14:paraId="6B529108">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734E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51" w:type="dxa"/>
            <w:vAlign w:val="center"/>
          </w:tcPr>
          <w:p w14:paraId="64606694">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5</w:t>
            </w:r>
          </w:p>
        </w:tc>
        <w:tc>
          <w:tcPr>
            <w:tcW w:w="7327" w:type="dxa"/>
            <w:vAlign w:val="center"/>
          </w:tcPr>
          <w:p w14:paraId="0826322C">
            <w:pPr>
              <w:keepNext w:val="0"/>
              <w:keepLines w:val="0"/>
              <w:widowControl/>
              <w:suppressLineNumbers w:val="0"/>
              <w:jc w:val="left"/>
              <w:rPr>
                <w:rFonts w:hint="default" w:asciiTheme="minorEastAsia" w:hAnsiTheme="minorEastAsia" w:eastAsiaTheme="minorEastAsia" w:cstheme="minorEastAsia"/>
                <w:color w:val="000000" w:themeColor="text1"/>
                <w:sz w:val="24"/>
                <w:highlight w:val="none"/>
                <w:lang w:val="en-US"/>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投标人须</w:t>
            </w:r>
            <w:r>
              <w:rPr>
                <w:rFonts w:ascii="宋体" w:hAnsi="宋体" w:eastAsia="宋体" w:cs="宋体"/>
                <w:color w:val="000000" w:themeColor="text1"/>
                <w:kern w:val="0"/>
                <w:sz w:val="24"/>
                <w:szCs w:val="24"/>
                <w:highlight w:val="none"/>
                <w:lang w:val="en-US" w:eastAsia="zh-CN" w:bidi="ar"/>
                <w14:textFill>
                  <w14:solidFill>
                    <w14:schemeClr w14:val="tx1"/>
                  </w14:solidFill>
                </w14:textFill>
              </w:rPr>
              <w:t>提供近两年内（以投标截止日为基准倒推计算）任意一个完整自然年度的财务审计报告。完整自然年度指自 1 月 1 日起至 12 月 31 日止的连续十二个月期间，</w:t>
            </w:r>
            <w:r>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t>（成立不满一年的可提供近三个月的银行资信证明）；</w:t>
            </w:r>
          </w:p>
        </w:tc>
        <w:tc>
          <w:tcPr>
            <w:tcW w:w="773" w:type="dxa"/>
          </w:tcPr>
          <w:p w14:paraId="540C24B4">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889" w:type="dxa"/>
          </w:tcPr>
          <w:p w14:paraId="5810256D">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727" w:type="dxa"/>
          </w:tcPr>
          <w:p w14:paraId="6C91EB9D">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074A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51" w:type="dxa"/>
            <w:vAlign w:val="center"/>
          </w:tcPr>
          <w:p w14:paraId="1F8B94DD">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6</w:t>
            </w:r>
          </w:p>
        </w:tc>
        <w:tc>
          <w:tcPr>
            <w:tcW w:w="7327" w:type="dxa"/>
            <w:vAlign w:val="center"/>
          </w:tcPr>
          <w:p w14:paraId="39CF33D1">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right="0" w:rightChars="0"/>
              <w:textAlignment w:val="auto"/>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t>参与政府采购活动前3年内未被列入失信、重大税收违法案件、财政部门禁止参加政府采购活动的承诺书；</w:t>
            </w:r>
          </w:p>
        </w:tc>
        <w:tc>
          <w:tcPr>
            <w:tcW w:w="773" w:type="dxa"/>
          </w:tcPr>
          <w:p w14:paraId="610F0F0E">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889" w:type="dxa"/>
          </w:tcPr>
          <w:p w14:paraId="4B62A0F1">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727" w:type="dxa"/>
          </w:tcPr>
          <w:p w14:paraId="5D58471E">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73B6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51" w:type="dxa"/>
            <w:vAlign w:val="center"/>
          </w:tcPr>
          <w:p w14:paraId="44A0729C">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7</w:t>
            </w:r>
          </w:p>
        </w:tc>
        <w:tc>
          <w:tcPr>
            <w:tcW w:w="7327" w:type="dxa"/>
            <w:vAlign w:val="center"/>
          </w:tcPr>
          <w:p w14:paraId="0A602894">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right="0" w:rightChars="0"/>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t>提供针对本次项目的反商业贿赂承诺书;</w:t>
            </w:r>
          </w:p>
        </w:tc>
        <w:tc>
          <w:tcPr>
            <w:tcW w:w="773" w:type="dxa"/>
          </w:tcPr>
          <w:p w14:paraId="2177F495">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889" w:type="dxa"/>
          </w:tcPr>
          <w:p w14:paraId="0A70E6FC">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727" w:type="dxa"/>
          </w:tcPr>
          <w:p w14:paraId="652AD501">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0D22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51" w:type="dxa"/>
            <w:vAlign w:val="center"/>
          </w:tcPr>
          <w:p w14:paraId="50C126EA">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8</w:t>
            </w:r>
          </w:p>
        </w:tc>
        <w:tc>
          <w:tcPr>
            <w:tcW w:w="7327" w:type="dxa"/>
            <w:vAlign w:val="center"/>
          </w:tcPr>
          <w:p w14:paraId="6DFC177C">
            <w:pPr>
              <w:pStyle w:val="3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right="0" w:rightChars="0"/>
              <w:textAlignment w:val="auto"/>
              <w:rPr>
                <w:rFonts w:hint="eastAsia" w:asciiTheme="minorEastAsia" w:hAnsiTheme="minorEastAsia" w:eastAsiaTheme="minorEastAsia" w:cstheme="minorEastAsia"/>
                <w:i w:val="0"/>
                <w:iCs w:val="0"/>
                <w:caps w:val="0"/>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lang w:val="en-US" w:eastAsia="zh-CN"/>
                <w14:textFill>
                  <w14:solidFill>
                    <w14:schemeClr w14:val="tx1"/>
                  </w14:solidFill>
                </w14:textFill>
              </w:rPr>
              <w:t>根据《财政部关于在政府采购活动中查询及使用信用记录有关问题的通知》（财库﹝2016﹞125号）的要求，凡拟参加本次招标项目的供应商，如在“信用中国”网站（https://www.creditchina.gov.cn/） 被列入失信被执行人、重大税收违法失信主体名单、中国政府采购（http://www.ccgp.gov.cn/search/cr/）政府采购严重违法失信行为记录名单（尚在处罚期内的），国家企业信用信息公示系统（https://www.gsxt.gov.cn/index.html）被列入经营异常名录、严重违法失信名单，将拒绝其参加本次招标活动（以招标代理机构或采购人查询为准)；</w:t>
            </w:r>
          </w:p>
        </w:tc>
        <w:tc>
          <w:tcPr>
            <w:tcW w:w="773" w:type="dxa"/>
          </w:tcPr>
          <w:p w14:paraId="2C32B91E">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889" w:type="dxa"/>
          </w:tcPr>
          <w:p w14:paraId="0F5F11CB">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727" w:type="dxa"/>
          </w:tcPr>
          <w:p w14:paraId="048FDC1F">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5351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51" w:type="dxa"/>
            <w:vAlign w:val="center"/>
          </w:tcPr>
          <w:p w14:paraId="55C36B68">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9</w:t>
            </w:r>
          </w:p>
        </w:tc>
        <w:tc>
          <w:tcPr>
            <w:tcW w:w="7327" w:type="dxa"/>
            <w:vAlign w:val="center"/>
          </w:tcPr>
          <w:p w14:paraId="4516B44F">
            <w:pPr>
              <w:keepNext w:val="0"/>
              <w:keepLines w:val="0"/>
              <w:pageBreakBefore w:val="0"/>
              <w:widowControl/>
              <w:kinsoku/>
              <w:wordWrap/>
              <w:overflowPunct/>
              <w:topLinePunct w:val="0"/>
              <w:autoSpaceDE/>
              <w:autoSpaceDN/>
              <w:bidi w:val="0"/>
              <w:adjustRightInd/>
              <w:snapToGrid w:val="0"/>
              <w:spacing w:line="340" w:lineRule="exact"/>
              <w:jc w:val="left"/>
              <w:textAlignment w:val="baseline"/>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缴纳磋商保证金有效凭证</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p>
        </w:tc>
        <w:tc>
          <w:tcPr>
            <w:tcW w:w="773" w:type="dxa"/>
          </w:tcPr>
          <w:p w14:paraId="17ACEB99">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889" w:type="dxa"/>
          </w:tcPr>
          <w:p w14:paraId="67CDB6D8">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727" w:type="dxa"/>
          </w:tcPr>
          <w:p w14:paraId="7C8B81A6">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4D63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51" w:type="dxa"/>
            <w:vAlign w:val="center"/>
          </w:tcPr>
          <w:p w14:paraId="22A290BE">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10</w:t>
            </w:r>
          </w:p>
        </w:tc>
        <w:tc>
          <w:tcPr>
            <w:tcW w:w="7327" w:type="dxa"/>
            <w:vAlign w:val="center"/>
          </w:tcPr>
          <w:p w14:paraId="701BE93A">
            <w:pPr>
              <w:keepNext w:val="0"/>
              <w:keepLines w:val="0"/>
              <w:pageBreakBefore w:val="0"/>
              <w:widowControl/>
              <w:kinsoku/>
              <w:wordWrap/>
              <w:overflowPunct/>
              <w:topLinePunct w:val="0"/>
              <w:autoSpaceDE/>
              <w:autoSpaceDN/>
              <w:bidi w:val="0"/>
              <w:adjustRightInd/>
              <w:snapToGrid w:val="0"/>
              <w:spacing w:line="340" w:lineRule="exact"/>
              <w:jc w:val="left"/>
              <w:textAlignment w:val="baseline"/>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《中小企业声明函》；</w:t>
            </w:r>
          </w:p>
        </w:tc>
        <w:tc>
          <w:tcPr>
            <w:tcW w:w="773" w:type="dxa"/>
          </w:tcPr>
          <w:p w14:paraId="6E940F98">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889" w:type="dxa"/>
          </w:tcPr>
          <w:p w14:paraId="13125C79">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727" w:type="dxa"/>
          </w:tcPr>
          <w:p w14:paraId="696B7892">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14:paraId="7B12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51" w:type="dxa"/>
            <w:vAlign w:val="center"/>
          </w:tcPr>
          <w:p w14:paraId="7F43B280">
            <w:pPr>
              <w:keepNext w:val="0"/>
              <w:keepLines w:val="0"/>
              <w:pageBreakBefore w:val="0"/>
              <w:kinsoku/>
              <w:wordWrap/>
              <w:overflowPunct/>
              <w:topLinePunct w:val="0"/>
              <w:autoSpaceDE/>
              <w:autoSpaceDN/>
              <w:bidi w:val="0"/>
              <w:adjustRightInd/>
              <w:snapToGrid w:val="0"/>
              <w:spacing w:line="340" w:lineRule="exact"/>
              <w:jc w:val="center"/>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7327" w:type="dxa"/>
            <w:vAlign w:val="center"/>
          </w:tcPr>
          <w:p w14:paraId="7A3EFFEC">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结论</w:t>
            </w:r>
          </w:p>
        </w:tc>
        <w:tc>
          <w:tcPr>
            <w:tcW w:w="773" w:type="dxa"/>
          </w:tcPr>
          <w:p w14:paraId="2B973F96">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889" w:type="dxa"/>
          </w:tcPr>
          <w:p w14:paraId="377C931A">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727" w:type="dxa"/>
          </w:tcPr>
          <w:p w14:paraId="6F636BD3">
            <w:pPr>
              <w:keepNext w:val="0"/>
              <w:keepLines w:val="0"/>
              <w:pageBreakBefore w:val="0"/>
              <w:kinsoku/>
              <w:wordWrap/>
              <w:overflowPunct/>
              <w:topLinePunct w:val="0"/>
              <w:autoSpaceDE/>
              <w:autoSpaceDN/>
              <w:bidi w:val="0"/>
              <w:adjustRightInd/>
              <w:snapToGrid w:val="0"/>
              <w:spacing w:line="34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bl>
    <w:p w14:paraId="709F5A8D">
      <w:pPr>
        <w:snapToGrid w:val="0"/>
        <w:spacing w:line="36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说明：（1）上述各项中用“</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符合</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”表示通过，“</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不符合</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”表示不通过；</w:t>
      </w:r>
    </w:p>
    <w:p w14:paraId="13EE5369">
      <w:pPr>
        <w:snapToGrid w:val="0"/>
        <w:spacing w:line="36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（2）上述各项中如有一项为“</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不符合</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”，则结论为“</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不通过</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”，表示该磋商文件中存在重大偏差，不能通过初步评审；评委对某一分项评审认为不合格时，必须要写明原因。</w:t>
      </w:r>
    </w:p>
    <w:p w14:paraId="4876F0E5">
      <w:pPr>
        <w:snapToGrid w:val="0"/>
        <w:spacing w:line="36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（3）磋商文件最终合格与否，以所有评委的评审意见中少数服从多数为原则定论。</w:t>
      </w:r>
    </w:p>
    <w:p w14:paraId="716BCC3A">
      <w:pPr>
        <w:snapToGrid w:val="0"/>
        <w:spacing w:line="360" w:lineRule="exact"/>
        <w:textAlignment w:val="baseline"/>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备注：如果磋商文件中有一项未通过上述审查标准，评审委员会将认定整个磋商文件未响应磋商文件而予以废标处理。</w:t>
      </w:r>
      <w:bookmarkStart w:id="602" w:name="_Toc19552"/>
      <w:bookmarkStart w:id="603" w:name="_Toc22896"/>
    </w:p>
    <w:p w14:paraId="6186355A">
      <w:pPr>
        <w:pStyle w:val="7"/>
        <w:snapToGrid w:val="0"/>
        <w:spacing w:line="300" w:lineRule="auto"/>
        <w:ind w:firstLine="0"/>
        <w:jc w:val="center"/>
        <w:textAlignment w:val="baseline"/>
        <w:outlineLvl w:val="1"/>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bookmarkStart w:id="604" w:name="_Toc22949"/>
      <w:bookmarkStart w:id="605" w:name="_Toc23517"/>
      <w:bookmarkStart w:id="606" w:name="_Toc11623"/>
      <w:bookmarkStart w:id="607" w:name="_Toc17652"/>
      <w:bookmarkStart w:id="608" w:name="_Toc17473"/>
      <w:bookmarkStart w:id="609" w:name="_Toc1201"/>
      <w:bookmarkStart w:id="610" w:name="_Toc25729"/>
      <w:bookmarkStart w:id="611" w:name="_Toc29597"/>
      <w:bookmarkStart w:id="612" w:name="_Toc347"/>
      <w:bookmarkStart w:id="613" w:name="_Toc13208"/>
      <w:bookmarkStart w:id="614" w:name="_Toc10503"/>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初步评审—符合性审查表</w:t>
      </w:r>
      <w:bookmarkEnd w:id="602"/>
      <w:bookmarkEnd w:id="603"/>
      <w:bookmarkEnd w:id="604"/>
      <w:bookmarkEnd w:id="605"/>
      <w:bookmarkEnd w:id="606"/>
      <w:bookmarkEnd w:id="607"/>
      <w:bookmarkEnd w:id="608"/>
      <w:bookmarkEnd w:id="609"/>
      <w:bookmarkEnd w:id="610"/>
      <w:bookmarkEnd w:id="611"/>
      <w:bookmarkEnd w:id="612"/>
      <w:bookmarkEnd w:id="613"/>
      <w:bookmarkEnd w:id="614"/>
    </w:p>
    <w:tbl>
      <w:tblPr>
        <w:tblStyle w:val="37"/>
        <w:tblpPr w:leftFromText="180" w:rightFromText="180" w:vertAnchor="text" w:horzAnchor="page" w:tblpXSpec="center" w:tblpY="262"/>
        <w:tblOverlap w:val="never"/>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7053"/>
        <w:gridCol w:w="1502"/>
      </w:tblGrid>
      <w:tr w14:paraId="0C62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917" w:type="dxa"/>
            <w:gridSpan w:val="2"/>
            <w:vAlign w:val="center"/>
          </w:tcPr>
          <w:p w14:paraId="396CF37E">
            <w:pPr>
              <w:spacing w:line="400" w:lineRule="exact"/>
              <w:jc w:val="center"/>
              <w:rPr>
                <w:rFonts w:hint="eastAsia" w:asciiTheme="minorEastAsia" w:hAnsiTheme="minorEastAsia" w:eastAsiaTheme="minorEastAsia" w:cstheme="minorEastAsia"/>
                <w:color w:val="000000" w:themeColor="text1"/>
                <w:spacing w:val="-2"/>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4"/>
                <w:highlight w:val="none"/>
                <w14:textFill>
                  <w14:solidFill>
                    <w14:schemeClr w14:val="tx1"/>
                  </w14:solidFill>
                </w14:textFill>
              </w:rPr>
              <w:t>评审内容</w:t>
            </w:r>
          </w:p>
        </w:tc>
        <w:tc>
          <w:tcPr>
            <w:tcW w:w="1502" w:type="dxa"/>
            <w:vAlign w:val="center"/>
          </w:tcPr>
          <w:p w14:paraId="7F367EF6">
            <w:pPr>
              <w:spacing w:line="400" w:lineRule="exact"/>
              <w:jc w:val="center"/>
              <w:rPr>
                <w:rFonts w:hint="eastAsia" w:asciiTheme="minorEastAsia" w:hAnsiTheme="minorEastAsia" w:eastAsiaTheme="minorEastAsia" w:cstheme="minorEastAsia"/>
                <w:color w:val="000000" w:themeColor="text1"/>
                <w:spacing w:val="-2"/>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评审意见</w:t>
            </w:r>
          </w:p>
        </w:tc>
      </w:tr>
      <w:tr w14:paraId="2286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vAlign w:val="center"/>
          </w:tcPr>
          <w:p w14:paraId="38ECBB2B">
            <w:pPr>
              <w:spacing w:line="400" w:lineRule="exact"/>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序号</w:t>
            </w:r>
          </w:p>
        </w:tc>
        <w:tc>
          <w:tcPr>
            <w:tcW w:w="7053" w:type="dxa"/>
            <w:vAlign w:val="center"/>
          </w:tcPr>
          <w:p w14:paraId="79BE9D94">
            <w:pPr>
              <w:spacing w:line="400" w:lineRule="exact"/>
              <w:rPr>
                <w:rFonts w:hint="eastAsia" w:asciiTheme="minorEastAsia" w:hAnsiTheme="minorEastAsia" w:eastAsiaTheme="minorEastAsia" w:cstheme="minorEastAsia"/>
                <w:color w:val="000000" w:themeColor="text1"/>
                <w:spacing w:val="-2"/>
                <w:sz w:val="24"/>
                <w:highlight w:val="none"/>
                <w14:textFill>
                  <w14:solidFill>
                    <w14:schemeClr w14:val="tx1"/>
                  </w14:solidFill>
                </w14:textFill>
              </w:rPr>
            </w:pPr>
          </w:p>
        </w:tc>
        <w:tc>
          <w:tcPr>
            <w:tcW w:w="1502" w:type="dxa"/>
            <w:vAlign w:val="center"/>
          </w:tcPr>
          <w:p w14:paraId="3CE75A0D">
            <w:pPr>
              <w:spacing w:line="400" w:lineRule="exact"/>
              <w:jc w:val="center"/>
              <w:rPr>
                <w:rFonts w:hint="eastAsia" w:asciiTheme="minorEastAsia" w:hAnsiTheme="minorEastAsia" w:eastAsiaTheme="minorEastAsia" w:cstheme="minorEastAsia"/>
                <w:color w:val="000000" w:themeColor="text1"/>
                <w:spacing w:val="-2"/>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4"/>
                <w:highlight w:val="none"/>
                <w14:textFill>
                  <w14:solidFill>
                    <w14:schemeClr w14:val="tx1"/>
                  </w14:solidFill>
                </w14:textFill>
              </w:rPr>
              <w:t>是否合格</w:t>
            </w:r>
          </w:p>
        </w:tc>
      </w:tr>
      <w:tr w14:paraId="3E5D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14:paraId="01AD566A">
            <w:pPr>
              <w:spacing w:line="400" w:lineRule="exact"/>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p>
        </w:tc>
        <w:tc>
          <w:tcPr>
            <w:tcW w:w="7053" w:type="dxa"/>
            <w:vAlign w:val="center"/>
          </w:tcPr>
          <w:p w14:paraId="38486A3C">
            <w:pPr>
              <w:spacing w:line="400" w:lineRule="exact"/>
              <w:jc w:val="left"/>
              <w:rPr>
                <w:rFonts w:hint="eastAsia" w:asciiTheme="minorEastAsia" w:hAnsiTheme="minorEastAsia" w:eastAsiaTheme="minorEastAsia" w:cstheme="minorEastAsia"/>
                <w:color w:val="000000" w:themeColor="text1"/>
                <w:spacing w:val="-2"/>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highlight w:val="none"/>
                <w14:textFill>
                  <w14:solidFill>
                    <w14:schemeClr w14:val="tx1"/>
                  </w14:solidFill>
                </w14:textFill>
              </w:rPr>
              <w:t>各供应商</w:t>
            </w:r>
            <w:r>
              <w:rPr>
                <w:rFonts w:hint="eastAsia" w:asciiTheme="minorEastAsia" w:hAnsiTheme="minorEastAsia" w:eastAsiaTheme="minorEastAsia" w:cstheme="minorEastAsia"/>
                <w:color w:val="000000" w:themeColor="text1"/>
                <w:spacing w:val="-2"/>
                <w:sz w:val="24"/>
                <w:highlight w:val="none"/>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pacing w:val="-2"/>
                <w:sz w:val="24"/>
                <w:highlight w:val="none"/>
                <w14:textFill>
                  <w14:solidFill>
                    <w14:schemeClr w14:val="tx1"/>
                  </w14:solidFill>
                </w14:textFill>
              </w:rPr>
              <w:t>报价未高于预算金额</w:t>
            </w:r>
            <w:r>
              <w:rPr>
                <w:rFonts w:hint="eastAsia" w:asciiTheme="minorEastAsia" w:hAnsiTheme="minorEastAsia" w:eastAsiaTheme="minorEastAsia" w:cstheme="minorEastAsia"/>
                <w:color w:val="000000" w:themeColor="text1"/>
                <w:spacing w:val="-2"/>
                <w:sz w:val="24"/>
                <w:highlight w:val="none"/>
                <w:lang w:eastAsia="zh-CN"/>
                <w14:textFill>
                  <w14:solidFill>
                    <w14:schemeClr w14:val="tx1"/>
                  </w14:solidFill>
                </w14:textFill>
              </w:rPr>
              <w:t>；</w:t>
            </w:r>
          </w:p>
        </w:tc>
        <w:tc>
          <w:tcPr>
            <w:tcW w:w="1502" w:type="dxa"/>
            <w:vAlign w:val="center"/>
          </w:tcPr>
          <w:p w14:paraId="6D235B5A">
            <w:pPr>
              <w:spacing w:line="400" w:lineRule="exact"/>
              <w:rPr>
                <w:rFonts w:hint="eastAsia" w:asciiTheme="minorEastAsia" w:hAnsiTheme="minorEastAsia" w:eastAsiaTheme="minorEastAsia" w:cstheme="minorEastAsia"/>
                <w:color w:val="000000" w:themeColor="text1"/>
                <w:spacing w:val="-2"/>
                <w:sz w:val="24"/>
                <w:highlight w:val="none"/>
                <w14:textFill>
                  <w14:solidFill>
                    <w14:schemeClr w14:val="tx1"/>
                  </w14:solidFill>
                </w14:textFill>
              </w:rPr>
            </w:pPr>
          </w:p>
        </w:tc>
      </w:tr>
      <w:tr w14:paraId="2BF6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64" w:type="dxa"/>
            <w:vAlign w:val="center"/>
          </w:tcPr>
          <w:p w14:paraId="1C72AA74">
            <w:pPr>
              <w:spacing w:line="400" w:lineRule="exact"/>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p>
        </w:tc>
        <w:tc>
          <w:tcPr>
            <w:tcW w:w="7053" w:type="dxa"/>
            <w:vAlign w:val="center"/>
          </w:tcPr>
          <w:p w14:paraId="6E602378">
            <w:pPr>
              <w:spacing w:line="400" w:lineRule="exact"/>
              <w:jc w:val="left"/>
              <w:rPr>
                <w:rFonts w:hint="eastAsia" w:asciiTheme="minorEastAsia" w:hAnsiTheme="minorEastAsia" w:eastAsiaTheme="minorEastAsia" w:cstheme="minorEastAsia"/>
                <w:color w:val="000000" w:themeColor="text1"/>
                <w:spacing w:val="-2"/>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highlight w:val="none"/>
                <w:lang w:eastAsia="zh-CN"/>
                <w14:textFill>
                  <w14:solidFill>
                    <w14:schemeClr w14:val="tx1"/>
                  </w14:solidFill>
                </w14:textFill>
              </w:rPr>
              <w:t>评审小组成员</w:t>
            </w:r>
            <w:r>
              <w:rPr>
                <w:rFonts w:hint="eastAsia" w:asciiTheme="minorEastAsia" w:hAnsiTheme="minorEastAsia" w:eastAsiaTheme="minorEastAsia" w:cstheme="minorEastAsia"/>
                <w:color w:val="000000" w:themeColor="text1"/>
                <w:spacing w:val="-2"/>
                <w:sz w:val="24"/>
                <w:highlight w:val="none"/>
                <w14:textFill>
                  <w14:solidFill>
                    <w14:schemeClr w14:val="tx1"/>
                  </w14:solidFill>
                </w14:textFill>
              </w:rPr>
              <w:t>认为供应商的报价无明显低于其他通过资格性审查供应商的报价的，供应商的报价不存在异常一致并成规律性的，其报价合理</w:t>
            </w:r>
            <w:r>
              <w:rPr>
                <w:rFonts w:hint="eastAsia" w:asciiTheme="minorEastAsia" w:hAnsiTheme="minorEastAsia" w:eastAsiaTheme="minorEastAsia" w:cstheme="minorEastAsia"/>
                <w:color w:val="000000" w:themeColor="text1"/>
                <w:spacing w:val="-2"/>
                <w:sz w:val="24"/>
                <w:highlight w:val="none"/>
                <w:lang w:eastAsia="zh-CN"/>
                <w14:textFill>
                  <w14:solidFill>
                    <w14:schemeClr w14:val="tx1"/>
                  </w14:solidFill>
                </w14:textFill>
              </w:rPr>
              <w:t>；</w:t>
            </w:r>
          </w:p>
        </w:tc>
        <w:tc>
          <w:tcPr>
            <w:tcW w:w="1502" w:type="dxa"/>
            <w:vAlign w:val="center"/>
          </w:tcPr>
          <w:p w14:paraId="18839EBE">
            <w:pPr>
              <w:spacing w:line="400" w:lineRule="exact"/>
              <w:rPr>
                <w:rFonts w:hint="eastAsia" w:asciiTheme="minorEastAsia" w:hAnsiTheme="minorEastAsia" w:eastAsiaTheme="minorEastAsia" w:cstheme="minorEastAsia"/>
                <w:color w:val="000000" w:themeColor="text1"/>
                <w:spacing w:val="-2"/>
                <w:sz w:val="24"/>
                <w:highlight w:val="none"/>
                <w14:textFill>
                  <w14:solidFill>
                    <w14:schemeClr w14:val="tx1"/>
                  </w14:solidFill>
                </w14:textFill>
              </w:rPr>
            </w:pPr>
          </w:p>
        </w:tc>
      </w:tr>
      <w:tr w14:paraId="1366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64" w:type="dxa"/>
            <w:vAlign w:val="center"/>
          </w:tcPr>
          <w:p w14:paraId="04647D8C">
            <w:pPr>
              <w:spacing w:line="400" w:lineRule="exact"/>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p>
        </w:tc>
        <w:tc>
          <w:tcPr>
            <w:tcW w:w="7053" w:type="dxa"/>
            <w:vAlign w:val="center"/>
          </w:tcPr>
          <w:p w14:paraId="366CF838">
            <w:pPr>
              <w:spacing w:line="400" w:lineRule="exact"/>
              <w:jc w:val="left"/>
              <w:rPr>
                <w:rFonts w:hint="eastAsia" w:asciiTheme="minorEastAsia" w:hAnsiTheme="minorEastAsia" w:eastAsiaTheme="minorEastAsia" w:cstheme="minorEastAsia"/>
                <w:color w:val="000000" w:themeColor="text1"/>
                <w:spacing w:val="-2"/>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4"/>
                <w:highlight w:val="none"/>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pacing w:val="-2"/>
                <w:sz w:val="24"/>
                <w:highlight w:val="none"/>
                <w14:textFill>
                  <w14:solidFill>
                    <w14:schemeClr w14:val="tx1"/>
                  </w14:solidFill>
                </w14:textFill>
              </w:rPr>
              <w:t>文件按照磋商文件的规定编制、标记及签署盖章的，法定代表人或其授权代表签字（章）和加盖供应商公章的（</w:t>
            </w:r>
            <w:r>
              <w:rPr>
                <w:rFonts w:hint="eastAsia" w:asciiTheme="minorEastAsia" w:hAnsiTheme="minorEastAsia" w:eastAsiaTheme="minorEastAsia" w:cstheme="minorEastAsia"/>
                <w:color w:val="000000" w:themeColor="text1"/>
                <w:spacing w:val="-2"/>
                <w:sz w:val="24"/>
                <w:highlight w:val="none"/>
                <w:lang w:eastAsia="zh-CN"/>
                <w14:textFill>
                  <w14:solidFill>
                    <w14:schemeClr w14:val="tx1"/>
                  </w14:solidFill>
                </w14:textFill>
              </w:rPr>
              <w:t>所上传的响应</w:t>
            </w:r>
            <w:r>
              <w:rPr>
                <w:rFonts w:hint="eastAsia" w:asciiTheme="minorEastAsia" w:hAnsiTheme="minorEastAsia" w:eastAsiaTheme="minorEastAsia" w:cstheme="minorEastAsia"/>
                <w:color w:val="000000" w:themeColor="text1"/>
                <w:spacing w:val="-2"/>
                <w:sz w:val="24"/>
                <w:highlight w:val="none"/>
                <w14:textFill>
                  <w14:solidFill>
                    <w14:schemeClr w14:val="tx1"/>
                  </w14:solidFill>
                </w14:textFill>
              </w:rPr>
              <w:t>文件印章和签字不能为复印件）</w:t>
            </w:r>
          </w:p>
        </w:tc>
        <w:tc>
          <w:tcPr>
            <w:tcW w:w="1502" w:type="dxa"/>
            <w:vAlign w:val="center"/>
          </w:tcPr>
          <w:p w14:paraId="090C922F">
            <w:pPr>
              <w:spacing w:line="400" w:lineRule="exact"/>
              <w:rPr>
                <w:rFonts w:hint="eastAsia" w:asciiTheme="minorEastAsia" w:hAnsiTheme="minorEastAsia" w:eastAsiaTheme="minorEastAsia" w:cstheme="minorEastAsia"/>
                <w:color w:val="000000" w:themeColor="text1"/>
                <w:spacing w:val="-2"/>
                <w:sz w:val="24"/>
                <w:highlight w:val="none"/>
                <w14:textFill>
                  <w14:solidFill>
                    <w14:schemeClr w14:val="tx1"/>
                  </w14:solidFill>
                </w14:textFill>
              </w:rPr>
            </w:pPr>
          </w:p>
        </w:tc>
      </w:tr>
      <w:tr w14:paraId="4D63D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vAlign w:val="center"/>
          </w:tcPr>
          <w:p w14:paraId="29D56B7F">
            <w:pPr>
              <w:spacing w:line="400" w:lineRule="exact"/>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w:t>
            </w:r>
          </w:p>
        </w:tc>
        <w:tc>
          <w:tcPr>
            <w:tcW w:w="7053" w:type="dxa"/>
            <w:vAlign w:val="center"/>
          </w:tcPr>
          <w:p w14:paraId="0EA715CA">
            <w:pPr>
              <w:spacing w:line="400" w:lineRule="exact"/>
              <w:jc w:val="left"/>
              <w:rPr>
                <w:rFonts w:hint="eastAsia" w:asciiTheme="minorEastAsia" w:hAnsiTheme="minorEastAsia" w:eastAsiaTheme="minorEastAsia" w:cstheme="minorEastAsia"/>
                <w:color w:val="000000" w:themeColor="text1"/>
                <w:spacing w:val="-2"/>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4"/>
                <w:highlight w:val="none"/>
                <w14:textFill>
                  <w14:solidFill>
                    <w14:schemeClr w14:val="tx1"/>
                  </w14:solidFill>
                </w14:textFill>
              </w:rPr>
              <w:t>按磋商文件规定的格式填写，内容全</w:t>
            </w:r>
            <w:r>
              <w:rPr>
                <w:rFonts w:hint="eastAsia" w:asciiTheme="minorEastAsia" w:hAnsiTheme="minorEastAsia" w:eastAsiaTheme="minorEastAsia" w:cstheme="minorEastAsia"/>
                <w:color w:val="000000" w:themeColor="text1"/>
                <w:spacing w:val="-2"/>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
                <w:sz w:val="24"/>
                <w:highlight w:val="none"/>
                <w14:textFill>
                  <w14:solidFill>
                    <w14:schemeClr w14:val="tx1"/>
                  </w14:solidFill>
                </w14:textFill>
              </w:rPr>
              <w:t>关键字迹清晰；</w:t>
            </w:r>
          </w:p>
        </w:tc>
        <w:tc>
          <w:tcPr>
            <w:tcW w:w="1502" w:type="dxa"/>
            <w:vAlign w:val="center"/>
          </w:tcPr>
          <w:p w14:paraId="6D105297">
            <w:pPr>
              <w:spacing w:line="400" w:lineRule="exact"/>
              <w:rPr>
                <w:rFonts w:hint="eastAsia" w:asciiTheme="minorEastAsia" w:hAnsiTheme="minorEastAsia" w:eastAsiaTheme="minorEastAsia" w:cstheme="minorEastAsia"/>
                <w:color w:val="000000" w:themeColor="text1"/>
                <w:spacing w:val="-2"/>
                <w:sz w:val="24"/>
                <w:highlight w:val="none"/>
                <w14:textFill>
                  <w14:solidFill>
                    <w14:schemeClr w14:val="tx1"/>
                  </w14:solidFill>
                </w14:textFill>
              </w:rPr>
            </w:pPr>
          </w:p>
        </w:tc>
      </w:tr>
      <w:tr w14:paraId="6E7E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14:paraId="2E79C7B8">
            <w:pPr>
              <w:spacing w:line="400" w:lineRule="exact"/>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w:t>
            </w:r>
          </w:p>
        </w:tc>
        <w:tc>
          <w:tcPr>
            <w:tcW w:w="7053" w:type="dxa"/>
            <w:vAlign w:val="center"/>
          </w:tcPr>
          <w:p w14:paraId="1266FF97">
            <w:pPr>
              <w:spacing w:line="400" w:lineRule="exact"/>
              <w:jc w:val="left"/>
              <w:rPr>
                <w:rFonts w:hint="eastAsia" w:asciiTheme="minorEastAsia" w:hAnsiTheme="minorEastAsia" w:eastAsiaTheme="minorEastAsia" w:cstheme="minorEastAsia"/>
                <w:color w:val="000000" w:themeColor="text1"/>
                <w:spacing w:val="-2"/>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highlight w:val="none"/>
                <w14:textFill>
                  <w14:solidFill>
                    <w14:schemeClr w14:val="tx1"/>
                  </w14:solidFill>
                </w14:textFill>
              </w:rPr>
              <w:t>符合磋商文件中规定的其他实质性要求</w:t>
            </w:r>
            <w:r>
              <w:rPr>
                <w:rFonts w:hint="eastAsia" w:asciiTheme="minorEastAsia" w:hAnsiTheme="minorEastAsia" w:eastAsiaTheme="minorEastAsia" w:cstheme="minorEastAsia"/>
                <w:color w:val="000000" w:themeColor="text1"/>
                <w:spacing w:val="-2"/>
                <w:sz w:val="24"/>
                <w:highlight w:val="none"/>
                <w:lang w:eastAsia="zh-CN"/>
                <w14:textFill>
                  <w14:solidFill>
                    <w14:schemeClr w14:val="tx1"/>
                  </w14:solidFill>
                </w14:textFill>
              </w:rPr>
              <w:t>；</w:t>
            </w:r>
          </w:p>
        </w:tc>
        <w:tc>
          <w:tcPr>
            <w:tcW w:w="1502" w:type="dxa"/>
            <w:vAlign w:val="center"/>
          </w:tcPr>
          <w:p w14:paraId="13D614F4">
            <w:pPr>
              <w:spacing w:line="400" w:lineRule="exact"/>
              <w:rPr>
                <w:rFonts w:hint="eastAsia" w:asciiTheme="minorEastAsia" w:hAnsiTheme="minorEastAsia" w:eastAsiaTheme="minorEastAsia" w:cstheme="minorEastAsia"/>
                <w:color w:val="000000" w:themeColor="text1"/>
                <w:spacing w:val="-2"/>
                <w:sz w:val="24"/>
                <w:highlight w:val="none"/>
                <w14:textFill>
                  <w14:solidFill>
                    <w14:schemeClr w14:val="tx1"/>
                  </w14:solidFill>
                </w14:textFill>
              </w:rPr>
            </w:pPr>
          </w:p>
        </w:tc>
      </w:tr>
      <w:tr w14:paraId="0E99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14:paraId="7C7C8177">
            <w:pPr>
              <w:spacing w:line="400" w:lineRule="exact"/>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w:t>
            </w:r>
          </w:p>
        </w:tc>
        <w:tc>
          <w:tcPr>
            <w:tcW w:w="7053" w:type="dxa"/>
            <w:vAlign w:val="center"/>
          </w:tcPr>
          <w:p w14:paraId="7E1AAAE0">
            <w:pPr>
              <w:spacing w:line="400" w:lineRule="exact"/>
              <w:jc w:val="left"/>
              <w:rPr>
                <w:rFonts w:hint="eastAsia" w:asciiTheme="minorEastAsia" w:hAnsiTheme="minorEastAsia" w:eastAsiaTheme="minorEastAsia" w:cstheme="minorEastAsia"/>
                <w:color w:val="000000" w:themeColor="text1"/>
                <w:spacing w:val="-2"/>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highlight w:val="none"/>
                <w14:textFill>
                  <w14:solidFill>
                    <w14:schemeClr w14:val="tx1"/>
                  </w14:solidFill>
                </w14:textFill>
              </w:rPr>
              <w:t>没有采购人不能接受的附加条件的</w:t>
            </w:r>
            <w:r>
              <w:rPr>
                <w:rFonts w:hint="eastAsia" w:asciiTheme="minorEastAsia" w:hAnsiTheme="minorEastAsia" w:eastAsiaTheme="minorEastAsia" w:cstheme="minorEastAsia"/>
                <w:color w:val="000000" w:themeColor="text1"/>
                <w:spacing w:val="-2"/>
                <w:sz w:val="24"/>
                <w:highlight w:val="none"/>
                <w:lang w:eastAsia="zh-CN"/>
                <w14:textFill>
                  <w14:solidFill>
                    <w14:schemeClr w14:val="tx1"/>
                  </w14:solidFill>
                </w14:textFill>
              </w:rPr>
              <w:t>；</w:t>
            </w:r>
          </w:p>
        </w:tc>
        <w:tc>
          <w:tcPr>
            <w:tcW w:w="1502" w:type="dxa"/>
            <w:vAlign w:val="center"/>
          </w:tcPr>
          <w:p w14:paraId="15181B6F">
            <w:pPr>
              <w:spacing w:line="400" w:lineRule="exact"/>
              <w:rPr>
                <w:rFonts w:hint="eastAsia" w:asciiTheme="minorEastAsia" w:hAnsiTheme="minorEastAsia" w:eastAsiaTheme="minorEastAsia" w:cstheme="minorEastAsia"/>
                <w:color w:val="000000" w:themeColor="text1"/>
                <w:spacing w:val="-2"/>
                <w:sz w:val="24"/>
                <w:highlight w:val="none"/>
                <w14:textFill>
                  <w14:solidFill>
                    <w14:schemeClr w14:val="tx1"/>
                  </w14:solidFill>
                </w14:textFill>
              </w:rPr>
            </w:pPr>
          </w:p>
        </w:tc>
      </w:tr>
      <w:tr w14:paraId="55C1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14:paraId="4767E108">
            <w:pPr>
              <w:spacing w:line="400" w:lineRule="exact"/>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w:t>
            </w:r>
          </w:p>
        </w:tc>
        <w:tc>
          <w:tcPr>
            <w:tcW w:w="7053" w:type="dxa"/>
            <w:vAlign w:val="center"/>
          </w:tcPr>
          <w:p w14:paraId="5A64248C">
            <w:pPr>
              <w:spacing w:line="400" w:lineRule="exact"/>
              <w:jc w:val="left"/>
              <w:rPr>
                <w:rFonts w:hint="eastAsia" w:asciiTheme="minorEastAsia" w:hAnsiTheme="minorEastAsia" w:eastAsiaTheme="minorEastAsia" w:cstheme="minorEastAsia"/>
                <w:color w:val="000000" w:themeColor="text1"/>
                <w:spacing w:val="-2"/>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highlight w:val="none"/>
                <w14:textFill>
                  <w14:solidFill>
                    <w14:schemeClr w14:val="tx1"/>
                  </w14:solidFill>
                </w14:textFill>
              </w:rPr>
              <w:t>不同供应商的响应文件没有错漏一致的情况</w:t>
            </w:r>
            <w:r>
              <w:rPr>
                <w:rFonts w:hint="eastAsia" w:asciiTheme="minorEastAsia" w:hAnsiTheme="minorEastAsia" w:eastAsiaTheme="minorEastAsia" w:cstheme="minorEastAsia"/>
                <w:color w:val="000000" w:themeColor="text1"/>
                <w:spacing w:val="-2"/>
                <w:sz w:val="24"/>
                <w:highlight w:val="none"/>
                <w:lang w:eastAsia="zh-CN"/>
                <w14:textFill>
                  <w14:solidFill>
                    <w14:schemeClr w14:val="tx1"/>
                  </w14:solidFill>
                </w14:textFill>
              </w:rPr>
              <w:t>；</w:t>
            </w:r>
          </w:p>
        </w:tc>
        <w:tc>
          <w:tcPr>
            <w:tcW w:w="1502" w:type="dxa"/>
            <w:vAlign w:val="center"/>
          </w:tcPr>
          <w:p w14:paraId="266F04B4">
            <w:pPr>
              <w:spacing w:line="400" w:lineRule="exact"/>
              <w:rPr>
                <w:rFonts w:hint="eastAsia" w:asciiTheme="minorEastAsia" w:hAnsiTheme="minorEastAsia" w:eastAsiaTheme="minorEastAsia" w:cstheme="minorEastAsia"/>
                <w:color w:val="000000" w:themeColor="text1"/>
                <w:spacing w:val="-2"/>
                <w:sz w:val="24"/>
                <w:highlight w:val="none"/>
                <w14:textFill>
                  <w14:solidFill>
                    <w14:schemeClr w14:val="tx1"/>
                  </w14:solidFill>
                </w14:textFill>
              </w:rPr>
            </w:pPr>
          </w:p>
        </w:tc>
      </w:tr>
      <w:tr w14:paraId="30D9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4" w:type="dxa"/>
            <w:vAlign w:val="center"/>
          </w:tcPr>
          <w:p w14:paraId="0F7AB5DE">
            <w:pPr>
              <w:spacing w:line="400" w:lineRule="exact"/>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w:t>
            </w:r>
          </w:p>
        </w:tc>
        <w:tc>
          <w:tcPr>
            <w:tcW w:w="7053" w:type="dxa"/>
            <w:vAlign w:val="center"/>
          </w:tcPr>
          <w:p w14:paraId="04508B54">
            <w:pPr>
              <w:spacing w:line="400" w:lineRule="exact"/>
              <w:jc w:val="left"/>
              <w:rPr>
                <w:rFonts w:hint="eastAsia" w:asciiTheme="minorEastAsia" w:hAnsiTheme="minorEastAsia" w:eastAsiaTheme="minorEastAsia" w:cstheme="minorEastAsia"/>
                <w:color w:val="000000" w:themeColor="text1"/>
                <w:spacing w:val="-2"/>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4"/>
                <w:highlight w:val="none"/>
                <w14:textFill>
                  <w14:solidFill>
                    <w14:schemeClr w14:val="tx1"/>
                  </w14:solidFill>
                </w14:textFill>
              </w:rPr>
              <w:t>供应商附有详细地址、联系人、电话标明的。</w:t>
            </w:r>
          </w:p>
        </w:tc>
        <w:tc>
          <w:tcPr>
            <w:tcW w:w="1502" w:type="dxa"/>
            <w:vAlign w:val="center"/>
          </w:tcPr>
          <w:p w14:paraId="166ACE62">
            <w:pPr>
              <w:spacing w:line="400" w:lineRule="exact"/>
              <w:rPr>
                <w:rFonts w:hint="eastAsia" w:asciiTheme="minorEastAsia" w:hAnsiTheme="minorEastAsia" w:eastAsiaTheme="minorEastAsia" w:cstheme="minorEastAsia"/>
                <w:color w:val="000000" w:themeColor="text1"/>
                <w:spacing w:val="-2"/>
                <w:sz w:val="24"/>
                <w:highlight w:val="none"/>
                <w14:textFill>
                  <w14:solidFill>
                    <w14:schemeClr w14:val="tx1"/>
                  </w14:solidFill>
                </w14:textFill>
              </w:rPr>
            </w:pPr>
          </w:p>
        </w:tc>
      </w:tr>
      <w:tr w14:paraId="1AA7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917" w:type="dxa"/>
            <w:gridSpan w:val="2"/>
            <w:vAlign w:val="center"/>
          </w:tcPr>
          <w:p w14:paraId="00941D6B">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4"/>
                <w:highlight w:val="none"/>
                <w14:textFill>
                  <w14:solidFill>
                    <w14:schemeClr w14:val="tx1"/>
                  </w14:solidFill>
                </w14:textFill>
              </w:rPr>
              <w:t>结论</w:t>
            </w:r>
          </w:p>
        </w:tc>
        <w:tc>
          <w:tcPr>
            <w:tcW w:w="1502" w:type="dxa"/>
            <w:vAlign w:val="center"/>
          </w:tcPr>
          <w:p w14:paraId="42744AEF">
            <w:pPr>
              <w:spacing w:line="400" w:lineRule="exact"/>
              <w:ind w:firstLine="424" w:firstLineChars="180"/>
              <w:rPr>
                <w:rFonts w:hint="eastAsia" w:asciiTheme="minorEastAsia" w:hAnsiTheme="minorEastAsia" w:eastAsiaTheme="minorEastAsia" w:cstheme="minorEastAsia"/>
                <w:color w:val="000000" w:themeColor="text1"/>
                <w:spacing w:val="-2"/>
                <w:sz w:val="24"/>
                <w:highlight w:val="none"/>
                <w14:textFill>
                  <w14:solidFill>
                    <w14:schemeClr w14:val="tx1"/>
                  </w14:solidFill>
                </w14:textFill>
              </w:rPr>
            </w:pPr>
          </w:p>
        </w:tc>
      </w:tr>
    </w:tbl>
    <w:p w14:paraId="19AD5D2D">
      <w:pPr>
        <w:snapToGrid w:val="0"/>
        <w:spacing w:line="36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6AA69EA5">
      <w:pPr>
        <w:snapToGrid w:val="0"/>
        <w:spacing w:line="36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说明：</w:t>
      </w:r>
    </w:p>
    <w:p w14:paraId="0BC4E775">
      <w:pPr>
        <w:snapToGrid w:val="0"/>
        <w:spacing w:line="36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（1）上述各项中用“</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符合</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”表示通过，“</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不符合</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”表示不通过；</w:t>
      </w:r>
    </w:p>
    <w:p w14:paraId="2D5F0E80">
      <w:pPr>
        <w:snapToGrid w:val="0"/>
        <w:spacing w:line="36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（2）上述各项中如有一项为“</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不符合</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”，则结论为“</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不通过</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”，表示该磋商文件中存在重大偏差，不能通过初步评审；评委对某一分项评审认为不合格时，必须要写明原因。</w:t>
      </w:r>
    </w:p>
    <w:p w14:paraId="05D2CE42">
      <w:pPr>
        <w:snapToGrid w:val="0"/>
        <w:spacing w:line="360" w:lineRule="exact"/>
        <w:textAlignment w:val="baseline"/>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（3）磋商文件最终合格与否，以所有评委的评审意见中少数服从多数为原则定论。</w:t>
      </w:r>
    </w:p>
    <w:p w14:paraId="7A1AEF5B">
      <w:pPr>
        <w:snapToGrid w:val="0"/>
        <w:spacing w:line="240" w:lineRule="atLeast"/>
        <w:ind w:left="1080" w:leftChars="257" w:hanging="540"/>
        <w:jc w:val="left"/>
        <w:textAlignment w:val="baseline"/>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备注：如果磋商文件中有一项未通过上述审查标准，评审委员会将认定整个磋商文件未响应磋商文件而予以废标处理。</w:t>
      </w:r>
    </w:p>
    <w:p w14:paraId="7564F3EF">
      <w:pPr>
        <w:pStyle w:val="11"/>
        <w:snapToGrid w:val="0"/>
        <w:spacing w:before="0" w:line="360" w:lineRule="exact"/>
        <w:textAlignment w:val="baseline"/>
        <w:rPr>
          <w:rFonts w:hint="eastAsia" w:asciiTheme="minorEastAsia" w:hAnsiTheme="minorEastAsia" w:eastAsiaTheme="minorEastAsia" w:cstheme="minorEastAsia"/>
          <w:i/>
          <w:color w:val="000000" w:themeColor="text1"/>
          <w:highlight w:val="none"/>
          <w14:textFill>
            <w14:solidFill>
              <w14:schemeClr w14:val="tx1"/>
            </w14:solidFill>
          </w14:textFill>
        </w:rPr>
      </w:pPr>
    </w:p>
    <w:p w14:paraId="021E64FB">
      <w:pPr>
        <w:rPr>
          <w:rFonts w:hint="eastAsia" w:asciiTheme="minorEastAsia" w:hAnsiTheme="minorEastAsia" w:eastAsiaTheme="minorEastAsia" w:cstheme="minorEastAsia"/>
          <w:i/>
          <w:color w:val="000000" w:themeColor="text1"/>
          <w:sz w:val="24"/>
          <w:highlight w:val="none"/>
          <w14:textFill>
            <w14:solidFill>
              <w14:schemeClr w14:val="tx1"/>
            </w14:solidFill>
          </w14:textFill>
        </w:rPr>
      </w:pPr>
    </w:p>
    <w:p w14:paraId="1BEE02F3">
      <w:pPr>
        <w:pStyle w:val="36"/>
        <w:rPr>
          <w:rFonts w:hint="eastAsia" w:asciiTheme="minorEastAsia" w:hAnsiTheme="minorEastAsia" w:eastAsiaTheme="minorEastAsia" w:cstheme="minorEastAsia"/>
          <w:i/>
          <w:color w:val="000000" w:themeColor="text1"/>
          <w:sz w:val="24"/>
          <w:highlight w:val="none"/>
          <w14:textFill>
            <w14:solidFill>
              <w14:schemeClr w14:val="tx1"/>
            </w14:solidFill>
          </w14:textFill>
        </w:rPr>
      </w:pPr>
    </w:p>
    <w:p w14:paraId="4EA4E95D">
      <w:pPr>
        <w:rPr>
          <w:rFonts w:hint="eastAsia" w:asciiTheme="minorEastAsia" w:hAnsiTheme="minorEastAsia" w:eastAsiaTheme="minorEastAsia" w:cstheme="minorEastAsia"/>
          <w:i/>
          <w:color w:val="000000" w:themeColor="text1"/>
          <w:sz w:val="24"/>
          <w:highlight w:val="none"/>
          <w14:textFill>
            <w14:solidFill>
              <w14:schemeClr w14:val="tx1"/>
            </w14:solidFill>
          </w14:textFill>
        </w:rPr>
      </w:pPr>
    </w:p>
    <w:p w14:paraId="510CA79C">
      <w:pPr>
        <w:pStyle w:val="20"/>
        <w:rPr>
          <w:rFonts w:hint="eastAsia" w:asciiTheme="minorEastAsia" w:hAnsiTheme="minorEastAsia" w:eastAsiaTheme="minorEastAsia" w:cstheme="minorEastAsia"/>
          <w:i/>
          <w:color w:val="000000" w:themeColor="text1"/>
          <w:sz w:val="24"/>
          <w:highlight w:val="none"/>
          <w14:textFill>
            <w14:solidFill>
              <w14:schemeClr w14:val="tx1"/>
            </w14:solidFill>
          </w14:textFill>
        </w:rPr>
      </w:pPr>
    </w:p>
    <w:p w14:paraId="132DB08C">
      <w:pPr>
        <w:pStyle w:val="20"/>
        <w:rPr>
          <w:rFonts w:hint="eastAsia" w:asciiTheme="minorEastAsia" w:hAnsiTheme="minorEastAsia" w:eastAsiaTheme="minorEastAsia" w:cstheme="minorEastAsia"/>
          <w:i/>
          <w:color w:val="000000" w:themeColor="text1"/>
          <w:sz w:val="24"/>
          <w:highlight w:val="none"/>
          <w14:textFill>
            <w14:solidFill>
              <w14:schemeClr w14:val="tx1"/>
            </w14:solidFill>
          </w14:textFill>
        </w:rPr>
      </w:pPr>
    </w:p>
    <w:p w14:paraId="54D7307E">
      <w:pPr>
        <w:pStyle w:val="20"/>
        <w:rPr>
          <w:rFonts w:hint="eastAsia" w:asciiTheme="minorEastAsia" w:hAnsiTheme="minorEastAsia" w:eastAsiaTheme="minorEastAsia" w:cstheme="minorEastAsia"/>
          <w:i/>
          <w:color w:val="000000" w:themeColor="text1"/>
          <w:sz w:val="24"/>
          <w:highlight w:val="none"/>
          <w14:textFill>
            <w14:solidFill>
              <w14:schemeClr w14:val="tx1"/>
            </w14:solidFill>
          </w14:textFill>
        </w:rPr>
      </w:pPr>
    </w:p>
    <w:p w14:paraId="199D7D60">
      <w:pPr>
        <w:rPr>
          <w:rFonts w:hint="eastAsia" w:asciiTheme="minorEastAsia" w:hAnsiTheme="minorEastAsia" w:eastAsiaTheme="minorEastAsia" w:cstheme="minorEastAsia"/>
          <w:i/>
          <w:color w:val="000000" w:themeColor="text1"/>
          <w:sz w:val="24"/>
          <w:highlight w:val="none"/>
          <w14:textFill>
            <w14:solidFill>
              <w14:schemeClr w14:val="tx1"/>
            </w14:solidFill>
          </w14:textFill>
        </w:rPr>
      </w:pPr>
    </w:p>
    <w:p w14:paraId="127D6A7C">
      <w:pPr>
        <w:rPr>
          <w:rFonts w:hint="eastAsia" w:asciiTheme="minorEastAsia" w:hAnsiTheme="minorEastAsia" w:eastAsiaTheme="minorEastAsia" w:cstheme="minorEastAsia"/>
          <w:i/>
          <w:color w:val="000000" w:themeColor="text1"/>
          <w:sz w:val="24"/>
          <w:highlight w:val="none"/>
          <w14:textFill>
            <w14:solidFill>
              <w14:schemeClr w14:val="tx1"/>
            </w14:solidFill>
          </w14:textFill>
        </w:rPr>
      </w:pPr>
    </w:p>
    <w:p w14:paraId="0EE28611">
      <w:pPr>
        <w:rPr>
          <w:rFonts w:hint="eastAsia" w:asciiTheme="minorEastAsia" w:hAnsiTheme="minorEastAsia" w:eastAsiaTheme="minorEastAsia" w:cstheme="minorEastAsia"/>
          <w:i/>
          <w:color w:val="000000" w:themeColor="text1"/>
          <w:sz w:val="24"/>
          <w:highlight w:val="none"/>
          <w14:textFill>
            <w14:solidFill>
              <w14:schemeClr w14:val="tx1"/>
            </w14:solidFill>
          </w14:textFill>
        </w:rPr>
      </w:pPr>
    </w:p>
    <w:p w14:paraId="3F9A6BF5">
      <w:pPr>
        <w:pStyle w:val="11"/>
        <w:snapToGrid w:val="0"/>
        <w:spacing w:before="0" w:line="360" w:lineRule="exact"/>
        <w:ind w:firstLine="2650" w:firstLineChars="1100"/>
        <w:textAlignment w:val="baseline"/>
        <w:rPr>
          <w:rFonts w:hint="eastAsia"/>
          <w:b/>
          <w:bCs/>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评分方法（综合评分法）及评分标准</w:t>
      </w:r>
      <w:r>
        <w:rPr>
          <w:rFonts w:hint="eastAsia"/>
          <w:b/>
          <w:bCs/>
          <w:color w:val="000000" w:themeColor="text1"/>
          <w:sz w:val="24"/>
          <w:szCs w:val="24"/>
          <w:highlight w:val="none"/>
          <w:lang w:val="en-US" w:eastAsia="zh-CN"/>
          <w14:textFill>
            <w14:solidFill>
              <w14:schemeClr w14:val="tx1"/>
            </w14:solidFill>
          </w14:textFill>
        </w:rPr>
        <w:t xml:space="preserve"> </w:t>
      </w:r>
    </w:p>
    <w:tbl>
      <w:tblPr>
        <w:tblStyle w:val="3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060"/>
        <w:gridCol w:w="833"/>
        <w:gridCol w:w="5834"/>
      </w:tblGrid>
      <w:tr w14:paraId="1A8B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blHeader/>
          <w:jc w:val="center"/>
        </w:trPr>
        <w:tc>
          <w:tcPr>
            <w:tcW w:w="795" w:type="dxa"/>
            <w:noWrap w:val="0"/>
            <w:vAlign w:val="center"/>
          </w:tcPr>
          <w:p w14:paraId="063B17C8">
            <w:pPr>
              <w:widowControl/>
              <w:snapToGrid w:val="0"/>
              <w:ind w:left="0" w:leftChars="0" w:right="0" w:rightChars="0" w:firstLine="0" w:firstLineChars="0"/>
              <w:jc w:val="center"/>
              <w:rPr>
                <w:rFonts w:hint="eastAsia" w:ascii="仿宋" w:hAnsi="仿宋" w:eastAsia="仿宋" w:cs="仿宋"/>
                <w:b/>
                <w:bCs/>
                <w:color w:val="000000" w:themeColor="text1"/>
                <w:kern w:val="0"/>
                <w:sz w:val="18"/>
                <w:szCs w:val="18"/>
                <w:highlight w:val="none"/>
                <w14:textFill>
                  <w14:solidFill>
                    <w14:schemeClr w14:val="tx1"/>
                  </w14:solidFill>
                </w14:textFill>
              </w:rPr>
            </w:pPr>
            <w:r>
              <w:rPr>
                <w:rFonts w:hint="eastAsia" w:ascii="仿宋" w:hAnsi="仿宋" w:eastAsia="仿宋" w:cs="仿宋"/>
                <w:b/>
                <w:bCs/>
                <w:color w:val="000000" w:themeColor="text1"/>
                <w:kern w:val="0"/>
                <w:sz w:val="18"/>
                <w:szCs w:val="18"/>
                <w:highlight w:val="none"/>
                <w14:textFill>
                  <w14:solidFill>
                    <w14:schemeClr w14:val="tx1"/>
                  </w14:solidFill>
                </w14:textFill>
              </w:rPr>
              <w:t>序号</w:t>
            </w:r>
          </w:p>
        </w:tc>
        <w:tc>
          <w:tcPr>
            <w:tcW w:w="1060" w:type="dxa"/>
            <w:noWrap w:val="0"/>
            <w:vAlign w:val="center"/>
          </w:tcPr>
          <w:p w14:paraId="2EFA3E9E">
            <w:pPr>
              <w:widowControl/>
              <w:snapToGrid w:val="0"/>
              <w:ind w:left="0" w:leftChars="0" w:right="0" w:rightChars="0" w:firstLine="0" w:firstLineChars="0"/>
              <w:jc w:val="center"/>
              <w:rPr>
                <w:rFonts w:hint="eastAsia" w:ascii="仿宋" w:hAnsi="仿宋" w:eastAsia="仿宋" w:cs="仿宋"/>
                <w:b/>
                <w:bCs/>
                <w:color w:val="000000" w:themeColor="text1"/>
                <w:kern w:val="0"/>
                <w:sz w:val="18"/>
                <w:szCs w:val="18"/>
                <w:highlight w:val="none"/>
                <w14:textFill>
                  <w14:solidFill>
                    <w14:schemeClr w14:val="tx1"/>
                  </w14:solidFill>
                </w14:textFill>
              </w:rPr>
            </w:pPr>
            <w:r>
              <w:rPr>
                <w:rFonts w:hint="eastAsia" w:ascii="仿宋" w:hAnsi="仿宋" w:eastAsia="仿宋" w:cs="仿宋"/>
                <w:b/>
                <w:bCs/>
                <w:color w:val="000000" w:themeColor="text1"/>
                <w:kern w:val="0"/>
                <w:sz w:val="18"/>
                <w:szCs w:val="18"/>
                <w:highlight w:val="none"/>
                <w14:textFill>
                  <w14:solidFill>
                    <w14:schemeClr w14:val="tx1"/>
                  </w14:solidFill>
                </w14:textFill>
              </w:rPr>
              <w:t>评分项目</w:t>
            </w:r>
          </w:p>
        </w:tc>
        <w:tc>
          <w:tcPr>
            <w:tcW w:w="833" w:type="dxa"/>
            <w:noWrap w:val="0"/>
            <w:vAlign w:val="center"/>
          </w:tcPr>
          <w:p w14:paraId="562AA875">
            <w:pPr>
              <w:widowControl/>
              <w:snapToGrid w:val="0"/>
              <w:ind w:left="0" w:leftChars="0" w:right="0" w:rightChars="0" w:firstLine="0" w:firstLineChars="0"/>
              <w:jc w:val="center"/>
              <w:rPr>
                <w:rFonts w:hint="eastAsia" w:ascii="仿宋" w:hAnsi="仿宋" w:eastAsia="仿宋" w:cs="仿宋"/>
                <w:b/>
                <w:bCs/>
                <w:color w:val="000000" w:themeColor="text1"/>
                <w:kern w:val="0"/>
                <w:sz w:val="18"/>
                <w:szCs w:val="18"/>
                <w:highlight w:val="none"/>
                <w14:textFill>
                  <w14:solidFill>
                    <w14:schemeClr w14:val="tx1"/>
                  </w14:solidFill>
                </w14:textFill>
              </w:rPr>
            </w:pPr>
            <w:r>
              <w:rPr>
                <w:rFonts w:hint="eastAsia" w:ascii="仿宋" w:hAnsi="仿宋" w:eastAsia="仿宋" w:cs="仿宋"/>
                <w:b/>
                <w:bCs/>
                <w:color w:val="000000" w:themeColor="text1"/>
                <w:kern w:val="0"/>
                <w:sz w:val="18"/>
                <w:szCs w:val="18"/>
                <w:highlight w:val="none"/>
                <w14:textFill>
                  <w14:solidFill>
                    <w14:schemeClr w14:val="tx1"/>
                  </w14:solidFill>
                </w14:textFill>
              </w:rPr>
              <w:t>分值</w:t>
            </w:r>
          </w:p>
        </w:tc>
        <w:tc>
          <w:tcPr>
            <w:tcW w:w="5834" w:type="dxa"/>
            <w:noWrap w:val="0"/>
            <w:vAlign w:val="center"/>
          </w:tcPr>
          <w:p w14:paraId="3D409ED1">
            <w:pPr>
              <w:widowControl/>
              <w:snapToGrid w:val="0"/>
              <w:ind w:left="0" w:leftChars="0" w:right="0" w:rightChars="0" w:firstLine="0" w:firstLineChars="0"/>
              <w:jc w:val="center"/>
              <w:rPr>
                <w:rFonts w:hint="eastAsia" w:ascii="仿宋" w:hAnsi="仿宋" w:eastAsia="仿宋" w:cs="仿宋"/>
                <w:b/>
                <w:bCs/>
                <w:color w:val="000000" w:themeColor="text1"/>
                <w:kern w:val="0"/>
                <w:sz w:val="18"/>
                <w:szCs w:val="18"/>
                <w:highlight w:val="none"/>
                <w14:textFill>
                  <w14:solidFill>
                    <w14:schemeClr w14:val="tx1"/>
                  </w14:solidFill>
                </w14:textFill>
              </w:rPr>
            </w:pPr>
            <w:r>
              <w:rPr>
                <w:rFonts w:hint="eastAsia" w:ascii="仿宋" w:hAnsi="仿宋" w:eastAsia="仿宋" w:cs="仿宋"/>
                <w:b/>
                <w:bCs/>
                <w:color w:val="000000" w:themeColor="text1"/>
                <w:kern w:val="0"/>
                <w:sz w:val="18"/>
                <w:szCs w:val="18"/>
                <w:highlight w:val="none"/>
                <w14:textFill>
                  <w14:solidFill>
                    <w14:schemeClr w14:val="tx1"/>
                  </w14:solidFill>
                </w14:textFill>
              </w:rPr>
              <w:t>评分标准</w:t>
            </w:r>
          </w:p>
        </w:tc>
      </w:tr>
      <w:tr w14:paraId="745A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5" w:type="dxa"/>
            <w:noWrap w:val="0"/>
            <w:vAlign w:val="center"/>
          </w:tcPr>
          <w:p w14:paraId="5E1BCDFA">
            <w:pPr>
              <w:widowControl/>
              <w:snapToGrid w:val="0"/>
              <w:ind w:left="0" w:leftChars="0" w:right="0" w:rightChars="0" w:firstLine="0" w:firstLineChars="0"/>
              <w:jc w:val="center"/>
              <w:rPr>
                <w:rFonts w:hint="eastAsia" w:ascii="仿宋" w:hAnsi="仿宋" w:eastAsia="仿宋" w:cs="仿宋"/>
                <w:b/>
                <w:bCs/>
                <w:color w:val="000000" w:themeColor="text1"/>
                <w:kern w:val="0"/>
                <w:sz w:val="18"/>
                <w:szCs w:val="18"/>
                <w:highlight w:val="none"/>
                <w:lang w:val="en-US" w:eastAsia="zh-CN"/>
                <w14:textFill>
                  <w14:solidFill>
                    <w14:schemeClr w14:val="tx1"/>
                  </w14:solidFill>
                </w14:textFill>
              </w:rPr>
            </w:pPr>
            <w:r>
              <w:rPr>
                <w:rFonts w:hint="eastAsia" w:ascii="仿宋" w:hAnsi="仿宋" w:eastAsia="仿宋" w:cs="仿宋"/>
                <w:b/>
                <w:bCs/>
                <w:color w:val="000000" w:themeColor="text1"/>
                <w:kern w:val="0"/>
                <w:sz w:val="18"/>
                <w:szCs w:val="18"/>
                <w:highlight w:val="none"/>
                <w:lang w:val="en-US" w:eastAsia="zh-CN"/>
                <w14:textFill>
                  <w14:solidFill>
                    <w14:schemeClr w14:val="tx1"/>
                  </w14:solidFill>
                </w14:textFill>
              </w:rPr>
              <w:t>一</w:t>
            </w:r>
          </w:p>
        </w:tc>
        <w:tc>
          <w:tcPr>
            <w:tcW w:w="1060" w:type="dxa"/>
            <w:noWrap w:val="0"/>
            <w:vAlign w:val="center"/>
          </w:tcPr>
          <w:p w14:paraId="11DAF984">
            <w:pPr>
              <w:widowControl/>
              <w:snapToGrid w:val="0"/>
              <w:ind w:left="0" w:leftChars="0" w:right="0" w:rightChars="0" w:firstLine="0" w:firstLineChars="0"/>
              <w:jc w:val="center"/>
              <w:rPr>
                <w:rFonts w:hint="eastAsia" w:ascii="仿宋" w:hAnsi="仿宋" w:eastAsia="仿宋" w:cs="仿宋"/>
                <w:b/>
                <w:bCs/>
                <w:color w:val="000000" w:themeColor="text1"/>
                <w:kern w:val="0"/>
                <w:sz w:val="18"/>
                <w:szCs w:val="18"/>
                <w:highlight w:val="none"/>
                <w:lang w:val="en-US" w:eastAsia="zh-CN"/>
                <w14:textFill>
                  <w14:solidFill>
                    <w14:schemeClr w14:val="tx1"/>
                  </w14:solidFill>
                </w14:textFill>
              </w:rPr>
            </w:pPr>
            <w:r>
              <w:rPr>
                <w:rFonts w:hint="eastAsia" w:ascii="仿宋" w:hAnsi="仿宋" w:eastAsia="仿宋" w:cs="仿宋"/>
                <w:b/>
                <w:bCs/>
                <w:color w:val="000000" w:themeColor="text1"/>
                <w:kern w:val="0"/>
                <w:sz w:val="18"/>
                <w:szCs w:val="18"/>
                <w:highlight w:val="none"/>
                <w:lang w:val="en-US" w:eastAsia="zh-CN"/>
                <w14:textFill>
                  <w14:solidFill>
                    <w14:schemeClr w14:val="tx1"/>
                  </w14:solidFill>
                </w14:textFill>
              </w:rPr>
              <w:t>报价部分</w:t>
            </w:r>
          </w:p>
        </w:tc>
        <w:tc>
          <w:tcPr>
            <w:tcW w:w="833" w:type="dxa"/>
            <w:noWrap w:val="0"/>
            <w:vAlign w:val="center"/>
          </w:tcPr>
          <w:p w14:paraId="1E0BB23C">
            <w:pPr>
              <w:widowControl/>
              <w:snapToGrid w:val="0"/>
              <w:ind w:left="0" w:leftChars="0" w:right="0" w:rightChars="0" w:firstLine="0" w:firstLineChars="0"/>
              <w:jc w:val="left"/>
              <w:rPr>
                <w:rFonts w:hint="eastAsia" w:ascii="仿宋" w:hAnsi="仿宋" w:eastAsia="仿宋" w:cs="仿宋"/>
                <w:b/>
                <w:bCs/>
                <w:color w:val="000000" w:themeColor="text1"/>
                <w:kern w:val="0"/>
                <w:sz w:val="18"/>
                <w:szCs w:val="18"/>
                <w:highlight w:val="none"/>
                <w:lang w:val="en-US" w:eastAsia="zh-CN"/>
                <w14:textFill>
                  <w14:solidFill>
                    <w14:schemeClr w14:val="tx1"/>
                  </w14:solidFill>
                </w14:textFill>
              </w:rPr>
            </w:pPr>
            <w:r>
              <w:rPr>
                <w:rFonts w:hint="eastAsia" w:ascii="仿宋" w:hAnsi="仿宋" w:eastAsia="仿宋" w:cs="仿宋"/>
                <w:b/>
                <w:bCs/>
                <w:color w:val="000000" w:themeColor="text1"/>
                <w:kern w:val="0"/>
                <w:sz w:val="18"/>
                <w:szCs w:val="18"/>
                <w:highlight w:val="none"/>
                <w:lang w:val="en-US" w:eastAsia="zh-CN"/>
                <w14:textFill>
                  <w14:solidFill>
                    <w14:schemeClr w14:val="tx1"/>
                  </w14:solidFill>
                </w14:textFill>
              </w:rPr>
              <w:t>10分</w:t>
            </w:r>
          </w:p>
        </w:tc>
        <w:tc>
          <w:tcPr>
            <w:tcW w:w="5834" w:type="dxa"/>
            <w:noWrap w:val="0"/>
            <w:vAlign w:val="center"/>
          </w:tcPr>
          <w:p w14:paraId="4A0522FB">
            <w:pPr>
              <w:widowControl/>
              <w:snapToGrid w:val="0"/>
              <w:ind w:left="0" w:leftChars="0" w:right="0" w:rightChars="0" w:firstLine="0" w:firstLineChars="0"/>
              <w:jc w:val="left"/>
              <w:rPr>
                <w:rFonts w:hint="eastAsia" w:ascii="仿宋" w:hAnsi="仿宋" w:eastAsia="仿宋" w:cs="仿宋"/>
                <w:color w:val="000000" w:themeColor="text1"/>
                <w:kern w:val="0"/>
                <w:sz w:val="18"/>
                <w:szCs w:val="18"/>
                <w:highlight w:val="none"/>
                <w:lang w:val="en-US" w:eastAsia="zh-CN"/>
                <w14:textFill>
                  <w14:solidFill>
                    <w14:schemeClr w14:val="tx1"/>
                  </w14:solidFill>
                </w14:textFill>
              </w:rPr>
            </w:pPr>
          </w:p>
        </w:tc>
      </w:tr>
      <w:tr w14:paraId="27C6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5" w:type="dxa"/>
            <w:noWrap w:val="0"/>
            <w:vAlign w:val="center"/>
          </w:tcPr>
          <w:p w14:paraId="46380D96">
            <w:pPr>
              <w:widowControl/>
              <w:snapToGrid w:val="0"/>
              <w:ind w:left="0" w:leftChars="0" w:right="0" w:rightChars="0" w:firstLine="0" w:firstLineChars="0"/>
              <w:jc w:val="center"/>
              <w:rPr>
                <w:rFonts w:hint="eastAsia" w:ascii="仿宋" w:hAnsi="仿宋" w:eastAsia="仿宋" w:cs="仿宋"/>
                <w:color w:val="000000" w:themeColor="text1"/>
                <w:kern w:val="0"/>
                <w:sz w:val="18"/>
                <w:szCs w:val="18"/>
                <w:highlight w:val="none"/>
                <w:lang w:val="en-US" w:eastAsia="zh-CN"/>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14:textFill>
                  <w14:solidFill>
                    <w14:schemeClr w14:val="tx1"/>
                  </w14:solidFill>
                </w14:textFill>
              </w:rPr>
              <w:t>1</w:t>
            </w:r>
          </w:p>
        </w:tc>
        <w:tc>
          <w:tcPr>
            <w:tcW w:w="1060" w:type="dxa"/>
            <w:noWrap w:val="0"/>
            <w:vAlign w:val="center"/>
          </w:tcPr>
          <w:p w14:paraId="6FE8D8C3">
            <w:pPr>
              <w:widowControl/>
              <w:snapToGrid w:val="0"/>
              <w:ind w:left="0" w:leftChars="0" w:right="0" w:rightChars="0" w:firstLine="0" w:firstLineChars="0"/>
              <w:jc w:val="center"/>
              <w:rPr>
                <w:rFonts w:hint="eastAsia" w:ascii="仿宋" w:hAnsi="仿宋" w:eastAsia="仿宋" w:cs="仿宋"/>
                <w:color w:val="000000" w:themeColor="text1"/>
                <w:kern w:val="0"/>
                <w:sz w:val="18"/>
                <w:szCs w:val="18"/>
                <w:highlight w:val="none"/>
                <w:lang w:val="en-US" w:eastAsia="zh-CN"/>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14:textFill>
                  <w14:solidFill>
                    <w14:schemeClr w14:val="tx1"/>
                  </w14:solidFill>
                </w14:textFill>
              </w:rPr>
              <w:t>价格得分</w:t>
            </w:r>
          </w:p>
        </w:tc>
        <w:tc>
          <w:tcPr>
            <w:tcW w:w="833" w:type="dxa"/>
            <w:noWrap w:val="0"/>
            <w:vAlign w:val="center"/>
          </w:tcPr>
          <w:p w14:paraId="54145D30">
            <w:pPr>
              <w:widowControl/>
              <w:snapToGrid w:val="0"/>
              <w:ind w:left="0" w:leftChars="0" w:right="0" w:rightChars="0" w:firstLine="0" w:firstLineChars="0"/>
              <w:jc w:val="left"/>
              <w:rPr>
                <w:rFonts w:hint="eastAsia" w:ascii="仿宋" w:hAnsi="仿宋" w:eastAsia="仿宋" w:cs="仿宋"/>
                <w:b/>
                <w:bCs/>
                <w:color w:val="000000" w:themeColor="text1"/>
                <w:kern w:val="0"/>
                <w:sz w:val="18"/>
                <w:szCs w:val="18"/>
                <w:highlight w:val="none"/>
                <w:cs/>
                <w:lang w:val="en-US" w:eastAsia="zh-CN"/>
                <w14:textFill>
                  <w14:solidFill>
                    <w14:schemeClr w14:val="tx1"/>
                  </w14:solidFill>
                </w14:textFill>
              </w:rPr>
            </w:pPr>
            <w:r>
              <w:rPr>
                <w:rFonts w:hint="eastAsia" w:ascii="仿宋" w:hAnsi="仿宋" w:eastAsia="仿宋" w:cs="仿宋"/>
                <w:b w:val="0"/>
                <w:bCs w:val="0"/>
                <w:color w:val="000000" w:themeColor="text1"/>
                <w:kern w:val="0"/>
                <w:sz w:val="18"/>
                <w:szCs w:val="18"/>
                <w:highlight w:val="none"/>
                <w:lang w:val="en-US" w:eastAsia="zh-CN"/>
                <w14:textFill>
                  <w14:solidFill>
                    <w14:schemeClr w14:val="tx1"/>
                  </w14:solidFill>
                </w14:textFill>
              </w:rPr>
              <w:t>10分</w:t>
            </w:r>
          </w:p>
        </w:tc>
        <w:tc>
          <w:tcPr>
            <w:tcW w:w="5834" w:type="dxa"/>
            <w:noWrap w:val="0"/>
            <w:vAlign w:val="center"/>
          </w:tcPr>
          <w:p w14:paraId="41AD5DC9">
            <w:pPr>
              <w:pStyle w:val="110"/>
              <w:numPr>
                <w:ilvl w:val="0"/>
                <w:numId w:val="0"/>
              </w:numPr>
              <w:snapToGrid w:val="0"/>
              <w:ind w:left="0" w:leftChars="0" w:right="0" w:rightChars="0" w:firstLine="0" w:firstLineChars="0"/>
              <w:jc w:val="left"/>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14:textFill>
                  <w14:solidFill>
                    <w14:schemeClr w14:val="tx1"/>
                  </w14:solidFill>
                </w14:textFill>
              </w:rPr>
              <w:t>（1）评标</w:t>
            </w: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t>基准价：满足招标文件要求且投标价格最低的有效投标报价为评标基准价。</w:t>
            </w:r>
          </w:p>
          <w:p w14:paraId="5DD37A2C">
            <w:pPr>
              <w:pStyle w:val="110"/>
              <w:numPr>
                <w:ilvl w:val="0"/>
                <w:numId w:val="0"/>
              </w:numPr>
              <w:snapToGrid w:val="0"/>
              <w:ind w:left="0" w:leftChars="0" w:right="0" w:rightChars="0" w:firstLine="0" w:firstLineChars="0"/>
              <w:jc w:val="left"/>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t>（2）投标报价得分=（评标基准价/投标报价）×10%×100</w:t>
            </w:r>
          </w:p>
          <w:p w14:paraId="5567C4D9">
            <w:pPr>
              <w:pStyle w:val="110"/>
              <w:numPr>
                <w:ilvl w:val="0"/>
                <w:numId w:val="0"/>
              </w:numPr>
              <w:snapToGrid w:val="0"/>
              <w:ind w:left="0" w:leftChars="0" w:right="0" w:rightChars="0" w:firstLine="0" w:firstLineChars="0"/>
              <w:jc w:val="left"/>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t>（3）报价得分计算结果按四舍五入规则保留小数点后两位数字。</w:t>
            </w:r>
          </w:p>
          <w:p w14:paraId="1CD5F76F">
            <w:pPr>
              <w:pStyle w:val="110"/>
              <w:numPr>
                <w:ilvl w:val="0"/>
                <w:numId w:val="0"/>
              </w:numPr>
              <w:snapToGrid w:val="0"/>
              <w:ind w:left="0" w:leftChars="0" w:right="0" w:rightChars="0" w:firstLine="0" w:firstLineChars="0"/>
              <w:jc w:val="left"/>
              <w:rPr>
                <w:rFonts w:hint="eastAsia" w:ascii="仿宋" w:hAnsi="仿宋" w:eastAsia="仿宋" w:cs="仿宋"/>
                <w:color w:val="000000" w:themeColor="text1"/>
                <w:kern w:val="0"/>
                <w:sz w:val="18"/>
                <w:szCs w:val="18"/>
                <w:highlight w:val="none"/>
                <w:lang w:val="en-US" w:eastAsia="zh-CN"/>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t>注：</w:t>
            </w:r>
            <w:r>
              <w:rPr>
                <w:rFonts w:hint="eastAsia" w:ascii="仿宋" w:hAnsi="仿宋" w:eastAsia="仿宋" w:cs="仿宋"/>
                <w:b/>
                <w:bCs/>
                <w:color w:val="000000" w:themeColor="text1"/>
                <w:kern w:val="0"/>
                <w:sz w:val="18"/>
                <w:szCs w:val="18"/>
                <w:highlight w:val="none"/>
                <w:lang w:val="en-US" w:eastAsia="zh-CN" w:bidi="ar-SA"/>
                <w14:textFill>
                  <w14:solidFill>
                    <w14:schemeClr w14:val="tx1"/>
                  </w14:solidFill>
                </w14:textFill>
              </w:rPr>
              <w:t>本项目专门面向中小企业采购。根据《政府采购促进中小企业发展管理办法》（财库﹝2020﹞46号）、《关于进一步加大政府采购支持中小企业力度的通知》（财库〔2022〕19号）的规定，对小型和微型企业不进行价格扣除。）</w:t>
            </w:r>
          </w:p>
        </w:tc>
      </w:tr>
      <w:tr w14:paraId="5935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5" w:type="dxa"/>
            <w:noWrap w:val="0"/>
            <w:vAlign w:val="center"/>
          </w:tcPr>
          <w:p w14:paraId="5D6A4E38">
            <w:pPr>
              <w:widowControl/>
              <w:snapToGrid w:val="0"/>
              <w:ind w:left="0" w:leftChars="0" w:right="0" w:rightChars="0" w:firstLine="0" w:firstLineChars="0"/>
              <w:jc w:val="center"/>
              <w:rPr>
                <w:rFonts w:hint="eastAsia" w:ascii="仿宋" w:hAnsi="仿宋" w:eastAsia="仿宋" w:cs="仿宋"/>
                <w:color w:val="000000" w:themeColor="text1"/>
                <w:kern w:val="0"/>
                <w:sz w:val="18"/>
                <w:szCs w:val="18"/>
                <w:highlight w:val="none"/>
                <w:cs/>
                <w:lang w:val="en-US" w:eastAsia="zh-CN" w:bidi="ar-SA"/>
                <w14:textFill>
                  <w14:solidFill>
                    <w14:schemeClr w14:val="tx1"/>
                  </w14:solidFill>
                </w14:textFill>
              </w:rPr>
            </w:pPr>
            <w:r>
              <w:rPr>
                <w:rFonts w:hint="eastAsia" w:ascii="仿宋" w:hAnsi="仿宋" w:eastAsia="仿宋" w:cs="仿宋"/>
                <w:color w:val="000000" w:themeColor="text1"/>
                <w:kern w:val="0"/>
                <w:sz w:val="18"/>
                <w:szCs w:val="18"/>
                <w:highlight w:val="none"/>
                <w:cs w:val="0"/>
                <w:lang w:val="en-US" w:eastAsia="zh-CN" w:bidi="ar-SA"/>
                <w14:textFill>
                  <w14:solidFill>
                    <w14:schemeClr w14:val="tx1"/>
                  </w14:solidFill>
                </w14:textFill>
              </w:rPr>
              <w:t>2</w:t>
            </w:r>
          </w:p>
        </w:tc>
        <w:tc>
          <w:tcPr>
            <w:tcW w:w="1060" w:type="dxa"/>
            <w:vMerge w:val="restart"/>
            <w:noWrap w:val="0"/>
            <w:vAlign w:val="center"/>
          </w:tcPr>
          <w:p w14:paraId="41B6D16A">
            <w:pPr>
              <w:widowControl/>
              <w:snapToGrid w:val="0"/>
              <w:ind w:left="0" w:leftChars="0" w:right="0" w:rightChars="0" w:firstLine="0" w:firstLineChars="0"/>
              <w:jc w:val="cente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t>商务部分</w:t>
            </w:r>
          </w:p>
        </w:tc>
        <w:tc>
          <w:tcPr>
            <w:tcW w:w="833" w:type="dxa"/>
            <w:noWrap w:val="0"/>
            <w:vAlign w:val="center"/>
          </w:tcPr>
          <w:p w14:paraId="6368E4BC">
            <w:pPr>
              <w:widowControl/>
              <w:snapToGrid w:val="0"/>
              <w:ind w:left="0" w:leftChars="0" w:right="0" w:rightChars="0" w:firstLine="0" w:firstLineChars="0"/>
              <w:jc w:val="left"/>
              <w:rPr>
                <w:rFonts w:hint="eastAsia" w:ascii="仿宋" w:hAnsi="仿宋" w:eastAsia="仿宋" w:cs="仿宋"/>
                <w:b w:val="0"/>
                <w:bCs w:val="0"/>
                <w:color w:val="000000" w:themeColor="text1"/>
                <w:kern w:val="0"/>
                <w:sz w:val="18"/>
                <w:szCs w:val="18"/>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0"/>
                <w:sz w:val="18"/>
                <w:szCs w:val="18"/>
                <w:highlight w:val="none"/>
                <w:lang w:val="en-US" w:eastAsia="zh-CN"/>
                <w14:textFill>
                  <w14:solidFill>
                    <w14:schemeClr w14:val="tx1"/>
                  </w14:solidFill>
                </w14:textFill>
              </w:rPr>
              <w:t>6分</w:t>
            </w:r>
          </w:p>
        </w:tc>
        <w:tc>
          <w:tcPr>
            <w:tcW w:w="5834" w:type="dxa"/>
            <w:noWrap w:val="0"/>
            <w:vAlign w:val="center"/>
          </w:tcPr>
          <w:p w14:paraId="5F67D29A">
            <w:pPr>
              <w:pStyle w:val="110"/>
              <w:numPr>
                <w:ilvl w:val="0"/>
                <w:numId w:val="0"/>
              </w:numPr>
              <w:snapToGrid w:val="0"/>
              <w:ind w:left="0" w:leftChars="0" w:right="0" w:rightChars="0" w:firstLine="0" w:firstLineChars="0"/>
              <w:jc w:val="left"/>
              <w:rPr>
                <w:rFonts w:hint="eastAsia" w:ascii="仿宋" w:hAnsi="仿宋" w:eastAsia="仿宋" w:cs="仿宋"/>
                <w:b/>
                <w:bCs/>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18"/>
                <w:szCs w:val="18"/>
                <w:highlight w:val="none"/>
                <w:lang w:val="en-US" w:eastAsia="zh-CN"/>
                <w14:textFill>
                  <w14:solidFill>
                    <w14:schemeClr w14:val="tx1"/>
                  </w14:solidFill>
                </w14:textFill>
              </w:rPr>
              <w:t>类似项目业绩（6分）：</w:t>
            </w:r>
          </w:p>
          <w:p w14:paraId="0E9FC10E">
            <w:pPr>
              <w:pStyle w:val="110"/>
              <w:numPr>
                <w:ilvl w:val="0"/>
                <w:numId w:val="0"/>
              </w:numPr>
              <w:snapToGrid w:val="0"/>
              <w:ind w:left="0" w:leftChars="0" w:right="0" w:rightChars="0" w:firstLine="0" w:firstLineChars="0"/>
              <w:jc w:val="left"/>
              <w:rPr>
                <w:rFonts w:hint="eastAsia" w:ascii="仿宋" w:hAnsi="仿宋" w:eastAsia="仿宋" w:cs="仿宋"/>
                <w:b w:val="0"/>
                <w:bCs w:val="0"/>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18"/>
                <w:szCs w:val="18"/>
                <w:highlight w:val="none"/>
                <w:lang w:val="en-US" w:eastAsia="zh-CN" w:bidi="ar-SA"/>
                <w14:textFill>
                  <w14:solidFill>
                    <w14:schemeClr w14:val="tx1"/>
                  </w14:solidFill>
                </w14:textFill>
              </w:rPr>
              <w:t>供应商提供近3年（2023年1月1日至投标文件递交截止日期） 独立承担的与本项目类似的业绩，有一项得3分，最多得6分。</w:t>
            </w:r>
          </w:p>
          <w:p w14:paraId="45321F01">
            <w:pPr>
              <w:bidi w:val="0"/>
              <w:snapToGrid w:val="0"/>
              <w:jc w:val="left"/>
              <w:rPr>
                <w:rFonts w:hint="eastAsia" w:ascii="仿宋" w:hAnsi="仿宋" w:eastAsia="仿宋" w:cs="仿宋"/>
                <w:b/>
                <w:bCs/>
                <w:color w:val="000000" w:themeColor="text1"/>
                <w:kern w:val="0"/>
                <w:sz w:val="18"/>
                <w:szCs w:val="18"/>
                <w:highlight w:val="none"/>
                <w:cs/>
                <w:lang w:val="en-US" w:eastAsia="zh-CN" w:bidi="ar-SA"/>
                <w14:textFill>
                  <w14:solidFill>
                    <w14:schemeClr w14:val="tx1"/>
                  </w14:solidFill>
                </w14:textFill>
              </w:rPr>
            </w:pPr>
            <w:r>
              <w:rPr>
                <w:rFonts w:hint="eastAsia" w:ascii="仿宋" w:hAnsi="仿宋" w:eastAsia="仿宋" w:cs="仿宋"/>
                <w:b/>
                <w:bCs/>
                <w:color w:val="000000" w:themeColor="text1"/>
                <w:kern w:val="0"/>
                <w:sz w:val="18"/>
                <w:szCs w:val="18"/>
                <w:highlight w:val="none"/>
                <w:lang w:val="en-US" w:eastAsia="zh-CN" w:bidi="ar-SA"/>
                <w14:textFill>
                  <w14:solidFill>
                    <w14:schemeClr w14:val="tx1"/>
                  </w14:solidFill>
                </w14:textFill>
              </w:rPr>
              <w:t>备注：业绩证明以合同或中标通知书为准，在投标文件中附合同（协议）扫描件（合同须包含合同首页、金额页、服务 内容页、签字盖章页）或中标（成交）通知书扫描件加盖单位公章，业绩认定日期以合同签订日期为准，未提供业绩证明材或内容模糊不清的，其业绩不予认定，弄虚作假者取消其投标资格并追究其法律责任）。</w:t>
            </w:r>
          </w:p>
        </w:tc>
      </w:tr>
      <w:tr w14:paraId="06AB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noWrap w:val="0"/>
            <w:vAlign w:val="center"/>
          </w:tcPr>
          <w:p w14:paraId="03C7A33D">
            <w:pPr>
              <w:widowControl/>
              <w:snapToGrid w:val="0"/>
              <w:ind w:left="0" w:leftChars="0" w:right="0" w:rightChars="0" w:firstLine="0" w:firstLineChars="0"/>
              <w:jc w:val="center"/>
              <w:rPr>
                <w:rFonts w:hint="eastAsia" w:ascii="仿宋" w:hAnsi="仿宋" w:eastAsia="仿宋" w:cs="仿宋"/>
                <w:color w:val="000000" w:themeColor="text1"/>
                <w:kern w:val="0"/>
                <w:sz w:val="18"/>
                <w:szCs w:val="18"/>
                <w:highlight w:val="none"/>
                <w:rtl w:val="0"/>
                <w:cs w:val="0"/>
                <w:lang w:val="en-US" w:eastAsia="zh-CN" w:bidi="ar-SA"/>
                <w14:textFill>
                  <w14:solidFill>
                    <w14:schemeClr w14:val="tx1"/>
                  </w14:solidFill>
                </w14:textFill>
              </w:rPr>
            </w:pPr>
            <w:r>
              <w:rPr>
                <w:rFonts w:hint="eastAsia" w:ascii="仿宋" w:hAnsi="仿宋" w:eastAsia="仿宋" w:cs="仿宋"/>
                <w:color w:val="000000" w:themeColor="text1"/>
                <w:kern w:val="0"/>
                <w:sz w:val="18"/>
                <w:szCs w:val="18"/>
                <w:highlight w:val="none"/>
                <w:rtl w:val="0"/>
                <w:cs w:val="0"/>
                <w:lang w:val="en-US" w:eastAsia="zh-CN" w:bidi="ar-SA"/>
                <w14:textFill>
                  <w14:solidFill>
                    <w14:schemeClr w14:val="tx1"/>
                  </w14:solidFill>
                </w14:textFill>
              </w:rPr>
              <w:t>3</w:t>
            </w:r>
          </w:p>
        </w:tc>
        <w:tc>
          <w:tcPr>
            <w:tcW w:w="1060" w:type="dxa"/>
            <w:vMerge w:val="continue"/>
            <w:noWrap w:val="0"/>
            <w:vAlign w:val="center"/>
          </w:tcPr>
          <w:p w14:paraId="718E8D57">
            <w:pPr>
              <w:widowControl/>
              <w:snapToGrid w:val="0"/>
              <w:ind w:left="0" w:leftChars="0" w:right="0" w:rightChars="0" w:firstLine="0" w:firstLineChars="0"/>
              <w:jc w:val="cente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p>
        </w:tc>
        <w:tc>
          <w:tcPr>
            <w:tcW w:w="833" w:type="dxa"/>
            <w:noWrap w:val="0"/>
            <w:vAlign w:val="center"/>
          </w:tcPr>
          <w:p w14:paraId="62D7330A">
            <w:pPr>
              <w:widowControl/>
              <w:snapToGrid w:val="0"/>
              <w:ind w:left="0" w:leftChars="0" w:right="0" w:rightChars="0" w:firstLine="0" w:firstLineChars="0"/>
              <w:jc w:val="left"/>
              <w:rPr>
                <w:rFonts w:hint="eastAsia" w:ascii="仿宋" w:hAnsi="仿宋" w:eastAsia="仿宋" w:cs="仿宋"/>
                <w:b w:val="0"/>
                <w:bCs w:val="0"/>
                <w:color w:val="000000" w:themeColor="text1"/>
                <w:kern w:val="0"/>
                <w:sz w:val="18"/>
                <w:szCs w:val="18"/>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0"/>
                <w:sz w:val="18"/>
                <w:szCs w:val="18"/>
                <w:highlight w:val="none"/>
                <w:lang w:val="en-US" w:eastAsia="zh-CN"/>
                <w14:textFill>
                  <w14:solidFill>
                    <w14:schemeClr w14:val="tx1"/>
                  </w14:solidFill>
                </w14:textFill>
              </w:rPr>
              <w:t>10分</w:t>
            </w:r>
          </w:p>
        </w:tc>
        <w:tc>
          <w:tcPr>
            <w:tcW w:w="5834" w:type="dxa"/>
            <w:noWrap w:val="0"/>
            <w:vAlign w:val="center"/>
          </w:tcPr>
          <w:p w14:paraId="325AAE28">
            <w:pPr>
              <w:pStyle w:val="110"/>
              <w:numPr>
                <w:ilvl w:val="0"/>
                <w:numId w:val="0"/>
              </w:numPr>
              <w:snapToGrid w:val="0"/>
              <w:ind w:right="0" w:rightChars="0"/>
              <w:jc w:val="left"/>
              <w:rPr>
                <w:rFonts w:hint="eastAsia" w:ascii="仿宋" w:hAnsi="仿宋" w:eastAsia="仿宋" w:cs="仿宋"/>
                <w:b/>
                <w:bCs/>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18"/>
                <w:szCs w:val="18"/>
                <w:highlight w:val="none"/>
                <w:lang w:val="en-US" w:eastAsia="zh-CN" w:bidi="ar-SA"/>
                <w14:textFill>
                  <w14:solidFill>
                    <w14:schemeClr w14:val="tx1"/>
                  </w14:solidFill>
                </w14:textFill>
              </w:rPr>
              <w:t>团队配置（10分）：</w:t>
            </w:r>
          </w:p>
          <w:p w14:paraId="0885DCB6">
            <w:pPr>
              <w:pStyle w:val="110"/>
              <w:numPr>
                <w:ilvl w:val="0"/>
                <w:numId w:val="0"/>
              </w:numPr>
              <w:snapToGrid w:val="0"/>
              <w:ind w:left="0" w:leftChars="0" w:right="0" w:rightChars="0" w:firstLine="0" w:firstLineChars="0"/>
              <w:jc w:val="left"/>
              <w:rPr>
                <w:rFonts w:hint="eastAsia" w:ascii="仿宋" w:hAnsi="仿宋" w:eastAsia="仿宋" w:cs="仿宋"/>
                <w:b w:val="0"/>
                <w:bCs w:val="0"/>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18"/>
                <w:szCs w:val="18"/>
                <w:highlight w:val="none"/>
                <w:lang w:val="en-US" w:eastAsia="zh-CN" w:bidi="ar-SA"/>
                <w14:textFill>
                  <w14:solidFill>
                    <w14:schemeClr w14:val="tx1"/>
                  </w14:solidFill>
                </w14:textFill>
              </w:rPr>
              <w:t>10 分：项目团队配备充足且经验丰富的旅游运营、活动策划、接待服务专业人员，人员结构合理，提供完整人员名单、岗位职责及相关经验证明材料，专业匹配度高。</w:t>
            </w:r>
          </w:p>
          <w:p w14:paraId="3C6B68D6">
            <w:pPr>
              <w:pStyle w:val="110"/>
              <w:numPr>
                <w:ilvl w:val="0"/>
                <w:numId w:val="0"/>
              </w:numPr>
              <w:snapToGrid w:val="0"/>
              <w:ind w:left="0" w:leftChars="0" w:right="0" w:rightChars="0" w:firstLine="0" w:firstLineChars="0"/>
              <w:jc w:val="left"/>
              <w:rPr>
                <w:rFonts w:hint="eastAsia" w:ascii="仿宋" w:hAnsi="仿宋" w:eastAsia="仿宋" w:cs="仿宋"/>
                <w:b w:val="0"/>
                <w:bCs w:val="0"/>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18"/>
                <w:szCs w:val="18"/>
                <w:highlight w:val="none"/>
                <w:lang w:val="en-US" w:eastAsia="zh-CN" w:bidi="ar-SA"/>
                <w14:textFill>
                  <w14:solidFill>
                    <w14:schemeClr w14:val="tx1"/>
                  </w14:solidFill>
                </w14:textFill>
              </w:rPr>
              <w:t>8分：项目团队配备旅游运营、活动策划、接待服务专业人员，经验较为丰富，提供完整人员名单及经验描述，专业能力较强。</w:t>
            </w:r>
          </w:p>
          <w:p w14:paraId="2B8BF279">
            <w:pPr>
              <w:pStyle w:val="110"/>
              <w:numPr>
                <w:ilvl w:val="0"/>
                <w:numId w:val="0"/>
              </w:numPr>
              <w:snapToGrid w:val="0"/>
              <w:ind w:left="0" w:leftChars="0" w:right="0" w:rightChars="0" w:firstLine="0" w:firstLineChars="0"/>
              <w:jc w:val="left"/>
              <w:rPr>
                <w:rFonts w:hint="eastAsia" w:ascii="仿宋" w:hAnsi="仿宋" w:eastAsia="仿宋" w:cs="仿宋"/>
                <w:b w:val="0"/>
                <w:bCs w:val="0"/>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18"/>
                <w:szCs w:val="18"/>
                <w:highlight w:val="none"/>
                <w:lang w:val="en-US" w:eastAsia="zh-CN" w:bidi="ar-SA"/>
                <w14:textFill>
                  <w14:solidFill>
                    <w14:schemeClr w14:val="tx1"/>
                  </w14:solidFill>
                </w14:textFill>
              </w:rPr>
              <w:t>6 分：团队配置基本达标，人员具备相关行业基础经验，提供人员名单及简要经验介绍，满足项目基本需求。</w:t>
            </w:r>
          </w:p>
          <w:p w14:paraId="658FD453">
            <w:pPr>
              <w:pStyle w:val="110"/>
              <w:numPr>
                <w:ilvl w:val="0"/>
                <w:numId w:val="0"/>
              </w:numPr>
              <w:snapToGrid w:val="0"/>
              <w:ind w:left="0" w:leftChars="0" w:right="0" w:rightChars="0" w:firstLine="0" w:firstLineChars="0"/>
              <w:jc w:val="left"/>
              <w:rPr>
                <w:rFonts w:hint="eastAsia" w:ascii="仿宋" w:hAnsi="仿宋" w:eastAsia="仿宋" w:cs="仿宋"/>
                <w:b w:val="0"/>
                <w:bCs w:val="0"/>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18"/>
                <w:szCs w:val="18"/>
                <w:highlight w:val="none"/>
                <w:lang w:val="en-US" w:eastAsia="zh-CN" w:bidi="ar-SA"/>
                <w14:textFill>
                  <w14:solidFill>
                    <w14:schemeClr w14:val="tx1"/>
                  </w14:solidFill>
                </w14:textFill>
              </w:rPr>
              <w:t>4 分：团队配置一般，部分岗位人员经验不足，仅提供简单人员名单，无详细经验说明。</w:t>
            </w:r>
          </w:p>
          <w:p w14:paraId="7C994E99">
            <w:pPr>
              <w:pStyle w:val="110"/>
              <w:numPr>
                <w:ilvl w:val="0"/>
                <w:numId w:val="0"/>
              </w:numPr>
              <w:snapToGrid w:val="0"/>
              <w:ind w:left="0" w:leftChars="0" w:right="0" w:rightChars="0" w:firstLine="0" w:firstLineChars="0"/>
              <w:jc w:val="left"/>
              <w:rPr>
                <w:rFonts w:hint="eastAsia" w:ascii="仿宋" w:hAnsi="仿宋" w:eastAsia="仿宋" w:cs="仿宋"/>
                <w:b w:val="0"/>
                <w:bCs w:val="0"/>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18"/>
                <w:szCs w:val="18"/>
                <w:highlight w:val="none"/>
                <w:lang w:val="en-US" w:eastAsia="zh-CN" w:bidi="ar-SA"/>
                <w14:textFill>
                  <w14:solidFill>
                    <w14:schemeClr w14:val="tx1"/>
                  </w14:solidFill>
                </w14:textFill>
              </w:rPr>
              <w:t>2分：团队配置不足，人员无相关行业经验或专业匹配度较低，仅提供简单人员信息。</w:t>
            </w:r>
          </w:p>
          <w:p w14:paraId="4D33D013">
            <w:pPr>
              <w:pStyle w:val="110"/>
              <w:numPr>
                <w:ilvl w:val="0"/>
                <w:numId w:val="0"/>
              </w:numPr>
              <w:snapToGrid w:val="0"/>
              <w:ind w:left="0" w:leftChars="0" w:right="0" w:rightChars="0" w:firstLine="0" w:firstLineChars="0"/>
              <w:jc w:val="left"/>
              <w:rPr>
                <w:rFonts w:hint="eastAsia" w:ascii="仿宋" w:hAnsi="仿宋" w:eastAsia="仿宋" w:cs="仿宋"/>
                <w:color w:val="000000" w:themeColor="text1"/>
                <w:kern w:val="0"/>
                <w:sz w:val="18"/>
                <w:szCs w:val="18"/>
                <w:highlight w:val="none"/>
                <w:cs/>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18"/>
                <w:szCs w:val="18"/>
                <w:highlight w:val="none"/>
                <w:lang w:val="en-US" w:eastAsia="zh-CN" w:bidi="ar-SA"/>
                <w14:textFill>
                  <w14:solidFill>
                    <w14:schemeClr w14:val="tx1"/>
                  </w14:solidFill>
                </w14:textFill>
              </w:rPr>
              <w:t xml:space="preserve"> 0 分：未提供任何团队配置相关材料，本项不得分。</w:t>
            </w:r>
          </w:p>
        </w:tc>
      </w:tr>
      <w:tr w14:paraId="434F8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noWrap w:val="0"/>
            <w:vAlign w:val="center"/>
          </w:tcPr>
          <w:p w14:paraId="3157B5D9">
            <w:pPr>
              <w:widowControl/>
              <w:snapToGrid w:val="0"/>
              <w:ind w:left="0" w:leftChars="0" w:right="0" w:rightChars="0" w:firstLine="0" w:firstLineChars="0"/>
              <w:jc w:val="center"/>
              <w:rPr>
                <w:rFonts w:hint="eastAsia" w:ascii="仿宋" w:hAnsi="仿宋" w:eastAsia="仿宋" w:cs="仿宋"/>
                <w:b/>
                <w:bCs/>
                <w:color w:val="000000" w:themeColor="text1"/>
                <w:kern w:val="0"/>
                <w:sz w:val="18"/>
                <w:szCs w:val="18"/>
                <w:highlight w:val="none"/>
                <w:lang w:val="en-US" w:eastAsia="zh-CN"/>
                <w14:textFill>
                  <w14:solidFill>
                    <w14:schemeClr w14:val="tx1"/>
                  </w14:solidFill>
                </w14:textFill>
              </w:rPr>
            </w:pPr>
          </w:p>
          <w:p w14:paraId="48E62F45">
            <w:pPr>
              <w:widowControl/>
              <w:snapToGrid w:val="0"/>
              <w:ind w:left="0" w:leftChars="0" w:right="0" w:rightChars="0" w:firstLine="0" w:firstLineChars="0"/>
              <w:jc w:val="center"/>
              <w:rPr>
                <w:rFonts w:hint="eastAsia" w:ascii="仿宋" w:hAnsi="仿宋" w:eastAsia="仿宋" w:cs="仿宋"/>
                <w:color w:val="000000" w:themeColor="text1"/>
                <w:kern w:val="0"/>
                <w:sz w:val="18"/>
                <w:szCs w:val="18"/>
                <w:highlight w:val="none"/>
                <w:lang w:val="en-US" w:eastAsia="zh-CN"/>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14:textFill>
                  <w14:solidFill>
                    <w14:schemeClr w14:val="tx1"/>
                  </w14:solidFill>
                </w14:textFill>
              </w:rPr>
              <w:t>4</w:t>
            </w:r>
          </w:p>
        </w:tc>
        <w:tc>
          <w:tcPr>
            <w:tcW w:w="1060" w:type="dxa"/>
            <w:vMerge w:val="restart"/>
            <w:noWrap w:val="0"/>
            <w:vAlign w:val="center"/>
          </w:tcPr>
          <w:p w14:paraId="3EB08057">
            <w:pPr>
              <w:widowControl/>
              <w:snapToGrid w:val="0"/>
              <w:ind w:left="0" w:leftChars="0" w:right="0" w:rightChars="0" w:firstLine="0" w:firstLineChars="0"/>
              <w:jc w:val="center"/>
              <w:rPr>
                <w:rFonts w:hint="eastAsia" w:ascii="仿宋" w:hAnsi="仿宋" w:eastAsia="仿宋" w:cs="仿宋"/>
                <w:b/>
                <w:bCs/>
                <w:color w:val="000000" w:themeColor="text1"/>
                <w:kern w:val="0"/>
                <w:sz w:val="18"/>
                <w:szCs w:val="18"/>
                <w:highlight w:val="none"/>
                <w:lang w:val="en-US" w:eastAsia="zh-CN"/>
                <w14:textFill>
                  <w14:solidFill>
                    <w14:schemeClr w14:val="tx1"/>
                  </w14:solidFill>
                </w14:textFill>
              </w:rPr>
            </w:pPr>
            <w:r>
              <w:rPr>
                <w:rFonts w:hint="eastAsia" w:ascii="仿宋" w:hAnsi="仿宋" w:eastAsia="仿宋" w:cs="仿宋"/>
                <w:b/>
                <w:bCs/>
                <w:color w:val="000000" w:themeColor="text1"/>
                <w:kern w:val="0"/>
                <w:sz w:val="18"/>
                <w:szCs w:val="18"/>
                <w:highlight w:val="none"/>
                <w:lang w:val="en-US" w:eastAsia="zh-CN"/>
                <w14:textFill>
                  <w14:solidFill>
                    <w14:schemeClr w14:val="tx1"/>
                  </w14:solidFill>
                </w14:textFill>
              </w:rPr>
              <w:t>技术部分</w:t>
            </w:r>
          </w:p>
          <w:p w14:paraId="436EE654">
            <w:pPr>
              <w:widowControl/>
              <w:snapToGrid w:val="0"/>
              <w:ind w:left="0" w:leftChars="0" w:right="0" w:rightChars="0" w:firstLine="0" w:firstLineChars="0"/>
              <w:jc w:val="center"/>
              <w:rPr>
                <w:rFonts w:hint="eastAsia" w:ascii="仿宋" w:hAnsi="仿宋" w:eastAsia="仿宋" w:cs="仿宋"/>
                <w:color w:val="000000" w:themeColor="text1"/>
                <w:kern w:val="0"/>
                <w:sz w:val="18"/>
                <w:szCs w:val="18"/>
                <w:highlight w:val="none"/>
                <w:lang w:val="en-US" w:eastAsia="zh-CN"/>
                <w14:textFill>
                  <w14:solidFill>
                    <w14:schemeClr w14:val="tx1"/>
                  </w14:solidFill>
                </w14:textFill>
              </w:rPr>
            </w:pPr>
          </w:p>
        </w:tc>
        <w:tc>
          <w:tcPr>
            <w:tcW w:w="833" w:type="dxa"/>
            <w:noWrap w:val="0"/>
            <w:vAlign w:val="center"/>
          </w:tcPr>
          <w:p w14:paraId="03144138">
            <w:pPr>
              <w:widowControl/>
              <w:snapToGrid w:val="0"/>
              <w:ind w:left="0" w:leftChars="0" w:right="0" w:rightChars="0" w:firstLine="0" w:firstLineChars="0"/>
              <w:jc w:val="left"/>
              <w:rPr>
                <w:rFonts w:hint="eastAsia" w:ascii="仿宋" w:hAnsi="仿宋" w:eastAsia="仿宋" w:cs="仿宋"/>
                <w:b w:val="0"/>
                <w:bCs w:val="0"/>
                <w:color w:val="000000" w:themeColor="text1"/>
                <w:kern w:val="0"/>
                <w:sz w:val="18"/>
                <w:szCs w:val="18"/>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0"/>
                <w:sz w:val="18"/>
                <w:szCs w:val="18"/>
                <w:highlight w:val="none"/>
                <w:lang w:val="en-US" w:eastAsia="zh-CN"/>
                <w14:textFill>
                  <w14:solidFill>
                    <w14:schemeClr w14:val="tx1"/>
                  </w14:solidFill>
                </w14:textFill>
              </w:rPr>
              <w:t>10分</w:t>
            </w:r>
          </w:p>
        </w:tc>
        <w:tc>
          <w:tcPr>
            <w:tcW w:w="5834" w:type="dxa"/>
            <w:noWrap w:val="0"/>
            <w:vAlign w:val="center"/>
          </w:tcPr>
          <w:p w14:paraId="4791415A">
            <w:pPr>
              <w:keepNext w:val="0"/>
              <w:keepLines w:val="0"/>
              <w:widowControl/>
              <w:suppressLineNumbers w:val="0"/>
              <w:jc w:val="left"/>
              <w:rPr>
                <w:rStyle w:val="40"/>
                <w:rFonts w:hint="eastAsia" w:ascii="仿宋" w:hAnsi="仿宋" w:eastAsia="仿宋" w:cs="仿宋"/>
                <w:color w:val="000000" w:themeColor="text1"/>
                <w:kern w:val="0"/>
                <w:sz w:val="18"/>
                <w:szCs w:val="18"/>
                <w:highlight w:val="none"/>
                <w:lang w:val="en-US" w:eastAsia="zh-CN" w:bidi="ar"/>
                <w14:textFill>
                  <w14:solidFill>
                    <w14:schemeClr w14:val="tx1"/>
                  </w14:solidFill>
                </w14:textFill>
              </w:rPr>
            </w:pPr>
            <w:r>
              <w:rPr>
                <w:rStyle w:val="40"/>
                <w:rFonts w:hint="eastAsia" w:ascii="仿宋" w:hAnsi="仿宋" w:eastAsia="仿宋" w:cs="仿宋"/>
                <w:color w:val="000000" w:themeColor="text1"/>
                <w:kern w:val="0"/>
                <w:sz w:val="18"/>
                <w:szCs w:val="18"/>
                <w:highlight w:val="none"/>
                <w:lang w:val="en-US" w:eastAsia="zh-CN" w:bidi="ar"/>
                <w14:textFill>
                  <w14:solidFill>
                    <w14:schemeClr w14:val="tx1"/>
                  </w14:solidFill>
                </w14:textFill>
              </w:rPr>
              <w:t> 整体方案设计（10分）：</w:t>
            </w:r>
          </w:p>
          <w:p w14:paraId="09F713C2">
            <w:pPr>
              <w:keepNext w:val="0"/>
              <w:keepLines w:val="0"/>
              <w:widowControl/>
              <w:suppressLineNumbers w:val="0"/>
              <w:jc w:val="left"/>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t>根据投标人对项目的理解程度、整体思路清晰度、方案与采购需求契合度评分。</w:t>
            </w:r>
          </w:p>
          <w:p w14:paraId="68ECDE0A">
            <w:pPr>
              <w:keepNext w:val="0"/>
              <w:keepLines w:val="0"/>
              <w:widowControl/>
              <w:numPr>
                <w:ilvl w:val="0"/>
                <w:numId w:val="0"/>
              </w:numPr>
              <w:suppressLineNumbers w:val="0"/>
              <w:jc w:val="left"/>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t>10分：方案完全响应采购需求，思路清晰、创新性强、可操作性强，充分融入“文化润疆”及“鲁喀协作”精神，亮点突出；</w:t>
            </w:r>
          </w:p>
          <w:p w14:paraId="5B051814">
            <w:pPr>
              <w:keepNext w:val="0"/>
              <w:keepLines w:val="0"/>
              <w:widowControl/>
              <w:numPr>
                <w:ilvl w:val="0"/>
                <w:numId w:val="0"/>
              </w:numPr>
              <w:suppressLineNumbers w:val="0"/>
              <w:ind w:leftChars="0"/>
              <w:jc w:val="left"/>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t>8分：方案完全响应采购需求，思路清晰、可操作性强，较好体现“文化润疆”及“鲁喀协作”精神，有一定亮点；</w:t>
            </w:r>
          </w:p>
          <w:p w14:paraId="20097F01">
            <w:pPr>
              <w:keepNext w:val="0"/>
              <w:keepLines w:val="0"/>
              <w:widowControl/>
              <w:numPr>
                <w:ilvl w:val="0"/>
                <w:numId w:val="0"/>
              </w:numPr>
              <w:suppressLineNumbers w:val="0"/>
              <w:ind w:leftChars="0"/>
              <w:jc w:val="left"/>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t>6分：方案完全响应采购需求，思路清晰、可操作性强，基本体现“文化润疆”及“鲁喀协作”精神，无明显亮点；</w:t>
            </w:r>
          </w:p>
          <w:p w14:paraId="033DB7B6">
            <w:pPr>
              <w:keepNext w:val="0"/>
              <w:keepLines w:val="0"/>
              <w:widowControl/>
              <w:numPr>
                <w:ilvl w:val="0"/>
                <w:numId w:val="0"/>
              </w:numPr>
              <w:suppressLineNumbers w:val="0"/>
              <w:ind w:leftChars="0"/>
              <w:jc w:val="left"/>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t>4分：方案基本完整，思路较清晰，基本契合采购需求，能体现部分“文化润疆”或“鲁喀协作”精神，缺乏亮点；</w:t>
            </w:r>
          </w:p>
          <w:p w14:paraId="15FB3E56">
            <w:pPr>
              <w:keepNext w:val="0"/>
              <w:keepLines w:val="0"/>
              <w:widowControl/>
              <w:numPr>
                <w:ilvl w:val="0"/>
                <w:numId w:val="0"/>
              </w:numPr>
              <w:suppressLineNumbers w:val="0"/>
              <w:ind w:leftChars="0"/>
              <w:jc w:val="left"/>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t>2分：方案基本完整，思路不够清晰，与采购需求契合度一般，未体现“文化润疆”及“鲁喀协作”精神，缺乏亮点；</w:t>
            </w:r>
          </w:p>
          <w:p w14:paraId="3F106568">
            <w:pPr>
              <w:keepNext w:val="0"/>
              <w:keepLines w:val="0"/>
              <w:widowControl/>
              <w:numPr>
                <w:ilvl w:val="0"/>
                <w:numId w:val="0"/>
              </w:numPr>
              <w:suppressLineNumbers w:val="0"/>
              <w:ind w:leftChars="0"/>
              <w:jc w:val="left"/>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t>0-1分：方案有明显缺陷，对项目理解存在偏差，与采购需求不符，未体现“文化润疆”及“鲁喀协作”精神。</w:t>
            </w:r>
          </w:p>
        </w:tc>
      </w:tr>
      <w:tr w14:paraId="27E8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5" w:type="dxa"/>
            <w:noWrap w:val="0"/>
            <w:vAlign w:val="center"/>
          </w:tcPr>
          <w:p w14:paraId="230C9A20">
            <w:pPr>
              <w:widowControl/>
              <w:snapToGrid w:val="0"/>
              <w:ind w:left="0" w:leftChars="0" w:right="0" w:rightChars="0" w:firstLine="0" w:firstLineChars="0"/>
              <w:jc w:val="center"/>
              <w:rPr>
                <w:rFonts w:hint="eastAsia" w:ascii="仿宋" w:hAnsi="仿宋" w:eastAsia="仿宋" w:cs="仿宋"/>
                <w:color w:val="000000" w:themeColor="text1"/>
                <w:kern w:val="0"/>
                <w:sz w:val="18"/>
                <w:szCs w:val="18"/>
                <w:highlight w:val="none"/>
                <w:lang w:val="en-US" w:eastAsia="zh-CN"/>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14:textFill>
                  <w14:solidFill>
                    <w14:schemeClr w14:val="tx1"/>
                  </w14:solidFill>
                </w14:textFill>
              </w:rPr>
              <w:t>5</w:t>
            </w:r>
          </w:p>
        </w:tc>
        <w:tc>
          <w:tcPr>
            <w:tcW w:w="1060" w:type="dxa"/>
            <w:vMerge w:val="continue"/>
            <w:noWrap w:val="0"/>
            <w:vAlign w:val="center"/>
          </w:tcPr>
          <w:p w14:paraId="14B92CF2">
            <w:pPr>
              <w:widowControl/>
              <w:snapToGrid w:val="0"/>
              <w:ind w:left="0" w:leftChars="0" w:right="0" w:rightChars="0" w:firstLine="0" w:firstLineChars="0"/>
              <w:jc w:val="center"/>
              <w:rPr>
                <w:rFonts w:hint="eastAsia" w:ascii="仿宋" w:hAnsi="仿宋" w:eastAsia="仿宋" w:cs="仿宋"/>
                <w:color w:val="000000" w:themeColor="text1"/>
                <w:kern w:val="0"/>
                <w:sz w:val="18"/>
                <w:szCs w:val="18"/>
                <w:highlight w:val="none"/>
                <w:lang w:val="en-US" w:eastAsia="zh-CN"/>
                <w14:textFill>
                  <w14:solidFill>
                    <w14:schemeClr w14:val="tx1"/>
                  </w14:solidFill>
                </w14:textFill>
              </w:rPr>
            </w:pPr>
          </w:p>
        </w:tc>
        <w:tc>
          <w:tcPr>
            <w:tcW w:w="833" w:type="dxa"/>
            <w:noWrap w:val="0"/>
            <w:vAlign w:val="center"/>
          </w:tcPr>
          <w:p w14:paraId="77A310E8">
            <w:pPr>
              <w:keepNext w:val="0"/>
              <w:keepLines w:val="0"/>
              <w:widowControl/>
              <w:numPr>
                <w:ilvl w:val="0"/>
                <w:numId w:val="0"/>
              </w:numPr>
              <w:suppressLineNumbers w:val="0"/>
              <w:jc w:val="left"/>
              <w:rPr>
                <w:rFonts w:hint="eastAsia" w:ascii="仿宋" w:hAnsi="仿宋" w:eastAsia="仿宋" w:cs="仿宋"/>
                <w:b/>
                <w:bCs/>
                <w:color w:val="000000" w:themeColor="text1"/>
                <w:kern w:val="0"/>
                <w:sz w:val="18"/>
                <w:szCs w:val="18"/>
                <w:highlight w:val="none"/>
                <w:u w:val="none"/>
                <w:lang w:val="en-US" w:eastAsia="zh-CN" w:bidi="ar-SA"/>
                <w14:textFill>
                  <w14:solidFill>
                    <w14:schemeClr w14:val="tx1"/>
                  </w14:solidFill>
                </w14:textFill>
              </w:rPr>
            </w:pPr>
            <w:r>
              <w:rPr>
                <w:rFonts w:hint="eastAsia" w:ascii="仿宋" w:hAnsi="仿宋" w:eastAsia="仿宋" w:cs="仿宋"/>
                <w:b/>
                <w:bCs/>
                <w:color w:val="000000" w:themeColor="text1"/>
                <w:kern w:val="0"/>
                <w:sz w:val="18"/>
                <w:szCs w:val="18"/>
                <w:highlight w:val="none"/>
                <w:u w:val="none"/>
                <w:lang w:val="en-US" w:eastAsia="zh-CN" w:bidi="ar-SA"/>
                <w14:textFill>
                  <w14:solidFill>
                    <w14:schemeClr w14:val="tx1"/>
                  </w14:solidFill>
                </w14:textFill>
              </w:rPr>
              <w:t>12分</w:t>
            </w:r>
          </w:p>
        </w:tc>
        <w:tc>
          <w:tcPr>
            <w:tcW w:w="5834" w:type="dxa"/>
            <w:noWrap w:val="0"/>
            <w:vAlign w:val="center"/>
          </w:tcPr>
          <w:p w14:paraId="02B54BFA">
            <w:pPr>
              <w:keepNext w:val="0"/>
              <w:keepLines w:val="0"/>
              <w:widowControl/>
              <w:suppressLineNumbers w:val="0"/>
              <w:jc w:val="left"/>
              <w:rPr>
                <w:rFonts w:hint="eastAsia" w:ascii="仿宋" w:hAnsi="仿宋" w:eastAsia="仿宋" w:cs="仿宋"/>
                <w:color w:val="000000" w:themeColor="text1"/>
                <w:kern w:val="0"/>
                <w:sz w:val="18"/>
                <w:szCs w:val="18"/>
                <w:highlight w:val="none"/>
                <w:lang w:val="en-US" w:eastAsia="zh-CN" w:bidi="ar"/>
                <w14:textFill>
                  <w14:solidFill>
                    <w14:schemeClr w14:val="tx1"/>
                  </w14:solidFill>
                </w14:textFill>
              </w:rPr>
            </w:pPr>
            <w:r>
              <w:rPr>
                <w:rStyle w:val="40"/>
                <w:rFonts w:hint="eastAsia" w:ascii="仿宋" w:hAnsi="仿宋" w:eastAsia="仿宋" w:cs="仿宋"/>
                <w:color w:val="000000" w:themeColor="text1"/>
                <w:kern w:val="0"/>
                <w:sz w:val="18"/>
                <w:szCs w:val="18"/>
                <w:highlight w:val="none"/>
                <w:lang w:val="en-US" w:eastAsia="zh-CN" w:bidi="ar"/>
                <w14:textFill>
                  <w14:solidFill>
                    <w14:schemeClr w14:val="tx1"/>
                  </w14:solidFill>
                </w14:textFill>
              </w:rPr>
              <w:t>“山东人游喀什”专项方案（12分）：</w:t>
            </w:r>
          </w:p>
          <w:p w14:paraId="0279B610">
            <w:pPr>
              <w:keepNext w:val="0"/>
              <w:keepLines w:val="0"/>
              <w:widowControl/>
              <w:suppressLineNumbers w:val="0"/>
              <w:jc w:val="left"/>
              <w:rPr>
                <w:rFonts w:hint="eastAsia" w:ascii="仿宋" w:hAnsi="仿宋" w:eastAsia="仿宋" w:cs="仿宋"/>
                <w:color w:val="000000" w:themeColor="text1"/>
                <w:kern w:val="0"/>
                <w:sz w:val="18"/>
                <w:szCs w:val="18"/>
                <w:highlight w:val="none"/>
                <w:lang w:val="en-US" w:eastAsia="zh-CN" w:bidi="ar"/>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
                <w14:textFill>
                  <w14:solidFill>
                    <w14:schemeClr w14:val="tx1"/>
                  </w14:solidFill>
                </w14:textFill>
              </w:rPr>
              <w:t>针对“300人次山东客源组织”及“包机/专列”的可行性方案，围绕以下三项内容评分：①客源组织及招徕计划详细、可行；②“丝路风情+大漠生态”精品线路设计新颖、体验感强；③接待服务流程标准、应急预案完善。</w:t>
            </w:r>
          </w:p>
          <w:p w14:paraId="482E5359">
            <w:pPr>
              <w:keepNext w:val="0"/>
              <w:keepLines w:val="0"/>
              <w:widowControl/>
              <w:suppressLineNumbers w:val="0"/>
              <w:jc w:val="left"/>
              <w:rPr>
                <w:rFonts w:hint="eastAsia" w:ascii="仿宋" w:hAnsi="仿宋" w:eastAsia="仿宋" w:cs="仿宋"/>
                <w:b/>
                <w:bCs/>
                <w:color w:val="000000" w:themeColor="text1"/>
                <w:kern w:val="0"/>
                <w:sz w:val="18"/>
                <w:szCs w:val="18"/>
                <w:highlight w:val="none"/>
                <w:u w:val="none"/>
                <w:lang w:val="en-US" w:eastAsia="zh-CN" w:bidi="ar-SA"/>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
                <w14:textFill>
                  <w14:solidFill>
                    <w14:schemeClr w14:val="tx1"/>
                  </w14:solidFill>
                </w14:textFill>
              </w:rPr>
              <w:t>评分标准：三项内容均完整、可行性强，每项得4分，每项内容不完整或有缺陷，每项得2分，每项内容完全不符合实际需求，每项得1分；单项未提供相关内容的，该项得0分。</w:t>
            </w:r>
          </w:p>
        </w:tc>
      </w:tr>
      <w:tr w14:paraId="3269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795" w:type="dxa"/>
            <w:noWrap w:val="0"/>
            <w:vAlign w:val="center"/>
          </w:tcPr>
          <w:p w14:paraId="10BCBE09">
            <w:pPr>
              <w:pStyle w:val="110"/>
              <w:snapToGrid w:val="0"/>
              <w:ind w:left="0" w:leftChars="0" w:right="0" w:rightChars="0" w:firstLine="0" w:firstLineChars="0"/>
              <w:jc w:val="center"/>
              <w:rPr>
                <w:rFonts w:hint="eastAsia" w:ascii="仿宋" w:hAnsi="仿宋" w:eastAsia="仿宋" w:cs="仿宋"/>
                <w:iCs/>
                <w:color w:val="000000" w:themeColor="text1"/>
                <w:kern w:val="2"/>
                <w:sz w:val="18"/>
                <w:szCs w:val="18"/>
                <w:highlight w:val="none"/>
                <w:lang w:val="en-US" w:eastAsia="zh-CN" w:bidi="ar-SA"/>
                <w14:textFill>
                  <w14:solidFill>
                    <w14:schemeClr w14:val="tx1"/>
                  </w14:solidFill>
                </w14:textFill>
              </w:rPr>
            </w:pPr>
            <w:r>
              <w:rPr>
                <w:rFonts w:hint="eastAsia" w:ascii="仿宋" w:hAnsi="仿宋" w:eastAsia="仿宋" w:cs="仿宋"/>
                <w:iCs/>
                <w:color w:val="000000" w:themeColor="text1"/>
                <w:kern w:val="2"/>
                <w:sz w:val="18"/>
                <w:szCs w:val="18"/>
                <w:highlight w:val="none"/>
                <w:lang w:val="en-US" w:eastAsia="zh-CN" w:bidi="ar-SA"/>
                <w14:textFill>
                  <w14:solidFill>
                    <w14:schemeClr w14:val="tx1"/>
                  </w14:solidFill>
                </w14:textFill>
              </w:rPr>
              <w:t>6</w:t>
            </w:r>
          </w:p>
        </w:tc>
        <w:tc>
          <w:tcPr>
            <w:tcW w:w="1060" w:type="dxa"/>
            <w:vMerge w:val="continue"/>
            <w:noWrap w:val="0"/>
            <w:vAlign w:val="center"/>
          </w:tcPr>
          <w:p w14:paraId="7FF6EDCF">
            <w:pPr>
              <w:pStyle w:val="110"/>
              <w:snapToGrid w:val="0"/>
              <w:ind w:left="0" w:leftChars="0" w:right="0" w:rightChars="0" w:firstLine="0" w:firstLineChars="0"/>
              <w:jc w:val="center"/>
              <w:rPr>
                <w:rFonts w:hint="eastAsia" w:ascii="仿宋" w:hAnsi="仿宋" w:eastAsia="仿宋" w:cs="仿宋"/>
                <w:color w:val="000000" w:themeColor="text1"/>
                <w:sz w:val="18"/>
                <w:szCs w:val="18"/>
                <w:highlight w:val="none"/>
                <w14:textFill>
                  <w14:solidFill>
                    <w14:schemeClr w14:val="tx1"/>
                  </w14:solidFill>
                </w14:textFill>
              </w:rPr>
            </w:pPr>
          </w:p>
        </w:tc>
        <w:tc>
          <w:tcPr>
            <w:tcW w:w="833" w:type="dxa"/>
            <w:noWrap w:val="0"/>
            <w:vAlign w:val="center"/>
          </w:tcPr>
          <w:p w14:paraId="784EF93C">
            <w:pPr>
              <w:pStyle w:val="110"/>
              <w:snapToGrid w:val="0"/>
              <w:ind w:left="0" w:leftChars="0" w:right="0" w:rightChars="0" w:firstLine="0" w:firstLineChars="0"/>
              <w:jc w:val="left"/>
              <w:rPr>
                <w:rFonts w:hint="eastAsia" w:ascii="仿宋" w:hAnsi="仿宋" w:eastAsia="仿宋" w:cs="仿宋"/>
                <w:iCs/>
                <w:color w:val="000000" w:themeColor="text1"/>
                <w:kern w:val="2"/>
                <w:sz w:val="18"/>
                <w:szCs w:val="18"/>
                <w:highlight w:val="none"/>
                <w:lang w:val="en-US" w:eastAsia="zh-CN" w:bidi="ar-SA"/>
                <w14:textFill>
                  <w14:solidFill>
                    <w14:schemeClr w14:val="tx1"/>
                  </w14:solidFill>
                </w14:textFill>
              </w:rPr>
            </w:pPr>
            <w:r>
              <w:rPr>
                <w:rFonts w:hint="eastAsia" w:ascii="仿宋" w:hAnsi="仿宋" w:eastAsia="仿宋" w:cs="仿宋"/>
                <w:iCs/>
                <w:color w:val="000000" w:themeColor="text1"/>
                <w:kern w:val="2"/>
                <w:sz w:val="18"/>
                <w:szCs w:val="18"/>
                <w:highlight w:val="none"/>
                <w:lang w:val="en-US" w:eastAsia="zh-CN" w:bidi="ar-SA"/>
                <w14:textFill>
                  <w14:solidFill>
                    <w14:schemeClr w14:val="tx1"/>
                  </w14:solidFill>
                </w14:textFill>
              </w:rPr>
              <w:t>12分</w:t>
            </w:r>
          </w:p>
        </w:tc>
        <w:tc>
          <w:tcPr>
            <w:tcW w:w="5834" w:type="dxa"/>
            <w:noWrap w:val="0"/>
            <w:vAlign w:val="center"/>
          </w:tcPr>
          <w:p w14:paraId="4D022DA5">
            <w:pPr>
              <w:keepNext w:val="0"/>
              <w:keepLines w:val="0"/>
              <w:widowControl/>
              <w:suppressLineNumbers w:val="0"/>
              <w:jc w:val="left"/>
              <w:rPr>
                <w:rStyle w:val="40"/>
                <w:rFonts w:hint="eastAsia" w:ascii="仿宋" w:hAnsi="仿宋" w:eastAsia="仿宋" w:cs="仿宋"/>
                <w:color w:val="000000" w:themeColor="text1"/>
                <w:kern w:val="0"/>
                <w:sz w:val="18"/>
                <w:szCs w:val="18"/>
                <w:highlight w:val="none"/>
                <w:lang w:val="en-US" w:eastAsia="zh-CN" w:bidi="ar"/>
                <w14:textFill>
                  <w14:solidFill>
                    <w14:schemeClr w14:val="tx1"/>
                  </w14:solidFill>
                </w14:textFill>
              </w:rPr>
            </w:pPr>
            <w:r>
              <w:rPr>
                <w:rStyle w:val="40"/>
                <w:rFonts w:hint="eastAsia" w:ascii="仿宋" w:hAnsi="仿宋" w:eastAsia="仿宋" w:cs="仿宋"/>
                <w:color w:val="000000" w:themeColor="text1"/>
                <w:kern w:val="0"/>
                <w:sz w:val="18"/>
                <w:szCs w:val="18"/>
                <w:highlight w:val="none"/>
                <w:lang w:val="en-US" w:eastAsia="zh-CN" w:bidi="ar"/>
                <w14:textFill>
                  <w14:solidFill>
                    <w14:schemeClr w14:val="tx1"/>
                  </w14:solidFill>
                </w14:textFill>
              </w:rPr>
              <w:t> “喀什人看发展”专项方案（12分）：</w:t>
            </w:r>
          </w:p>
          <w:p w14:paraId="21C8EA2C">
            <w:pPr>
              <w:keepNext w:val="0"/>
              <w:keepLines w:val="0"/>
              <w:widowControl/>
              <w:suppressLineNumbers w:val="0"/>
              <w:jc w:val="left"/>
              <w:rPr>
                <w:rFonts w:hint="eastAsia" w:ascii="仿宋" w:hAnsi="仿宋" w:eastAsia="仿宋" w:cs="仿宋"/>
                <w:color w:val="000000" w:themeColor="text1"/>
                <w:kern w:val="0"/>
                <w:sz w:val="18"/>
                <w:szCs w:val="18"/>
                <w:highlight w:val="none"/>
                <w:lang w:val="en-US" w:eastAsia="zh-CN" w:bidi="ar"/>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
                <w14:textFill>
                  <w14:solidFill>
                    <w14:schemeClr w14:val="tx1"/>
                  </w14:solidFill>
                </w14:textFill>
              </w:rPr>
              <w:t>针对“400名干部群众观摩学习”的组织方案：</w:t>
            </w:r>
            <w:r>
              <w:rPr>
                <w:rFonts w:hint="eastAsia" w:ascii="仿宋" w:hAnsi="仿宋" w:eastAsia="仿宋" w:cs="仿宋"/>
                <w:color w:val="000000" w:themeColor="text1"/>
                <w:kern w:val="0"/>
                <w:sz w:val="18"/>
                <w:szCs w:val="18"/>
                <w:highlight w:val="none"/>
                <w:lang w:val="en-US" w:eastAsia="zh-CN" w:bidi="ar"/>
                <w14:textFill>
                  <w14:solidFill>
                    <w14:schemeClr w14:val="tx1"/>
                  </w14:solidFill>
                </w14:textFill>
              </w:rPr>
              <w:br w:type="textWrapping"/>
            </w:r>
            <w:r>
              <w:rPr>
                <w:rFonts w:hint="eastAsia" w:ascii="仿宋" w:hAnsi="仿宋" w:eastAsia="仿宋" w:cs="仿宋"/>
                <w:color w:val="000000" w:themeColor="text1"/>
                <w:kern w:val="0"/>
                <w:sz w:val="18"/>
                <w:szCs w:val="18"/>
                <w:highlight w:val="none"/>
                <w:lang w:val="en-US" w:eastAsia="zh-CN" w:bidi="ar"/>
                <w14:textFill>
                  <w14:solidFill>
                    <w14:schemeClr w14:val="tx1"/>
                  </w14:solidFill>
                </w14:textFill>
              </w:rPr>
              <w:t>①观摩路线规划合理，学习点（文旅、城建、乡村振兴）具有代表性及借鉴价值；</w:t>
            </w:r>
            <w:r>
              <w:rPr>
                <w:rFonts w:hint="eastAsia" w:ascii="仿宋" w:hAnsi="仿宋" w:eastAsia="仿宋" w:cs="仿宋"/>
                <w:color w:val="000000" w:themeColor="text1"/>
                <w:kern w:val="0"/>
                <w:sz w:val="18"/>
                <w:szCs w:val="18"/>
                <w:highlight w:val="none"/>
                <w:lang w:val="en-US" w:eastAsia="zh-CN" w:bidi="ar"/>
                <w14:textFill>
                  <w14:solidFill>
                    <w14:schemeClr w14:val="tx1"/>
                  </w14:solidFill>
                </w14:textFill>
              </w:rPr>
              <w:br w:type="textWrapping"/>
            </w:r>
            <w:r>
              <w:rPr>
                <w:rFonts w:hint="eastAsia" w:ascii="仿宋" w:hAnsi="仿宋" w:eastAsia="仿宋" w:cs="仿宋"/>
                <w:color w:val="000000" w:themeColor="text1"/>
                <w:kern w:val="0"/>
                <w:sz w:val="18"/>
                <w:szCs w:val="18"/>
                <w:highlight w:val="none"/>
                <w:lang w:val="en-US" w:eastAsia="zh-CN" w:bidi="ar"/>
                <w14:textFill>
                  <w14:solidFill>
                    <w14:schemeClr w14:val="tx1"/>
                  </w14:solidFill>
                </w14:textFill>
              </w:rPr>
              <w:t>②人员分批次组织、交通、食宿及安全保障方案细致可行；</w:t>
            </w:r>
            <w:r>
              <w:rPr>
                <w:rFonts w:hint="eastAsia" w:ascii="仿宋" w:hAnsi="仿宋" w:eastAsia="仿宋" w:cs="仿宋"/>
                <w:color w:val="000000" w:themeColor="text1"/>
                <w:kern w:val="0"/>
                <w:sz w:val="18"/>
                <w:szCs w:val="18"/>
                <w:highlight w:val="none"/>
                <w:lang w:val="en-US" w:eastAsia="zh-CN" w:bidi="ar"/>
                <w14:textFill>
                  <w14:solidFill>
                    <w14:schemeClr w14:val="tx1"/>
                  </w14:solidFill>
                </w14:textFill>
              </w:rPr>
              <w:br w:type="textWrapping"/>
            </w:r>
            <w:r>
              <w:rPr>
                <w:rFonts w:hint="eastAsia" w:ascii="仿宋" w:hAnsi="仿宋" w:eastAsia="仿宋" w:cs="仿宋"/>
                <w:color w:val="000000" w:themeColor="text1"/>
                <w:kern w:val="0"/>
                <w:sz w:val="18"/>
                <w:szCs w:val="18"/>
                <w:highlight w:val="none"/>
                <w:lang w:val="en-US" w:eastAsia="zh-CN" w:bidi="ar"/>
                <w14:textFill>
                  <w14:solidFill>
                    <w14:schemeClr w14:val="tx1"/>
                  </w14:solidFill>
                </w14:textFill>
              </w:rPr>
              <w:t>③学习交流环节设计深入，能确保“开阔视野、提升能力”的实效。</w:t>
            </w:r>
          </w:p>
          <w:p w14:paraId="62CDE599">
            <w:pPr>
              <w:keepNext w:val="0"/>
              <w:keepLines w:val="0"/>
              <w:widowControl/>
              <w:suppressLineNumbers w:val="0"/>
              <w:jc w:val="left"/>
              <w:rPr>
                <w:rFonts w:hint="eastAsia" w:ascii="仿宋" w:hAnsi="仿宋" w:eastAsia="仿宋" w:cs="仿宋"/>
                <w:color w:val="000000" w:themeColor="text1"/>
                <w:kern w:val="0"/>
                <w:sz w:val="18"/>
                <w:szCs w:val="18"/>
                <w:highlight w:val="none"/>
                <w:lang w:val="en-US" w:eastAsia="zh-CN" w:bidi="ar"/>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
                <w14:textFill>
                  <w14:solidFill>
                    <w14:schemeClr w14:val="tx1"/>
                  </w14:solidFill>
                </w14:textFill>
              </w:rPr>
              <w:t>评分标准：每项内容完整、可行性强的得4分；内容基本完整但存在部分缺陷的得2分；内容缺失或严重不符合实际需求的得0分。</w:t>
            </w:r>
          </w:p>
        </w:tc>
      </w:tr>
      <w:tr w14:paraId="3A2F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5" w:type="dxa"/>
            <w:noWrap w:val="0"/>
            <w:vAlign w:val="center"/>
          </w:tcPr>
          <w:p w14:paraId="5A779266">
            <w:pPr>
              <w:pStyle w:val="110"/>
              <w:snapToGrid w:val="0"/>
              <w:ind w:left="0" w:leftChars="0" w:right="0" w:rightChars="0" w:firstLine="0" w:firstLineChars="0"/>
              <w:jc w:val="center"/>
              <w:rPr>
                <w:rFonts w:hint="eastAsia" w:ascii="仿宋" w:hAnsi="仿宋" w:eastAsia="仿宋" w:cs="仿宋"/>
                <w:iCs/>
                <w:color w:val="000000" w:themeColor="text1"/>
                <w:kern w:val="2"/>
                <w:sz w:val="18"/>
                <w:szCs w:val="18"/>
                <w:highlight w:val="none"/>
                <w:lang w:val="en-US" w:eastAsia="zh-CN" w:bidi="ar-SA"/>
                <w14:textFill>
                  <w14:solidFill>
                    <w14:schemeClr w14:val="tx1"/>
                  </w14:solidFill>
                </w14:textFill>
              </w:rPr>
            </w:pPr>
            <w:r>
              <w:rPr>
                <w:rFonts w:hint="eastAsia" w:ascii="仿宋" w:hAnsi="仿宋" w:eastAsia="仿宋" w:cs="仿宋"/>
                <w:iCs/>
                <w:color w:val="000000" w:themeColor="text1"/>
                <w:kern w:val="2"/>
                <w:sz w:val="18"/>
                <w:szCs w:val="18"/>
                <w:highlight w:val="none"/>
                <w:lang w:val="en-US" w:eastAsia="zh-CN" w:bidi="ar-SA"/>
                <w14:textFill>
                  <w14:solidFill>
                    <w14:schemeClr w14:val="tx1"/>
                  </w14:solidFill>
                </w14:textFill>
              </w:rPr>
              <w:t>7</w:t>
            </w:r>
          </w:p>
        </w:tc>
        <w:tc>
          <w:tcPr>
            <w:tcW w:w="1060" w:type="dxa"/>
            <w:vMerge w:val="continue"/>
            <w:noWrap w:val="0"/>
            <w:vAlign w:val="center"/>
          </w:tcPr>
          <w:p w14:paraId="5FED9D72">
            <w:pPr>
              <w:pStyle w:val="110"/>
              <w:snapToGrid w:val="0"/>
              <w:ind w:left="0" w:leftChars="0" w:right="0" w:rightChars="0" w:firstLine="0" w:firstLineChars="0"/>
              <w:jc w:val="center"/>
              <w:rPr>
                <w:rFonts w:hint="eastAsia" w:ascii="仿宋" w:hAnsi="仿宋" w:eastAsia="仿宋" w:cs="仿宋"/>
                <w:color w:val="000000" w:themeColor="text1"/>
                <w:sz w:val="18"/>
                <w:szCs w:val="18"/>
                <w:highlight w:val="none"/>
                <w14:textFill>
                  <w14:solidFill>
                    <w14:schemeClr w14:val="tx1"/>
                  </w14:solidFill>
                </w14:textFill>
              </w:rPr>
            </w:pPr>
          </w:p>
        </w:tc>
        <w:tc>
          <w:tcPr>
            <w:tcW w:w="833" w:type="dxa"/>
            <w:noWrap w:val="0"/>
            <w:vAlign w:val="center"/>
          </w:tcPr>
          <w:p w14:paraId="630B3E33">
            <w:pPr>
              <w:pStyle w:val="110"/>
              <w:snapToGrid w:val="0"/>
              <w:ind w:left="0" w:leftChars="0" w:right="0" w:rightChars="0" w:firstLine="0" w:firstLineChars="0"/>
              <w:jc w:val="left"/>
              <w:rPr>
                <w:rFonts w:hint="eastAsia" w:ascii="仿宋" w:hAnsi="仿宋" w:eastAsia="仿宋" w:cs="仿宋"/>
                <w:iCs/>
                <w:color w:val="000000" w:themeColor="text1"/>
                <w:kern w:val="2"/>
                <w:sz w:val="18"/>
                <w:szCs w:val="18"/>
                <w:highlight w:val="none"/>
                <w:lang w:val="en-US" w:eastAsia="zh-CN" w:bidi="ar-SA"/>
                <w14:textFill>
                  <w14:solidFill>
                    <w14:schemeClr w14:val="tx1"/>
                  </w14:solidFill>
                </w14:textFill>
              </w:rPr>
            </w:pPr>
            <w:r>
              <w:rPr>
                <w:rFonts w:hint="eastAsia" w:ascii="仿宋" w:hAnsi="仿宋" w:eastAsia="仿宋" w:cs="仿宋"/>
                <w:iCs/>
                <w:color w:val="000000" w:themeColor="text1"/>
                <w:kern w:val="2"/>
                <w:sz w:val="18"/>
                <w:szCs w:val="18"/>
                <w:highlight w:val="none"/>
                <w:lang w:val="en-US" w:eastAsia="zh-CN" w:bidi="ar-SA"/>
                <w14:textFill>
                  <w14:solidFill>
                    <w14:schemeClr w14:val="tx1"/>
                  </w14:solidFill>
                </w14:textFill>
              </w:rPr>
              <w:t>10分</w:t>
            </w:r>
          </w:p>
        </w:tc>
        <w:tc>
          <w:tcPr>
            <w:tcW w:w="5834" w:type="dxa"/>
            <w:noWrap w:val="0"/>
            <w:vAlign w:val="center"/>
          </w:tcPr>
          <w:p w14:paraId="1A07C660">
            <w:pPr>
              <w:keepNext w:val="0"/>
              <w:keepLines w:val="0"/>
              <w:widowControl/>
              <w:suppressLineNumbers w:val="0"/>
              <w:jc w:val="left"/>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18"/>
                <w:szCs w:val="18"/>
                <w:highlight w:val="none"/>
                <w:lang w:val="en-US" w:eastAsia="zh-CN" w:bidi="ar-SA"/>
                <w14:textFill>
                  <w14:solidFill>
                    <w14:schemeClr w14:val="tx1"/>
                  </w14:solidFill>
                </w14:textFill>
              </w:rPr>
              <w:t>质量保障措施 (10分)：</w:t>
            </w: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br w:type="textWrapping"/>
            </w: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t>10分：设置明确且高标准的满意度管理目标（如满意度≥95%），配套制定导游培训、餐饮住宿、车辆服务、投诉处理、应急回访等全流程保障措施，体系完整、可操作性极强。</w:t>
            </w:r>
          </w:p>
          <w:p w14:paraId="122D2585">
            <w:pPr>
              <w:keepNext w:val="0"/>
              <w:keepLines w:val="0"/>
              <w:widowControl/>
              <w:suppressLineNumbers w:val="0"/>
              <w:jc w:val="left"/>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t>8 分：设置明确满意度目标（如满意度≥95%），服务保障措施全面，覆盖导游、食宿、投诉处理等关键环节，措施具体可行。</w:t>
            </w:r>
          </w:p>
          <w:p w14:paraId="23BF3337">
            <w:pPr>
              <w:keepNext w:val="0"/>
              <w:keepLines w:val="0"/>
              <w:widowControl/>
              <w:suppressLineNumbers w:val="0"/>
              <w:jc w:val="left"/>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t>6 分：设置合理满意度目标，服务保障措施较为完善，主要服务环节均有相应管控要求，具备可操作性。</w:t>
            </w:r>
          </w:p>
          <w:p w14:paraId="5463CFFC">
            <w:pPr>
              <w:keepNext w:val="0"/>
              <w:keepLines w:val="0"/>
              <w:widowControl/>
              <w:suppressLineNumbers w:val="0"/>
              <w:jc w:val="left"/>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t>4 分：满意度目标不明确或标准偏低，服务保障措施基本齐全，但部分内容较为笼统，操作性一般。</w:t>
            </w:r>
          </w:p>
          <w:p w14:paraId="44E03645">
            <w:pPr>
              <w:keepNext w:val="0"/>
              <w:keepLines w:val="0"/>
              <w:widowControl/>
              <w:suppressLineNumbers w:val="0"/>
              <w:jc w:val="left"/>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t>1—2 分：未设置明确满意度目标，保障措施简单零散，仅涉及个别服务环节，缺乏落地性。</w:t>
            </w:r>
          </w:p>
          <w:p w14:paraId="112A5613">
            <w:pPr>
              <w:keepNext w:val="0"/>
              <w:keepLines w:val="0"/>
              <w:widowControl/>
              <w:suppressLineNumbers w:val="0"/>
              <w:jc w:val="left"/>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t xml:space="preserve"> 0 分：未制定任何服务质量保障措施，或提供内容与项目实际需求严重不符。</w:t>
            </w:r>
          </w:p>
        </w:tc>
      </w:tr>
      <w:tr w14:paraId="0D9C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4" w:hRule="atLeast"/>
          <w:jc w:val="center"/>
        </w:trPr>
        <w:tc>
          <w:tcPr>
            <w:tcW w:w="795" w:type="dxa"/>
            <w:noWrap w:val="0"/>
            <w:vAlign w:val="center"/>
          </w:tcPr>
          <w:p w14:paraId="39AF427F">
            <w:pPr>
              <w:pStyle w:val="110"/>
              <w:snapToGrid w:val="0"/>
              <w:ind w:left="0" w:leftChars="0" w:right="0" w:rightChars="0" w:firstLine="0" w:firstLineChars="0"/>
              <w:jc w:val="center"/>
              <w:rPr>
                <w:rFonts w:hint="eastAsia" w:ascii="仿宋" w:hAnsi="仿宋" w:eastAsia="仿宋" w:cs="仿宋"/>
                <w:iCs/>
                <w:color w:val="000000" w:themeColor="text1"/>
                <w:kern w:val="2"/>
                <w:sz w:val="18"/>
                <w:szCs w:val="18"/>
                <w:highlight w:val="none"/>
                <w:lang w:val="en-US" w:eastAsia="zh-CN" w:bidi="ar-SA"/>
                <w14:textFill>
                  <w14:solidFill>
                    <w14:schemeClr w14:val="tx1"/>
                  </w14:solidFill>
                </w14:textFill>
              </w:rPr>
            </w:pPr>
          </w:p>
        </w:tc>
        <w:tc>
          <w:tcPr>
            <w:tcW w:w="1060" w:type="dxa"/>
            <w:noWrap w:val="0"/>
            <w:vAlign w:val="center"/>
          </w:tcPr>
          <w:p w14:paraId="67D7BC14">
            <w:pPr>
              <w:pStyle w:val="110"/>
              <w:snapToGrid w:val="0"/>
              <w:ind w:left="0" w:leftChars="0" w:right="0" w:rightChars="0" w:firstLine="0" w:firstLineChars="0"/>
              <w:jc w:val="center"/>
              <w:rPr>
                <w:rFonts w:hint="eastAsia" w:ascii="仿宋" w:hAnsi="仿宋" w:eastAsia="仿宋" w:cs="仿宋"/>
                <w:color w:val="000000" w:themeColor="text1"/>
                <w:sz w:val="18"/>
                <w:szCs w:val="18"/>
                <w:highlight w:val="none"/>
                <w14:textFill>
                  <w14:solidFill>
                    <w14:schemeClr w14:val="tx1"/>
                  </w14:solidFill>
                </w14:textFill>
              </w:rPr>
            </w:pPr>
          </w:p>
        </w:tc>
        <w:tc>
          <w:tcPr>
            <w:tcW w:w="833" w:type="dxa"/>
            <w:noWrap w:val="0"/>
            <w:vAlign w:val="center"/>
          </w:tcPr>
          <w:p w14:paraId="101CD2A5">
            <w:pPr>
              <w:pStyle w:val="110"/>
              <w:snapToGrid w:val="0"/>
              <w:ind w:left="0" w:leftChars="0" w:right="0" w:rightChars="0" w:firstLine="0" w:firstLineChars="0"/>
              <w:jc w:val="left"/>
              <w:rPr>
                <w:rFonts w:hint="eastAsia" w:ascii="仿宋" w:hAnsi="仿宋" w:eastAsia="仿宋" w:cs="仿宋"/>
                <w:iCs/>
                <w:color w:val="000000" w:themeColor="text1"/>
                <w:kern w:val="2"/>
                <w:sz w:val="18"/>
                <w:szCs w:val="18"/>
                <w:highlight w:val="none"/>
                <w:lang w:val="en-US" w:eastAsia="zh-CN" w:bidi="ar-SA"/>
                <w14:textFill>
                  <w14:solidFill>
                    <w14:schemeClr w14:val="tx1"/>
                  </w14:solidFill>
                </w14:textFill>
              </w:rPr>
            </w:pPr>
            <w:r>
              <w:rPr>
                <w:rFonts w:hint="eastAsia" w:ascii="仿宋" w:hAnsi="仿宋" w:eastAsia="仿宋" w:cs="仿宋"/>
                <w:iCs/>
                <w:color w:val="000000" w:themeColor="text1"/>
                <w:kern w:val="2"/>
                <w:sz w:val="18"/>
                <w:szCs w:val="18"/>
                <w:highlight w:val="none"/>
                <w:lang w:val="en-US" w:eastAsia="zh-CN" w:bidi="ar-SA"/>
                <w14:textFill>
                  <w14:solidFill>
                    <w14:schemeClr w14:val="tx1"/>
                  </w14:solidFill>
                </w14:textFill>
              </w:rPr>
              <w:t>20分</w:t>
            </w:r>
          </w:p>
        </w:tc>
        <w:tc>
          <w:tcPr>
            <w:tcW w:w="5834" w:type="dxa"/>
            <w:noWrap w:val="0"/>
            <w:vAlign w:val="center"/>
          </w:tcPr>
          <w:p w14:paraId="4B961F23">
            <w:pPr>
              <w:keepNext w:val="0"/>
              <w:keepLines w:val="0"/>
              <w:widowControl/>
              <w:suppressLineNumbers w:val="0"/>
              <w:jc w:val="left"/>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18"/>
                <w:szCs w:val="18"/>
                <w:highlight w:val="none"/>
                <w:lang w:val="en-US" w:eastAsia="zh-CN" w:bidi="ar-SA"/>
                <w14:textFill>
                  <w14:solidFill>
                    <w14:schemeClr w14:val="tx1"/>
                  </w14:solidFill>
                </w14:textFill>
              </w:rPr>
              <w:t>安全保障（20分）：</w:t>
            </w:r>
          </w:p>
          <w:p w14:paraId="760B57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仿宋" w:hAnsi="仿宋" w:eastAsia="仿宋" w:cs="仿宋"/>
                <w:b/>
                <w:bCs/>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18"/>
                <w:szCs w:val="18"/>
                <w:highlight w:val="none"/>
                <w:lang w:val="en-US" w:eastAsia="zh-CN" w:bidi="ar-SA"/>
                <w14:textFill>
                  <w14:solidFill>
                    <w14:schemeClr w14:val="tx1"/>
                  </w14:solidFill>
                </w14:textFill>
              </w:rPr>
              <w:t>1.安全预案（10分）：</w:t>
            </w:r>
          </w:p>
          <w:p w14:paraId="179F883D">
            <w:pPr>
              <w:keepNext w:val="0"/>
              <w:keepLines w:val="0"/>
              <w:widowControl/>
              <w:suppressLineNumbers w:val="0"/>
              <w:jc w:val="left"/>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t>10分：安全管理预案详尽完善，全面涵盖交通、人身安全、应急处置、医疗保障、人员疏散等全环节，针对性强、科学严谨、可操作性极强。</w:t>
            </w:r>
          </w:p>
          <w:p w14:paraId="0D9917B4">
            <w:pPr>
              <w:keepNext w:val="0"/>
              <w:keepLines w:val="0"/>
              <w:widowControl/>
              <w:suppressLineNumbers w:val="0"/>
              <w:jc w:val="left"/>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t>8分：安全管理预案完善，涵盖交通、人身安全、应急处置等主要环节，预案科学合理，可操作性强。</w:t>
            </w:r>
          </w:p>
          <w:p w14:paraId="2405845A">
            <w:pPr>
              <w:keepNext w:val="0"/>
              <w:keepLines w:val="0"/>
              <w:widowControl/>
              <w:suppressLineNumbers w:val="0"/>
              <w:jc w:val="left"/>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t>6分：安全管理预案较为完善，覆盖主要安全环节，预案合理可行，无明显漏洞。</w:t>
            </w:r>
          </w:p>
          <w:p w14:paraId="4B5D8E44">
            <w:pPr>
              <w:keepNext w:val="0"/>
              <w:keepLines w:val="0"/>
              <w:widowControl/>
              <w:suppressLineNumbers w:val="0"/>
              <w:jc w:val="left"/>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t>4分：安全管理预案基本完整，部分环节内容简单，基本可行，存在少量不足。</w:t>
            </w:r>
          </w:p>
          <w:p w14:paraId="54F01C22">
            <w:pPr>
              <w:keepNext w:val="0"/>
              <w:keepLines w:val="0"/>
              <w:widowControl/>
              <w:suppressLineNumbers w:val="0"/>
              <w:jc w:val="left"/>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t>2分：安全管理预案不够完整，关键环节缺失或内容笼统，可操作性一般。</w:t>
            </w:r>
          </w:p>
          <w:p w14:paraId="4A310635">
            <w:pPr>
              <w:keepNext w:val="0"/>
              <w:keepLines w:val="0"/>
              <w:widowControl/>
              <w:suppressLineNumbers w:val="0"/>
              <w:jc w:val="left"/>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t>0-1分：安全预案存在明显缺陷，未覆盖核心安全环节，不符合项目实际需求，或未提供安全预案。</w:t>
            </w:r>
          </w:p>
          <w:p w14:paraId="6E65590B">
            <w:pPr>
              <w:keepNext w:val="0"/>
              <w:keepLines w:val="0"/>
              <w:widowControl/>
              <w:numPr>
                <w:ilvl w:val="0"/>
                <w:numId w:val="5"/>
              </w:numPr>
              <w:suppressLineNumbers w:val="0"/>
              <w:jc w:val="left"/>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18"/>
                <w:szCs w:val="18"/>
                <w:highlight w:val="none"/>
                <w:lang w:val="en-US" w:eastAsia="zh-CN" w:bidi="ar-SA"/>
                <w14:textFill>
                  <w14:solidFill>
                    <w14:schemeClr w14:val="tx1"/>
                  </w14:solidFill>
                </w14:textFill>
              </w:rPr>
              <w:t>保险及应急保障（10分）：</w:t>
            </w: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t xml:space="preserve"> </w:t>
            </w:r>
          </w:p>
          <w:p w14:paraId="1E112405">
            <w:pPr>
              <w:keepNext w:val="0"/>
              <w:keepLines w:val="0"/>
              <w:widowControl/>
              <w:numPr>
                <w:ilvl w:val="0"/>
                <w:numId w:val="0"/>
              </w:numPr>
              <w:suppressLineNumbers w:val="0"/>
              <w:jc w:val="left"/>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t>10分：明确承诺为所有参与人员足额购买人身意外伤害保险，应急物资配备齐全充足，应急处置流程详细规范、可操作性极强，保障措施全面完善。</w:t>
            </w:r>
          </w:p>
          <w:p w14:paraId="29B54585">
            <w:pPr>
              <w:keepNext w:val="0"/>
              <w:keepLines w:val="0"/>
              <w:widowControl/>
              <w:suppressLineNumbers w:val="0"/>
              <w:jc w:val="left"/>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t>8 分：承诺为所有参与人员购买人身意外伤害保险，应急物资配备较充足，应急处置流程完整，保障措施完善可行。</w:t>
            </w:r>
          </w:p>
          <w:p w14:paraId="0CB66390">
            <w:pPr>
              <w:keepNext w:val="0"/>
              <w:keepLines w:val="0"/>
              <w:widowControl/>
              <w:suppressLineNumbers w:val="0"/>
              <w:jc w:val="left"/>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t>6 分：承诺购买人身意外伤害保险，应急物资及应急处置流程基本齐全，保障措施较为到位。</w:t>
            </w:r>
          </w:p>
          <w:p w14:paraId="7B0E8FA9">
            <w:pPr>
              <w:keepNext w:val="0"/>
              <w:keepLines w:val="0"/>
              <w:widowControl/>
              <w:suppressLineNumbers w:val="0"/>
              <w:jc w:val="left"/>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t>4分：仅作出基本承诺，保险覆盖不全或额度偏低，应急物资配备不足，应急处置流程较为简单。</w:t>
            </w:r>
          </w:p>
          <w:p w14:paraId="47E4D3AD">
            <w:pPr>
              <w:keepNext w:val="0"/>
              <w:keepLines w:val="0"/>
              <w:widowControl/>
              <w:suppressLineNumbers w:val="0"/>
              <w:jc w:val="left"/>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t>2分：承诺模糊不清，未明确保险相关内容，应急物资短缺，无规范应急处置流程，保障措施存在明显缺失。</w:t>
            </w:r>
          </w:p>
          <w:p w14:paraId="6E08133E">
            <w:pPr>
              <w:keepNext w:val="0"/>
              <w:keepLines w:val="0"/>
              <w:widowControl/>
              <w:suppressLineNumbers w:val="0"/>
              <w:jc w:val="left"/>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t>0分：未作出任何相关承诺，无保险、无应急物资、无应急处置流程，或完全不符合项目保障要求。</w:t>
            </w:r>
          </w:p>
        </w:tc>
      </w:tr>
      <w:tr w14:paraId="75537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5" w:type="dxa"/>
            <w:noWrap w:val="0"/>
            <w:vAlign w:val="center"/>
          </w:tcPr>
          <w:p w14:paraId="007E181A">
            <w:pPr>
              <w:pStyle w:val="110"/>
              <w:snapToGrid w:val="0"/>
              <w:ind w:left="0" w:leftChars="0" w:right="0" w:rightChars="0" w:firstLine="0" w:firstLineChars="0"/>
              <w:jc w:val="center"/>
              <w:rPr>
                <w:rFonts w:hint="eastAsia" w:ascii="仿宋" w:hAnsi="仿宋" w:eastAsia="仿宋" w:cs="仿宋"/>
                <w:iCs/>
                <w:color w:val="000000" w:themeColor="text1"/>
                <w:kern w:val="2"/>
                <w:sz w:val="18"/>
                <w:szCs w:val="18"/>
                <w:highlight w:val="none"/>
                <w:lang w:val="en-US" w:eastAsia="zh-CN" w:bidi="ar-SA"/>
                <w14:textFill>
                  <w14:solidFill>
                    <w14:schemeClr w14:val="tx1"/>
                  </w14:solidFill>
                </w14:textFill>
              </w:rPr>
            </w:pPr>
          </w:p>
        </w:tc>
        <w:tc>
          <w:tcPr>
            <w:tcW w:w="1060" w:type="dxa"/>
            <w:noWrap w:val="0"/>
            <w:vAlign w:val="center"/>
          </w:tcPr>
          <w:p w14:paraId="2582B962">
            <w:pPr>
              <w:pStyle w:val="110"/>
              <w:snapToGrid w:val="0"/>
              <w:ind w:left="0" w:leftChars="0" w:right="0" w:rightChars="0" w:firstLine="0" w:firstLineChars="0"/>
              <w:jc w:val="center"/>
              <w:rPr>
                <w:rFonts w:hint="eastAsia" w:ascii="仿宋" w:hAnsi="仿宋" w:eastAsia="仿宋" w:cs="仿宋"/>
                <w:color w:val="000000" w:themeColor="text1"/>
                <w:sz w:val="18"/>
                <w:szCs w:val="18"/>
                <w:highlight w:val="none"/>
                <w14:textFill>
                  <w14:solidFill>
                    <w14:schemeClr w14:val="tx1"/>
                  </w14:solidFill>
                </w14:textFill>
              </w:rPr>
            </w:pPr>
          </w:p>
        </w:tc>
        <w:tc>
          <w:tcPr>
            <w:tcW w:w="833" w:type="dxa"/>
            <w:noWrap w:val="0"/>
            <w:vAlign w:val="center"/>
          </w:tcPr>
          <w:p w14:paraId="00084D69">
            <w:pPr>
              <w:pStyle w:val="110"/>
              <w:snapToGrid w:val="0"/>
              <w:ind w:left="0" w:leftChars="0" w:right="0" w:rightChars="0" w:firstLine="0" w:firstLineChars="0"/>
              <w:jc w:val="left"/>
              <w:rPr>
                <w:rFonts w:hint="eastAsia" w:ascii="仿宋" w:hAnsi="仿宋" w:eastAsia="仿宋" w:cs="仿宋"/>
                <w:iCs/>
                <w:color w:val="000000" w:themeColor="text1"/>
                <w:kern w:val="2"/>
                <w:sz w:val="18"/>
                <w:szCs w:val="18"/>
                <w:highlight w:val="none"/>
                <w:lang w:val="en-US" w:eastAsia="zh-CN" w:bidi="ar-SA"/>
                <w14:textFill>
                  <w14:solidFill>
                    <w14:schemeClr w14:val="tx1"/>
                  </w14:solidFill>
                </w14:textFill>
              </w:rPr>
            </w:pPr>
            <w:r>
              <w:rPr>
                <w:rFonts w:hint="eastAsia" w:ascii="仿宋" w:hAnsi="仿宋" w:eastAsia="仿宋" w:cs="仿宋"/>
                <w:iCs/>
                <w:color w:val="000000" w:themeColor="text1"/>
                <w:kern w:val="2"/>
                <w:sz w:val="18"/>
                <w:szCs w:val="18"/>
                <w:highlight w:val="none"/>
                <w:lang w:val="en-US" w:eastAsia="zh-CN" w:bidi="ar-SA"/>
                <w14:textFill>
                  <w14:solidFill>
                    <w14:schemeClr w14:val="tx1"/>
                  </w14:solidFill>
                </w14:textFill>
              </w:rPr>
              <w:t>10分</w:t>
            </w:r>
          </w:p>
        </w:tc>
        <w:tc>
          <w:tcPr>
            <w:tcW w:w="5834" w:type="dxa"/>
            <w:noWrap w:val="0"/>
            <w:vAlign w:val="center"/>
          </w:tcPr>
          <w:p w14:paraId="03DE892A">
            <w:pPr>
              <w:keepNext w:val="0"/>
              <w:keepLines w:val="0"/>
              <w:widowControl/>
              <w:suppressLineNumbers w:val="0"/>
              <w:jc w:val="left"/>
              <w:rPr>
                <w:rFonts w:hint="eastAsia" w:ascii="仿宋" w:hAnsi="仿宋" w:eastAsia="仿宋" w:cs="仿宋"/>
                <w:b/>
                <w:bCs/>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18"/>
                <w:szCs w:val="18"/>
                <w:highlight w:val="none"/>
                <w:lang w:val="en-US" w:eastAsia="zh-CN" w:bidi="ar-SA"/>
                <w14:textFill>
                  <w14:solidFill>
                    <w14:schemeClr w14:val="tx1"/>
                  </w14:solidFill>
                </w14:textFill>
              </w:rPr>
              <w:t xml:space="preserve"> 增值服务承诺 (10分)：</w:t>
            </w:r>
          </w:p>
          <w:p w14:paraId="2FF077BD">
            <w:pPr>
              <w:keepNext w:val="0"/>
              <w:keepLines w:val="0"/>
              <w:widowControl/>
              <w:numPr>
                <w:ilvl w:val="0"/>
                <w:numId w:val="0"/>
              </w:numPr>
              <w:suppressLineNumbers w:val="0"/>
              <w:jc w:val="left"/>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t>10分：承诺提供 3 项及以上合理可行、贴合项目实际的额外增值服务，服务内容具体、可落地，能显著提升项目成效。</w:t>
            </w:r>
          </w:p>
          <w:p w14:paraId="5CF09600">
            <w:pPr>
              <w:keepNext w:val="0"/>
              <w:keepLines w:val="0"/>
              <w:widowControl/>
              <w:suppressLineNumbers w:val="0"/>
              <w:jc w:val="left"/>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t>8分：承诺提供 2 项合理可行、针对性较强的额外增值服务，服务内容清晰，具备较强实施价值。</w:t>
            </w:r>
          </w:p>
          <w:p w14:paraId="366110DF">
            <w:pPr>
              <w:keepNext w:val="0"/>
              <w:keepLines w:val="0"/>
              <w:widowControl/>
              <w:suppressLineNumbers w:val="0"/>
              <w:jc w:val="left"/>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t>6 分：承诺提供 1 项合理可行的额外增值服务，服务内容具体，能对项目起到补充提升作用。</w:t>
            </w:r>
          </w:p>
          <w:p w14:paraId="5DEA6BE8">
            <w:pPr>
              <w:keepNext w:val="0"/>
              <w:keepLines w:val="0"/>
              <w:widowControl/>
              <w:suppressLineNumbers w:val="0"/>
              <w:jc w:val="left"/>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t>4分：承诺有增值服务意向，但内容较为笼统，可行性一般，未明确具体服务内容。</w:t>
            </w:r>
          </w:p>
          <w:p w14:paraId="7D271C8C">
            <w:pPr>
              <w:keepNext w:val="0"/>
              <w:keepLines w:val="0"/>
              <w:widowControl/>
              <w:suppressLineNumbers w:val="0"/>
              <w:jc w:val="left"/>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t>1-2分：仅简单提及增值服务，无具体内容，缺乏可操作性，对项目提升作用微弱。</w:t>
            </w:r>
          </w:p>
          <w:p w14:paraId="0200FB32">
            <w:pPr>
              <w:keepNext w:val="0"/>
              <w:keepLines w:val="0"/>
              <w:widowControl/>
              <w:suppressLineNumbers w:val="0"/>
              <w:jc w:val="left"/>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t xml:space="preserve"> 0 分：未承诺任何超出采购需求的额外服务，或提供的增值服务不符合项目实际需求。</w:t>
            </w:r>
          </w:p>
          <w:p w14:paraId="581FEE3F">
            <w:pPr>
              <w:keepNext w:val="0"/>
              <w:keepLines w:val="0"/>
              <w:widowControl/>
              <w:suppressLineNumbers w:val="0"/>
              <w:jc w:val="left"/>
              <w:rPr>
                <w:rFonts w:hint="eastAsia" w:ascii="仿宋" w:hAnsi="仿宋" w:eastAsia="仿宋" w:cs="仿宋"/>
                <w:color w:val="000000" w:themeColor="text1"/>
                <w:kern w:val="0"/>
                <w:sz w:val="18"/>
                <w:szCs w:val="18"/>
                <w:highlight w:val="none"/>
                <w:lang w:val="en-US" w:eastAsia="zh-CN" w:bidi="ar-SA"/>
                <w14:textFill>
                  <w14:solidFill>
                    <w14:schemeClr w14:val="tx1"/>
                  </w14:solidFill>
                </w14:textFill>
              </w:rPr>
            </w:pPr>
          </w:p>
        </w:tc>
      </w:tr>
    </w:tbl>
    <w:p w14:paraId="23AB5F5A">
      <w:pPr>
        <w:pStyle w:val="11"/>
        <w:snapToGrid w:val="0"/>
        <w:spacing w:before="0" w:line="360" w:lineRule="exact"/>
        <w:ind w:firstLine="2650" w:firstLineChars="1100"/>
        <w:textAlignment w:val="baseline"/>
        <w:rPr>
          <w:rFonts w:hint="eastAsia"/>
          <w:b/>
          <w:bCs/>
          <w:color w:val="000000" w:themeColor="text1"/>
          <w:sz w:val="24"/>
          <w:szCs w:val="24"/>
          <w:highlight w:val="none"/>
          <w:lang w:val="en-US" w:eastAsia="zh-CN"/>
          <w14:textFill>
            <w14:solidFill>
              <w14:schemeClr w14:val="tx1"/>
            </w14:solidFill>
          </w14:textFill>
        </w:rPr>
      </w:pPr>
    </w:p>
    <w:p w14:paraId="1BF05E6A">
      <w:pPr>
        <w:rPr>
          <w:color w:val="000000" w:themeColor="text1"/>
          <w:highlight w:val="none"/>
          <w14:textFill>
            <w14:solidFill>
              <w14:schemeClr w14:val="tx1"/>
            </w14:solidFill>
          </w14:textFill>
        </w:rPr>
      </w:pPr>
    </w:p>
    <w:p w14:paraId="675F4824">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p>
    <w:p w14:paraId="60ED5997">
      <w:pPr>
        <w:pStyle w:val="7"/>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3033D51A">
      <w:pPr>
        <w:pStyle w:val="7"/>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23E74E0C">
      <w:pPr>
        <w:pStyle w:val="7"/>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5FCE315">
      <w:pPr>
        <w:pStyle w:val="7"/>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404C308B">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48"/>
          <w:szCs w:val="48"/>
          <w:highlight w:val="none"/>
          <w:lang w:eastAsia="zh-CN"/>
          <w14:textFill>
            <w14:solidFill>
              <w14:schemeClr w14:val="tx1"/>
            </w14:solidFill>
          </w14:textFill>
        </w:rPr>
        <w:t xml:space="preserve"> 岳普湖县旅游服务能力提升项目（“山东人游喀什”、“喀什人看发展”项目）</w:t>
      </w:r>
    </w:p>
    <w:p w14:paraId="66CAFF7E">
      <w:pPr>
        <w:pStyle w:val="26"/>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4BACBB44">
      <w:pPr>
        <w:pStyle w:val="26"/>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67E1C861">
      <w:pPr>
        <w:pStyle w:val="26"/>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F7E74BE">
      <w:pPr>
        <w:pStyle w:val="11"/>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677C2FAF">
      <w:pPr>
        <w:pStyle w:val="11"/>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483AAB42">
      <w:pPr>
        <w:snapToGrid w:val="0"/>
        <w:spacing w:line="240" w:lineRule="atLeast"/>
        <w:jc w:val="center"/>
        <w:textAlignment w:val="baseline"/>
        <w:rPr>
          <w:rFonts w:hint="eastAsia" w:asciiTheme="minorEastAsia" w:hAnsiTheme="minorEastAsia" w:eastAsiaTheme="minorEastAsia" w:cstheme="minorEastAsia"/>
          <w:b/>
          <w:color w:val="000000" w:themeColor="text1"/>
          <w:sz w:val="48"/>
          <w:szCs w:val="4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48"/>
          <w:szCs w:val="48"/>
          <w:highlight w:val="none"/>
          <w14:textFill>
            <w14:solidFill>
              <w14:schemeClr w14:val="tx1"/>
            </w14:solidFill>
          </w14:textFill>
        </w:rPr>
        <w:t>竞争性磋商文件</w:t>
      </w:r>
    </w:p>
    <w:p w14:paraId="177A461C">
      <w:pPr>
        <w:snapToGrid w:val="0"/>
        <w:spacing w:line="240" w:lineRule="atLeast"/>
        <w:jc w:val="both"/>
        <w:textAlignment w:val="baseline"/>
        <w:rPr>
          <w:rFonts w:hint="eastAsia" w:asciiTheme="minorEastAsia" w:hAnsiTheme="minorEastAsia" w:eastAsiaTheme="minorEastAsia" w:cstheme="minorEastAsia"/>
          <w:b/>
          <w:color w:val="000000" w:themeColor="text1"/>
          <w:sz w:val="48"/>
          <w:szCs w:val="48"/>
          <w:highlight w:val="none"/>
          <w:lang w:eastAsia="zh-CN"/>
          <w14:textFill>
            <w14:solidFill>
              <w14:schemeClr w14:val="tx1"/>
            </w14:solidFill>
          </w14:textFill>
        </w:rPr>
      </w:pPr>
    </w:p>
    <w:p w14:paraId="5D108622">
      <w:pPr>
        <w:snapToGrid w:val="0"/>
        <w:spacing w:line="240" w:lineRule="atLeast"/>
        <w:jc w:val="center"/>
        <w:textAlignment w:val="baseline"/>
        <w:rPr>
          <w:rFonts w:hint="eastAsia" w:asciiTheme="minorEastAsia" w:hAnsiTheme="minorEastAsia" w:eastAsiaTheme="minorEastAsia" w:cstheme="minorEastAsia"/>
          <w:b/>
          <w:color w:val="000000" w:themeColor="text1"/>
          <w:sz w:val="48"/>
          <w:szCs w:val="48"/>
          <w:highlight w:val="none"/>
          <w14:textFill>
            <w14:solidFill>
              <w14:schemeClr w14:val="tx1"/>
            </w14:solidFill>
          </w14:textFill>
        </w:rPr>
      </w:pPr>
    </w:p>
    <w:p w14:paraId="7DD01B11">
      <w:pPr>
        <w:snapToGrid w:val="0"/>
        <w:spacing w:line="240" w:lineRule="atLeast"/>
        <w:jc w:val="center"/>
        <w:textAlignment w:val="baseline"/>
        <w:rPr>
          <w:rFonts w:hint="eastAsia" w:asciiTheme="minorEastAsia" w:hAnsiTheme="minorEastAsia" w:eastAsiaTheme="minorEastAsia" w:cstheme="minorEastAsia"/>
          <w:b/>
          <w:color w:val="000000" w:themeColor="text1"/>
          <w:sz w:val="48"/>
          <w:szCs w:val="48"/>
          <w:highlight w:val="none"/>
          <w14:textFill>
            <w14:solidFill>
              <w14:schemeClr w14:val="tx1"/>
            </w14:solidFill>
          </w14:textFill>
        </w:rPr>
      </w:pPr>
    </w:p>
    <w:p w14:paraId="326A8BCA">
      <w:pPr>
        <w:snapToGrid w:val="0"/>
        <w:spacing w:line="240" w:lineRule="atLeast"/>
        <w:jc w:val="center"/>
        <w:textAlignment w:val="baseline"/>
        <w:rPr>
          <w:rFonts w:hint="eastAsia" w:asciiTheme="minorEastAsia" w:hAnsiTheme="minorEastAsia" w:eastAsiaTheme="minorEastAsia" w:cstheme="minorEastAsia"/>
          <w:b/>
          <w:color w:val="000000" w:themeColor="text1"/>
          <w:sz w:val="48"/>
          <w:szCs w:val="48"/>
          <w:highlight w:val="none"/>
          <w14:textFill>
            <w14:solidFill>
              <w14:schemeClr w14:val="tx1"/>
            </w14:solidFill>
          </w14:textFill>
        </w:rPr>
      </w:pPr>
    </w:p>
    <w:p w14:paraId="46C6521A">
      <w:pPr>
        <w:snapToGrid w:val="0"/>
        <w:spacing w:line="240" w:lineRule="atLeast"/>
        <w:jc w:val="center"/>
        <w:textAlignment w:val="baseline"/>
        <w:rPr>
          <w:rFonts w:hint="eastAsia" w:asciiTheme="minorEastAsia" w:hAnsiTheme="minorEastAsia" w:eastAsiaTheme="minorEastAsia" w:cstheme="minorEastAsia"/>
          <w:b/>
          <w:color w:val="000000" w:themeColor="text1"/>
          <w:sz w:val="48"/>
          <w:szCs w:val="48"/>
          <w:highlight w:val="none"/>
          <w14:textFill>
            <w14:solidFill>
              <w14:schemeClr w14:val="tx1"/>
            </w14:solidFill>
          </w14:textFill>
        </w:rPr>
      </w:pPr>
    </w:p>
    <w:p w14:paraId="21F3CF20">
      <w:pPr>
        <w:snapToGrid w:val="0"/>
        <w:spacing w:line="240" w:lineRule="atLeast"/>
        <w:jc w:val="center"/>
        <w:textAlignment w:val="baseline"/>
        <w:rPr>
          <w:rFonts w:hint="eastAsia" w:asciiTheme="minorEastAsia" w:hAnsiTheme="minorEastAsia" w:eastAsiaTheme="minorEastAsia" w:cstheme="minorEastAsia"/>
          <w:b/>
          <w:color w:val="000000" w:themeColor="text1"/>
          <w:sz w:val="48"/>
          <w:szCs w:val="4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48"/>
          <w:szCs w:val="48"/>
          <w:highlight w:val="none"/>
          <w14:textFill>
            <w14:solidFill>
              <w14:schemeClr w14:val="tx1"/>
            </w14:solidFill>
          </w14:textFill>
        </w:rPr>
        <w:t>第三册</w:t>
      </w:r>
    </w:p>
    <w:p w14:paraId="3B2DFC41">
      <w:pPr>
        <w:pStyle w:val="36"/>
        <w:ind w:firstLine="960"/>
        <w:rPr>
          <w:rFonts w:hint="eastAsia" w:asciiTheme="minorEastAsia" w:hAnsiTheme="minorEastAsia" w:eastAsiaTheme="minorEastAsia" w:cstheme="minorEastAsia"/>
          <w:b/>
          <w:color w:val="000000" w:themeColor="text1"/>
          <w:sz w:val="48"/>
          <w:szCs w:val="48"/>
          <w:highlight w:val="none"/>
          <w14:textFill>
            <w14:solidFill>
              <w14:schemeClr w14:val="tx1"/>
            </w14:solidFill>
          </w14:textFill>
        </w:rPr>
      </w:pPr>
    </w:p>
    <w:p w14:paraId="102E4228">
      <w:pPr>
        <w:pStyle w:val="36"/>
        <w:ind w:firstLine="960"/>
        <w:rPr>
          <w:rFonts w:hint="eastAsia" w:asciiTheme="minorEastAsia" w:hAnsiTheme="minorEastAsia" w:eastAsiaTheme="minorEastAsia" w:cstheme="minorEastAsia"/>
          <w:b/>
          <w:color w:val="000000" w:themeColor="text1"/>
          <w:sz w:val="48"/>
          <w:szCs w:val="48"/>
          <w:highlight w:val="none"/>
          <w14:textFill>
            <w14:solidFill>
              <w14:schemeClr w14:val="tx1"/>
            </w14:solidFill>
          </w14:textFill>
        </w:rPr>
      </w:pPr>
    </w:p>
    <w:p w14:paraId="766F6268">
      <w:pPr>
        <w:rPr>
          <w:rFonts w:hint="eastAsia" w:asciiTheme="minorEastAsia" w:hAnsiTheme="minorEastAsia" w:eastAsiaTheme="minorEastAsia" w:cstheme="minorEastAsia"/>
          <w:b/>
          <w:color w:val="000000" w:themeColor="text1"/>
          <w:sz w:val="48"/>
          <w:szCs w:val="48"/>
          <w:highlight w:val="none"/>
          <w14:textFill>
            <w14:solidFill>
              <w14:schemeClr w14:val="tx1"/>
            </w14:solidFill>
          </w14:textFill>
        </w:rPr>
      </w:pPr>
    </w:p>
    <w:p w14:paraId="2DEE956F">
      <w:pPr>
        <w:rPr>
          <w:rFonts w:hint="eastAsia" w:asciiTheme="minorEastAsia" w:hAnsiTheme="minorEastAsia" w:eastAsiaTheme="minorEastAsia" w:cstheme="minorEastAsia"/>
          <w:b/>
          <w:color w:val="000000" w:themeColor="text1"/>
          <w:sz w:val="48"/>
          <w:szCs w:val="48"/>
          <w:highlight w:val="none"/>
          <w14:textFill>
            <w14:solidFill>
              <w14:schemeClr w14:val="tx1"/>
            </w14:solidFill>
          </w14:textFill>
        </w:rPr>
      </w:pPr>
    </w:p>
    <w:p w14:paraId="3A7FBED6">
      <w:pPr>
        <w:rPr>
          <w:rFonts w:hint="eastAsia" w:asciiTheme="minorEastAsia" w:hAnsiTheme="minorEastAsia" w:eastAsiaTheme="minorEastAsia" w:cstheme="minorEastAsia"/>
          <w:b/>
          <w:color w:val="000000" w:themeColor="text1"/>
          <w:sz w:val="48"/>
          <w:szCs w:val="48"/>
          <w:highlight w:val="none"/>
          <w14:textFill>
            <w14:solidFill>
              <w14:schemeClr w14:val="tx1"/>
            </w14:solidFill>
          </w14:textFill>
        </w:rPr>
      </w:pPr>
    </w:p>
    <w:p w14:paraId="0C1EFF44">
      <w:pPr>
        <w:rPr>
          <w:rFonts w:hint="eastAsia" w:asciiTheme="minorEastAsia" w:hAnsiTheme="minorEastAsia" w:eastAsiaTheme="minorEastAsia" w:cstheme="minorEastAsia"/>
          <w:b/>
          <w:color w:val="000000" w:themeColor="text1"/>
          <w:sz w:val="48"/>
          <w:szCs w:val="48"/>
          <w:highlight w:val="none"/>
          <w14:textFill>
            <w14:solidFill>
              <w14:schemeClr w14:val="tx1"/>
            </w14:solidFill>
          </w14:textFill>
        </w:rPr>
      </w:pPr>
    </w:p>
    <w:p w14:paraId="3F2D5107">
      <w:pPr>
        <w:rPr>
          <w:rFonts w:hint="eastAsia" w:asciiTheme="minorEastAsia" w:hAnsiTheme="minorEastAsia" w:eastAsiaTheme="minorEastAsia" w:cstheme="minorEastAsia"/>
          <w:b/>
          <w:color w:val="000000" w:themeColor="text1"/>
          <w:sz w:val="48"/>
          <w:szCs w:val="48"/>
          <w:highlight w:val="none"/>
          <w14:textFill>
            <w14:solidFill>
              <w14:schemeClr w14:val="tx1"/>
            </w14:solidFill>
          </w14:textFill>
        </w:rPr>
      </w:pPr>
    </w:p>
    <w:p w14:paraId="0007BF58">
      <w:pPr>
        <w:rPr>
          <w:rFonts w:hint="eastAsia" w:asciiTheme="minorEastAsia" w:hAnsiTheme="minorEastAsia" w:eastAsiaTheme="minorEastAsia" w:cstheme="minorEastAsia"/>
          <w:b/>
          <w:color w:val="000000" w:themeColor="text1"/>
          <w:sz w:val="48"/>
          <w:szCs w:val="48"/>
          <w:highlight w:val="none"/>
          <w14:textFill>
            <w14:solidFill>
              <w14:schemeClr w14:val="tx1"/>
            </w14:solidFill>
          </w14:textFill>
        </w:rPr>
      </w:pPr>
    </w:p>
    <w:p w14:paraId="3390D3F8">
      <w:pPr>
        <w:pStyle w:val="7"/>
        <w:ind w:left="0" w:leftChars="0" w:firstLine="0" w:firstLineChars="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615" w:name="_Toc5754"/>
      <w:bookmarkStart w:id="616" w:name="_Toc514"/>
    </w:p>
    <w:p w14:paraId="77E341A8">
      <w:pPr>
        <w:pStyle w:val="2"/>
        <w:tabs>
          <w:tab w:val="left" w:pos="0"/>
        </w:tabs>
        <w:spacing w:before="0" w:after="0" w:line="40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617" w:name="_Toc26279"/>
      <w:r>
        <w:rPr>
          <w:rFonts w:hint="eastAsia" w:asciiTheme="minorEastAsia" w:hAnsiTheme="minorEastAsia" w:eastAsiaTheme="minorEastAsia" w:cstheme="minorEastAsia"/>
          <w:color w:val="000000" w:themeColor="text1"/>
          <w:highlight w:val="none"/>
          <w14:textFill>
            <w14:solidFill>
              <w14:schemeClr w14:val="tx1"/>
            </w14:solidFill>
          </w14:textFill>
        </w:rPr>
        <w:t>第7章  政府采购合同</w:t>
      </w:r>
      <w:bookmarkEnd w:id="615"/>
      <w:bookmarkEnd w:id="616"/>
      <w:bookmarkEnd w:id="617"/>
    </w:p>
    <w:p w14:paraId="79947699">
      <w:pP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合同编号：           </w:t>
      </w:r>
    </w:p>
    <w:p w14:paraId="08197D35">
      <w:pP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0135975B">
      <w:pP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13E70660">
      <w:pP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3C12B181">
      <w:pPr>
        <w:pageBreakBefore w:val="0"/>
        <w:widowControl w:val="0"/>
        <w:kinsoku/>
        <w:wordWrap/>
        <w:overflowPunct/>
        <w:topLinePunct w:val="0"/>
        <w:bidi w:val="0"/>
        <w:snapToGrid/>
        <w:spacing w:line="420" w:lineRule="exact"/>
        <w:jc w:val="center"/>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政府采购合同参考范本</w:t>
      </w:r>
    </w:p>
    <w:p w14:paraId="6C8CB3EE">
      <w:pPr>
        <w:pageBreakBefore w:val="0"/>
        <w:widowControl w:val="0"/>
        <w:kinsoku/>
        <w:wordWrap/>
        <w:overflowPunct/>
        <w:topLinePunct w:val="0"/>
        <w:bidi w:val="0"/>
        <w:snapToGrid/>
        <w:spacing w:line="420" w:lineRule="exact"/>
        <w:jc w:val="center"/>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（服务类）</w:t>
      </w:r>
    </w:p>
    <w:p w14:paraId="570C738F">
      <w:pPr>
        <w:pStyle w:val="60"/>
        <w:pageBreakBefore w:val="0"/>
        <w:widowControl w:val="0"/>
        <w:kinsoku/>
        <w:wordWrap/>
        <w:overflowPunct/>
        <w:topLinePunct w:val="0"/>
        <w:bidi w:val="0"/>
        <w:snapToGrid/>
        <w:spacing w:line="420" w:lineRule="exact"/>
        <w:ind w:firstLine="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02DADCE7">
      <w:pPr>
        <w:pStyle w:val="60"/>
        <w:pageBreakBefore w:val="0"/>
        <w:widowControl w:val="0"/>
        <w:kinsoku/>
        <w:wordWrap/>
        <w:overflowPunct/>
        <w:topLinePunct w:val="0"/>
        <w:bidi w:val="0"/>
        <w:snapToGrid/>
        <w:spacing w:line="420" w:lineRule="exact"/>
        <w:ind w:firstLine="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4A4EF6A0">
      <w:pPr>
        <w:pStyle w:val="60"/>
        <w:pageBreakBefore w:val="0"/>
        <w:widowControl w:val="0"/>
        <w:kinsoku/>
        <w:wordWrap/>
        <w:overflowPunct/>
        <w:topLinePunct w:val="0"/>
        <w:bidi w:val="0"/>
        <w:snapToGrid/>
        <w:spacing w:line="420" w:lineRule="exact"/>
        <w:ind w:firstLine="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2C2FDAF0">
      <w:pPr>
        <w:pStyle w:val="60"/>
        <w:pageBreakBefore w:val="0"/>
        <w:widowControl w:val="0"/>
        <w:kinsoku/>
        <w:wordWrap/>
        <w:overflowPunct/>
        <w:topLinePunct w:val="0"/>
        <w:bidi w:val="0"/>
        <w:snapToGrid/>
        <w:spacing w:line="420" w:lineRule="exact"/>
        <w:ind w:firstLine="0"/>
        <w:jc w:val="center"/>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第一部分 合同书</w:t>
      </w:r>
    </w:p>
    <w:p w14:paraId="2DFA125F">
      <w:pPr>
        <w:pStyle w:val="60"/>
        <w:pageBreakBefore w:val="0"/>
        <w:widowControl w:val="0"/>
        <w:kinsoku/>
        <w:wordWrap/>
        <w:overflowPunct/>
        <w:topLinePunct w:val="0"/>
        <w:bidi w:val="0"/>
        <w:snapToGrid/>
        <w:spacing w:line="420" w:lineRule="exact"/>
        <w:ind w:firstLine="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119F11CF">
      <w:pPr>
        <w:pStyle w:val="60"/>
        <w:pageBreakBefore w:val="0"/>
        <w:widowControl w:val="0"/>
        <w:kinsoku/>
        <w:wordWrap/>
        <w:overflowPunct/>
        <w:topLinePunct w:val="0"/>
        <w:bidi w:val="0"/>
        <w:snapToGrid/>
        <w:spacing w:line="420" w:lineRule="exact"/>
        <w:ind w:firstLine="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458E1FFD">
      <w:pPr>
        <w:pageBreakBefore w:val="0"/>
        <w:widowControl w:val="0"/>
        <w:kinsoku/>
        <w:wordWrap/>
        <w:overflowPunct/>
        <w:topLinePunct w:val="0"/>
        <w:bidi w:val="0"/>
        <w:snapToGrid/>
        <w:spacing w:before="120" w:line="420" w:lineRule="exac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75C9537B">
      <w:pPr>
        <w:pageBreakBefore w:val="0"/>
        <w:widowControl w:val="0"/>
        <w:kinsoku/>
        <w:wordWrap/>
        <w:overflowPunct/>
        <w:topLinePunct w:val="0"/>
        <w:bidi w:val="0"/>
        <w:snapToGrid/>
        <w:spacing w:before="120" w:line="420" w:lineRule="exact"/>
        <w:ind w:left="96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项目名称：</w:t>
      </w:r>
    </w:p>
    <w:p w14:paraId="767F7A2C">
      <w:pPr>
        <w:pageBreakBefore w:val="0"/>
        <w:widowControl w:val="0"/>
        <w:kinsoku/>
        <w:wordWrap/>
        <w:overflowPunct/>
        <w:topLinePunct w:val="0"/>
        <w:bidi w:val="0"/>
        <w:snapToGrid/>
        <w:spacing w:line="420" w:lineRule="exac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42CB92BA">
      <w:pPr>
        <w:pageBreakBefore w:val="0"/>
        <w:widowControl w:val="0"/>
        <w:kinsoku/>
        <w:wordWrap/>
        <w:overflowPunct/>
        <w:topLinePunct w:val="0"/>
        <w:bidi w:val="0"/>
        <w:snapToGrid/>
        <w:spacing w:before="120" w:line="420" w:lineRule="exact"/>
        <w:ind w:left="960"/>
        <w:textAlignment w:val="auto"/>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甲方：</w:t>
      </w:r>
    </w:p>
    <w:p w14:paraId="3CF31564">
      <w:pPr>
        <w:pageBreakBefore w:val="0"/>
        <w:widowControl w:val="0"/>
        <w:kinsoku/>
        <w:wordWrap/>
        <w:overflowPunct/>
        <w:topLinePunct w:val="0"/>
        <w:bidi w:val="0"/>
        <w:snapToGrid/>
        <w:spacing w:before="120" w:line="420" w:lineRule="exac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174DF875">
      <w:pPr>
        <w:pageBreakBefore w:val="0"/>
        <w:widowControl w:val="0"/>
        <w:kinsoku/>
        <w:wordWrap/>
        <w:overflowPunct/>
        <w:topLinePunct w:val="0"/>
        <w:bidi w:val="0"/>
        <w:snapToGrid/>
        <w:spacing w:before="120" w:line="420" w:lineRule="exact"/>
        <w:ind w:left="960"/>
        <w:textAlignment w:val="auto"/>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乙方：</w:t>
      </w:r>
    </w:p>
    <w:p w14:paraId="26F21923">
      <w:pPr>
        <w:pageBreakBefore w:val="0"/>
        <w:widowControl w:val="0"/>
        <w:kinsoku/>
        <w:wordWrap/>
        <w:overflowPunct/>
        <w:topLinePunct w:val="0"/>
        <w:bidi w:val="0"/>
        <w:snapToGrid/>
        <w:spacing w:before="120" w:line="420" w:lineRule="exac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09237B4E">
      <w:pPr>
        <w:pageBreakBefore w:val="0"/>
        <w:widowControl w:val="0"/>
        <w:kinsoku/>
        <w:wordWrap/>
        <w:overflowPunct/>
        <w:topLinePunct w:val="0"/>
        <w:bidi w:val="0"/>
        <w:snapToGrid/>
        <w:spacing w:before="120" w:line="420" w:lineRule="exact"/>
        <w:ind w:firstLine="960" w:firstLineChars="400"/>
        <w:textAlignment w:val="auto"/>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签订地：</w:t>
      </w:r>
    </w:p>
    <w:p w14:paraId="33D17676">
      <w:pPr>
        <w:pageBreakBefore w:val="0"/>
        <w:widowControl w:val="0"/>
        <w:tabs>
          <w:tab w:val="left" w:pos="8569"/>
        </w:tabs>
        <w:kinsoku/>
        <w:wordWrap/>
        <w:overflowPunct/>
        <w:topLinePunct w:val="0"/>
        <w:bidi w:val="0"/>
        <w:snapToGrid/>
        <w:spacing w:before="120" w:line="420" w:lineRule="exact"/>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ab/>
      </w:r>
    </w:p>
    <w:p w14:paraId="089692FA">
      <w:pPr>
        <w:pageBreakBefore w:val="0"/>
        <w:widowControl w:val="0"/>
        <w:kinsoku/>
        <w:wordWrap/>
        <w:overflowPunct/>
        <w:topLinePunct w:val="0"/>
        <w:bidi w:val="0"/>
        <w:snapToGrid/>
        <w:spacing w:before="120" w:line="420" w:lineRule="exact"/>
        <w:ind w:firstLine="960" w:firstLineChars="400"/>
        <w:textAlignment w:val="auto"/>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签订日期：年月日</w:t>
      </w:r>
    </w:p>
    <w:p w14:paraId="56313196">
      <w:pPr>
        <w:pageBreakBefore w:val="0"/>
        <w:widowControl w:val="0"/>
        <w:kinsoku/>
        <w:wordWrap/>
        <w:overflowPunct/>
        <w:topLinePunct w:val="0"/>
        <w:autoSpaceDE w:val="0"/>
        <w:autoSpaceDN w:val="0"/>
        <w:bidi w:val="0"/>
        <w:adjustRightInd w:val="0"/>
        <w:snapToGrid/>
        <w:spacing w:line="420" w:lineRule="exact"/>
        <w:ind w:firstLine="640"/>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4F1BDFAC">
      <w:pPr>
        <w:pageBreakBefore w:val="0"/>
        <w:widowControl w:val="0"/>
        <w:kinsoku/>
        <w:wordWrap/>
        <w:overflowPunct/>
        <w:topLinePunct w:val="0"/>
        <w:autoSpaceDE w:val="0"/>
        <w:autoSpaceDN w:val="0"/>
        <w:bidi w:val="0"/>
        <w:adjustRightInd w:val="0"/>
        <w:snapToGrid/>
        <w:spacing w:line="420" w:lineRule="exact"/>
        <w:ind w:firstLine="640"/>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21C4BF29">
      <w:pPr>
        <w:tabs>
          <w:tab w:val="left" w:pos="0"/>
        </w:tabs>
        <w:spacing w:before="0" w:after="0" w:line="400" w:lineRule="exact"/>
        <w:jc w:val="both"/>
        <w:outlineLvl w:val="9"/>
        <w:rPr>
          <w:rFonts w:hint="eastAsia" w:asciiTheme="minorEastAsia" w:hAnsiTheme="minorEastAsia" w:eastAsiaTheme="minorEastAsia" w:cstheme="minorEastAsia"/>
          <w:b/>
          <w:bCs/>
          <w:color w:val="000000" w:themeColor="text1"/>
          <w:sz w:val="24"/>
          <w:szCs w:val="32"/>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32"/>
          <w:highlight w:val="none"/>
          <w:lang w:eastAsia="zh-CN"/>
          <w14:textFill>
            <w14:solidFill>
              <w14:schemeClr w14:val="tx1"/>
            </w14:solidFill>
          </w14:textFill>
        </w:rPr>
        <w:t>此合同范本仅做参考，具体以实际签订合同为准。</w:t>
      </w:r>
    </w:p>
    <w:p w14:paraId="08638EB5">
      <w:pPr>
        <w:pageBreakBefore w:val="0"/>
        <w:widowControl w:val="0"/>
        <w:kinsoku/>
        <w:wordWrap/>
        <w:overflowPunct/>
        <w:topLinePunct w:val="0"/>
        <w:autoSpaceDE w:val="0"/>
        <w:autoSpaceDN w:val="0"/>
        <w:bidi w:val="0"/>
        <w:adjustRightInd w:val="0"/>
        <w:snapToGrid/>
        <w:spacing w:line="420" w:lineRule="exact"/>
        <w:ind w:firstLine="640"/>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sectPr>
          <w:headerReference r:id="rId9" w:type="first"/>
          <w:footerReference r:id="rId11" w:type="first"/>
          <w:headerReference r:id="rId8" w:type="even"/>
          <w:footerReference r:id="rId10" w:type="even"/>
          <w:pgSz w:w="11907" w:h="16840"/>
          <w:pgMar w:top="1440" w:right="1080" w:bottom="1440" w:left="1080" w:header="454" w:footer="850" w:gutter="0"/>
          <w:pgNumType w:fmt="decimal"/>
          <w:cols w:space="0" w:num="1"/>
          <w:rtlGutter w:val="0"/>
          <w:docGrid w:type="lines" w:linePitch="317" w:charSpace="0"/>
        </w:sectPr>
      </w:pPr>
    </w:p>
    <w:p w14:paraId="4302720B">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年月日</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（采购人名称）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以</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（政府采购方式）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（同前页项目名称）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项目进行了采购。经</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（相关评定主体名称）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评定，</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（中标供应商名称）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为该项目中标供应商。现于中标通知书发出之日起三十日内，按照采购文件确定的事项签订本合同。</w:t>
      </w:r>
    </w:p>
    <w:p w14:paraId="1D2A40DE">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根据《中华人民共和国合同法》、《中华人民共和国政府采购法》等相关法律法规之规定，按照平等、自愿、公平和诚实信用的原则，经</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（采购人名称）   </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(以下简称：甲方)和</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（中标供应商名称）   </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(以下简称：乙方)协商一致，约定以下合同</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条款，以兹共同遵守、全面履行。</w:t>
      </w:r>
    </w:p>
    <w:p w14:paraId="5280C0D2">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618" w:name="_Toc2502"/>
      <w:bookmarkStart w:id="619" w:name="_Toc29977"/>
      <w:bookmarkStart w:id="620" w:name="_Toc28855"/>
      <w:bookmarkStart w:id="621" w:name="_Toc26665"/>
      <w:bookmarkStart w:id="622" w:name="_Toc15547"/>
      <w:bookmarkStart w:id="623" w:name="_Toc26794"/>
      <w:bookmarkStart w:id="624" w:name="_Toc18134"/>
      <w:bookmarkStart w:id="625" w:name="_Toc8517"/>
      <w:bookmarkStart w:id="626" w:name="_Toc13178"/>
      <w:bookmarkStart w:id="627" w:name="_Toc20421"/>
      <w:bookmarkStart w:id="628" w:name="_Toc20223"/>
      <w:bookmarkStart w:id="629" w:name="_Toc20792"/>
      <w:bookmarkStart w:id="630" w:name="_Toc15367"/>
      <w:bookmarkStart w:id="631" w:name="_Toc19273"/>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1.1 合同组成部分</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14:paraId="0250E6AC">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99B48D5">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1.1.1 本合同及其补充合同、变更协议；</w:t>
      </w:r>
    </w:p>
    <w:p w14:paraId="33B6F22F">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1.1.2 中标通知书；</w:t>
      </w:r>
    </w:p>
    <w:p w14:paraId="71708395">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1.1.3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（含澄清或者说明文件）；</w:t>
      </w:r>
    </w:p>
    <w:p w14:paraId="0579E488">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1.1.4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（含澄清或者修改文件）；</w:t>
      </w:r>
    </w:p>
    <w:p w14:paraId="6F6EF22E">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1.1.5 其他相关采购文件。</w:t>
      </w:r>
    </w:p>
    <w:p w14:paraId="4D1E62C4">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632" w:name="_Toc10659"/>
      <w:bookmarkStart w:id="633" w:name="_Toc18585"/>
      <w:bookmarkStart w:id="634" w:name="_Toc6773"/>
      <w:bookmarkStart w:id="635" w:name="_Toc15038"/>
      <w:bookmarkStart w:id="636" w:name="_Toc2918"/>
      <w:bookmarkStart w:id="637" w:name="_Toc29680"/>
      <w:bookmarkStart w:id="638" w:name="_Toc22185"/>
      <w:bookmarkStart w:id="639" w:name="_Toc4859"/>
      <w:bookmarkStart w:id="640" w:name="_Toc32041"/>
      <w:bookmarkStart w:id="641" w:name="_Toc25247"/>
      <w:bookmarkStart w:id="642" w:name="_Toc26449"/>
      <w:bookmarkStart w:id="643" w:name="_Toc23417"/>
      <w:bookmarkStart w:id="644" w:name="_Toc21939"/>
      <w:bookmarkStart w:id="645" w:name="_Toc26113"/>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1.2 标的</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2801DF82">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1.2.1 标的名称：；</w:t>
      </w:r>
    </w:p>
    <w:p w14:paraId="56675816">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1.2.2 标的数量：；</w:t>
      </w:r>
    </w:p>
    <w:p w14:paraId="32B3E43B">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1.2.3 标的质量：</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7C3AC392">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646" w:name="_Toc5420"/>
      <w:bookmarkStart w:id="647" w:name="_Toc5635"/>
      <w:bookmarkStart w:id="648" w:name="_Toc19956"/>
      <w:bookmarkStart w:id="649" w:name="_Toc16454"/>
      <w:bookmarkStart w:id="650" w:name="_Toc4929"/>
      <w:bookmarkStart w:id="651" w:name="_Toc30232"/>
      <w:bookmarkStart w:id="652" w:name="_Toc32752"/>
      <w:bookmarkStart w:id="653" w:name="_Toc17837"/>
      <w:bookmarkStart w:id="654" w:name="_Toc21124"/>
      <w:bookmarkStart w:id="655" w:name="_Toc23385"/>
      <w:bookmarkStart w:id="656" w:name="_Toc20429"/>
      <w:bookmarkStart w:id="657" w:name="_Toc13918"/>
      <w:bookmarkStart w:id="658" w:name="_Toc27022"/>
      <w:bookmarkStart w:id="659" w:name="_Toc1386"/>
      <w:bookmarkStart w:id="660" w:name="_Toc32144"/>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1.3 价款</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14:paraId="35283F9C">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本合同总价为：￥元（大写：元人民币）。</w:t>
      </w:r>
    </w:p>
    <w:p w14:paraId="0235C1AC">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分项价格：</w:t>
      </w:r>
    </w:p>
    <w:tbl>
      <w:tblPr>
        <w:tblStyle w:val="37"/>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8A8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429DEF2">
            <w:pPr>
              <w:pStyle w:val="58"/>
              <w:pageBreakBefore w:val="0"/>
              <w:kinsoku/>
              <w:wordWrap/>
              <w:overflowPunct/>
              <w:topLinePunct w:val="0"/>
              <w:bidi w:val="0"/>
              <w:spacing w:line="480" w:lineRule="exact"/>
              <w:jc w:val="cente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序号</w:t>
            </w:r>
          </w:p>
        </w:tc>
        <w:tc>
          <w:tcPr>
            <w:tcW w:w="3402" w:type="dxa"/>
            <w:noWrap w:val="0"/>
            <w:vAlign w:val="center"/>
          </w:tcPr>
          <w:p w14:paraId="298943AF">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分项名称</w:t>
            </w:r>
          </w:p>
        </w:tc>
        <w:tc>
          <w:tcPr>
            <w:tcW w:w="2552" w:type="dxa"/>
            <w:noWrap w:val="0"/>
            <w:vAlign w:val="center"/>
          </w:tcPr>
          <w:p w14:paraId="064AB34D">
            <w:pPr>
              <w:pStyle w:val="58"/>
              <w:pageBreakBefore w:val="0"/>
              <w:kinsoku/>
              <w:wordWrap/>
              <w:overflowPunct/>
              <w:topLinePunct w:val="0"/>
              <w:bidi w:val="0"/>
              <w:spacing w:line="480" w:lineRule="exact"/>
              <w:jc w:val="cente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分项价格</w:t>
            </w:r>
          </w:p>
        </w:tc>
      </w:tr>
      <w:tr w14:paraId="7BFEB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FD32C8C">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pPr>
          </w:p>
        </w:tc>
        <w:tc>
          <w:tcPr>
            <w:tcW w:w="3402" w:type="dxa"/>
            <w:noWrap w:val="0"/>
            <w:vAlign w:val="center"/>
          </w:tcPr>
          <w:p w14:paraId="555FBFDD">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pPr>
          </w:p>
        </w:tc>
        <w:tc>
          <w:tcPr>
            <w:tcW w:w="2552" w:type="dxa"/>
            <w:noWrap w:val="0"/>
            <w:vAlign w:val="center"/>
          </w:tcPr>
          <w:p w14:paraId="03B7B131">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pPr>
          </w:p>
        </w:tc>
      </w:tr>
      <w:tr w14:paraId="7748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7EA10D5">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pPr>
          </w:p>
        </w:tc>
        <w:tc>
          <w:tcPr>
            <w:tcW w:w="3402" w:type="dxa"/>
            <w:noWrap w:val="0"/>
            <w:vAlign w:val="center"/>
          </w:tcPr>
          <w:p w14:paraId="3BF361A1">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pPr>
          </w:p>
        </w:tc>
        <w:tc>
          <w:tcPr>
            <w:tcW w:w="2552" w:type="dxa"/>
            <w:noWrap w:val="0"/>
            <w:vAlign w:val="center"/>
          </w:tcPr>
          <w:p w14:paraId="385F48B2">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pPr>
          </w:p>
        </w:tc>
      </w:tr>
      <w:tr w14:paraId="61EB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CD993ED">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pPr>
          </w:p>
        </w:tc>
        <w:tc>
          <w:tcPr>
            <w:tcW w:w="3402" w:type="dxa"/>
            <w:noWrap w:val="0"/>
            <w:vAlign w:val="center"/>
          </w:tcPr>
          <w:p w14:paraId="26311D38">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pPr>
          </w:p>
        </w:tc>
        <w:tc>
          <w:tcPr>
            <w:tcW w:w="2552" w:type="dxa"/>
            <w:noWrap w:val="0"/>
            <w:vAlign w:val="center"/>
          </w:tcPr>
          <w:p w14:paraId="154416BE">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pPr>
          </w:p>
        </w:tc>
      </w:tr>
      <w:tr w14:paraId="75D9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1D3FCCC">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pPr>
          </w:p>
        </w:tc>
        <w:tc>
          <w:tcPr>
            <w:tcW w:w="3402" w:type="dxa"/>
            <w:noWrap w:val="0"/>
            <w:vAlign w:val="center"/>
          </w:tcPr>
          <w:p w14:paraId="750801CD">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pPr>
          </w:p>
        </w:tc>
        <w:tc>
          <w:tcPr>
            <w:tcW w:w="2552" w:type="dxa"/>
            <w:noWrap w:val="0"/>
            <w:vAlign w:val="center"/>
          </w:tcPr>
          <w:p w14:paraId="01184A3D">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pPr>
          </w:p>
        </w:tc>
      </w:tr>
      <w:tr w14:paraId="6D9A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48E9C1D8">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总价</w:t>
            </w:r>
          </w:p>
        </w:tc>
        <w:tc>
          <w:tcPr>
            <w:tcW w:w="2552" w:type="dxa"/>
            <w:noWrap w:val="0"/>
            <w:vAlign w:val="center"/>
          </w:tcPr>
          <w:p w14:paraId="2E224ADF">
            <w:pPr>
              <w:pStyle w:val="58"/>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pPr>
          </w:p>
        </w:tc>
      </w:tr>
    </w:tbl>
    <w:p w14:paraId="31B940AE">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661" w:name="_Toc31651"/>
      <w:bookmarkStart w:id="662" w:name="_Toc15332"/>
      <w:bookmarkStart w:id="663" w:name="_Toc14542"/>
      <w:bookmarkStart w:id="664" w:name="_Toc14993"/>
      <w:bookmarkStart w:id="665" w:name="_Toc30506"/>
      <w:bookmarkStart w:id="666" w:name="_Toc7546"/>
      <w:bookmarkStart w:id="667" w:name="_Toc7333"/>
      <w:bookmarkStart w:id="668" w:name="_Toc26916"/>
      <w:bookmarkStart w:id="669" w:name="_Toc11731"/>
      <w:bookmarkStart w:id="670" w:name="_Toc28553"/>
      <w:bookmarkStart w:id="671" w:name="_Toc8284"/>
      <w:bookmarkStart w:id="672" w:name="_Toc30158"/>
      <w:bookmarkStart w:id="673" w:name="_Toc3654"/>
      <w:bookmarkStart w:id="674" w:name="_Toc27632"/>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1.4 付款方式和发票开具方式</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14:paraId="76B10593">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1.4.1付款方式：；</w:t>
      </w:r>
    </w:p>
    <w:p w14:paraId="3544AEB9">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1.4.2 发票开具方式：。</w:t>
      </w:r>
    </w:p>
    <w:p w14:paraId="15126F97">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675" w:name="_Toc16670"/>
      <w:bookmarkStart w:id="676" w:name="_Toc26682"/>
      <w:bookmarkStart w:id="677" w:name="_Toc31421"/>
      <w:bookmarkStart w:id="678" w:name="_Toc27040"/>
      <w:bookmarkStart w:id="679" w:name="_Toc28214"/>
      <w:bookmarkStart w:id="680" w:name="_Toc4760"/>
      <w:bookmarkStart w:id="681" w:name="_Toc11108"/>
      <w:bookmarkStart w:id="682" w:name="_Toc19227"/>
      <w:bookmarkStart w:id="683" w:name="_Toc3723"/>
      <w:bookmarkStart w:id="684" w:name="_Toc1315"/>
      <w:bookmarkStart w:id="685" w:name="_Toc26208"/>
      <w:bookmarkStart w:id="686" w:name="_Toc3625"/>
      <w:bookmarkStart w:id="687" w:name="_Toc28091"/>
      <w:bookmarkStart w:id="688" w:name="_Toc24281"/>
      <w:bookmarkStart w:id="689" w:name="_Toc8772"/>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1.5 履行期限、地点和方式</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14:paraId="6B776F35">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1.5.1 履行期限：；</w:t>
      </w:r>
    </w:p>
    <w:p w14:paraId="7EC0ED06">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1.5.2 履行地点：；</w:t>
      </w:r>
    </w:p>
    <w:p w14:paraId="56E800C0">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1.5.3 履行方式：</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753A2EE0">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bookmarkStart w:id="690" w:name="_Toc25917"/>
      <w:bookmarkStart w:id="691" w:name="_Toc30215"/>
      <w:bookmarkStart w:id="692" w:name="_Toc24662"/>
      <w:bookmarkStart w:id="693" w:name="_Toc11998"/>
      <w:bookmarkStart w:id="694" w:name="_Toc3079"/>
      <w:bookmarkStart w:id="695" w:name="_Toc1254"/>
      <w:bookmarkStart w:id="696" w:name="_Toc28582"/>
      <w:bookmarkStart w:id="697" w:name="_Toc8586"/>
      <w:bookmarkStart w:id="698" w:name="_Toc13141"/>
      <w:bookmarkStart w:id="699" w:name="_Toc5698"/>
      <w:bookmarkStart w:id="700" w:name="_Toc3868"/>
      <w:bookmarkStart w:id="701" w:name="_Toc15796"/>
      <w:bookmarkStart w:id="702" w:name="_Toc12663"/>
      <w:bookmarkStart w:id="703" w:name="_Toc4466"/>
      <w:bookmarkStart w:id="704" w:name="_Toc2375"/>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1.6 违约责任</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563C46DD">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1.6.1 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14:paraId="08C9ADD8">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14:paraId="5FED991E">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3DB274EF">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C380A9F">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02E8516">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1.6.6 如果出现政府采购监督管理部门在处理投诉事项期间，书面通知甲方暂停采购活动的情形，或者询问或质疑事项可能影响中标结果的，导致甲方中止履行合同的情形，均不视为甲方违约。</w:t>
      </w:r>
    </w:p>
    <w:p w14:paraId="2625B643">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705" w:name="_Toc27470"/>
      <w:bookmarkStart w:id="706" w:name="_Toc11259"/>
      <w:bookmarkStart w:id="707" w:name="_Toc17528"/>
      <w:bookmarkStart w:id="708" w:name="_Toc14738"/>
      <w:bookmarkStart w:id="709" w:name="_Toc26807"/>
      <w:bookmarkStart w:id="710" w:name="_Toc6990"/>
      <w:bookmarkStart w:id="711" w:name="_Toc32717"/>
      <w:bookmarkStart w:id="712" w:name="_Toc32626"/>
      <w:bookmarkStart w:id="713" w:name="_Toc9497"/>
      <w:bookmarkStart w:id="714" w:name="_Toc32454"/>
      <w:bookmarkStart w:id="715" w:name="_Toc26542"/>
      <w:bookmarkStart w:id="716" w:name="_Toc30329"/>
      <w:bookmarkStart w:id="717" w:name="_Toc7482"/>
      <w:bookmarkStart w:id="718" w:name="_Toc24016"/>
      <w:bookmarkStart w:id="719" w:name="_Toc18683"/>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1.7 合同争议的解决</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3FF0F78B">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本合同履行过程中发生的任何争议，双方当事人均可通过和解或者调解解决；不愿和解、调解或者和解、调解不成的，可以选择下列第种方式解决：</w:t>
      </w:r>
    </w:p>
    <w:p w14:paraId="243FA98F">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1.7.1 将争议提交仲裁委员会依申请仲裁时其现行有效的仲裁规则裁决；</w:t>
      </w:r>
    </w:p>
    <w:p w14:paraId="39696E1F">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1.7.2 向</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（被告住所地、合同履行地、合同签订地、原告住所地、标的物所在地等与争议有实际联系的地点中选出的人民法院名称）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人民法院起诉。</w:t>
      </w:r>
    </w:p>
    <w:p w14:paraId="275A75B9">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720" w:name="_Toc16417"/>
      <w:bookmarkStart w:id="721" w:name="_Toc12273"/>
      <w:bookmarkStart w:id="722" w:name="_Toc2096"/>
      <w:bookmarkStart w:id="723" w:name="_Toc11240"/>
      <w:bookmarkStart w:id="724" w:name="_Toc23784"/>
      <w:bookmarkStart w:id="725" w:name="_Toc17660"/>
      <w:bookmarkStart w:id="726" w:name="_Toc26227"/>
      <w:bookmarkStart w:id="727" w:name="_Toc3075"/>
      <w:bookmarkStart w:id="728" w:name="_Toc19624"/>
      <w:bookmarkStart w:id="729" w:name="_Toc19983"/>
      <w:bookmarkStart w:id="730" w:name="_Toc19425"/>
      <w:bookmarkStart w:id="731" w:name="_Toc15827"/>
      <w:bookmarkStart w:id="732" w:name="_Toc14807"/>
      <w:bookmarkStart w:id="733" w:name="_Toc22722"/>
      <w:bookmarkStart w:id="734" w:name="_Toc27562"/>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1.8 合同生效</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58AB12FF">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本合同自双方当事人盖章或者签字时生效。</w:t>
      </w:r>
    </w:p>
    <w:p w14:paraId="40CDAAAB">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zh-CN"/>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highlight w:val="none"/>
          <w:lang w:val="zh-CN"/>
          <w14:textFill>
            <w14:solidFill>
              <w14:schemeClr w14:val="tx1"/>
            </w14:solidFill>
          </w14:textFill>
        </w:rPr>
        <w:t xml:space="preserve">      乙方</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w:t>
      </w:r>
    </w:p>
    <w:p w14:paraId="28DF6924">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统一社会信用代码：                        统一社会信用代码或身份证号码：</w:t>
      </w:r>
    </w:p>
    <w:p w14:paraId="4CA25375">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住所：                                   住所：</w:t>
      </w:r>
    </w:p>
    <w:p w14:paraId="14A79F62">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法定代表人或                             法定代表人</w:t>
      </w:r>
    </w:p>
    <w:p w14:paraId="01E4ED4B">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 xml:space="preserve">授权代表（签字）：                        或授权代表（签字）: </w:t>
      </w:r>
    </w:p>
    <w:p w14:paraId="1E74922E">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联系人：                                 联系人：</w:t>
      </w:r>
    </w:p>
    <w:p w14:paraId="1814F09D">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约定送达地址：                           约定送达地址：</w:t>
      </w:r>
    </w:p>
    <w:p w14:paraId="783D8937">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邮政编码：                               邮政编码：</w:t>
      </w:r>
    </w:p>
    <w:p w14:paraId="3AAC9059">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 xml:space="preserve">电话:                                    电话: </w:t>
      </w:r>
    </w:p>
    <w:p w14:paraId="07CC6064">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传真:                                    传真:</w:t>
      </w:r>
    </w:p>
    <w:p w14:paraId="0EECE841">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电子邮箱：                               电子邮箱：</w:t>
      </w:r>
    </w:p>
    <w:p w14:paraId="2DCE6354">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开户银行：                               开户银行： </w:t>
      </w:r>
    </w:p>
    <w:p w14:paraId="668B753E">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开户名称：                               开户名称： </w:t>
      </w:r>
    </w:p>
    <w:p w14:paraId="0840A549">
      <w:pPr>
        <w:pageBreakBefore w:val="0"/>
        <w:kinsoku/>
        <w:wordWrap/>
        <w:overflowPunct/>
        <w:topLinePunct w:val="0"/>
        <w:autoSpaceDE w:val="0"/>
        <w:autoSpaceDN w:val="0"/>
        <w:bidi w:val="0"/>
        <w:adjustRightInd w:val="0"/>
        <w:spacing w:line="480" w:lineRule="exact"/>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开户账号：</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开户账号：</w:t>
      </w:r>
      <w:bookmarkStart w:id="735" w:name="_Toc331685783"/>
    </w:p>
    <w:p w14:paraId="151542B7">
      <w:pPr>
        <w:pStyle w:val="60"/>
        <w:pageBreakBefore w:val="0"/>
        <w:kinsoku/>
        <w:wordWrap/>
        <w:overflowPunct/>
        <w:topLinePunct w:val="0"/>
        <w:bidi w:val="0"/>
        <w:spacing w:line="480" w:lineRule="exact"/>
        <w:ind w:firstLine="200"/>
        <w:jc w:val="cente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第二部分 合同一般条款</w:t>
      </w:r>
      <w:bookmarkEnd w:id="735"/>
    </w:p>
    <w:p w14:paraId="516A627C">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736" w:name="_Toc259093669"/>
      <w:bookmarkStart w:id="737" w:name="_Ref467379205"/>
      <w:bookmarkStart w:id="738" w:name="_Ref467378404"/>
      <w:bookmarkStart w:id="739" w:name="_Toc14021"/>
      <w:bookmarkStart w:id="740" w:name="_Toc12785"/>
      <w:bookmarkStart w:id="741" w:name="_Toc487900349"/>
      <w:bookmarkStart w:id="742" w:name="_Toc808"/>
      <w:bookmarkStart w:id="743" w:name="_Ref467379225"/>
      <w:bookmarkStart w:id="744" w:name="_Ref467379214"/>
      <w:bookmarkStart w:id="745" w:name="_Toc19680"/>
      <w:bookmarkStart w:id="746" w:name="_Toc29656"/>
      <w:bookmarkStart w:id="747" w:name="_Ref467379094"/>
      <w:bookmarkStart w:id="748" w:name="_Ref467378499"/>
      <w:bookmarkStart w:id="749" w:name="_Ref467379195"/>
      <w:bookmarkStart w:id="750" w:name="_Toc31297"/>
      <w:bookmarkStart w:id="751" w:name="_Toc24569"/>
      <w:bookmarkStart w:id="752" w:name="_Toc279701240"/>
      <w:bookmarkStart w:id="753" w:name="_Ref467379101"/>
      <w:bookmarkStart w:id="754" w:name="_Toc25161"/>
      <w:bookmarkStart w:id="755" w:name="_Toc28292"/>
      <w:bookmarkStart w:id="756" w:name="_Toc25079"/>
      <w:bookmarkStart w:id="757" w:name="_Toc2452"/>
      <w:bookmarkStart w:id="758" w:name="_Toc5226"/>
      <w:bookmarkStart w:id="759" w:name="_Toc5228"/>
      <w:bookmarkStart w:id="760" w:name="_Ref467378463"/>
      <w:bookmarkStart w:id="761" w:name="_Toc560"/>
      <w:bookmarkStart w:id="762" w:name="_Ref467379109"/>
      <w:bookmarkStart w:id="763" w:name="_Toc10949"/>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2.1 定义</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0A45877B">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本合同中的下列词语应按以下内容进行解释：</w:t>
      </w:r>
    </w:p>
    <w:p w14:paraId="4DDEFCC0">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2.1.1 “合同”系指采购人和中标供应商签订的载明双方当事人所达成的协议，并包括所有的附件、附录和构成合同的其他文件。</w:t>
      </w:r>
    </w:p>
    <w:p w14:paraId="05A3231F">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2.1.2 “合同价”系指根据合同约定，中标供应商在完全履行合同义务后，采购人应支付给中标供应商的价格。</w:t>
      </w:r>
    </w:p>
    <w:p w14:paraId="6DC9FCC2">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2.1.3 “服务”系指中标供应商根据合同约定应向采购人履行的除货物和工程以外的其他政府采购对象，包括采购人自身需要的服务和向社会公众提供的公共服务。</w:t>
      </w:r>
    </w:p>
    <w:p w14:paraId="726B7054">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764" w:name="_Ref467378840"/>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2.1.4 “甲方”系指与中标供应商签署合同的采购人</w:t>
      </w:r>
      <w:bookmarkEnd w:id="764"/>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；采购人委托采购代理机构代表其与乙方签订合同的，采购人的授权委托书作为合同附件。</w:t>
      </w:r>
    </w:p>
    <w:p w14:paraId="53E7F34C">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765" w:name="_Ref467379400"/>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2.1.5 “乙方”系指根据合同约定提供服务的中标供应商</w:t>
      </w:r>
      <w:bookmarkEnd w:id="765"/>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7412035">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766" w:name="_Ref467379436"/>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2.1.6 “现场”系指合同约定提供服务的地点。</w:t>
      </w:r>
      <w:bookmarkEnd w:id="766"/>
    </w:p>
    <w:p w14:paraId="1E6D6A09">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767" w:name="_Toc19539"/>
      <w:bookmarkStart w:id="768" w:name="_Toc8208"/>
      <w:bookmarkStart w:id="769" w:name="_Toc4403"/>
      <w:bookmarkStart w:id="770" w:name="_Toc13460"/>
      <w:bookmarkStart w:id="771" w:name="_Toc6052"/>
      <w:bookmarkStart w:id="772" w:name="_Toc5078"/>
      <w:bookmarkStart w:id="773" w:name="_Toc16752"/>
      <w:bookmarkStart w:id="774" w:name="_Toc18637"/>
      <w:bookmarkStart w:id="775" w:name="_Toc487900350"/>
      <w:bookmarkStart w:id="776" w:name="_Toc279701241"/>
      <w:bookmarkStart w:id="777" w:name="_Toc15774"/>
      <w:bookmarkStart w:id="778" w:name="_Toc31402"/>
      <w:bookmarkStart w:id="779" w:name="_Toc1101"/>
      <w:bookmarkStart w:id="780" w:name="_Toc3769"/>
      <w:bookmarkStart w:id="781" w:name="_Toc23289"/>
      <w:bookmarkStart w:id="782" w:name="_Toc21691"/>
      <w:bookmarkStart w:id="783" w:name="_Toc575"/>
      <w:bookmarkStart w:id="784" w:name="_Toc259093670"/>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2.2 技术规范</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269EE6A9">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745060C">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785" w:name="_Toc21948"/>
      <w:bookmarkStart w:id="786" w:name="_Toc26453"/>
      <w:bookmarkStart w:id="787" w:name="_Toc12412"/>
      <w:bookmarkStart w:id="788" w:name="_Toc28448"/>
      <w:bookmarkStart w:id="789" w:name="_Toc12899"/>
      <w:bookmarkStart w:id="790" w:name="_Toc9161"/>
      <w:bookmarkStart w:id="791" w:name="_Toc279701242"/>
      <w:bookmarkStart w:id="792" w:name="_Toc4133"/>
      <w:bookmarkStart w:id="793" w:name="_Toc11461"/>
      <w:bookmarkStart w:id="794" w:name="_Toc27945"/>
      <w:bookmarkStart w:id="795" w:name="_Toc1171"/>
      <w:bookmarkStart w:id="796" w:name="_Toc259093671"/>
      <w:bookmarkStart w:id="797" w:name="_Toc2479"/>
      <w:bookmarkStart w:id="798" w:name="_Toc13061"/>
      <w:bookmarkStart w:id="799" w:name="_Toc13673"/>
      <w:bookmarkStart w:id="800" w:name="_Toc335"/>
      <w:bookmarkStart w:id="801" w:name="_Toc487900351"/>
      <w:bookmarkStart w:id="802" w:name="_Toc24375"/>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2.3 知识产权</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p w14:paraId="7CC5D451">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5EF378BF">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2.3.2 合同涉及技术成果的归属和收益的分成办法的，详见</w:t>
      </w:r>
      <w:r>
        <w:rPr>
          <w:rFonts w:hint="eastAsia" w:asciiTheme="minorEastAsia" w:hAnsiTheme="minorEastAsia" w:eastAsiaTheme="minorEastAsia" w:cstheme="minorEastAsia"/>
          <w:b/>
          <w:i/>
          <w:color w:val="000000" w:themeColor="text1"/>
          <w:sz w:val="24"/>
          <w:szCs w:val="24"/>
          <w:highlight w:val="none"/>
          <w:u w:val="single"/>
          <w14:textFill>
            <w14:solidFill>
              <w14:schemeClr w14:val="tx1"/>
            </w14:solidFill>
          </w14:textFill>
        </w:rPr>
        <w:t>合同专用条款</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74298182">
      <w:pPr>
        <w:pageBreakBefore w:val="0"/>
        <w:kinsoku/>
        <w:wordWrap/>
        <w:overflowPunct/>
        <w:topLinePunct w:val="0"/>
        <w:bidi w:val="0"/>
        <w:spacing w:line="480" w:lineRule="exact"/>
        <w:ind w:firstLine="482" w:firstLineChars="20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2.4 履约检查和问题反馈</w:t>
      </w:r>
    </w:p>
    <w:p w14:paraId="3D0AC488">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803" w:name="_Ref467379657"/>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2.4.1</w:t>
      </w:r>
      <w:bookmarkEnd w:id="803"/>
      <w:bookmarkStart w:id="804" w:name="_Toc186431854"/>
      <w:bookmarkStart w:id="805" w:name="_Toc259093676"/>
      <w:bookmarkStart w:id="806" w:name="_Toc487900357"/>
      <w:bookmarkStart w:id="807" w:name="_Toc279701247"/>
      <w:bookmarkStart w:id="808" w:name="_Ref467379793"/>
      <w:bookmarkStart w:id="809" w:name="_Ref467379807"/>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甲方有权在其认为必要时，对乙方是否能够按照合同约定提供服务进行履约检查，以确保乙方所提供的服务能够依约满足甲方之项目需求，但不得因履约检查妨碍乙方的正常工作，乙方应予积极配合；</w:t>
      </w:r>
    </w:p>
    <w:p w14:paraId="6D07AD0D">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2.4.2 合同履行期间，甲方有权将履行过程中出现的问题反馈给乙方，双方当事人应以书面形式约定需要完善和改进的内容</w:t>
      </w:r>
      <w:bookmarkEnd w:id="804"/>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30A9246E">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810" w:name="_Toc10600"/>
      <w:bookmarkStart w:id="811" w:name="_Toc7767"/>
      <w:bookmarkStart w:id="812" w:name="_Toc31063"/>
      <w:bookmarkStart w:id="813" w:name="_Toc32670"/>
      <w:bookmarkStart w:id="814" w:name="_Toc22011"/>
      <w:bookmarkStart w:id="815" w:name="_Toc31197"/>
      <w:bookmarkStart w:id="816" w:name="_Toc25686"/>
      <w:bookmarkStart w:id="817" w:name="_Toc30119"/>
      <w:bookmarkStart w:id="818" w:name="_Toc15447"/>
      <w:bookmarkStart w:id="819" w:name="_Toc26555"/>
      <w:bookmarkStart w:id="820" w:name="_Toc17932"/>
      <w:bookmarkStart w:id="821" w:name="_Toc31233"/>
      <w:bookmarkStart w:id="822" w:name="_Toc27836"/>
      <w:bookmarkStart w:id="823" w:name="_Toc8920"/>
      <w:bookmarkStart w:id="824" w:name="_Toc23715"/>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2.5 结算方式和付款条件</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64EEE5F5">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详见</w:t>
      </w:r>
      <w:r>
        <w:rPr>
          <w:rFonts w:hint="eastAsia" w:asciiTheme="minorEastAsia" w:hAnsiTheme="minorEastAsia" w:eastAsiaTheme="minorEastAsia" w:cstheme="minorEastAsia"/>
          <w:b/>
          <w:i/>
          <w:color w:val="000000" w:themeColor="text1"/>
          <w:sz w:val="24"/>
          <w:szCs w:val="24"/>
          <w:highlight w:val="none"/>
          <w:u w:val="single"/>
          <w14:textFill>
            <w14:solidFill>
              <w14:schemeClr w14:val="tx1"/>
            </w14:solidFill>
          </w14:textFill>
        </w:rPr>
        <w:t>合同专用条款</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7CA1CFCB">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825" w:name="_Toc279701248"/>
      <w:bookmarkStart w:id="826" w:name="_Ref467379923"/>
      <w:bookmarkStart w:id="827" w:name="_Toc487900358"/>
      <w:bookmarkStart w:id="828" w:name="_Ref467379863"/>
      <w:bookmarkStart w:id="829" w:name="_Ref467379852"/>
      <w:bookmarkStart w:id="830" w:name="_Toc259093677"/>
      <w:bookmarkStart w:id="831" w:name="_Toc14246"/>
      <w:bookmarkStart w:id="832" w:name="_Toc30507"/>
      <w:bookmarkStart w:id="833" w:name="_Toc19392"/>
      <w:bookmarkStart w:id="834" w:name="_Toc19386"/>
      <w:bookmarkStart w:id="835" w:name="_Toc5242"/>
      <w:bookmarkStart w:id="836" w:name="_Toc3494"/>
      <w:bookmarkStart w:id="837" w:name="_Toc18990"/>
      <w:bookmarkStart w:id="838" w:name="_Toc7218"/>
      <w:bookmarkStart w:id="839" w:name="_Toc17696"/>
      <w:bookmarkStart w:id="840" w:name="_Toc9786"/>
      <w:bookmarkStart w:id="841" w:name="_Toc13467"/>
      <w:bookmarkStart w:id="842" w:name="_Toc16163"/>
      <w:bookmarkStart w:id="843" w:name="_Toc19645"/>
      <w:bookmarkStart w:id="844" w:name="_Toc15897"/>
      <w:bookmarkStart w:id="845" w:name="_Toc13154"/>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2.6 技术资料</w:t>
      </w:r>
      <w:bookmarkEnd w:id="825"/>
      <w:bookmarkEnd w:id="826"/>
      <w:bookmarkEnd w:id="827"/>
      <w:bookmarkEnd w:id="828"/>
      <w:bookmarkEnd w:id="829"/>
      <w:bookmarkEnd w:id="830"/>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和保密义务</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14:paraId="1E52623D">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2.6.1 乙方有权依据合同约定和项目需要，向甲方了解有关情况，调阅有关资料等，甲方应予积极配合；</w:t>
      </w:r>
    </w:p>
    <w:p w14:paraId="49E61D9D">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2.6.2 乙方有义务妥善保管和保护由甲方提供的前款信息和资料等；</w:t>
      </w:r>
    </w:p>
    <w:p w14:paraId="7457E234">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375B7D9">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846" w:name="_Toc25991"/>
      <w:bookmarkStart w:id="847" w:name="_Toc9088"/>
      <w:bookmarkStart w:id="848" w:name="_Toc31339"/>
      <w:bookmarkStart w:id="849" w:name="_Toc29561"/>
      <w:bookmarkStart w:id="850" w:name="_Toc9840"/>
      <w:bookmarkStart w:id="851" w:name="_Toc2276"/>
      <w:bookmarkStart w:id="852" w:name="_Toc6074"/>
      <w:bookmarkStart w:id="853" w:name="_Toc19640"/>
      <w:bookmarkStart w:id="854" w:name="_Toc29831"/>
      <w:bookmarkStart w:id="855" w:name="_Toc19069"/>
      <w:bookmarkStart w:id="856" w:name="_Toc6587"/>
      <w:bookmarkStart w:id="857" w:name="_Toc487900362"/>
      <w:bookmarkStart w:id="858" w:name="_Toc279701252"/>
      <w:bookmarkStart w:id="859" w:name="_Toc259093681"/>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2.7 质量保证</w:t>
      </w:r>
      <w:bookmarkEnd w:id="846"/>
      <w:bookmarkEnd w:id="847"/>
      <w:bookmarkEnd w:id="848"/>
      <w:bookmarkEnd w:id="849"/>
      <w:bookmarkEnd w:id="850"/>
      <w:bookmarkEnd w:id="851"/>
      <w:bookmarkEnd w:id="852"/>
      <w:bookmarkEnd w:id="853"/>
      <w:bookmarkEnd w:id="854"/>
      <w:bookmarkEnd w:id="855"/>
      <w:bookmarkEnd w:id="856"/>
    </w:p>
    <w:p w14:paraId="1D47923B">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2.7.1 乙方应建立和完善履行合同的内部质量保证体系，并提供相关内部规章制度给甲方，以便甲方进行监督检查；</w:t>
      </w:r>
    </w:p>
    <w:p w14:paraId="11F24E5D">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2.7.2 乙方应保证履行合同的人员数量和素质、软件和硬件设备的配置、场地、环境和设施等满足全面履行合同的要求，并应接受甲方的监督检查。</w:t>
      </w:r>
    </w:p>
    <w:p w14:paraId="586751E5">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860" w:name="_Toc24596"/>
      <w:bookmarkStart w:id="861" w:name="_Toc13218"/>
      <w:bookmarkStart w:id="862" w:name="_Toc22267"/>
      <w:bookmarkStart w:id="863" w:name="_Toc4889"/>
      <w:bookmarkStart w:id="864" w:name="_Toc31321"/>
      <w:bookmarkStart w:id="865" w:name="_Toc19231"/>
      <w:bookmarkStart w:id="866" w:name="_Toc30375"/>
      <w:bookmarkStart w:id="867" w:name="_Toc25104"/>
      <w:bookmarkStart w:id="868" w:name="_Toc4097"/>
      <w:bookmarkStart w:id="869" w:name="_Toc29528"/>
      <w:bookmarkStart w:id="870" w:name="_Toc29110"/>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2.8 延迟</w:t>
      </w:r>
      <w:bookmarkEnd w:id="857"/>
      <w:bookmarkEnd w:id="858"/>
      <w:bookmarkEnd w:id="859"/>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履行</w:t>
      </w:r>
      <w:bookmarkEnd w:id="860"/>
      <w:bookmarkEnd w:id="861"/>
      <w:bookmarkEnd w:id="862"/>
      <w:bookmarkEnd w:id="863"/>
      <w:bookmarkEnd w:id="864"/>
      <w:bookmarkEnd w:id="865"/>
      <w:bookmarkEnd w:id="866"/>
      <w:bookmarkEnd w:id="867"/>
      <w:bookmarkEnd w:id="868"/>
      <w:bookmarkEnd w:id="869"/>
      <w:bookmarkEnd w:id="870"/>
    </w:p>
    <w:p w14:paraId="020BB49C">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EF700B6">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871" w:name="_Toc22509"/>
      <w:bookmarkStart w:id="872" w:name="_Toc3293"/>
      <w:bookmarkStart w:id="873" w:name="_Toc24979"/>
      <w:bookmarkStart w:id="874" w:name="_Toc10611"/>
      <w:bookmarkStart w:id="875" w:name="_Toc16822"/>
      <w:bookmarkStart w:id="876" w:name="_Toc23645"/>
      <w:bookmarkStart w:id="877" w:name="_Toc19429"/>
      <w:bookmarkStart w:id="878" w:name="_Toc15797"/>
      <w:bookmarkStart w:id="879" w:name="_Toc23879"/>
      <w:bookmarkStart w:id="880" w:name="_Toc4031"/>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2.9 合同变更</w:t>
      </w:r>
      <w:bookmarkEnd w:id="871"/>
      <w:bookmarkEnd w:id="872"/>
      <w:bookmarkEnd w:id="873"/>
      <w:bookmarkEnd w:id="874"/>
      <w:bookmarkEnd w:id="875"/>
      <w:bookmarkEnd w:id="876"/>
      <w:bookmarkEnd w:id="877"/>
      <w:bookmarkEnd w:id="878"/>
      <w:bookmarkEnd w:id="879"/>
      <w:bookmarkEnd w:id="880"/>
    </w:p>
    <w:p w14:paraId="7C39EE2E">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2.9.1 双方当事人协商一致，可以签订书面补充合同的形式变更合同，但不得违背采购文件确定的事项，且如果系追加与合同标的相同的服务的，那么所有补充合同的采购金额不得超过原合同价的10%；</w:t>
      </w:r>
    </w:p>
    <w:p w14:paraId="7A631CD1">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2.9.2 合同继续履行将损害国家利益和社会公共利益的，双方当事人应当以书面形式变更合同。有过错的一方应当承担赔偿责任，双方当事人都有过错的，各自承担相应的责任。</w:t>
      </w:r>
      <w:bookmarkStart w:id="881" w:name="_Toc487900369"/>
      <w:bookmarkStart w:id="882" w:name="_Toc259093688"/>
      <w:bookmarkStart w:id="883" w:name="_Toc279701259"/>
    </w:p>
    <w:p w14:paraId="129E32F2">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884" w:name="_Toc8729"/>
      <w:bookmarkStart w:id="885" w:name="_Toc2212"/>
      <w:bookmarkStart w:id="886" w:name="_Toc862"/>
      <w:bookmarkStart w:id="887" w:name="_Toc356"/>
      <w:bookmarkStart w:id="888" w:name="_Toc9003"/>
      <w:bookmarkStart w:id="889" w:name="_Toc10663"/>
      <w:bookmarkStart w:id="890" w:name="_Toc1160"/>
      <w:bookmarkStart w:id="891" w:name="_Toc23281"/>
      <w:bookmarkStart w:id="892" w:name="_Toc42"/>
      <w:bookmarkStart w:id="893" w:name="_Toc30491"/>
      <w:bookmarkStart w:id="894" w:name="_Toc16325"/>
      <w:bookmarkStart w:id="895" w:name="_Toc26689"/>
      <w:bookmarkStart w:id="896" w:name="_Toc21830"/>
      <w:bookmarkStart w:id="897" w:name="_Toc23707"/>
      <w:bookmarkStart w:id="898" w:name="_Toc23368"/>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2.10 合同转让</w:t>
      </w:r>
      <w:bookmarkEnd w:id="881"/>
      <w:bookmarkEnd w:id="882"/>
      <w:bookmarkEnd w:id="883"/>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和分包</w:t>
      </w:r>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14:paraId="32C7DE04">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42A8E87">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899" w:name="_Toc27081"/>
      <w:bookmarkStart w:id="900" w:name="_Toc30102"/>
      <w:bookmarkStart w:id="901" w:name="_Toc23283"/>
      <w:bookmarkStart w:id="902" w:name="_Toc21026"/>
      <w:bookmarkStart w:id="903" w:name="_Toc1682"/>
      <w:bookmarkStart w:id="904" w:name="_Toc26633"/>
      <w:bookmarkStart w:id="905" w:name="_Toc14371"/>
      <w:bookmarkStart w:id="906" w:name="_Toc32322"/>
      <w:bookmarkStart w:id="907" w:name="_Toc12143"/>
      <w:bookmarkStart w:id="908" w:name="_Toc32494"/>
      <w:bookmarkStart w:id="909" w:name="_Toc30671"/>
      <w:bookmarkStart w:id="910" w:name="_Toc25571"/>
      <w:bookmarkStart w:id="911" w:name="_Toc8449"/>
      <w:bookmarkStart w:id="912" w:name="_Toc4720"/>
      <w:bookmarkStart w:id="913" w:name="_Toc10871"/>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2.11 不可抗力</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p>
    <w:p w14:paraId="0056F1A8">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2.11.1如果任何一方遭遇法律规定的不可抗力，致使合同履行受阻时，履行合同的期限应予延长，延长的期限应相当于不可抗力所影响的时间；</w:t>
      </w:r>
    </w:p>
    <w:p w14:paraId="3237AC36">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2.11.2 因不可抗力致使不能实现合同目的的，当事人可以解除合同；</w:t>
      </w:r>
    </w:p>
    <w:p w14:paraId="74B5C89D">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2.11.3 因不可抗力致使合同有变更必要的，双方当事人应在</w:t>
      </w:r>
      <w:r>
        <w:rPr>
          <w:rFonts w:hint="eastAsia" w:asciiTheme="minorEastAsia" w:hAnsiTheme="minorEastAsia" w:eastAsiaTheme="minorEastAsia" w:cstheme="minorEastAsia"/>
          <w:b/>
          <w:i/>
          <w:color w:val="000000" w:themeColor="text1"/>
          <w:sz w:val="24"/>
          <w:szCs w:val="24"/>
          <w:highlight w:val="none"/>
          <w:u w:val="single"/>
          <w14:textFill>
            <w14:solidFill>
              <w14:schemeClr w14:val="tx1"/>
            </w14:solidFill>
          </w14:textFill>
        </w:rPr>
        <w:t>合同专用条款</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约定时间内以书面形式变更合同；</w:t>
      </w:r>
    </w:p>
    <w:p w14:paraId="07CF53B4">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2.11.4受不可抗力影响的一方在不可抗力发生后，应在</w:t>
      </w:r>
      <w:r>
        <w:rPr>
          <w:rFonts w:hint="eastAsia" w:asciiTheme="minorEastAsia" w:hAnsiTheme="minorEastAsia" w:eastAsiaTheme="minorEastAsia" w:cstheme="minorEastAsia"/>
          <w:b/>
          <w:i/>
          <w:color w:val="000000" w:themeColor="text1"/>
          <w:sz w:val="24"/>
          <w:szCs w:val="24"/>
          <w:highlight w:val="none"/>
          <w:u w:val="single"/>
          <w14:textFill>
            <w14:solidFill>
              <w14:schemeClr w14:val="tx1"/>
            </w14:solidFill>
          </w14:textFill>
        </w:rPr>
        <w:t>合同专用条款</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约定时间内以书面形式通知对方当事人，并在</w:t>
      </w:r>
      <w:r>
        <w:rPr>
          <w:rFonts w:hint="eastAsia" w:asciiTheme="minorEastAsia" w:hAnsiTheme="minorEastAsia" w:eastAsiaTheme="minorEastAsia" w:cstheme="minorEastAsia"/>
          <w:b/>
          <w:i/>
          <w:color w:val="000000" w:themeColor="text1"/>
          <w:sz w:val="24"/>
          <w:szCs w:val="24"/>
          <w:highlight w:val="none"/>
          <w:u w:val="single"/>
          <w14:textFill>
            <w14:solidFill>
              <w14:schemeClr w14:val="tx1"/>
            </w14:solidFill>
          </w14:textFill>
        </w:rPr>
        <w:t>合同专用条款</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约定时间内，将有关部门出具的证明文件送达对方当事人。</w:t>
      </w:r>
    </w:p>
    <w:p w14:paraId="56D76EFF">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914" w:name="_Toc24465"/>
      <w:bookmarkStart w:id="915" w:name="_Toc25783"/>
      <w:bookmarkStart w:id="916" w:name="_Toc10351"/>
      <w:bookmarkStart w:id="917" w:name="_Toc3638"/>
      <w:bookmarkStart w:id="918" w:name="_Toc17484"/>
      <w:bookmarkStart w:id="919" w:name="_Toc30357"/>
      <w:bookmarkStart w:id="920" w:name="_Toc14505"/>
      <w:bookmarkStart w:id="921" w:name="_Toc259093684"/>
      <w:bookmarkStart w:id="922" w:name="_Toc487900365"/>
      <w:bookmarkStart w:id="923" w:name="_Toc7284"/>
      <w:bookmarkStart w:id="924" w:name="_Toc23854"/>
      <w:bookmarkStart w:id="925" w:name="_Toc3979"/>
      <w:bookmarkStart w:id="926" w:name="_Toc279701255"/>
      <w:bookmarkStart w:id="927" w:name="_Toc24227"/>
      <w:bookmarkStart w:id="928" w:name="_Toc22975"/>
      <w:bookmarkStart w:id="929" w:name="_Toc14115"/>
      <w:bookmarkStart w:id="930" w:name="_Toc6869"/>
      <w:bookmarkStart w:id="931" w:name="_Toc32564"/>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2.12 税费</w:t>
      </w:r>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p>
    <w:p w14:paraId="00A8AE24">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与合同有关的一切税费，均按照中华人民共和国法律的相关规定缴纳。</w:t>
      </w:r>
    </w:p>
    <w:p w14:paraId="1E701D58">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932" w:name="_Toc7315"/>
      <w:bookmarkStart w:id="933" w:name="_Toc16664"/>
      <w:bookmarkStart w:id="934" w:name="_Toc14992"/>
      <w:bookmarkStart w:id="935" w:name="_Toc30105"/>
      <w:bookmarkStart w:id="936" w:name="_Toc31263"/>
      <w:bookmarkStart w:id="937" w:name="_Toc259093687"/>
      <w:bookmarkStart w:id="938" w:name="_Toc6637"/>
      <w:bookmarkStart w:id="939" w:name="_Toc4"/>
      <w:bookmarkStart w:id="940" w:name="_Toc22176"/>
      <w:bookmarkStart w:id="941" w:name="_Toc487900368"/>
      <w:bookmarkStart w:id="942" w:name="_Toc14814"/>
      <w:bookmarkStart w:id="943" w:name="_Toc6532"/>
      <w:bookmarkStart w:id="944" w:name="_Toc26883"/>
      <w:bookmarkStart w:id="945" w:name="_Toc29348"/>
      <w:bookmarkStart w:id="946" w:name="_Toc25525"/>
      <w:bookmarkStart w:id="947" w:name="_Toc29858"/>
      <w:bookmarkStart w:id="948" w:name="_Toc279701258"/>
      <w:bookmarkStart w:id="949" w:name="_Toc26349"/>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2.13 乙方破产</w:t>
      </w:r>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14:paraId="310EB258">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8EDCAAF">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950" w:name="_Toc8174"/>
      <w:bookmarkStart w:id="951" w:name="_Toc29537"/>
      <w:bookmarkStart w:id="952" w:name="_Toc18847"/>
      <w:bookmarkStart w:id="953" w:name="_Toc19596"/>
      <w:bookmarkStart w:id="954" w:name="_Toc2016"/>
      <w:bookmarkStart w:id="955" w:name="_Toc7278"/>
      <w:bookmarkStart w:id="956" w:name="_Toc23323"/>
      <w:bookmarkStart w:id="957" w:name="_Toc31368"/>
      <w:bookmarkStart w:id="958" w:name="_Toc5623"/>
      <w:bookmarkStart w:id="959" w:name="_Toc23914"/>
      <w:bookmarkStart w:id="960" w:name="_Toc25544"/>
      <w:bookmarkStart w:id="961" w:name="_Toc29901"/>
      <w:bookmarkStart w:id="962" w:name="_Toc1123"/>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2.14 合同中止、终止</w:t>
      </w:r>
      <w:bookmarkEnd w:id="950"/>
      <w:bookmarkEnd w:id="951"/>
      <w:bookmarkEnd w:id="952"/>
      <w:bookmarkEnd w:id="953"/>
      <w:bookmarkEnd w:id="954"/>
      <w:bookmarkEnd w:id="955"/>
      <w:bookmarkEnd w:id="956"/>
      <w:bookmarkEnd w:id="957"/>
      <w:bookmarkEnd w:id="958"/>
      <w:bookmarkEnd w:id="959"/>
      <w:bookmarkEnd w:id="960"/>
      <w:bookmarkEnd w:id="961"/>
      <w:bookmarkEnd w:id="962"/>
    </w:p>
    <w:p w14:paraId="449D2C97">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2.14.1 双方当事人不得擅自中止或者终止合同；</w:t>
      </w:r>
    </w:p>
    <w:p w14:paraId="53CD9C39">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2.14.2合同继续履行将损害国家利益和社会公共利益的，双方当事人应当中止或者终止合同。有过错的一方应当承担赔偿责任，双方当事人都有过错的，各自承担相应的责任。</w:t>
      </w:r>
    </w:p>
    <w:p w14:paraId="749B6FFB">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963" w:name="_Toc30337"/>
      <w:bookmarkStart w:id="964" w:name="_Toc28668"/>
      <w:bookmarkStart w:id="965" w:name="_Toc17363"/>
      <w:bookmarkStart w:id="966" w:name="_Toc14525"/>
      <w:bookmarkStart w:id="967" w:name="_Toc16337"/>
      <w:bookmarkStart w:id="968" w:name="_Toc32549"/>
      <w:bookmarkStart w:id="969" w:name="_Toc8757"/>
      <w:bookmarkStart w:id="970" w:name="_Toc18131"/>
      <w:bookmarkStart w:id="971" w:name="_Toc9316"/>
      <w:bookmarkStart w:id="972" w:name="_Toc17750"/>
      <w:bookmarkStart w:id="973" w:name="_Toc30472"/>
      <w:bookmarkStart w:id="974" w:name="_Toc1969"/>
      <w:bookmarkStart w:id="975" w:name="_Toc7270"/>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2.15 检验和验收</w:t>
      </w:r>
      <w:bookmarkEnd w:id="963"/>
      <w:bookmarkEnd w:id="964"/>
      <w:bookmarkEnd w:id="965"/>
      <w:bookmarkEnd w:id="966"/>
      <w:bookmarkEnd w:id="967"/>
      <w:bookmarkEnd w:id="968"/>
      <w:bookmarkEnd w:id="969"/>
      <w:bookmarkEnd w:id="970"/>
      <w:bookmarkEnd w:id="971"/>
      <w:bookmarkEnd w:id="972"/>
      <w:bookmarkEnd w:id="973"/>
      <w:bookmarkEnd w:id="974"/>
      <w:bookmarkEnd w:id="975"/>
    </w:p>
    <w:p w14:paraId="3195461F">
      <w:pPr>
        <w:pageBreakBefore w:val="0"/>
        <w:tabs>
          <w:tab w:val="left" w:pos="360"/>
          <w:tab w:val="left" w:pos="540"/>
          <w:tab w:val="left" w:pos="1080"/>
        </w:tabs>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2.15.1 乙方按照</w:t>
      </w:r>
      <w:r>
        <w:rPr>
          <w:rFonts w:hint="eastAsia" w:asciiTheme="minorEastAsia" w:hAnsiTheme="minorEastAsia" w:eastAsiaTheme="minorEastAsia" w:cstheme="minorEastAsia"/>
          <w:b/>
          <w:i/>
          <w:color w:val="000000" w:themeColor="text1"/>
          <w:sz w:val="24"/>
          <w:szCs w:val="24"/>
          <w:highlight w:val="none"/>
          <w:u w:val="single"/>
          <w14:textFill>
            <w14:solidFill>
              <w14:schemeClr w14:val="tx1"/>
            </w14:solidFill>
          </w14:textFill>
        </w:rPr>
        <w:t>合同专用条款</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的约定，定期提交服务报告，甲方按照</w:t>
      </w:r>
      <w:r>
        <w:rPr>
          <w:rFonts w:hint="eastAsia" w:asciiTheme="minorEastAsia" w:hAnsiTheme="minorEastAsia" w:eastAsiaTheme="minorEastAsia" w:cstheme="minorEastAsia"/>
          <w:b/>
          <w:i/>
          <w:color w:val="000000" w:themeColor="text1"/>
          <w:sz w:val="24"/>
          <w:szCs w:val="24"/>
          <w:highlight w:val="none"/>
          <w:u w:val="single"/>
          <w14:textFill>
            <w14:solidFill>
              <w14:schemeClr w14:val="tx1"/>
            </w14:solidFill>
          </w14:textFill>
        </w:rPr>
        <w:t>合同专用条款</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的约定进行定期验收；</w:t>
      </w:r>
    </w:p>
    <w:p w14:paraId="1CFEFCDD">
      <w:pPr>
        <w:pageBreakBefore w:val="0"/>
        <w:tabs>
          <w:tab w:val="left" w:pos="360"/>
          <w:tab w:val="left" w:pos="540"/>
          <w:tab w:val="left" w:pos="1080"/>
        </w:tabs>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75070F3">
      <w:pPr>
        <w:pageBreakBefore w:val="0"/>
        <w:tabs>
          <w:tab w:val="left" w:pos="360"/>
          <w:tab w:val="left" w:pos="540"/>
          <w:tab w:val="left" w:pos="1080"/>
        </w:tabs>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2.15.3 检验和验收标准、程序等具体内容以及前述验收书的效力详见</w:t>
      </w:r>
      <w:r>
        <w:rPr>
          <w:rFonts w:hint="eastAsia" w:asciiTheme="minorEastAsia" w:hAnsiTheme="minorEastAsia" w:eastAsiaTheme="minorEastAsia" w:cstheme="minorEastAsia"/>
          <w:b/>
          <w:i/>
          <w:color w:val="000000" w:themeColor="text1"/>
          <w:sz w:val="24"/>
          <w:szCs w:val="24"/>
          <w:highlight w:val="none"/>
          <w:u w:val="single"/>
          <w14:textFill>
            <w14:solidFill>
              <w14:schemeClr w14:val="tx1"/>
            </w14:solidFill>
          </w14:textFill>
        </w:rPr>
        <w:t>合同专用条款</w:t>
      </w:r>
      <w:r>
        <w:rPr>
          <w:rFonts w:hint="eastAsia" w:asciiTheme="minorEastAsia" w:hAnsiTheme="minorEastAsia" w:eastAsiaTheme="minorEastAsia" w:cstheme="minorEastAsia"/>
          <w:i/>
          <w:color w:val="000000" w:themeColor="text1"/>
          <w:sz w:val="24"/>
          <w:szCs w:val="24"/>
          <w:highlight w:val="none"/>
          <w14:textFill>
            <w14:solidFill>
              <w14:schemeClr w14:val="tx1"/>
            </w14:solidFill>
          </w14:textFill>
        </w:rPr>
        <w:t>。</w:t>
      </w:r>
    </w:p>
    <w:p w14:paraId="0FB90234">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976" w:name="_Toc259093690"/>
      <w:bookmarkStart w:id="977" w:name="_Toc279701261"/>
      <w:bookmarkStart w:id="978" w:name="_Toc487900371"/>
      <w:bookmarkStart w:id="979" w:name="_Toc1392"/>
      <w:bookmarkStart w:id="980" w:name="_Toc25198"/>
      <w:bookmarkStart w:id="981" w:name="_Toc8307"/>
      <w:bookmarkStart w:id="982" w:name="_Toc9808"/>
      <w:bookmarkStart w:id="983" w:name="_Toc26221"/>
      <w:bookmarkStart w:id="984" w:name="_Toc11014"/>
      <w:bookmarkStart w:id="985" w:name="_Toc11247"/>
      <w:bookmarkStart w:id="986" w:name="_Toc32619"/>
      <w:bookmarkStart w:id="987" w:name="_Toc18608"/>
      <w:bookmarkStart w:id="988" w:name="_Toc31018"/>
      <w:bookmarkStart w:id="989" w:name="_Toc21952"/>
      <w:bookmarkStart w:id="990" w:name="_Toc31892"/>
      <w:bookmarkStart w:id="991" w:name="_Toc2308"/>
      <w:bookmarkStart w:id="992" w:name="_Toc12666"/>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2.16 通知</w:t>
      </w:r>
      <w:bookmarkEnd w:id="976"/>
      <w:bookmarkEnd w:id="977"/>
      <w:bookmarkEnd w:id="978"/>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和送达</w:t>
      </w:r>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p>
    <w:p w14:paraId="0B097AA4">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993" w:name="_Toc7073"/>
      <w:bookmarkStart w:id="994" w:name="_Toc29220"/>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993"/>
      <w:bookmarkEnd w:id="994"/>
    </w:p>
    <w:p w14:paraId="5E1E44AB">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995" w:name="_Toc18401"/>
      <w:bookmarkStart w:id="996" w:name="_Toc27674"/>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995"/>
      <w:bookmarkEnd w:id="996"/>
    </w:p>
    <w:p w14:paraId="6C9BE0E7">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997" w:name="_Toc30141"/>
      <w:bookmarkStart w:id="998" w:name="_Toc259093692"/>
      <w:bookmarkStart w:id="999" w:name="_Toc5063"/>
      <w:bookmarkStart w:id="1000" w:name="_Toc28906"/>
      <w:bookmarkStart w:id="1001" w:name="_Toc13550"/>
      <w:bookmarkStart w:id="1002" w:name="_Toc10490"/>
      <w:bookmarkStart w:id="1003" w:name="_Toc15024"/>
      <w:bookmarkStart w:id="1004" w:name="_Toc4769"/>
      <w:bookmarkStart w:id="1005" w:name="_Toc27644"/>
      <w:bookmarkStart w:id="1006" w:name="_Toc21132"/>
      <w:bookmarkStart w:id="1007" w:name="_Toc4329"/>
      <w:bookmarkStart w:id="1008" w:name="_Toc12254"/>
      <w:bookmarkStart w:id="1009" w:name="_Toc279701263"/>
      <w:bookmarkStart w:id="1010" w:name="_Toc20808"/>
      <w:bookmarkStart w:id="1011" w:name="_Toc31027"/>
      <w:bookmarkStart w:id="1012" w:name="_Toc11526"/>
      <w:bookmarkStart w:id="1013" w:name="_Toc487900373"/>
      <w:bookmarkStart w:id="1014" w:name="_Toc24463"/>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2.17 合同使用的文字和适用的法律</w:t>
      </w:r>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p>
    <w:p w14:paraId="6FD8F532">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2.17.1 合同使用汉语书就、变更和解释；</w:t>
      </w:r>
    </w:p>
    <w:p w14:paraId="33694E80">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2.17.2 合同适用中华人民共和国法律。</w:t>
      </w:r>
    </w:p>
    <w:p w14:paraId="7EE524C4">
      <w:pPr>
        <w:pageBreakBefore w:val="0"/>
        <w:kinsoku/>
        <w:wordWrap/>
        <w:overflowPunct/>
        <w:topLinePunct w:val="0"/>
        <w:bidi w:val="0"/>
        <w:spacing w:line="480" w:lineRule="exact"/>
        <w:ind w:firstLine="482" w:firstLineChars="200"/>
        <w:outlineLvl w:val="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1015" w:name="_Toc31753"/>
      <w:bookmarkStart w:id="1016" w:name="_Toc22116"/>
      <w:bookmarkStart w:id="1017" w:name="_Toc22266"/>
      <w:bookmarkStart w:id="1018" w:name="_Toc28729"/>
      <w:bookmarkStart w:id="1019" w:name="_Toc259093693"/>
      <w:bookmarkStart w:id="1020" w:name="_Toc1492"/>
      <w:bookmarkStart w:id="1021" w:name="_Toc29936"/>
      <w:bookmarkStart w:id="1022" w:name="_Toc2187"/>
      <w:bookmarkStart w:id="1023" w:name="_Toc27127"/>
      <w:bookmarkStart w:id="1024" w:name="_Toc28596"/>
      <w:bookmarkStart w:id="1025" w:name="_Toc2123"/>
      <w:bookmarkStart w:id="1026" w:name="_Toc279701264"/>
      <w:bookmarkStart w:id="1027" w:name="_Toc30096"/>
      <w:bookmarkStart w:id="1028" w:name="_Toc27403"/>
      <w:bookmarkStart w:id="1029" w:name="_Toc26051"/>
      <w:bookmarkStart w:id="1030" w:name="_Toc29283"/>
      <w:bookmarkStart w:id="1031" w:name="_Toc30784"/>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2.18 履约保证金</w:t>
      </w:r>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p>
    <w:p w14:paraId="3D7DB851">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2.18.1 采购文件要求乙方提交履约保证金的，乙方应按</w:t>
      </w:r>
      <w:r>
        <w:rPr>
          <w:rFonts w:hint="eastAsia" w:asciiTheme="minorEastAsia" w:hAnsiTheme="minorEastAsia" w:eastAsiaTheme="minorEastAsia" w:cstheme="minorEastAsia"/>
          <w:b/>
          <w:i/>
          <w:color w:val="000000" w:themeColor="text1"/>
          <w:sz w:val="24"/>
          <w:szCs w:val="24"/>
          <w:highlight w:val="none"/>
          <w:u w:val="single"/>
          <w14:textFill>
            <w14:solidFill>
              <w14:schemeClr w14:val="tx1"/>
            </w14:solidFill>
          </w14:textFill>
        </w:rPr>
        <w:t>合同专用条款</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约定的方式，以支票、汇票、本票或者金融机构、担保机构出具的保函等非现金形式，提交不超过合同价10%的履约保证金；</w:t>
      </w:r>
    </w:p>
    <w:p w14:paraId="34E345E2">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2.18.2 履约保证金在</w:t>
      </w:r>
      <w:r>
        <w:rPr>
          <w:rFonts w:hint="eastAsia" w:asciiTheme="minorEastAsia" w:hAnsiTheme="minorEastAsia" w:eastAsiaTheme="minorEastAsia" w:cstheme="minorEastAsia"/>
          <w:b/>
          <w:i/>
          <w:color w:val="000000" w:themeColor="text1"/>
          <w:sz w:val="24"/>
          <w:szCs w:val="24"/>
          <w:highlight w:val="none"/>
          <w:u w:val="single"/>
          <w14:textFill>
            <w14:solidFill>
              <w14:schemeClr w14:val="tx1"/>
            </w14:solidFill>
          </w14:textFill>
        </w:rPr>
        <w:t>合同专用条款</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约定期间内不予退还或者应完全有效，前述约定期间届满之日起个工作日内，甲方应将履约保证金退还乙方；</w:t>
      </w:r>
    </w:p>
    <w:p w14:paraId="59F7DD56">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1AF87ACD">
      <w:pPr>
        <w:pageBreakBefore w:val="0"/>
        <w:kinsoku/>
        <w:wordWrap/>
        <w:overflowPunct/>
        <w:topLinePunct w:val="0"/>
        <w:bidi w:val="0"/>
        <w:spacing w:line="480" w:lineRule="exact"/>
        <w:ind w:firstLine="482" w:firstLineChars="20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2.19 合同份数</w:t>
      </w:r>
    </w:p>
    <w:p w14:paraId="4D5E6DFE">
      <w:pPr>
        <w:pStyle w:val="60"/>
        <w:pageBreakBefore w:val="0"/>
        <w:kinsoku/>
        <w:wordWrap/>
        <w:overflowPunct/>
        <w:topLinePunct w:val="0"/>
        <w:bidi w:val="0"/>
        <w:spacing w:line="480" w:lineRule="exact"/>
        <w:ind w:firstLine="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合同份数按</w:t>
      </w:r>
      <w:r>
        <w:rPr>
          <w:rFonts w:hint="eastAsia" w:asciiTheme="minorEastAsia" w:hAnsiTheme="minorEastAsia" w:eastAsiaTheme="minorEastAsia" w:cstheme="minorEastAsia"/>
          <w:b/>
          <w:i/>
          <w:color w:val="000000" w:themeColor="text1"/>
          <w:sz w:val="24"/>
          <w:szCs w:val="24"/>
          <w:highlight w:val="none"/>
          <w:u w:val="single"/>
          <w14:textFill>
            <w14:solidFill>
              <w14:schemeClr w14:val="tx1"/>
            </w14:solidFill>
          </w14:textFill>
        </w:rPr>
        <w:t>合同专用条款</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规定，每份均具有同等法律效力。</w:t>
      </w:r>
      <w:bookmarkStart w:id="1032" w:name="_Toc331685784"/>
    </w:p>
    <w:p w14:paraId="2BCF1C8C">
      <w:pPr>
        <w:pStyle w:val="60"/>
        <w:pageBreakBefore w:val="0"/>
        <w:kinsoku/>
        <w:wordWrap/>
        <w:overflowPunct/>
        <w:topLinePunct w:val="0"/>
        <w:bidi w:val="0"/>
        <w:spacing w:line="480" w:lineRule="exact"/>
        <w:ind w:firstLine="0"/>
        <w:jc w:val="cente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第三部分  合同专用条款</w:t>
      </w:r>
      <w:bookmarkEnd w:id="1032"/>
    </w:p>
    <w:p w14:paraId="51CD4330">
      <w:pPr>
        <w:pageBreakBefore w:val="0"/>
        <w:kinsoku/>
        <w:wordWrap/>
        <w:overflowPunct/>
        <w:topLinePunct w:val="0"/>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7"/>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20A6A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5B3140AF">
            <w:pPr>
              <w:pageBreakBefore w:val="0"/>
              <w:kinsoku/>
              <w:wordWrap/>
              <w:overflowPunct/>
              <w:topLinePunct w:val="0"/>
              <w:bidi w:val="0"/>
              <w:spacing w:line="480" w:lineRule="exact"/>
              <w:jc w:val="cente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条款号</w:t>
            </w:r>
          </w:p>
        </w:tc>
        <w:tc>
          <w:tcPr>
            <w:tcW w:w="7633" w:type="dxa"/>
            <w:noWrap w:val="0"/>
            <w:vAlign w:val="center"/>
          </w:tcPr>
          <w:p w14:paraId="3E552FE7">
            <w:pPr>
              <w:pageBreakBefore w:val="0"/>
              <w:kinsoku/>
              <w:wordWrap/>
              <w:overflowPunct/>
              <w:topLinePunct w:val="0"/>
              <w:bidi w:val="0"/>
              <w:spacing w:line="480" w:lineRule="exact"/>
              <w:jc w:val="cente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约定内容</w:t>
            </w:r>
          </w:p>
        </w:tc>
      </w:tr>
      <w:tr w14:paraId="3786B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28B9444D">
            <w:pPr>
              <w:pageBreakBefore w:val="0"/>
              <w:kinsoku/>
              <w:wordWrap/>
              <w:overflowPunct/>
              <w:topLinePunct w:val="0"/>
              <w:bidi w:val="0"/>
              <w:spacing w:line="48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633" w:type="dxa"/>
            <w:noWrap w:val="0"/>
            <w:vAlign w:val="center"/>
          </w:tcPr>
          <w:p w14:paraId="7F2346BE">
            <w:pPr>
              <w:pageBreakBefore w:val="0"/>
              <w:kinsoku/>
              <w:wordWrap/>
              <w:overflowPunct/>
              <w:topLinePunct w:val="0"/>
              <w:bidi w:val="0"/>
              <w:spacing w:line="48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5A124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52" w:hRule="atLeast"/>
        </w:trPr>
        <w:tc>
          <w:tcPr>
            <w:tcW w:w="801" w:type="dxa"/>
            <w:tcBorders>
              <w:left w:val="single" w:color="auto" w:sz="4" w:space="0"/>
            </w:tcBorders>
            <w:noWrap w:val="0"/>
            <w:vAlign w:val="center"/>
          </w:tcPr>
          <w:p w14:paraId="018317B0">
            <w:pPr>
              <w:pageBreakBefore w:val="0"/>
              <w:kinsoku/>
              <w:wordWrap/>
              <w:overflowPunct/>
              <w:topLinePunct w:val="0"/>
              <w:bidi w:val="0"/>
              <w:spacing w:line="48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633" w:type="dxa"/>
            <w:noWrap w:val="0"/>
            <w:vAlign w:val="center"/>
          </w:tcPr>
          <w:p w14:paraId="0EDA63C6">
            <w:pPr>
              <w:pageBreakBefore w:val="0"/>
              <w:kinsoku/>
              <w:wordWrap/>
              <w:overflowPunct/>
              <w:topLinePunct w:val="0"/>
              <w:bidi w:val="0"/>
              <w:spacing w:line="48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14:paraId="5D87CCD5">
      <w:pPr>
        <w:pStyle w:val="7"/>
        <w:snapToGrid w:val="0"/>
        <w:ind w:firstLine="0"/>
        <w:textAlignment w:val="baseline"/>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sectPr>
      <w:pgSz w:w="11906" w:h="16838"/>
      <w:pgMar w:top="1440" w:right="1080" w:bottom="1440" w:left="1080" w:header="454"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203" w:usb1="288F0000" w:usb2="00000006" w:usb3="00000000" w:csb0="00040001" w:csb1="00000000"/>
  </w:font>
  <w:font w:name="方正小标宋_GBK">
    <w:panose1 w:val="02000000000000000000"/>
    <w:charset w:val="86"/>
    <w:family w:val="auto"/>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 w:name="Noto Sans SC">
    <w:altName w:val="宋体"/>
    <w:panose1 w:val="020B0200000000000000"/>
    <w:charset w:val="86"/>
    <w:family w:val="auto"/>
    <w:pitch w:val="default"/>
    <w:sig w:usb0="00000000" w:usb1="00000000" w:usb2="00000016" w:usb3="00000000" w:csb0="60060107"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AFF64">
    <w:pPr>
      <w:pStyle w:val="2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2C345">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2A2C345">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A24E5">
    <w:pPr>
      <w:pStyle w:val="22"/>
      <w:bidi w:val="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D6761">
                          <w:pPr>
                            <w:pStyle w:val="2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ACD6761">
                    <w:pPr>
                      <w:pStyle w:val="2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7443E">
    <w:pPr>
      <w:pStyle w:val="22"/>
      <w:rPr>
        <w:rFonts w:hint="eastAsia"/>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C675F">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5AC675F">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230F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08FA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D1294">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CA5ED">
    <w:pPr>
      <w:pStyle w:val="23"/>
    </w:pPr>
    <w:r>
      <w:rPr>
        <w:sz w:val="18"/>
      </w:rPr>
      <mc:AlternateContent>
        <mc:Choice Requires="wps">
          <w:drawing>
            <wp:anchor distT="0" distB="0" distL="114300" distR="114300" simplePos="0" relativeHeight="251661312" behindDoc="1" locked="0" layoutInCell="1" allowOverlap="1">
              <wp:simplePos x="0" y="0"/>
              <wp:positionH relativeFrom="column">
                <wp:posOffset>127635</wp:posOffset>
              </wp:positionH>
              <wp:positionV relativeFrom="paragraph">
                <wp:posOffset>-34925</wp:posOffset>
              </wp:positionV>
              <wp:extent cx="2626360" cy="539750"/>
              <wp:effectExtent l="0" t="0" r="10160" b="8890"/>
              <wp:wrapNone/>
              <wp:docPr id="2" name="文本框 2"/>
              <wp:cNvGraphicFramePr/>
              <a:graphic xmlns:a="http://schemas.openxmlformats.org/drawingml/2006/main">
                <a:graphicData uri="http://schemas.microsoft.com/office/word/2010/wordprocessingShape">
                  <wps:wsp>
                    <wps:cNvSpPr txBox="1"/>
                    <wps:spPr>
                      <a:xfrm>
                        <a:off x="813435" y="253365"/>
                        <a:ext cx="2626360" cy="539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760B78A">
                          <w:pPr>
                            <w:adjustRightInd w:val="0"/>
                            <w:snapToGrid w:val="0"/>
                            <w:spacing w:line="400" w:lineRule="exact"/>
                            <w:rPr>
                              <w:rFonts w:cs="微软雅黑"/>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5pt;margin-top:-2.75pt;height:42.5pt;width:206.8pt;z-index:-251655168;mso-width-relative:page;mso-height-relative:page;" fillcolor="#FFFFFF [3201]" filled="t" stroked="f" coordsize="21600,21600" o:gfxdata="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ez17nV&#10;AAAACAEAAA8AAAAAAAAAAQAgAAAAIgAAAGRycy9kb3ducmV2LnhtbFBLAQIUABQAAAAIAIdO4kAP&#10;QglKXAIAAJkEAAAOAAAAAAAAAAEAIAAAACQBAABkcnMvZTJvRG9jLnhtbFBLBQYAAAAABgAGAFkB&#10;AADyBQAAAAA=&#10;">
              <v:fill on="t" focussize="0,0"/>
              <v:stroke on="f" weight="0.5pt"/>
              <v:imagedata o:title=""/>
              <o:lock v:ext="edit" aspectratio="f"/>
              <v:textbox>
                <w:txbxContent>
                  <w:p w14:paraId="0760B78A">
                    <w:pPr>
                      <w:adjustRightInd w:val="0"/>
                      <w:snapToGrid w:val="0"/>
                      <w:spacing w:line="400" w:lineRule="exact"/>
                      <w:rPr>
                        <w:rFonts w:cs="微软雅黑"/>
                        <w:sz w:val="28"/>
                        <w:szCs w:val="28"/>
                      </w:rPr>
                    </w:pPr>
                  </w:p>
                </w:txbxContent>
              </v:textbox>
            </v:shape>
          </w:pict>
        </mc:Fallback>
      </mc:AlternateContent>
    </w:r>
  </w:p>
  <w:p w14:paraId="75F99406">
    <w:pPr>
      <w:pStyle w:val="23"/>
      <w:rPr>
        <w:rFonts w:hint="default"/>
        <w:lang w:val="en-US" w:eastAsia="zh-CN"/>
      </w:rPr>
    </w:pPr>
  </w:p>
  <w:p w14:paraId="43BC4BF5">
    <w:pPr>
      <w:pStyle w:val="23"/>
      <w:jc w:val="both"/>
      <w:rPr>
        <w:rFonts w:hint="default"/>
        <w:lang w:val="en-US" w:eastAsia="zh-CN"/>
      </w:rPr>
    </w:pPr>
  </w:p>
  <w:p w14:paraId="1A9F80C7">
    <w:pPr>
      <w:pStyle w:val="23"/>
      <w:rPr>
        <w:rFonts w:hint="default"/>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59CF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20F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9C03CD"/>
    <w:multiLevelType w:val="singleLevel"/>
    <w:tmpl w:val="C69C03CD"/>
    <w:lvl w:ilvl="0" w:tentative="0">
      <w:start w:val="6"/>
      <w:numFmt w:val="chineseCounting"/>
      <w:suff w:val="nothing"/>
      <w:lvlText w:val="%1、"/>
      <w:lvlJc w:val="left"/>
      <w:rPr>
        <w:rFonts w:hint="eastAsia"/>
      </w:rPr>
    </w:lvl>
  </w:abstractNum>
  <w:abstractNum w:abstractNumId="1">
    <w:nsid w:val="D947352A"/>
    <w:multiLevelType w:val="multilevel"/>
    <w:tmpl w:val="D947352A"/>
    <w:lvl w:ilvl="0" w:tentative="0">
      <w:start w:val="5"/>
      <w:numFmt w:val="chineseCounting"/>
      <w:suff w:val="space"/>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E3A57279"/>
    <w:multiLevelType w:val="singleLevel"/>
    <w:tmpl w:val="E3A57279"/>
    <w:lvl w:ilvl="0" w:tentative="0">
      <w:start w:val="2"/>
      <w:numFmt w:val="decimal"/>
      <w:suff w:val="space"/>
      <w:lvlText w:val="%1."/>
      <w:lvlJc w:val="left"/>
    </w:lvl>
  </w:abstractNum>
  <w:abstractNum w:abstractNumId="3">
    <w:nsid w:val="24D4B6B9"/>
    <w:multiLevelType w:val="singleLevel"/>
    <w:tmpl w:val="24D4B6B9"/>
    <w:lvl w:ilvl="0" w:tentative="0">
      <w:start w:val="17"/>
      <w:numFmt w:val="decimal"/>
      <w:lvlText w:val="%1."/>
      <w:lvlJc w:val="left"/>
      <w:pPr>
        <w:tabs>
          <w:tab w:val="left" w:pos="312"/>
        </w:tabs>
      </w:pPr>
    </w:lvl>
  </w:abstractNum>
  <w:abstractNum w:abstractNumId="4">
    <w:nsid w:val="4046F947"/>
    <w:multiLevelType w:val="singleLevel"/>
    <w:tmpl w:val="4046F947"/>
    <w:lvl w:ilvl="0" w:tentative="0">
      <w:start w:val="2"/>
      <w:numFmt w:val="decimal"/>
      <w:suff w:val="nothing"/>
      <w:lvlText w:val="%1、"/>
      <w:lvlJc w:val="left"/>
      <w:pPr>
        <w:ind w:left="360" w:leftChars="0" w:firstLine="0" w:firstLineChars="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04336"/>
    <w:rsid w:val="01BB71A5"/>
    <w:rsid w:val="035A5008"/>
    <w:rsid w:val="03C5653F"/>
    <w:rsid w:val="03C57902"/>
    <w:rsid w:val="03EC05ED"/>
    <w:rsid w:val="06AB60C8"/>
    <w:rsid w:val="073836D3"/>
    <w:rsid w:val="07944DAE"/>
    <w:rsid w:val="07BA52B7"/>
    <w:rsid w:val="07EA4AB8"/>
    <w:rsid w:val="086F1377"/>
    <w:rsid w:val="08A059D4"/>
    <w:rsid w:val="092263E9"/>
    <w:rsid w:val="09F47D86"/>
    <w:rsid w:val="0A8C6765"/>
    <w:rsid w:val="0D307327"/>
    <w:rsid w:val="0E455941"/>
    <w:rsid w:val="0E7776C5"/>
    <w:rsid w:val="0F772699"/>
    <w:rsid w:val="11CD120E"/>
    <w:rsid w:val="12747CB6"/>
    <w:rsid w:val="12C8403E"/>
    <w:rsid w:val="137B32C6"/>
    <w:rsid w:val="14B62F41"/>
    <w:rsid w:val="16D7151A"/>
    <w:rsid w:val="16D74CB7"/>
    <w:rsid w:val="17A62A94"/>
    <w:rsid w:val="19616ABA"/>
    <w:rsid w:val="1A18186E"/>
    <w:rsid w:val="1B32070E"/>
    <w:rsid w:val="1B970EB9"/>
    <w:rsid w:val="1D526E45"/>
    <w:rsid w:val="1EAC07D7"/>
    <w:rsid w:val="1F5F1B37"/>
    <w:rsid w:val="216E3CF7"/>
    <w:rsid w:val="217D645B"/>
    <w:rsid w:val="21B44FFF"/>
    <w:rsid w:val="22342FBD"/>
    <w:rsid w:val="22857741"/>
    <w:rsid w:val="245D44B2"/>
    <w:rsid w:val="258649C4"/>
    <w:rsid w:val="25E35426"/>
    <w:rsid w:val="26971D6D"/>
    <w:rsid w:val="27897907"/>
    <w:rsid w:val="2B8E596F"/>
    <w:rsid w:val="2C595A99"/>
    <w:rsid w:val="2ECB2EFB"/>
    <w:rsid w:val="2F234AE5"/>
    <w:rsid w:val="2F810E4D"/>
    <w:rsid w:val="34EB30DF"/>
    <w:rsid w:val="358F3CB3"/>
    <w:rsid w:val="37572CE2"/>
    <w:rsid w:val="38ED3A6E"/>
    <w:rsid w:val="3A353ECC"/>
    <w:rsid w:val="3A5A27F6"/>
    <w:rsid w:val="3B635309"/>
    <w:rsid w:val="404843AC"/>
    <w:rsid w:val="40A8309D"/>
    <w:rsid w:val="418331C2"/>
    <w:rsid w:val="42DC165D"/>
    <w:rsid w:val="4388587A"/>
    <w:rsid w:val="45806396"/>
    <w:rsid w:val="460B72F8"/>
    <w:rsid w:val="46D92C4C"/>
    <w:rsid w:val="4808434A"/>
    <w:rsid w:val="480C6FC0"/>
    <w:rsid w:val="483F42E6"/>
    <w:rsid w:val="49AF6E23"/>
    <w:rsid w:val="4D072EF9"/>
    <w:rsid w:val="4F134B86"/>
    <w:rsid w:val="51447C91"/>
    <w:rsid w:val="515661FD"/>
    <w:rsid w:val="52860D64"/>
    <w:rsid w:val="559B2D78"/>
    <w:rsid w:val="55BB1503"/>
    <w:rsid w:val="55BF5F7B"/>
    <w:rsid w:val="57945CD1"/>
    <w:rsid w:val="59124AB2"/>
    <w:rsid w:val="593864D3"/>
    <w:rsid w:val="59F91E1B"/>
    <w:rsid w:val="5D446E1D"/>
    <w:rsid w:val="5E3217E4"/>
    <w:rsid w:val="6029074F"/>
    <w:rsid w:val="616E1341"/>
    <w:rsid w:val="61FB4B7D"/>
    <w:rsid w:val="62922E0D"/>
    <w:rsid w:val="63862F6A"/>
    <w:rsid w:val="645354E7"/>
    <w:rsid w:val="66430FEE"/>
    <w:rsid w:val="67B53871"/>
    <w:rsid w:val="67E1083D"/>
    <w:rsid w:val="681730FA"/>
    <w:rsid w:val="68E72104"/>
    <w:rsid w:val="69A973BA"/>
    <w:rsid w:val="69F50532"/>
    <w:rsid w:val="6AC8615A"/>
    <w:rsid w:val="6AD95A7D"/>
    <w:rsid w:val="6C6015EC"/>
    <w:rsid w:val="6E6E472E"/>
    <w:rsid w:val="6E7D58AE"/>
    <w:rsid w:val="6F1C779D"/>
    <w:rsid w:val="6F783DF3"/>
    <w:rsid w:val="70491A33"/>
    <w:rsid w:val="729D3834"/>
    <w:rsid w:val="74443994"/>
    <w:rsid w:val="75EF43A6"/>
    <w:rsid w:val="76A038F3"/>
    <w:rsid w:val="77F143B6"/>
    <w:rsid w:val="78397F08"/>
    <w:rsid w:val="789409B6"/>
    <w:rsid w:val="79053EE1"/>
    <w:rsid w:val="79A27982"/>
    <w:rsid w:val="7A010B4C"/>
    <w:rsid w:val="7CE81B50"/>
    <w:rsid w:val="7D2A660C"/>
    <w:rsid w:val="7E013EC6"/>
    <w:rsid w:val="7EC10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5"/>
    <w:autoRedefine/>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72"/>
    <w:autoRedefine/>
    <w:unhideWhenUsed/>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84"/>
    <w:autoRedefine/>
    <w:unhideWhenUsed/>
    <w:qFormat/>
    <w:uiPriority w:val="9"/>
    <w:pPr>
      <w:keepNext/>
      <w:keepLines/>
      <w:autoSpaceDE w:val="0"/>
      <w:autoSpaceDN w:val="0"/>
      <w:adjustRightInd w:val="0"/>
      <w:spacing w:before="360" w:after="120"/>
      <w:jc w:val="center"/>
      <w:outlineLvl w:val="2"/>
    </w:pPr>
    <w:rPr>
      <w:rFonts w:ascii="宋体" w:hAnsi="宋体" w:eastAsia="宋体"/>
      <w:b/>
      <w:kern w:val="0"/>
      <w:sz w:val="24"/>
      <w:szCs w:val="20"/>
      <w:u w:val="single"/>
    </w:rPr>
  </w:style>
  <w:style w:type="paragraph" w:styleId="5">
    <w:name w:val="heading 4"/>
    <w:basedOn w:val="1"/>
    <w:next w:val="1"/>
    <w:autoRedefine/>
    <w:semiHidden/>
    <w:unhideWhenUsed/>
    <w:qFormat/>
    <w:uiPriority w:val="9"/>
    <w:pPr>
      <w:keepNext/>
      <w:keepLines/>
      <w:spacing w:before="260" w:after="260"/>
      <w:ind w:firstLine="482" w:firstLineChars="200"/>
      <w:jc w:val="left"/>
      <w:outlineLvl w:val="3"/>
    </w:pPr>
    <w:rPr>
      <w:rFonts w:ascii="Arial" w:hAnsi="Arial"/>
      <w:b/>
      <w:sz w:val="18"/>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39"/>
    <w:pPr>
      <w:ind w:left="2520" w:leftChars="1200"/>
    </w:pPr>
  </w:style>
  <w:style w:type="paragraph" w:styleId="7">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8">
    <w:name w:val="Document Map"/>
    <w:basedOn w:val="1"/>
    <w:link w:val="76"/>
    <w:autoRedefine/>
    <w:qFormat/>
    <w:uiPriority w:val="0"/>
    <w:rPr>
      <w:rFonts w:ascii="宋体"/>
      <w:sz w:val="18"/>
      <w:szCs w:val="18"/>
    </w:rPr>
  </w:style>
  <w:style w:type="paragraph" w:styleId="9">
    <w:name w:val="toa heading"/>
    <w:basedOn w:val="1"/>
    <w:next w:val="1"/>
    <w:autoRedefine/>
    <w:qFormat/>
    <w:uiPriority w:val="0"/>
    <w:pPr>
      <w:spacing w:before="120"/>
    </w:pPr>
    <w:rPr>
      <w:rFonts w:ascii="Cambria" w:hAnsi="Cambria"/>
      <w:sz w:val="24"/>
    </w:rPr>
  </w:style>
  <w:style w:type="paragraph" w:styleId="10">
    <w:name w:val="annotation text"/>
    <w:basedOn w:val="1"/>
    <w:link w:val="82"/>
    <w:autoRedefine/>
    <w:qFormat/>
    <w:uiPriority w:val="99"/>
    <w:pPr>
      <w:jc w:val="left"/>
    </w:pPr>
  </w:style>
  <w:style w:type="paragraph" w:styleId="11">
    <w:name w:val="Body Text"/>
    <w:basedOn w:val="1"/>
    <w:link w:val="81"/>
    <w:autoRedefine/>
    <w:qFormat/>
    <w:uiPriority w:val="0"/>
    <w:pPr>
      <w:tabs>
        <w:tab w:val="left" w:pos="567"/>
      </w:tabs>
      <w:spacing w:before="120" w:line="22" w:lineRule="atLeast"/>
    </w:pPr>
    <w:rPr>
      <w:rFonts w:ascii="宋体" w:hAnsi="宋体"/>
      <w:sz w:val="24"/>
    </w:rPr>
  </w:style>
  <w:style w:type="paragraph" w:styleId="12">
    <w:name w:val="Body Text Indent"/>
    <w:basedOn w:val="1"/>
    <w:next w:val="1"/>
    <w:autoRedefine/>
    <w:qFormat/>
    <w:uiPriority w:val="0"/>
    <w:pPr>
      <w:spacing w:line="360" w:lineRule="auto"/>
      <w:ind w:firstLine="570"/>
    </w:pPr>
    <w:rPr>
      <w:sz w:val="24"/>
    </w:rPr>
  </w:style>
  <w:style w:type="paragraph" w:styleId="13">
    <w:name w:val="Block Text"/>
    <w:basedOn w:val="1"/>
    <w:autoRedefine/>
    <w:qFormat/>
    <w:uiPriority w:val="99"/>
    <w:pPr>
      <w:spacing w:after="120"/>
      <w:ind w:left="1440" w:leftChars="700" w:right="1440" w:rightChars="700"/>
    </w:pPr>
  </w:style>
  <w:style w:type="paragraph" w:styleId="14">
    <w:name w:val="toc 5"/>
    <w:basedOn w:val="1"/>
    <w:next w:val="1"/>
    <w:autoRedefine/>
    <w:qFormat/>
    <w:uiPriority w:val="39"/>
    <w:pPr>
      <w:ind w:left="1680" w:leftChars="800"/>
    </w:pPr>
  </w:style>
  <w:style w:type="paragraph" w:styleId="15">
    <w:name w:val="toc 3"/>
    <w:basedOn w:val="1"/>
    <w:next w:val="1"/>
    <w:autoRedefine/>
    <w:qFormat/>
    <w:uiPriority w:val="39"/>
    <w:pPr>
      <w:tabs>
        <w:tab w:val="left" w:pos="1260"/>
        <w:tab w:val="right" w:leader="dot" w:pos="8630"/>
      </w:tabs>
      <w:ind w:left="840" w:leftChars="400"/>
    </w:pPr>
  </w:style>
  <w:style w:type="paragraph" w:styleId="16">
    <w:name w:val="Plain Text"/>
    <w:basedOn w:val="1"/>
    <w:next w:val="17"/>
    <w:link w:val="80"/>
    <w:autoRedefine/>
    <w:qFormat/>
    <w:uiPriority w:val="0"/>
    <w:rPr>
      <w:rFonts w:ascii="宋体" w:hAnsi="Courier New"/>
      <w:szCs w:val="20"/>
    </w:rPr>
  </w:style>
  <w:style w:type="paragraph" w:styleId="17">
    <w:name w:val="index 7"/>
    <w:basedOn w:val="1"/>
    <w:next w:val="1"/>
    <w:autoRedefine/>
    <w:qFormat/>
    <w:uiPriority w:val="0"/>
    <w:pPr>
      <w:autoSpaceDE/>
      <w:autoSpaceDN/>
      <w:adjustRightInd/>
      <w:ind w:left="1200" w:leftChars="1200"/>
    </w:pPr>
    <w:rPr>
      <w:color w:val="auto"/>
      <w:kern w:val="2"/>
      <w:szCs w:val="24"/>
    </w:rPr>
  </w:style>
  <w:style w:type="paragraph" w:styleId="18">
    <w:name w:val="toc 8"/>
    <w:basedOn w:val="1"/>
    <w:next w:val="1"/>
    <w:autoRedefine/>
    <w:qFormat/>
    <w:uiPriority w:val="39"/>
    <w:pPr>
      <w:ind w:left="2940" w:leftChars="1400"/>
    </w:pPr>
  </w:style>
  <w:style w:type="paragraph" w:styleId="19">
    <w:name w:val="Date"/>
    <w:basedOn w:val="1"/>
    <w:next w:val="1"/>
    <w:link w:val="77"/>
    <w:autoRedefine/>
    <w:qFormat/>
    <w:uiPriority w:val="0"/>
    <w:pPr>
      <w:ind w:left="100" w:leftChars="2500"/>
    </w:pPr>
    <w:rPr>
      <w:rFonts w:ascii="仿宋_GB2312" w:hAnsi="宋体" w:eastAsia="仿宋_GB2312"/>
      <w:color w:val="000000"/>
      <w:sz w:val="24"/>
    </w:rPr>
  </w:style>
  <w:style w:type="paragraph" w:styleId="20">
    <w:name w:val="Body Text Indent 2"/>
    <w:basedOn w:val="1"/>
    <w:autoRedefine/>
    <w:qFormat/>
    <w:uiPriority w:val="0"/>
    <w:pPr>
      <w:ind w:firstLine="480" w:firstLineChars="200"/>
    </w:pPr>
    <w:rPr>
      <w:rFonts w:ascii="仿宋_GB2312" w:eastAsia="仿宋_GB2312"/>
      <w:sz w:val="24"/>
    </w:rPr>
  </w:style>
  <w:style w:type="paragraph" w:styleId="21">
    <w:name w:val="Balloon Text"/>
    <w:basedOn w:val="1"/>
    <w:link w:val="73"/>
    <w:autoRedefine/>
    <w:qFormat/>
    <w:uiPriority w:val="0"/>
    <w:rPr>
      <w:sz w:val="18"/>
      <w:szCs w:val="18"/>
    </w:rPr>
  </w:style>
  <w:style w:type="paragraph" w:styleId="22">
    <w:name w:val="footer"/>
    <w:basedOn w:val="1"/>
    <w:link w:val="70"/>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3">
    <w:name w:val="header"/>
    <w:basedOn w:val="1"/>
    <w:link w:val="67"/>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style>
  <w:style w:type="paragraph" w:styleId="25">
    <w:name w:val="toc 4"/>
    <w:basedOn w:val="1"/>
    <w:next w:val="1"/>
    <w:autoRedefine/>
    <w:qFormat/>
    <w:uiPriority w:val="39"/>
    <w:pPr>
      <w:ind w:left="1260" w:leftChars="600"/>
    </w:pPr>
  </w:style>
  <w:style w:type="paragraph" w:styleId="26">
    <w:name w:val="footnote text"/>
    <w:basedOn w:val="1"/>
    <w:next w:val="11"/>
    <w:autoRedefine/>
    <w:qFormat/>
    <w:uiPriority w:val="0"/>
    <w:pPr>
      <w:snapToGrid w:val="0"/>
      <w:jc w:val="left"/>
    </w:pPr>
    <w:rPr>
      <w:sz w:val="18"/>
    </w:rPr>
  </w:style>
  <w:style w:type="paragraph" w:styleId="27">
    <w:name w:val="toc 6"/>
    <w:basedOn w:val="1"/>
    <w:next w:val="1"/>
    <w:autoRedefine/>
    <w:qFormat/>
    <w:uiPriority w:val="39"/>
    <w:pPr>
      <w:ind w:left="2100" w:leftChars="1000"/>
    </w:pPr>
  </w:style>
  <w:style w:type="paragraph" w:styleId="28">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9">
    <w:name w:val="toc 2"/>
    <w:basedOn w:val="1"/>
    <w:next w:val="1"/>
    <w:autoRedefine/>
    <w:qFormat/>
    <w:uiPriority w:val="39"/>
    <w:pPr>
      <w:ind w:left="420" w:leftChars="200"/>
    </w:pPr>
  </w:style>
  <w:style w:type="paragraph" w:styleId="30">
    <w:name w:val="toc 9"/>
    <w:basedOn w:val="1"/>
    <w:next w:val="1"/>
    <w:autoRedefine/>
    <w:qFormat/>
    <w:uiPriority w:val="39"/>
    <w:pPr>
      <w:ind w:left="3360" w:leftChars="1600"/>
    </w:pPr>
  </w:style>
  <w:style w:type="paragraph" w:styleId="31">
    <w:name w:val="Normal (Web)"/>
    <w:basedOn w:val="1"/>
    <w:autoRedefine/>
    <w:qFormat/>
    <w:uiPriority w:val="99"/>
    <w:pPr>
      <w:spacing w:before="75" w:after="75"/>
      <w:jc w:val="left"/>
    </w:pPr>
    <w:rPr>
      <w:kern w:val="0"/>
      <w:sz w:val="24"/>
    </w:rPr>
  </w:style>
  <w:style w:type="paragraph" w:styleId="32">
    <w:name w:val="index 1"/>
    <w:basedOn w:val="1"/>
    <w:next w:val="1"/>
    <w:autoRedefine/>
    <w:qFormat/>
    <w:uiPriority w:val="0"/>
    <w:rPr>
      <w:szCs w:val="20"/>
    </w:rPr>
  </w:style>
  <w:style w:type="paragraph" w:styleId="33">
    <w:name w:val="Title"/>
    <w:basedOn w:val="1"/>
    <w:next w:val="1"/>
    <w:qFormat/>
    <w:uiPriority w:val="0"/>
    <w:pPr>
      <w:spacing w:before="240" w:after="60"/>
      <w:jc w:val="center"/>
      <w:outlineLvl w:val="0"/>
    </w:pPr>
    <w:rPr>
      <w:rFonts w:ascii="Cambria" w:hAnsi="Cambria"/>
      <w:b/>
      <w:bCs/>
      <w:sz w:val="32"/>
      <w:szCs w:val="32"/>
    </w:rPr>
  </w:style>
  <w:style w:type="paragraph" w:styleId="34">
    <w:name w:val="annotation subject"/>
    <w:basedOn w:val="10"/>
    <w:next w:val="10"/>
    <w:link w:val="83"/>
    <w:autoRedefine/>
    <w:qFormat/>
    <w:uiPriority w:val="0"/>
    <w:rPr>
      <w:b/>
      <w:bCs/>
    </w:rPr>
  </w:style>
  <w:style w:type="paragraph" w:styleId="35">
    <w:name w:val="Body Text First Indent"/>
    <w:basedOn w:val="11"/>
    <w:next w:val="36"/>
    <w:autoRedefine/>
    <w:qFormat/>
    <w:uiPriority w:val="0"/>
    <w:pPr>
      <w:ind w:firstLine="420" w:firstLineChars="100"/>
    </w:pPr>
  </w:style>
  <w:style w:type="paragraph" w:styleId="36">
    <w:name w:val="Body Text First Indent 2"/>
    <w:basedOn w:val="1"/>
    <w:next w:val="1"/>
    <w:autoRedefine/>
    <w:qFormat/>
    <w:uiPriority w:val="0"/>
    <w:pPr>
      <w:ind w:firstLine="420" w:firstLineChars="200"/>
    </w:p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autoRedefine/>
    <w:qFormat/>
    <w:uiPriority w:val="0"/>
    <w:rPr>
      <w:b/>
      <w:bCs/>
    </w:rPr>
  </w:style>
  <w:style w:type="character" w:styleId="41">
    <w:name w:val="page number"/>
    <w:basedOn w:val="39"/>
    <w:autoRedefine/>
    <w:qFormat/>
    <w:uiPriority w:val="0"/>
  </w:style>
  <w:style w:type="character" w:styleId="42">
    <w:name w:val="FollowedHyperlink"/>
    <w:basedOn w:val="39"/>
    <w:semiHidden/>
    <w:unhideWhenUsed/>
    <w:qFormat/>
    <w:uiPriority w:val="99"/>
    <w:rPr>
      <w:rFonts w:hint="eastAsia" w:ascii="微软雅黑" w:hAnsi="微软雅黑" w:eastAsia="微软雅黑" w:cs="微软雅黑"/>
      <w:color w:val="800080"/>
      <w:sz w:val="16"/>
      <w:szCs w:val="16"/>
      <w:u w:val="none"/>
    </w:rPr>
  </w:style>
  <w:style w:type="character" w:styleId="43">
    <w:name w:val="Emphasis"/>
    <w:basedOn w:val="39"/>
    <w:autoRedefine/>
    <w:qFormat/>
    <w:uiPriority w:val="20"/>
    <w:rPr>
      <w:i/>
    </w:rPr>
  </w:style>
  <w:style w:type="character" w:styleId="44">
    <w:name w:val="Hyperlink"/>
    <w:autoRedefine/>
    <w:qFormat/>
    <w:uiPriority w:val="99"/>
    <w:rPr>
      <w:color w:val="0000FF"/>
      <w:u w:val="single"/>
    </w:rPr>
  </w:style>
  <w:style w:type="character" w:styleId="45">
    <w:name w:val="annotation reference"/>
    <w:autoRedefine/>
    <w:qFormat/>
    <w:uiPriority w:val="99"/>
    <w:rPr>
      <w:sz w:val="21"/>
      <w:szCs w:val="21"/>
    </w:rPr>
  </w:style>
  <w:style w:type="character" w:styleId="46">
    <w:name w:val="HTML Sample"/>
    <w:basedOn w:val="39"/>
    <w:autoRedefine/>
    <w:semiHidden/>
    <w:unhideWhenUsed/>
    <w:qFormat/>
    <w:uiPriority w:val="99"/>
    <w:rPr>
      <w:rFonts w:ascii="Courier New" w:hAnsi="Courier New"/>
    </w:rPr>
  </w:style>
  <w:style w:type="paragraph" w:customStyle="1" w:styleId="47">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8">
    <w:name w:val="索引 11"/>
    <w:basedOn w:val="1"/>
    <w:next w:val="1"/>
    <w:autoRedefine/>
    <w:qFormat/>
    <w:uiPriority w:val="0"/>
    <w:pPr>
      <w:spacing w:line="360" w:lineRule="auto"/>
    </w:pPr>
    <w:rPr>
      <w:rFonts w:ascii="仿宋_GB2312" w:eastAsia="仿宋_GB2312"/>
      <w:sz w:val="24"/>
      <w:szCs w:val="20"/>
    </w:rPr>
  </w:style>
  <w:style w:type="paragraph" w:customStyle="1" w:styleId="49">
    <w:name w:val="列出段落1"/>
    <w:basedOn w:val="1"/>
    <w:autoRedefine/>
    <w:qFormat/>
    <w:uiPriority w:val="34"/>
    <w:pPr>
      <w:widowControl/>
      <w:ind w:firstLine="420" w:firstLineChars="200"/>
      <w:jc w:val="left"/>
    </w:pPr>
    <w:rPr>
      <w:kern w:val="0"/>
      <w:sz w:val="24"/>
    </w:rPr>
  </w:style>
  <w:style w:type="paragraph" w:customStyle="1" w:styleId="50">
    <w:name w:val="列出段落11"/>
    <w:basedOn w:val="1"/>
    <w:next w:val="49"/>
    <w:autoRedefine/>
    <w:qFormat/>
    <w:uiPriority w:val="34"/>
    <w:pPr>
      <w:widowControl/>
      <w:ind w:firstLine="420" w:firstLineChars="200"/>
      <w:jc w:val="left"/>
    </w:pPr>
    <w:rPr>
      <w:rFonts w:ascii="宋体" w:hAnsi="宋体" w:cs="宋体"/>
      <w:kern w:val="0"/>
      <w:sz w:val="24"/>
    </w:rPr>
  </w:style>
  <w:style w:type="paragraph" w:customStyle="1" w:styleId="51">
    <w:name w:val="List Paragraph1"/>
    <w:basedOn w:val="1"/>
    <w:autoRedefine/>
    <w:qFormat/>
    <w:uiPriority w:val="34"/>
    <w:pPr>
      <w:ind w:firstLine="420" w:firstLineChars="200"/>
    </w:pPr>
  </w:style>
  <w:style w:type="paragraph" w:customStyle="1" w:styleId="52">
    <w:name w:val="Table Paragraph"/>
    <w:basedOn w:val="1"/>
    <w:autoRedefine/>
    <w:qFormat/>
    <w:uiPriority w:val="1"/>
    <w:pPr>
      <w:widowControl/>
      <w:jc w:val="left"/>
    </w:pPr>
    <w:rPr>
      <w:rFonts w:ascii="宋体" w:hAnsi="宋体" w:cs="宋体"/>
      <w:kern w:val="0"/>
      <w:szCs w:val="20"/>
      <w:lang w:val="zh-CN" w:bidi="zh-CN"/>
    </w:rPr>
  </w:style>
  <w:style w:type="paragraph" w:customStyle="1" w:styleId="53">
    <w:name w:val="p0"/>
    <w:basedOn w:val="1"/>
    <w:autoRedefine/>
    <w:qFormat/>
    <w:uiPriority w:val="0"/>
    <w:pPr>
      <w:widowControl/>
    </w:pPr>
    <w:rPr>
      <w:kern w:val="0"/>
      <w:szCs w:val="21"/>
    </w:rPr>
  </w:style>
  <w:style w:type="paragraph" w:customStyle="1" w:styleId="54">
    <w:name w:val="图例"/>
    <w:basedOn w:val="1"/>
    <w:autoRedefine/>
    <w:qFormat/>
    <w:uiPriority w:val="0"/>
    <w:pPr>
      <w:spacing w:before="120" w:after="120" w:line="360" w:lineRule="auto"/>
      <w:jc w:val="center"/>
    </w:pPr>
    <w:rPr>
      <w:rFonts w:eastAsia="仿宋_GB2312"/>
      <w:b/>
      <w:sz w:val="24"/>
    </w:rPr>
  </w:style>
  <w:style w:type="paragraph" w:customStyle="1" w:styleId="55">
    <w:name w:val="Default"/>
    <w:autoRedefine/>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6">
    <w:name w:val="正文段"/>
    <w:basedOn w:val="1"/>
    <w:autoRedefine/>
    <w:qFormat/>
    <w:uiPriority w:val="0"/>
    <w:pPr>
      <w:widowControl/>
      <w:snapToGrid w:val="0"/>
      <w:spacing w:afterLines="50"/>
      <w:ind w:firstLine="200" w:firstLineChars="200"/>
    </w:pPr>
    <w:rPr>
      <w:kern w:val="0"/>
      <w:sz w:val="24"/>
    </w:rPr>
  </w:style>
  <w:style w:type="paragraph" w:customStyle="1" w:styleId="57">
    <w:name w:val="首行缩进"/>
    <w:basedOn w:val="1"/>
    <w:autoRedefine/>
    <w:qFormat/>
    <w:uiPriority w:val="0"/>
    <w:pPr>
      <w:ind w:firstLine="480" w:firstLineChars="200"/>
    </w:pPr>
    <w:rPr>
      <w:lang w:val="zh-CN"/>
    </w:rPr>
  </w:style>
  <w:style w:type="paragraph" w:customStyle="1" w:styleId="58">
    <w:name w:val="纯文本1"/>
    <w:basedOn w:val="1"/>
    <w:link w:val="74"/>
    <w:autoRedefine/>
    <w:qFormat/>
    <w:uiPriority w:val="0"/>
    <w:rPr>
      <w:rFonts w:ascii="宋体" w:hAnsi="Courier New"/>
      <w:kern w:val="0"/>
      <w:sz w:val="20"/>
      <w:szCs w:val="20"/>
    </w:rPr>
  </w:style>
  <w:style w:type="paragraph" w:customStyle="1" w:styleId="59">
    <w:name w:val="Char"/>
    <w:basedOn w:val="1"/>
    <w:autoRedefine/>
    <w:qFormat/>
    <w:uiPriority w:val="0"/>
    <w:pPr>
      <w:tabs>
        <w:tab w:val="left" w:pos="360"/>
      </w:tabs>
    </w:pPr>
    <w:rPr>
      <w:sz w:val="24"/>
    </w:rPr>
  </w:style>
  <w:style w:type="paragraph" w:customStyle="1" w:styleId="60">
    <w:name w:val="正文缩进1"/>
    <w:basedOn w:val="1"/>
    <w:link w:val="63"/>
    <w:autoRedefine/>
    <w:qFormat/>
    <w:uiPriority w:val="0"/>
    <w:pPr>
      <w:autoSpaceDE w:val="0"/>
      <w:autoSpaceDN w:val="0"/>
      <w:adjustRightInd w:val="0"/>
      <w:ind w:firstLine="420"/>
      <w:jc w:val="left"/>
    </w:pPr>
    <w:rPr>
      <w:rFonts w:ascii="宋体"/>
      <w:kern w:val="0"/>
      <w:sz w:val="24"/>
      <w:szCs w:val="20"/>
    </w:rPr>
  </w:style>
  <w:style w:type="paragraph" w:customStyle="1" w:styleId="61">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szCs w:val="20"/>
    </w:rPr>
  </w:style>
  <w:style w:type="character" w:customStyle="1" w:styleId="62">
    <w:name w:val="font91"/>
    <w:basedOn w:val="39"/>
    <w:autoRedefine/>
    <w:qFormat/>
    <w:uiPriority w:val="0"/>
    <w:rPr>
      <w:rFonts w:hint="eastAsia" w:ascii="宋体" w:hAnsi="宋体" w:eastAsia="宋体" w:cs="宋体"/>
      <w:color w:val="000000"/>
      <w:sz w:val="20"/>
      <w:szCs w:val="20"/>
      <w:u w:val="none"/>
      <w:vertAlign w:val="subscript"/>
    </w:rPr>
  </w:style>
  <w:style w:type="character" w:customStyle="1" w:styleId="63">
    <w:name w:val="正文缩进 Char1"/>
    <w:link w:val="60"/>
    <w:autoRedefine/>
    <w:qFormat/>
    <w:uiPriority w:val="0"/>
    <w:rPr>
      <w:rFonts w:ascii="宋体"/>
      <w:sz w:val="24"/>
    </w:rPr>
  </w:style>
  <w:style w:type="character" w:customStyle="1" w:styleId="64">
    <w:name w:val="批注主题 Char1"/>
    <w:autoRedefine/>
    <w:qFormat/>
    <w:uiPriority w:val="99"/>
    <w:rPr>
      <w:b/>
      <w:bCs/>
      <w:kern w:val="2"/>
      <w:sz w:val="21"/>
      <w:szCs w:val="24"/>
    </w:rPr>
  </w:style>
  <w:style w:type="character" w:customStyle="1" w:styleId="65">
    <w:name w:val="font31"/>
    <w:basedOn w:val="39"/>
    <w:autoRedefine/>
    <w:qFormat/>
    <w:uiPriority w:val="0"/>
    <w:rPr>
      <w:rFonts w:hint="eastAsia" w:ascii="宋体" w:hAnsi="宋体" w:eastAsia="宋体" w:cs="宋体"/>
      <w:color w:val="404040"/>
      <w:sz w:val="20"/>
      <w:szCs w:val="20"/>
      <w:u w:val="none"/>
    </w:rPr>
  </w:style>
  <w:style w:type="character" w:customStyle="1" w:styleId="66">
    <w:name w:val="font61"/>
    <w:basedOn w:val="39"/>
    <w:autoRedefine/>
    <w:qFormat/>
    <w:uiPriority w:val="0"/>
    <w:rPr>
      <w:rFonts w:hint="eastAsia" w:ascii="宋体" w:hAnsi="宋体" w:eastAsia="宋体" w:cs="宋体"/>
      <w:color w:val="333333"/>
      <w:sz w:val="20"/>
      <w:szCs w:val="20"/>
      <w:u w:val="none"/>
    </w:rPr>
  </w:style>
  <w:style w:type="character" w:customStyle="1" w:styleId="67">
    <w:name w:val="页眉 字符"/>
    <w:link w:val="23"/>
    <w:autoRedefine/>
    <w:qFormat/>
    <w:uiPriority w:val="99"/>
    <w:rPr>
      <w:kern w:val="2"/>
      <w:sz w:val="18"/>
      <w:szCs w:val="18"/>
    </w:rPr>
  </w:style>
  <w:style w:type="character" w:customStyle="1" w:styleId="68">
    <w:name w:val="批注文字 Char1"/>
    <w:autoRedefine/>
    <w:qFormat/>
    <w:uiPriority w:val="99"/>
    <w:rPr>
      <w:kern w:val="2"/>
      <w:sz w:val="21"/>
      <w:szCs w:val="24"/>
    </w:rPr>
  </w:style>
  <w:style w:type="character" w:customStyle="1" w:styleId="69">
    <w:name w:val="font41"/>
    <w:basedOn w:val="39"/>
    <w:autoRedefine/>
    <w:qFormat/>
    <w:uiPriority w:val="0"/>
    <w:rPr>
      <w:rFonts w:hint="eastAsia" w:ascii="宋体" w:hAnsi="宋体" w:eastAsia="宋体" w:cs="宋体"/>
      <w:color w:val="000000"/>
      <w:sz w:val="20"/>
      <w:szCs w:val="20"/>
      <w:u w:val="none"/>
    </w:rPr>
  </w:style>
  <w:style w:type="character" w:customStyle="1" w:styleId="70">
    <w:name w:val="页脚 字符"/>
    <w:link w:val="22"/>
    <w:autoRedefine/>
    <w:qFormat/>
    <w:uiPriority w:val="99"/>
    <w:rPr>
      <w:rFonts w:ascii="宋体"/>
      <w:sz w:val="18"/>
    </w:rPr>
  </w:style>
  <w:style w:type="character" w:customStyle="1" w:styleId="71">
    <w:name w:val="font101"/>
    <w:basedOn w:val="39"/>
    <w:autoRedefine/>
    <w:qFormat/>
    <w:uiPriority w:val="0"/>
    <w:rPr>
      <w:rFonts w:hint="eastAsia" w:ascii="宋体" w:hAnsi="宋体" w:eastAsia="宋体" w:cs="宋体"/>
      <w:color w:val="000000"/>
      <w:sz w:val="20"/>
      <w:szCs w:val="20"/>
      <w:u w:val="none"/>
    </w:rPr>
  </w:style>
  <w:style w:type="character" w:customStyle="1" w:styleId="72">
    <w:name w:val="标题 2 字符"/>
    <w:link w:val="3"/>
    <w:autoRedefine/>
    <w:qFormat/>
    <w:uiPriority w:val="0"/>
    <w:rPr>
      <w:rFonts w:ascii="Arial" w:hAnsi="Arial" w:eastAsia="黑体"/>
      <w:b/>
      <w:sz w:val="30"/>
    </w:rPr>
  </w:style>
  <w:style w:type="character" w:customStyle="1" w:styleId="73">
    <w:name w:val="批注框文本 字符"/>
    <w:link w:val="21"/>
    <w:autoRedefine/>
    <w:qFormat/>
    <w:uiPriority w:val="0"/>
    <w:rPr>
      <w:kern w:val="2"/>
      <w:sz w:val="18"/>
      <w:szCs w:val="18"/>
    </w:rPr>
  </w:style>
  <w:style w:type="character" w:customStyle="1" w:styleId="74">
    <w:name w:val="纯文本 Char1"/>
    <w:link w:val="58"/>
    <w:autoRedefine/>
    <w:qFormat/>
    <w:uiPriority w:val="0"/>
    <w:rPr>
      <w:rFonts w:ascii="宋体" w:hAnsi="Courier New"/>
    </w:rPr>
  </w:style>
  <w:style w:type="character" w:customStyle="1" w:styleId="75">
    <w:name w:val="font81"/>
    <w:basedOn w:val="39"/>
    <w:autoRedefine/>
    <w:qFormat/>
    <w:uiPriority w:val="0"/>
    <w:rPr>
      <w:rFonts w:hint="eastAsia" w:ascii="宋体" w:hAnsi="宋体" w:eastAsia="宋体" w:cs="宋体"/>
      <w:color w:val="404040"/>
      <w:sz w:val="20"/>
      <w:szCs w:val="20"/>
      <w:u w:val="none"/>
    </w:rPr>
  </w:style>
  <w:style w:type="character" w:customStyle="1" w:styleId="76">
    <w:name w:val="文档结构图 字符"/>
    <w:basedOn w:val="39"/>
    <w:link w:val="8"/>
    <w:autoRedefine/>
    <w:qFormat/>
    <w:uiPriority w:val="0"/>
    <w:rPr>
      <w:rFonts w:ascii="宋体"/>
      <w:kern w:val="2"/>
      <w:sz w:val="18"/>
      <w:szCs w:val="18"/>
    </w:rPr>
  </w:style>
  <w:style w:type="character" w:customStyle="1" w:styleId="77">
    <w:name w:val="日期 字符"/>
    <w:link w:val="19"/>
    <w:autoRedefine/>
    <w:qFormat/>
    <w:uiPriority w:val="0"/>
    <w:rPr>
      <w:rFonts w:ascii="仿宋_GB2312" w:hAnsi="宋体" w:eastAsia="仿宋_GB2312"/>
      <w:color w:val="000000"/>
      <w:kern w:val="2"/>
      <w:sz w:val="24"/>
      <w:szCs w:val="24"/>
    </w:rPr>
  </w:style>
  <w:style w:type="character" w:customStyle="1" w:styleId="78">
    <w:name w:val="页眉 Char1"/>
    <w:autoRedefine/>
    <w:qFormat/>
    <w:uiPriority w:val="99"/>
    <w:rPr>
      <w:kern w:val="2"/>
      <w:sz w:val="18"/>
      <w:szCs w:val="18"/>
    </w:rPr>
  </w:style>
  <w:style w:type="character" w:customStyle="1" w:styleId="79">
    <w:name w:val="批注框文本 Char1"/>
    <w:autoRedefine/>
    <w:qFormat/>
    <w:uiPriority w:val="99"/>
    <w:rPr>
      <w:kern w:val="2"/>
      <w:sz w:val="18"/>
      <w:szCs w:val="18"/>
    </w:rPr>
  </w:style>
  <w:style w:type="character" w:customStyle="1" w:styleId="80">
    <w:name w:val="纯文本 字符"/>
    <w:link w:val="16"/>
    <w:autoRedefine/>
    <w:qFormat/>
    <w:uiPriority w:val="0"/>
    <w:rPr>
      <w:rFonts w:ascii="宋体" w:hAnsi="Courier New"/>
      <w:kern w:val="2"/>
      <w:sz w:val="21"/>
    </w:rPr>
  </w:style>
  <w:style w:type="character" w:customStyle="1" w:styleId="81">
    <w:name w:val="正文文本 字符"/>
    <w:link w:val="11"/>
    <w:autoRedefine/>
    <w:qFormat/>
    <w:uiPriority w:val="0"/>
    <w:rPr>
      <w:rFonts w:ascii="宋体" w:hAnsi="宋体"/>
      <w:kern w:val="2"/>
      <w:sz w:val="24"/>
      <w:szCs w:val="24"/>
    </w:rPr>
  </w:style>
  <w:style w:type="character" w:customStyle="1" w:styleId="82">
    <w:name w:val="批注文字 字符"/>
    <w:link w:val="10"/>
    <w:autoRedefine/>
    <w:qFormat/>
    <w:uiPriority w:val="99"/>
    <w:rPr>
      <w:kern w:val="2"/>
      <w:sz w:val="21"/>
      <w:szCs w:val="24"/>
    </w:rPr>
  </w:style>
  <w:style w:type="character" w:customStyle="1" w:styleId="83">
    <w:name w:val="批注主题 字符"/>
    <w:link w:val="34"/>
    <w:autoRedefine/>
    <w:qFormat/>
    <w:uiPriority w:val="0"/>
    <w:rPr>
      <w:b/>
      <w:bCs/>
      <w:kern w:val="2"/>
      <w:sz w:val="21"/>
      <w:szCs w:val="24"/>
    </w:rPr>
  </w:style>
  <w:style w:type="character" w:customStyle="1" w:styleId="84">
    <w:name w:val="标题 3 字符"/>
    <w:link w:val="4"/>
    <w:autoRedefine/>
    <w:qFormat/>
    <w:uiPriority w:val="0"/>
    <w:rPr>
      <w:rFonts w:ascii="宋体" w:hAnsi="宋体" w:eastAsia="宋体"/>
      <w:b/>
      <w:sz w:val="24"/>
      <w:u w:val="single"/>
    </w:rPr>
  </w:style>
  <w:style w:type="character" w:customStyle="1" w:styleId="85">
    <w:name w:val="标题 1 字符"/>
    <w:link w:val="2"/>
    <w:autoRedefine/>
    <w:qFormat/>
    <w:uiPriority w:val="0"/>
    <w:rPr>
      <w:rFonts w:ascii="宋体"/>
      <w:b/>
      <w:kern w:val="44"/>
      <w:sz w:val="32"/>
    </w:rPr>
  </w:style>
  <w:style w:type="paragraph" w:styleId="86">
    <w:name w:val="List Paragraph"/>
    <w:basedOn w:val="1"/>
    <w:autoRedefine/>
    <w:qFormat/>
    <w:uiPriority w:val="34"/>
    <w:pPr>
      <w:ind w:firstLine="420" w:firstLineChars="200"/>
    </w:pPr>
    <w:rPr>
      <w:rFonts w:ascii="Calibri" w:hAnsi="Calibri"/>
      <w:szCs w:val="22"/>
    </w:rPr>
  </w:style>
  <w:style w:type="paragraph" w:customStyle="1" w:styleId="87">
    <w:name w:val="样式 正文（首行缩进两字） + 首行缩进:  2 字符2"/>
    <w:basedOn w:val="7"/>
    <w:autoRedefine/>
    <w:qFormat/>
    <w:uiPriority w:val="0"/>
    <w:pPr>
      <w:spacing w:line="360" w:lineRule="auto"/>
      <w:ind w:firstLine="0"/>
      <w:textAlignment w:val="baseline"/>
    </w:pPr>
    <w:rPr>
      <w:rFonts w:hAnsi="宋体" w:eastAsia="楷体_GB2312" w:cs="宋体"/>
      <w:bCs/>
      <w:kern w:val="2"/>
      <w:sz w:val="21"/>
      <w:szCs w:val="21"/>
    </w:rPr>
  </w:style>
  <w:style w:type="paragraph" w:customStyle="1" w:styleId="88">
    <w:name w:val="PlainText"/>
    <w:basedOn w:val="1"/>
    <w:autoRedefine/>
    <w:qFormat/>
    <w:uiPriority w:val="0"/>
    <w:pPr>
      <w:textAlignment w:val="baseline"/>
    </w:pPr>
    <w:rPr>
      <w:rFonts w:ascii="宋体" w:hAnsi="Courier New"/>
      <w:szCs w:val="20"/>
    </w:rPr>
  </w:style>
  <w:style w:type="character" w:customStyle="1" w:styleId="89">
    <w:name w:val="NormalCharacter"/>
    <w:autoRedefine/>
    <w:qFormat/>
    <w:uiPriority w:val="0"/>
    <w:rPr>
      <w:rFonts w:ascii="Times New Roman" w:hAnsi="Times New Roman" w:eastAsia="宋体" w:cs="Times New Roman"/>
      <w:kern w:val="2"/>
      <w:sz w:val="21"/>
      <w:szCs w:val="24"/>
      <w:lang w:val="en-US" w:eastAsia="zh-CN" w:bidi="ar-SA"/>
    </w:rPr>
  </w:style>
  <w:style w:type="character" w:customStyle="1" w:styleId="90">
    <w:name w:val="fontstyle01"/>
    <w:autoRedefine/>
    <w:qFormat/>
    <w:uiPriority w:val="0"/>
    <w:rPr>
      <w:rFonts w:hint="eastAsia" w:ascii="宋体" w:hAnsi="宋体" w:eastAsia="宋体"/>
      <w:color w:val="000000"/>
      <w:sz w:val="22"/>
      <w:szCs w:val="22"/>
    </w:rPr>
  </w:style>
  <w:style w:type="paragraph" w:customStyle="1" w:styleId="91">
    <w:name w:val="正文1"/>
    <w:autoRedefine/>
    <w:qFormat/>
    <w:uiPriority w:val="0"/>
    <w:pPr>
      <w:jc w:val="both"/>
    </w:pPr>
    <w:rPr>
      <w:rFonts w:ascii="Calibri" w:hAnsi="Calibri" w:eastAsia="宋体" w:cs="宋体"/>
      <w:kern w:val="2"/>
      <w:sz w:val="21"/>
      <w:szCs w:val="21"/>
      <w:lang w:val="en-US" w:eastAsia="zh-CN" w:bidi="ar-SA"/>
    </w:rPr>
  </w:style>
  <w:style w:type="character" w:customStyle="1" w:styleId="92">
    <w:name w:val="font11"/>
    <w:basedOn w:val="39"/>
    <w:autoRedefine/>
    <w:qFormat/>
    <w:uiPriority w:val="0"/>
    <w:rPr>
      <w:rFonts w:hint="eastAsia" w:ascii="宋体" w:hAnsi="宋体" w:eastAsia="宋体" w:cs="宋体"/>
      <w:color w:val="000000"/>
      <w:sz w:val="18"/>
      <w:szCs w:val="18"/>
      <w:u w:val="none"/>
    </w:rPr>
  </w:style>
  <w:style w:type="character" w:customStyle="1" w:styleId="93">
    <w:name w:val="font71"/>
    <w:basedOn w:val="39"/>
    <w:autoRedefine/>
    <w:qFormat/>
    <w:uiPriority w:val="0"/>
    <w:rPr>
      <w:rFonts w:hint="eastAsia" w:ascii="宋体" w:hAnsi="宋体" w:eastAsia="宋体" w:cs="宋体"/>
      <w:color w:val="000000"/>
      <w:sz w:val="18"/>
      <w:szCs w:val="18"/>
      <w:u w:val="none"/>
    </w:rPr>
  </w:style>
  <w:style w:type="character" w:customStyle="1" w:styleId="94">
    <w:name w:val="font112"/>
    <w:basedOn w:val="39"/>
    <w:autoRedefine/>
    <w:qFormat/>
    <w:uiPriority w:val="0"/>
    <w:rPr>
      <w:rFonts w:hint="default" w:ascii="Calibri" w:hAnsi="Calibri" w:cs="Calibri"/>
      <w:color w:val="000000"/>
      <w:sz w:val="18"/>
      <w:szCs w:val="18"/>
      <w:u w:val="none"/>
    </w:rPr>
  </w:style>
  <w:style w:type="character" w:customStyle="1" w:styleId="95">
    <w:name w:val="font21"/>
    <w:basedOn w:val="39"/>
    <w:autoRedefine/>
    <w:qFormat/>
    <w:uiPriority w:val="0"/>
    <w:rPr>
      <w:rFonts w:hint="eastAsia" w:ascii="宋体" w:hAnsi="宋体" w:eastAsia="宋体" w:cs="宋体"/>
      <w:color w:val="000000"/>
      <w:sz w:val="12"/>
      <w:szCs w:val="12"/>
      <w:u w:val="none"/>
    </w:rPr>
  </w:style>
  <w:style w:type="paragraph" w:customStyle="1" w:styleId="96">
    <w:name w:val="正文首行缩进1"/>
    <w:basedOn w:val="11"/>
    <w:autoRedefine/>
    <w:qFormat/>
    <w:uiPriority w:val="0"/>
    <w:pPr>
      <w:spacing w:after="0"/>
      <w:ind w:right="-349" w:rightChars="-166" w:firstLine="420" w:firstLineChars="100"/>
    </w:pPr>
    <w:rPr>
      <w:rFonts w:eastAsia="仿宋_GB2312"/>
      <w:sz w:val="32"/>
    </w:rPr>
  </w:style>
  <w:style w:type="paragraph" w:customStyle="1" w:styleId="97">
    <w:name w:val="正文-公1"/>
    <w:basedOn w:val="98"/>
    <w:next w:val="23"/>
    <w:autoRedefine/>
    <w:qFormat/>
    <w:uiPriority w:val="0"/>
    <w:pPr>
      <w:ind w:firstLine="200" w:firstLineChars="200"/>
    </w:pPr>
    <w:rPr>
      <w:color w:val="000000"/>
    </w:rPr>
  </w:style>
  <w:style w:type="paragraph" w:customStyle="1" w:styleId="9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97"/>
    <w:autoRedefine/>
    <w:qFormat/>
    <w:uiPriority w:val="0"/>
    <w:pPr>
      <w:widowControl w:val="0"/>
      <w:jc w:val="both"/>
    </w:pPr>
    <w:rPr>
      <w:rFonts w:ascii="Times New Roman" w:hAnsi="Times New Roman" w:eastAsia="宋体" w:cs="Times New Roman"/>
      <w:kern w:val="2"/>
      <w:sz w:val="21"/>
      <w:lang w:val="en-US" w:eastAsia="zh-CN" w:bidi="ar-SA"/>
    </w:rPr>
  </w:style>
  <w:style w:type="table" w:customStyle="1" w:styleId="99">
    <w:name w:val="Table Normal"/>
    <w:autoRedefine/>
    <w:semiHidden/>
    <w:unhideWhenUsed/>
    <w:qFormat/>
    <w:uiPriority w:val="0"/>
    <w:tblPr>
      <w:tblCellMar>
        <w:top w:w="0" w:type="dxa"/>
        <w:left w:w="0" w:type="dxa"/>
        <w:bottom w:w="0" w:type="dxa"/>
        <w:right w:w="0" w:type="dxa"/>
      </w:tblCellMar>
    </w:tblPr>
  </w:style>
  <w:style w:type="paragraph" w:customStyle="1" w:styleId="100">
    <w:name w:val="采购一级"/>
    <w:autoRedefine/>
    <w:qFormat/>
    <w:uiPriority w:val="0"/>
    <w:pPr>
      <w:widowControl w:val="0"/>
      <w:autoSpaceDE w:val="0"/>
      <w:autoSpaceDN w:val="0"/>
      <w:snapToGrid w:val="0"/>
      <w:spacing w:line="560" w:lineRule="exact"/>
      <w:jc w:val="center"/>
      <w:outlineLvl w:val="0"/>
    </w:pPr>
    <w:rPr>
      <w:rFonts w:ascii="方正小标宋简体" w:hAnsi="仿宋" w:eastAsia="方正小标宋简体" w:cs="Times New Roman"/>
      <w:b/>
      <w:kern w:val="44"/>
      <w:sz w:val="36"/>
      <w:szCs w:val="36"/>
      <w:lang w:val="en-US" w:eastAsia="zh-CN" w:bidi="ar-SA"/>
    </w:rPr>
  </w:style>
  <w:style w:type="paragraph" w:customStyle="1" w:styleId="101">
    <w:name w:val="无间隔1"/>
    <w:autoRedefine/>
    <w:qFormat/>
    <w:uiPriority w:val="1"/>
    <w:pPr>
      <w:adjustRightInd w:val="0"/>
      <w:snapToGrid w:val="0"/>
    </w:pPr>
    <w:rPr>
      <w:rFonts w:ascii="Tahoma" w:hAnsi="Tahoma" w:eastAsia="微软雅黑" w:cs="Arial"/>
      <w:sz w:val="22"/>
      <w:szCs w:val="22"/>
      <w:lang w:val="en-US" w:eastAsia="zh-CN" w:bidi="ar-SA"/>
    </w:rPr>
  </w:style>
  <w:style w:type="paragraph" w:customStyle="1" w:styleId="102">
    <w:name w:val="标题 #1"/>
    <w:basedOn w:val="1"/>
    <w:autoRedefine/>
    <w:qFormat/>
    <w:uiPriority w:val="0"/>
    <w:pPr>
      <w:widowControl w:val="0"/>
      <w:shd w:val="clear" w:color="auto" w:fill="FFFFFF"/>
      <w:spacing w:after="1180"/>
      <w:ind w:left="1940"/>
      <w:outlineLvl w:val="0"/>
    </w:pPr>
    <w:rPr>
      <w:rFonts w:ascii="新宋体" w:hAnsi="新宋体" w:eastAsia="新宋体" w:cs="新宋体"/>
      <w:sz w:val="62"/>
      <w:szCs w:val="62"/>
      <w:u w:val="none"/>
      <w:lang w:val="zh-CN" w:eastAsia="zh-CN" w:bidi="zh-CN"/>
    </w:rPr>
  </w:style>
  <w:style w:type="paragraph" w:customStyle="1" w:styleId="103">
    <w:name w:val="列表段落1"/>
    <w:basedOn w:val="1"/>
    <w:qFormat/>
    <w:uiPriority w:val="34"/>
    <w:pPr>
      <w:ind w:firstLine="420" w:firstLineChars="200"/>
    </w:pPr>
  </w:style>
  <w:style w:type="paragraph" w:customStyle="1" w:styleId="104">
    <w:name w:val="文件大标题"/>
    <w:basedOn w:val="1"/>
    <w:qFormat/>
    <w:uiPriority w:val="0"/>
    <w:pPr>
      <w:ind w:firstLine="0" w:firstLineChars="0"/>
      <w:jc w:val="center"/>
    </w:pPr>
    <w:rPr>
      <w:rFonts w:hint="default" w:eastAsia="方正小标宋_GBK"/>
      <w:sz w:val="44"/>
    </w:rPr>
  </w:style>
  <w:style w:type="character" w:customStyle="1" w:styleId="105">
    <w:name w:val="item-name"/>
    <w:basedOn w:val="39"/>
    <w:qFormat/>
    <w:uiPriority w:val="0"/>
  </w:style>
  <w:style w:type="character" w:customStyle="1" w:styleId="106">
    <w:name w:val="item-name1"/>
    <w:basedOn w:val="39"/>
    <w:qFormat/>
    <w:uiPriority w:val="0"/>
  </w:style>
  <w:style w:type="character" w:customStyle="1" w:styleId="107">
    <w:name w:val="first-child"/>
    <w:basedOn w:val="39"/>
    <w:qFormat/>
    <w:uiPriority w:val="0"/>
    <w:rPr>
      <w:vanish/>
    </w:rPr>
  </w:style>
  <w:style w:type="paragraph" w:customStyle="1" w:styleId="108">
    <w:name w:val="BodyText1I2"/>
    <w:basedOn w:val="109"/>
    <w:qFormat/>
    <w:uiPriority w:val="0"/>
    <w:pPr>
      <w:spacing w:after="120"/>
      <w:ind w:left="420" w:leftChars="200" w:firstLine="420" w:firstLineChars="200"/>
      <w:jc w:val="both"/>
      <w:textAlignment w:val="baseline"/>
    </w:pPr>
  </w:style>
  <w:style w:type="paragraph" w:customStyle="1" w:styleId="109">
    <w:name w:val="BodyTextIndent"/>
    <w:basedOn w:val="1"/>
    <w:qFormat/>
    <w:uiPriority w:val="0"/>
    <w:pPr>
      <w:spacing w:after="120"/>
      <w:ind w:left="420" w:leftChars="200"/>
      <w:jc w:val="both"/>
      <w:textAlignment w:val="baseline"/>
    </w:pPr>
  </w:style>
  <w:style w:type="paragraph" w:customStyle="1" w:styleId="110">
    <w:name w:val="表"/>
    <w:basedOn w:val="1"/>
    <w:qFormat/>
    <w:uiPriority w:val="0"/>
    <w:pPr>
      <w:ind w:firstLine="0" w:firstLineChars="0"/>
      <w:jc w:val="center"/>
    </w:pPr>
  </w:style>
  <w:style w:type="paragraph" w:customStyle="1" w:styleId="111">
    <w:name w:val="_Style 13"/>
    <w:qFormat/>
    <w:uiPriority w:val="0"/>
    <w:pPr>
      <w:spacing w:before="120" w:after="120" w:line="288" w:lineRule="auto"/>
      <w:ind w:left="0"/>
      <w:jc w:val="left"/>
    </w:pPr>
    <w:rPr>
      <w:rFonts w:ascii="Arial" w:hAnsi="Arial" w:eastAsia="等线" w:cs="Arial"/>
      <w:sz w:val="22"/>
      <w:szCs w:val="22"/>
    </w:rPr>
  </w:style>
  <w:style w:type="paragraph" w:customStyle="1" w:styleId="11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15078</Words>
  <Characters>16047</Characters>
  <Lines>0</Lines>
  <Paragraphs>0</Paragraphs>
  <TotalTime>39</TotalTime>
  <ScaleCrop>false</ScaleCrop>
  <LinksUpToDate>false</LinksUpToDate>
  <CharactersWithSpaces>17541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2021-12-14T11:51:00Z</dcterms:created>
  <dc:creator>T°</dc:creator>
  <cp:lastModifiedBy>孤鹰</cp:lastModifiedBy>
  <dcterms:modified xsi:type="dcterms:W3CDTF">2026-04-22T06:01:13Z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75B09EEB161A4080913D3CD01EAB9DFA_13</vt:lpwstr>
  </property>
  <property fmtid="{D5CDD505-2E9C-101B-9397-08002B2CF9AE}" pid="4" name="KSOTemplateDocerSaveRecord">
    <vt:lpwstr>eyJoZGlkIjoiMjExNDlmMDZiMGMwODFiOTA4NWYzZTVhYWI4MTU2ZjMiLCJ1c2VySWQiOiIzMTI3MTQ3NDkifQ==</vt:lpwstr>
  </property>
</Properties>
</file>