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4997">
      <w:pPr>
        <w:kinsoku w:val="0"/>
        <w:overflowPunct w:val="0"/>
        <w:spacing w:line="356" w:lineRule="exact"/>
        <w:ind w:right="136"/>
        <w:jc w:val="both"/>
        <w:rPr>
          <w:rFonts w:hint="eastAsia" w:ascii="宋体" w:hAnsi="宋体"/>
          <w:b/>
          <w:bCs/>
          <w:color w:val="auto"/>
          <w:sz w:val="44"/>
          <w:highlight w:val="none"/>
        </w:rPr>
      </w:pPr>
      <w:r>
        <w:rPr>
          <w:rFonts w:hint="eastAsia" w:ascii="宋体" w:cs="宋体"/>
          <w:b/>
          <w:bCs/>
          <w:color w:val="auto"/>
          <w:sz w:val="44"/>
          <w:szCs w:val="44"/>
          <w:highlight w:val="none"/>
          <w:lang w:val="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890270" cy="926465"/>
            <wp:effectExtent l="0" t="0" r="5080" b="6985"/>
            <wp:wrapNone/>
            <wp:docPr id="2" name="图片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logo"/>
                    <pic:cNvPicPr>
                      <a:picLocks noChangeAspect="1"/>
                    </pic:cNvPicPr>
                  </pic:nvPicPr>
                  <pic:blipFill>
                    <a:blip r:embed="rId7"/>
                    <a:stretch>
                      <a:fillRect/>
                    </a:stretch>
                  </pic:blipFill>
                  <pic:spPr>
                    <a:xfrm>
                      <a:off x="0" y="0"/>
                      <a:ext cx="890270" cy="926465"/>
                    </a:xfrm>
                    <a:prstGeom prst="rect">
                      <a:avLst/>
                    </a:prstGeom>
                    <a:noFill/>
                    <a:ln>
                      <a:noFill/>
                    </a:ln>
                  </pic:spPr>
                </pic:pic>
              </a:graphicData>
            </a:graphic>
          </wp:anchor>
        </w:drawing>
      </w:r>
    </w:p>
    <w:p w14:paraId="27DC7D1E">
      <w:pPr>
        <w:pStyle w:val="20"/>
        <w:ind w:left="0" w:leftChars="0" w:firstLine="0" w:firstLineChars="0"/>
        <w:rPr>
          <w:rFonts w:hint="eastAsia" w:ascii="宋体" w:hAnsi="宋体"/>
          <w:b/>
          <w:bCs/>
          <w:color w:val="auto"/>
          <w:sz w:val="44"/>
          <w:highlight w:val="none"/>
        </w:rPr>
      </w:pPr>
    </w:p>
    <w:p w14:paraId="2012A7DF">
      <w:pPr>
        <w:rPr>
          <w:rFonts w:hint="eastAsia" w:ascii="宋体" w:hAnsi="宋体"/>
          <w:b/>
          <w:bCs/>
          <w:color w:val="auto"/>
          <w:sz w:val="44"/>
          <w:highlight w:val="none"/>
        </w:rPr>
      </w:pPr>
    </w:p>
    <w:p w14:paraId="32B69E01">
      <w:pPr>
        <w:rPr>
          <w:rFonts w:hint="eastAsia"/>
          <w:color w:val="auto"/>
          <w:highlight w:val="none"/>
        </w:rPr>
      </w:pPr>
    </w:p>
    <w:p w14:paraId="35082A7D">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eastAsia="宋体"/>
          <w:b/>
          <w:bCs/>
          <w:color w:val="auto"/>
          <w:sz w:val="44"/>
          <w:highlight w:val="none"/>
          <w:lang w:val="en-US" w:eastAsia="zh-CN"/>
        </w:rPr>
      </w:pPr>
      <w:r>
        <w:rPr>
          <w:rFonts w:hint="eastAsia" w:ascii="宋体" w:hAnsi="宋体"/>
          <w:b/>
          <w:bCs/>
          <w:color w:val="auto"/>
          <w:sz w:val="44"/>
          <w:highlight w:val="none"/>
          <w:lang w:val="en-US" w:eastAsia="zh-CN"/>
        </w:rPr>
        <w:t>新疆西昆仑地区地质勘查服务采购项目</w:t>
      </w:r>
    </w:p>
    <w:p w14:paraId="6356F5AF">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32"/>
          <w:szCs w:val="20"/>
          <w:highlight w:val="none"/>
        </w:rPr>
      </w:pPr>
      <w:r>
        <w:rPr>
          <w:rFonts w:hint="eastAsia" w:ascii="宋体" w:hAnsi="宋体"/>
          <w:b/>
          <w:bCs/>
          <w:color w:val="auto"/>
          <w:sz w:val="32"/>
          <w:szCs w:val="20"/>
          <w:highlight w:val="none"/>
          <w:lang w:eastAsia="zh-CN"/>
        </w:rPr>
        <w:t>（</w:t>
      </w:r>
      <w:r>
        <w:rPr>
          <w:rFonts w:hint="eastAsia" w:ascii="宋体" w:hAnsi="宋体"/>
          <w:b/>
          <w:bCs/>
          <w:color w:val="auto"/>
          <w:sz w:val="32"/>
          <w:szCs w:val="20"/>
          <w:highlight w:val="none"/>
        </w:rPr>
        <w:t>项目编号：</w:t>
      </w:r>
      <w:r>
        <w:rPr>
          <w:rFonts w:hint="eastAsia" w:ascii="宋体" w:hAnsi="宋体"/>
          <w:b/>
          <w:bCs/>
          <w:color w:val="auto"/>
          <w:sz w:val="32"/>
          <w:szCs w:val="20"/>
          <w:highlight w:val="none"/>
          <w:lang w:eastAsia="zh-CN"/>
        </w:rPr>
        <w:t>ZTQ-2026041）</w:t>
      </w:r>
    </w:p>
    <w:p w14:paraId="6E431F3A">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b/>
          <w:bCs/>
          <w:color w:val="auto"/>
          <w:sz w:val="44"/>
          <w:highlight w:val="none"/>
        </w:rPr>
      </w:pPr>
    </w:p>
    <w:p w14:paraId="0D1A33AB">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44"/>
          <w:highlight w:val="none"/>
        </w:rPr>
      </w:pPr>
      <w:r>
        <w:rPr>
          <w:rFonts w:hint="eastAsia" w:ascii="宋体" w:hAnsi="宋体"/>
          <w:b/>
          <w:bCs/>
          <w:color w:val="auto"/>
          <w:sz w:val="44"/>
          <w:highlight w:val="none"/>
          <w:lang w:val="en-US" w:eastAsia="zh-CN"/>
        </w:rPr>
        <w:t>招标</w:t>
      </w:r>
      <w:r>
        <w:rPr>
          <w:rFonts w:hint="eastAsia" w:ascii="宋体" w:hAnsi="宋体"/>
          <w:b/>
          <w:bCs/>
          <w:color w:val="auto"/>
          <w:sz w:val="44"/>
          <w:highlight w:val="none"/>
        </w:rPr>
        <w:t>文件</w:t>
      </w:r>
    </w:p>
    <w:p w14:paraId="05DB53E2">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eastAsia="宋体" w:cs="Times New Roman"/>
          <w:b/>
          <w:bCs/>
          <w:color w:val="auto"/>
          <w:sz w:val="44"/>
          <w:highlight w:val="none"/>
        </w:rPr>
      </w:pPr>
      <w:bookmarkStart w:id="501" w:name="_GoBack"/>
      <w:bookmarkEnd w:id="501"/>
    </w:p>
    <w:p w14:paraId="31DAF5EE">
      <w:pPr>
        <w:pStyle w:val="17"/>
        <w:rPr>
          <w:rFonts w:hint="eastAsia"/>
          <w:color w:val="auto"/>
          <w:highlight w:val="none"/>
        </w:rPr>
      </w:pPr>
    </w:p>
    <w:p w14:paraId="26B11B9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eastAsia="宋体"/>
          <w:color w:val="auto"/>
          <w:sz w:val="24"/>
          <w:highlight w:val="none"/>
          <w:lang w:val="en-US" w:eastAsia="zh-CN"/>
        </w:rPr>
      </w:pPr>
      <w:r>
        <w:rPr>
          <w:b/>
          <w:bCs/>
          <w:color w:val="auto"/>
          <w:spacing w:val="43"/>
          <w:kern w:val="0"/>
          <w:sz w:val="24"/>
          <w:highlight w:val="none"/>
        </w:rPr>
        <w:t>招标人</w:t>
      </w:r>
      <w:r>
        <w:rPr>
          <w:b/>
          <w:color w:val="auto"/>
          <w:spacing w:val="43"/>
          <w:kern w:val="0"/>
          <w:sz w:val="24"/>
          <w:highlight w:val="none"/>
        </w:rPr>
        <w:t>（盖章</w:t>
      </w:r>
      <w:r>
        <w:rPr>
          <w:b/>
          <w:color w:val="auto"/>
          <w:spacing w:val="4"/>
          <w:kern w:val="0"/>
          <w:sz w:val="24"/>
          <w:highlight w:val="none"/>
        </w:rPr>
        <w:t>）</w:t>
      </w:r>
      <w:r>
        <w:rPr>
          <w:b/>
          <w:bCs/>
          <w:color w:val="auto"/>
          <w:sz w:val="24"/>
          <w:highlight w:val="none"/>
        </w:rPr>
        <w:t>：</w:t>
      </w:r>
      <w:r>
        <w:rPr>
          <w:rFonts w:hint="eastAsia"/>
          <w:b/>
          <w:bCs/>
          <w:color w:val="auto"/>
          <w:sz w:val="24"/>
          <w:highlight w:val="none"/>
          <w:lang w:eastAsia="zh-CN"/>
        </w:rPr>
        <w:t>新疆维吾尔自治区地质研究院</w:t>
      </w:r>
    </w:p>
    <w:p w14:paraId="04C32A16">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张先生</w:t>
      </w:r>
    </w:p>
    <w:p w14:paraId="0550819E">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b/>
          <w:bCs/>
          <w:color w:val="auto"/>
          <w:sz w:val="24"/>
          <w:highlight w:val="none"/>
          <w:lang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eastAsia="zh-CN"/>
        </w:rPr>
        <w:t>0991-8778787</w:t>
      </w:r>
    </w:p>
    <w:p w14:paraId="7A9EFC4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sz w:val="24"/>
          <w:highlight w:val="none"/>
          <w:lang w:val="en-US" w:eastAsia="zh-CN"/>
        </w:rPr>
        <w:t>详细地址：乌鲁木齐市沙依巴克区泽普街466号</w:t>
      </w:r>
    </w:p>
    <w:p w14:paraId="482DEFE8">
      <w:pPr>
        <w:jc w:val="left"/>
        <w:outlineLvl w:val="9"/>
        <w:rPr>
          <w:rFonts w:hint="default"/>
          <w:b/>
          <w:bCs/>
          <w:color w:val="auto"/>
          <w:sz w:val="24"/>
          <w:highlight w:val="none"/>
          <w:lang w:val="en-US" w:eastAsia="zh-CN"/>
        </w:rPr>
      </w:pPr>
    </w:p>
    <w:p w14:paraId="75633F4A">
      <w:pPr>
        <w:jc w:val="left"/>
        <w:outlineLvl w:val="9"/>
        <w:rPr>
          <w:b/>
          <w:bCs/>
          <w:color w:val="auto"/>
          <w:sz w:val="24"/>
          <w:highlight w:val="none"/>
        </w:rPr>
      </w:pPr>
    </w:p>
    <w:p w14:paraId="26EEFA97">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b/>
          <w:bCs/>
          <w:color w:val="auto"/>
          <w:sz w:val="24"/>
          <w:highlight w:val="none"/>
        </w:rPr>
      </w:pPr>
      <w:r>
        <w:rPr>
          <w:b/>
          <w:bCs/>
          <w:color w:val="auto"/>
          <w:sz w:val="24"/>
          <w:highlight w:val="none"/>
        </w:rPr>
        <w:t>招标代理机构（盖章）：</w:t>
      </w:r>
      <w:r>
        <w:rPr>
          <w:rFonts w:hint="eastAsia"/>
          <w:b/>
          <w:bCs/>
          <w:color w:val="auto"/>
          <w:sz w:val="24"/>
          <w:highlight w:val="none"/>
        </w:rPr>
        <w:t>新疆</w:t>
      </w:r>
      <w:r>
        <w:rPr>
          <w:rFonts w:hint="eastAsia"/>
          <w:b/>
          <w:bCs/>
          <w:color w:val="auto"/>
          <w:sz w:val="24"/>
          <w:highlight w:val="none"/>
          <w:lang w:val="en-US" w:eastAsia="zh-CN"/>
        </w:rPr>
        <w:t>众通桥项目管理咨询有限</w:t>
      </w:r>
      <w:r>
        <w:rPr>
          <w:rFonts w:hint="eastAsia"/>
          <w:b/>
          <w:bCs/>
          <w:color w:val="auto"/>
          <w:sz w:val="24"/>
          <w:highlight w:val="none"/>
        </w:rPr>
        <w:t>公司</w:t>
      </w:r>
    </w:p>
    <w:p w14:paraId="01A06992">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程云翠 陈琼 张媛媛</w:t>
      </w:r>
    </w:p>
    <w:p w14:paraId="03B2E559">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val="en-US" w:eastAsia="zh-CN"/>
        </w:rPr>
        <w:t>15739558062 13379780240</w:t>
      </w:r>
    </w:p>
    <w:p w14:paraId="3507E6C1">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color w:val="auto"/>
          <w:sz w:val="26"/>
          <w:szCs w:val="26"/>
          <w:highlight w:val="none"/>
        </w:rPr>
      </w:pPr>
      <w:r>
        <w:rPr>
          <w:b/>
          <w:bCs/>
          <w:color w:val="auto"/>
          <w:sz w:val="24"/>
          <w:highlight w:val="none"/>
        </w:rPr>
        <w:t>详细地</w:t>
      </w:r>
      <w:r>
        <w:rPr>
          <w:b/>
          <w:bCs/>
          <w:color w:val="auto"/>
          <w:spacing w:val="1"/>
          <w:kern w:val="0"/>
          <w:sz w:val="24"/>
          <w:highlight w:val="none"/>
        </w:rPr>
        <w:t>址</w:t>
      </w:r>
      <w:r>
        <w:rPr>
          <w:b/>
          <w:bCs/>
          <w:color w:val="auto"/>
          <w:sz w:val="24"/>
          <w:highlight w:val="none"/>
        </w:rPr>
        <w:t>：</w:t>
      </w:r>
      <w:r>
        <w:rPr>
          <w:rFonts w:hint="eastAsia"/>
          <w:b/>
          <w:bCs/>
          <w:color w:val="auto"/>
          <w:sz w:val="24"/>
          <w:highlight w:val="none"/>
          <w:lang w:val="en-US" w:eastAsia="zh-CN"/>
        </w:rPr>
        <w:t>新疆乌鲁木齐市沙依巴克区克拉玛依西街880号安佳大厦C602</w:t>
      </w:r>
    </w:p>
    <w:p w14:paraId="767E4345">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B340E8A">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p>
    <w:p w14:paraId="647707D8">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_Toc3251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984F22F">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_Toc30059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02AD0C">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_Toc12315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6CF63B">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_Toc31797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投标人须知正文部分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_Toc31797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37A1213">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_Toc21332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_Toc21332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DCC6F1C">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_Toc19421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四部分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_Toc19421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737B503">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_Toc6146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部分 合同</w:t>
      </w:r>
      <w:r>
        <w:rPr>
          <w:rFonts w:hint="eastAsia" w:ascii="宋体" w:hAnsi="宋体" w:eastAsia="宋体" w:cs="宋体"/>
          <w:sz w:val="24"/>
          <w:szCs w:val="24"/>
          <w:highlight w:val="none"/>
          <w:lang w:val="en-US" w:eastAsia="zh-CN"/>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_Toc6146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E14E3C3">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_Toc17409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投标文件</w:t>
      </w:r>
      <w:r>
        <w:rPr>
          <w:rFonts w:hint="eastAsia" w:ascii="宋体" w:hAnsi="宋体" w:eastAsia="宋体" w:cs="宋体"/>
          <w:sz w:val="24"/>
          <w:szCs w:val="24"/>
          <w:highlight w:val="none"/>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_Toc17409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2636891">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_Toc14762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投标文件封面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_Toc14762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1208F51">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_Toc10991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、资</w:t>
      </w:r>
      <w:r>
        <w:rPr>
          <w:rFonts w:hint="eastAsia" w:ascii="宋体" w:hAnsi="宋体" w:eastAsia="宋体" w:cs="宋体"/>
          <w:bCs/>
          <w:sz w:val="24"/>
          <w:szCs w:val="24"/>
          <w:highlight w:val="none"/>
          <w:lang w:eastAsia="zh-CN"/>
        </w:rPr>
        <w:t>格</w:t>
      </w:r>
      <w:r>
        <w:rPr>
          <w:rFonts w:hint="eastAsia" w:ascii="宋体" w:hAnsi="宋体" w:eastAsia="宋体" w:cs="宋体"/>
          <w:bCs/>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_Toc10991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5A3EE3D">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_Toc25303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（一）满足《中华人民共和国政府采购法》第二十二条规定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_Toc25303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4A23DC">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_Toc20651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rPr>
        <w:t>1.资格声明函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_Toc20651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8D59CBE">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_Toc23672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法定代表人身份证明及</w:t>
      </w:r>
      <w:r>
        <w:rPr>
          <w:rFonts w:hint="eastAsia" w:ascii="宋体" w:hAnsi="宋体" w:eastAsia="宋体" w:cs="宋体"/>
          <w:bCs/>
          <w:sz w:val="24"/>
          <w:szCs w:val="24"/>
          <w:highlight w:val="none"/>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_Toc23672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0C70D43">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_Toc14180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具有独立承担民事责任的能力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_Toc14180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B0BFDA9">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_Toc28952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4.具有良好的商业信誉和健全的财务会计制度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_Toc28952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C742733">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_Toc21571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5.具有履行合同所必需的设备和专业技术能力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_Toc21571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A788D4A">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_Toc27355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6.有依法缴纳税收和社会保障资金的良好记录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_Toc27355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333608E">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7.参加政府采购活动前三年内，在经营活动中没有重大违法记录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_Toc21495 \h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40012D8">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_Toc2665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（二）落实政府采购政策需满足的资格要求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7124BEA">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_Toc26737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_Toc26737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CF7F4C6">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监狱企业声明函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_Toc1581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A85F561">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_Toc4522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_Toc4522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F428A81">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_Toc23700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_Toc23700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13CD798">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_Toc8551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本项目特定资格要求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_Toc8551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B2AA4C">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_Toc22826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_Toc22826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F0458B9">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_Toc31323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lang w:eastAsia="zh-CN"/>
        </w:rPr>
        <w:t>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_Toc31323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61D47E2">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_Toc27598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报价明细表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_Toc27598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C62C22A">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_Toc19732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商务技术文件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_Toc19732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2D0EBEA">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_Toc10833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_Toc10833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45F1CF0">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_Toc27032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_Toc27032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E78415B">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_Toc22588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（三）技术参数偏离表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_Toc22588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13FAB92">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_Toc12955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_Toc12955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F8C27D4">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_Toc28045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近三年类似</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_Toc28045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C590EB2">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_Toc26548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）拟投入设备仪器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_Toc26548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410909">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_Toc7349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_Toc7349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9D29154">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_Toc26115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拟投入项目人员配置表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_Toc26115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C6F11EA">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_Toc6421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项目实施方案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_Toc6421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6CB70DB">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_Toc15130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bidi="ar-SA"/>
        </w:rPr>
        <w:t>进度计划保障措施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_Toc15130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AB4351C">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十一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_Toc10954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B9B8CAC">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_Toc1072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bidi="ar-SA"/>
        </w:rPr>
        <w:t>（十二）</w:t>
      </w:r>
      <w:r>
        <w:rPr>
          <w:rFonts w:hint="eastAsia" w:ascii="宋体" w:hAnsi="宋体" w:eastAsia="宋体" w:cs="宋体"/>
          <w:sz w:val="24"/>
          <w:szCs w:val="24"/>
          <w:highlight w:val="none"/>
          <w:lang w:val="en-US" w:eastAsia="zh-CN"/>
        </w:rPr>
        <w:t>服务质量控制措施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_Toc1072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CCB8F88">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_Toc16785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）其他有利于投标的资料及证明文件等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_Toc16785 \h </w:instrText>
      </w:r>
      <w:r>
        <w:rPr>
          <w:rFonts w:hint="eastAsia" w:ascii="宋体" w:hAnsi="宋体" w:eastAsia="宋体" w:cs="宋体"/>
          <w:sz w:val="24"/>
          <w:szCs w:val="24"/>
        </w:rPr>
        <w:fldChar w:fldCharType="separate"/>
      </w:r>
      <w:r>
        <w:rPr>
          <w:rFonts w:hint="eastAsia" w:ascii="宋体" w:hAnsi="宋体" w:eastAsia="宋体" w:cs="宋体"/>
          <w:sz w:val="24"/>
          <w:szCs w:val="24"/>
        </w:rPr>
        <w:t>92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0223639">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_Toc9186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_Toc9186 \h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3C50FFF">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color w:val="auto"/>
          <w:sz w:val="22"/>
          <w:szCs w:val="21"/>
          <w:highlight w:val="none"/>
        </w:rPr>
        <w:sectPr>
          <w:headerReference r:id="rId3" w:type="default"/>
          <w:type w:val="continuous"/>
          <w:pgSz w:w="11906" w:h="16838"/>
          <w:pgMar w:top="1134" w:right="1134" w:bottom="1134" w:left="1134" w:header="850" w:footer="992" w:gutter="0"/>
          <w:pgBorders>
            <w:top w:val="none" w:sz="0" w:space="0"/>
            <w:left w:val="none" w:sz="0" w:space="0"/>
            <w:bottom w:val="none" w:sz="0" w:space="0"/>
            <w:right w:val="none" w:sz="0" w:space="0"/>
          </w:pgBorders>
          <w:pgNumType w:fmt="decimal" w:start="0"/>
          <w:cols w:space="720" w:num="1"/>
          <w:rtlGutter w:val="1"/>
          <w:docGrid w:type="lines" w:linePitch="416" w:charSpace="0"/>
        </w:sectPr>
      </w:pPr>
      <w:r>
        <w:rPr>
          <w:rFonts w:hint="eastAsia" w:ascii="宋体" w:hAnsi="宋体" w:eastAsia="宋体" w:cs="宋体"/>
          <w:color w:val="auto"/>
          <w:sz w:val="24"/>
          <w:szCs w:val="24"/>
          <w:highlight w:val="none"/>
        </w:rPr>
        <w:fldChar w:fldCharType="end"/>
      </w:r>
    </w:p>
    <w:p w14:paraId="6079770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color w:val="auto"/>
          <w:highlight w:val="none"/>
        </w:rPr>
      </w:pPr>
      <w:bookmarkStart w:id="0" w:name="_Toc3251"/>
      <w:bookmarkStart w:id="1" w:name="_Toc349637917"/>
      <w:bookmarkStart w:id="2" w:name="_Toc349573118"/>
      <w:bookmarkStart w:id="3" w:name="_Toc298240402"/>
      <w:bookmarkStart w:id="4" w:name="_Toc19862"/>
      <w:bookmarkStart w:id="5" w:name="_Toc19037"/>
      <w:r>
        <w:rPr>
          <w:rFonts w:hint="eastAsia" w:ascii="宋体" w:hAnsi="宋体" w:eastAsia="宋体" w:cs="宋体"/>
          <w:color w:val="auto"/>
          <w:sz w:val="32"/>
          <w:szCs w:val="32"/>
          <w:highlight w:val="none"/>
        </w:rPr>
        <w:t xml:space="preserve">第一部分 </w:t>
      </w:r>
      <w:r>
        <w:rPr>
          <w:rFonts w:hint="eastAsia" w:ascii="宋体" w:hAnsi="宋体" w:cs="宋体"/>
          <w:color w:val="auto"/>
          <w:sz w:val="32"/>
          <w:szCs w:val="32"/>
          <w:highlight w:val="none"/>
          <w:lang w:val="en-US" w:eastAsia="zh-CN"/>
        </w:rPr>
        <w:t>招标</w:t>
      </w:r>
      <w:r>
        <w:rPr>
          <w:rFonts w:hint="eastAsia" w:ascii="宋体" w:hAnsi="宋体" w:eastAsia="宋体" w:cs="宋体"/>
          <w:color w:val="auto"/>
          <w:sz w:val="32"/>
          <w:szCs w:val="32"/>
          <w:highlight w:val="none"/>
          <w:lang w:val="en-US" w:eastAsia="zh-CN"/>
        </w:rPr>
        <w:t>公告</w:t>
      </w:r>
      <w:bookmarkEnd w:id="0"/>
    </w:p>
    <w:bookmarkEnd w:id="1"/>
    <w:bookmarkEnd w:id="2"/>
    <w:bookmarkEnd w:id="3"/>
    <w:bookmarkEnd w:id="4"/>
    <w:bookmarkEnd w:id="5"/>
    <w:p w14:paraId="42E74E43">
      <w:pPr>
        <w:keepNext w:val="0"/>
        <w:keepLines w:val="0"/>
        <w:pageBreakBefore w:val="0"/>
        <w:widowControl w:val="0"/>
        <w:kinsoku/>
        <w:wordWrap/>
        <w:overflowPunct/>
        <w:topLinePunct w:val="0"/>
        <w:autoSpaceDE/>
        <w:autoSpaceDN/>
        <w:bidi w:val="0"/>
        <w:adjustRightInd/>
        <w:snapToGrid/>
        <w:spacing w:before="200" w:after="200" w:line="400" w:lineRule="exact"/>
        <w:jc w:val="center"/>
        <w:textAlignment w:val="auto"/>
        <w:outlineLvl w:val="9"/>
        <w:rPr>
          <w:rFonts w:hint="eastAsia" w:ascii="宋体" w:hAnsi="宋体" w:eastAsia="宋体" w:cs="宋体"/>
          <w:color w:val="auto"/>
          <w:highlight w:val="none"/>
        </w:rPr>
      </w:pPr>
      <w:bookmarkStart w:id="6" w:name="_Toc6320"/>
      <w:bookmarkStart w:id="7" w:name="_Toc21777"/>
      <w:bookmarkStart w:id="8" w:name="_Toc10859"/>
      <w:bookmarkStart w:id="9" w:name="_Toc18296"/>
      <w:bookmarkStart w:id="10" w:name="_Toc267301280"/>
      <w:r>
        <w:rPr>
          <w:rFonts w:hint="eastAsia" w:ascii="宋体" w:hAnsi="宋体" w:cs="宋体"/>
          <w:b/>
          <w:bCs/>
          <w:color w:val="auto"/>
          <w:sz w:val="24"/>
          <w:szCs w:val="24"/>
          <w:highlight w:val="none"/>
          <w:lang w:val="en-US" w:eastAsia="zh-CN"/>
        </w:rPr>
        <w:t>新疆西昆仑地区地质勘查服务采购项目公开招标</w:t>
      </w:r>
      <w:r>
        <w:rPr>
          <w:rFonts w:hint="eastAsia" w:ascii="宋体" w:hAnsi="宋体" w:eastAsia="宋体" w:cs="宋体"/>
          <w:b/>
          <w:bCs/>
          <w:color w:val="auto"/>
          <w:sz w:val="24"/>
          <w:szCs w:val="24"/>
          <w:highlight w:val="none"/>
        </w:rPr>
        <w:t>公告</w:t>
      </w:r>
      <w:bookmarkEnd w:id="6"/>
      <w:bookmarkEnd w:id="7"/>
    </w:p>
    <w:tbl>
      <w:tblPr>
        <w:tblStyle w:val="40"/>
        <w:tblpPr w:leftFromText="180" w:rightFromText="180" w:vertAnchor="text" w:horzAnchor="page" w:tblpX="1395"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9B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16ABD7B4">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szCs w:val="24"/>
                <w:highlight w:val="none"/>
                <w:lang w:val="en-US"/>
              </w:rPr>
            </w:pPr>
            <w:bookmarkStart w:id="11" w:name="_Toc15979"/>
            <w:bookmarkStart w:id="12" w:name="_Toc21363"/>
            <w:r>
              <w:rPr>
                <w:rFonts w:hint="eastAsia" w:ascii="宋体" w:hAnsi="宋体" w:eastAsia="宋体" w:cs="宋体"/>
                <w:color w:val="auto"/>
                <w:sz w:val="24"/>
                <w:szCs w:val="24"/>
                <w:highlight w:val="none"/>
                <w:lang w:val="en-US"/>
              </w:rPr>
              <w:t>项目概况</w:t>
            </w:r>
          </w:p>
          <w:p w14:paraId="4785ED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新疆西昆仑地区地质勘查服务采购项目</w:t>
            </w:r>
            <w:r>
              <w:rPr>
                <w:rFonts w:hint="eastAsia" w:ascii="宋体" w:hAnsi="宋体" w:eastAsia="宋体" w:cs="宋体"/>
                <w:color w:val="auto"/>
                <w:sz w:val="24"/>
                <w:szCs w:val="24"/>
                <w:highlight w:val="none"/>
                <w:lang w:val="en-US"/>
              </w:rPr>
              <w:t>的潜在投标人应</w:t>
            </w:r>
            <w:r>
              <w:rPr>
                <w:rFonts w:hint="eastAsia" w:ascii="宋体" w:hAnsi="宋体" w:eastAsia="宋体" w:cs="宋体"/>
                <w:snapToGrid/>
                <w:color w:val="auto"/>
                <w:kern w:val="2"/>
                <w:sz w:val="24"/>
                <w:szCs w:val="24"/>
                <w:highlight w:val="none"/>
                <w:lang w:val="en-US" w:eastAsia="zh-CN" w:bidi="ar-SA"/>
              </w:rPr>
              <w:t>在</w:t>
            </w:r>
            <w:r>
              <w:rPr>
                <w:rFonts w:hint="eastAsia" w:ascii="宋体" w:hAnsi="宋体" w:cs="宋体"/>
                <w:snapToGrid/>
                <w:color w:val="auto"/>
                <w:kern w:val="2"/>
                <w:sz w:val="24"/>
                <w:szCs w:val="24"/>
                <w:highlight w:val="none"/>
                <w:lang w:val="en-US" w:eastAsia="zh-CN" w:bidi="ar-SA"/>
              </w:rPr>
              <w:t>政</w:t>
            </w:r>
            <w:r>
              <w:rPr>
                <w:rFonts w:hint="eastAsia" w:ascii="宋体" w:hAnsi="宋体" w:eastAsia="宋体" w:cs="宋体"/>
                <w:snapToGrid/>
                <w:color w:val="auto"/>
                <w:kern w:val="2"/>
                <w:sz w:val="24"/>
                <w:szCs w:val="24"/>
                <w:highlight w:val="none"/>
                <w:lang w:val="en-US" w:eastAsia="zh-CN" w:bidi="ar-SA"/>
              </w:rPr>
              <w:t>采云平台https</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//www.zcygov.cn/上获取采购文件获取</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w:t>
            </w:r>
            <w:r>
              <w:rPr>
                <w:rFonts w:hint="eastAsia" w:ascii="宋体" w:hAnsi="宋体" w:eastAsia="宋体" w:cs="宋体"/>
                <w:color w:val="auto"/>
                <w:sz w:val="24"/>
                <w:szCs w:val="24"/>
                <w:highlight w:val="none"/>
                <w:lang w:val="en-US"/>
              </w:rPr>
              <w:t>，并于</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lang w:val="en-US"/>
              </w:rPr>
              <w:t>（北京时间）前提交</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highlight w:val="none"/>
              </w:rPr>
              <w:t>。</w:t>
            </w:r>
          </w:p>
        </w:tc>
      </w:tr>
    </w:tbl>
    <w:p w14:paraId="659752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p>
    <w:p w14:paraId="6799EF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1"/>
      <w:bookmarkEnd w:id="12"/>
    </w:p>
    <w:p w14:paraId="12DD52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ZTQ-2026041</w:t>
      </w:r>
    </w:p>
    <w:p w14:paraId="30A84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新疆西昆仑地区地质勘查服务采购项目</w:t>
      </w:r>
    </w:p>
    <w:p w14:paraId="6EE95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公开招标</w:t>
      </w:r>
    </w:p>
    <w:p w14:paraId="1F3BD5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18874796.00</w:t>
      </w:r>
    </w:p>
    <w:p w14:paraId="65CF53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eastAsia="zh-CN"/>
        </w:rPr>
        <w:t>18874796</w:t>
      </w:r>
      <w:r>
        <w:rPr>
          <w:rFonts w:hint="eastAsia" w:ascii="宋体" w:hAnsi="宋体" w:cs="宋体"/>
          <w:color w:val="auto"/>
          <w:sz w:val="24"/>
          <w:szCs w:val="24"/>
          <w:highlight w:val="none"/>
          <w:lang w:val="en-US" w:eastAsia="zh-CN"/>
        </w:rPr>
        <w:t>.00</w:t>
      </w:r>
    </w:p>
    <w:p w14:paraId="2CE00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采购需求：详见采购文件</w:t>
      </w:r>
    </w:p>
    <w:p w14:paraId="549D7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新疆西昆仑地区地质勘查服务采购项目</w:t>
      </w:r>
    </w:p>
    <w:p w14:paraId="5A8B7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w:t>
      </w:r>
    </w:p>
    <w:p w14:paraId="765CA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简要规格描述或项目基本概况介绍、用途：本项目为跨区域地质勘查服务，主要包括钻探、槽探、</w:t>
      </w:r>
      <w:r>
        <w:rPr>
          <w:rFonts w:hint="eastAsia" w:ascii="宋体" w:hAnsi="宋体" w:cs="宋体"/>
          <w:color w:val="auto"/>
          <w:sz w:val="24"/>
          <w:szCs w:val="24"/>
          <w:highlight w:val="none"/>
          <w:lang w:val="en-US" w:eastAsia="zh-CN"/>
        </w:rPr>
        <w:t>遥感解译</w:t>
      </w:r>
      <w:r>
        <w:rPr>
          <w:rFonts w:hint="eastAsia" w:ascii="宋体" w:hAnsi="宋体" w:eastAsia="宋体" w:cs="宋体"/>
          <w:color w:val="auto"/>
          <w:sz w:val="24"/>
          <w:szCs w:val="24"/>
          <w:highlight w:val="none"/>
          <w:lang w:eastAsia="zh-CN"/>
        </w:rPr>
        <w:t>、样品采集、运输、封孔、安全文明施工、资料整理及提交</w:t>
      </w:r>
      <w:r>
        <w:rPr>
          <w:rFonts w:hint="eastAsia" w:ascii="宋体" w:hAnsi="宋体" w:cs="宋体"/>
          <w:color w:val="auto"/>
          <w:sz w:val="24"/>
          <w:szCs w:val="24"/>
          <w:highlight w:val="none"/>
          <w:lang w:val="en-US" w:eastAsia="zh-CN"/>
        </w:rPr>
        <w:t>林草手续</w:t>
      </w:r>
      <w:r>
        <w:rPr>
          <w:rFonts w:hint="eastAsia" w:ascii="宋体" w:hAnsi="宋体" w:eastAsia="宋体" w:cs="宋体"/>
          <w:color w:val="auto"/>
          <w:sz w:val="24"/>
          <w:szCs w:val="24"/>
          <w:highlight w:val="none"/>
          <w:lang w:eastAsia="zh-CN"/>
        </w:rPr>
        <w:t>等全部工作内容。项目涉及多个工作区域，各区域地质条件、施工难度、运输成本存在显著差异，实行分区报价、分区计量、分区结算。（具体详见第三部分 采购需求）</w:t>
      </w:r>
    </w:p>
    <w:p w14:paraId="65559D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分区单价最高限价详见本招标文件第三部分 “采购需求”。投标人所报分项单价不得超出对应分区的单价最高限价，否则视为实质性不响应，其投标将被拒绝。</w:t>
      </w:r>
    </w:p>
    <w:p w14:paraId="7B5174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自签订合同</w:t>
      </w:r>
      <w:r>
        <w:rPr>
          <w:rFonts w:hint="eastAsia" w:ascii="宋体" w:hAnsi="宋体" w:cs="宋体"/>
          <w:color w:val="auto"/>
          <w:sz w:val="24"/>
          <w:szCs w:val="24"/>
          <w:highlight w:val="none"/>
          <w:lang w:val="en-US" w:eastAsia="zh-CN"/>
        </w:rPr>
        <w:t>之</w:t>
      </w:r>
      <w:r>
        <w:rPr>
          <w:rFonts w:hint="eastAsia" w:ascii="宋体" w:hAnsi="宋体" w:cs="宋体"/>
          <w:color w:val="auto"/>
          <w:sz w:val="24"/>
          <w:szCs w:val="24"/>
          <w:highlight w:val="none"/>
          <w:lang w:eastAsia="zh-CN"/>
        </w:rPr>
        <w:t>日起至2026年</w:t>
      </w:r>
      <w:r>
        <w:rPr>
          <w:rFonts w:hint="eastAsia" w:ascii="宋体" w:hAnsi="宋体" w:cs="宋体"/>
          <w:color w:val="auto"/>
          <w:sz w:val="24"/>
          <w:szCs w:val="24"/>
          <w:highlight w:val="none"/>
          <w:lang w:val="en-US" w:eastAsia="zh-CN"/>
        </w:rPr>
        <w:t>11月止</w:t>
      </w:r>
    </w:p>
    <w:p w14:paraId="350BE0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sz w:val="24"/>
          <w:szCs w:val="24"/>
        </w:rPr>
        <w:t>本项目（否）接受联合体</w:t>
      </w:r>
      <w:r>
        <w:rPr>
          <w:rFonts w:hint="eastAsia" w:ascii="宋体" w:hAnsi="宋体" w:eastAsia="宋体" w:cs="宋体"/>
          <w:color w:val="auto"/>
          <w:sz w:val="24"/>
          <w:szCs w:val="24"/>
          <w:highlight w:val="none"/>
        </w:rPr>
        <w:t>。</w:t>
      </w:r>
    </w:p>
    <w:p w14:paraId="4BE39C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3" w:name="_Toc23449"/>
      <w:bookmarkStart w:id="14" w:name="_Toc22219"/>
      <w:r>
        <w:rPr>
          <w:rFonts w:hint="eastAsia" w:ascii="宋体" w:hAnsi="宋体" w:eastAsia="宋体" w:cs="宋体"/>
          <w:b/>
          <w:bCs/>
          <w:color w:val="auto"/>
          <w:sz w:val="24"/>
          <w:szCs w:val="24"/>
          <w:highlight w:val="none"/>
        </w:rPr>
        <w:t>二、申请人的资格要求：</w:t>
      </w:r>
      <w:bookmarkEnd w:id="13"/>
      <w:bookmarkEnd w:id="14"/>
    </w:p>
    <w:p w14:paraId="194A9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5" w:name="_Toc19216"/>
      <w:bookmarkStart w:id="16" w:name="_Toc1605"/>
      <w:r>
        <w:rPr>
          <w:rFonts w:hint="eastAsia" w:ascii="宋体" w:hAnsi="宋体" w:eastAsia="宋体" w:cs="宋体"/>
          <w:color w:val="auto"/>
          <w:sz w:val="24"/>
          <w:szCs w:val="24"/>
          <w:highlight w:val="none"/>
        </w:rPr>
        <w:t>1.满足《中华人民共和国政府采购法》第二十二条规定；</w:t>
      </w:r>
      <w:bookmarkEnd w:id="15"/>
      <w:bookmarkEnd w:id="16"/>
    </w:p>
    <w:p w14:paraId="7E670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58928D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37CF06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54D103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410609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0F534F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7F09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cs="宋体"/>
          <w:b w:val="0"/>
          <w:bCs w:val="0"/>
          <w:color w:val="auto"/>
          <w:sz w:val="24"/>
          <w:szCs w:val="24"/>
          <w:highlight w:val="none"/>
          <w:lang w:val="en-US" w:eastAsia="zh-CN"/>
        </w:rPr>
        <w:t>专门面向中小企业采购项目</w:t>
      </w:r>
    </w:p>
    <w:p w14:paraId="58894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1DA58E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3.1投标人</w:t>
      </w:r>
      <w:r>
        <w:rPr>
          <w:rFonts w:hint="eastAsia" w:ascii="宋体" w:hAnsi="宋体" w:eastAsia="宋体" w:cs="宋体"/>
          <w:color w:val="auto"/>
          <w:sz w:val="24"/>
          <w:szCs w:val="24"/>
          <w:highlight w:val="none"/>
          <w:lang w:val="en-US" w:eastAsia="zh-CN"/>
        </w:rPr>
        <w:t>须提供有效的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安全生产许可证</w:t>
      </w:r>
      <w:r>
        <w:rPr>
          <w:rFonts w:hint="eastAsia" w:ascii="宋体" w:hAnsi="宋体" w:cs="宋体"/>
          <w:color w:val="auto"/>
          <w:sz w:val="24"/>
          <w:szCs w:val="24"/>
          <w:highlight w:val="none"/>
          <w:lang w:val="en-US" w:eastAsia="zh-CN"/>
        </w:rPr>
        <w:t>》</w:t>
      </w:r>
    </w:p>
    <w:p w14:paraId="611625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7" w:name="_Toc17925"/>
      <w:bookmarkStart w:id="18" w:name="_Toc14230"/>
      <w:r>
        <w:rPr>
          <w:rFonts w:hint="eastAsia" w:ascii="宋体" w:hAnsi="宋体" w:eastAsia="宋体" w:cs="宋体"/>
          <w:color w:val="auto"/>
          <w:sz w:val="24"/>
          <w:szCs w:val="24"/>
          <w:highlight w:val="none"/>
          <w:lang w:val="en-US" w:eastAsia="zh-CN"/>
        </w:rPr>
        <w:t>3.2项目负责人</w:t>
      </w:r>
    </w:p>
    <w:p w14:paraId="18C5310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rPr>
        <w:t>项目负责人须具备地质矿产勘查或钻探相关专业高级工程师及以上职称；</w:t>
      </w:r>
    </w:p>
    <w:p w14:paraId="0226723A">
      <w:pPr>
        <w:adjustRightInd w:val="0"/>
        <w:snapToGrid w:val="0"/>
        <w:spacing w:line="360" w:lineRule="auto"/>
        <w:ind w:left="479" w:leftChars="228" w:firstLine="0" w:firstLineChars="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color w:val="auto"/>
          <w:sz w:val="24"/>
          <w:szCs w:val="24"/>
          <w:highlight w:val="none"/>
          <w:lang w:eastAsia="zh-CN"/>
        </w:rPr>
        <w:t>须为投标人在职人员，提供投标截止时间前近1个月的社保缴纳证明</w:t>
      </w:r>
      <w:r>
        <w:rPr>
          <w:rFonts w:hint="eastAsia" w:ascii="宋体" w:hAnsi="宋体" w:cs="宋体"/>
          <w:sz w:val="24"/>
          <w:szCs w:val="24"/>
        </w:rPr>
        <w:t>。</w:t>
      </w:r>
    </w:p>
    <w:p w14:paraId="5C81DF6D">
      <w:pPr>
        <w:adjustRightInd w:val="0"/>
        <w:snapToGrid w:val="0"/>
        <w:spacing w:line="360" w:lineRule="auto"/>
        <w:ind w:left="479" w:leftChars="228" w:firstLine="0" w:firstLineChars="0"/>
        <w:rPr>
          <w:rFonts w:hint="eastAsia" w:ascii="宋体" w:hAnsi="宋体" w:cs="宋体"/>
          <w:sz w:val="24"/>
          <w:szCs w:val="24"/>
        </w:rPr>
      </w:pPr>
      <w:r>
        <w:rPr>
          <w:rFonts w:hint="eastAsia" w:ascii="宋体" w:hAnsi="宋体" w:cs="宋体"/>
          <w:sz w:val="24"/>
          <w:szCs w:val="24"/>
        </w:rPr>
        <w:t>本项目（否）接受联合体。</w:t>
      </w:r>
    </w:p>
    <w:p w14:paraId="61FC009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三、获取（下载）招标文件</w:t>
      </w:r>
      <w:bookmarkEnd w:id="17"/>
      <w:bookmarkEnd w:id="18"/>
    </w:p>
    <w:p w14:paraId="35896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cs="宋体"/>
          <w:color w:val="FF0000"/>
          <w:sz w:val="24"/>
          <w:szCs w:val="24"/>
          <w:highlight w:val="none"/>
          <w:lang w:val="en-US" w:eastAsia="zh-CN"/>
        </w:rPr>
        <w:t>2026年04月02日至2026年04月10日</w:t>
      </w:r>
      <w:r>
        <w:rPr>
          <w:rFonts w:hint="eastAsia" w:ascii="宋体" w:hAnsi="宋体" w:eastAsia="宋体" w:cs="宋体"/>
          <w:color w:val="auto"/>
          <w:sz w:val="24"/>
          <w:szCs w:val="24"/>
          <w:highlight w:val="none"/>
        </w:rPr>
        <w:t>，每天上午00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p>
    <w:p w14:paraId="5F2EC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1AF50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方式：供应商登录政采云平台https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1F4B8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r>
        <w:rPr>
          <w:rFonts w:hint="eastAsia" w:ascii="宋体" w:hAnsi="宋体" w:eastAsia="宋体" w:cs="宋体"/>
          <w:snapToGrid/>
          <w:color w:val="auto"/>
          <w:kern w:val="2"/>
          <w:sz w:val="24"/>
          <w:szCs w:val="24"/>
          <w:highlight w:val="none"/>
          <w:lang w:val="en-US" w:eastAsia="zh-CN" w:bidi="ar-SA"/>
        </w:rPr>
        <w:t>元</w:t>
      </w:r>
    </w:p>
    <w:p w14:paraId="5D449D0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9" w:name="_Toc24473"/>
      <w:bookmarkStart w:id="20" w:name="_Toc24068"/>
      <w:r>
        <w:rPr>
          <w:rFonts w:hint="eastAsia" w:ascii="宋体" w:hAnsi="宋体" w:eastAsia="宋体" w:cs="宋体"/>
          <w:b/>
          <w:bCs/>
          <w:color w:val="auto"/>
          <w:sz w:val="24"/>
          <w:szCs w:val="24"/>
          <w:highlight w:val="none"/>
        </w:rPr>
        <w:t>四、</w:t>
      </w:r>
      <w:bookmarkEnd w:id="19"/>
      <w:bookmarkEnd w:id="20"/>
      <w:r>
        <w:rPr>
          <w:rFonts w:hint="eastAsia" w:asciiTheme="minorEastAsia" w:hAnsiTheme="minorEastAsia" w:eastAsiaTheme="minorEastAsia" w:cstheme="minorEastAsia"/>
          <w:b/>
          <w:bCs/>
          <w:color w:val="auto"/>
          <w:sz w:val="24"/>
          <w:szCs w:val="24"/>
          <w:highlight w:val="none"/>
          <w:lang w:val="en-US" w:eastAsia="zh-CN"/>
        </w:rPr>
        <w:t>响应文件提交</w:t>
      </w:r>
    </w:p>
    <w:p w14:paraId="42F032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rPr>
        <w:t>（北京时间）</w:t>
      </w:r>
    </w:p>
    <w:p w14:paraId="6A30AC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Theme="minorEastAsia" w:hAnsiTheme="minorEastAsia" w:eastAsiaTheme="minorEastAsia" w:cstheme="minorEastAsia"/>
          <w:color w:val="auto"/>
          <w:sz w:val="24"/>
          <w:szCs w:val="24"/>
          <w:highlight w:val="none"/>
          <w:lang w:val="en-US" w:eastAsia="zh-CN"/>
        </w:rPr>
        <w:t>请登录政采云投标客户端投标</w:t>
      </w:r>
    </w:p>
    <w:p w14:paraId="01289C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bCs/>
          <w:color w:val="auto"/>
          <w:sz w:val="24"/>
          <w:szCs w:val="24"/>
          <w:highlight w:val="none"/>
          <w:lang w:val="en-US"/>
        </w:rPr>
      </w:pPr>
      <w:bookmarkStart w:id="21" w:name="_Toc2786"/>
      <w:bookmarkStart w:id="22" w:name="_Toc989"/>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响应文件开启</w:t>
      </w:r>
    </w:p>
    <w:p w14:paraId="18AFB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开启时间：</w:t>
      </w:r>
      <w:r>
        <w:rPr>
          <w:rFonts w:hint="eastAsia" w:asciiTheme="minorEastAsia" w:hAnsiTheme="minorEastAsia" w:eastAsiaTheme="minorEastAsia" w:cstheme="minorEastAsia"/>
          <w:color w:val="FF0000"/>
          <w:sz w:val="24"/>
          <w:szCs w:val="24"/>
          <w:highlight w:val="none"/>
          <w:lang w:val="en-US" w:eastAsia="zh-CN"/>
        </w:rPr>
        <w:t>2026年04月23日11：00</w:t>
      </w:r>
      <w:r>
        <w:rPr>
          <w:rFonts w:hint="eastAsia" w:asciiTheme="minorEastAsia" w:hAnsiTheme="minorEastAsia" w:eastAsiaTheme="minorEastAsia" w:cstheme="minorEastAsia"/>
          <w:color w:val="auto"/>
          <w:sz w:val="24"/>
          <w:szCs w:val="24"/>
          <w:highlight w:val="none"/>
          <w:lang w:val="en-US" w:eastAsia="zh-CN"/>
        </w:rPr>
        <w:t>（北京时间）</w:t>
      </w:r>
    </w:p>
    <w:p w14:paraId="7FE5F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地点：</w:t>
      </w:r>
      <w:r>
        <w:rPr>
          <w:rFonts w:hint="eastAsia" w:ascii="宋体" w:hAnsi="宋体" w:eastAsia="宋体" w:cs="宋体"/>
          <w:color w:val="auto"/>
          <w:sz w:val="24"/>
          <w:szCs w:val="24"/>
          <w:highlight w:val="none"/>
        </w:rPr>
        <w:t>投标人登录政采云平台https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54A2B8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1"/>
      <w:bookmarkEnd w:id="22"/>
    </w:p>
    <w:p w14:paraId="71A60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62B64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bookmarkStart w:id="23" w:name="_Toc4506"/>
      <w:bookmarkStart w:id="24" w:name="_Toc14189"/>
      <w:r>
        <w:rPr>
          <w:rFonts w:hint="eastAsia" w:ascii="宋体" w:hAnsi="宋体" w:eastAsia="宋体" w:cs="宋体"/>
          <w:b/>
          <w:bCs/>
          <w:color w:val="auto"/>
          <w:sz w:val="24"/>
          <w:szCs w:val="24"/>
          <w:highlight w:val="none"/>
        </w:rPr>
        <w:t>七、其他补充事宜</w:t>
      </w:r>
      <w:bookmarkEnd w:id="23"/>
      <w:bookmarkEnd w:id="24"/>
    </w:p>
    <w:p w14:paraId="070666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w:t>
      </w:r>
    </w:p>
    <w:p w14:paraId="43A4F8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162E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2012F1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1F65E3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、对本次采购提出询问，请按以下方式联系</w:t>
      </w:r>
    </w:p>
    <w:p w14:paraId="13ABF6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5" w:name="_Toc3504"/>
      <w:bookmarkStart w:id="26" w:name="_Toc5973"/>
      <w:r>
        <w:rPr>
          <w:rFonts w:hint="eastAsia" w:ascii="宋体" w:hAnsi="宋体" w:eastAsia="宋体" w:cs="宋体"/>
          <w:color w:val="auto"/>
          <w:sz w:val="24"/>
          <w:szCs w:val="24"/>
          <w:highlight w:val="none"/>
        </w:rPr>
        <w:t>1.采购人信息</w:t>
      </w:r>
      <w:bookmarkEnd w:id="25"/>
      <w:bookmarkEnd w:id="26"/>
    </w:p>
    <w:p w14:paraId="6B3296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5F664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乌鲁木齐市沙依巴克区泽普街466号</w:t>
      </w:r>
    </w:p>
    <w:p w14:paraId="6AAFF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bookmarkStart w:id="27" w:name="_Toc25180"/>
      <w:bookmarkStart w:id="28" w:name="_Toc9918"/>
      <w:r>
        <w:rPr>
          <w:rFonts w:hint="eastAsia" w:ascii="宋体" w:hAnsi="宋体" w:cs="宋体"/>
          <w:color w:val="auto"/>
          <w:sz w:val="24"/>
          <w:szCs w:val="24"/>
          <w:highlight w:val="none"/>
          <w:lang w:eastAsia="zh-CN"/>
        </w:rPr>
        <w:t>0991-8778787</w:t>
      </w:r>
      <w:r>
        <w:rPr>
          <w:rFonts w:hint="eastAsia" w:ascii="宋体" w:hAnsi="宋体" w:eastAsia="宋体" w:cs="宋体"/>
          <w:color w:val="auto"/>
          <w:sz w:val="24"/>
          <w:szCs w:val="24"/>
          <w:highlight w:val="none"/>
        </w:rPr>
        <w:t>2</w:t>
      </w:r>
    </w:p>
    <w:p w14:paraId="2AD7B6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采购代理机构信息</w:t>
      </w:r>
      <w:bookmarkEnd w:id="27"/>
      <w:bookmarkEnd w:id="28"/>
    </w:p>
    <w:p w14:paraId="63AB8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lang w:val="en-US" w:eastAsia="zh-CN"/>
        </w:rPr>
        <w:t>众通桥项目管理咨询</w:t>
      </w:r>
      <w:r>
        <w:rPr>
          <w:rFonts w:hint="eastAsia" w:ascii="宋体" w:hAnsi="宋体" w:eastAsia="宋体" w:cs="宋体"/>
          <w:color w:val="auto"/>
          <w:sz w:val="24"/>
          <w:szCs w:val="24"/>
          <w:highlight w:val="none"/>
          <w:lang w:eastAsia="zh-CN"/>
        </w:rPr>
        <w:t>有限公司</w:t>
      </w:r>
    </w:p>
    <w:p w14:paraId="405BF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乌鲁木齐市沙依巴克区克拉玛依西街880号安佳大厦C602</w:t>
      </w:r>
    </w:p>
    <w:p w14:paraId="6EF556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程云翠 陈琼 张媛媛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15739558062 13379780240</w:t>
      </w:r>
    </w:p>
    <w:p w14:paraId="7B8DBF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 w:name="_Toc20069"/>
      <w:bookmarkStart w:id="30" w:name="_Toc16872"/>
      <w:r>
        <w:rPr>
          <w:rFonts w:hint="eastAsia" w:ascii="宋体" w:hAnsi="宋体" w:eastAsia="宋体" w:cs="宋体"/>
          <w:color w:val="auto"/>
          <w:sz w:val="24"/>
          <w:szCs w:val="24"/>
          <w:highlight w:val="none"/>
        </w:rPr>
        <w:t>3.项目联系方式</w:t>
      </w:r>
      <w:bookmarkEnd w:id="29"/>
      <w:bookmarkEnd w:id="30"/>
    </w:p>
    <w:p w14:paraId="1B3D3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程云翠 陈琼 张媛媛</w:t>
      </w:r>
    </w:p>
    <w:p w14:paraId="02ABD4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default"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15739558062 13379780240</w:t>
      </w:r>
    </w:p>
    <w:p w14:paraId="713307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Style w:val="47"/>
          <w:rFonts w:hint="eastAsia" w:ascii="宋体" w:hAnsi="宋体" w:cs="宋体"/>
          <w:snapToGrid/>
          <w:color w:val="auto"/>
          <w:kern w:val="2"/>
          <w:sz w:val="24"/>
          <w:szCs w:val="24"/>
          <w:highlight w:val="none"/>
          <w:u w:val="none"/>
          <w:lang w:val="en-US" w:eastAsia="zh-CN" w:bidi="ar-SA"/>
        </w:rPr>
      </w:pPr>
      <w:r>
        <w:rPr>
          <w:rFonts w:hint="eastAsia" w:ascii="宋体" w:hAnsi="宋体" w:cs="宋体"/>
          <w:snapToGrid/>
          <w:color w:val="auto"/>
          <w:kern w:val="2"/>
          <w:sz w:val="24"/>
          <w:szCs w:val="24"/>
          <w:highlight w:val="none"/>
          <w:u w:val="none"/>
          <w:lang w:val="en-US" w:eastAsia="zh-CN" w:bidi="ar-SA"/>
        </w:rPr>
        <w:fldChar w:fldCharType="begin"/>
      </w:r>
      <w:r>
        <w:rPr>
          <w:rFonts w:hint="eastAsia" w:ascii="宋体" w:hAnsi="宋体" w:cs="宋体"/>
          <w:snapToGrid/>
          <w:color w:val="auto"/>
          <w:kern w:val="2"/>
          <w:sz w:val="24"/>
          <w:szCs w:val="24"/>
          <w:highlight w:val="none"/>
          <w:u w:val="none"/>
          <w:lang w:val="en-US" w:eastAsia="zh-CN" w:bidi="ar-SA"/>
        </w:rPr>
        <w:instrText xml:space="preserve"> HYPERLINK "mailto:619868284@qq.com" </w:instrText>
      </w:r>
      <w:r>
        <w:rPr>
          <w:rFonts w:hint="eastAsia" w:ascii="宋体" w:hAnsi="宋体" w:cs="宋体"/>
          <w:snapToGrid/>
          <w:color w:val="auto"/>
          <w:kern w:val="2"/>
          <w:sz w:val="24"/>
          <w:szCs w:val="24"/>
          <w:highlight w:val="none"/>
          <w:u w:val="none"/>
          <w:lang w:val="en-US" w:eastAsia="zh-CN" w:bidi="ar-SA"/>
        </w:rPr>
        <w:fldChar w:fldCharType="separate"/>
      </w:r>
    </w:p>
    <w:p w14:paraId="39D79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napToGrid/>
          <w:color w:val="auto"/>
          <w:kern w:val="2"/>
          <w:sz w:val="24"/>
          <w:szCs w:val="24"/>
          <w:highlight w:val="none"/>
          <w:u w:val="none"/>
          <w:lang w:val="en-US" w:eastAsia="zh-CN" w:bidi="ar-SA"/>
        </w:rPr>
      </w:pPr>
      <w:r>
        <w:rPr>
          <w:rStyle w:val="47"/>
          <w:rFonts w:hint="eastAsia" w:ascii="宋体" w:hAnsi="宋体" w:cs="宋体"/>
          <w:snapToGrid/>
          <w:color w:val="auto"/>
          <w:kern w:val="2"/>
          <w:sz w:val="24"/>
          <w:szCs w:val="24"/>
          <w:highlight w:val="none"/>
          <w:u w:val="none"/>
          <w:lang w:val="en-US" w:eastAsia="zh-CN" w:bidi="ar-SA"/>
        </w:rPr>
        <w:br w:type="page"/>
      </w:r>
      <w:r>
        <w:rPr>
          <w:rFonts w:hint="eastAsia" w:ascii="宋体" w:hAnsi="宋体" w:cs="宋体"/>
          <w:snapToGrid/>
          <w:color w:val="auto"/>
          <w:kern w:val="2"/>
          <w:sz w:val="24"/>
          <w:szCs w:val="24"/>
          <w:highlight w:val="none"/>
          <w:u w:val="none"/>
          <w:lang w:val="en-US" w:eastAsia="zh-CN" w:bidi="ar-SA"/>
        </w:rPr>
        <w:fldChar w:fldCharType="end"/>
      </w:r>
    </w:p>
    <w:bookmarkEnd w:id="8"/>
    <w:bookmarkEnd w:id="9"/>
    <w:p w14:paraId="44C7B4C4">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afterAutospacing="0" w:line="360" w:lineRule="auto"/>
        <w:jc w:val="center"/>
        <w:textAlignment w:val="auto"/>
        <w:outlineLvl w:val="0"/>
        <w:rPr>
          <w:rFonts w:hint="eastAsia" w:ascii="宋体" w:hAnsi="宋体" w:eastAsia="宋体" w:cs="宋体"/>
          <w:color w:val="auto"/>
          <w:sz w:val="24"/>
          <w:szCs w:val="24"/>
          <w:highlight w:val="none"/>
          <w:lang w:eastAsia="zh-CN"/>
        </w:rPr>
      </w:pPr>
      <w:bookmarkStart w:id="31" w:name="_Toc30059"/>
      <w:bookmarkStart w:id="32" w:name="_Toc2509"/>
      <w:bookmarkStart w:id="33" w:name="_Toc349573119"/>
      <w:bookmarkStart w:id="34" w:name="_Toc31463"/>
      <w:bookmarkStart w:id="35" w:name="_Toc349637918"/>
      <w:bookmarkStart w:id="36" w:name="_Toc298240403"/>
      <w:r>
        <w:rPr>
          <w:rFonts w:hint="eastAsia" w:ascii="宋体" w:hAnsi="宋体" w:eastAsia="宋体" w:cs="宋体"/>
          <w:color w:val="auto"/>
          <w:sz w:val="32"/>
          <w:szCs w:val="32"/>
          <w:highlight w:val="none"/>
        </w:rPr>
        <w:t xml:space="preserve">第二部分 </w:t>
      </w:r>
      <w:r>
        <w:rPr>
          <w:rFonts w:hint="eastAsia" w:ascii="宋体" w:hAnsi="宋体" w:cs="宋体"/>
          <w:color w:val="auto"/>
          <w:sz w:val="32"/>
          <w:szCs w:val="32"/>
          <w:highlight w:val="none"/>
          <w:lang w:val="en-US" w:eastAsia="zh-CN"/>
        </w:rPr>
        <w:t>投标人</w:t>
      </w:r>
      <w:r>
        <w:rPr>
          <w:rFonts w:hint="eastAsia" w:ascii="宋体" w:hAnsi="宋体" w:eastAsia="宋体" w:cs="宋体"/>
          <w:color w:val="auto"/>
          <w:sz w:val="32"/>
          <w:szCs w:val="32"/>
          <w:highlight w:val="none"/>
        </w:rPr>
        <w:t>须知</w:t>
      </w:r>
      <w:bookmarkEnd w:id="31"/>
      <w:bookmarkEnd w:id="32"/>
      <w:bookmarkEnd w:id="33"/>
      <w:bookmarkEnd w:id="34"/>
      <w:bookmarkEnd w:id="35"/>
      <w:bookmarkEnd w:id="36"/>
    </w:p>
    <w:bookmarkEnd w:id="10"/>
    <w:p w14:paraId="0AA1B8A2">
      <w:pPr>
        <w:keepNext/>
        <w:pageBreakBefore w:val="0"/>
        <w:widowControl w:val="0"/>
        <w:kinsoku/>
        <w:wordWrap/>
        <w:overflowPunct/>
        <w:topLinePunct w:val="0"/>
        <w:autoSpaceDE/>
        <w:autoSpaceDN/>
        <w:bidi w:val="0"/>
        <w:adjustRightInd w:val="0"/>
        <w:snapToGrid w:val="0"/>
        <w:spacing w:before="0" w:after="0" w:afterAutospacing="0" w:line="360" w:lineRule="auto"/>
        <w:jc w:val="center"/>
        <w:textAlignment w:val="auto"/>
        <w:outlineLvl w:val="1"/>
        <w:rPr>
          <w:rFonts w:hint="eastAsia" w:ascii="宋体" w:hAnsi="宋体" w:eastAsia="宋体" w:cs="宋体"/>
          <w:color w:val="auto"/>
          <w:sz w:val="28"/>
          <w:szCs w:val="28"/>
          <w:highlight w:val="none"/>
          <w:lang w:eastAsia="zh-CN"/>
        </w:rPr>
      </w:pPr>
      <w:bookmarkStart w:id="37" w:name="_Toc18155"/>
      <w:bookmarkStart w:id="38" w:name="_Toc12315"/>
      <w:bookmarkStart w:id="39" w:name="_Toc349573122"/>
      <w:bookmarkStart w:id="40" w:name="_Toc12816"/>
      <w:bookmarkStart w:id="41" w:name="_Toc23012"/>
      <w:bookmarkStart w:id="42" w:name="_Toc349637920"/>
      <w:bookmarkStart w:id="43" w:name="_Toc349637921"/>
      <w:bookmarkStart w:id="44" w:name="_Toc14386"/>
      <w:bookmarkStart w:id="45" w:name="_Toc267301282"/>
      <w:bookmarkStart w:id="46" w:name="_Toc267301283"/>
      <w:bookmarkStart w:id="47" w:name="_Toc298240406"/>
      <w:bookmarkStart w:id="48" w:name="_Toc298240405"/>
      <w:bookmarkStart w:id="49" w:name="_Toc349573121"/>
      <w:bookmarkStart w:id="50" w:name="_Toc19157"/>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eastAsia="zh-CN"/>
        </w:rPr>
        <w:t>须知前附表</w:t>
      </w:r>
      <w:bookmarkEnd w:id="37"/>
      <w:bookmarkEnd w:id="38"/>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2150"/>
        <w:gridCol w:w="6891"/>
      </w:tblGrid>
      <w:tr w14:paraId="40298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21" w:type="dxa"/>
            <w:tcBorders>
              <w:top w:val="single" w:color="auto" w:sz="4" w:space="0"/>
              <w:bottom w:val="single" w:color="auto" w:sz="4" w:space="0"/>
              <w:right w:val="single" w:color="auto" w:sz="4" w:space="0"/>
            </w:tcBorders>
            <w:noWrap w:val="0"/>
            <w:vAlign w:val="center"/>
          </w:tcPr>
          <w:p w14:paraId="3A6A48FE">
            <w:pPr>
              <w:pStyle w:val="25"/>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150" w:type="dxa"/>
            <w:tcBorders>
              <w:top w:val="single" w:color="auto" w:sz="4" w:space="0"/>
              <w:bottom w:val="single" w:color="auto" w:sz="4" w:space="0"/>
              <w:right w:val="single" w:color="auto" w:sz="4" w:space="0"/>
            </w:tcBorders>
            <w:noWrap w:val="0"/>
            <w:vAlign w:val="center"/>
          </w:tcPr>
          <w:p w14:paraId="64B3194E">
            <w:pPr>
              <w:pStyle w:val="25"/>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名 称</w:t>
            </w:r>
          </w:p>
        </w:tc>
        <w:tc>
          <w:tcPr>
            <w:tcW w:w="6891" w:type="dxa"/>
            <w:tcBorders>
              <w:top w:val="single" w:color="auto" w:sz="4" w:space="0"/>
              <w:left w:val="single" w:color="auto" w:sz="4" w:space="0"/>
              <w:bottom w:val="single" w:color="auto" w:sz="4" w:space="0"/>
            </w:tcBorders>
            <w:noWrap w:val="0"/>
            <w:vAlign w:val="center"/>
          </w:tcPr>
          <w:p w14:paraId="14144FC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  容</w:t>
            </w:r>
          </w:p>
        </w:tc>
      </w:tr>
      <w:tr w14:paraId="0E837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21" w:type="dxa"/>
            <w:tcBorders>
              <w:top w:val="single" w:color="auto" w:sz="4" w:space="0"/>
              <w:bottom w:val="single" w:color="auto" w:sz="4" w:space="0"/>
              <w:right w:val="single" w:color="auto" w:sz="4" w:space="0"/>
            </w:tcBorders>
            <w:noWrap w:val="0"/>
            <w:vAlign w:val="center"/>
          </w:tcPr>
          <w:p w14:paraId="72D849F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tcBorders>
              <w:top w:val="single" w:color="auto" w:sz="4" w:space="0"/>
              <w:bottom w:val="single" w:color="auto" w:sz="4" w:space="0"/>
              <w:right w:val="single" w:color="auto" w:sz="4" w:space="0"/>
            </w:tcBorders>
            <w:noWrap w:val="0"/>
            <w:vAlign w:val="center"/>
          </w:tcPr>
          <w:p w14:paraId="199A66E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91" w:type="dxa"/>
            <w:tcBorders>
              <w:top w:val="single" w:color="auto" w:sz="4" w:space="0"/>
              <w:left w:val="single" w:color="auto" w:sz="4" w:space="0"/>
              <w:bottom w:val="single" w:color="auto" w:sz="4" w:space="0"/>
            </w:tcBorders>
            <w:noWrap w:val="0"/>
            <w:vAlign w:val="center"/>
          </w:tcPr>
          <w:p w14:paraId="0CEDFF54">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新疆西昆仑地区地质勘查服务采购项目</w:t>
            </w:r>
          </w:p>
        </w:tc>
      </w:tr>
      <w:tr w14:paraId="0983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1" w:type="dxa"/>
            <w:tcBorders>
              <w:top w:val="single" w:color="auto" w:sz="4" w:space="0"/>
              <w:bottom w:val="single" w:color="auto" w:sz="4" w:space="0"/>
              <w:right w:val="single" w:color="auto" w:sz="4" w:space="0"/>
            </w:tcBorders>
            <w:noWrap w:val="0"/>
            <w:vAlign w:val="center"/>
          </w:tcPr>
          <w:p w14:paraId="057AD45F">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0" w:type="dxa"/>
            <w:tcBorders>
              <w:top w:val="single" w:color="auto" w:sz="4" w:space="0"/>
              <w:bottom w:val="single" w:color="auto" w:sz="4" w:space="0"/>
              <w:right w:val="single" w:color="auto" w:sz="4" w:space="0"/>
            </w:tcBorders>
            <w:noWrap w:val="0"/>
            <w:vAlign w:val="center"/>
          </w:tcPr>
          <w:p w14:paraId="5F7CEDA3">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91" w:type="dxa"/>
            <w:tcBorders>
              <w:top w:val="single" w:color="auto" w:sz="4" w:space="0"/>
              <w:left w:val="single" w:color="auto" w:sz="4" w:space="0"/>
              <w:bottom w:val="single" w:color="auto" w:sz="4" w:space="0"/>
            </w:tcBorders>
            <w:noWrap w:val="0"/>
            <w:vAlign w:val="center"/>
          </w:tcPr>
          <w:p w14:paraId="52EB8BB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ZTQ-2026041</w:t>
            </w:r>
          </w:p>
        </w:tc>
      </w:tr>
      <w:tr w14:paraId="4743E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F1F842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2150" w:type="dxa"/>
            <w:tcBorders>
              <w:top w:val="single" w:color="auto" w:sz="4" w:space="0"/>
              <w:bottom w:val="single" w:color="auto" w:sz="4" w:space="0"/>
              <w:right w:val="single" w:color="auto" w:sz="4" w:space="0"/>
            </w:tcBorders>
            <w:noWrap w:val="0"/>
            <w:vAlign w:val="center"/>
          </w:tcPr>
          <w:p w14:paraId="678228C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1" w:type="dxa"/>
            <w:tcBorders>
              <w:top w:val="single" w:color="auto" w:sz="4" w:space="0"/>
              <w:left w:val="single" w:color="auto" w:sz="4" w:space="0"/>
              <w:bottom w:val="single" w:color="auto" w:sz="4" w:space="0"/>
            </w:tcBorders>
            <w:noWrap w:val="0"/>
            <w:vAlign w:val="center"/>
          </w:tcPr>
          <w:p w14:paraId="5ACC5D8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公开招标</w:t>
            </w:r>
          </w:p>
        </w:tc>
      </w:tr>
      <w:tr w14:paraId="57B8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5DCC37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150" w:type="dxa"/>
            <w:tcBorders>
              <w:top w:val="single" w:color="auto" w:sz="4" w:space="0"/>
              <w:bottom w:val="single" w:color="auto" w:sz="4" w:space="0"/>
              <w:right w:val="single" w:color="auto" w:sz="4" w:space="0"/>
            </w:tcBorders>
            <w:noWrap w:val="0"/>
            <w:vAlign w:val="center"/>
          </w:tcPr>
          <w:p w14:paraId="5A09E344">
            <w:pPr>
              <w:pStyle w:val="21"/>
              <w:rPr>
                <w:rFonts w:hint="eastAsia"/>
                <w:color w:val="auto"/>
                <w:highlight w:val="none"/>
                <w:lang w:val="en-US" w:eastAsia="zh-CN"/>
              </w:rPr>
            </w:pPr>
            <w:r>
              <w:rPr>
                <w:rFonts w:hint="eastAsia" w:ascii="宋体" w:hAnsi="宋体" w:eastAsia="宋体" w:cs="宋体"/>
                <w:color w:val="auto"/>
                <w:sz w:val="24"/>
                <w:szCs w:val="24"/>
                <w:highlight w:val="none"/>
              </w:rPr>
              <w:t>预算金额</w:t>
            </w:r>
          </w:p>
        </w:tc>
        <w:tc>
          <w:tcPr>
            <w:tcW w:w="6891" w:type="dxa"/>
            <w:tcBorders>
              <w:top w:val="single" w:color="auto" w:sz="4" w:space="0"/>
              <w:left w:val="single" w:color="auto" w:sz="4" w:space="0"/>
              <w:bottom w:val="single" w:color="auto" w:sz="4" w:space="0"/>
            </w:tcBorders>
            <w:noWrap w:val="0"/>
            <w:vAlign w:val="center"/>
          </w:tcPr>
          <w:p w14:paraId="1E05ED22">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18874796.00元</w:t>
            </w:r>
          </w:p>
        </w:tc>
      </w:tr>
      <w:tr w14:paraId="49AA8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E16E9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150" w:type="dxa"/>
            <w:tcBorders>
              <w:top w:val="single" w:color="auto" w:sz="4" w:space="0"/>
              <w:bottom w:val="single" w:color="auto" w:sz="4" w:space="0"/>
              <w:right w:val="single" w:color="auto" w:sz="4" w:space="0"/>
            </w:tcBorders>
            <w:noWrap w:val="0"/>
            <w:vAlign w:val="center"/>
          </w:tcPr>
          <w:p w14:paraId="48252228">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6891" w:type="dxa"/>
            <w:tcBorders>
              <w:top w:val="single" w:color="auto" w:sz="4" w:space="0"/>
              <w:left w:val="single" w:color="auto" w:sz="4" w:space="0"/>
              <w:bottom w:val="single" w:color="auto" w:sz="4" w:space="0"/>
            </w:tcBorders>
            <w:noWrap w:val="0"/>
            <w:vAlign w:val="center"/>
          </w:tcPr>
          <w:p w14:paraId="3E2F99A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18874796.00元</w:t>
            </w:r>
          </w:p>
        </w:tc>
      </w:tr>
      <w:tr w14:paraId="260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5DA8D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150" w:type="dxa"/>
            <w:tcBorders>
              <w:top w:val="single" w:color="auto" w:sz="4" w:space="0"/>
              <w:bottom w:val="single" w:color="auto" w:sz="4" w:space="0"/>
              <w:right w:val="single" w:color="auto" w:sz="4" w:space="0"/>
            </w:tcBorders>
            <w:noWrap w:val="0"/>
            <w:vAlign w:val="center"/>
          </w:tcPr>
          <w:p w14:paraId="49416D7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c>
        <w:tc>
          <w:tcPr>
            <w:tcW w:w="6891" w:type="dxa"/>
            <w:tcBorders>
              <w:top w:val="single" w:color="auto" w:sz="4" w:space="0"/>
              <w:left w:val="single" w:color="auto" w:sz="4" w:space="0"/>
              <w:bottom w:val="single" w:color="auto" w:sz="4" w:space="0"/>
            </w:tcBorders>
            <w:noWrap w:val="0"/>
            <w:vAlign w:val="center"/>
          </w:tcPr>
          <w:p w14:paraId="6F88966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详见第三部分 采购需求</w:t>
            </w:r>
          </w:p>
        </w:tc>
      </w:tr>
      <w:tr w14:paraId="12C3A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415CDE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150" w:type="dxa"/>
            <w:tcBorders>
              <w:top w:val="single" w:color="auto" w:sz="4" w:space="0"/>
              <w:bottom w:val="single" w:color="auto" w:sz="4" w:space="0"/>
              <w:right w:val="single" w:color="auto" w:sz="4" w:space="0"/>
            </w:tcBorders>
            <w:noWrap w:val="0"/>
            <w:vAlign w:val="center"/>
          </w:tcPr>
          <w:p w14:paraId="1DDADBA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891" w:type="dxa"/>
            <w:tcBorders>
              <w:top w:val="single" w:color="auto" w:sz="4" w:space="0"/>
              <w:left w:val="single" w:color="auto" w:sz="4" w:space="0"/>
              <w:bottom w:val="single" w:color="auto" w:sz="4" w:space="0"/>
            </w:tcBorders>
            <w:noWrap w:val="0"/>
            <w:vAlign w:val="center"/>
          </w:tcPr>
          <w:p w14:paraId="646ED83C">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14:paraId="637C6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9B0BDCE">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2150" w:type="dxa"/>
            <w:tcBorders>
              <w:top w:val="single" w:color="auto" w:sz="4" w:space="0"/>
              <w:bottom w:val="single" w:color="auto" w:sz="4" w:space="0"/>
              <w:right w:val="single" w:color="auto" w:sz="4" w:space="0"/>
            </w:tcBorders>
            <w:noWrap w:val="0"/>
            <w:vAlign w:val="center"/>
          </w:tcPr>
          <w:p w14:paraId="1F4F9077">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w:t>
            </w:r>
          </w:p>
        </w:tc>
        <w:tc>
          <w:tcPr>
            <w:tcW w:w="6891" w:type="dxa"/>
            <w:tcBorders>
              <w:top w:val="single" w:color="auto" w:sz="4" w:space="0"/>
              <w:left w:val="single" w:color="auto" w:sz="4" w:space="0"/>
              <w:bottom w:val="single" w:color="auto" w:sz="4" w:space="0"/>
            </w:tcBorders>
            <w:noWrap w:val="0"/>
            <w:vAlign w:val="center"/>
          </w:tcPr>
          <w:p w14:paraId="02BBEFBD">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4D292CFD">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乌鲁木齐市沙依巴克区泽普街466号</w:t>
            </w:r>
          </w:p>
          <w:p w14:paraId="0C35FCBA">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张先生</w:t>
            </w:r>
          </w:p>
          <w:p w14:paraId="0C942FA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0991-87787872</w:t>
            </w:r>
          </w:p>
        </w:tc>
      </w:tr>
      <w:tr w14:paraId="5E6E7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F8218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06FC732B">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891" w:type="dxa"/>
            <w:tcBorders>
              <w:top w:val="single" w:color="auto" w:sz="4" w:space="0"/>
              <w:left w:val="single" w:color="auto" w:sz="4" w:space="0"/>
              <w:bottom w:val="single" w:color="auto" w:sz="4" w:space="0"/>
            </w:tcBorders>
            <w:noWrap w:val="0"/>
            <w:vAlign w:val="center"/>
          </w:tcPr>
          <w:p w14:paraId="2E60129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新疆众通桥项目管理咨询有限公司</w:t>
            </w:r>
          </w:p>
          <w:p w14:paraId="32209D7A">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乌鲁木齐市沙依巴克区克拉玛依西街880号安佳大厦C602</w:t>
            </w:r>
          </w:p>
          <w:p w14:paraId="77DC0F2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程云翠 陈琼 张媛媛</w:t>
            </w:r>
          </w:p>
          <w:p w14:paraId="18D28EA7">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15739558062 13379780240</w:t>
            </w:r>
          </w:p>
        </w:tc>
      </w:tr>
      <w:tr w14:paraId="4D92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B31A8D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2150" w:type="dxa"/>
            <w:tcBorders>
              <w:top w:val="single" w:color="auto" w:sz="4" w:space="0"/>
              <w:bottom w:val="single" w:color="auto" w:sz="4" w:space="0"/>
              <w:right w:val="single" w:color="auto" w:sz="4" w:space="0"/>
            </w:tcBorders>
            <w:noWrap w:val="0"/>
            <w:vAlign w:val="center"/>
          </w:tcPr>
          <w:p w14:paraId="501A4E68">
            <w:pPr>
              <w:spacing w:line="320" w:lineRule="exact"/>
              <w:jc w:val="center"/>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投标人资质资格要求</w:t>
            </w:r>
          </w:p>
        </w:tc>
        <w:tc>
          <w:tcPr>
            <w:tcW w:w="6891" w:type="dxa"/>
            <w:tcBorders>
              <w:top w:val="single" w:color="auto" w:sz="4" w:space="0"/>
              <w:left w:val="single" w:color="auto" w:sz="4" w:space="0"/>
              <w:bottom w:val="single" w:color="auto" w:sz="4" w:space="0"/>
            </w:tcBorders>
            <w:noWrap w:val="0"/>
            <w:vAlign w:val="center"/>
          </w:tcPr>
          <w:p w14:paraId="75AB6A30">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5FFC364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1.1具有独立承担民事责任的能力的投标人；</w:t>
            </w:r>
          </w:p>
          <w:p w14:paraId="7162A713">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1.2具有良好的商业信誉和健全的财务会计制度；</w:t>
            </w:r>
          </w:p>
          <w:p w14:paraId="3662AD5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1.3具有履行合同所必需的设备和专业技术能力；</w:t>
            </w:r>
          </w:p>
          <w:p w14:paraId="5B07B8A9">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1.4有依法缴纳税收和社会保障资金的良好记录；</w:t>
            </w:r>
          </w:p>
          <w:p w14:paraId="614C05A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1.5参加本次采购活动前三年内，在经营活动中没有重大违法记录；</w:t>
            </w:r>
          </w:p>
          <w:p w14:paraId="024524B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1.6法律、行政法规规定的其他条件。</w:t>
            </w:r>
          </w:p>
          <w:p w14:paraId="75C3F5F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cs="宋体"/>
                <w:b w:val="0"/>
                <w:bCs w:val="0"/>
                <w:color w:val="auto"/>
                <w:sz w:val="24"/>
                <w:szCs w:val="24"/>
                <w:highlight w:val="none"/>
                <w:lang w:val="en-US" w:eastAsia="zh-CN"/>
              </w:rPr>
              <w:t>专门面向中小企业采购项目</w:t>
            </w:r>
          </w:p>
          <w:p w14:paraId="47BB232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3.1投标人须提供有效的《安全生产许可证》</w:t>
            </w:r>
          </w:p>
          <w:p w14:paraId="79EF8499">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3.2项目负责人</w:t>
            </w:r>
          </w:p>
          <w:p w14:paraId="2012F88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（1）须具备地质矿产勘查相关专业高级工程师及以上职称；</w:t>
            </w:r>
          </w:p>
          <w:p w14:paraId="4EC743C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（2）须为投标人在职人员，提供投标截止时间前近1个月的社保缴纳证明。</w:t>
            </w:r>
          </w:p>
        </w:tc>
      </w:tr>
      <w:tr w14:paraId="7728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42191B">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2150" w:type="dxa"/>
            <w:tcBorders>
              <w:top w:val="single" w:color="auto" w:sz="4" w:space="0"/>
              <w:bottom w:val="single" w:color="auto" w:sz="4" w:space="0"/>
              <w:right w:val="single" w:color="auto" w:sz="4" w:space="0"/>
            </w:tcBorders>
            <w:noWrap w:val="0"/>
            <w:vAlign w:val="center"/>
          </w:tcPr>
          <w:p w14:paraId="1F61B43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w:t>
            </w:r>
          </w:p>
        </w:tc>
        <w:tc>
          <w:tcPr>
            <w:tcW w:w="6891" w:type="dxa"/>
            <w:tcBorders>
              <w:top w:val="single" w:color="auto" w:sz="4" w:space="0"/>
              <w:left w:val="single" w:color="auto" w:sz="4" w:space="0"/>
              <w:bottom w:val="single" w:color="auto" w:sz="4" w:space="0"/>
            </w:tcBorders>
            <w:noWrap w:val="0"/>
            <w:vAlign w:val="center"/>
          </w:tcPr>
          <w:p w14:paraId="2F38011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财政部、工业和信息化部《关于印发政府采购促进中小企业发展管理办法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财政部、司法部《关于政府采购支持监狱企业发展有关问题的通知》（财库[2014]68号）；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财政部、民政部、中国残疾人联合会《关于促进残疾人就业政府采购政策的通知》（财库[2017]141号）；</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财政部、国家发展改革委、生态环境部、市场监管总局《关于调整优化节能产品、环境标志产品政府采购执行机制的通知》（财库[2019]9号）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财政部、生态环境部《关于印发环境标志产品政府采购品目清单的通知》（财库[2019]18号）；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财政部、发展改革委《关于印发节能产品政府采购品目清单的通知》（财库[2019]19号）；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市场监管总局《市场监管总局关于发布参与实施政府采购节能产品、环境标志产品认证机构名录的公告》（2019年第16号）；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《财政部等三部门联合印发商品包装和快递包装政府采购需求标准（试行）》（财办库[2020]123号）等相关政策。</w:t>
            </w:r>
          </w:p>
        </w:tc>
      </w:tr>
      <w:tr w14:paraId="26400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B75AD7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2150" w:type="dxa"/>
            <w:tcBorders>
              <w:top w:val="single" w:color="auto" w:sz="4" w:space="0"/>
              <w:bottom w:val="single" w:color="auto" w:sz="4" w:space="0"/>
              <w:right w:val="single" w:color="auto" w:sz="4" w:space="0"/>
            </w:tcBorders>
            <w:noWrap w:val="0"/>
            <w:vAlign w:val="center"/>
          </w:tcPr>
          <w:p w14:paraId="655351E0">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落实政府采购政策预留份额要求</w:t>
            </w:r>
          </w:p>
        </w:tc>
        <w:tc>
          <w:tcPr>
            <w:tcW w:w="6891" w:type="dxa"/>
            <w:tcBorders>
              <w:top w:val="single" w:color="auto" w:sz="4" w:space="0"/>
              <w:left w:val="single" w:color="auto" w:sz="4" w:space="0"/>
              <w:bottom w:val="single" w:color="auto" w:sz="4" w:space="0"/>
            </w:tcBorders>
            <w:noWrap w:val="0"/>
            <w:vAlign w:val="center"/>
          </w:tcPr>
          <w:p w14:paraId="61717371">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1.中小企业政策</w:t>
            </w:r>
          </w:p>
          <w:p w14:paraId="085DD724">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本项目非专门面向中小企业预留采购项目。供应商提供的货物全部由符合政策要求的小微企业制造、服务和工程由符合政策要求的小微企业承接，应对</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20%（工程项目为6%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10%）扣除。</w:t>
            </w:r>
          </w:p>
          <w:p w14:paraId="3ADA20F9">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本项目专门面向中小企业采购。即：供应商为中小企业或监狱企业或残疾人福利性单位；供应商提供的货物全部由符合政策要求的中小/小微企业制造、服务和工程全部由符合政策要求的小微企业承接。</w:t>
            </w:r>
          </w:p>
          <w:p w14:paraId="06E71F05">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□专门面向小微企业采购项目。即：供应商为小微企业或监狱企业或残疾人福利性单位；供应商提供的货物全部由符合政策要求的小微企业制造、服务和工程全部由符合政策要求的小微企业承接。</w:t>
            </w:r>
          </w:p>
          <w:p w14:paraId="2072503F">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2.其它落实政府采购政策的资格要求：</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tc>
      </w:tr>
      <w:tr w14:paraId="4822E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A4CA9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2150" w:type="dxa"/>
            <w:tcBorders>
              <w:top w:val="single" w:color="auto" w:sz="4" w:space="0"/>
              <w:bottom w:val="single" w:color="auto" w:sz="4" w:space="0"/>
              <w:right w:val="single" w:color="auto" w:sz="4" w:space="0"/>
            </w:tcBorders>
            <w:noWrap w:val="0"/>
            <w:vAlign w:val="center"/>
          </w:tcPr>
          <w:p w14:paraId="7CE0E66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价格评审优惠</w:t>
            </w:r>
          </w:p>
        </w:tc>
        <w:tc>
          <w:tcPr>
            <w:tcW w:w="6891" w:type="dxa"/>
            <w:tcBorders>
              <w:top w:val="single" w:color="auto" w:sz="4" w:space="0"/>
              <w:left w:val="single" w:color="auto" w:sz="4" w:space="0"/>
              <w:bottom w:val="single" w:color="auto" w:sz="4" w:space="0"/>
            </w:tcBorders>
            <w:noWrap w:val="0"/>
            <w:vAlign w:val="center"/>
          </w:tcPr>
          <w:p w14:paraId="1A3FB7F5">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报价给予扣除：</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rPr>
              <w:t xml:space="preserve"> </w:t>
            </w:r>
          </w:p>
          <w:p w14:paraId="005CE6A7">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报价不给予扣除</w:t>
            </w:r>
          </w:p>
        </w:tc>
      </w:tr>
      <w:tr w14:paraId="15F8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1FBECE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2150" w:type="dxa"/>
            <w:tcBorders>
              <w:top w:val="single" w:color="auto" w:sz="4" w:space="0"/>
              <w:bottom w:val="single" w:color="auto" w:sz="4" w:space="0"/>
              <w:right w:val="single" w:color="auto" w:sz="4" w:space="0"/>
            </w:tcBorders>
            <w:noWrap w:val="0"/>
            <w:vAlign w:val="center"/>
          </w:tcPr>
          <w:p w14:paraId="50371B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是否接受联合体</w:t>
            </w:r>
          </w:p>
        </w:tc>
        <w:tc>
          <w:tcPr>
            <w:tcW w:w="6891" w:type="dxa"/>
            <w:tcBorders>
              <w:top w:val="single" w:color="auto" w:sz="4" w:space="0"/>
              <w:left w:val="single" w:color="auto" w:sz="4" w:space="0"/>
              <w:bottom w:val="single" w:color="auto" w:sz="4" w:space="0"/>
            </w:tcBorders>
            <w:noWrap w:val="0"/>
            <w:vAlign w:val="center"/>
          </w:tcPr>
          <w:p w14:paraId="5B5FBF38">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2E8C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1CAD05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2150" w:type="dxa"/>
            <w:tcBorders>
              <w:top w:val="single" w:color="auto" w:sz="4" w:space="0"/>
              <w:bottom w:val="single" w:color="auto" w:sz="4" w:space="0"/>
              <w:right w:val="single" w:color="auto" w:sz="4" w:space="0"/>
            </w:tcBorders>
            <w:noWrap w:val="0"/>
            <w:vAlign w:val="center"/>
          </w:tcPr>
          <w:p w14:paraId="3B5860D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标的名称</w:t>
            </w:r>
          </w:p>
        </w:tc>
        <w:tc>
          <w:tcPr>
            <w:tcW w:w="6891" w:type="dxa"/>
            <w:tcBorders>
              <w:top w:val="single" w:color="auto" w:sz="4" w:space="0"/>
              <w:left w:val="single" w:color="auto" w:sz="4" w:space="0"/>
              <w:bottom w:val="single" w:color="auto" w:sz="4" w:space="0"/>
            </w:tcBorders>
            <w:noWrap w:val="0"/>
            <w:vAlign w:val="center"/>
          </w:tcPr>
          <w:p w14:paraId="7B3E03CA">
            <w:pPr>
              <w:spacing w:line="320" w:lineRule="exact"/>
              <w:outlineLvl w:val="9"/>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新疆西昆仑地区地质勘查服务采购项目</w:t>
            </w:r>
          </w:p>
        </w:tc>
      </w:tr>
      <w:tr w14:paraId="12C61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5716A7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DEB3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标的所属行业</w:t>
            </w:r>
          </w:p>
        </w:tc>
        <w:tc>
          <w:tcPr>
            <w:tcW w:w="6891" w:type="dxa"/>
            <w:tcBorders>
              <w:top w:val="single" w:color="auto" w:sz="4" w:space="0"/>
              <w:left w:val="single" w:color="auto" w:sz="4" w:space="0"/>
              <w:bottom w:val="single" w:color="auto" w:sz="4" w:space="0"/>
            </w:tcBorders>
            <w:shd w:val="clear" w:color="auto" w:fill="auto"/>
            <w:noWrap w:val="0"/>
            <w:vAlign w:val="center"/>
          </w:tcPr>
          <w:p w14:paraId="2EA62D9D">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其他未列明行业</w:t>
            </w:r>
          </w:p>
        </w:tc>
      </w:tr>
      <w:tr w14:paraId="738C1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518545E">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1AA4BE">
            <w:pPr>
              <w:spacing w:line="320" w:lineRule="exact"/>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6891" w:type="dxa"/>
            <w:tcBorders>
              <w:top w:val="single" w:color="auto" w:sz="4" w:space="0"/>
              <w:left w:val="single" w:color="auto" w:sz="4" w:space="0"/>
              <w:bottom w:val="single" w:color="auto" w:sz="4" w:space="0"/>
            </w:tcBorders>
            <w:shd w:val="clear" w:color="auto" w:fill="auto"/>
            <w:noWrap w:val="0"/>
            <w:vAlign w:val="center"/>
          </w:tcPr>
          <w:p w14:paraId="389005B2">
            <w:pPr>
              <w:spacing w:line="320" w:lineRule="exact"/>
              <w:outlineLvl w:val="9"/>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90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天（如不满足将导致废标）</w:t>
            </w:r>
          </w:p>
        </w:tc>
      </w:tr>
      <w:tr w14:paraId="6357D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60BD249">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2150" w:type="dxa"/>
            <w:tcBorders>
              <w:top w:val="single" w:color="auto" w:sz="4" w:space="0"/>
              <w:bottom w:val="single" w:color="auto" w:sz="4" w:space="0"/>
              <w:right w:val="single" w:color="auto" w:sz="4" w:space="0"/>
            </w:tcBorders>
            <w:shd w:val="clear" w:color="auto" w:fill="auto"/>
            <w:noWrap w:val="0"/>
            <w:vAlign w:val="center"/>
          </w:tcPr>
          <w:p w14:paraId="4172EFFA">
            <w:pPr>
              <w:pStyle w:val="17"/>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份数</w:t>
            </w:r>
          </w:p>
        </w:tc>
        <w:tc>
          <w:tcPr>
            <w:tcW w:w="6891" w:type="dxa"/>
            <w:tcBorders>
              <w:top w:val="single" w:color="auto" w:sz="4" w:space="0"/>
              <w:left w:val="single" w:color="auto" w:sz="4" w:space="0"/>
              <w:bottom w:val="single" w:color="auto" w:sz="4" w:space="0"/>
            </w:tcBorders>
            <w:shd w:val="clear" w:color="auto" w:fill="auto"/>
            <w:noWrap w:val="0"/>
            <w:vAlign w:val="center"/>
          </w:tcPr>
          <w:p w14:paraId="2835F1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：正本1份，副本2份</w:t>
            </w:r>
          </w:p>
          <w:p w14:paraId="1A6021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注：每本标书厚度不得超过5cm，如超过可进行分册装订。</w:t>
            </w:r>
          </w:p>
          <w:p w14:paraId="6433C7AD">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公示期满由</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单位将纸质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寄至</w:t>
            </w:r>
            <w:r>
              <w:rPr>
                <w:rFonts w:hint="eastAsia" w:asciiTheme="minorEastAsia" w:hAnsiTheme="minorEastAsia" w:eastAsiaTheme="minorEastAsia" w:cstheme="minorEastAsia"/>
                <w:color w:val="auto"/>
                <w:sz w:val="24"/>
                <w:szCs w:val="24"/>
                <w:highlight w:val="none"/>
                <w:lang w:val="en-US" w:eastAsia="zh-CN"/>
              </w:rPr>
              <w:t>采购代理</w:t>
            </w:r>
            <w:r>
              <w:rPr>
                <w:rFonts w:hint="eastAsia" w:asciiTheme="minorEastAsia" w:hAnsiTheme="minorEastAsia" w:eastAsiaTheme="minorEastAsia" w:cstheme="minorEastAsia"/>
                <w:color w:val="auto"/>
                <w:sz w:val="24"/>
                <w:szCs w:val="24"/>
                <w:highlight w:val="none"/>
                <w:lang w:eastAsia="zh-CN"/>
              </w:rPr>
              <w:t>公司</w:t>
            </w:r>
            <w:r>
              <w:rPr>
                <w:rFonts w:hint="eastAsia" w:asciiTheme="minorEastAsia" w:hAnsiTheme="minorEastAsia" w:eastAsiaTheme="minorEastAsia" w:cstheme="minorEastAsia"/>
                <w:color w:val="auto"/>
                <w:sz w:val="24"/>
                <w:szCs w:val="24"/>
                <w:highlight w:val="none"/>
                <w:lang w:val="en-US" w:eastAsia="zh-CN"/>
              </w:rPr>
              <w:t>处</w:t>
            </w:r>
            <w:r>
              <w:rPr>
                <w:rFonts w:hint="eastAsia" w:asciiTheme="minorEastAsia" w:hAnsiTheme="minorEastAsia" w:eastAsiaTheme="minorEastAsia" w:cstheme="minorEastAsia"/>
                <w:color w:val="auto"/>
                <w:sz w:val="24"/>
                <w:szCs w:val="24"/>
                <w:highlight w:val="none"/>
                <w:lang w:eastAsia="zh-CN"/>
              </w:rPr>
              <w:t>）</w:t>
            </w:r>
          </w:p>
        </w:tc>
      </w:tr>
      <w:tr w14:paraId="6F87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C6651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2150" w:type="dxa"/>
            <w:tcBorders>
              <w:top w:val="single" w:color="auto" w:sz="4" w:space="0"/>
              <w:bottom w:val="single" w:color="auto" w:sz="4" w:space="0"/>
              <w:right w:val="single" w:color="auto" w:sz="4" w:space="0"/>
            </w:tcBorders>
            <w:shd w:val="clear" w:color="auto" w:fill="auto"/>
            <w:noWrap w:val="0"/>
            <w:vAlign w:val="center"/>
          </w:tcPr>
          <w:p w14:paraId="2204AB6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color w:val="auto"/>
                <w:kern w:val="2"/>
                <w:sz w:val="24"/>
                <w:szCs w:val="24"/>
                <w:highlight w:val="none"/>
                <w:lang w:val="en-US" w:eastAsia="zh-CN" w:bidi="ar-SA"/>
              </w:rPr>
              <w:t>递交（上传）截止时间及开标时间（投标文件解密时间）</w:t>
            </w:r>
          </w:p>
        </w:tc>
        <w:tc>
          <w:tcPr>
            <w:tcW w:w="6891" w:type="dxa"/>
            <w:tcBorders>
              <w:top w:val="single" w:color="auto" w:sz="4" w:space="0"/>
              <w:left w:val="single" w:color="auto" w:sz="4" w:space="0"/>
              <w:bottom w:val="single" w:color="auto" w:sz="4" w:space="0"/>
            </w:tcBorders>
            <w:shd w:val="clear" w:color="auto" w:fill="auto"/>
            <w:noWrap w:val="0"/>
            <w:vAlign w:val="center"/>
          </w:tcPr>
          <w:p w14:paraId="59DA8AC1">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2026年04月23日11：00</w:t>
            </w:r>
            <w:r>
              <w:rPr>
                <w:rFonts w:hint="eastAsia" w:ascii="宋体" w:hAnsi="宋体" w:eastAsia="宋体" w:cs="宋体"/>
                <w:color w:val="auto"/>
                <w:sz w:val="24"/>
                <w:szCs w:val="24"/>
                <w:highlight w:val="none"/>
              </w:rPr>
              <w:t>（北京时间）</w:t>
            </w:r>
          </w:p>
        </w:tc>
      </w:tr>
      <w:tr w14:paraId="53AB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3AF98C7">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2150" w:type="dxa"/>
            <w:tcBorders>
              <w:top w:val="single" w:color="auto" w:sz="4" w:space="0"/>
              <w:bottom w:val="single" w:color="auto" w:sz="4" w:space="0"/>
              <w:right w:val="single" w:color="auto" w:sz="4" w:space="0"/>
            </w:tcBorders>
            <w:shd w:val="clear" w:color="auto" w:fill="auto"/>
            <w:noWrap w:val="0"/>
            <w:vAlign w:val="center"/>
          </w:tcPr>
          <w:p w14:paraId="042ED03F">
            <w:pPr>
              <w:spacing w:line="320" w:lineRule="exact"/>
              <w:jc w:val="center"/>
              <w:outlineLvl w:val="9"/>
              <w:rPr>
                <w:rFonts w:hint="eastAsia" w:ascii="宋体" w:hAnsi="宋体" w:eastAsia="宋体" w:cs="宋体"/>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rPr>
              <w:t>投标</w:t>
            </w:r>
            <w:r>
              <w:rPr>
                <w:rFonts w:hint="eastAsia" w:asciiTheme="minorEastAsia" w:hAnsiTheme="minorEastAsia" w:eastAsiaTheme="minorEastAsia" w:cstheme="minorEastAsia"/>
                <w:b w:val="0"/>
                <w:bCs/>
                <w:color w:val="auto"/>
                <w:kern w:val="0"/>
                <w:sz w:val="24"/>
                <w:szCs w:val="24"/>
                <w:highlight w:val="none"/>
              </w:rPr>
              <w:t>文件递交（上传）地点</w:t>
            </w:r>
          </w:p>
        </w:tc>
        <w:tc>
          <w:tcPr>
            <w:tcW w:w="6891" w:type="dxa"/>
            <w:tcBorders>
              <w:top w:val="single" w:color="auto" w:sz="4" w:space="0"/>
              <w:left w:val="single" w:color="auto" w:sz="4" w:space="0"/>
              <w:bottom w:val="single" w:color="auto" w:sz="4" w:space="0"/>
            </w:tcBorders>
            <w:shd w:val="clear" w:color="auto" w:fill="auto"/>
            <w:noWrap w:val="0"/>
            <w:vAlign w:val="center"/>
          </w:tcPr>
          <w:p w14:paraId="22478F05">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政采云投标客户端</w:t>
            </w:r>
          </w:p>
        </w:tc>
      </w:tr>
      <w:tr w14:paraId="14010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7DB8D8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DE0BF1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b w:val="0"/>
                <w:bCs/>
                <w:color w:val="auto"/>
                <w:kern w:val="0"/>
                <w:sz w:val="24"/>
                <w:szCs w:val="24"/>
                <w:highlight w:val="none"/>
              </w:rPr>
              <w:t>组成</w:t>
            </w:r>
          </w:p>
        </w:tc>
        <w:tc>
          <w:tcPr>
            <w:tcW w:w="6891" w:type="dxa"/>
            <w:tcBorders>
              <w:top w:val="single" w:color="auto" w:sz="4" w:space="0"/>
              <w:left w:val="single" w:color="auto" w:sz="4" w:space="0"/>
              <w:bottom w:val="single" w:color="auto" w:sz="4" w:space="0"/>
            </w:tcBorders>
            <w:shd w:val="clear" w:color="auto" w:fill="auto"/>
            <w:noWrap w:val="0"/>
            <w:vAlign w:val="center"/>
          </w:tcPr>
          <w:p w14:paraId="1502D08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color w:val="auto"/>
                <w:sz w:val="24"/>
                <w:szCs w:val="24"/>
                <w:highlight w:val="none"/>
                <w:lang w:eastAsia="zh-CN"/>
              </w:rPr>
              <w:t>人</w:t>
            </w:r>
            <w:r>
              <w:rPr>
                <w:rFonts w:hint="eastAsia" w:ascii="宋体" w:hAnsi="宋体" w:cs="宋体"/>
                <w:b w:val="0"/>
                <w:bCs w:val="0"/>
                <w:color w:val="auto"/>
                <w:sz w:val="24"/>
                <w:szCs w:val="24"/>
                <w:highlight w:val="none"/>
                <w:lang w:eastAsia="zh-CN"/>
              </w:rPr>
              <w:t>员</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7人及以上单数组成</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rPr>
              <w:t>采购人代表不得超过</w:t>
            </w:r>
            <w:r>
              <w:rPr>
                <w:rFonts w:ascii="宋体" w:hAnsi="宋体" w:cs="宋体"/>
                <w:color w:val="auto"/>
                <w:sz w:val="24"/>
                <w:szCs w:val="24"/>
                <w:highlight w:val="none"/>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p>
          <w:p w14:paraId="67392778">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评委确定方式：</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自行抽取</w:t>
            </w:r>
          </w:p>
        </w:tc>
      </w:tr>
      <w:tr w14:paraId="0822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979AB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2150" w:type="dxa"/>
            <w:tcBorders>
              <w:top w:val="single" w:color="auto" w:sz="4" w:space="0"/>
              <w:bottom w:val="single" w:color="auto" w:sz="4" w:space="0"/>
              <w:right w:val="single" w:color="auto" w:sz="4" w:space="0"/>
            </w:tcBorders>
            <w:shd w:val="clear" w:color="auto" w:fill="auto"/>
            <w:noWrap w:val="0"/>
            <w:vAlign w:val="center"/>
          </w:tcPr>
          <w:p w14:paraId="0FED1CB4">
            <w:pPr>
              <w:spacing w:line="320" w:lineRule="exact"/>
              <w:jc w:val="center"/>
              <w:outlineLvl w:val="9"/>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履约保证金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445732BC">
            <w:pPr>
              <w:spacing w:line="3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以甲乙双方合同为准</w:t>
            </w:r>
          </w:p>
        </w:tc>
      </w:tr>
      <w:tr w14:paraId="4EB1E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E057B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2150" w:type="dxa"/>
            <w:tcBorders>
              <w:top w:val="single" w:color="auto" w:sz="4" w:space="0"/>
              <w:bottom w:val="single" w:color="auto" w:sz="4" w:space="0"/>
              <w:right w:val="single" w:color="auto" w:sz="4" w:space="0"/>
            </w:tcBorders>
            <w:shd w:val="clear" w:color="auto" w:fill="auto"/>
            <w:noWrap w:val="0"/>
            <w:vAlign w:val="center"/>
          </w:tcPr>
          <w:p w14:paraId="0DBED122">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163273BB">
            <w:pPr>
              <w:adjustRightInd w:val="0"/>
              <w:snapToGrid w:val="0"/>
              <w:spacing w:line="400" w:lineRule="exact"/>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的金额：</w:t>
            </w:r>
            <w:r>
              <w:rPr>
                <w:rFonts w:hint="eastAsia" w:ascii="宋体" w:hAnsi="宋体" w:cs="宋体"/>
                <w:b/>
                <w:bCs/>
                <w:color w:val="auto"/>
                <w:sz w:val="24"/>
                <w:szCs w:val="24"/>
                <w:highlight w:val="none"/>
                <w:lang w:val="en-US" w:eastAsia="zh-CN"/>
              </w:rPr>
              <w:t>188000.00元</w:t>
            </w:r>
          </w:p>
          <w:p w14:paraId="38F53F6B">
            <w:pPr>
              <w:spacing w:line="32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缴纳形式：转账</w:t>
            </w:r>
            <w:r>
              <w:rPr>
                <w:rFonts w:hint="eastAsia" w:ascii="宋体" w:hAnsi="宋体" w:eastAsia="宋体" w:cs="宋体"/>
                <w:color w:val="auto"/>
                <w:sz w:val="24"/>
                <w:szCs w:val="24"/>
                <w:highlight w:val="none"/>
                <w:lang w:val="en-US" w:eastAsia="zh-CN"/>
              </w:rPr>
              <w:t>或电子保函</w:t>
            </w:r>
          </w:p>
          <w:p w14:paraId="7F8A7F5D">
            <w:pPr>
              <w:spacing w:line="320" w:lineRule="exac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（1）转账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从</w:t>
            </w:r>
            <w:r>
              <w:rPr>
                <w:rFonts w:hint="eastAsia" w:ascii="宋体" w:hAnsi="宋体" w:eastAsia="宋体" w:cs="宋体"/>
                <w:color w:val="auto"/>
                <w:sz w:val="24"/>
                <w:szCs w:val="24"/>
                <w:highlight w:val="none"/>
              </w:rPr>
              <w:t>投标人基本账户转入</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账户）</w:t>
            </w:r>
          </w:p>
          <w:p w14:paraId="622BFE7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  户：</w:t>
            </w:r>
            <w:r>
              <w:rPr>
                <w:rFonts w:hint="eastAsia" w:ascii="宋体" w:hAnsi="宋体" w:eastAsia="宋体" w:cs="宋体"/>
                <w:color w:val="auto"/>
                <w:sz w:val="24"/>
                <w:szCs w:val="24"/>
                <w:highlight w:val="none"/>
                <w:lang w:eastAsia="zh-CN"/>
              </w:rPr>
              <w:t>新疆众通桥项目管理咨询有限公司</w:t>
            </w:r>
          </w:p>
          <w:p w14:paraId="5857E8F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65050110874600000486</w:t>
            </w:r>
          </w:p>
          <w:p w14:paraId="2DDD539E">
            <w:pPr>
              <w:pStyle w:val="17"/>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行  号：</w:t>
            </w:r>
            <w:r>
              <w:rPr>
                <w:rFonts w:hint="eastAsia" w:ascii="宋体" w:hAnsi="宋体" w:eastAsia="宋体" w:cs="宋体"/>
                <w:color w:val="auto"/>
                <w:sz w:val="24"/>
                <w:szCs w:val="24"/>
                <w:highlight w:val="none"/>
                <w:lang w:val="en-US" w:eastAsia="zh-CN"/>
              </w:rPr>
              <w:t>105881000639</w:t>
            </w:r>
          </w:p>
          <w:p w14:paraId="2AD1C241">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建设银行乌鲁木齐克拉玛依西路支行</w:t>
            </w:r>
          </w:p>
          <w:p w14:paraId="70585D77">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default" w:ascii="宋体" w:hAnsi="宋体" w:eastAsia="宋体" w:cs="宋体"/>
                <w:color w:val="auto"/>
                <w:sz w:val="24"/>
                <w:szCs w:val="24"/>
                <w:highlight w:val="none"/>
                <w:lang w:val="en-US" w:eastAsia="zh-CN"/>
              </w:rPr>
              <w:t>电子保函</w:t>
            </w:r>
          </w:p>
          <w:p w14:paraId="5DAB50F6">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投标人可在政采云线上完成电子保函的申请、审核、开票、出函等环节；政采云电子保函申请链接：</w:t>
            </w:r>
          </w:p>
          <w:p w14:paraId="60400702">
            <w:pPr>
              <w:numPr>
                <w:ilvl w:val="0"/>
                <w:numId w:val="0"/>
              </w:numPr>
              <w:spacing w:line="320" w:lineRule="exact"/>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（https</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//jinrong.zcygov.cn/luban/finance/letter/xinjiang?pageModelFlag=650000&amp;utm=site.site-PC-42055.1473-pc-wsg-customFloatWindow-front.1.cfe992802e0511efa283c5d3053f34e0），金融服务热线：95763；</w:t>
            </w:r>
          </w:p>
          <w:p w14:paraId="2D8D784E">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在缴纳保证金时注明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保证金应于投标截止时间前确认到账，</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lang w:val="en-US" w:eastAsia="zh-CN"/>
              </w:rPr>
              <w:t>和电子保函</w:t>
            </w:r>
            <w:r>
              <w:rPr>
                <w:rFonts w:hint="eastAsia" w:ascii="宋体" w:hAnsi="宋体" w:eastAsia="宋体" w:cs="宋体"/>
                <w:color w:val="auto"/>
                <w:sz w:val="24"/>
                <w:szCs w:val="24"/>
                <w:highlight w:val="none"/>
              </w:rPr>
              <w:t>有效期应当与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一致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若投标人未按照上述规定缴纳保证金导致保证金无法查明的，</w:t>
            </w:r>
            <w:r>
              <w:rPr>
                <w:rFonts w:hint="eastAsia" w:ascii="宋体" w:hAnsi="宋体" w:eastAsia="宋体" w:cs="宋体"/>
                <w:color w:val="auto"/>
                <w:sz w:val="24"/>
                <w:szCs w:val="24"/>
                <w:highlight w:val="none"/>
              </w:rPr>
              <w:t>责任由投标人承担</w:t>
            </w:r>
            <w:r>
              <w:rPr>
                <w:rFonts w:hint="eastAsia" w:ascii="宋体" w:hAnsi="宋体" w:eastAsia="宋体" w:cs="宋体"/>
                <w:color w:val="auto"/>
                <w:sz w:val="24"/>
                <w:szCs w:val="24"/>
                <w:highlight w:val="none"/>
                <w:lang w:eastAsia="zh-CN"/>
              </w:rPr>
              <w:t>。</w:t>
            </w:r>
          </w:p>
        </w:tc>
      </w:tr>
      <w:tr w14:paraId="1647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D60AF5">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2150" w:type="dxa"/>
            <w:tcBorders>
              <w:top w:val="single" w:color="auto" w:sz="4" w:space="0"/>
              <w:bottom w:val="single" w:color="auto" w:sz="4" w:space="0"/>
              <w:right w:val="single" w:color="auto" w:sz="4" w:space="0"/>
            </w:tcBorders>
            <w:shd w:val="clear" w:color="auto" w:fill="auto"/>
            <w:noWrap w:val="0"/>
            <w:vAlign w:val="center"/>
          </w:tcPr>
          <w:p w14:paraId="6BAD477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评审办法</w:t>
            </w:r>
          </w:p>
        </w:tc>
        <w:tc>
          <w:tcPr>
            <w:tcW w:w="6891" w:type="dxa"/>
            <w:tcBorders>
              <w:top w:val="single" w:color="auto" w:sz="4" w:space="0"/>
              <w:left w:val="single" w:color="auto" w:sz="4" w:space="0"/>
              <w:bottom w:val="single" w:color="auto" w:sz="4" w:space="0"/>
            </w:tcBorders>
            <w:shd w:val="clear" w:color="auto" w:fill="auto"/>
            <w:noWrap w:val="0"/>
            <w:vAlign w:val="center"/>
          </w:tcPr>
          <w:p w14:paraId="453085F9">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综合评分法，即指</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文件全部实质性要求且按照评审因素的量化指标评审得分最高的投标人为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候选人的评标方法。每一投标人的最终得分为所有评委评分的算术平均值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得分相同的，报价较低的一方为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得分且投标报价相同的，技术指标较优的一方为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p>
        </w:tc>
      </w:tr>
      <w:tr w14:paraId="430D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6C1535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2150" w:type="dxa"/>
            <w:tcBorders>
              <w:top w:val="single" w:color="auto" w:sz="4" w:space="0"/>
              <w:bottom w:val="single" w:color="auto" w:sz="4" w:space="0"/>
              <w:right w:val="single" w:color="auto" w:sz="4" w:space="0"/>
            </w:tcBorders>
            <w:shd w:val="clear" w:color="auto" w:fill="auto"/>
            <w:noWrap w:val="0"/>
            <w:vAlign w:val="center"/>
          </w:tcPr>
          <w:p w14:paraId="0BF93AC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w:t>
            </w:r>
          </w:p>
        </w:tc>
        <w:tc>
          <w:tcPr>
            <w:tcW w:w="6891" w:type="dxa"/>
            <w:tcBorders>
              <w:top w:val="single" w:color="auto" w:sz="4" w:space="0"/>
              <w:left w:val="single" w:color="auto" w:sz="4" w:space="0"/>
              <w:bottom w:val="single" w:color="auto" w:sz="4" w:space="0"/>
            </w:tcBorders>
            <w:shd w:val="clear" w:color="auto" w:fill="auto"/>
            <w:noWrap w:val="0"/>
            <w:vAlign w:val="center"/>
          </w:tcPr>
          <w:p w14:paraId="706903D0">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否</w:t>
            </w:r>
          </w:p>
        </w:tc>
      </w:tr>
      <w:tr w14:paraId="609E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B338CD8">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27</w:t>
            </w:r>
          </w:p>
        </w:tc>
        <w:tc>
          <w:tcPr>
            <w:tcW w:w="2150" w:type="dxa"/>
            <w:tcBorders>
              <w:top w:val="single" w:color="auto" w:sz="4" w:space="0"/>
              <w:bottom w:val="single" w:color="auto" w:sz="4" w:space="0"/>
              <w:right w:val="single" w:color="auto" w:sz="4" w:space="0"/>
            </w:tcBorders>
            <w:noWrap w:val="0"/>
            <w:vAlign w:val="center"/>
          </w:tcPr>
          <w:p w14:paraId="231ECB2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项目实施地点</w:t>
            </w:r>
          </w:p>
        </w:tc>
        <w:tc>
          <w:tcPr>
            <w:tcW w:w="6891" w:type="dxa"/>
            <w:tcBorders>
              <w:top w:val="single" w:color="auto" w:sz="4" w:space="0"/>
              <w:left w:val="single" w:color="auto" w:sz="4" w:space="0"/>
              <w:bottom w:val="single" w:color="auto" w:sz="4" w:space="0"/>
            </w:tcBorders>
            <w:noWrap w:val="0"/>
            <w:vAlign w:val="center"/>
          </w:tcPr>
          <w:p w14:paraId="1682FCFE">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新疆塔什库尔干县、和康县、和安县、皮山县、和田县等地区</w:t>
            </w:r>
          </w:p>
        </w:tc>
      </w:tr>
      <w:tr w14:paraId="09DF2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FE4658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2150" w:type="dxa"/>
            <w:tcBorders>
              <w:top w:val="single" w:color="auto" w:sz="4" w:space="0"/>
              <w:bottom w:val="single" w:color="auto" w:sz="4" w:space="0"/>
              <w:right w:val="single" w:color="auto" w:sz="4" w:space="0"/>
            </w:tcBorders>
            <w:noWrap w:val="0"/>
            <w:vAlign w:val="center"/>
          </w:tcPr>
          <w:p w14:paraId="611DB3DA">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w:t>
            </w:r>
            <w:r>
              <w:rPr>
                <w:rFonts w:hint="default" w:ascii="宋体" w:hAnsi="宋体" w:eastAsia="宋体" w:cs="宋体"/>
                <w:color w:val="auto"/>
                <w:sz w:val="24"/>
                <w:szCs w:val="24"/>
                <w:highlight w:val="none"/>
                <w:lang w:val="en-US" w:eastAsia="zh-CN"/>
              </w:rPr>
              <w:t>期限</w:t>
            </w:r>
          </w:p>
        </w:tc>
        <w:tc>
          <w:tcPr>
            <w:tcW w:w="6891" w:type="dxa"/>
            <w:tcBorders>
              <w:top w:val="single" w:color="auto" w:sz="4" w:space="0"/>
              <w:left w:val="single" w:color="auto" w:sz="4" w:space="0"/>
              <w:bottom w:val="single" w:color="auto" w:sz="4" w:space="0"/>
            </w:tcBorders>
            <w:noWrap w:val="0"/>
            <w:vAlign w:val="center"/>
          </w:tcPr>
          <w:p w14:paraId="3D9B5199">
            <w:pPr>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自签订合同之日起至2026年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月止</w:t>
            </w:r>
          </w:p>
        </w:tc>
      </w:tr>
      <w:tr w14:paraId="0E8A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EBE95A3">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shd w:val="clear" w:color="auto" w:fill="auto"/>
            <w:noWrap w:val="0"/>
            <w:vAlign w:val="center"/>
          </w:tcPr>
          <w:p w14:paraId="5AE9AB4F">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质量等级标准</w:t>
            </w:r>
          </w:p>
        </w:tc>
        <w:tc>
          <w:tcPr>
            <w:tcW w:w="6891" w:type="dxa"/>
            <w:tcBorders>
              <w:top w:val="single" w:color="auto" w:sz="4" w:space="0"/>
              <w:left w:val="single" w:color="auto" w:sz="4" w:space="0"/>
              <w:bottom w:val="single" w:color="auto" w:sz="4" w:space="0"/>
            </w:tcBorders>
            <w:shd w:val="clear" w:color="auto" w:fill="auto"/>
            <w:noWrap w:val="0"/>
            <w:vAlign w:val="center"/>
          </w:tcPr>
          <w:p w14:paraId="40A6B261">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50A0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C71FE8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150" w:type="dxa"/>
            <w:tcBorders>
              <w:top w:val="single" w:color="auto" w:sz="4" w:space="0"/>
              <w:bottom w:val="single" w:color="auto" w:sz="4" w:space="0"/>
              <w:right w:val="single" w:color="auto" w:sz="4" w:space="0"/>
            </w:tcBorders>
            <w:noWrap w:val="0"/>
            <w:vAlign w:val="center"/>
          </w:tcPr>
          <w:p w14:paraId="52B6AB06">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6891" w:type="dxa"/>
            <w:tcBorders>
              <w:top w:val="single" w:color="auto" w:sz="4" w:space="0"/>
              <w:left w:val="single" w:color="auto" w:sz="4" w:space="0"/>
              <w:bottom w:val="single" w:color="auto" w:sz="4" w:space="0"/>
            </w:tcBorders>
            <w:noWrap w:val="0"/>
            <w:vAlign w:val="center"/>
          </w:tcPr>
          <w:p w14:paraId="4839FF3F">
            <w:pP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以甲乙双方合同约定为准</w:t>
            </w:r>
          </w:p>
        </w:tc>
      </w:tr>
      <w:tr w14:paraId="1F660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5AEE7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p>
        </w:tc>
        <w:tc>
          <w:tcPr>
            <w:tcW w:w="2150" w:type="dxa"/>
            <w:tcBorders>
              <w:top w:val="single" w:color="auto" w:sz="4" w:space="0"/>
              <w:bottom w:val="single" w:color="auto" w:sz="4" w:space="0"/>
              <w:right w:val="single" w:color="auto" w:sz="4" w:space="0"/>
            </w:tcBorders>
            <w:shd w:val="clear" w:color="auto" w:fill="auto"/>
            <w:noWrap w:val="0"/>
            <w:vAlign w:val="center"/>
          </w:tcPr>
          <w:p w14:paraId="1C13A60C">
            <w:pPr>
              <w:keepNext w:val="0"/>
              <w:keepLines w:val="0"/>
              <w:pageBreakBefore w:val="0"/>
              <w:widowControl w:val="0"/>
              <w:kinsoku/>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踏勘现场</w:t>
            </w:r>
          </w:p>
        </w:tc>
        <w:tc>
          <w:tcPr>
            <w:tcW w:w="6891" w:type="dxa"/>
            <w:tcBorders>
              <w:top w:val="single" w:color="auto" w:sz="4" w:space="0"/>
              <w:left w:val="single" w:color="auto" w:sz="4" w:space="0"/>
              <w:bottom w:val="single" w:color="auto" w:sz="4" w:space="0"/>
            </w:tcBorders>
            <w:shd w:val="clear" w:color="auto" w:fill="auto"/>
            <w:noWrap w:val="0"/>
            <w:vAlign w:val="center"/>
          </w:tcPr>
          <w:p w14:paraId="5F616EE2">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393BDF80">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不组织</w:t>
            </w:r>
          </w:p>
        </w:tc>
      </w:tr>
      <w:tr w14:paraId="7CDDD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EE0511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354439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节能、环保要求</w:t>
            </w:r>
          </w:p>
        </w:tc>
        <w:tc>
          <w:tcPr>
            <w:tcW w:w="6891" w:type="dxa"/>
            <w:tcBorders>
              <w:top w:val="single" w:color="auto" w:sz="4" w:space="0"/>
              <w:left w:val="single" w:color="auto" w:sz="4" w:space="0"/>
              <w:bottom w:val="single" w:color="auto" w:sz="4" w:space="0"/>
            </w:tcBorders>
            <w:shd w:val="clear" w:color="auto" w:fill="auto"/>
            <w:noWrap w:val="0"/>
            <w:vAlign w:val="center"/>
          </w:tcPr>
          <w:p w14:paraId="1458943E">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按国家有关节能环保政策执行</w:t>
            </w:r>
          </w:p>
        </w:tc>
      </w:tr>
      <w:tr w14:paraId="6C74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821921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2150" w:type="dxa"/>
            <w:tcBorders>
              <w:top w:val="single" w:color="auto" w:sz="4" w:space="0"/>
              <w:bottom w:val="single" w:color="auto" w:sz="4" w:space="0"/>
              <w:right w:val="single" w:color="auto" w:sz="4" w:space="0"/>
            </w:tcBorders>
            <w:shd w:val="clear" w:color="auto" w:fill="auto"/>
            <w:noWrap w:val="0"/>
            <w:vAlign w:val="center"/>
          </w:tcPr>
          <w:p w14:paraId="766EF50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w:t>
            </w:r>
          </w:p>
          <w:p w14:paraId="169BB43F">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A2507D">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参照“计价格【2002】1980号”文件规定的收费标准下浮</w:t>
            </w:r>
            <w:r>
              <w:rPr>
                <w:rFonts w:hint="eastAsia" w:ascii="宋体" w:hAnsi="宋体" w:cs="宋体"/>
                <w:color w:val="auto"/>
                <w:kern w:val="2"/>
                <w:sz w:val="24"/>
                <w:szCs w:val="24"/>
                <w:highlight w:val="none"/>
                <w:lang w:val="en-US" w:eastAsia="zh-CN" w:bidi="ar-SA"/>
              </w:rPr>
              <w:t>40</w:t>
            </w:r>
            <w:r>
              <w:rPr>
                <w:rFonts w:hint="eastAsia" w:ascii="宋体" w:hAnsi="宋体" w:eastAsia="宋体" w:cs="宋体"/>
                <w:color w:val="auto"/>
                <w:kern w:val="2"/>
                <w:sz w:val="24"/>
                <w:szCs w:val="24"/>
                <w:highlight w:val="none"/>
                <w:lang w:val="en-US" w:eastAsia="zh-CN" w:bidi="ar-SA"/>
              </w:rPr>
              <w:t>%收取。由中标人在领取中标通知书前向新疆众通桥项目管理咨询有限公司支付。（收款账户同保证金缴纳账户）</w:t>
            </w:r>
          </w:p>
        </w:tc>
      </w:tr>
      <w:tr w14:paraId="6C97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C98FA0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34</w:t>
            </w:r>
          </w:p>
        </w:tc>
        <w:tc>
          <w:tcPr>
            <w:tcW w:w="2150" w:type="dxa"/>
            <w:tcBorders>
              <w:top w:val="single" w:color="auto" w:sz="4" w:space="0"/>
              <w:bottom w:val="single" w:color="auto" w:sz="4" w:space="0"/>
              <w:right w:val="single" w:color="auto" w:sz="4" w:space="0"/>
            </w:tcBorders>
            <w:shd w:val="clear" w:color="auto" w:fill="auto"/>
            <w:noWrap w:val="0"/>
            <w:vAlign w:val="center"/>
          </w:tcPr>
          <w:p w14:paraId="2522867F">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低于成本价不正当竞争预防措施</w:t>
            </w:r>
          </w:p>
        </w:tc>
        <w:tc>
          <w:tcPr>
            <w:tcW w:w="6891" w:type="dxa"/>
            <w:tcBorders>
              <w:top w:val="single" w:color="auto" w:sz="4" w:space="0"/>
              <w:left w:val="single" w:color="auto" w:sz="4" w:space="0"/>
              <w:bottom w:val="single" w:color="auto" w:sz="4" w:space="0"/>
            </w:tcBorders>
            <w:shd w:val="clear" w:color="auto" w:fill="auto"/>
            <w:noWrap w:val="0"/>
            <w:vAlign w:val="center"/>
          </w:tcPr>
          <w:p w14:paraId="1BD6F33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D3017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2.政府采购异常低价审查：根据《关于推动解决政府采购异常低价问题的通知》（ 财库〔2026〕2号）的规定：</w:t>
            </w:r>
          </w:p>
          <w:p w14:paraId="56A2EDCA">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（一）政府采购评审中出现下列情形之一的，评审委员会应当启动异常低价投标（响应）审查程序：</w:t>
            </w:r>
          </w:p>
          <w:p w14:paraId="44E2CDE0">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1.投标（响应）报价低于全部通过符合性审查供应商投标（响应）报价平均值50%的，即投标（响应）报价&lt;全部通过符合性审查供应商投标（响应）报价平均值×50%；</w:t>
            </w:r>
          </w:p>
          <w:p w14:paraId="64B14BD8">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2.投标（响应）报价低于通过符合性审查的次低报价供应商投标（响应）报价50%的，即投标（响应）报价&lt;通过符合性审查的次低报价供应商投标（响应）报价×50%；</w:t>
            </w:r>
          </w:p>
          <w:p w14:paraId="5437F8D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3.投标（响应）报价低于采购项目最高限价45%的，即投标（响应）报价&lt;采购项目最高限价×45%；</w:t>
            </w:r>
          </w:p>
          <w:p w14:paraId="564036F4">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4.评审委员会基于专业判断，认为供应商报价过低，有可能影响产品质量或者不能诚信履约的其他情形。</w:t>
            </w:r>
          </w:p>
          <w:p w14:paraId="69750EA1">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采购人可以结合具体项目实际情况，提高上述第1项至第3项中启动异常低价投标（响应）审查的数值标准，但是最高不得超过65%。（本项目不提高）</w:t>
            </w:r>
          </w:p>
          <w:p w14:paraId="0684B5AD">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相关法律法规对供应商报价有规定的，从其规定。</w:t>
            </w:r>
          </w:p>
          <w:p w14:paraId="42EA8238">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2E12B6">
            <w:pPr>
              <w:pStyle w:val="11"/>
              <w:adjustRightInd w:val="0"/>
              <w:snapToGrid w:val="0"/>
              <w:ind w:firstLine="0" w:firstLineChars="0"/>
              <w:contextualSpacing/>
              <w:rPr>
                <w:rFonts w:hint="eastAsia" w:ascii="宋体" w:hAnsi="宋体" w:eastAsia="宋体" w:cs="宋体"/>
                <w:kern w:val="2"/>
                <w:sz w:val="24"/>
                <w:szCs w:val="24"/>
                <w:lang w:val="zh-CN" w:eastAsia="zh-CN" w:bidi="ar-SA"/>
              </w:rPr>
            </w:pPr>
            <w:r>
              <w:rPr>
                <w:rFonts w:hint="eastAsia" w:ascii="宋体" w:hAnsi="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895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B0C336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150" w:type="dxa"/>
            <w:tcBorders>
              <w:top w:val="single" w:color="auto" w:sz="4" w:space="0"/>
              <w:bottom w:val="single" w:color="auto" w:sz="4" w:space="0"/>
              <w:right w:val="single" w:color="auto" w:sz="4" w:space="0"/>
            </w:tcBorders>
            <w:shd w:val="clear" w:color="auto" w:fill="auto"/>
            <w:noWrap w:val="0"/>
            <w:vAlign w:val="center"/>
          </w:tcPr>
          <w:p w14:paraId="73DCD032">
            <w:pPr>
              <w:pStyle w:val="11"/>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700A6833">
            <w:pPr>
              <w:pStyle w:val="11"/>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事项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0EEA92">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根据《财政部关于在政府采购活动中查询及使用信用记录有关问题的通知》财库〔2016〕125号</w:t>
            </w:r>
            <w:r>
              <w:rPr>
                <w:rFonts w:hint="eastAsia" w:ascii="宋体" w:hAnsi="宋体" w:eastAsia="宋体" w:cs="宋体"/>
                <w:color w:val="auto"/>
                <w:sz w:val="24"/>
                <w:szCs w:val="24"/>
                <w:highlight w:val="none"/>
                <w:lang w:eastAsia="zh-CN"/>
              </w:rPr>
              <w:t>文</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主体信用记录</w:t>
            </w:r>
            <w:r>
              <w:rPr>
                <w:rFonts w:hint="eastAsia" w:ascii="宋体" w:hAnsi="宋体" w:eastAsia="宋体" w:cs="宋体"/>
                <w:color w:val="auto"/>
                <w:sz w:val="24"/>
                <w:szCs w:val="24"/>
                <w:highlight w:val="none"/>
                <w:lang w:eastAsia="zh-CN"/>
              </w:rPr>
              <w:t>。</w:t>
            </w:r>
          </w:p>
          <w:p w14:paraId="580A1C68">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签字盖章要求：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供应商资格证明材料、法定代表人身份证明或授权书应加盖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其他证明供应商资格的文件或证明材料应加盖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公章，样式可参照“</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文件中明确要求盖章或签字的，</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须盖章或签字。</w:t>
            </w:r>
          </w:p>
          <w:p w14:paraId="196414A4">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投标人提供的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应当使用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文件所提供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格式（表格可按照同样格式扩展）。未提供格式的，需要时由投标人用文字或者表格、图片等其它形式提供。</w:t>
            </w:r>
          </w:p>
          <w:p w14:paraId="4EAC7A2E">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bl>
    <w:p w14:paraId="5DBA1251">
      <w:pPr>
        <w:adjustRightInd w:val="0"/>
        <w:snapToGrid w:val="0"/>
        <w:spacing w:before="0" w:after="0" w:line="4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bookmarkEnd w:id="39"/>
      <w:bookmarkEnd w:id="40"/>
      <w:bookmarkEnd w:id="41"/>
      <w:bookmarkEnd w:id="42"/>
      <w:bookmarkEnd w:id="43"/>
      <w:bookmarkEnd w:id="44"/>
      <w:bookmarkEnd w:id="45"/>
      <w:bookmarkEnd w:id="46"/>
      <w:bookmarkEnd w:id="47"/>
      <w:bookmarkEnd w:id="48"/>
      <w:bookmarkEnd w:id="49"/>
      <w:bookmarkEnd w:id="50"/>
      <w:bookmarkStart w:id="51" w:name="_Toc29063"/>
      <w:bookmarkStart w:id="52" w:name="_Toc24149"/>
      <w:bookmarkStart w:id="53" w:name="_Toc29081"/>
      <w:bookmarkStart w:id="54" w:name="_Toc31797"/>
      <w:bookmarkStart w:id="55" w:name="_Toc23826"/>
      <w:bookmarkStart w:id="56" w:name="_Toc349573127"/>
      <w:bookmarkStart w:id="57" w:name="_Toc8931"/>
      <w:bookmarkStart w:id="58" w:name="_Toc13260"/>
      <w:bookmarkStart w:id="59" w:name="_Toc18145"/>
      <w:bookmarkStart w:id="60" w:name="_Toc349637926"/>
      <w:bookmarkStart w:id="61" w:name="_Toc298240411"/>
      <w:bookmarkStart w:id="62" w:name="_Toc17884_WPSOffice_Level1"/>
      <w:bookmarkStart w:id="63" w:name="_Toc267301295"/>
      <w:bookmarkStart w:id="64" w:name="_Toc298240422"/>
      <w:bookmarkStart w:id="65" w:name="_Toc349637936"/>
      <w:bookmarkStart w:id="66" w:name="_Toc349573137"/>
      <w:r>
        <w:rPr>
          <w:rFonts w:hint="eastAsia" w:ascii="宋体" w:hAnsi="宋体" w:eastAsia="宋体" w:cs="宋体"/>
          <w:b/>
          <w:color w:val="auto"/>
          <w:sz w:val="28"/>
          <w:szCs w:val="28"/>
          <w:highlight w:val="none"/>
        </w:rPr>
        <w:t>投标人须知正文部分</w:t>
      </w:r>
      <w:bookmarkEnd w:id="51"/>
      <w:bookmarkEnd w:id="52"/>
      <w:bookmarkEnd w:id="53"/>
      <w:bookmarkEnd w:id="54"/>
    </w:p>
    <w:p w14:paraId="1EAC17CB">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67" w:name="_Toc19480"/>
      <w:r>
        <w:rPr>
          <w:rFonts w:hint="eastAsia" w:ascii="宋体" w:hAnsi="宋体" w:eastAsia="宋体" w:cs="宋体"/>
          <w:b/>
          <w:bCs/>
          <w:color w:val="auto"/>
          <w:sz w:val="28"/>
          <w:szCs w:val="28"/>
          <w:highlight w:val="none"/>
          <w:lang w:val="en-US" w:eastAsia="zh-CN"/>
        </w:rPr>
        <w:t>一、说明</w:t>
      </w:r>
      <w:bookmarkEnd w:id="67"/>
    </w:p>
    <w:p w14:paraId="6F5BF25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68" w:name="_Toc25761"/>
      <w:bookmarkStart w:id="69" w:name="_Toc918"/>
      <w:r>
        <w:rPr>
          <w:rFonts w:hint="eastAsia" w:ascii="宋体" w:hAnsi="宋体" w:eastAsia="宋体" w:cs="宋体"/>
          <w:color w:val="auto"/>
          <w:sz w:val="24"/>
          <w:szCs w:val="24"/>
          <w:highlight w:val="none"/>
          <w:lang w:val="en-US" w:eastAsia="zh-CN"/>
        </w:rPr>
        <w:t>1．项目概况</w:t>
      </w:r>
    </w:p>
    <w:p w14:paraId="48B2140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1.1项目名称：详见投标人须知前附表；</w:t>
      </w:r>
    </w:p>
    <w:p w14:paraId="53217D9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1.2项目编号：详见投标人须知前附表；</w:t>
      </w:r>
    </w:p>
    <w:p w14:paraId="0C9949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1.3采购方式：详见投标人须知前附表；</w:t>
      </w:r>
    </w:p>
    <w:p w14:paraId="0062B71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1.4预算金额：详见投标人须知前附表；</w:t>
      </w:r>
    </w:p>
    <w:p w14:paraId="11D8D84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1.5采购内容：详见投标人须知前附表；</w:t>
      </w:r>
    </w:p>
    <w:p w14:paraId="6023D5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1.6资金来源：详见投标人须知前附表；</w:t>
      </w:r>
    </w:p>
    <w:p w14:paraId="7D6C804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1.7项目实施地点：详见投标人须知前附表；</w:t>
      </w:r>
    </w:p>
    <w:p w14:paraId="7A2BC3E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1.8合同履约期限：详见投标人须知前附表；</w:t>
      </w:r>
    </w:p>
    <w:p w14:paraId="034722A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2．定义</w:t>
      </w:r>
    </w:p>
    <w:p w14:paraId="24BD08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2.1“采购人”系指详见投标人须知前附表；</w:t>
      </w:r>
    </w:p>
    <w:p w14:paraId="271BC03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2.2“招标代理机构”系指详见投标人须知前附表；</w:t>
      </w:r>
    </w:p>
    <w:p w14:paraId="5847FD0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2.3“投标人”系指向招标代理机构提交投标文件的制造商或供应商；</w:t>
      </w:r>
    </w:p>
    <w:p w14:paraId="649384E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2.4“中标人”系指在本次项目中将被授予合同的投标人。</w:t>
      </w:r>
    </w:p>
    <w:p w14:paraId="05AF5FE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3．合格的投标人</w:t>
      </w:r>
    </w:p>
    <w:p w14:paraId="68CDC74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3.1满足《中华人民共和国政府采购法》第二十二条规定；</w:t>
      </w:r>
    </w:p>
    <w:p w14:paraId="138579A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3.2有能力提供招标文件中所要求的货物或服务、资格审查合格的制造商或供应商；</w:t>
      </w:r>
    </w:p>
    <w:p w14:paraId="446BFED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3.3投标人必须遵守有关的法律和规章条例。</w:t>
      </w:r>
    </w:p>
    <w:p w14:paraId="40090EA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4．投标人资格（详见“投标人须知前附表”）</w:t>
      </w:r>
    </w:p>
    <w:p w14:paraId="70B66EE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5．投标费用</w:t>
      </w:r>
    </w:p>
    <w:p w14:paraId="0439623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5.1无论投标过程中的做法和结果如何，投标人将自行承担所有与参加投标有关的全部费用。</w:t>
      </w:r>
    </w:p>
    <w:p w14:paraId="236B73E4">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二、招标文件</w:t>
      </w:r>
      <w:bookmarkEnd w:id="68"/>
      <w:bookmarkEnd w:id="69"/>
    </w:p>
    <w:p w14:paraId="7E293F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0" w:name="_Toc19291"/>
      <w:bookmarkStart w:id="71" w:name="_Toc19334"/>
      <w:r>
        <w:rPr>
          <w:rFonts w:hint="eastAsia" w:ascii="宋体" w:hAnsi="宋体" w:eastAsia="宋体" w:cs="宋体"/>
          <w:color w:val="auto"/>
          <w:sz w:val="24"/>
          <w:szCs w:val="24"/>
          <w:highlight w:val="none"/>
          <w:lang w:val="en-US" w:eastAsia="zh-CN"/>
        </w:rPr>
        <w:t>6.招标文件构成</w:t>
      </w:r>
      <w:bookmarkEnd w:id="70"/>
      <w:bookmarkEnd w:id="71"/>
    </w:p>
    <w:p w14:paraId="1E528E2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6.1招标文件包括：</w:t>
      </w:r>
    </w:p>
    <w:p w14:paraId="742F0D1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6.1.1招标公告；</w:t>
      </w:r>
    </w:p>
    <w:p w14:paraId="588A7C6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6.1.2投标人须知；</w:t>
      </w:r>
    </w:p>
    <w:p w14:paraId="48D0E5F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6.1.3采购需求；</w:t>
      </w:r>
    </w:p>
    <w:p w14:paraId="6A9EA92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6.1.4评审方法；</w:t>
      </w:r>
    </w:p>
    <w:p w14:paraId="2B1DAD8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6.1.5合同格式；</w:t>
      </w:r>
    </w:p>
    <w:p w14:paraId="267E8C1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6.1.6投标文件格式；</w:t>
      </w:r>
    </w:p>
    <w:p w14:paraId="5B81586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6.1.7附件。</w:t>
      </w:r>
    </w:p>
    <w:p w14:paraId="3839425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6.2招标文件以中文编写。</w:t>
      </w:r>
    </w:p>
    <w:p w14:paraId="64326C3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14:paraId="7CA638B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2" w:name="_Toc12438"/>
      <w:bookmarkStart w:id="73" w:name="_Toc28763"/>
      <w:r>
        <w:rPr>
          <w:rFonts w:hint="eastAsia" w:ascii="宋体" w:hAnsi="宋体" w:eastAsia="宋体" w:cs="宋体"/>
          <w:color w:val="auto"/>
          <w:sz w:val="24"/>
          <w:szCs w:val="24"/>
          <w:highlight w:val="none"/>
          <w:lang w:val="en-US" w:eastAsia="zh-CN"/>
        </w:rPr>
        <w:t>7.招标文件澄清</w:t>
      </w:r>
      <w:bookmarkEnd w:id="72"/>
      <w:bookmarkEnd w:id="73"/>
    </w:p>
    <w:p w14:paraId="1D8E59E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7.1投标人对招标文件有疑问的，可以向招标代理机构提出询问，招标代理机构将及时做出答复；</w:t>
      </w:r>
    </w:p>
    <w:p w14:paraId="5E805A2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投标人对招标文件有质疑，须在得到招标文件之日起，以书面形式向招标机构提出质疑；招标机构对在投标截止时间10日以前收到的澄清要求将以书面形式予以答复，并将书面答复发给每个购买招标文件的投标人（答复中不包括问题的来源），必要时同时在财政部门指定的政府采购信息发布媒体发布澄清公告，投标人在收到上述通知后，应在24小时内向招标代理机构回函确认。</w:t>
      </w:r>
    </w:p>
    <w:p w14:paraId="7BA0525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4" w:name="_Toc7251"/>
      <w:bookmarkStart w:id="75" w:name="_Toc31263"/>
      <w:r>
        <w:rPr>
          <w:rFonts w:hint="eastAsia" w:ascii="宋体" w:hAnsi="宋体" w:eastAsia="宋体" w:cs="宋体"/>
          <w:color w:val="auto"/>
          <w:sz w:val="24"/>
          <w:szCs w:val="24"/>
          <w:highlight w:val="none"/>
          <w:lang w:val="en-US" w:eastAsia="zh-CN"/>
        </w:rPr>
        <w:t>8.招标文件的修改</w:t>
      </w:r>
      <w:bookmarkEnd w:id="74"/>
      <w:bookmarkEnd w:id="75"/>
    </w:p>
    <w:p w14:paraId="077464E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8.1投标截止日期四十八小时前，招标人都可能会以招标文件补充形式在中国招标投标公共服务平台上修改招标文件。</w:t>
      </w:r>
    </w:p>
    <w:p w14:paraId="4629D4F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8.2在投标截止时间前，招标机构可视具体情况延长投标截止时间，并将变更时间书面通知所有购买招标文件的投标人。</w:t>
      </w:r>
    </w:p>
    <w:p w14:paraId="5AF2A135">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76" w:name="_Toc298240407"/>
      <w:bookmarkStart w:id="77" w:name="_Toc7792"/>
      <w:bookmarkStart w:id="78" w:name="_Toc267301284"/>
      <w:bookmarkStart w:id="79" w:name="_Toc349637922"/>
      <w:bookmarkStart w:id="80" w:name="_Toc349573123"/>
      <w:bookmarkStart w:id="81" w:name="_Toc17537"/>
      <w:r>
        <w:rPr>
          <w:rFonts w:hint="eastAsia" w:ascii="宋体" w:hAnsi="宋体" w:eastAsia="宋体" w:cs="宋体"/>
          <w:b/>
          <w:bCs/>
          <w:color w:val="auto"/>
          <w:sz w:val="28"/>
          <w:szCs w:val="28"/>
          <w:highlight w:val="none"/>
          <w:lang w:val="en-US" w:eastAsia="zh-CN"/>
        </w:rPr>
        <w:t>三、投标文件的编写</w:t>
      </w:r>
      <w:bookmarkEnd w:id="76"/>
      <w:bookmarkEnd w:id="77"/>
      <w:bookmarkEnd w:id="78"/>
      <w:bookmarkEnd w:id="79"/>
      <w:bookmarkEnd w:id="80"/>
      <w:bookmarkEnd w:id="81"/>
    </w:p>
    <w:p w14:paraId="742DB35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2" w:name="_Toc22060"/>
      <w:bookmarkStart w:id="83" w:name="_Toc938"/>
      <w:r>
        <w:rPr>
          <w:rFonts w:hint="eastAsia" w:ascii="宋体" w:hAnsi="宋体" w:eastAsia="宋体" w:cs="宋体"/>
          <w:color w:val="auto"/>
          <w:sz w:val="24"/>
          <w:szCs w:val="24"/>
          <w:highlight w:val="none"/>
          <w:lang w:val="en-US" w:eastAsia="zh-CN"/>
        </w:rPr>
        <w:t>9.要求</w:t>
      </w:r>
      <w:bookmarkEnd w:id="82"/>
      <w:bookmarkEnd w:id="83"/>
    </w:p>
    <w:p w14:paraId="5CAD710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9.1投标人应仔细阅读招标文件的所有内容，按招标文件的要求提供投标文件，并保证所提供的全部资料的真实性，以使其投标对招标文件作出实质性响应，否则，其投标可能被拒绝。</w:t>
      </w:r>
    </w:p>
    <w:p w14:paraId="7D2A836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4" w:name="_Toc4175"/>
      <w:bookmarkStart w:id="85" w:name="_Toc25523"/>
      <w:r>
        <w:rPr>
          <w:rFonts w:hint="eastAsia" w:ascii="宋体" w:hAnsi="宋体" w:eastAsia="宋体" w:cs="宋体"/>
          <w:color w:val="auto"/>
          <w:sz w:val="24"/>
          <w:szCs w:val="24"/>
          <w:highlight w:val="none"/>
          <w:lang w:val="en-US" w:eastAsia="zh-CN"/>
        </w:rPr>
        <w:t>10.投标语言</w:t>
      </w:r>
      <w:bookmarkEnd w:id="84"/>
      <w:bookmarkEnd w:id="85"/>
    </w:p>
    <w:p w14:paraId="2C1288F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10.1投标文件及投标人与招标代理机构就投标交换的文件和来往信件，应以中文书写。</w:t>
      </w:r>
    </w:p>
    <w:p w14:paraId="4DC723C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6" w:name="_Toc4014"/>
      <w:bookmarkStart w:id="87" w:name="_Toc23862"/>
      <w:r>
        <w:rPr>
          <w:rFonts w:hint="eastAsia" w:ascii="宋体" w:hAnsi="宋体" w:eastAsia="宋体" w:cs="宋体"/>
          <w:color w:val="auto"/>
          <w:sz w:val="24"/>
          <w:szCs w:val="24"/>
          <w:highlight w:val="none"/>
          <w:lang w:val="en-US" w:eastAsia="zh-CN"/>
        </w:rPr>
        <w:t>11.投标文件的构成</w:t>
      </w:r>
      <w:bookmarkEnd w:id="86"/>
      <w:bookmarkEnd w:id="87"/>
    </w:p>
    <w:p w14:paraId="7348BC4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11.1投标人编写的投标文件应包括下列内容：</w:t>
      </w:r>
    </w:p>
    <w:p w14:paraId="02AA8DA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11.1.1投标文件封面（封面、目录、索引表）</w:t>
      </w:r>
    </w:p>
    <w:p w14:paraId="2158B46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11.1.2资格文件</w:t>
      </w:r>
    </w:p>
    <w:p w14:paraId="73F9927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11.1.2.1满足《中华人民共和国政府采购法》第二十二条规定；</w:t>
      </w:r>
    </w:p>
    <w:p w14:paraId="446C37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11.1.2.2投标保证金；</w:t>
      </w:r>
    </w:p>
    <w:p w14:paraId="5F07EC0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11.1.2.3本项目特定资格资质；</w:t>
      </w:r>
    </w:p>
    <w:p w14:paraId="23B1B0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11.1.3报价文件</w:t>
      </w:r>
    </w:p>
    <w:p w14:paraId="6821B81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11.1.3.1开标一览表；</w:t>
      </w:r>
    </w:p>
    <w:p w14:paraId="725CF3B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11.1.3.2报价明细表；</w:t>
      </w:r>
    </w:p>
    <w:p w14:paraId="39E403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11.1.4商务技术文件</w:t>
      </w:r>
    </w:p>
    <w:p w14:paraId="17E8067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11.1.4.1投标函；</w:t>
      </w:r>
    </w:p>
    <w:p w14:paraId="2FBBBB9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11.1.4.2投标人基本情况表；</w:t>
      </w:r>
    </w:p>
    <w:p w14:paraId="509CB3C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11.1.4.3技术参数偏离表；</w:t>
      </w:r>
    </w:p>
    <w:p w14:paraId="188FF11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11.1.4.4商务条款偏离表；</w:t>
      </w:r>
    </w:p>
    <w:p w14:paraId="62C32BD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11.1.4.5</w:t>
      </w:r>
      <w:r>
        <w:rPr>
          <w:rFonts w:hint="eastAsia" w:ascii="宋体" w:hAnsi="宋体" w:cs="宋体"/>
          <w:color w:val="auto"/>
          <w:sz w:val="24"/>
          <w:szCs w:val="24"/>
          <w:highlight w:val="none"/>
          <w:lang w:val="en-US" w:eastAsia="zh-CN"/>
        </w:rPr>
        <w:t>投标人近三年类似项目业绩；</w:t>
      </w:r>
    </w:p>
    <w:p w14:paraId="76B73F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11.1.4.6</w:t>
      </w:r>
      <w:r>
        <w:rPr>
          <w:rFonts w:hint="eastAsia" w:ascii="Times New Roman" w:hAnsi="Times New Roman" w:eastAsia="宋体" w:cs="Times New Roman"/>
          <w:color w:val="auto"/>
          <w:sz w:val="24"/>
          <w:szCs w:val="24"/>
          <w:highlight w:val="none"/>
          <w:lang w:eastAsia="zh-CN"/>
        </w:rPr>
        <w:t>拟投入设备仪器</w:t>
      </w:r>
    </w:p>
    <w:p w14:paraId="22FE28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11.1.4.7项目负责人基本情况表；</w:t>
      </w:r>
    </w:p>
    <w:p w14:paraId="2B63DD2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拟投入项目人员配置表；</w:t>
      </w:r>
    </w:p>
    <w:p w14:paraId="5D3C55F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9项目</w:t>
      </w:r>
      <w:r>
        <w:rPr>
          <w:rFonts w:hint="eastAsia" w:ascii="宋体" w:hAnsi="宋体" w:eastAsia="宋体" w:cs="宋体"/>
          <w:color w:val="auto"/>
          <w:sz w:val="24"/>
          <w:szCs w:val="24"/>
          <w:highlight w:val="none"/>
          <w:lang w:val="en-US" w:eastAsia="zh-CN"/>
        </w:rPr>
        <w:t>实施方案；</w:t>
      </w:r>
    </w:p>
    <w:p w14:paraId="5EEB980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进度计划保障措施；</w:t>
      </w:r>
    </w:p>
    <w:p w14:paraId="75C9E58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应急预案；</w:t>
      </w:r>
    </w:p>
    <w:p w14:paraId="21EEBF9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服务质量控制措施；</w:t>
      </w:r>
    </w:p>
    <w:p w14:paraId="4712E4A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其他有利于投标的资料及证明文件等。</w:t>
      </w:r>
    </w:p>
    <w:p w14:paraId="1F600C3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11.2投标人应将投标文件装订成册，并编写文件资料目录。</w:t>
      </w:r>
    </w:p>
    <w:p w14:paraId="003BE03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8" w:name="_Toc18986"/>
      <w:bookmarkStart w:id="89" w:name="_Toc14471"/>
      <w:r>
        <w:rPr>
          <w:rFonts w:hint="eastAsia" w:ascii="宋体" w:hAnsi="宋体" w:eastAsia="宋体" w:cs="宋体"/>
          <w:color w:val="auto"/>
          <w:sz w:val="24"/>
          <w:szCs w:val="24"/>
          <w:highlight w:val="none"/>
          <w:lang w:val="en-US" w:eastAsia="zh-CN"/>
        </w:rPr>
        <w:t>12.投标文件格式</w:t>
      </w:r>
      <w:bookmarkEnd w:id="88"/>
      <w:bookmarkEnd w:id="89"/>
    </w:p>
    <w:p w14:paraId="1730185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12.1投标人应按招标文件的投标文件格式中提供的投标文件格式填写投标承诺书、开标一览表、投标报价明细表（如有）。</w:t>
      </w:r>
    </w:p>
    <w:p w14:paraId="39327DD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12.2投标人应按招标文件“第六部分 投标文件格式”提供的格式编写其投标文件，投标人不得缺少或留空任何招标文件要求填写的表格或提交的资料。</w:t>
      </w:r>
    </w:p>
    <w:p w14:paraId="3AF79B4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12.3投标人应将投标文件按“第六部分 投标文件格式”提供的格式规定的顺序编排、并应编制目录、逐页标注连续页码，并装订成册。</w:t>
      </w:r>
    </w:p>
    <w:p w14:paraId="39B3AE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0" w:name="_Toc20732"/>
      <w:bookmarkStart w:id="91" w:name="_Toc27419"/>
      <w:r>
        <w:rPr>
          <w:rFonts w:hint="eastAsia" w:ascii="宋体" w:hAnsi="宋体" w:eastAsia="宋体" w:cs="宋体"/>
          <w:color w:val="auto"/>
          <w:sz w:val="24"/>
          <w:szCs w:val="24"/>
          <w:highlight w:val="none"/>
          <w:lang w:val="en-US" w:eastAsia="zh-CN"/>
        </w:rPr>
        <w:t>13.投标报价</w:t>
      </w:r>
      <w:bookmarkEnd w:id="90"/>
      <w:bookmarkEnd w:id="91"/>
    </w:p>
    <w:p w14:paraId="7E53CF7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13.1投标人应在投标报价表上标明单价和总价。单价和总价要相符。小写和大写要相符。投标人应在投标报价表中标明其提供的所有货物/服务及其相关工作范围内所有费用的总价，不接受有任何选择性报价。</w:t>
      </w:r>
    </w:p>
    <w:p w14:paraId="338950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13.2投标人所报的投标报价不得高于本项目最高投标限价。</w:t>
      </w:r>
    </w:p>
    <w:p w14:paraId="5FA48A6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13.3算术性修正。算术性修正是指对投标文件的报价明细进行校核，并对其算术上和运算上的差错给予修正。修正的原则如下：</w:t>
      </w:r>
    </w:p>
    <w:p w14:paraId="52B9F9C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13.3.1当以数字表示的金额与文字表示的金额有差异时，以文字表示的金额为准；</w:t>
      </w:r>
    </w:p>
    <w:p w14:paraId="003167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13.3.2当单价与数量相乘不等于合价时，以单价计算为准。如果单价有明显的小数点位置差错，应以标出的合价为准，同时对单价予以修正；</w:t>
      </w:r>
    </w:p>
    <w:p w14:paraId="28829DC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13.3.3当各明细部分的价格累计不等于合价时，应以各明细的累计计数为准，修正合价。</w:t>
      </w:r>
    </w:p>
    <w:p w14:paraId="189FD2D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13.3.4按以上原则对算术性差错修正，应取得投标人的同意，并确认修正后最终投标价。如果投标人拒绝确认，则其投标文件将不予以评审并按废标处理，没收其投标担保。</w:t>
      </w:r>
    </w:p>
    <w:p w14:paraId="46A2DB8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2" w:name="_Toc17041"/>
      <w:bookmarkStart w:id="93" w:name="_Toc26760"/>
      <w:r>
        <w:rPr>
          <w:rFonts w:hint="eastAsia" w:ascii="宋体" w:hAnsi="宋体" w:eastAsia="宋体" w:cs="宋体"/>
          <w:color w:val="auto"/>
          <w:sz w:val="24"/>
          <w:szCs w:val="24"/>
          <w:highlight w:val="none"/>
          <w:lang w:val="en-US" w:eastAsia="zh-CN"/>
        </w:rPr>
        <w:t>13.4投标报价依据相关法律法规等文件，并结合工程实际情况,未按此规定填报的投标人，整个投标文件将被视为不响应招标文件，而予以拒绝评审。</w:t>
      </w:r>
    </w:p>
    <w:p w14:paraId="7AD3081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投标人不得违反《中华人民共和国反不正当竞争法》的规定，以低于成本的价格销售货物或服务，否则应对其价格构成情况做出详细说明并提供相关证明资料。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44F65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14.投标货币</w:t>
      </w:r>
      <w:bookmarkEnd w:id="92"/>
      <w:bookmarkEnd w:id="93"/>
    </w:p>
    <w:p w14:paraId="0759446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14.1投标人提供的货物和服务一律用人民币报价。</w:t>
      </w:r>
    </w:p>
    <w:p w14:paraId="09250C7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4" w:name="_Toc20066"/>
      <w:bookmarkStart w:id="95" w:name="_Toc6964"/>
      <w:r>
        <w:rPr>
          <w:rFonts w:hint="eastAsia" w:ascii="宋体" w:hAnsi="宋体" w:eastAsia="宋体" w:cs="宋体"/>
          <w:color w:val="auto"/>
          <w:sz w:val="24"/>
          <w:szCs w:val="24"/>
          <w:highlight w:val="none"/>
          <w:lang w:val="en-US" w:eastAsia="zh-CN"/>
        </w:rPr>
        <w:t>15.投标人的证明文件：</w:t>
      </w:r>
      <w:bookmarkEnd w:id="94"/>
      <w:bookmarkEnd w:id="95"/>
    </w:p>
    <w:p w14:paraId="28A4DC0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投标人必须提交证明其有资格进行投标和有能力履行合同的文件，作为投标文件的一部分。（详见“投标人须知前附表”、“投标文件格式”）</w:t>
      </w:r>
    </w:p>
    <w:p w14:paraId="5C9B87F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（1）投标文件中要求签字、盖章处必须严格按要求签字、加盖有关有法律效力的印章方为有效；</w:t>
      </w:r>
    </w:p>
    <w:p w14:paraId="2349799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（2）所有资格证明文件必须满足招标文件要求，否则将导致废标。</w:t>
      </w:r>
    </w:p>
    <w:p w14:paraId="15F3BF9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16.投标人须提交证明拟供货物和服务符合招标文件规定的技术投标文件，作为投标文件的一部分。</w:t>
      </w:r>
    </w:p>
    <w:p w14:paraId="0A852EB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6" w:name="_Toc24392"/>
      <w:bookmarkStart w:id="97" w:name="_Toc5361"/>
      <w:r>
        <w:rPr>
          <w:rFonts w:hint="eastAsia" w:ascii="宋体" w:hAnsi="宋体" w:eastAsia="宋体" w:cs="宋体"/>
          <w:color w:val="auto"/>
          <w:sz w:val="24"/>
          <w:szCs w:val="24"/>
          <w:highlight w:val="none"/>
          <w:lang w:val="en-US" w:eastAsia="zh-CN"/>
        </w:rPr>
        <w:t>17.投标有效期</w:t>
      </w:r>
      <w:bookmarkEnd w:id="96"/>
      <w:bookmarkEnd w:id="97"/>
    </w:p>
    <w:p w14:paraId="6123807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17.1投标文件从开标之日起，投标有效期为90天。（如不满足将导致废标）</w:t>
      </w:r>
    </w:p>
    <w:p w14:paraId="35C9B5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17.2在特殊情况下，招标代理机构可与投标人商量延长投标文件的有效期。</w:t>
      </w:r>
    </w:p>
    <w:p w14:paraId="347316E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8" w:name="_Toc8237"/>
      <w:bookmarkStart w:id="99" w:name="_Toc10227"/>
      <w:r>
        <w:rPr>
          <w:rFonts w:hint="eastAsia" w:ascii="宋体" w:hAnsi="宋体" w:eastAsia="宋体" w:cs="宋体"/>
          <w:color w:val="auto"/>
          <w:sz w:val="24"/>
          <w:szCs w:val="24"/>
          <w:highlight w:val="none"/>
          <w:lang w:val="en-US" w:eastAsia="zh-CN"/>
        </w:rPr>
        <w:t>18.投标文件的书写要求</w:t>
      </w:r>
      <w:bookmarkEnd w:id="98"/>
      <w:bookmarkEnd w:id="99"/>
    </w:p>
    <w:p w14:paraId="05AEFFC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18.1投标文件均须左侧胶装装订，装订须牢固不易拆散和换页，不得采用活页方式装订，</w:t>
      </w:r>
      <w:r>
        <w:rPr>
          <w:rFonts w:hint="eastAsia" w:ascii="宋体" w:hAnsi="宋体" w:eastAsia="宋体" w:cs="宋体"/>
          <w:color w:val="auto"/>
          <w:sz w:val="24"/>
          <w:szCs w:val="24"/>
          <w:highlight w:val="none"/>
          <w:lang w:val="zh-CN" w:eastAsia="zh-CN"/>
        </w:rPr>
        <w:t>每本标书厚度不得超过5cm，如超过可以分册装订</w:t>
      </w:r>
      <w:r>
        <w:rPr>
          <w:rFonts w:hint="eastAsia" w:ascii="宋体" w:hAnsi="宋体" w:eastAsia="宋体" w:cs="宋体"/>
          <w:color w:val="auto"/>
          <w:sz w:val="24"/>
          <w:szCs w:val="24"/>
          <w:highlight w:val="none"/>
          <w:lang w:val="en-US" w:eastAsia="zh-CN"/>
        </w:rPr>
        <w:t>。</w:t>
      </w:r>
    </w:p>
    <w:p w14:paraId="578A147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18.2投标文件应清楚工整，修改处应应加盖单位法人代表或代理人印章。</w:t>
      </w:r>
    </w:p>
    <w:p w14:paraId="37119C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18.3投标文件应由法定代表人或委托代理人在凡规定签章处逐一签署及加盖法人章或单位公章。</w:t>
      </w:r>
    </w:p>
    <w:p w14:paraId="5D5F3A5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18.4电报、电话、传真形式的投标概不接受。</w:t>
      </w:r>
    </w:p>
    <w:p w14:paraId="668565B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18.5投标文件的份数（详见“投标人须知前附表”）。</w:t>
      </w:r>
    </w:p>
    <w:p w14:paraId="340379F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0" w:name="_Toc19182"/>
      <w:bookmarkStart w:id="101" w:name="_Toc21424"/>
      <w:r>
        <w:rPr>
          <w:rFonts w:hint="eastAsia" w:ascii="宋体" w:hAnsi="宋体" w:eastAsia="宋体" w:cs="宋体"/>
          <w:color w:val="auto"/>
          <w:sz w:val="24"/>
          <w:szCs w:val="24"/>
          <w:highlight w:val="none"/>
          <w:lang w:val="en-US" w:eastAsia="zh-CN"/>
        </w:rPr>
        <w:t>19.投标保证金</w:t>
      </w:r>
      <w:bookmarkEnd w:id="100"/>
      <w:bookmarkEnd w:id="101"/>
    </w:p>
    <w:p w14:paraId="2F1D2C3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19.1投标人按照“投标人须知前附表”中明确的标准，于投标截止时间前向招标代理机构交纳投标保证金。</w:t>
      </w:r>
    </w:p>
    <w:p w14:paraId="17B99E6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19.2本次招标可接受电汇作为投标保证金，投标保证金有效期应当与投标有效期一致。</w:t>
      </w:r>
    </w:p>
    <w:p w14:paraId="0A70FB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19.3投标保证金的退还时间：</w:t>
      </w:r>
    </w:p>
    <w:p w14:paraId="3833DAC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19.3.1在中标通知书发出后5个工作日内退还未中标供应商的投标保证金，在采购合同签订且公示后5个工作日内退还中标供应商的投标保证金。具体退还保证金要求，详见“第七部分 附件”。</w:t>
      </w:r>
    </w:p>
    <w:p w14:paraId="3A08BAC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19.4未按规定提交投标保证金的投标，将被视为投标无效。</w:t>
      </w:r>
    </w:p>
    <w:p w14:paraId="6EDC58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19.5下列任何情况发生时，投标保证金将被没收：</w:t>
      </w:r>
    </w:p>
    <w:p w14:paraId="28645B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19.5.1投标人在招标文件规定的投标有效期内撤回其投标；</w:t>
      </w:r>
    </w:p>
    <w:p w14:paraId="25C4C44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19.5.2中标人在规定期限内未能：</w:t>
      </w:r>
    </w:p>
    <w:p w14:paraId="0F0CE6D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19.5.2.1按本须知规定签订合同；</w:t>
      </w:r>
    </w:p>
    <w:p w14:paraId="2E44B9D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19.5.2.2按本须知规定向招标代理机构交纳招标代理服务费。</w:t>
      </w:r>
    </w:p>
    <w:p w14:paraId="56D9CFF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19.5.3投标人行贿采购人或招标代理机构或评标专家或试图影响招标结果的行为；</w:t>
      </w:r>
    </w:p>
    <w:p w14:paraId="3E265CC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19.5.4投标人在提交投标文件时或答复质疑及澄清时提供虚假或伪造的证明材料及数据；</w:t>
      </w:r>
    </w:p>
    <w:p w14:paraId="23F9DE7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19.5.5</w:t>
      </w:r>
      <w:r>
        <w:rPr>
          <w:rFonts w:hint="eastAsia" w:ascii="宋体" w:hAnsi="宋体" w:eastAsia="宋体" w:cs="宋体"/>
          <w:color w:val="auto"/>
          <w:sz w:val="24"/>
          <w:szCs w:val="24"/>
          <w:highlight w:val="none"/>
          <w:lang w:val="zh-CN" w:eastAsia="zh-CN"/>
        </w:rPr>
        <w:t>法律、行政法规和招标文件规定的其他情况。</w:t>
      </w:r>
    </w:p>
    <w:p w14:paraId="007658E1">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02" w:name="_Toc298240408"/>
      <w:bookmarkStart w:id="103" w:name="_Toc28588"/>
      <w:bookmarkStart w:id="104" w:name="_Toc267301285"/>
      <w:bookmarkStart w:id="105" w:name="_Toc349637923"/>
      <w:bookmarkStart w:id="106" w:name="_Toc349573124"/>
      <w:bookmarkStart w:id="107" w:name="_Toc22142"/>
      <w:r>
        <w:rPr>
          <w:rFonts w:hint="eastAsia" w:ascii="宋体" w:hAnsi="宋体" w:eastAsia="宋体" w:cs="宋体"/>
          <w:b/>
          <w:bCs/>
          <w:color w:val="auto"/>
          <w:sz w:val="28"/>
          <w:szCs w:val="28"/>
          <w:highlight w:val="none"/>
          <w:lang w:val="en-US" w:eastAsia="zh-CN"/>
        </w:rPr>
        <w:t>四、投标文件的递交</w:t>
      </w:r>
      <w:bookmarkEnd w:id="102"/>
      <w:bookmarkEnd w:id="103"/>
      <w:bookmarkEnd w:id="104"/>
      <w:bookmarkEnd w:id="105"/>
      <w:bookmarkEnd w:id="106"/>
      <w:bookmarkEnd w:id="107"/>
    </w:p>
    <w:p w14:paraId="6F4443D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8" w:name="_Toc298240409"/>
      <w:bookmarkStart w:id="109" w:name="_Toc349573125"/>
      <w:bookmarkStart w:id="110" w:name="_Toc267301286"/>
      <w:bookmarkStart w:id="111" w:name="_Toc349637924"/>
      <w:bookmarkStart w:id="112" w:name="_Toc26228"/>
      <w:bookmarkStart w:id="113" w:name="_Toc16765"/>
      <w:r>
        <w:rPr>
          <w:rFonts w:hint="eastAsia" w:ascii="宋体" w:hAnsi="宋体" w:eastAsia="宋体" w:cs="宋体"/>
          <w:color w:val="auto"/>
          <w:sz w:val="24"/>
          <w:szCs w:val="24"/>
          <w:highlight w:val="none"/>
          <w:lang w:val="en-US" w:eastAsia="zh-CN"/>
        </w:rPr>
        <w:t>20.投标文件的加密与标记</w:t>
      </w:r>
    </w:p>
    <w:p w14:paraId="1BFF18E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DFD139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投标截止时间以政采云平台显示的时间为准，逾期系统将自动关闭，未完成上传的投标文件视为逾期送达，将被拒绝。</w:t>
      </w:r>
    </w:p>
    <w:p w14:paraId="1A69A93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20.2如果投标人未按上述要求加密及标记，采购代理机构对投标文件的误投和提前启封概不负责。对由此造成提前开启的投标文件，采购代理机构有权予以拒绝，并退回投标人。</w:t>
      </w:r>
    </w:p>
    <w:p w14:paraId="252BA6F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21.投标文件的递交</w:t>
      </w:r>
    </w:p>
    <w:p w14:paraId="46F8DB6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21.1本</w:t>
      </w:r>
      <w:r>
        <w:rPr>
          <w:rFonts w:hint="eastAsia" w:ascii="宋体" w:hAnsi="宋体" w:eastAsia="宋体" w:cs="宋体"/>
          <w:color w:val="auto"/>
          <w:sz w:val="24"/>
          <w:szCs w:val="24"/>
          <w:highlight w:val="none"/>
          <w:lang w:val="zh-CN" w:eastAsia="zh-CN"/>
        </w:rPr>
        <w:t>项目采用不见面开标。只需将加密电子投标文件（.</w:t>
      </w:r>
      <w:r>
        <w:rPr>
          <w:rFonts w:hint="eastAsia" w:ascii="宋体" w:hAnsi="宋体" w:eastAsia="宋体" w:cs="宋体"/>
          <w:color w:val="auto"/>
          <w:sz w:val="24"/>
          <w:szCs w:val="24"/>
          <w:highlight w:val="none"/>
          <w:lang w:val="en-US" w:eastAsia="zh-CN"/>
        </w:rPr>
        <w:t>jmbs</w:t>
      </w:r>
      <w:r>
        <w:rPr>
          <w:rFonts w:hint="eastAsia" w:ascii="宋体" w:hAnsi="宋体" w:eastAsia="宋体" w:cs="宋体"/>
          <w:color w:val="auto"/>
          <w:sz w:val="24"/>
          <w:szCs w:val="24"/>
          <w:highlight w:val="none"/>
          <w:lang w:val="zh-CN" w:eastAsia="zh-CN"/>
        </w:rPr>
        <w:t>格式）在投标截止时间前通过</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lang w:val="zh-CN" w:eastAsia="zh-CN"/>
        </w:rPr>
        <w:t>平台上传完成。上传时必须得到电脑“上传成功”的确认回复后方为上传成功。逾期上传的或者未上传到平台的投标文件，采购人不予受理。</w:t>
      </w:r>
    </w:p>
    <w:p w14:paraId="2600BE9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r>
        <w:rPr>
          <w:rFonts w:hint="eastAsia" w:ascii="宋体" w:hAnsi="宋体" w:eastAsia="宋体" w:cs="宋体"/>
          <w:b/>
          <w:bCs/>
          <w:color w:val="auto"/>
          <w:sz w:val="24"/>
          <w:szCs w:val="24"/>
          <w:highlight w:val="none"/>
          <w:lang w:val="zh-CN" w:eastAsia="zh-CN"/>
        </w:rPr>
        <w:t>投标单位在投标截止时间前无需提供纸质投标文件，待中标（成交）</w:t>
      </w:r>
      <w:r>
        <w:rPr>
          <w:rFonts w:hint="eastAsia" w:ascii="宋体" w:hAnsi="宋体" w:eastAsia="宋体" w:cs="宋体"/>
          <w:b/>
          <w:bCs/>
          <w:color w:val="auto"/>
          <w:sz w:val="24"/>
          <w:szCs w:val="24"/>
          <w:highlight w:val="none"/>
          <w:lang w:val="en-US" w:eastAsia="zh-CN"/>
        </w:rPr>
        <w:t>公示期满后由中标单位将纸质（正本1份、副本2份）送或寄至新疆众通桥项目管理咨询有限公司。</w:t>
      </w:r>
    </w:p>
    <w:p w14:paraId="55B79A8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lang w:val="zh-CN" w:eastAsia="zh-CN"/>
        </w:rPr>
        <w:t>纸质投标文件装订要求：投标文件要求不得活页装订，每本标书厚度不得超过5cm，如超过可以分册装订。</w:t>
      </w:r>
    </w:p>
    <w:p w14:paraId="627629E1">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w:t>
      </w:r>
      <w:bookmarkEnd w:id="108"/>
      <w:bookmarkEnd w:id="109"/>
      <w:bookmarkEnd w:id="110"/>
      <w:bookmarkEnd w:id="111"/>
      <w:bookmarkEnd w:id="112"/>
      <w:r>
        <w:rPr>
          <w:rFonts w:hint="eastAsia" w:ascii="宋体" w:hAnsi="宋体" w:eastAsia="宋体" w:cs="宋体"/>
          <w:b/>
          <w:bCs/>
          <w:color w:val="auto"/>
          <w:sz w:val="28"/>
          <w:szCs w:val="28"/>
          <w:highlight w:val="none"/>
          <w:lang w:val="en-US" w:eastAsia="zh-CN"/>
        </w:rPr>
        <w:t>、开标程序</w:t>
      </w:r>
      <w:bookmarkEnd w:id="113"/>
    </w:p>
    <w:p w14:paraId="5D34A42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22．开标</w:t>
      </w:r>
    </w:p>
    <w:p w14:paraId="338865A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22.1本项目采用电子招投标方式</w:t>
      </w:r>
    </w:p>
    <w:p w14:paraId="2FB7E49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22.2本次招标按招标文件中投标邀请规定的时间地点进行开标，将邀请投标人的法定代表人或其授权委托人准时参加开标会。</w:t>
      </w:r>
    </w:p>
    <w:p w14:paraId="3123D46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22.3对招标人的纪律要求</w:t>
      </w:r>
    </w:p>
    <w:p w14:paraId="675F5E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招标人不得泄露招标投标活动中应当保密的情况和资料，不得与投标人串通损害国家利益、社会公共利益或者他人合法权益。</w:t>
      </w:r>
    </w:p>
    <w:p w14:paraId="1636FDF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22.4对投标人的纪律要求</w:t>
      </w:r>
    </w:p>
    <w:p w14:paraId="28742D4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投标人不得互相串通投标或者与招标人串通投标，不得向招标人或者评标委员会成员行贿谋取中标，不得以他人名义投标或者以其他方式弄虚作假骗取中标；投标人不得以任何方式干扰、影响评标工作。</w:t>
      </w:r>
    </w:p>
    <w:p w14:paraId="2E0A368A">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六、投标文件的解密</w:t>
      </w:r>
    </w:p>
    <w:p w14:paraId="326AB2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bookmarkStart w:id="114" w:name="_Toc267301288"/>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.1投标文件的解密</w:t>
      </w:r>
    </w:p>
    <w:p w14:paraId="73E3FA2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政采云平台将在开标时间（投标文件解密时间）自动开启投标文件解密，投标人需在采购文件规定的时间内自行将投标文件进行解密。</w:t>
      </w:r>
      <w:r>
        <w:rPr>
          <w:rFonts w:hint="eastAsia" w:ascii="宋体" w:hAnsi="宋体" w:cs="宋体"/>
          <w:b/>
          <w:bCs/>
          <w:color w:val="auto"/>
          <w:sz w:val="24"/>
          <w:szCs w:val="24"/>
          <w:highlight w:val="none"/>
        </w:rPr>
        <w:t>待开启签字提示时，及时进行签字确认。</w:t>
      </w:r>
      <w:r>
        <w:rPr>
          <w:rFonts w:hint="eastAsia" w:ascii="宋体" w:hAnsi="宋体" w:eastAsia="宋体" w:cs="宋体"/>
          <w:color w:val="auto"/>
          <w:sz w:val="24"/>
          <w:szCs w:val="24"/>
          <w:highlight w:val="none"/>
          <w:lang w:val="en-US" w:eastAsia="zh-CN"/>
        </w:rPr>
        <w:t>如因供应商自身原因导致在规定时间内无法正常解密的（如：浏览器故障、未安装相关驱动、网络故障、加密CA与解密CA不一致等），招标代理机构不予异常处理，视为供应商自动弃标。</w:t>
      </w:r>
    </w:p>
    <w:p w14:paraId="3532C8C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.2投标文件解密失败的异常处理</w:t>
      </w:r>
    </w:p>
    <w:p w14:paraId="61FC670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投标文件解密截止时间前，如因政采云系统原因导致不能正常解密的，应及时联系代理机构项目负责人，经确认后将上传未加密的电子投标文件进行异常处理。如超过投标文件解密时间，不管什么原因招标代理机构一律不予异常处理，视为供应商自动弃标。</w:t>
      </w:r>
    </w:p>
    <w:bookmarkEnd w:id="114"/>
    <w:p w14:paraId="6E0066EF">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5" w:name="_Toc24164"/>
      <w:r>
        <w:rPr>
          <w:rFonts w:hint="eastAsia" w:ascii="宋体" w:hAnsi="宋体" w:eastAsia="宋体" w:cs="宋体"/>
          <w:b/>
          <w:bCs/>
          <w:color w:val="auto"/>
          <w:sz w:val="28"/>
          <w:szCs w:val="28"/>
          <w:highlight w:val="none"/>
          <w:lang w:val="en-US" w:eastAsia="zh-CN"/>
        </w:rPr>
        <w:t>七、</w:t>
      </w:r>
      <w:bookmarkEnd w:id="115"/>
      <w:r>
        <w:rPr>
          <w:rFonts w:hint="eastAsia" w:ascii="宋体" w:hAnsi="宋体" w:eastAsia="宋体" w:cs="宋体"/>
          <w:b/>
          <w:bCs/>
          <w:color w:val="auto"/>
          <w:sz w:val="28"/>
          <w:szCs w:val="28"/>
          <w:highlight w:val="none"/>
          <w:lang w:val="en-US" w:eastAsia="zh-CN"/>
        </w:rPr>
        <w:t>授予合同</w:t>
      </w:r>
    </w:p>
    <w:p w14:paraId="45F1F46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.合同授予标准</w:t>
      </w:r>
    </w:p>
    <w:p w14:paraId="3322CAC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.1合同将授予被确定为实质上响应招标文件要求，评标认为具备履行合同义务条件、报价合理、技术和商务条件都符合条件基础上综合评分得分最高的投标人。</w:t>
      </w:r>
    </w:p>
    <w:p w14:paraId="51B52E4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.2最高投标价不一定是被授予合同的保证。</w:t>
      </w:r>
    </w:p>
    <w:p w14:paraId="7461D9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.3如果确定该投标人无法圆满履行合同，招标代理机构将对下一个可能中标的投标人资格作出类似的审查。</w:t>
      </w:r>
    </w:p>
    <w:p w14:paraId="11424BE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.接受和拒绝任何或所有投标的权力</w:t>
      </w:r>
    </w:p>
    <w:p w14:paraId="4907685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.1采购人或招标代理机构保留依法定事由、不可抗力或政府采购主管部门相关要求，拒绝任何或所有投标的权利，或宣布招标无效的权利。对受影响的投标人不承担任何责任。</w:t>
      </w:r>
    </w:p>
    <w:p w14:paraId="2F138C9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.中标通知书</w:t>
      </w:r>
    </w:p>
    <w:p w14:paraId="6287CE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.1中标公告期满后，招标代理机构将以书面形式发出《中标通知书》，但发出时间不超过投标有效期，《中标通知书》一经发出即发生法律效力。</w:t>
      </w:r>
    </w:p>
    <w:p w14:paraId="79F2B39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.2《中标通知书》将作为签订合同的依据。</w:t>
      </w:r>
    </w:p>
    <w:p w14:paraId="168F243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.3招标代理机构将在中标人按规定签订合同并提交履约保证金（如适用）后退还其投标保证金。</w:t>
      </w:r>
    </w:p>
    <w:p w14:paraId="3329432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.签订合同</w:t>
      </w:r>
    </w:p>
    <w:p w14:paraId="1552AAE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1中标人应当自《中标通知书》发出之日起三十日内，按照招标文件和中标供应商投标文件的约定，与采购人签订书面合同。所签订的合同不得对招标文件和中标供商投标文件作实质性修改，采购人和中标人不得再订立背离合同实质性内容的其他协议。</w:t>
      </w:r>
    </w:p>
    <w:p w14:paraId="62DD79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.2如中标人拒签合同，则按违约处理。招标代理机构没收其投标保证金。</w:t>
      </w:r>
    </w:p>
    <w:p w14:paraId="43F0D2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.3招标文件、中标人的投标文件及其澄清文件等，均为签订经济合同的依据。</w:t>
      </w:r>
    </w:p>
    <w:p w14:paraId="1E77117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.招标代理服务费</w:t>
      </w:r>
    </w:p>
    <w:p w14:paraId="04B9AA7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.1中标人须向招标代理机构按如下标准和期限交纳招标代理服务费：</w:t>
      </w:r>
    </w:p>
    <w:p w14:paraId="3863FC1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.1.1招标代理服务费支付标准按照国家取费标准计取；</w:t>
      </w:r>
    </w:p>
    <w:p w14:paraId="13F6CFC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.1.2中标公告期满后，中标人领取中标通知书前须按规定的标准以现金或电汇的方式一次性向招标代理机构缴纳招标代理服务费。</w:t>
      </w:r>
    </w:p>
    <w:p w14:paraId="60F0012F">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6" w:name="_Toc27454"/>
      <w:bookmarkStart w:id="117" w:name="_Toc15314"/>
      <w:r>
        <w:rPr>
          <w:rFonts w:hint="eastAsia" w:ascii="宋体" w:hAnsi="宋体" w:eastAsia="宋体" w:cs="宋体"/>
          <w:b/>
          <w:bCs/>
          <w:color w:val="auto"/>
          <w:sz w:val="28"/>
          <w:szCs w:val="28"/>
          <w:highlight w:val="none"/>
          <w:lang w:val="en-US" w:eastAsia="zh-CN"/>
        </w:rPr>
        <w:t>八、</w:t>
      </w:r>
      <w:bookmarkEnd w:id="116"/>
      <w:bookmarkEnd w:id="117"/>
      <w:r>
        <w:rPr>
          <w:rFonts w:hint="eastAsia" w:ascii="宋体" w:hAnsi="宋体" w:eastAsia="宋体" w:cs="宋体"/>
          <w:b/>
          <w:bCs/>
          <w:color w:val="auto"/>
          <w:sz w:val="28"/>
          <w:szCs w:val="28"/>
          <w:highlight w:val="none"/>
          <w:lang w:val="en-US" w:eastAsia="zh-CN"/>
        </w:rPr>
        <w:t>招标失败条件</w:t>
      </w:r>
    </w:p>
    <w:p w14:paraId="33FD0F7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.出现影响采购公正的违法、违规行为的；</w:t>
      </w:r>
    </w:p>
    <w:p w14:paraId="79ED3AC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.因重大变故，采购任务取消的；</w:t>
      </w:r>
    </w:p>
    <w:p w14:paraId="1530DFE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.招标文件截止时间后，实际参与的投标人不足法定家数的；</w:t>
      </w:r>
    </w:p>
    <w:p w14:paraId="56A87E0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.最终报价均超过采购预算的；</w:t>
      </w:r>
    </w:p>
    <w:p w14:paraId="2AF6D17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.对招标文件作出实质性响应的投标人不足法定家数的。</w:t>
      </w:r>
    </w:p>
    <w:p w14:paraId="4FBF4019">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8" w:name="_Toc6088"/>
      <w:bookmarkStart w:id="119" w:name="_Toc21111"/>
      <w:bookmarkStart w:id="120" w:name="_Toc22980"/>
      <w:bookmarkStart w:id="121" w:name="_Toc11068"/>
      <w:bookmarkStart w:id="122" w:name="_Toc446599320"/>
      <w:bookmarkStart w:id="123" w:name="_Toc29415"/>
      <w:bookmarkStart w:id="124" w:name="_Toc437611461"/>
      <w:r>
        <w:rPr>
          <w:rFonts w:hint="eastAsia" w:ascii="宋体" w:hAnsi="宋体" w:eastAsia="宋体" w:cs="宋体"/>
          <w:b/>
          <w:bCs/>
          <w:color w:val="auto"/>
          <w:sz w:val="28"/>
          <w:szCs w:val="28"/>
          <w:highlight w:val="none"/>
          <w:lang w:val="en-US" w:eastAsia="zh-CN"/>
        </w:rPr>
        <w:t>九、</w:t>
      </w:r>
      <w:bookmarkEnd w:id="118"/>
      <w:bookmarkEnd w:id="119"/>
      <w:bookmarkEnd w:id="120"/>
      <w:bookmarkEnd w:id="121"/>
      <w:bookmarkEnd w:id="122"/>
      <w:bookmarkEnd w:id="123"/>
      <w:bookmarkEnd w:id="124"/>
      <w:r>
        <w:rPr>
          <w:rFonts w:hint="eastAsia" w:ascii="宋体" w:hAnsi="宋体" w:eastAsia="宋体" w:cs="宋体"/>
          <w:b/>
          <w:bCs/>
          <w:color w:val="auto"/>
          <w:sz w:val="28"/>
          <w:szCs w:val="28"/>
          <w:highlight w:val="none"/>
          <w:lang w:val="en-US" w:eastAsia="zh-CN"/>
        </w:rPr>
        <w:t>质疑和投诉</w:t>
      </w:r>
    </w:p>
    <w:p w14:paraId="1E1E523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.质疑</w:t>
      </w:r>
    </w:p>
    <w:p w14:paraId="6C3CE9E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.1供应商提出质疑应当符合以下条件：</w:t>
      </w:r>
    </w:p>
    <w:p w14:paraId="12C0890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如果供应商对此次采购活动有疑问，可依据《政府采购法》等相关规定，在规定的时间内以书面形式向采购人或代理机构提出质疑。质疑书应当包括下列主要内容：</w:t>
      </w:r>
    </w:p>
    <w:p w14:paraId="2AC10CA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（1）质疑人的名称、地址、电话等；</w:t>
      </w:r>
    </w:p>
    <w:p w14:paraId="0B514E1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（2）质疑人法人签章和单位公章；</w:t>
      </w:r>
    </w:p>
    <w:p w14:paraId="57125A0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（3）具体的质疑事项及事实依据；</w:t>
      </w:r>
    </w:p>
    <w:p w14:paraId="28F1FF2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（4）明确的请求和必要（合法来源）的证明材料；</w:t>
      </w:r>
    </w:p>
    <w:p w14:paraId="6EC584E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（5）以联合体形式参与资格预审的，则必须联合体各方共同签署、盖章；</w:t>
      </w:r>
    </w:p>
    <w:p w14:paraId="01A00C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（6）提起质疑的日期。</w:t>
      </w:r>
    </w:p>
    <w:p w14:paraId="6FD64DA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特注：未按上述程序规定的必备内容进行质疑的，采购人或代理机构将不予以受理。</w:t>
      </w:r>
    </w:p>
    <w:p w14:paraId="7A2C432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65877E4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.3质疑人可以委托代理人办理质疑事项，代理人办理质疑事项时，除提交质疑书外，还应当提交质疑人的授权委托书及代理人的有效身份证明，授权委托书应当载明委托代理的具体权限和事项。</w:t>
      </w:r>
    </w:p>
    <w:p w14:paraId="0B6D12B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.4被质疑人应当在受理质疑后7个工作日内作出答复，并以书面形式通知质疑人和其他有关供应商，答复内容仅限于供应商所质疑的内容，不得涉及国家秘密和商业秘密。</w:t>
      </w:r>
    </w:p>
    <w:p w14:paraId="36ACB34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25" w:name="_Toc456336161"/>
      <w:bookmarkStart w:id="126" w:name="_Toc450546725"/>
      <w:bookmarkStart w:id="127" w:name="_Toc9365"/>
      <w:bookmarkStart w:id="128" w:name="_Toc483174929"/>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.投诉</w:t>
      </w:r>
      <w:bookmarkEnd w:id="125"/>
      <w:bookmarkEnd w:id="126"/>
      <w:bookmarkEnd w:id="127"/>
      <w:bookmarkEnd w:id="128"/>
    </w:p>
    <w:p w14:paraId="085443F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60948B7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.2投诉人提起投诉应符合以下条件：</w:t>
      </w:r>
    </w:p>
    <w:p w14:paraId="755B24D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投诉人应是参与项目的供应商；</w:t>
      </w:r>
    </w:p>
    <w:p w14:paraId="4DEAE29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投诉前已依法进行质疑；</w:t>
      </w:r>
    </w:p>
    <w:p w14:paraId="439B5AA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投诉书内容符合中华人民共和国财政部20号令《政府采购供应商投诉处理办法》的规定；</w:t>
      </w:r>
    </w:p>
    <w:p w14:paraId="69B3A4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在投诉有效期内；</w:t>
      </w:r>
    </w:p>
    <w:p w14:paraId="3A6BAE3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同一投诉事项未经处理的；</w:t>
      </w:r>
    </w:p>
    <w:p w14:paraId="2D51D9A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6</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相关法律、法规和省级以上人民政府财政部门规定的其他条件。</w:t>
      </w:r>
    </w:p>
    <w:p w14:paraId="724E00E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.3供应商投诉时，应当当面提交投诉书，投诉书应当包括下列主要内容：</w:t>
      </w:r>
    </w:p>
    <w:p w14:paraId="474B028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投诉人的姓名或者名称、住所、联系方式及相关证明；</w:t>
      </w:r>
    </w:p>
    <w:p w14:paraId="172E8D0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被投诉人的名称、住所、联系方式；</w:t>
      </w:r>
    </w:p>
    <w:p w14:paraId="764657E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具体的投诉事项、事实根据和法律依据；</w:t>
      </w:r>
    </w:p>
    <w:p w14:paraId="5E78B76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质疑和质疑答复情况及相关证明材料；</w:t>
      </w:r>
    </w:p>
    <w:p w14:paraId="24F4393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提起投诉的日期。</w:t>
      </w:r>
    </w:p>
    <w:p w14:paraId="39C9CB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投诉人为自然人的，应当由本人签字。投诉人为法人的，应当由其法定代表人签字并加盖单位公章。投诉人为其他组织的，应当由其主要负责人签字盖章并加盖单位公章。</w:t>
      </w:r>
    </w:p>
    <w:p w14:paraId="4BD23B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.4投诉人可以授权代理人办理投诉事务。代理人办理投诉事务时，除提交投诉书外，还应当向监督部门提交投诉人的授权委托书，授权委托书应当载明委托代理的具体权限和事项。</w:t>
      </w:r>
    </w:p>
    <w:p w14:paraId="0C8C0F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.5投诉人不符合上述规定提起的投诉，政府采购监督部门不予受理。</w:t>
      </w:r>
    </w:p>
    <w:p w14:paraId="7A77E322">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十、其他注意事项</w:t>
      </w:r>
    </w:p>
    <w:p w14:paraId="37C9331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6802738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lang w:val="en-US" w:eastAsia="zh-CN"/>
        </w:rPr>
        <w:t>.供应商为采购项目提供整体设计、规范编制或者项目管理、监理、检测等服务的供应商，不得再参加该采购项目的其他采购活动。</w:t>
      </w:r>
    </w:p>
    <w:p w14:paraId="4067DF7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25844E9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7DD6EC2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.供应商在参加政府采购活动前3年内因违法经营被禁止在一定期限内参加政府采购活动，期限届满的，可以参加政府采购活动。</w:t>
      </w:r>
    </w:p>
    <w:p w14:paraId="17BBB1E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360" w:lineRule="auto"/>
        <w:jc w:val="center"/>
        <w:textAlignment w:val="auto"/>
        <w:outlineLvl w:val="0"/>
        <w:rPr>
          <w:rFonts w:hint="eastAsia"/>
          <w:color w:val="auto"/>
          <w:highlight w:val="none"/>
          <w:lang w:eastAsia="zh-CN"/>
        </w:rPr>
      </w:pPr>
      <w:r>
        <w:rPr>
          <w:rFonts w:hint="eastAsia" w:ascii="宋体" w:hAnsi="宋体" w:eastAsia="宋体" w:cs="宋体"/>
          <w:b w:val="0"/>
          <w:bCs w:val="0"/>
          <w:snapToGrid/>
          <w:color w:val="auto"/>
          <w:kern w:val="2"/>
          <w:sz w:val="24"/>
          <w:szCs w:val="24"/>
          <w:highlight w:val="none"/>
          <w:lang w:val="en-US" w:eastAsia="zh-CN" w:bidi="ar-SA"/>
        </w:rPr>
        <w:br w:type="page"/>
      </w:r>
      <w:bookmarkEnd w:id="55"/>
      <w:bookmarkStart w:id="129" w:name="_Toc21332"/>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采购需求</w:t>
      </w:r>
      <w:bookmarkEnd w:id="129"/>
    </w:p>
    <w:p w14:paraId="44495D6E">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rPr>
      </w:pPr>
      <w:bookmarkStart w:id="130" w:name="_Toc31418"/>
      <w:r>
        <w:rPr>
          <w:rFonts w:hint="eastAsia" w:ascii="宋体" w:hAnsi="宋体" w:eastAsia="宋体" w:cs="宋体"/>
          <w:b/>
          <w:bCs/>
          <w:color w:val="auto"/>
          <w:sz w:val="24"/>
        </w:rPr>
        <w:t>一、招标概况</w:t>
      </w:r>
    </w:p>
    <w:p w14:paraId="66B4832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1.项目名称：新疆西昆仑</w:t>
      </w:r>
      <w:r>
        <w:rPr>
          <w:rFonts w:hint="eastAsia" w:ascii="宋体" w:hAnsi="宋体" w:eastAsia="宋体" w:cs="宋体"/>
          <w:color w:val="auto"/>
          <w:sz w:val="24"/>
          <w:szCs w:val="24"/>
          <w:highlight w:val="none"/>
          <w:lang w:eastAsia="zh-CN"/>
        </w:rPr>
        <w:t>地区地质勘查服务采购项目</w:t>
      </w:r>
    </w:p>
    <w:p w14:paraId="44C548A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2.项目编号：</w:t>
      </w:r>
      <w:r>
        <w:rPr>
          <w:rFonts w:hint="eastAsia" w:ascii="宋体" w:hAnsi="宋体" w:eastAsia="宋体" w:cs="宋体"/>
          <w:color w:val="auto"/>
          <w:sz w:val="24"/>
          <w:szCs w:val="24"/>
          <w:highlight w:val="none"/>
          <w:lang w:val="en" w:eastAsia="zh-CN"/>
        </w:rPr>
        <w:t>ZTQ-2026041</w:t>
      </w:r>
    </w:p>
    <w:p w14:paraId="667248B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3.项目实施地点：新疆塔什库尔干县、和康县、和安县、皮山县、和田县等地区</w:t>
      </w:r>
    </w:p>
    <w:p w14:paraId="791B6B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5.工程周期：自签订合同之日起至2026年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月止</w:t>
      </w:r>
    </w:p>
    <w:p w14:paraId="74276B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6.质量等级标准：符合国家及行业标准</w:t>
      </w:r>
    </w:p>
    <w:p w14:paraId="275B7C5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7.勘查分区</w:t>
      </w:r>
    </w:p>
    <w:p w14:paraId="46A29E3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本项目勘查区域划分为</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458"/>
        <w:gridCol w:w="6278"/>
        <w:gridCol w:w="1247"/>
      </w:tblGrid>
      <w:tr w14:paraId="5C99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70" w:type="dxa"/>
            <w:noWrap w:val="0"/>
            <w:vAlign w:val="center"/>
          </w:tcPr>
          <w:p w14:paraId="529F88B7">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458" w:type="dxa"/>
            <w:noWrap w:val="0"/>
            <w:vAlign w:val="center"/>
          </w:tcPr>
          <w:p w14:paraId="549DD259">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分区</w:t>
            </w:r>
          </w:p>
        </w:tc>
        <w:tc>
          <w:tcPr>
            <w:tcW w:w="6278" w:type="dxa"/>
            <w:noWrap w:val="0"/>
            <w:vAlign w:val="center"/>
          </w:tcPr>
          <w:p w14:paraId="0840D806">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片区名称</w:t>
            </w:r>
          </w:p>
        </w:tc>
        <w:tc>
          <w:tcPr>
            <w:tcW w:w="1247" w:type="dxa"/>
            <w:noWrap w:val="0"/>
            <w:vAlign w:val="center"/>
          </w:tcPr>
          <w:p w14:paraId="3934C628">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11F5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4890CC6F">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458" w:type="dxa"/>
            <w:noWrap w:val="0"/>
            <w:vAlign w:val="center"/>
          </w:tcPr>
          <w:p w14:paraId="170B8BB7">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6278" w:type="dxa"/>
            <w:noWrap w:val="0"/>
            <w:vAlign w:val="center"/>
          </w:tcPr>
          <w:p w14:paraId="2463902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新疆塔什库尔干县大同一带1∶5万J43E014016、J43E014017、J43E015016、J43E015017四幅矿产地质调查</w:t>
            </w:r>
          </w:p>
        </w:tc>
        <w:tc>
          <w:tcPr>
            <w:tcW w:w="1247" w:type="dxa"/>
            <w:noWrap w:val="0"/>
            <w:vAlign w:val="center"/>
          </w:tcPr>
          <w:p w14:paraId="4B0B3A0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p>
        </w:tc>
      </w:tr>
      <w:tr w14:paraId="2CF8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0" w:type="dxa"/>
            <w:noWrap w:val="0"/>
            <w:vAlign w:val="center"/>
          </w:tcPr>
          <w:p w14:paraId="28C25F19">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458" w:type="dxa"/>
            <w:noWrap w:val="0"/>
            <w:vAlign w:val="center"/>
          </w:tcPr>
          <w:p w14:paraId="602A5AC1">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B区</w:t>
            </w:r>
          </w:p>
        </w:tc>
        <w:tc>
          <w:tcPr>
            <w:tcW w:w="6278" w:type="dxa"/>
            <w:noWrap w:val="0"/>
            <w:vAlign w:val="center"/>
          </w:tcPr>
          <w:p w14:paraId="5DD6E26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新疆和康县拉依喀-皮山县音德尔牧场一带1∶5万J44E021003、J44E021004两幅区域地质矿产调查</w:t>
            </w:r>
          </w:p>
        </w:tc>
        <w:tc>
          <w:tcPr>
            <w:tcW w:w="1247" w:type="dxa"/>
            <w:noWrap w:val="0"/>
            <w:vAlign w:val="center"/>
          </w:tcPr>
          <w:p w14:paraId="476B680F">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07AC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37E7D5EF">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458" w:type="dxa"/>
            <w:noWrap w:val="0"/>
            <w:vAlign w:val="center"/>
          </w:tcPr>
          <w:p w14:paraId="74DF3DBD">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6278" w:type="dxa"/>
            <w:noWrap w:val="0"/>
            <w:vAlign w:val="center"/>
          </w:tcPr>
          <w:p w14:paraId="2A995CE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新疆和康县卡帕浪沟一带1∶5万J43E022022、J43E023021、J43E023022三幅矿产地质调查</w:t>
            </w:r>
          </w:p>
        </w:tc>
        <w:tc>
          <w:tcPr>
            <w:tcW w:w="1247" w:type="dxa"/>
            <w:noWrap w:val="0"/>
            <w:vAlign w:val="center"/>
          </w:tcPr>
          <w:p w14:paraId="76DA9803">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296F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447C667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458" w:type="dxa"/>
            <w:noWrap w:val="0"/>
            <w:vAlign w:val="center"/>
          </w:tcPr>
          <w:p w14:paraId="3050BF6B">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D区</w:t>
            </w:r>
          </w:p>
        </w:tc>
        <w:tc>
          <w:tcPr>
            <w:tcW w:w="6278" w:type="dxa"/>
            <w:noWrap w:val="0"/>
            <w:vAlign w:val="center"/>
          </w:tcPr>
          <w:p w14:paraId="704FEA0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新疆和康县红莲山铜矿调查评价</w:t>
            </w:r>
          </w:p>
        </w:tc>
        <w:tc>
          <w:tcPr>
            <w:tcW w:w="1247" w:type="dxa"/>
            <w:noWrap w:val="0"/>
            <w:vAlign w:val="center"/>
          </w:tcPr>
          <w:p w14:paraId="6349C096">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2486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5B8E4E84">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1458" w:type="dxa"/>
            <w:noWrap w:val="0"/>
            <w:vAlign w:val="center"/>
          </w:tcPr>
          <w:p w14:paraId="53E212F5">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6278" w:type="dxa"/>
            <w:noWrap w:val="0"/>
            <w:vAlign w:val="center"/>
          </w:tcPr>
          <w:p w14:paraId="5F7D45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新疆和安县长平沟金铜矿调查评价</w:t>
            </w:r>
          </w:p>
        </w:tc>
        <w:tc>
          <w:tcPr>
            <w:tcW w:w="1247" w:type="dxa"/>
            <w:noWrap w:val="0"/>
            <w:vAlign w:val="center"/>
          </w:tcPr>
          <w:p w14:paraId="16ECC9C5">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6CA4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4823819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w:t>
            </w:r>
          </w:p>
        </w:tc>
        <w:tc>
          <w:tcPr>
            <w:tcW w:w="1458" w:type="dxa"/>
            <w:noWrap w:val="0"/>
            <w:vAlign w:val="center"/>
          </w:tcPr>
          <w:p w14:paraId="02D770B2">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6278" w:type="dxa"/>
            <w:noWrap w:val="0"/>
            <w:vAlign w:val="center"/>
          </w:tcPr>
          <w:p w14:paraId="1B8D78A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新疆皮山县喀尔勒克一带铜镍矿普查</w:t>
            </w:r>
          </w:p>
        </w:tc>
        <w:tc>
          <w:tcPr>
            <w:tcW w:w="1247" w:type="dxa"/>
            <w:noWrap w:val="0"/>
            <w:vAlign w:val="center"/>
          </w:tcPr>
          <w:p w14:paraId="09D9EBFD">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7EA8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5A28DFB9">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7</w:t>
            </w:r>
          </w:p>
        </w:tc>
        <w:tc>
          <w:tcPr>
            <w:tcW w:w="1458" w:type="dxa"/>
            <w:noWrap w:val="0"/>
            <w:vAlign w:val="center"/>
          </w:tcPr>
          <w:p w14:paraId="2531C876">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G区</w:t>
            </w:r>
          </w:p>
        </w:tc>
        <w:tc>
          <w:tcPr>
            <w:tcW w:w="6278" w:type="dxa"/>
            <w:noWrap w:val="0"/>
            <w:vAlign w:val="center"/>
          </w:tcPr>
          <w:p w14:paraId="0D3B0F0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新疆和田县银石山一带银铜多金属矿普查</w:t>
            </w:r>
          </w:p>
        </w:tc>
        <w:tc>
          <w:tcPr>
            <w:tcW w:w="1247" w:type="dxa"/>
            <w:noWrap w:val="0"/>
            <w:vAlign w:val="center"/>
          </w:tcPr>
          <w:p w14:paraId="1BDC4AE6">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08E2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4235A990">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w:t>
            </w:r>
          </w:p>
        </w:tc>
        <w:tc>
          <w:tcPr>
            <w:tcW w:w="1458" w:type="dxa"/>
            <w:noWrap w:val="0"/>
            <w:vAlign w:val="center"/>
          </w:tcPr>
          <w:p w14:paraId="72D87740">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H区</w:t>
            </w:r>
          </w:p>
        </w:tc>
        <w:tc>
          <w:tcPr>
            <w:tcW w:w="6278" w:type="dxa"/>
            <w:noWrap w:val="0"/>
            <w:vAlign w:val="center"/>
          </w:tcPr>
          <w:p w14:paraId="77D1658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新疆塔什库尔干县达布达尔一带稀土、铍矿普查</w:t>
            </w:r>
          </w:p>
        </w:tc>
        <w:tc>
          <w:tcPr>
            <w:tcW w:w="1247" w:type="dxa"/>
            <w:noWrap w:val="0"/>
            <w:vAlign w:val="center"/>
          </w:tcPr>
          <w:p w14:paraId="45D4D099">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28D3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427A75FD">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w:t>
            </w:r>
          </w:p>
        </w:tc>
        <w:tc>
          <w:tcPr>
            <w:tcW w:w="1458" w:type="dxa"/>
            <w:noWrap w:val="0"/>
            <w:vAlign w:val="center"/>
          </w:tcPr>
          <w:p w14:paraId="25F20548">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I区</w:t>
            </w:r>
          </w:p>
        </w:tc>
        <w:tc>
          <w:tcPr>
            <w:tcW w:w="6278" w:type="dxa"/>
            <w:noWrap w:val="0"/>
            <w:vAlign w:val="center"/>
          </w:tcPr>
          <w:p w14:paraId="6DF9990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新疆皮山县库尔浪一带1∶5万矿产地质调查</w:t>
            </w:r>
          </w:p>
        </w:tc>
        <w:tc>
          <w:tcPr>
            <w:tcW w:w="1247" w:type="dxa"/>
            <w:noWrap w:val="0"/>
            <w:vAlign w:val="center"/>
          </w:tcPr>
          <w:p w14:paraId="6B08AAC6">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bl>
    <w:p w14:paraId="72BB9EA8">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ind w:firstLine="482" w:firstLineChars="200"/>
        <w:textAlignment w:val="auto"/>
        <w:rPr>
          <w:rFonts w:hint="eastAsia" w:ascii="宋体" w:hAnsi="宋体" w:cs="宋体"/>
          <w:b/>
          <w:bCs/>
          <w:color w:val="auto"/>
          <w:sz w:val="24"/>
          <w:highlight w:val="none"/>
          <w:lang w:val="en-US" w:eastAsia="zh-CN"/>
        </w:rPr>
      </w:pPr>
    </w:p>
    <w:p w14:paraId="1D36F112">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二、报价要求</w:t>
      </w:r>
    </w:p>
    <w:p w14:paraId="003F7CC4">
      <w:pPr>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（一）最高限价（单价）</w:t>
      </w:r>
    </w:p>
    <w:tbl>
      <w:tblPr>
        <w:tblStyle w:val="41"/>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54"/>
        <w:gridCol w:w="1942"/>
        <w:gridCol w:w="1954"/>
        <w:gridCol w:w="1909"/>
        <w:gridCol w:w="1330"/>
      </w:tblGrid>
      <w:tr w14:paraId="6534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4B57488">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序号</w:t>
            </w:r>
          </w:p>
        </w:tc>
        <w:tc>
          <w:tcPr>
            <w:tcW w:w="1354" w:type="dxa"/>
            <w:noWrap w:val="0"/>
            <w:vAlign w:val="center"/>
          </w:tcPr>
          <w:p w14:paraId="1500CD19">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勘查分区</w:t>
            </w:r>
          </w:p>
        </w:tc>
        <w:tc>
          <w:tcPr>
            <w:tcW w:w="1942" w:type="dxa"/>
            <w:noWrap w:val="0"/>
            <w:vAlign w:val="center"/>
          </w:tcPr>
          <w:p w14:paraId="2AF766DF">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服务名称</w:t>
            </w:r>
          </w:p>
        </w:tc>
        <w:tc>
          <w:tcPr>
            <w:tcW w:w="1954" w:type="dxa"/>
            <w:noWrap w:val="0"/>
            <w:vAlign w:val="center"/>
          </w:tcPr>
          <w:p w14:paraId="648ABDDB">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1909" w:type="dxa"/>
            <w:noWrap w:val="0"/>
            <w:vAlign w:val="center"/>
          </w:tcPr>
          <w:p w14:paraId="367DCE80">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单价（元）</w:t>
            </w:r>
          </w:p>
        </w:tc>
        <w:tc>
          <w:tcPr>
            <w:tcW w:w="1330" w:type="dxa"/>
            <w:noWrap w:val="0"/>
            <w:vAlign w:val="center"/>
          </w:tcPr>
          <w:p w14:paraId="2FE9EA06">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2214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ED54C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54" w:type="dxa"/>
            <w:vMerge w:val="restart"/>
            <w:noWrap w:val="0"/>
            <w:vAlign w:val="center"/>
          </w:tcPr>
          <w:p w14:paraId="2EF1549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A区</w:t>
            </w:r>
          </w:p>
        </w:tc>
        <w:tc>
          <w:tcPr>
            <w:tcW w:w="1942" w:type="dxa"/>
            <w:noWrap w:val="0"/>
            <w:vAlign w:val="center"/>
          </w:tcPr>
          <w:p w14:paraId="32336F5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954" w:type="dxa"/>
            <w:noWrap w:val="0"/>
            <w:vAlign w:val="center"/>
          </w:tcPr>
          <w:p w14:paraId="0CA9511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909" w:type="dxa"/>
            <w:noWrap w:val="0"/>
            <w:vAlign w:val="center"/>
          </w:tcPr>
          <w:p w14:paraId="440CDD4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1533.22</w:t>
            </w:r>
          </w:p>
        </w:tc>
        <w:tc>
          <w:tcPr>
            <w:tcW w:w="1330" w:type="dxa"/>
            <w:noWrap w:val="0"/>
            <w:vAlign w:val="center"/>
          </w:tcPr>
          <w:p w14:paraId="18C727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14C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8E4A2F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1354" w:type="dxa"/>
            <w:vMerge w:val="continue"/>
            <w:noWrap w:val="0"/>
            <w:vAlign w:val="center"/>
          </w:tcPr>
          <w:p w14:paraId="4C56CA8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942" w:type="dxa"/>
            <w:noWrap w:val="0"/>
            <w:vAlign w:val="center"/>
          </w:tcPr>
          <w:p w14:paraId="7D2CEB9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954" w:type="dxa"/>
            <w:noWrap w:val="0"/>
            <w:vAlign w:val="center"/>
          </w:tcPr>
          <w:p w14:paraId="4E1407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909" w:type="dxa"/>
            <w:noWrap w:val="0"/>
            <w:vAlign w:val="center"/>
          </w:tcPr>
          <w:p w14:paraId="1DF95E8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w:t>
            </w:r>
          </w:p>
        </w:tc>
        <w:tc>
          <w:tcPr>
            <w:tcW w:w="1330" w:type="dxa"/>
            <w:noWrap w:val="0"/>
            <w:vAlign w:val="center"/>
          </w:tcPr>
          <w:p w14:paraId="2B60F94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BE9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C18F89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w:t>
            </w:r>
          </w:p>
        </w:tc>
        <w:tc>
          <w:tcPr>
            <w:tcW w:w="1354" w:type="dxa"/>
            <w:vMerge w:val="continue"/>
            <w:noWrap w:val="0"/>
            <w:vAlign w:val="center"/>
          </w:tcPr>
          <w:p w14:paraId="026BFDA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942" w:type="dxa"/>
            <w:noWrap w:val="0"/>
            <w:vAlign w:val="center"/>
          </w:tcPr>
          <w:p w14:paraId="29A7137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ascii="宋体" w:hAnsi="宋体" w:eastAsia="宋体" w:cs="宋体"/>
                <w:sz w:val="24"/>
                <w:szCs w:val="24"/>
              </w:rPr>
              <w:t>槽探配套施工服务</w:t>
            </w:r>
          </w:p>
        </w:tc>
        <w:tc>
          <w:tcPr>
            <w:tcW w:w="1954" w:type="dxa"/>
            <w:noWrap w:val="0"/>
            <w:vAlign w:val="center"/>
          </w:tcPr>
          <w:p w14:paraId="5AFA4AD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909" w:type="dxa"/>
            <w:noWrap w:val="0"/>
            <w:vAlign w:val="center"/>
          </w:tcPr>
          <w:p w14:paraId="65FB8EB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3425</w:t>
            </w:r>
          </w:p>
        </w:tc>
        <w:tc>
          <w:tcPr>
            <w:tcW w:w="1330" w:type="dxa"/>
            <w:noWrap w:val="0"/>
            <w:vAlign w:val="center"/>
          </w:tcPr>
          <w:p w14:paraId="20D1ACF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1FA2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3AE585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w:t>
            </w:r>
          </w:p>
        </w:tc>
        <w:tc>
          <w:tcPr>
            <w:tcW w:w="1354" w:type="dxa"/>
            <w:noWrap w:val="0"/>
            <w:vAlign w:val="center"/>
          </w:tcPr>
          <w:p w14:paraId="5D7E04A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B区</w:t>
            </w:r>
          </w:p>
        </w:tc>
        <w:tc>
          <w:tcPr>
            <w:tcW w:w="1942" w:type="dxa"/>
            <w:noWrap w:val="0"/>
            <w:vAlign w:val="center"/>
          </w:tcPr>
          <w:p w14:paraId="5C98ECB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遥感技术</w:t>
            </w:r>
          </w:p>
        </w:tc>
        <w:tc>
          <w:tcPr>
            <w:tcW w:w="1954" w:type="dxa"/>
            <w:noWrap w:val="0"/>
            <w:vAlign w:val="center"/>
          </w:tcPr>
          <w:p w14:paraId="7EB4C4F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平方千米</w:t>
            </w:r>
          </w:p>
        </w:tc>
        <w:tc>
          <w:tcPr>
            <w:tcW w:w="1909" w:type="dxa"/>
            <w:noWrap w:val="0"/>
            <w:vAlign w:val="center"/>
          </w:tcPr>
          <w:p w14:paraId="4F5E91E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222.29</w:t>
            </w:r>
          </w:p>
        </w:tc>
        <w:tc>
          <w:tcPr>
            <w:tcW w:w="1330" w:type="dxa"/>
            <w:noWrap w:val="0"/>
            <w:vAlign w:val="center"/>
          </w:tcPr>
          <w:p w14:paraId="43EE3A1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566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1CABE0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5</w:t>
            </w:r>
          </w:p>
        </w:tc>
        <w:tc>
          <w:tcPr>
            <w:tcW w:w="1354" w:type="dxa"/>
            <w:noWrap w:val="0"/>
            <w:vAlign w:val="center"/>
          </w:tcPr>
          <w:p w14:paraId="064A444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C区</w:t>
            </w:r>
          </w:p>
        </w:tc>
        <w:tc>
          <w:tcPr>
            <w:tcW w:w="1942" w:type="dxa"/>
            <w:noWrap w:val="0"/>
            <w:vAlign w:val="center"/>
          </w:tcPr>
          <w:p w14:paraId="2312D27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遥感技术</w:t>
            </w:r>
          </w:p>
        </w:tc>
        <w:tc>
          <w:tcPr>
            <w:tcW w:w="1954" w:type="dxa"/>
            <w:noWrap w:val="0"/>
            <w:vAlign w:val="center"/>
          </w:tcPr>
          <w:p w14:paraId="6354E6F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平方千米</w:t>
            </w:r>
          </w:p>
        </w:tc>
        <w:tc>
          <w:tcPr>
            <w:tcW w:w="1909" w:type="dxa"/>
            <w:noWrap w:val="0"/>
            <w:vAlign w:val="center"/>
          </w:tcPr>
          <w:p w14:paraId="3A3083D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195.9</w:t>
            </w:r>
          </w:p>
        </w:tc>
        <w:tc>
          <w:tcPr>
            <w:tcW w:w="1330" w:type="dxa"/>
            <w:noWrap w:val="0"/>
            <w:vAlign w:val="center"/>
          </w:tcPr>
          <w:p w14:paraId="2B68D88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6B6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4C771EA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1354" w:type="dxa"/>
            <w:vMerge w:val="restart"/>
            <w:noWrap w:val="0"/>
            <w:vAlign w:val="center"/>
          </w:tcPr>
          <w:p w14:paraId="7345401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D区</w:t>
            </w:r>
          </w:p>
        </w:tc>
        <w:tc>
          <w:tcPr>
            <w:tcW w:w="1942" w:type="dxa"/>
            <w:noWrap w:val="0"/>
            <w:vAlign w:val="center"/>
          </w:tcPr>
          <w:p w14:paraId="1E354D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954" w:type="dxa"/>
            <w:noWrap w:val="0"/>
            <w:vAlign w:val="center"/>
          </w:tcPr>
          <w:p w14:paraId="1433F9E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909" w:type="dxa"/>
            <w:noWrap w:val="0"/>
            <w:vAlign w:val="center"/>
          </w:tcPr>
          <w:p w14:paraId="37194B2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1680</w:t>
            </w:r>
          </w:p>
        </w:tc>
        <w:tc>
          <w:tcPr>
            <w:tcW w:w="1330" w:type="dxa"/>
            <w:noWrap w:val="0"/>
            <w:vAlign w:val="center"/>
          </w:tcPr>
          <w:p w14:paraId="63AEFFF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3503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03A707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w:t>
            </w:r>
          </w:p>
        </w:tc>
        <w:tc>
          <w:tcPr>
            <w:tcW w:w="1354" w:type="dxa"/>
            <w:vMerge w:val="continue"/>
            <w:noWrap w:val="0"/>
            <w:vAlign w:val="center"/>
          </w:tcPr>
          <w:p w14:paraId="62DC254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942" w:type="dxa"/>
            <w:noWrap w:val="0"/>
            <w:vAlign w:val="center"/>
          </w:tcPr>
          <w:p w14:paraId="4678B67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954" w:type="dxa"/>
            <w:noWrap w:val="0"/>
            <w:vAlign w:val="center"/>
          </w:tcPr>
          <w:p w14:paraId="65D9A0A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909" w:type="dxa"/>
            <w:noWrap w:val="0"/>
            <w:vAlign w:val="center"/>
          </w:tcPr>
          <w:p w14:paraId="66542BB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225.87</w:t>
            </w:r>
          </w:p>
        </w:tc>
        <w:tc>
          <w:tcPr>
            <w:tcW w:w="1330" w:type="dxa"/>
            <w:noWrap w:val="0"/>
            <w:vAlign w:val="center"/>
          </w:tcPr>
          <w:p w14:paraId="2F7125A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4A4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8210C8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1354" w:type="dxa"/>
            <w:vMerge w:val="restart"/>
            <w:noWrap w:val="0"/>
            <w:vAlign w:val="center"/>
          </w:tcPr>
          <w:p w14:paraId="10BC2A9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E区</w:t>
            </w:r>
          </w:p>
        </w:tc>
        <w:tc>
          <w:tcPr>
            <w:tcW w:w="1942" w:type="dxa"/>
            <w:noWrap w:val="0"/>
            <w:vAlign w:val="center"/>
          </w:tcPr>
          <w:p w14:paraId="2C2A1EF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954" w:type="dxa"/>
            <w:noWrap w:val="0"/>
            <w:vAlign w:val="center"/>
          </w:tcPr>
          <w:p w14:paraId="7BF2628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909" w:type="dxa"/>
            <w:noWrap w:val="0"/>
            <w:vAlign w:val="center"/>
          </w:tcPr>
          <w:p w14:paraId="522CC7E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1885</w:t>
            </w:r>
          </w:p>
        </w:tc>
        <w:tc>
          <w:tcPr>
            <w:tcW w:w="1330" w:type="dxa"/>
            <w:noWrap w:val="0"/>
            <w:vAlign w:val="center"/>
          </w:tcPr>
          <w:p w14:paraId="2AC099E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11F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2D609A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1354" w:type="dxa"/>
            <w:vMerge w:val="continue"/>
            <w:noWrap w:val="0"/>
            <w:vAlign w:val="center"/>
          </w:tcPr>
          <w:p w14:paraId="5CABB53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942" w:type="dxa"/>
            <w:noWrap w:val="0"/>
            <w:vAlign w:val="center"/>
          </w:tcPr>
          <w:p w14:paraId="7FF2CC6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954" w:type="dxa"/>
            <w:noWrap w:val="0"/>
            <w:vAlign w:val="center"/>
          </w:tcPr>
          <w:p w14:paraId="035CDFC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909" w:type="dxa"/>
            <w:noWrap w:val="0"/>
            <w:vAlign w:val="center"/>
          </w:tcPr>
          <w:p w14:paraId="2B1B163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140</w:t>
            </w:r>
          </w:p>
        </w:tc>
        <w:tc>
          <w:tcPr>
            <w:tcW w:w="1330" w:type="dxa"/>
            <w:noWrap w:val="0"/>
            <w:vAlign w:val="center"/>
          </w:tcPr>
          <w:p w14:paraId="605E196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780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48822A7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w:t>
            </w:r>
          </w:p>
        </w:tc>
        <w:tc>
          <w:tcPr>
            <w:tcW w:w="1354" w:type="dxa"/>
            <w:vMerge w:val="continue"/>
            <w:noWrap w:val="0"/>
            <w:vAlign w:val="center"/>
          </w:tcPr>
          <w:p w14:paraId="0A1F634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942" w:type="dxa"/>
            <w:noWrap w:val="0"/>
            <w:vAlign w:val="center"/>
          </w:tcPr>
          <w:p w14:paraId="2A450A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槽探配套线路开挖及场地平整</w:t>
            </w:r>
          </w:p>
        </w:tc>
        <w:tc>
          <w:tcPr>
            <w:tcW w:w="1954" w:type="dxa"/>
            <w:noWrap w:val="0"/>
            <w:vAlign w:val="center"/>
          </w:tcPr>
          <w:p w14:paraId="00422FF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千米</w:t>
            </w:r>
          </w:p>
        </w:tc>
        <w:tc>
          <w:tcPr>
            <w:tcW w:w="1909" w:type="dxa"/>
            <w:noWrap w:val="0"/>
            <w:vAlign w:val="center"/>
          </w:tcPr>
          <w:p w14:paraId="35D0143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10000</w:t>
            </w:r>
          </w:p>
        </w:tc>
        <w:tc>
          <w:tcPr>
            <w:tcW w:w="1330" w:type="dxa"/>
            <w:noWrap w:val="0"/>
            <w:vAlign w:val="center"/>
          </w:tcPr>
          <w:p w14:paraId="58AB65A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AAA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CFD66D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11</w:t>
            </w:r>
          </w:p>
        </w:tc>
        <w:tc>
          <w:tcPr>
            <w:tcW w:w="1354" w:type="dxa"/>
            <w:vMerge w:val="restart"/>
            <w:noWrap w:val="0"/>
            <w:vAlign w:val="center"/>
          </w:tcPr>
          <w:p w14:paraId="648758A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F区</w:t>
            </w:r>
          </w:p>
        </w:tc>
        <w:tc>
          <w:tcPr>
            <w:tcW w:w="1942" w:type="dxa"/>
            <w:noWrap w:val="0"/>
            <w:vAlign w:val="center"/>
          </w:tcPr>
          <w:p w14:paraId="25624E8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954" w:type="dxa"/>
            <w:noWrap w:val="0"/>
            <w:vAlign w:val="center"/>
          </w:tcPr>
          <w:p w14:paraId="76C6216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909" w:type="dxa"/>
            <w:noWrap w:val="0"/>
            <w:vAlign w:val="center"/>
          </w:tcPr>
          <w:p w14:paraId="7CC04E9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1450</w:t>
            </w:r>
          </w:p>
        </w:tc>
        <w:tc>
          <w:tcPr>
            <w:tcW w:w="1330" w:type="dxa"/>
            <w:noWrap w:val="0"/>
            <w:vAlign w:val="center"/>
          </w:tcPr>
          <w:p w14:paraId="46C294F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2F9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237A29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w:t>
            </w:r>
          </w:p>
        </w:tc>
        <w:tc>
          <w:tcPr>
            <w:tcW w:w="1354" w:type="dxa"/>
            <w:vMerge w:val="continue"/>
            <w:noWrap w:val="0"/>
            <w:vAlign w:val="center"/>
          </w:tcPr>
          <w:p w14:paraId="122AC54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942" w:type="dxa"/>
            <w:noWrap w:val="0"/>
            <w:vAlign w:val="center"/>
          </w:tcPr>
          <w:p w14:paraId="5CBDB1C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954" w:type="dxa"/>
            <w:noWrap w:val="0"/>
            <w:vAlign w:val="center"/>
          </w:tcPr>
          <w:p w14:paraId="04B8538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909" w:type="dxa"/>
            <w:noWrap w:val="0"/>
            <w:vAlign w:val="center"/>
          </w:tcPr>
          <w:p w14:paraId="787C36B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144</w:t>
            </w:r>
          </w:p>
        </w:tc>
        <w:tc>
          <w:tcPr>
            <w:tcW w:w="1330" w:type="dxa"/>
            <w:noWrap w:val="0"/>
            <w:vAlign w:val="center"/>
          </w:tcPr>
          <w:p w14:paraId="0553F27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6356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931832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13</w:t>
            </w:r>
          </w:p>
        </w:tc>
        <w:tc>
          <w:tcPr>
            <w:tcW w:w="1354" w:type="dxa"/>
            <w:vMerge w:val="continue"/>
            <w:noWrap w:val="0"/>
            <w:vAlign w:val="center"/>
          </w:tcPr>
          <w:p w14:paraId="74134D4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942" w:type="dxa"/>
            <w:noWrap w:val="0"/>
            <w:vAlign w:val="center"/>
          </w:tcPr>
          <w:p w14:paraId="762945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槽探配套线路开挖及场地平整</w:t>
            </w:r>
          </w:p>
        </w:tc>
        <w:tc>
          <w:tcPr>
            <w:tcW w:w="1954" w:type="dxa"/>
            <w:noWrap w:val="0"/>
            <w:vAlign w:val="center"/>
          </w:tcPr>
          <w:p w14:paraId="78CA84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千米</w:t>
            </w:r>
          </w:p>
        </w:tc>
        <w:tc>
          <w:tcPr>
            <w:tcW w:w="1909" w:type="dxa"/>
            <w:noWrap w:val="0"/>
            <w:vAlign w:val="center"/>
          </w:tcPr>
          <w:p w14:paraId="1257632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100000</w:t>
            </w:r>
          </w:p>
        </w:tc>
        <w:tc>
          <w:tcPr>
            <w:tcW w:w="1330" w:type="dxa"/>
            <w:noWrap w:val="0"/>
            <w:vAlign w:val="center"/>
          </w:tcPr>
          <w:p w14:paraId="067B5EA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1FD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39633F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14</w:t>
            </w:r>
          </w:p>
        </w:tc>
        <w:tc>
          <w:tcPr>
            <w:tcW w:w="1354" w:type="dxa"/>
            <w:vMerge w:val="restart"/>
            <w:noWrap w:val="0"/>
            <w:vAlign w:val="center"/>
          </w:tcPr>
          <w:p w14:paraId="7C0A1EB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G区</w:t>
            </w:r>
          </w:p>
        </w:tc>
        <w:tc>
          <w:tcPr>
            <w:tcW w:w="1942" w:type="dxa"/>
            <w:noWrap w:val="0"/>
            <w:vAlign w:val="center"/>
          </w:tcPr>
          <w:p w14:paraId="0066DFD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954" w:type="dxa"/>
            <w:noWrap w:val="0"/>
            <w:vAlign w:val="center"/>
          </w:tcPr>
          <w:p w14:paraId="5A9BA37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909" w:type="dxa"/>
            <w:noWrap w:val="0"/>
            <w:vAlign w:val="center"/>
          </w:tcPr>
          <w:p w14:paraId="3C7AFE4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1350</w:t>
            </w:r>
          </w:p>
        </w:tc>
        <w:tc>
          <w:tcPr>
            <w:tcW w:w="1330" w:type="dxa"/>
            <w:noWrap w:val="0"/>
            <w:vAlign w:val="center"/>
          </w:tcPr>
          <w:p w14:paraId="7CB9035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321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AD68F5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15</w:t>
            </w:r>
          </w:p>
        </w:tc>
        <w:tc>
          <w:tcPr>
            <w:tcW w:w="1354" w:type="dxa"/>
            <w:vMerge w:val="continue"/>
            <w:noWrap w:val="0"/>
            <w:vAlign w:val="center"/>
          </w:tcPr>
          <w:p w14:paraId="0B0BCFA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942" w:type="dxa"/>
            <w:noWrap w:val="0"/>
            <w:vAlign w:val="center"/>
          </w:tcPr>
          <w:p w14:paraId="5887EE8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954" w:type="dxa"/>
            <w:noWrap w:val="0"/>
            <w:vAlign w:val="center"/>
          </w:tcPr>
          <w:p w14:paraId="41EFDCE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1909" w:type="dxa"/>
            <w:noWrap w:val="0"/>
            <w:vAlign w:val="center"/>
          </w:tcPr>
          <w:p w14:paraId="235896C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w:t>
            </w:r>
          </w:p>
        </w:tc>
        <w:tc>
          <w:tcPr>
            <w:tcW w:w="1330" w:type="dxa"/>
            <w:noWrap w:val="0"/>
            <w:vAlign w:val="center"/>
          </w:tcPr>
          <w:p w14:paraId="18760DB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0046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65A45B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16</w:t>
            </w:r>
          </w:p>
        </w:tc>
        <w:tc>
          <w:tcPr>
            <w:tcW w:w="1354" w:type="dxa"/>
            <w:vMerge w:val="restart"/>
            <w:noWrap w:val="0"/>
            <w:vAlign w:val="center"/>
          </w:tcPr>
          <w:p w14:paraId="11A513D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rPr>
              <w:t>H</w:t>
            </w:r>
            <w:r>
              <w:rPr>
                <w:rFonts w:hint="eastAsia" w:ascii="宋体" w:hAnsi="宋体" w:eastAsia="宋体" w:cs="宋体"/>
                <w:color w:val="auto"/>
                <w:sz w:val="24"/>
                <w:szCs w:val="24"/>
                <w:highlight w:val="none"/>
                <w:vertAlign w:val="baseline"/>
                <w:lang w:val="en-US" w:eastAsia="zh-CN"/>
              </w:rPr>
              <w:t>区</w:t>
            </w:r>
          </w:p>
        </w:tc>
        <w:tc>
          <w:tcPr>
            <w:tcW w:w="1942" w:type="dxa"/>
            <w:noWrap w:val="0"/>
            <w:vAlign w:val="center"/>
          </w:tcPr>
          <w:p w14:paraId="783628B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954" w:type="dxa"/>
            <w:noWrap w:val="0"/>
            <w:vAlign w:val="center"/>
          </w:tcPr>
          <w:p w14:paraId="39423BF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909" w:type="dxa"/>
            <w:noWrap w:val="0"/>
            <w:vAlign w:val="center"/>
          </w:tcPr>
          <w:p w14:paraId="59D1410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1378.46</w:t>
            </w:r>
          </w:p>
        </w:tc>
        <w:tc>
          <w:tcPr>
            <w:tcW w:w="1330" w:type="dxa"/>
            <w:noWrap w:val="0"/>
            <w:vAlign w:val="center"/>
          </w:tcPr>
          <w:p w14:paraId="0C43A84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222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6F8CBA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17</w:t>
            </w:r>
          </w:p>
        </w:tc>
        <w:tc>
          <w:tcPr>
            <w:tcW w:w="1354" w:type="dxa"/>
            <w:vMerge w:val="continue"/>
            <w:noWrap w:val="0"/>
            <w:vAlign w:val="center"/>
          </w:tcPr>
          <w:p w14:paraId="55D7D22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942" w:type="dxa"/>
            <w:noWrap w:val="0"/>
            <w:vAlign w:val="center"/>
          </w:tcPr>
          <w:p w14:paraId="4B751EF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954" w:type="dxa"/>
            <w:noWrap w:val="0"/>
            <w:vAlign w:val="center"/>
          </w:tcPr>
          <w:p w14:paraId="50A5D6E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1909" w:type="dxa"/>
            <w:noWrap w:val="0"/>
            <w:vAlign w:val="center"/>
          </w:tcPr>
          <w:p w14:paraId="26436B2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160</w:t>
            </w:r>
          </w:p>
        </w:tc>
        <w:tc>
          <w:tcPr>
            <w:tcW w:w="1330" w:type="dxa"/>
            <w:noWrap w:val="0"/>
            <w:vAlign w:val="center"/>
          </w:tcPr>
          <w:p w14:paraId="20C5BA4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409D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31" w:type="dxa"/>
            <w:noWrap w:val="0"/>
            <w:vAlign w:val="center"/>
          </w:tcPr>
          <w:p w14:paraId="0741A7B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18</w:t>
            </w:r>
          </w:p>
        </w:tc>
        <w:tc>
          <w:tcPr>
            <w:tcW w:w="1354" w:type="dxa"/>
            <w:vMerge w:val="continue"/>
            <w:noWrap w:val="0"/>
            <w:vAlign w:val="center"/>
          </w:tcPr>
          <w:p w14:paraId="387F89A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942" w:type="dxa"/>
            <w:noWrap w:val="0"/>
            <w:vAlign w:val="center"/>
          </w:tcPr>
          <w:p w14:paraId="0951FF0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ascii="宋体" w:hAnsi="宋体" w:eastAsia="宋体" w:cs="宋体"/>
                <w:sz w:val="24"/>
                <w:szCs w:val="24"/>
              </w:rPr>
              <w:t>槽探配套施工服务</w:t>
            </w:r>
          </w:p>
        </w:tc>
        <w:tc>
          <w:tcPr>
            <w:tcW w:w="1954" w:type="dxa"/>
            <w:noWrap w:val="0"/>
            <w:vAlign w:val="center"/>
          </w:tcPr>
          <w:p w14:paraId="060F190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909" w:type="dxa"/>
            <w:noWrap w:val="0"/>
            <w:vAlign w:val="center"/>
          </w:tcPr>
          <w:p w14:paraId="31704EC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4000</w:t>
            </w:r>
          </w:p>
        </w:tc>
        <w:tc>
          <w:tcPr>
            <w:tcW w:w="1330" w:type="dxa"/>
            <w:noWrap w:val="0"/>
            <w:vAlign w:val="center"/>
          </w:tcPr>
          <w:p w14:paraId="65BA93C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7243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04A27D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19</w:t>
            </w:r>
          </w:p>
        </w:tc>
        <w:tc>
          <w:tcPr>
            <w:tcW w:w="1354" w:type="dxa"/>
            <w:noWrap w:val="0"/>
            <w:vAlign w:val="center"/>
          </w:tcPr>
          <w:p w14:paraId="13D3895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I</w:t>
            </w:r>
            <w:r>
              <w:rPr>
                <w:rFonts w:hint="eastAsia" w:ascii="宋体" w:hAnsi="宋体" w:eastAsia="宋体" w:cs="宋体"/>
                <w:color w:val="auto"/>
                <w:sz w:val="24"/>
                <w:szCs w:val="24"/>
                <w:highlight w:val="none"/>
                <w:vertAlign w:val="baseline"/>
                <w:lang w:val="en-US" w:eastAsia="zh-CN"/>
              </w:rPr>
              <w:t>区</w:t>
            </w:r>
          </w:p>
        </w:tc>
        <w:tc>
          <w:tcPr>
            <w:tcW w:w="1942" w:type="dxa"/>
            <w:noWrap w:val="0"/>
            <w:vAlign w:val="center"/>
          </w:tcPr>
          <w:p w14:paraId="636CDA8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954" w:type="dxa"/>
            <w:noWrap w:val="0"/>
            <w:vAlign w:val="center"/>
          </w:tcPr>
          <w:p w14:paraId="36D1A48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909" w:type="dxa"/>
            <w:noWrap w:val="0"/>
            <w:vAlign w:val="center"/>
          </w:tcPr>
          <w:p w14:paraId="59D4BE3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1671.1</w:t>
            </w:r>
          </w:p>
        </w:tc>
        <w:tc>
          <w:tcPr>
            <w:tcW w:w="1330" w:type="dxa"/>
            <w:noWrap w:val="0"/>
            <w:vAlign w:val="center"/>
          </w:tcPr>
          <w:p w14:paraId="4B841AF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bl>
    <w:p w14:paraId="26546AD5">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default" w:ascii="宋体" w:hAnsi="宋体" w:cs="宋体"/>
          <w:b/>
          <w:bCs/>
          <w:color w:val="auto"/>
          <w:sz w:val="24"/>
          <w:lang w:val="en-US" w:eastAsia="zh-CN"/>
        </w:rPr>
      </w:pPr>
      <w:r>
        <w:rPr>
          <w:rFonts w:hint="default" w:ascii="宋体" w:hAnsi="宋体" w:cs="宋体"/>
          <w:b/>
          <w:bCs/>
          <w:color w:val="auto"/>
          <w:sz w:val="24"/>
          <w:lang w:val="en-US" w:eastAsia="zh-CN"/>
        </w:rPr>
        <w:t>项目总经费按实际完成工作量结算，采用固定综合单价计价，地质勘查服务包含工作区内所需的修路、平台修整及钻探施工所需的绿色勘查与环保相关费用</w:t>
      </w:r>
    </w:p>
    <w:p w14:paraId="1E8E3B5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注：投标人所报分项单价不得超出对应分区的单价最高限价，否则视为实质性不响应，其投标将被拒绝</w:t>
      </w:r>
    </w:p>
    <w:p w14:paraId="426D80D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1.本次招标工程实行固定综合单价承包，综合单价在施工期内不因任何因素变化而调整。</w:t>
      </w:r>
    </w:p>
    <w:p w14:paraId="2541B2F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.承包人自备施工中所需拉水设备、供水管及水泵；施工中产生的水、电费用由承包方承担，承包方此次报价应包含水电费用。</w:t>
      </w:r>
    </w:p>
    <w:p w14:paraId="07F8338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260E58C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.在合同期满或合同解除后15日内，承包人需将施工所用设备、材料及设施等全部撤出施工现场，所有费用由承包人自行承担。</w:t>
      </w:r>
    </w:p>
    <w:p w14:paraId="2496EC06">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、工区概况</w:t>
      </w:r>
    </w:p>
    <w:p w14:paraId="15414C2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A区（</w:t>
      </w:r>
      <w:r>
        <w:rPr>
          <w:rFonts w:hint="eastAsia" w:ascii="宋体" w:hAnsi="宋体" w:eastAsia="宋体" w:cs="宋体"/>
          <w:b/>
          <w:bCs/>
          <w:color w:val="auto"/>
          <w:sz w:val="24"/>
          <w:szCs w:val="24"/>
          <w:highlight w:val="none"/>
          <w:vertAlign w:val="baseline"/>
          <w:lang w:val="en-US" w:eastAsia="zh-CN"/>
        </w:rPr>
        <w:t>塔什库尔干县大同一带</w:t>
      </w:r>
      <w:r>
        <w:rPr>
          <w:rFonts w:hint="eastAsia" w:ascii="宋体" w:hAnsi="宋体" w:eastAsia="宋体" w:cs="宋体"/>
          <w:b/>
          <w:bCs/>
          <w:color w:val="auto"/>
          <w:sz w:val="24"/>
          <w:szCs w:val="24"/>
          <w:highlight w:val="none"/>
          <w:lang w:val="en-US" w:eastAsia="zh-CN"/>
        </w:rPr>
        <w:t>）</w:t>
      </w:r>
    </w:p>
    <w:p w14:paraId="3095A0F6">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工作区距新疆塔什库尔干县大同乡，工作区位于西昆仑腹地，属盆岭交接的高中山区，地势南高北低，海拔一般在2400～3000米，最高3100米，高差300～500米，地形切割较强烈。工作区范围地理坐标(CGCS2000 坐标系)为：①75°45′00″,37°50′00″ ；②76°15′00″,37°50′00″ ；③76°15′00″,37°30′00″ ；④75°45′00″,37°30′00″，总面积 1632 平方千米。</w:t>
      </w:r>
    </w:p>
    <w:p w14:paraId="703FC21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B区（</w:t>
      </w:r>
      <w:r>
        <w:rPr>
          <w:rFonts w:hint="eastAsia" w:ascii="宋体" w:hAnsi="宋体" w:eastAsia="宋体" w:cs="宋体"/>
          <w:b/>
          <w:bCs/>
          <w:color w:val="auto"/>
          <w:sz w:val="24"/>
          <w:szCs w:val="24"/>
          <w:highlight w:val="none"/>
          <w:vertAlign w:val="baseline"/>
          <w:lang w:val="en-US" w:eastAsia="zh-CN"/>
        </w:rPr>
        <w:t>和康县拉依喀-皮山县音德尔牧场一带</w:t>
      </w:r>
      <w:r>
        <w:rPr>
          <w:rFonts w:hint="eastAsia" w:ascii="宋体" w:hAnsi="宋体" w:eastAsia="宋体" w:cs="宋体"/>
          <w:b/>
          <w:bCs/>
          <w:color w:val="auto"/>
          <w:sz w:val="24"/>
          <w:szCs w:val="24"/>
          <w:highlight w:val="none"/>
          <w:lang w:val="en-US" w:eastAsia="zh-CN"/>
        </w:rPr>
        <w:t>）</w:t>
      </w:r>
    </w:p>
    <w:p w14:paraId="3998B6E7">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工作区位于皮山县杜瓦镇以南约60千米，和田县郎如乡西南约80千米，行政区划属和康县、皮山县管辖。调查区外部交通条件便利，自和田市-昆玉市-杜瓦镇交通方便，自杜瓦镇科台克力克村向南顺拖满山间土路行驶约30千米可达到调查区北部，和田至康西瓦的阿康线G580国道从调查区东邻区通过。工作区为两幅标准1：5万图幅：J44E021003、J44E021004，总面积830平方千米。</w:t>
      </w:r>
    </w:p>
    <w:p w14:paraId="38BF683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C区（</w:t>
      </w:r>
      <w:r>
        <w:rPr>
          <w:rFonts w:hint="eastAsia" w:ascii="宋体" w:hAnsi="宋体" w:eastAsia="宋体" w:cs="宋体"/>
          <w:b/>
          <w:bCs/>
          <w:color w:val="auto"/>
          <w:sz w:val="24"/>
          <w:szCs w:val="24"/>
          <w:highlight w:val="none"/>
          <w:vertAlign w:val="baseline"/>
          <w:lang w:val="en-US" w:eastAsia="zh-CN"/>
        </w:rPr>
        <w:t>和康县卡帕浪沟一带</w:t>
      </w:r>
      <w:r>
        <w:rPr>
          <w:rFonts w:hint="eastAsia" w:ascii="宋体" w:hAnsi="宋体" w:eastAsia="宋体" w:cs="宋体"/>
          <w:b/>
          <w:bCs/>
          <w:color w:val="auto"/>
          <w:sz w:val="24"/>
          <w:szCs w:val="24"/>
          <w:highlight w:val="none"/>
          <w:lang w:val="en-US" w:eastAsia="zh-CN"/>
        </w:rPr>
        <w:t>）</w:t>
      </w:r>
    </w:p>
    <w:p w14:paraId="59911559">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工作区位于新疆维吾尔自治区喀喇昆仑与西昆仑结合部位，距叶城县约280千米，行政区划隶属新疆叶城县管辖，2025年新疆和田地区和康县成立后，实际管辖由和康县执行（办理备案、证明等）。工作区为三幅标准1：5万图幅：J43E022022（黑恰幅）、J43E023021（肖尔布拉冷沟幅）、J43E023022（黑黑孜温泉沟幅），总面积1246平方千米。从叶城县出发，顺219国道，途径库地、麻扎可达黑恰沟。</w:t>
      </w:r>
    </w:p>
    <w:p w14:paraId="502ECC17">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D区（</w:t>
      </w:r>
      <w:r>
        <w:rPr>
          <w:rFonts w:hint="eastAsia" w:ascii="宋体" w:hAnsi="宋体" w:eastAsia="宋体" w:cs="宋体"/>
          <w:b/>
          <w:bCs/>
          <w:color w:val="auto"/>
          <w:sz w:val="24"/>
          <w:szCs w:val="24"/>
          <w:highlight w:val="none"/>
          <w:vertAlign w:val="baseline"/>
          <w:lang w:val="en-US" w:eastAsia="zh-CN"/>
        </w:rPr>
        <w:t>和康县红莲山</w:t>
      </w:r>
      <w:r>
        <w:rPr>
          <w:rFonts w:hint="eastAsia" w:ascii="宋体" w:hAnsi="宋体" w:eastAsia="宋体" w:cs="宋体"/>
          <w:b/>
          <w:bCs/>
          <w:sz w:val="24"/>
          <w:szCs w:val="24"/>
          <w:highlight w:val="none"/>
          <w:lang w:val="en-US" w:eastAsia="zh-CN"/>
        </w:rPr>
        <w:t>）</w:t>
      </w:r>
    </w:p>
    <w:p w14:paraId="6B6E55A6">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工作区地处和康县境内，位于新疆和康县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w:t>
      </w:r>
      <w:r>
        <w:rPr>
          <w:rFonts w:hint="eastAsia" w:ascii="宋体" w:hAnsi="宋体" w:eastAsia="宋体" w:cs="宋体"/>
          <w:sz w:val="24"/>
          <w:szCs w:val="24"/>
          <w:highlight w:val="none"/>
        </w:rPr>
        <w:t>赛图拉镇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南西方向约80</w:t>
      </w:r>
      <w:r>
        <w:rPr>
          <w:rFonts w:hint="eastAsia" w:ascii="宋体" w:hAnsi="宋体" w:eastAsia="宋体" w:cs="宋体"/>
          <w:sz w:val="24"/>
          <w:szCs w:val="24"/>
          <w:highlight w:val="none"/>
          <w:lang w:val="en-US" w:eastAsia="zh-CN"/>
        </w:rPr>
        <w:t>千米</w:t>
      </w:r>
      <w:r>
        <w:rPr>
          <w:rFonts w:hint="eastAsia" w:ascii="宋体" w:hAnsi="宋体" w:eastAsia="宋体" w:cs="宋体"/>
          <w:sz w:val="24"/>
          <w:szCs w:val="24"/>
          <w:highlight w:val="none"/>
        </w:rPr>
        <w:t>处，行政区划属和田地区管辖，涉及1</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5</w:t>
      </w:r>
      <w:r>
        <w:rPr>
          <w:rFonts w:hint="eastAsia" w:ascii="宋体" w:hAnsi="宋体" w:eastAsia="宋体" w:cs="宋体"/>
          <w:sz w:val="24"/>
          <w:szCs w:val="24"/>
          <w:highlight w:val="none"/>
        </w:rPr>
        <w:t>万国际分幅编码为：I43E002024（鱼跃石幅）、I43E003024（喀喇昆仑山口幅）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面积</w:t>
      </w:r>
      <w:r>
        <w:rPr>
          <w:rFonts w:hint="eastAsia" w:ascii="宋体" w:hAnsi="宋体" w:eastAsia="宋体" w:cs="宋体"/>
          <w:sz w:val="24"/>
          <w:szCs w:val="24"/>
          <w:highlight w:val="none"/>
          <w:lang w:val="en-US" w:eastAsia="zh-CN"/>
        </w:rPr>
        <w:t>62.46</w:t>
      </w:r>
      <w:r>
        <w:rPr>
          <w:rFonts w:hint="eastAsia" w:ascii="宋体" w:hAnsi="宋体" w:eastAsia="宋体" w:cs="宋体"/>
          <w:sz w:val="24"/>
          <w:szCs w:val="24"/>
          <w:highlight w:val="none"/>
        </w:rPr>
        <w:t>平方千米。从喀什沿G3012吐和高速行驶255</w:t>
      </w:r>
      <w:r>
        <w:rPr>
          <w:rFonts w:hint="eastAsia" w:ascii="宋体" w:hAnsi="宋体" w:eastAsia="宋体" w:cs="宋体"/>
          <w:sz w:val="24"/>
          <w:szCs w:val="24"/>
          <w:highlight w:val="none"/>
          <w:lang w:val="en-US" w:eastAsia="zh-CN"/>
        </w:rPr>
        <w:t>千米</w:t>
      </w:r>
      <w:r>
        <w:rPr>
          <w:rFonts w:hint="eastAsia" w:ascii="宋体" w:hAnsi="宋体" w:eastAsia="宋体" w:cs="宋体"/>
          <w:sz w:val="24"/>
          <w:szCs w:val="24"/>
          <w:highlight w:val="none"/>
        </w:rPr>
        <w:t>至叶城县，然后沿219国道（新藏公路）行驶3</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千米至</w:t>
      </w:r>
      <w:r>
        <w:rPr>
          <w:rFonts w:hint="eastAsia" w:ascii="宋体" w:hAnsi="宋体" w:eastAsia="宋体" w:cs="宋体"/>
          <w:sz w:val="24"/>
          <w:szCs w:val="24"/>
          <w:highlight w:val="none"/>
          <w:lang w:val="en-US" w:eastAsia="zh-CN"/>
        </w:rPr>
        <w:t>和康县（原</w:t>
      </w:r>
      <w:r>
        <w:rPr>
          <w:rFonts w:hint="eastAsia" w:ascii="宋体" w:hAnsi="宋体" w:eastAsia="宋体" w:cs="宋体"/>
          <w:sz w:val="24"/>
          <w:szCs w:val="24"/>
          <w:highlight w:val="none"/>
        </w:rPr>
        <w:t>赛图拉镇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，再从</w:t>
      </w:r>
      <w:r>
        <w:rPr>
          <w:rFonts w:hint="eastAsia" w:ascii="宋体" w:hAnsi="宋体" w:eastAsia="宋体" w:cs="宋体"/>
          <w:sz w:val="24"/>
          <w:szCs w:val="24"/>
          <w:highlight w:val="none"/>
          <w:lang w:val="en-US" w:eastAsia="zh-CN"/>
        </w:rPr>
        <w:t>哈</w:t>
      </w:r>
      <w:r>
        <w:rPr>
          <w:rFonts w:hint="eastAsia" w:ascii="宋体" w:hAnsi="宋体" w:eastAsia="宋体" w:cs="宋体"/>
          <w:sz w:val="24"/>
          <w:szCs w:val="24"/>
          <w:highlight w:val="none"/>
        </w:rPr>
        <w:t>巴克向南西沿神仙湾-</w:t>
      </w:r>
      <w:r>
        <w:rPr>
          <w:rFonts w:hint="eastAsia" w:ascii="宋体" w:hAnsi="宋体" w:eastAsia="宋体" w:cs="宋体"/>
          <w:sz w:val="24"/>
          <w:szCs w:val="24"/>
          <w:highlight w:val="none"/>
          <w:lang w:val="en-US" w:eastAsia="zh-CN"/>
        </w:rPr>
        <w:t>哈</w:t>
      </w:r>
      <w:r>
        <w:rPr>
          <w:rFonts w:hint="eastAsia" w:ascii="宋体" w:hAnsi="宋体" w:eastAsia="宋体" w:cs="宋体"/>
          <w:sz w:val="24"/>
          <w:szCs w:val="24"/>
          <w:highlight w:val="none"/>
        </w:rPr>
        <w:t>巴克国防公路行进约100千米可抵达</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区，外部交通条件较好，区内部交通较为困难</w:t>
      </w:r>
      <w:r>
        <w:rPr>
          <w:rFonts w:hint="eastAsia" w:ascii="宋体" w:hAnsi="宋体" w:eastAsia="宋体" w:cs="宋体"/>
          <w:sz w:val="24"/>
          <w:szCs w:val="24"/>
          <w:highlight w:val="none"/>
          <w:lang w:eastAsia="zh-CN"/>
        </w:rPr>
        <w:t>。</w:t>
      </w:r>
    </w:p>
    <w:p w14:paraId="17B3A290">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E区（</w:t>
      </w:r>
      <w:r>
        <w:rPr>
          <w:rFonts w:hint="eastAsia" w:ascii="宋体" w:hAnsi="宋体" w:eastAsia="宋体" w:cs="宋体"/>
          <w:b/>
          <w:bCs/>
          <w:color w:val="auto"/>
          <w:sz w:val="24"/>
          <w:szCs w:val="24"/>
          <w:highlight w:val="none"/>
          <w:vertAlign w:val="baseline"/>
          <w:lang w:val="en-US" w:eastAsia="zh-CN"/>
        </w:rPr>
        <w:t>和安县长平沟</w:t>
      </w:r>
      <w:r>
        <w:rPr>
          <w:rFonts w:hint="eastAsia" w:ascii="宋体" w:hAnsi="宋体" w:eastAsia="宋体" w:cs="宋体"/>
          <w:b/>
          <w:bCs/>
          <w:sz w:val="24"/>
          <w:szCs w:val="24"/>
          <w:highlight w:val="none"/>
          <w:lang w:val="en-US" w:eastAsia="zh-CN"/>
        </w:rPr>
        <w:t>）</w:t>
      </w:r>
    </w:p>
    <w:p w14:paraId="4758BD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sz w:val="24"/>
          <w:szCs w:val="24"/>
          <w:highlight w:val="none"/>
        </w:rPr>
        <w:t>工作区位于和安县南西，直线距离约65千米，行政区划隶属新疆和安县。由叶城县出发，沿国道219线新藏公路向南行驶约440公里到达和安县城，再沿喀拉喀什河边公路向西南行驶80公里可到达工作区外围，外部交通条件较为便利</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工作区内部无道路，需要修路才能通行</w:t>
      </w:r>
      <w:r>
        <w:rPr>
          <w:rFonts w:hint="eastAsia" w:ascii="宋体" w:hAnsi="宋体" w:eastAsia="宋体" w:cs="宋体"/>
          <w:bCs/>
          <w:sz w:val="24"/>
          <w:szCs w:val="24"/>
          <w:highlight w:val="none"/>
          <w:lang w:eastAsia="zh-CN"/>
        </w:rPr>
        <w:t>。</w:t>
      </w:r>
      <w:bookmarkStart w:id="131" w:name="OLE_LINK207"/>
      <w:bookmarkStart w:id="132" w:name="OLE_LINK179"/>
      <w:r>
        <w:rPr>
          <w:rFonts w:hint="eastAsia" w:ascii="宋体" w:hAnsi="宋体" w:eastAsia="宋体" w:cs="宋体"/>
          <w:kern w:val="0"/>
          <w:sz w:val="24"/>
          <w:szCs w:val="24"/>
          <w:highlight w:val="none"/>
        </w:rPr>
        <w:t>工作区坐标(CGCS2000)：</w:t>
      </w:r>
      <w:bookmarkStart w:id="133" w:name="OLE_LINK3"/>
      <w:r>
        <w:rPr>
          <w:rFonts w:hint="eastAsia" w:ascii="宋体" w:hAnsi="宋体" w:eastAsia="宋体" w:cs="宋体"/>
          <w:kern w:val="0"/>
          <w:sz w:val="24"/>
          <w:szCs w:val="24"/>
          <w:highlight w:val="none"/>
        </w:rPr>
        <w:t>①78.3537,35.4000；②78.3650,35.4106；③78.4136,35.4023；④78.4136,35.3943；⑤78.4300,35.3942；⑥78.4300,35.4007；⑦78.4341,35.3952；⑧78.4341,35.3902；⑨78.4122,35.3807；⑩78.3815,35.3807</w:t>
      </w:r>
      <w:bookmarkEnd w:id="133"/>
      <w:r>
        <w:rPr>
          <w:rFonts w:hint="eastAsia" w:ascii="宋体" w:hAnsi="宋体" w:eastAsia="宋体" w:cs="宋体"/>
          <w:kern w:val="0"/>
          <w:sz w:val="24"/>
          <w:szCs w:val="24"/>
          <w:highlight w:val="none"/>
        </w:rPr>
        <w:t>，面积43.09平方千米。</w:t>
      </w:r>
      <w:bookmarkEnd w:id="131"/>
      <w:bookmarkEnd w:id="132"/>
    </w:p>
    <w:p w14:paraId="04B8C1B4">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F区（</w:t>
      </w:r>
      <w:r>
        <w:rPr>
          <w:rFonts w:hint="eastAsia" w:ascii="宋体" w:hAnsi="宋体" w:eastAsia="宋体" w:cs="宋体"/>
          <w:b/>
          <w:bCs/>
          <w:color w:val="auto"/>
          <w:sz w:val="24"/>
          <w:szCs w:val="24"/>
          <w:highlight w:val="none"/>
          <w:vertAlign w:val="baseline"/>
          <w:lang w:val="en-US" w:eastAsia="zh-CN"/>
        </w:rPr>
        <w:t>皮山县喀尔勒克一带</w:t>
      </w:r>
      <w:r>
        <w:rPr>
          <w:rFonts w:hint="eastAsia" w:ascii="宋体" w:hAnsi="宋体" w:eastAsia="宋体" w:cs="宋体"/>
          <w:b/>
          <w:bCs/>
          <w:color w:val="auto"/>
          <w:sz w:val="24"/>
          <w:szCs w:val="24"/>
          <w:highlight w:val="none"/>
          <w:lang w:val="en-US" w:eastAsia="zh-CN"/>
        </w:rPr>
        <w:t>）</w:t>
      </w:r>
    </w:p>
    <w:p w14:paraId="7E3DD2A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工作区包含4个普查区，分别为玉石山普查区、喀尔勒克普查区、克其克普查区、恰瓦普查区，总面积116.58平方米，</w:t>
      </w:r>
      <w:r>
        <w:rPr>
          <w:rFonts w:hint="eastAsia" w:ascii="宋体" w:hAnsi="宋体" w:eastAsia="宋体" w:cs="宋体"/>
          <w:sz w:val="24"/>
          <w:szCs w:val="24"/>
          <w:highlight w:val="none"/>
        </w:rPr>
        <w:t>由塔吉克自治县县城出发沿G314线前往达布达尔乡方向行驶约50千米可到达工作区，外部交通较为方便，区内有简易道路可以通行</w:t>
      </w:r>
      <w:r>
        <w:rPr>
          <w:rFonts w:hint="eastAsia" w:ascii="宋体" w:hAnsi="宋体" w:eastAsia="宋体" w:cs="宋体"/>
          <w:color w:val="auto"/>
          <w:kern w:val="0"/>
          <w:sz w:val="24"/>
          <w:szCs w:val="24"/>
          <w:highlight w:val="none"/>
          <w:lang w:val="en-US" w:eastAsia="zh-CN" w:bidi="ar-SA"/>
        </w:rPr>
        <w:t>。工作区为塔里木盆地与西昆仑山交接部位，属昆仑山山前深切割区，地势北低南高，由北向南次第上升。海拔最高4980米，最低2200米，相对高差800～1500米。</w:t>
      </w:r>
    </w:p>
    <w:p w14:paraId="2CB4A8B6">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G区（</w:t>
      </w:r>
      <w:r>
        <w:rPr>
          <w:rFonts w:hint="eastAsia" w:ascii="宋体" w:hAnsi="宋体" w:eastAsia="宋体" w:cs="宋体"/>
          <w:b/>
          <w:bCs/>
          <w:color w:val="auto"/>
          <w:sz w:val="24"/>
          <w:szCs w:val="24"/>
          <w:highlight w:val="none"/>
          <w:vertAlign w:val="baseline"/>
          <w:lang w:val="en-US" w:eastAsia="zh-CN"/>
        </w:rPr>
        <w:t>和田县银石山一带</w:t>
      </w:r>
      <w:r>
        <w:rPr>
          <w:rFonts w:hint="eastAsia" w:ascii="宋体" w:hAnsi="宋体" w:eastAsia="宋体" w:cs="宋体"/>
          <w:b/>
          <w:bCs/>
          <w:color w:val="auto"/>
          <w:sz w:val="24"/>
          <w:szCs w:val="24"/>
          <w:highlight w:val="none"/>
          <w:lang w:val="en-US" w:eastAsia="zh-CN"/>
        </w:rPr>
        <w:t>）</w:t>
      </w:r>
    </w:p>
    <w:p w14:paraId="6E4651B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作区位于新疆和安县南部，属于喀喇昆仑山腹地，距和田县南直线距离约220千米，行政区划隶属新疆和田县大红柳滩镇管辖，工作区分为四个，总体顺喀拉喀什河及其支流两侧分布。该区域地势属极高山区；海拔5200～6000米；相对高差大于600米；地形切割较强烈。</w:t>
      </w:r>
    </w:p>
    <w:p w14:paraId="71C0432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H区（</w:t>
      </w:r>
      <w:r>
        <w:rPr>
          <w:rFonts w:hint="eastAsia" w:ascii="宋体" w:hAnsi="宋体" w:eastAsia="宋体" w:cs="宋体"/>
          <w:b/>
          <w:bCs/>
          <w:color w:val="auto"/>
          <w:sz w:val="24"/>
          <w:szCs w:val="24"/>
          <w:highlight w:val="none"/>
          <w:vertAlign w:val="baseline"/>
          <w:lang w:val="en-US" w:eastAsia="zh-CN"/>
        </w:rPr>
        <w:t>塔什库尔干县达布达尔一带</w:t>
      </w:r>
      <w:r>
        <w:rPr>
          <w:rFonts w:hint="eastAsia" w:ascii="宋体" w:hAnsi="宋体" w:eastAsia="宋体" w:cs="宋体"/>
          <w:b/>
          <w:bCs/>
          <w:snapToGrid w:val="0"/>
          <w:kern w:val="0"/>
          <w:sz w:val="24"/>
          <w:szCs w:val="24"/>
          <w:highlight w:val="none"/>
          <w:lang w:val="en-US" w:eastAsia="zh-CN"/>
        </w:rPr>
        <w:t>）</w:t>
      </w:r>
    </w:p>
    <w:p w14:paraId="507BCBD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工作区处于喀喇昆仑山腹地、塔什库尔干塔吉克自治县城南部，行政区划隶属新疆喀什地区塔什库尔干塔吉克自治县管辖，工作区面积98.06平方千米。距新疆塔什库尔干县达布达尔乡东2千米，工作区位于西昆仑西段前山，属盆岭交接的高中山区，海拔一般在3700～4500米，高差500～700米，地形切割强烈。</w:t>
      </w:r>
    </w:p>
    <w:p w14:paraId="1B48CCD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I区（</w:t>
      </w:r>
      <w:r>
        <w:rPr>
          <w:rFonts w:hint="eastAsia" w:ascii="宋体" w:hAnsi="宋体" w:eastAsia="宋体" w:cs="宋体"/>
          <w:b/>
          <w:bCs/>
          <w:color w:val="auto"/>
          <w:sz w:val="24"/>
          <w:szCs w:val="24"/>
          <w:highlight w:val="none"/>
          <w:vertAlign w:val="baseline"/>
          <w:lang w:val="en-US" w:eastAsia="zh-CN"/>
        </w:rPr>
        <w:t>皮山县库尔浪一带</w:t>
      </w:r>
      <w:r>
        <w:rPr>
          <w:rFonts w:hint="eastAsia" w:ascii="宋体" w:hAnsi="宋体" w:eastAsia="宋体" w:cs="宋体"/>
          <w:b/>
          <w:bCs/>
          <w:sz w:val="24"/>
          <w:szCs w:val="24"/>
          <w:highlight w:val="none"/>
          <w:lang w:val="en-US" w:eastAsia="zh-CN"/>
        </w:rPr>
        <w:t>）</w:t>
      </w:r>
    </w:p>
    <w:p w14:paraId="70D068F9">
      <w:pPr>
        <w:pStyle w:val="17"/>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工作区</w:t>
      </w:r>
      <w:r>
        <w:rPr>
          <w:rFonts w:hint="eastAsia" w:ascii="宋体" w:hAnsi="宋体" w:eastAsia="宋体" w:cs="宋体"/>
          <w:sz w:val="24"/>
          <w:szCs w:val="24"/>
          <w:highlight w:val="none"/>
        </w:rPr>
        <w:t>位于新疆和田地区皮山县桑株镇、杜瓦镇以南，行政区划隶属皮山县管辖。调查区范围涉及J44E020003、J44E020004等2个1∶5万标准图幅，拐点坐标（CGCS2000）：①78.3000，36.5000；②79.0000，36.5000；③79.0000，36.4000；④78.3000，36.4000。面积825.6</w:t>
      </w:r>
      <w:r>
        <w:rPr>
          <w:rFonts w:hint="eastAsia" w:ascii="宋体" w:hAnsi="宋体" w:eastAsia="宋体" w:cs="宋体"/>
          <w:sz w:val="24"/>
          <w:szCs w:val="24"/>
          <w:highlight w:val="none"/>
          <w:lang w:val="en-US" w:eastAsia="zh-CN"/>
        </w:rPr>
        <w:t>平方千米</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工作区</w:t>
      </w:r>
      <w:r>
        <w:rPr>
          <w:rFonts w:hint="eastAsia" w:ascii="宋体" w:hAnsi="宋体" w:eastAsia="宋体" w:cs="宋体"/>
          <w:sz w:val="24"/>
          <w:szCs w:val="24"/>
          <w:highlight w:val="none"/>
        </w:rPr>
        <w:t>距皮山县约80k</w:t>
      </w:r>
      <w:r>
        <w:rPr>
          <w:rFonts w:hint="eastAsia" w:ascii="宋体" w:hAnsi="宋体" w:eastAsia="宋体" w:cs="宋体"/>
          <w:sz w:val="24"/>
          <w:szCs w:val="24"/>
          <w:highlight w:val="none"/>
          <w:lang w:eastAsia="zh-CN"/>
        </w:rPr>
        <w:t>米</w:t>
      </w:r>
      <w:r>
        <w:rPr>
          <w:rFonts w:hint="eastAsia" w:ascii="宋体" w:hAnsi="宋体" w:eastAsia="宋体" w:cs="宋体"/>
          <w:sz w:val="24"/>
          <w:szCs w:val="24"/>
          <w:highlight w:val="none"/>
        </w:rPr>
        <w:t>，离最近的火车站为昆玉市火车站约100k</w:t>
      </w:r>
      <w:r>
        <w:rPr>
          <w:rFonts w:hint="eastAsia" w:ascii="宋体" w:hAnsi="宋体" w:eastAsia="宋体" w:cs="宋体"/>
          <w:sz w:val="24"/>
          <w:szCs w:val="24"/>
          <w:highlight w:val="none"/>
          <w:lang w:eastAsia="zh-CN"/>
        </w:rPr>
        <w:t>米</w:t>
      </w:r>
      <w:r>
        <w:rPr>
          <w:rFonts w:hint="eastAsia" w:ascii="宋体" w:hAnsi="宋体" w:eastAsia="宋体" w:cs="宋体"/>
          <w:sz w:val="24"/>
          <w:szCs w:val="24"/>
          <w:highlight w:val="none"/>
        </w:rPr>
        <w:t>，东北距和田市150k</w:t>
      </w:r>
      <w:r>
        <w:rPr>
          <w:rFonts w:hint="eastAsia" w:ascii="宋体" w:hAnsi="宋体" w:eastAsia="宋体" w:cs="宋体"/>
          <w:sz w:val="24"/>
          <w:szCs w:val="24"/>
          <w:highlight w:val="none"/>
          <w:lang w:eastAsia="zh-CN"/>
        </w:rPr>
        <w:t>米</w:t>
      </w:r>
      <w:r>
        <w:rPr>
          <w:rFonts w:hint="eastAsia" w:ascii="宋体" w:hAnsi="宋体" w:eastAsia="宋体" w:cs="宋体"/>
          <w:sz w:val="24"/>
          <w:szCs w:val="24"/>
          <w:highlight w:val="none"/>
        </w:rPr>
        <w:t>。从和田市到昆玉市到杜瓦镇交通方便，自和田市出发，经吐和高速，国道G315、乡道Z721到达离调查区最近的居民点杜瓦镇7大队。西部有G7京新高速通过，北部有A51乡道，经简易道路可达调查区。</w:t>
      </w:r>
    </w:p>
    <w:p w14:paraId="7B99AA2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rPr>
        <w:t>招标内容</w:t>
      </w:r>
    </w:p>
    <w:p w14:paraId="23CB1C78">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（一）拟投入工作量</w:t>
      </w:r>
    </w:p>
    <w:tbl>
      <w:tblPr>
        <w:tblStyle w:val="41"/>
        <w:tblW w:w="9455"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489"/>
        <w:gridCol w:w="2034"/>
        <w:gridCol w:w="1727"/>
        <w:gridCol w:w="2023"/>
        <w:gridCol w:w="1114"/>
      </w:tblGrid>
      <w:tr w14:paraId="49B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4436D90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序号</w:t>
            </w:r>
          </w:p>
        </w:tc>
        <w:tc>
          <w:tcPr>
            <w:tcW w:w="1489" w:type="dxa"/>
            <w:noWrap w:val="0"/>
            <w:vAlign w:val="center"/>
          </w:tcPr>
          <w:p w14:paraId="0919A1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勘查分区</w:t>
            </w:r>
          </w:p>
        </w:tc>
        <w:tc>
          <w:tcPr>
            <w:tcW w:w="2034" w:type="dxa"/>
            <w:noWrap w:val="0"/>
            <w:vAlign w:val="center"/>
          </w:tcPr>
          <w:p w14:paraId="7378A02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服务名称</w:t>
            </w:r>
          </w:p>
        </w:tc>
        <w:tc>
          <w:tcPr>
            <w:tcW w:w="1727" w:type="dxa"/>
            <w:noWrap w:val="0"/>
            <w:vAlign w:val="center"/>
          </w:tcPr>
          <w:p w14:paraId="71B831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2023" w:type="dxa"/>
            <w:noWrap w:val="0"/>
            <w:vAlign w:val="center"/>
          </w:tcPr>
          <w:p w14:paraId="108A21B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工作量</w:t>
            </w:r>
          </w:p>
        </w:tc>
        <w:tc>
          <w:tcPr>
            <w:tcW w:w="1114" w:type="dxa"/>
            <w:noWrap w:val="0"/>
            <w:vAlign w:val="center"/>
          </w:tcPr>
          <w:p w14:paraId="538E385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6577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09DBE20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489" w:type="dxa"/>
            <w:vMerge w:val="restart"/>
            <w:noWrap w:val="0"/>
            <w:vAlign w:val="center"/>
          </w:tcPr>
          <w:p w14:paraId="7462353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2034" w:type="dxa"/>
            <w:noWrap w:val="0"/>
            <w:vAlign w:val="center"/>
          </w:tcPr>
          <w:p w14:paraId="3A36F2A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727" w:type="dxa"/>
            <w:noWrap w:val="0"/>
            <w:vAlign w:val="center"/>
          </w:tcPr>
          <w:p w14:paraId="57EB5BF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023" w:type="dxa"/>
            <w:noWrap w:val="0"/>
            <w:vAlign w:val="center"/>
          </w:tcPr>
          <w:p w14:paraId="78C523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200</w:t>
            </w:r>
          </w:p>
        </w:tc>
        <w:tc>
          <w:tcPr>
            <w:tcW w:w="1114" w:type="dxa"/>
            <w:noWrap w:val="0"/>
            <w:vAlign w:val="center"/>
          </w:tcPr>
          <w:p w14:paraId="6C9262F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6C40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0CECA36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w:t>
            </w:r>
          </w:p>
        </w:tc>
        <w:tc>
          <w:tcPr>
            <w:tcW w:w="1489" w:type="dxa"/>
            <w:vMerge w:val="continue"/>
            <w:noWrap w:val="0"/>
            <w:vAlign w:val="center"/>
          </w:tcPr>
          <w:p w14:paraId="43E60A1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034" w:type="dxa"/>
            <w:noWrap w:val="0"/>
            <w:vAlign w:val="center"/>
          </w:tcPr>
          <w:p w14:paraId="77DB8AF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727" w:type="dxa"/>
            <w:noWrap w:val="0"/>
            <w:vAlign w:val="center"/>
          </w:tcPr>
          <w:p w14:paraId="3024F7C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023" w:type="dxa"/>
            <w:noWrap w:val="0"/>
            <w:vAlign w:val="center"/>
          </w:tcPr>
          <w:p w14:paraId="28779C2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350</w:t>
            </w:r>
          </w:p>
        </w:tc>
        <w:tc>
          <w:tcPr>
            <w:tcW w:w="1114" w:type="dxa"/>
            <w:noWrap w:val="0"/>
            <w:vAlign w:val="center"/>
          </w:tcPr>
          <w:p w14:paraId="6709824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3679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077B642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3</w:t>
            </w:r>
          </w:p>
        </w:tc>
        <w:tc>
          <w:tcPr>
            <w:tcW w:w="1489" w:type="dxa"/>
            <w:vMerge w:val="continue"/>
            <w:noWrap w:val="0"/>
            <w:vAlign w:val="center"/>
          </w:tcPr>
          <w:p w14:paraId="6844BEF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034" w:type="dxa"/>
            <w:noWrap w:val="0"/>
            <w:vAlign w:val="center"/>
          </w:tcPr>
          <w:p w14:paraId="3A6DDBD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槽探配套施工服务</w:t>
            </w:r>
          </w:p>
        </w:tc>
        <w:tc>
          <w:tcPr>
            <w:tcW w:w="1727" w:type="dxa"/>
            <w:noWrap w:val="0"/>
            <w:vAlign w:val="center"/>
          </w:tcPr>
          <w:p w14:paraId="419A127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2023" w:type="dxa"/>
            <w:noWrap w:val="0"/>
            <w:vAlign w:val="center"/>
          </w:tcPr>
          <w:p w14:paraId="0FDBFE9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40</w:t>
            </w:r>
          </w:p>
        </w:tc>
        <w:tc>
          <w:tcPr>
            <w:tcW w:w="1114" w:type="dxa"/>
            <w:noWrap w:val="0"/>
            <w:vAlign w:val="center"/>
          </w:tcPr>
          <w:p w14:paraId="0A2F7E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31F5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2C60CF7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4</w:t>
            </w:r>
          </w:p>
        </w:tc>
        <w:tc>
          <w:tcPr>
            <w:tcW w:w="1489" w:type="dxa"/>
            <w:noWrap w:val="0"/>
            <w:vAlign w:val="center"/>
          </w:tcPr>
          <w:p w14:paraId="0EA41EC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B区</w:t>
            </w:r>
          </w:p>
        </w:tc>
        <w:tc>
          <w:tcPr>
            <w:tcW w:w="2034" w:type="dxa"/>
            <w:noWrap w:val="0"/>
            <w:vAlign w:val="center"/>
          </w:tcPr>
          <w:p w14:paraId="45CEDA2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遥感技术</w:t>
            </w:r>
          </w:p>
        </w:tc>
        <w:tc>
          <w:tcPr>
            <w:tcW w:w="1727" w:type="dxa"/>
            <w:noWrap w:val="0"/>
            <w:vAlign w:val="center"/>
          </w:tcPr>
          <w:p w14:paraId="69F7316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平方千米</w:t>
            </w:r>
          </w:p>
        </w:tc>
        <w:tc>
          <w:tcPr>
            <w:tcW w:w="2023" w:type="dxa"/>
            <w:noWrap w:val="0"/>
            <w:vAlign w:val="center"/>
          </w:tcPr>
          <w:p w14:paraId="774995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830</w:t>
            </w:r>
          </w:p>
        </w:tc>
        <w:tc>
          <w:tcPr>
            <w:tcW w:w="1114" w:type="dxa"/>
            <w:noWrap w:val="0"/>
            <w:vAlign w:val="center"/>
          </w:tcPr>
          <w:p w14:paraId="15FFD93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3574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38BB229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5</w:t>
            </w:r>
          </w:p>
        </w:tc>
        <w:tc>
          <w:tcPr>
            <w:tcW w:w="1489" w:type="dxa"/>
            <w:noWrap w:val="0"/>
            <w:vAlign w:val="center"/>
          </w:tcPr>
          <w:p w14:paraId="0BEA8A9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2034" w:type="dxa"/>
            <w:noWrap w:val="0"/>
            <w:vAlign w:val="center"/>
          </w:tcPr>
          <w:p w14:paraId="71659B0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遥感技术</w:t>
            </w:r>
          </w:p>
        </w:tc>
        <w:tc>
          <w:tcPr>
            <w:tcW w:w="1727" w:type="dxa"/>
            <w:noWrap w:val="0"/>
            <w:vAlign w:val="center"/>
          </w:tcPr>
          <w:p w14:paraId="3B79469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平方千米</w:t>
            </w:r>
          </w:p>
        </w:tc>
        <w:tc>
          <w:tcPr>
            <w:tcW w:w="2023" w:type="dxa"/>
            <w:noWrap w:val="0"/>
            <w:vAlign w:val="center"/>
          </w:tcPr>
          <w:p w14:paraId="168E107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1246</w:t>
            </w:r>
          </w:p>
        </w:tc>
        <w:tc>
          <w:tcPr>
            <w:tcW w:w="1114" w:type="dxa"/>
            <w:noWrap w:val="0"/>
            <w:vAlign w:val="center"/>
          </w:tcPr>
          <w:p w14:paraId="063F193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6D5E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61CEFB1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w:t>
            </w:r>
          </w:p>
        </w:tc>
        <w:tc>
          <w:tcPr>
            <w:tcW w:w="1489" w:type="dxa"/>
            <w:vMerge w:val="restart"/>
            <w:noWrap w:val="0"/>
            <w:vAlign w:val="center"/>
          </w:tcPr>
          <w:p w14:paraId="08062CA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D区</w:t>
            </w:r>
          </w:p>
        </w:tc>
        <w:tc>
          <w:tcPr>
            <w:tcW w:w="2034" w:type="dxa"/>
            <w:noWrap w:val="0"/>
            <w:vAlign w:val="center"/>
          </w:tcPr>
          <w:p w14:paraId="44180AC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727" w:type="dxa"/>
            <w:noWrap w:val="0"/>
            <w:vAlign w:val="center"/>
          </w:tcPr>
          <w:p w14:paraId="4DE75DD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023" w:type="dxa"/>
            <w:noWrap w:val="0"/>
            <w:vAlign w:val="center"/>
          </w:tcPr>
          <w:p w14:paraId="7C23887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1000</w:t>
            </w:r>
          </w:p>
        </w:tc>
        <w:tc>
          <w:tcPr>
            <w:tcW w:w="1114" w:type="dxa"/>
            <w:noWrap w:val="0"/>
            <w:vAlign w:val="center"/>
          </w:tcPr>
          <w:p w14:paraId="714434D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0EEB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6181185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7</w:t>
            </w:r>
          </w:p>
        </w:tc>
        <w:tc>
          <w:tcPr>
            <w:tcW w:w="1489" w:type="dxa"/>
            <w:vMerge w:val="continue"/>
            <w:noWrap w:val="0"/>
            <w:vAlign w:val="center"/>
          </w:tcPr>
          <w:p w14:paraId="4501B7D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034" w:type="dxa"/>
            <w:noWrap w:val="0"/>
            <w:vAlign w:val="center"/>
          </w:tcPr>
          <w:p w14:paraId="7A58965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727" w:type="dxa"/>
            <w:noWrap w:val="0"/>
            <w:vAlign w:val="center"/>
          </w:tcPr>
          <w:p w14:paraId="17858D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023" w:type="dxa"/>
            <w:noWrap w:val="0"/>
            <w:vAlign w:val="center"/>
          </w:tcPr>
          <w:p w14:paraId="4A63611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2000</w:t>
            </w:r>
          </w:p>
        </w:tc>
        <w:tc>
          <w:tcPr>
            <w:tcW w:w="1114" w:type="dxa"/>
            <w:noWrap w:val="0"/>
            <w:vAlign w:val="center"/>
          </w:tcPr>
          <w:p w14:paraId="305BC58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7B85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5675D21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w:t>
            </w:r>
          </w:p>
        </w:tc>
        <w:tc>
          <w:tcPr>
            <w:tcW w:w="1489" w:type="dxa"/>
            <w:vMerge w:val="restart"/>
            <w:noWrap w:val="0"/>
            <w:vAlign w:val="center"/>
          </w:tcPr>
          <w:p w14:paraId="15FC509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2034" w:type="dxa"/>
            <w:noWrap w:val="0"/>
            <w:vAlign w:val="center"/>
          </w:tcPr>
          <w:p w14:paraId="5D514B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727" w:type="dxa"/>
            <w:noWrap w:val="0"/>
            <w:vAlign w:val="center"/>
          </w:tcPr>
          <w:p w14:paraId="4C6EF9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023" w:type="dxa"/>
            <w:noWrap w:val="0"/>
            <w:vAlign w:val="center"/>
          </w:tcPr>
          <w:p w14:paraId="68576CA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1150</w:t>
            </w:r>
          </w:p>
        </w:tc>
        <w:tc>
          <w:tcPr>
            <w:tcW w:w="1114" w:type="dxa"/>
            <w:noWrap w:val="0"/>
            <w:vAlign w:val="center"/>
          </w:tcPr>
          <w:p w14:paraId="4D5C2D4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52CF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51116AE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w:t>
            </w:r>
          </w:p>
        </w:tc>
        <w:tc>
          <w:tcPr>
            <w:tcW w:w="1489" w:type="dxa"/>
            <w:vMerge w:val="continue"/>
            <w:noWrap w:val="0"/>
            <w:vAlign w:val="center"/>
          </w:tcPr>
          <w:p w14:paraId="6FFFD8E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034" w:type="dxa"/>
            <w:noWrap w:val="0"/>
            <w:vAlign w:val="center"/>
          </w:tcPr>
          <w:p w14:paraId="166968D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727" w:type="dxa"/>
            <w:noWrap w:val="0"/>
            <w:vAlign w:val="center"/>
          </w:tcPr>
          <w:p w14:paraId="7CCD34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023" w:type="dxa"/>
            <w:noWrap w:val="0"/>
            <w:vAlign w:val="center"/>
          </w:tcPr>
          <w:p w14:paraId="1CFCEAE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2000</w:t>
            </w:r>
          </w:p>
        </w:tc>
        <w:tc>
          <w:tcPr>
            <w:tcW w:w="1114" w:type="dxa"/>
            <w:noWrap w:val="0"/>
            <w:vAlign w:val="center"/>
          </w:tcPr>
          <w:p w14:paraId="255B648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31E3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63E7E7F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w:t>
            </w:r>
          </w:p>
        </w:tc>
        <w:tc>
          <w:tcPr>
            <w:tcW w:w="1489" w:type="dxa"/>
            <w:vMerge w:val="continue"/>
            <w:noWrap w:val="0"/>
            <w:vAlign w:val="center"/>
          </w:tcPr>
          <w:p w14:paraId="60AD194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034" w:type="dxa"/>
            <w:noWrap w:val="0"/>
            <w:vAlign w:val="center"/>
          </w:tcPr>
          <w:p w14:paraId="0C7A60E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槽探配套线路开挖及场地平整</w:t>
            </w:r>
          </w:p>
        </w:tc>
        <w:tc>
          <w:tcPr>
            <w:tcW w:w="1727" w:type="dxa"/>
            <w:noWrap w:val="0"/>
            <w:vAlign w:val="center"/>
          </w:tcPr>
          <w:p w14:paraId="0FE5BA2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千米</w:t>
            </w:r>
          </w:p>
        </w:tc>
        <w:tc>
          <w:tcPr>
            <w:tcW w:w="2023" w:type="dxa"/>
            <w:noWrap w:val="0"/>
            <w:vAlign w:val="center"/>
          </w:tcPr>
          <w:p w14:paraId="0F66618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10.95</w:t>
            </w:r>
          </w:p>
        </w:tc>
        <w:tc>
          <w:tcPr>
            <w:tcW w:w="1114" w:type="dxa"/>
            <w:noWrap w:val="0"/>
            <w:vAlign w:val="center"/>
          </w:tcPr>
          <w:p w14:paraId="487C2B1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6B91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6D461A2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11</w:t>
            </w:r>
          </w:p>
        </w:tc>
        <w:tc>
          <w:tcPr>
            <w:tcW w:w="1489" w:type="dxa"/>
            <w:vMerge w:val="restart"/>
            <w:noWrap w:val="0"/>
            <w:vAlign w:val="center"/>
          </w:tcPr>
          <w:p w14:paraId="7B40941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2034" w:type="dxa"/>
            <w:noWrap w:val="0"/>
            <w:vAlign w:val="center"/>
          </w:tcPr>
          <w:p w14:paraId="37D0D5D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727" w:type="dxa"/>
            <w:noWrap w:val="0"/>
            <w:vAlign w:val="center"/>
          </w:tcPr>
          <w:p w14:paraId="3369A23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023" w:type="dxa"/>
            <w:noWrap w:val="0"/>
            <w:vAlign w:val="center"/>
          </w:tcPr>
          <w:p w14:paraId="0FFFFDB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3000</w:t>
            </w:r>
          </w:p>
        </w:tc>
        <w:tc>
          <w:tcPr>
            <w:tcW w:w="1114" w:type="dxa"/>
            <w:noWrap w:val="0"/>
            <w:vAlign w:val="center"/>
          </w:tcPr>
          <w:p w14:paraId="0527956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0A09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6058A91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12</w:t>
            </w:r>
          </w:p>
        </w:tc>
        <w:tc>
          <w:tcPr>
            <w:tcW w:w="1489" w:type="dxa"/>
            <w:vMerge w:val="continue"/>
            <w:noWrap w:val="0"/>
            <w:vAlign w:val="center"/>
          </w:tcPr>
          <w:p w14:paraId="69C00FA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034" w:type="dxa"/>
            <w:noWrap w:val="0"/>
            <w:vAlign w:val="center"/>
          </w:tcPr>
          <w:p w14:paraId="685EF4B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727" w:type="dxa"/>
            <w:noWrap w:val="0"/>
            <w:vAlign w:val="center"/>
          </w:tcPr>
          <w:p w14:paraId="3BD982E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023" w:type="dxa"/>
            <w:noWrap w:val="0"/>
            <w:vAlign w:val="center"/>
          </w:tcPr>
          <w:p w14:paraId="2024ADC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cs="宋体"/>
                <w:b/>
                <w:bCs/>
                <w:color w:val="auto"/>
                <w:kern w:val="2"/>
                <w:sz w:val="24"/>
                <w:szCs w:val="24"/>
                <w:highlight w:val="none"/>
                <w:vertAlign w:val="baseline"/>
                <w:lang w:val="en-US" w:eastAsia="zh-CN" w:bidi="ar-SA"/>
              </w:rPr>
              <w:t>5000</w:t>
            </w:r>
          </w:p>
        </w:tc>
        <w:tc>
          <w:tcPr>
            <w:tcW w:w="1114" w:type="dxa"/>
            <w:noWrap w:val="0"/>
            <w:vAlign w:val="center"/>
          </w:tcPr>
          <w:p w14:paraId="6CE92E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0E8E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6129BE4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13</w:t>
            </w:r>
          </w:p>
        </w:tc>
        <w:tc>
          <w:tcPr>
            <w:tcW w:w="1489" w:type="dxa"/>
            <w:vMerge w:val="continue"/>
            <w:noWrap w:val="0"/>
            <w:vAlign w:val="center"/>
          </w:tcPr>
          <w:p w14:paraId="2104714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034" w:type="dxa"/>
            <w:noWrap w:val="0"/>
            <w:vAlign w:val="center"/>
          </w:tcPr>
          <w:p w14:paraId="2D1F17D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槽探配套线路开挖及场地平整</w:t>
            </w:r>
          </w:p>
        </w:tc>
        <w:tc>
          <w:tcPr>
            <w:tcW w:w="1727" w:type="dxa"/>
            <w:noWrap w:val="0"/>
            <w:vAlign w:val="center"/>
          </w:tcPr>
          <w:p w14:paraId="25D9A6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千米</w:t>
            </w:r>
          </w:p>
        </w:tc>
        <w:tc>
          <w:tcPr>
            <w:tcW w:w="2023" w:type="dxa"/>
            <w:noWrap w:val="0"/>
            <w:vAlign w:val="center"/>
          </w:tcPr>
          <w:p w14:paraId="44CEB2C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w:t>
            </w:r>
          </w:p>
        </w:tc>
        <w:tc>
          <w:tcPr>
            <w:tcW w:w="1114" w:type="dxa"/>
            <w:noWrap w:val="0"/>
            <w:vAlign w:val="center"/>
          </w:tcPr>
          <w:p w14:paraId="038CCE6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6A9C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4425E58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14</w:t>
            </w:r>
          </w:p>
        </w:tc>
        <w:tc>
          <w:tcPr>
            <w:tcW w:w="1489" w:type="dxa"/>
            <w:vMerge w:val="restart"/>
            <w:noWrap w:val="0"/>
            <w:vAlign w:val="center"/>
          </w:tcPr>
          <w:p w14:paraId="5CDA72E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G区</w:t>
            </w:r>
          </w:p>
        </w:tc>
        <w:tc>
          <w:tcPr>
            <w:tcW w:w="2034" w:type="dxa"/>
            <w:noWrap w:val="0"/>
            <w:vAlign w:val="center"/>
          </w:tcPr>
          <w:p w14:paraId="5AA1950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727" w:type="dxa"/>
            <w:noWrap w:val="0"/>
            <w:vAlign w:val="center"/>
          </w:tcPr>
          <w:p w14:paraId="2C7A89E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米</w:t>
            </w:r>
          </w:p>
        </w:tc>
        <w:tc>
          <w:tcPr>
            <w:tcW w:w="2023" w:type="dxa"/>
            <w:noWrap w:val="0"/>
            <w:vAlign w:val="center"/>
          </w:tcPr>
          <w:p w14:paraId="115C5B1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2000</w:t>
            </w:r>
          </w:p>
        </w:tc>
        <w:tc>
          <w:tcPr>
            <w:tcW w:w="1114" w:type="dxa"/>
            <w:noWrap w:val="0"/>
            <w:vAlign w:val="center"/>
          </w:tcPr>
          <w:p w14:paraId="3512DBD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108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778BE66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15</w:t>
            </w:r>
          </w:p>
        </w:tc>
        <w:tc>
          <w:tcPr>
            <w:tcW w:w="1489" w:type="dxa"/>
            <w:vMerge w:val="continue"/>
            <w:noWrap w:val="0"/>
            <w:vAlign w:val="center"/>
          </w:tcPr>
          <w:p w14:paraId="6E18BB1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034" w:type="dxa"/>
            <w:noWrap w:val="0"/>
            <w:vAlign w:val="center"/>
          </w:tcPr>
          <w:p w14:paraId="35EF5C0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727" w:type="dxa"/>
            <w:noWrap w:val="0"/>
            <w:vAlign w:val="center"/>
          </w:tcPr>
          <w:p w14:paraId="76E11E3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立方米</w:t>
            </w:r>
          </w:p>
        </w:tc>
        <w:tc>
          <w:tcPr>
            <w:tcW w:w="2023" w:type="dxa"/>
            <w:noWrap w:val="0"/>
            <w:vAlign w:val="center"/>
          </w:tcPr>
          <w:p w14:paraId="19154AD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4000</w:t>
            </w:r>
          </w:p>
        </w:tc>
        <w:tc>
          <w:tcPr>
            <w:tcW w:w="1114" w:type="dxa"/>
            <w:noWrap w:val="0"/>
            <w:vAlign w:val="center"/>
          </w:tcPr>
          <w:p w14:paraId="48A2245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55F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0A1180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16</w:t>
            </w:r>
          </w:p>
        </w:tc>
        <w:tc>
          <w:tcPr>
            <w:tcW w:w="1489" w:type="dxa"/>
            <w:vMerge w:val="restart"/>
            <w:noWrap w:val="0"/>
            <w:vAlign w:val="center"/>
          </w:tcPr>
          <w:p w14:paraId="20C6CA3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sz w:val="24"/>
                <w:szCs w:val="24"/>
                <w:highlight w:val="none"/>
              </w:rPr>
              <w:t>H</w:t>
            </w:r>
            <w:r>
              <w:rPr>
                <w:rFonts w:hint="eastAsia" w:ascii="宋体" w:hAnsi="宋体" w:eastAsia="宋体" w:cs="宋体"/>
                <w:b/>
                <w:bCs/>
                <w:color w:val="auto"/>
                <w:sz w:val="24"/>
                <w:szCs w:val="24"/>
                <w:highlight w:val="none"/>
                <w:vertAlign w:val="baseline"/>
                <w:lang w:val="en-US" w:eastAsia="zh-CN"/>
              </w:rPr>
              <w:t>区</w:t>
            </w:r>
          </w:p>
        </w:tc>
        <w:tc>
          <w:tcPr>
            <w:tcW w:w="2034" w:type="dxa"/>
            <w:noWrap w:val="0"/>
            <w:vAlign w:val="center"/>
          </w:tcPr>
          <w:p w14:paraId="7B4ED1C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727" w:type="dxa"/>
            <w:noWrap w:val="0"/>
            <w:vAlign w:val="center"/>
          </w:tcPr>
          <w:p w14:paraId="24361B5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米</w:t>
            </w:r>
          </w:p>
        </w:tc>
        <w:tc>
          <w:tcPr>
            <w:tcW w:w="2023" w:type="dxa"/>
            <w:noWrap w:val="0"/>
            <w:vAlign w:val="center"/>
          </w:tcPr>
          <w:p w14:paraId="1F1D118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1500</w:t>
            </w:r>
          </w:p>
        </w:tc>
        <w:tc>
          <w:tcPr>
            <w:tcW w:w="1114" w:type="dxa"/>
            <w:noWrap w:val="0"/>
            <w:vAlign w:val="center"/>
          </w:tcPr>
          <w:p w14:paraId="5C391D7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05FB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35A12AF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17</w:t>
            </w:r>
          </w:p>
        </w:tc>
        <w:tc>
          <w:tcPr>
            <w:tcW w:w="1489" w:type="dxa"/>
            <w:vMerge w:val="continue"/>
            <w:noWrap w:val="0"/>
            <w:vAlign w:val="center"/>
          </w:tcPr>
          <w:p w14:paraId="1C39ADF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034" w:type="dxa"/>
            <w:noWrap w:val="0"/>
            <w:vAlign w:val="center"/>
          </w:tcPr>
          <w:p w14:paraId="2475A49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727" w:type="dxa"/>
            <w:noWrap w:val="0"/>
            <w:vAlign w:val="center"/>
          </w:tcPr>
          <w:p w14:paraId="2BED1EB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立方米</w:t>
            </w:r>
          </w:p>
        </w:tc>
        <w:tc>
          <w:tcPr>
            <w:tcW w:w="2023" w:type="dxa"/>
            <w:noWrap w:val="0"/>
            <w:vAlign w:val="center"/>
          </w:tcPr>
          <w:p w14:paraId="5640B96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1500</w:t>
            </w:r>
          </w:p>
        </w:tc>
        <w:tc>
          <w:tcPr>
            <w:tcW w:w="1114" w:type="dxa"/>
            <w:noWrap w:val="0"/>
            <w:vAlign w:val="center"/>
          </w:tcPr>
          <w:p w14:paraId="01073D9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7049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1AE224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18</w:t>
            </w:r>
          </w:p>
        </w:tc>
        <w:tc>
          <w:tcPr>
            <w:tcW w:w="1489" w:type="dxa"/>
            <w:vMerge w:val="continue"/>
            <w:noWrap w:val="0"/>
            <w:vAlign w:val="center"/>
          </w:tcPr>
          <w:p w14:paraId="30318F7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034" w:type="dxa"/>
            <w:noWrap w:val="0"/>
            <w:vAlign w:val="center"/>
          </w:tcPr>
          <w:p w14:paraId="3482664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rPr>
              <w:t>槽探配套施工服务</w:t>
            </w:r>
          </w:p>
        </w:tc>
        <w:tc>
          <w:tcPr>
            <w:tcW w:w="1727" w:type="dxa"/>
            <w:noWrap w:val="0"/>
            <w:vAlign w:val="center"/>
          </w:tcPr>
          <w:p w14:paraId="532F9FC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2023" w:type="dxa"/>
            <w:noWrap w:val="0"/>
            <w:vAlign w:val="center"/>
          </w:tcPr>
          <w:p w14:paraId="00270B1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16</w:t>
            </w:r>
          </w:p>
        </w:tc>
        <w:tc>
          <w:tcPr>
            <w:tcW w:w="1114" w:type="dxa"/>
            <w:noWrap w:val="0"/>
            <w:vAlign w:val="center"/>
          </w:tcPr>
          <w:p w14:paraId="3AE706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5135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14:paraId="25B378F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19</w:t>
            </w:r>
          </w:p>
        </w:tc>
        <w:tc>
          <w:tcPr>
            <w:tcW w:w="1489" w:type="dxa"/>
            <w:noWrap w:val="0"/>
            <w:vAlign w:val="center"/>
          </w:tcPr>
          <w:p w14:paraId="49447B3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I</w:t>
            </w:r>
            <w:r>
              <w:rPr>
                <w:rFonts w:hint="eastAsia" w:ascii="宋体" w:hAnsi="宋体" w:eastAsia="宋体" w:cs="宋体"/>
                <w:b/>
                <w:bCs/>
                <w:color w:val="auto"/>
                <w:sz w:val="24"/>
                <w:szCs w:val="24"/>
                <w:highlight w:val="none"/>
                <w:vertAlign w:val="baseline"/>
                <w:lang w:val="en-US" w:eastAsia="zh-CN"/>
              </w:rPr>
              <w:t>区</w:t>
            </w:r>
          </w:p>
        </w:tc>
        <w:tc>
          <w:tcPr>
            <w:tcW w:w="2034" w:type="dxa"/>
            <w:noWrap w:val="0"/>
            <w:vAlign w:val="center"/>
          </w:tcPr>
          <w:p w14:paraId="17B0260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727" w:type="dxa"/>
            <w:noWrap w:val="0"/>
            <w:vAlign w:val="center"/>
          </w:tcPr>
          <w:p w14:paraId="5839809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米</w:t>
            </w:r>
          </w:p>
        </w:tc>
        <w:tc>
          <w:tcPr>
            <w:tcW w:w="2023" w:type="dxa"/>
            <w:noWrap w:val="0"/>
            <w:vAlign w:val="center"/>
          </w:tcPr>
          <w:p w14:paraId="1AD7842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800</w:t>
            </w:r>
          </w:p>
        </w:tc>
        <w:tc>
          <w:tcPr>
            <w:tcW w:w="1114" w:type="dxa"/>
            <w:noWrap w:val="0"/>
            <w:vAlign w:val="center"/>
          </w:tcPr>
          <w:p w14:paraId="4829432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bl>
    <w:p w14:paraId="15BBA43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b/>
          <w:bCs/>
          <w:color w:val="auto"/>
          <w:sz w:val="24"/>
          <w:lang w:val="en-US" w:eastAsia="zh-CN"/>
        </w:rPr>
      </w:pPr>
    </w:p>
    <w:p w14:paraId="0D08E0B4">
      <w:pPr>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default" w:ascii="宋体" w:hAnsi="宋体" w:cs="宋体"/>
          <w:b/>
          <w:bCs/>
          <w:color w:val="auto"/>
          <w:sz w:val="24"/>
          <w:lang w:val="en-US" w:eastAsia="zh-CN"/>
        </w:rPr>
      </w:pPr>
      <w:r>
        <w:rPr>
          <w:rFonts w:hint="eastAsia" w:ascii="宋体" w:hAnsi="宋体" w:cs="宋体"/>
          <w:b/>
          <w:bCs/>
          <w:color w:val="auto"/>
          <w:sz w:val="24"/>
          <w:lang w:val="en-US" w:eastAsia="zh-CN"/>
        </w:rPr>
        <w:t>（二）服务内容</w:t>
      </w:r>
    </w:p>
    <w:p w14:paraId="3B8837D8">
      <w:pPr>
        <w:pStyle w:val="17"/>
        <w:keepNext w:val="0"/>
        <w:keepLines w:val="0"/>
        <w:pageBreakBefore w:val="0"/>
        <w:widowControl w:val="0"/>
        <w:kinsoku/>
        <w:wordWrap/>
        <w:overflowPunct/>
        <w:topLinePunct w:val="0"/>
        <w:autoSpaceDE/>
        <w:autoSpaceDN/>
        <w:bidi w:val="0"/>
        <w:adjustRightInd w:val="0"/>
        <w:snapToGrid w:val="0"/>
        <w:spacing w:after="0" w:line="360" w:lineRule="auto"/>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A区（</w:t>
      </w:r>
      <w:r>
        <w:rPr>
          <w:rFonts w:hint="eastAsia" w:ascii="宋体" w:hAnsi="宋体" w:eastAsia="宋体" w:cs="宋体"/>
          <w:b/>
          <w:bCs/>
          <w:color w:val="auto"/>
          <w:sz w:val="24"/>
          <w:szCs w:val="24"/>
          <w:highlight w:val="none"/>
          <w:vertAlign w:val="baseline"/>
          <w:lang w:val="en-US" w:eastAsia="zh-CN"/>
        </w:rPr>
        <w:t>塔什库尔干县大同一带</w:t>
      </w:r>
      <w:r>
        <w:rPr>
          <w:rFonts w:hint="eastAsia" w:ascii="宋体" w:hAnsi="宋体" w:eastAsia="宋体" w:cs="宋体"/>
          <w:b/>
          <w:bCs/>
          <w:color w:val="auto"/>
          <w:sz w:val="24"/>
          <w:szCs w:val="24"/>
          <w:highlight w:val="none"/>
          <w:lang w:val="en-US" w:eastAsia="zh-CN"/>
        </w:rPr>
        <w:t>）</w:t>
      </w:r>
    </w:p>
    <w:p w14:paraId="05A4A34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2C679A32">
      <w:pPr>
        <w:pStyle w:val="25"/>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工作区</w:t>
      </w:r>
      <w:r>
        <w:rPr>
          <w:rFonts w:hint="eastAsia" w:ascii="宋体" w:hAnsi="宋体" w:eastAsia="宋体" w:cs="宋体"/>
          <w:sz w:val="24"/>
          <w:szCs w:val="24"/>
          <w:highlight w:val="none"/>
        </w:rPr>
        <w:t>钻探主要部署于</w:t>
      </w:r>
      <w:r>
        <w:rPr>
          <w:rFonts w:hint="eastAsia" w:ascii="宋体" w:hAnsi="宋体" w:eastAsia="宋体" w:cs="宋体"/>
          <w:sz w:val="24"/>
          <w:szCs w:val="24"/>
          <w:highlight w:val="none"/>
          <w:lang w:val="en-US" w:eastAsia="zh-CN"/>
        </w:rPr>
        <w:t>矿化集中区域</w:t>
      </w:r>
      <w:r>
        <w:rPr>
          <w:rFonts w:hint="eastAsia" w:ascii="宋体" w:hAnsi="宋体" w:eastAsia="宋体" w:cs="宋体"/>
          <w:sz w:val="24"/>
          <w:szCs w:val="24"/>
          <w:highlight w:val="none"/>
        </w:rPr>
        <w:t>，控制总工作量</w:t>
      </w:r>
      <w:r>
        <w:rPr>
          <w:rFonts w:hint="eastAsia" w:ascii="宋体" w:hAnsi="宋体" w:eastAsia="宋体" w:cs="宋体"/>
          <w:sz w:val="24"/>
          <w:szCs w:val="24"/>
          <w:highlight w:val="none"/>
          <w:lang w:val="en-US" w:eastAsia="zh-CN"/>
        </w:rPr>
        <w:t>200</w:t>
      </w:r>
      <w:r>
        <w:rPr>
          <w:rFonts w:hint="eastAsia" w:ascii="宋体" w:hAnsi="宋体" w:eastAsia="宋体" w:cs="宋体"/>
          <w:sz w:val="24"/>
          <w:szCs w:val="24"/>
          <w:highlight w:val="none"/>
        </w:rPr>
        <w:t>米。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目前，</w:t>
      </w:r>
      <w:r>
        <w:rPr>
          <w:rFonts w:hint="eastAsia" w:ascii="宋体" w:hAnsi="宋体" w:eastAsia="宋体" w:cs="宋体"/>
          <w:sz w:val="24"/>
          <w:szCs w:val="24"/>
          <w:highlight w:val="none"/>
          <w:lang w:val="en-US" w:eastAsia="zh-CN"/>
        </w:rPr>
        <w:t>三个重点勘查区内已发现金</w:t>
      </w:r>
      <w:r>
        <w:rPr>
          <w:rFonts w:hint="eastAsia" w:ascii="宋体" w:hAnsi="宋体" w:eastAsia="宋体" w:cs="宋体"/>
          <w:sz w:val="24"/>
          <w:szCs w:val="24"/>
          <w:highlight w:val="none"/>
        </w:rPr>
        <w:t>矿（化）体</w:t>
      </w:r>
      <w:r>
        <w:rPr>
          <w:rFonts w:hint="eastAsia" w:ascii="宋体" w:hAnsi="宋体" w:eastAsia="宋体" w:cs="宋体"/>
          <w:sz w:val="24"/>
          <w:szCs w:val="24"/>
          <w:highlight w:val="none"/>
          <w:lang w:val="en-US" w:eastAsia="zh-CN"/>
        </w:rPr>
        <w:t>线索</w:t>
      </w:r>
      <w:r>
        <w:rPr>
          <w:rFonts w:hint="eastAsia" w:ascii="宋体" w:hAnsi="宋体" w:eastAsia="宋体" w:cs="宋体"/>
          <w:sz w:val="24"/>
          <w:szCs w:val="24"/>
          <w:highlight w:val="none"/>
        </w:rPr>
        <w:t>、矿化蚀变带，钻</w:t>
      </w:r>
      <w:r>
        <w:rPr>
          <w:rFonts w:hint="eastAsia" w:ascii="宋体" w:hAnsi="宋体" w:eastAsia="宋体" w:cs="宋体"/>
          <w:sz w:val="24"/>
          <w:szCs w:val="24"/>
          <w:highlight w:val="none"/>
          <w:lang w:val="en-US" w:eastAsia="zh-CN"/>
        </w:rPr>
        <w:t>孔布设依据较充分，重点勘查区先期共设计2个钻孔，钻孔倾角为75</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lang w:val="en-US" w:eastAsia="zh-CN"/>
        </w:rPr>
        <w:t>85°，具体位置及钻孔施工的技术参数由委托方确定</w:t>
      </w:r>
      <w:r>
        <w:rPr>
          <w:rFonts w:hint="eastAsia" w:ascii="宋体" w:hAnsi="宋体" w:eastAsia="宋体" w:cs="宋体"/>
          <w:sz w:val="24"/>
          <w:szCs w:val="24"/>
          <w:highlight w:val="none"/>
        </w:rPr>
        <w:t>。本次工作区各类岩石特征工作量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表2-1</w:t>
      </w:r>
      <w:r>
        <w:rPr>
          <w:rFonts w:hint="eastAsia" w:ascii="宋体" w:hAnsi="宋体" w:eastAsia="宋体" w:cs="宋体"/>
          <w:sz w:val="24"/>
          <w:szCs w:val="24"/>
          <w:highlight w:val="none"/>
          <w:lang w:eastAsia="zh-CN"/>
        </w:rPr>
        <w:t>）。</w:t>
      </w:r>
    </w:p>
    <w:p w14:paraId="69B41837">
      <w:pPr>
        <w:keepNext w:val="0"/>
        <w:keepLines w:val="0"/>
        <w:pageBreakBefore w:val="0"/>
        <w:widowControl w:val="0"/>
        <w:kinsoku/>
        <w:wordWrap/>
        <w:overflowPunct/>
        <w:topLinePunct w:val="0"/>
        <w:autoSpaceDE/>
        <w:autoSpaceDN/>
        <w:bidi w:val="0"/>
        <w:spacing w:line="360" w:lineRule="auto"/>
        <w:ind w:left="0" w:firstLine="480" w:firstLineChars="20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表2-1  各类岩石进尺表</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7B6135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42A826FF">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岩石名称</w:t>
            </w:r>
          </w:p>
        </w:tc>
        <w:tc>
          <w:tcPr>
            <w:tcW w:w="1041" w:type="dxa"/>
            <w:noWrap w:val="0"/>
            <w:vAlign w:val="center"/>
          </w:tcPr>
          <w:p w14:paraId="615FA225">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3712F374">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2AE35C45">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闪长玢岩，辉长岩，角闪石岩，花岗岩，砂岩，凝灰岩、辉石岩</w:t>
            </w:r>
          </w:p>
        </w:tc>
        <w:tc>
          <w:tcPr>
            <w:tcW w:w="1267" w:type="dxa"/>
            <w:tcBorders>
              <w:right w:val="single" w:color="auto" w:sz="4" w:space="0"/>
            </w:tcBorders>
            <w:noWrap w:val="0"/>
            <w:vAlign w:val="center"/>
          </w:tcPr>
          <w:p w14:paraId="32D244A6">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r w14:paraId="713606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7730B4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岩石可钻性</w:t>
            </w:r>
          </w:p>
        </w:tc>
        <w:tc>
          <w:tcPr>
            <w:tcW w:w="1041" w:type="dxa"/>
            <w:noWrap w:val="0"/>
            <w:vAlign w:val="center"/>
          </w:tcPr>
          <w:p w14:paraId="18E788AE">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1～3级</w:t>
            </w:r>
          </w:p>
        </w:tc>
        <w:tc>
          <w:tcPr>
            <w:tcW w:w="985" w:type="dxa"/>
            <w:noWrap w:val="0"/>
            <w:vAlign w:val="center"/>
          </w:tcPr>
          <w:p w14:paraId="742177CF">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4～6级</w:t>
            </w:r>
          </w:p>
        </w:tc>
        <w:tc>
          <w:tcPr>
            <w:tcW w:w="3697" w:type="dxa"/>
            <w:noWrap w:val="0"/>
            <w:vAlign w:val="center"/>
          </w:tcPr>
          <w:p w14:paraId="257FE88E">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7～9级</w:t>
            </w:r>
          </w:p>
        </w:tc>
        <w:tc>
          <w:tcPr>
            <w:tcW w:w="1267" w:type="dxa"/>
            <w:tcBorders>
              <w:right w:val="single" w:color="auto" w:sz="4" w:space="0"/>
            </w:tcBorders>
            <w:noWrap w:val="0"/>
            <w:vAlign w:val="center"/>
          </w:tcPr>
          <w:p w14:paraId="2C17D174">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10～12级</w:t>
            </w:r>
          </w:p>
        </w:tc>
      </w:tr>
      <w:tr w14:paraId="05F1DE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0CC369F">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工作量（米）</w:t>
            </w:r>
          </w:p>
        </w:tc>
        <w:tc>
          <w:tcPr>
            <w:tcW w:w="1041" w:type="dxa"/>
            <w:noWrap w:val="0"/>
            <w:vAlign w:val="center"/>
          </w:tcPr>
          <w:p w14:paraId="202C3AC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52D4D1F4">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4AD03AC9">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1267" w:type="dxa"/>
            <w:tcBorders>
              <w:right w:val="single" w:color="auto" w:sz="4" w:space="0"/>
            </w:tcBorders>
            <w:noWrap w:val="0"/>
            <w:vAlign w:val="center"/>
          </w:tcPr>
          <w:p w14:paraId="1E589C56">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bl>
    <w:p w14:paraId="0B840A6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1EB135C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设计工作量350立方米。</w:t>
      </w:r>
    </w:p>
    <w:p w14:paraId="1C43A6B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3.槽探配套服务</w:t>
      </w:r>
    </w:p>
    <w:p w14:paraId="6D030149">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在该调查评价区内进行简易道路疏通、营地平整等工作，设计服务天数40天。</w:t>
      </w:r>
    </w:p>
    <w:p w14:paraId="79CA83C3">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B区（和康县拉依喀-皮山县音德尔牧场一带）</w:t>
      </w:r>
    </w:p>
    <w:p w14:paraId="2F4EA73C">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firstLine="482" w:firstLineChars="200"/>
        <w:textAlignment w:val="auto"/>
        <w:outlineLvl w:val="9"/>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遥感技术服务</w:t>
      </w:r>
    </w:p>
    <w:p w14:paraId="4CAE793D">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遥感工作贯穿于项目设计编写－野外施工－资料综合整理－报告编写全过程，重点目标是对调查区各类地质体（特别是含矿地质体）、构造形迹（特别是含矿构造）进行解译，验证遥感矿化蚀变信息异常，建立和不断完善遥感影像地质解译标志，借以提高路线填图的预测性和加快路线地质调查的速度，使遥感技术能最大限度的解决地质填图、找矿中的实际问题，有效减轻野外路线地质调查工作量，提高地质填图效率和质量。该工作包含遥感解译、高光谱矿物填图、遥感蚀变信息提取等。遥感工作应遵循“实事求是，有的放矢”的原则，开展各类信息提取。根据野外调查与预研究，本次</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区应属Ⅱ类解译区，解译中应尽可能的挖掘有用地质信息，最终结合野外地质踏勘路线，完善调查区不同地质体遥感解译标志，详细修订前期解译成果，适时指导后期工作部署。</w:t>
      </w:r>
      <w:r>
        <w:rPr>
          <w:rFonts w:hint="eastAsia" w:ascii="宋体" w:hAnsi="宋体" w:eastAsia="宋体" w:cs="宋体"/>
          <w:sz w:val="24"/>
          <w:szCs w:val="24"/>
          <w:highlight w:val="none"/>
          <w:lang w:val="en-US" w:eastAsia="zh-CN"/>
        </w:rPr>
        <w:t>本次遥感解译及蚀变信息提取工作量为830平方千米。</w:t>
      </w:r>
    </w:p>
    <w:p w14:paraId="5C94894A">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C区（和康县卡帕浪沟一带）</w:t>
      </w:r>
    </w:p>
    <w:p w14:paraId="4B3050F5">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遥感技术服务</w:t>
      </w:r>
    </w:p>
    <w:p w14:paraId="5AF6432C">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遥感工作贯穿于项目设计编写－野外施工－资料综合整理－报告编写全过程，重点目标是对调查区各类地质体（特别是含矿地质体）、构造形迹（特别是含矿构造）进行解译，验证遥感矿化蚀变信息异常，建立和不断完善遥感影像地质解译标志，借以提高路线填图的预测性和加快路线地质调查的速度，使遥感技术能最大限度的解决地质填图、找矿中的实际问题，有效减轻野外路线地质调查工作量，提高地质填图效率和质量。该工作包含遥感解译、高光谱矿物填图、遥感蚀变信息提取等。遥感工作应遵循“实事求是，有的放矢”的原则，开展各类信息提取。根据野外调查与预研究，本次</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区应属Ⅱ类解译区，解译中应尽可能的挖掘有用地质信息，最终结合野外地质踏勘路线，完善调查区不同地质体遥感解译标志，详细修订前期解译成果，适时指导后期工作部署。</w:t>
      </w:r>
      <w:r>
        <w:rPr>
          <w:rFonts w:hint="eastAsia" w:ascii="宋体" w:hAnsi="宋体" w:eastAsia="宋体" w:cs="宋体"/>
          <w:sz w:val="24"/>
          <w:szCs w:val="24"/>
          <w:highlight w:val="none"/>
          <w:lang w:val="en-US" w:eastAsia="zh-CN"/>
        </w:rPr>
        <w:t>本次遥感解译及蚀变信息提取工作量为1246平方千米。</w:t>
      </w:r>
    </w:p>
    <w:p w14:paraId="531B32ED">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D区（</w:t>
      </w:r>
      <w:r>
        <w:rPr>
          <w:rFonts w:hint="eastAsia" w:ascii="宋体" w:hAnsi="宋体" w:eastAsia="宋体" w:cs="宋体"/>
          <w:b/>
          <w:bCs/>
          <w:color w:val="auto"/>
          <w:sz w:val="24"/>
          <w:szCs w:val="24"/>
          <w:highlight w:val="none"/>
          <w:vertAlign w:val="baseline"/>
          <w:lang w:val="en-US" w:eastAsia="zh-CN"/>
        </w:rPr>
        <w:t>和康县红莲山</w:t>
      </w:r>
      <w:r>
        <w:rPr>
          <w:rFonts w:hint="eastAsia" w:ascii="宋体" w:hAnsi="宋体" w:eastAsia="宋体" w:cs="宋体"/>
          <w:b/>
          <w:bCs/>
          <w:sz w:val="24"/>
          <w:szCs w:val="24"/>
          <w:highlight w:val="none"/>
          <w:lang w:val="en-US" w:eastAsia="zh-CN"/>
        </w:rPr>
        <w:t>）</w:t>
      </w:r>
    </w:p>
    <w:p w14:paraId="69EB96E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546A2A3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钻探主要部署于红莲山重点找矿工作区，控制总工作量1000米，均为机动孔。钻孔的布设施工是根据地表槽探成果、地化工作成果情况，初步推测矿（化）体在地表走向延伸和深部倾向延伸；经综合研究确定钻孔的位置及天顶角、倾角和开孔位置。根据实际情况，以最小的投入达到最大的找矿效果。钻孔具体位置及钻孔施工的技术参数由委托方确定。本次工作区各类岩石特征工作量（见表2-2）。</w:t>
      </w:r>
    </w:p>
    <w:p w14:paraId="3B8D088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表2-2  各类岩石进尺表</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6926A2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9B76FC7">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岩石名称</w:t>
            </w:r>
          </w:p>
        </w:tc>
        <w:tc>
          <w:tcPr>
            <w:tcW w:w="1041" w:type="dxa"/>
            <w:noWrap w:val="0"/>
            <w:vAlign w:val="center"/>
          </w:tcPr>
          <w:p w14:paraId="144BE1C7">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7D7C0C9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37F009FB">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灰岩、砂岩、页岩</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板岩</w:t>
            </w:r>
            <w:r>
              <w:rPr>
                <w:rFonts w:hint="eastAsia" w:ascii="宋体" w:hAnsi="宋体" w:eastAsia="宋体" w:cs="宋体"/>
                <w:color w:val="000000"/>
                <w:sz w:val="24"/>
                <w:szCs w:val="24"/>
                <w:highlight w:val="none"/>
              </w:rPr>
              <w:t>、超基性岩</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辉长岩、辉绿岩</w:t>
            </w:r>
          </w:p>
        </w:tc>
        <w:tc>
          <w:tcPr>
            <w:tcW w:w="1267" w:type="dxa"/>
            <w:tcBorders>
              <w:right w:val="single" w:color="auto" w:sz="4" w:space="0"/>
            </w:tcBorders>
            <w:noWrap w:val="0"/>
            <w:vAlign w:val="center"/>
          </w:tcPr>
          <w:p w14:paraId="116FFFBB">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r w14:paraId="1D4A7D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6C52E36A">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岩石可钻性</w:t>
            </w:r>
          </w:p>
        </w:tc>
        <w:tc>
          <w:tcPr>
            <w:tcW w:w="1041" w:type="dxa"/>
            <w:noWrap w:val="0"/>
            <w:vAlign w:val="center"/>
          </w:tcPr>
          <w:p w14:paraId="351246C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1～3级</w:t>
            </w:r>
          </w:p>
        </w:tc>
        <w:tc>
          <w:tcPr>
            <w:tcW w:w="985" w:type="dxa"/>
            <w:noWrap w:val="0"/>
            <w:vAlign w:val="center"/>
          </w:tcPr>
          <w:p w14:paraId="49D6E5F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4～6级</w:t>
            </w:r>
          </w:p>
        </w:tc>
        <w:tc>
          <w:tcPr>
            <w:tcW w:w="3697" w:type="dxa"/>
            <w:noWrap w:val="0"/>
            <w:vAlign w:val="center"/>
          </w:tcPr>
          <w:p w14:paraId="3E217B58">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Ⅶ级</w:t>
            </w:r>
          </w:p>
        </w:tc>
        <w:tc>
          <w:tcPr>
            <w:tcW w:w="1267" w:type="dxa"/>
            <w:tcBorders>
              <w:right w:val="single" w:color="auto" w:sz="4" w:space="0"/>
            </w:tcBorders>
            <w:noWrap w:val="0"/>
            <w:vAlign w:val="center"/>
          </w:tcPr>
          <w:p w14:paraId="4EAE5A3D">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10～12级</w:t>
            </w:r>
          </w:p>
        </w:tc>
      </w:tr>
      <w:tr w14:paraId="620AC0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tcBorders>
              <w:left w:val="single" w:color="auto" w:sz="4" w:space="0"/>
            </w:tcBorders>
            <w:noWrap w:val="0"/>
            <w:vAlign w:val="center"/>
          </w:tcPr>
          <w:p w14:paraId="17887F87">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工作量（米）</w:t>
            </w:r>
          </w:p>
        </w:tc>
        <w:tc>
          <w:tcPr>
            <w:tcW w:w="1041" w:type="dxa"/>
            <w:noWrap w:val="0"/>
            <w:vAlign w:val="center"/>
          </w:tcPr>
          <w:p w14:paraId="035CE845">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250A3E35">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12A1724A">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000</w:t>
            </w:r>
          </w:p>
        </w:tc>
        <w:tc>
          <w:tcPr>
            <w:tcW w:w="1267" w:type="dxa"/>
            <w:tcBorders>
              <w:right w:val="single" w:color="auto" w:sz="4" w:space="0"/>
            </w:tcBorders>
            <w:noWrap w:val="0"/>
            <w:vAlign w:val="center"/>
          </w:tcPr>
          <w:p w14:paraId="3B705966">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bl>
    <w:p w14:paraId="07FB117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7B77253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7609FEF5">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E区（</w:t>
      </w:r>
      <w:r>
        <w:rPr>
          <w:rFonts w:hint="eastAsia" w:ascii="宋体" w:hAnsi="宋体" w:eastAsia="宋体" w:cs="宋体"/>
          <w:b/>
          <w:bCs/>
          <w:color w:val="auto"/>
          <w:sz w:val="24"/>
          <w:szCs w:val="24"/>
          <w:highlight w:val="none"/>
          <w:vertAlign w:val="baseline"/>
          <w:lang w:val="en-US" w:eastAsia="zh-CN"/>
        </w:rPr>
        <w:t>和安县长平沟</w:t>
      </w:r>
      <w:r>
        <w:rPr>
          <w:rFonts w:hint="eastAsia" w:ascii="宋体" w:hAnsi="宋体" w:eastAsia="宋体" w:cs="宋体"/>
          <w:b/>
          <w:bCs/>
          <w:sz w:val="24"/>
          <w:szCs w:val="24"/>
          <w:highlight w:val="none"/>
          <w:lang w:val="en-US" w:eastAsia="zh-CN"/>
        </w:rPr>
        <w:t>）</w:t>
      </w:r>
    </w:p>
    <w:p w14:paraId="0EF815A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7355DD2A">
      <w:pPr>
        <w:pStyle w:val="25"/>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工作区</w:t>
      </w:r>
      <w:r>
        <w:rPr>
          <w:rFonts w:hint="eastAsia" w:ascii="宋体" w:hAnsi="宋体" w:eastAsia="宋体" w:cs="宋体"/>
          <w:sz w:val="24"/>
          <w:szCs w:val="24"/>
          <w:highlight w:val="none"/>
        </w:rPr>
        <w:t>钻探控制总工作量</w:t>
      </w:r>
      <w:r>
        <w:rPr>
          <w:rFonts w:hint="eastAsia" w:hAnsi="宋体" w:eastAsia="宋体" w:cs="宋体"/>
          <w:sz w:val="24"/>
          <w:szCs w:val="24"/>
          <w:highlight w:val="none"/>
          <w:lang w:val="en-US" w:eastAsia="zh-CN"/>
        </w:rPr>
        <w:t>1150</w:t>
      </w:r>
      <w:r>
        <w:rPr>
          <w:rFonts w:hint="eastAsia" w:hAnsi="宋体" w:eastAsia="宋体" w:cs="宋体"/>
          <w:sz w:val="24"/>
          <w:szCs w:val="24"/>
          <w:highlight w:val="none"/>
          <w:lang w:eastAsia="zh-CN"/>
        </w:rPr>
        <w:t>米</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现设计钻孔2个，</w:t>
      </w:r>
      <w:r>
        <w:rPr>
          <w:rFonts w:hint="eastAsia" w:ascii="宋体" w:hAnsi="宋体" w:eastAsia="宋体" w:cs="宋体"/>
          <w:sz w:val="24"/>
          <w:szCs w:val="24"/>
          <w:highlight w:val="none"/>
        </w:rPr>
        <w:t>共165米，其余均为机动孔。钻孔的布设施工是根据地表化探、槽探、填图工作成果情况，初步推测矿（化）体在地表走向延伸和深部倾向延伸，并经综合研究确定钻孔的位置及天顶角、倾角和开孔位置。根据实际情况，以最小的投入达到最大的找矿效果。</w:t>
      </w:r>
      <w:r>
        <w:rPr>
          <w:rFonts w:hint="eastAsia" w:ascii="宋体" w:hAnsi="宋体" w:eastAsia="宋体" w:cs="宋体"/>
          <w:sz w:val="24"/>
          <w:szCs w:val="24"/>
          <w:highlight w:val="none"/>
          <w:lang w:val="en-US" w:eastAsia="zh-CN"/>
        </w:rPr>
        <w:t>钻孔具体位置及钻孔施工的技术参数由委托方确定。本次工作区各类岩石特征工作量（见表2-3）。</w:t>
      </w:r>
    </w:p>
    <w:p w14:paraId="10DCC74C">
      <w:pPr>
        <w:keepNext w:val="0"/>
        <w:keepLines w:val="0"/>
        <w:pageBreakBefore w:val="0"/>
        <w:widowControl w:val="0"/>
        <w:kinsoku/>
        <w:wordWrap/>
        <w:overflowPunct/>
        <w:topLinePunct w:val="0"/>
        <w:autoSpaceDE/>
        <w:autoSpaceDN/>
        <w:bidi w:val="0"/>
        <w:spacing w:line="360" w:lineRule="auto"/>
        <w:ind w:left="0" w:firstLine="480" w:firstLineChars="20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表2-</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 xml:space="preserve">  各类岩石进尺表</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496CA2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7ECF5068">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岩石名称</w:t>
            </w:r>
          </w:p>
        </w:tc>
        <w:tc>
          <w:tcPr>
            <w:tcW w:w="1041" w:type="dxa"/>
            <w:noWrap w:val="0"/>
            <w:vAlign w:val="center"/>
          </w:tcPr>
          <w:p w14:paraId="1577DE1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0C769A4F">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6D98CD19">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蚀变凝灰岩、蚀变安山岩、长英质板岩、蚀变玄武岩、片理化绢云母千枚岩、蚀变绿泥石板岩等</w:t>
            </w:r>
          </w:p>
        </w:tc>
        <w:tc>
          <w:tcPr>
            <w:tcW w:w="1267" w:type="dxa"/>
            <w:tcBorders>
              <w:right w:val="single" w:color="auto" w:sz="4" w:space="0"/>
            </w:tcBorders>
            <w:noWrap w:val="0"/>
            <w:vAlign w:val="center"/>
          </w:tcPr>
          <w:p w14:paraId="5A090DAC">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r w14:paraId="23933F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0A516D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岩石可钻性</w:t>
            </w:r>
          </w:p>
        </w:tc>
        <w:tc>
          <w:tcPr>
            <w:tcW w:w="1041" w:type="dxa"/>
            <w:noWrap w:val="0"/>
            <w:vAlign w:val="center"/>
          </w:tcPr>
          <w:p w14:paraId="45CA8C85">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1～3级</w:t>
            </w:r>
          </w:p>
        </w:tc>
        <w:tc>
          <w:tcPr>
            <w:tcW w:w="985" w:type="dxa"/>
            <w:noWrap w:val="0"/>
            <w:vAlign w:val="center"/>
          </w:tcPr>
          <w:p w14:paraId="402EA76F">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4～6级</w:t>
            </w:r>
          </w:p>
        </w:tc>
        <w:tc>
          <w:tcPr>
            <w:tcW w:w="3697" w:type="dxa"/>
            <w:noWrap w:val="0"/>
            <w:vAlign w:val="center"/>
          </w:tcPr>
          <w:p w14:paraId="0A6D6CB9">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7～9级</w:t>
            </w:r>
          </w:p>
        </w:tc>
        <w:tc>
          <w:tcPr>
            <w:tcW w:w="1267" w:type="dxa"/>
            <w:tcBorders>
              <w:right w:val="single" w:color="auto" w:sz="4" w:space="0"/>
            </w:tcBorders>
            <w:noWrap w:val="0"/>
            <w:vAlign w:val="center"/>
          </w:tcPr>
          <w:p w14:paraId="40EB74B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10～12级</w:t>
            </w:r>
          </w:p>
        </w:tc>
      </w:tr>
      <w:tr w14:paraId="3193B9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8A9223E">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工作量（米）</w:t>
            </w:r>
          </w:p>
        </w:tc>
        <w:tc>
          <w:tcPr>
            <w:tcW w:w="1041" w:type="dxa"/>
            <w:noWrap w:val="0"/>
            <w:vAlign w:val="center"/>
          </w:tcPr>
          <w:p w14:paraId="758F9052">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6CB95DC2">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4DC66A1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default"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1150</w:t>
            </w:r>
          </w:p>
        </w:tc>
        <w:tc>
          <w:tcPr>
            <w:tcW w:w="1267" w:type="dxa"/>
            <w:tcBorders>
              <w:right w:val="single" w:color="auto" w:sz="4" w:space="0"/>
            </w:tcBorders>
            <w:noWrap w:val="0"/>
            <w:vAlign w:val="center"/>
          </w:tcPr>
          <w:p w14:paraId="2BCB3FB9">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bl>
    <w:p w14:paraId="39C68EE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5D77D0F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68AF763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3.槽探配套服务</w:t>
      </w:r>
    </w:p>
    <w:p w14:paraId="2BB062A2">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在该调查评价区内进行简易道路疏通、营地平整等工作，设计服务天数10.95千米。</w:t>
      </w:r>
    </w:p>
    <w:p w14:paraId="43466307">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F区（</w:t>
      </w:r>
      <w:r>
        <w:rPr>
          <w:rFonts w:hint="eastAsia" w:ascii="宋体" w:hAnsi="宋体" w:eastAsia="宋体" w:cs="宋体"/>
          <w:b/>
          <w:bCs/>
          <w:color w:val="auto"/>
          <w:sz w:val="24"/>
          <w:szCs w:val="24"/>
          <w:highlight w:val="none"/>
          <w:vertAlign w:val="baseline"/>
          <w:lang w:val="en-US" w:eastAsia="zh-CN"/>
        </w:rPr>
        <w:t>皮山县喀尔勒克一带</w:t>
      </w:r>
      <w:r>
        <w:rPr>
          <w:rFonts w:hint="eastAsia" w:ascii="宋体" w:hAnsi="宋体" w:eastAsia="宋体" w:cs="宋体"/>
          <w:b/>
          <w:bCs/>
          <w:color w:val="auto"/>
          <w:sz w:val="24"/>
          <w:szCs w:val="24"/>
          <w:highlight w:val="none"/>
          <w:lang w:val="en-US" w:eastAsia="zh-CN"/>
        </w:rPr>
        <w:t>）</w:t>
      </w:r>
    </w:p>
    <w:p w14:paraId="0A90185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05776B32">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工作区钻探控制总工作量3000</w:t>
      </w:r>
      <w:r>
        <w:rPr>
          <w:rFonts w:hint="eastAsia" w:hAnsi="宋体" w:eastAsia="宋体" w:cs="宋体"/>
          <w:sz w:val="24"/>
          <w:szCs w:val="24"/>
          <w:highlight w:val="none"/>
          <w:lang w:val="en-US" w:eastAsia="zh-CN"/>
        </w:rPr>
        <w:t>米</w:t>
      </w:r>
      <w:r>
        <w:rPr>
          <w:rFonts w:hint="eastAsia" w:ascii="宋体" w:hAnsi="宋体" w:eastAsia="宋体" w:cs="宋体"/>
          <w:sz w:val="24"/>
          <w:szCs w:val="24"/>
          <w:highlight w:val="none"/>
          <w:lang w:val="en-US" w:eastAsia="zh-CN"/>
        </w:rPr>
        <w:t>，其中3个孔需要架设索道，方能施工，3个孔需要修路施工，4个孔为机动孔。设计孔斜80</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lang w:val="en-US" w:eastAsia="zh-CN"/>
        </w:rPr>
        <w:t>85°。钻孔的布设施工是根据地表槽探成果、地物化异常的分布情况，初步推测矿（化）体在地表走向延伸和深部倾向延伸；结合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-4）。</w:t>
      </w:r>
    </w:p>
    <w:p w14:paraId="2EA4B54B">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表2-4  各类岩石进尺表</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19"/>
        <w:gridCol w:w="1526"/>
        <w:gridCol w:w="3815"/>
        <w:gridCol w:w="1637"/>
      </w:tblGrid>
      <w:tr w14:paraId="478EA0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pct"/>
            <w:tcBorders>
              <w:left w:val="single" w:color="auto" w:sz="4" w:space="0"/>
            </w:tcBorders>
            <w:noWrap w:val="0"/>
            <w:vAlign w:val="center"/>
          </w:tcPr>
          <w:p w14:paraId="0564D797">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岩石名称</w:t>
            </w:r>
          </w:p>
        </w:tc>
        <w:tc>
          <w:tcPr>
            <w:tcW w:w="612" w:type="pct"/>
            <w:noWrap w:val="0"/>
            <w:vAlign w:val="center"/>
          </w:tcPr>
          <w:p w14:paraId="37393F24">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p>
        </w:tc>
        <w:tc>
          <w:tcPr>
            <w:tcW w:w="766" w:type="pct"/>
            <w:noWrap w:val="0"/>
            <w:vAlign w:val="center"/>
          </w:tcPr>
          <w:p w14:paraId="55B07D5D">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p>
        </w:tc>
        <w:tc>
          <w:tcPr>
            <w:tcW w:w="1915" w:type="pct"/>
            <w:noWrap w:val="0"/>
            <w:vAlign w:val="center"/>
          </w:tcPr>
          <w:p w14:paraId="7711B554">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变质粉砂岩、大理岩、辉石岩、片岩、花岗岩、闪长岩</w:t>
            </w:r>
          </w:p>
        </w:tc>
        <w:tc>
          <w:tcPr>
            <w:tcW w:w="821" w:type="pct"/>
            <w:tcBorders>
              <w:right w:val="single" w:color="auto" w:sz="4" w:space="0"/>
            </w:tcBorders>
            <w:noWrap w:val="0"/>
            <w:vAlign w:val="center"/>
          </w:tcPr>
          <w:p w14:paraId="05262C71">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lang w:val="en-US" w:eastAsia="zh-CN"/>
              </w:rPr>
            </w:pPr>
          </w:p>
        </w:tc>
      </w:tr>
      <w:tr w14:paraId="22740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pct"/>
            <w:tcBorders>
              <w:left w:val="single" w:color="auto" w:sz="4" w:space="0"/>
            </w:tcBorders>
            <w:noWrap w:val="0"/>
            <w:vAlign w:val="center"/>
          </w:tcPr>
          <w:p w14:paraId="0EFA9659">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岩石可钻性</w:t>
            </w:r>
          </w:p>
        </w:tc>
        <w:tc>
          <w:tcPr>
            <w:tcW w:w="612" w:type="pct"/>
            <w:noWrap w:val="0"/>
            <w:vAlign w:val="center"/>
          </w:tcPr>
          <w:p w14:paraId="2AAA77B6">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1～3级</w:t>
            </w:r>
          </w:p>
        </w:tc>
        <w:tc>
          <w:tcPr>
            <w:tcW w:w="766" w:type="pct"/>
            <w:noWrap w:val="0"/>
            <w:vAlign w:val="center"/>
          </w:tcPr>
          <w:p w14:paraId="4CD8B42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4～6级</w:t>
            </w:r>
          </w:p>
        </w:tc>
        <w:tc>
          <w:tcPr>
            <w:tcW w:w="1915" w:type="pct"/>
            <w:noWrap w:val="0"/>
            <w:vAlign w:val="center"/>
          </w:tcPr>
          <w:p w14:paraId="5C6ED337">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7～9级</w:t>
            </w:r>
          </w:p>
        </w:tc>
        <w:tc>
          <w:tcPr>
            <w:tcW w:w="821" w:type="pct"/>
            <w:tcBorders>
              <w:right w:val="single" w:color="auto" w:sz="4" w:space="0"/>
            </w:tcBorders>
            <w:noWrap w:val="0"/>
            <w:vAlign w:val="center"/>
          </w:tcPr>
          <w:p w14:paraId="75B11655">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10～12级</w:t>
            </w:r>
          </w:p>
        </w:tc>
      </w:tr>
      <w:tr w14:paraId="3538C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pct"/>
            <w:tcBorders>
              <w:left w:val="single" w:color="auto" w:sz="4" w:space="0"/>
            </w:tcBorders>
            <w:noWrap w:val="0"/>
            <w:vAlign w:val="center"/>
          </w:tcPr>
          <w:p w14:paraId="46742904">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工作量（米）</w:t>
            </w:r>
          </w:p>
        </w:tc>
        <w:tc>
          <w:tcPr>
            <w:tcW w:w="612" w:type="pct"/>
            <w:noWrap w:val="0"/>
            <w:vAlign w:val="center"/>
          </w:tcPr>
          <w:p w14:paraId="6C4A523D">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p>
        </w:tc>
        <w:tc>
          <w:tcPr>
            <w:tcW w:w="766" w:type="pct"/>
            <w:noWrap w:val="0"/>
            <w:vAlign w:val="center"/>
          </w:tcPr>
          <w:p w14:paraId="4CB7B8FF">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rPr>
            </w:pPr>
          </w:p>
        </w:tc>
        <w:tc>
          <w:tcPr>
            <w:tcW w:w="1915" w:type="pct"/>
            <w:noWrap w:val="0"/>
            <w:vAlign w:val="center"/>
          </w:tcPr>
          <w:p w14:paraId="05B09C5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3000</w:t>
            </w:r>
          </w:p>
        </w:tc>
        <w:tc>
          <w:tcPr>
            <w:tcW w:w="821" w:type="pct"/>
            <w:tcBorders>
              <w:right w:val="single" w:color="auto" w:sz="4" w:space="0"/>
            </w:tcBorders>
            <w:noWrap w:val="0"/>
            <w:vAlign w:val="center"/>
          </w:tcPr>
          <w:p w14:paraId="5096F986">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000000"/>
                <w:sz w:val="24"/>
                <w:szCs w:val="24"/>
                <w:highlight w:val="none"/>
                <w:lang w:val="en-US" w:eastAsia="zh-CN"/>
              </w:rPr>
            </w:pPr>
          </w:p>
        </w:tc>
      </w:tr>
    </w:tbl>
    <w:p w14:paraId="78C0278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0A89A1B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w:t>
      </w:r>
      <w:r>
        <w:rPr>
          <w:rFonts w:hint="eastAsia" w:ascii="宋体" w:hAnsi="宋体" w:cs="宋体"/>
          <w:color w:val="auto"/>
          <w:kern w:val="0"/>
          <w:sz w:val="24"/>
          <w:szCs w:val="24"/>
          <w:highlight w:val="none"/>
          <w:lang w:val="en-US" w:eastAsia="zh-CN" w:bidi="ar-SA"/>
        </w:rPr>
        <w:t>5000</w:t>
      </w:r>
      <w:r>
        <w:rPr>
          <w:rFonts w:hint="eastAsia" w:ascii="宋体" w:hAnsi="宋体" w:eastAsia="宋体" w:cs="宋体"/>
          <w:color w:val="auto"/>
          <w:kern w:val="0"/>
          <w:sz w:val="24"/>
          <w:szCs w:val="24"/>
          <w:highlight w:val="none"/>
          <w:lang w:val="en-US" w:eastAsia="zh-CN" w:bidi="ar-SA"/>
        </w:rPr>
        <w:t>立方米。</w:t>
      </w:r>
    </w:p>
    <w:p w14:paraId="1CC7FA0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3.槽探配套服务</w:t>
      </w:r>
    </w:p>
    <w:p w14:paraId="77D056A8">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在该调查评价区内进行简易道路疏通、营地平整等工作，设计服务天数10千米。</w:t>
      </w:r>
    </w:p>
    <w:p w14:paraId="401890F9">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G区（</w:t>
      </w:r>
      <w:r>
        <w:rPr>
          <w:rFonts w:hint="eastAsia" w:ascii="宋体" w:hAnsi="宋体" w:eastAsia="宋体" w:cs="宋体"/>
          <w:b/>
          <w:bCs/>
          <w:color w:val="auto"/>
          <w:sz w:val="24"/>
          <w:szCs w:val="24"/>
          <w:highlight w:val="none"/>
          <w:vertAlign w:val="baseline"/>
          <w:lang w:val="en-US" w:eastAsia="zh-CN"/>
        </w:rPr>
        <w:t>和田县银石山一带</w:t>
      </w:r>
      <w:r>
        <w:rPr>
          <w:rFonts w:hint="eastAsia" w:ascii="宋体" w:hAnsi="宋体" w:eastAsia="宋体" w:cs="宋体"/>
          <w:b/>
          <w:bCs/>
          <w:color w:val="auto"/>
          <w:sz w:val="24"/>
          <w:szCs w:val="24"/>
          <w:highlight w:val="none"/>
          <w:lang w:val="en-US" w:eastAsia="zh-CN"/>
        </w:rPr>
        <w:t>）</w:t>
      </w:r>
    </w:p>
    <w:p w14:paraId="15BB340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3863B111">
      <w:pPr>
        <w:pStyle w:val="25"/>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本项目钻探主要部署于塔木德能重点找矿工作区，控制总工作量2000</w:t>
      </w:r>
      <w:r>
        <w:rPr>
          <w:rFonts w:hint="eastAsia" w:hAnsi="宋体" w:eastAsia="宋体" w:cs="宋体"/>
          <w:sz w:val="24"/>
          <w:szCs w:val="24"/>
          <w:highlight w:val="none"/>
          <w:lang w:val="en-US" w:eastAsia="zh-CN"/>
        </w:rPr>
        <w:t>米</w:t>
      </w:r>
      <w:r>
        <w:rPr>
          <w:rFonts w:hint="eastAsia" w:ascii="宋体" w:hAnsi="宋体" w:eastAsia="宋体" w:cs="宋体"/>
          <w:sz w:val="24"/>
          <w:szCs w:val="24"/>
          <w:highlight w:val="none"/>
        </w:rPr>
        <w:t>，均为机动孔。钻孔的布设施工是根据以往槽探成果、钻探成果、地物化工作成果情况，初步推测矿（化）体在地表走向延伸和深部倾向延伸；本年度将结合年度宽频电磁测深成果，确定矿（化）体在深部的产出形态，经综合研究确定钻孔的位置及天顶角、倾角和开孔位置。根据实际情况，以最小的投入达到最大的找矿效果。目前，工作区内确定的主矿（化）体位于银石山主峰北东段，矿化蚀变带已有较详细的依据，钻孔布设依据较充分，但受限于道路交通条件及热液脉状矿体的不确定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钻孔具体位置及钻孔施工的技术参数由委托方确定。本次工作区各类岩石特征工作量（见表2-5）。</w:t>
      </w:r>
    </w:p>
    <w:p w14:paraId="07FA8B56">
      <w:pPr>
        <w:keepNext w:val="0"/>
        <w:keepLines w:val="0"/>
        <w:pageBreakBefore w:val="0"/>
        <w:widowControl w:val="0"/>
        <w:kinsoku/>
        <w:wordWrap/>
        <w:overflowPunct/>
        <w:topLinePunct w:val="0"/>
        <w:autoSpaceDE/>
        <w:autoSpaceDN/>
        <w:bidi w:val="0"/>
        <w:spacing w:line="360" w:lineRule="auto"/>
        <w:ind w:left="0" w:firstLine="480" w:firstLineChars="20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表2-</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 xml:space="preserve">  各类岩石进尺表</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068563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444FB44A">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岩石名称</w:t>
            </w:r>
          </w:p>
        </w:tc>
        <w:tc>
          <w:tcPr>
            <w:tcW w:w="1041" w:type="dxa"/>
            <w:noWrap w:val="0"/>
            <w:vAlign w:val="center"/>
          </w:tcPr>
          <w:p w14:paraId="13F8FB4E">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4297903A">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32CAF7E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钙质粉砂岩，辉长岩，石英方解石脉，花岗岩，角砾岩等 </w:t>
            </w:r>
          </w:p>
        </w:tc>
        <w:tc>
          <w:tcPr>
            <w:tcW w:w="1267" w:type="dxa"/>
            <w:tcBorders>
              <w:right w:val="single" w:color="auto" w:sz="4" w:space="0"/>
            </w:tcBorders>
            <w:noWrap w:val="0"/>
            <w:vAlign w:val="center"/>
          </w:tcPr>
          <w:p w14:paraId="3589FA33">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r w14:paraId="465E09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430F2BF">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岩石可钻性</w:t>
            </w:r>
          </w:p>
        </w:tc>
        <w:tc>
          <w:tcPr>
            <w:tcW w:w="1041" w:type="dxa"/>
            <w:noWrap w:val="0"/>
            <w:vAlign w:val="center"/>
          </w:tcPr>
          <w:p w14:paraId="1D2FF4F8">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1～3级</w:t>
            </w:r>
          </w:p>
        </w:tc>
        <w:tc>
          <w:tcPr>
            <w:tcW w:w="985" w:type="dxa"/>
            <w:noWrap w:val="0"/>
            <w:vAlign w:val="center"/>
          </w:tcPr>
          <w:p w14:paraId="3A694ABD">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4～6级</w:t>
            </w:r>
          </w:p>
        </w:tc>
        <w:tc>
          <w:tcPr>
            <w:tcW w:w="3697" w:type="dxa"/>
            <w:noWrap w:val="0"/>
            <w:vAlign w:val="center"/>
          </w:tcPr>
          <w:p w14:paraId="7F391988">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7～9级</w:t>
            </w:r>
          </w:p>
        </w:tc>
        <w:tc>
          <w:tcPr>
            <w:tcW w:w="1267" w:type="dxa"/>
            <w:tcBorders>
              <w:right w:val="single" w:color="auto" w:sz="4" w:space="0"/>
            </w:tcBorders>
            <w:noWrap w:val="0"/>
            <w:vAlign w:val="center"/>
          </w:tcPr>
          <w:p w14:paraId="02093E22">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10～12级</w:t>
            </w:r>
          </w:p>
        </w:tc>
      </w:tr>
      <w:tr w14:paraId="79C6DD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B87ABFD">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工作量（米）</w:t>
            </w:r>
          </w:p>
        </w:tc>
        <w:tc>
          <w:tcPr>
            <w:tcW w:w="1041" w:type="dxa"/>
            <w:noWrap w:val="0"/>
            <w:vAlign w:val="center"/>
          </w:tcPr>
          <w:p w14:paraId="6EB57EAB">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6E743797">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4B34FA49">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c>
          <w:tcPr>
            <w:tcW w:w="1267" w:type="dxa"/>
            <w:tcBorders>
              <w:right w:val="single" w:color="auto" w:sz="4" w:space="0"/>
            </w:tcBorders>
            <w:noWrap w:val="0"/>
            <w:vAlign w:val="center"/>
          </w:tcPr>
          <w:p w14:paraId="2506B711">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bl>
    <w:p w14:paraId="5DEF596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04AAEC8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设计工作量4000立方米。</w:t>
      </w:r>
    </w:p>
    <w:p w14:paraId="7657B737">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H区（</w:t>
      </w:r>
      <w:r>
        <w:rPr>
          <w:rFonts w:hint="eastAsia" w:ascii="宋体" w:hAnsi="宋体" w:eastAsia="宋体" w:cs="宋体"/>
          <w:b/>
          <w:bCs/>
          <w:color w:val="auto"/>
          <w:sz w:val="24"/>
          <w:szCs w:val="24"/>
          <w:highlight w:val="none"/>
          <w:vertAlign w:val="baseline"/>
          <w:lang w:val="en-US" w:eastAsia="zh-CN"/>
        </w:rPr>
        <w:t>塔什库尔干县达布达尔一带</w:t>
      </w:r>
      <w:r>
        <w:rPr>
          <w:rFonts w:hint="eastAsia" w:ascii="宋体" w:hAnsi="宋体" w:eastAsia="宋体" w:cs="宋体"/>
          <w:b/>
          <w:bCs/>
          <w:snapToGrid w:val="0"/>
          <w:kern w:val="0"/>
          <w:sz w:val="24"/>
          <w:szCs w:val="24"/>
          <w:highlight w:val="none"/>
          <w:lang w:val="en-US" w:eastAsia="zh-CN"/>
        </w:rPr>
        <w:t>）</w:t>
      </w:r>
    </w:p>
    <w:p w14:paraId="51AE6C8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14A0B21D">
      <w:pPr>
        <w:pStyle w:val="25"/>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本项目钻探主要部署于</w:t>
      </w:r>
      <w:r>
        <w:rPr>
          <w:rFonts w:hint="eastAsia" w:ascii="宋体" w:hAnsi="宋体" w:eastAsia="宋体" w:cs="宋体"/>
          <w:sz w:val="24"/>
          <w:szCs w:val="24"/>
          <w:highlight w:val="none"/>
          <w:lang w:val="en-US" w:eastAsia="zh-CN"/>
        </w:rPr>
        <w:t>达布达尔稀土矿区</w:t>
      </w:r>
      <w:r>
        <w:rPr>
          <w:rFonts w:hint="eastAsia" w:ascii="宋体" w:hAnsi="宋体" w:eastAsia="宋体" w:cs="宋体"/>
          <w:sz w:val="24"/>
          <w:szCs w:val="24"/>
          <w:highlight w:val="none"/>
        </w:rPr>
        <w:t>控制总工作量</w:t>
      </w:r>
      <w:r>
        <w:rPr>
          <w:rFonts w:hint="eastAsia" w:ascii="宋体" w:hAnsi="宋体" w:eastAsia="宋体" w:cs="宋体"/>
          <w:sz w:val="24"/>
          <w:szCs w:val="24"/>
          <w:highlight w:val="none"/>
          <w:lang w:val="en-US" w:eastAsia="zh-CN"/>
        </w:rPr>
        <w:t>1500</w:t>
      </w:r>
      <w:r>
        <w:rPr>
          <w:rFonts w:hint="eastAsia" w:ascii="宋体" w:hAnsi="宋体" w:eastAsia="宋体" w:cs="宋体"/>
          <w:sz w:val="24"/>
          <w:szCs w:val="24"/>
          <w:highlight w:val="none"/>
        </w:rPr>
        <w:t>米。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目前，</w:t>
      </w:r>
      <w:r>
        <w:rPr>
          <w:rFonts w:hint="eastAsia" w:ascii="宋体" w:hAnsi="宋体" w:eastAsia="宋体" w:cs="宋体"/>
          <w:sz w:val="24"/>
          <w:szCs w:val="24"/>
          <w:highlight w:val="none"/>
          <w:lang w:val="en-US" w:eastAsia="zh-CN"/>
        </w:rPr>
        <w:t>重点勘查区先期共设计5个钻孔，钻孔倾角为75</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lang w:val="en-US" w:eastAsia="zh-CN"/>
        </w:rPr>
        <w:t>85°，钻孔具体位置及钻孔施工的技术参数由委托方确定。本次工作区各类岩石特征工作量（见表2-6）</w:t>
      </w:r>
    </w:p>
    <w:p w14:paraId="6AD6791A">
      <w:pPr>
        <w:keepNext w:val="0"/>
        <w:keepLines w:val="0"/>
        <w:pageBreakBefore w:val="0"/>
        <w:widowControl w:val="0"/>
        <w:kinsoku/>
        <w:wordWrap/>
        <w:overflowPunct/>
        <w:topLinePunct w:val="0"/>
        <w:autoSpaceDE/>
        <w:autoSpaceDN/>
        <w:bidi w:val="0"/>
        <w:spacing w:line="360" w:lineRule="auto"/>
        <w:ind w:left="0" w:firstLine="480" w:firstLineChars="20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表2-</w:t>
      </w: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 xml:space="preserve">  各类岩石进尺表</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177BE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42ADA1BB">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岩石名称</w:t>
            </w:r>
          </w:p>
        </w:tc>
        <w:tc>
          <w:tcPr>
            <w:tcW w:w="1041" w:type="dxa"/>
            <w:noWrap w:val="0"/>
            <w:vAlign w:val="center"/>
          </w:tcPr>
          <w:p w14:paraId="7E23026D">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3B5A2666">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1D0A6F4C">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闪长玢岩，辉长岩，角闪石岩，花岗岩，砂岩，凝灰岩、辉石岩</w:t>
            </w:r>
          </w:p>
        </w:tc>
        <w:tc>
          <w:tcPr>
            <w:tcW w:w="1267" w:type="dxa"/>
            <w:tcBorders>
              <w:right w:val="single" w:color="auto" w:sz="4" w:space="0"/>
            </w:tcBorders>
            <w:noWrap w:val="0"/>
            <w:vAlign w:val="center"/>
          </w:tcPr>
          <w:p w14:paraId="7E7F9934">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r w14:paraId="629F96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5EEA460A">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岩石可钻性</w:t>
            </w:r>
          </w:p>
        </w:tc>
        <w:tc>
          <w:tcPr>
            <w:tcW w:w="1041" w:type="dxa"/>
            <w:noWrap w:val="0"/>
            <w:vAlign w:val="center"/>
          </w:tcPr>
          <w:p w14:paraId="3B785F18">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1～3级</w:t>
            </w:r>
          </w:p>
        </w:tc>
        <w:tc>
          <w:tcPr>
            <w:tcW w:w="985" w:type="dxa"/>
            <w:noWrap w:val="0"/>
            <w:vAlign w:val="center"/>
          </w:tcPr>
          <w:p w14:paraId="3410C40C">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4～6级</w:t>
            </w:r>
          </w:p>
        </w:tc>
        <w:tc>
          <w:tcPr>
            <w:tcW w:w="3697" w:type="dxa"/>
            <w:noWrap w:val="0"/>
            <w:vAlign w:val="center"/>
          </w:tcPr>
          <w:p w14:paraId="0186BDCA">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7～9级</w:t>
            </w:r>
          </w:p>
        </w:tc>
        <w:tc>
          <w:tcPr>
            <w:tcW w:w="1267" w:type="dxa"/>
            <w:tcBorders>
              <w:right w:val="single" w:color="auto" w:sz="4" w:space="0"/>
            </w:tcBorders>
            <w:noWrap w:val="0"/>
            <w:vAlign w:val="center"/>
          </w:tcPr>
          <w:p w14:paraId="6085463E">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10～12级</w:t>
            </w:r>
          </w:p>
        </w:tc>
      </w:tr>
      <w:tr w14:paraId="59EFA6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55D6C2FA">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工作量（米）</w:t>
            </w:r>
          </w:p>
        </w:tc>
        <w:tc>
          <w:tcPr>
            <w:tcW w:w="1041" w:type="dxa"/>
            <w:noWrap w:val="0"/>
            <w:vAlign w:val="center"/>
          </w:tcPr>
          <w:p w14:paraId="658D6417">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985" w:type="dxa"/>
            <w:noWrap w:val="0"/>
            <w:vAlign w:val="center"/>
          </w:tcPr>
          <w:p w14:paraId="43D20B40">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c>
          <w:tcPr>
            <w:tcW w:w="3697" w:type="dxa"/>
            <w:noWrap w:val="0"/>
            <w:vAlign w:val="center"/>
          </w:tcPr>
          <w:p w14:paraId="24653DF1">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w:t>
            </w:r>
          </w:p>
        </w:tc>
        <w:tc>
          <w:tcPr>
            <w:tcW w:w="1267" w:type="dxa"/>
            <w:tcBorders>
              <w:right w:val="single" w:color="auto" w:sz="4" w:space="0"/>
            </w:tcBorders>
            <w:noWrap w:val="0"/>
            <w:vAlign w:val="center"/>
          </w:tcPr>
          <w:p w14:paraId="6E207551">
            <w:pPr>
              <w:pStyle w:val="25"/>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sz w:val="24"/>
                <w:szCs w:val="24"/>
                <w:highlight w:val="none"/>
              </w:rPr>
            </w:pPr>
          </w:p>
        </w:tc>
      </w:tr>
    </w:tbl>
    <w:p w14:paraId="0F1077C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0F0D51B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设计工作量1500立方米。</w:t>
      </w:r>
    </w:p>
    <w:p w14:paraId="7541C8C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3.槽探配套服务</w:t>
      </w:r>
    </w:p>
    <w:p w14:paraId="4DCCE86E">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在该调查评价区内进行简易道路疏通、营地平整等工作，设计服务天数16天。</w:t>
      </w:r>
    </w:p>
    <w:p w14:paraId="0F171BF7">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I区（</w:t>
      </w:r>
      <w:r>
        <w:rPr>
          <w:rFonts w:hint="eastAsia" w:ascii="宋体" w:hAnsi="宋体" w:eastAsia="宋体" w:cs="宋体"/>
          <w:b/>
          <w:bCs/>
          <w:color w:val="auto"/>
          <w:sz w:val="24"/>
          <w:szCs w:val="24"/>
          <w:highlight w:val="none"/>
          <w:vertAlign w:val="baseline"/>
          <w:lang w:val="en-US" w:eastAsia="zh-CN"/>
        </w:rPr>
        <w:t>皮山县库尔浪一带</w:t>
      </w:r>
      <w:r>
        <w:rPr>
          <w:rFonts w:hint="eastAsia" w:ascii="宋体" w:hAnsi="宋体" w:eastAsia="宋体" w:cs="宋体"/>
          <w:b/>
          <w:bCs/>
          <w:sz w:val="24"/>
          <w:szCs w:val="24"/>
          <w:highlight w:val="none"/>
          <w:lang w:val="en-US" w:eastAsia="zh-CN"/>
        </w:rPr>
        <w:t>）</w:t>
      </w:r>
    </w:p>
    <w:p w14:paraId="45C60C9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钻探服务</w:t>
      </w:r>
    </w:p>
    <w:p w14:paraId="57142DA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钻探主要部署于喀尔勒克重点工作区Ⅰ号、Ⅳ号矿化蚀变带，恰瓦重点工作区新发现矿化线索处，控制总工作量800米，预设3个孔，其中2个孔在喀尔勒克重点工作区，海拔3600～3900米，有简易山路通行。恰瓦重点工作区1个孔，有简易道路通行，设计孔斜85～89°。</w:t>
      </w:r>
      <w:r>
        <w:rPr>
          <w:rFonts w:hint="eastAsia" w:ascii="宋体" w:hAnsi="宋体" w:eastAsia="宋体" w:cs="宋体"/>
          <w:sz w:val="24"/>
          <w:szCs w:val="24"/>
          <w:highlight w:val="none"/>
        </w:rPr>
        <w:t>钻孔的布设施工是根据地表槽探成果、地物化异常的分布情况，初步推测矿（化）体在地表走向延伸和深部倾向延伸；结合近年科研成果，确定矿（化）体在深部的产出形态，经综合研究确定钻孔的位置及天顶角、倾角和开孔位置。根据实际情况，以最小的投入达到最大的找矿效果。</w:t>
      </w:r>
      <w:r>
        <w:rPr>
          <w:rFonts w:hint="eastAsia" w:ascii="宋体" w:hAnsi="宋体" w:eastAsia="宋体" w:cs="宋体"/>
          <w:sz w:val="24"/>
          <w:szCs w:val="24"/>
          <w:highlight w:val="none"/>
          <w:lang w:val="en-US" w:eastAsia="zh-CN"/>
        </w:rPr>
        <w:t>钻孔具体位置及钻孔施工的技术参数由委托方确定。本次工作区各类岩石特征工作量（见表2-7）。</w:t>
      </w:r>
    </w:p>
    <w:p w14:paraId="50F0A1F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表2-7  各类岩石进尺表</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19"/>
        <w:gridCol w:w="1526"/>
        <w:gridCol w:w="3815"/>
        <w:gridCol w:w="1637"/>
      </w:tblGrid>
      <w:tr w14:paraId="42ADF6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pct"/>
            <w:tcBorders>
              <w:left w:val="single" w:color="auto" w:sz="4" w:space="0"/>
            </w:tcBorders>
            <w:noWrap w:val="0"/>
            <w:vAlign w:val="center"/>
          </w:tcPr>
          <w:p w14:paraId="6EC86C9F">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岩石名称</w:t>
            </w:r>
          </w:p>
        </w:tc>
        <w:tc>
          <w:tcPr>
            <w:tcW w:w="612" w:type="pct"/>
            <w:noWrap w:val="0"/>
            <w:vAlign w:val="center"/>
          </w:tcPr>
          <w:p w14:paraId="4D16D5E6">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p>
        </w:tc>
        <w:tc>
          <w:tcPr>
            <w:tcW w:w="766" w:type="pct"/>
            <w:noWrap w:val="0"/>
            <w:vAlign w:val="center"/>
          </w:tcPr>
          <w:p w14:paraId="182F2EA1">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p>
        </w:tc>
        <w:tc>
          <w:tcPr>
            <w:tcW w:w="1915" w:type="pct"/>
            <w:noWrap w:val="0"/>
            <w:vAlign w:val="center"/>
          </w:tcPr>
          <w:p w14:paraId="454F4A6F">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变质粉砂岩、大理岩、辉石岩、片岩、花岗岩、闪长岩</w:t>
            </w:r>
          </w:p>
        </w:tc>
        <w:tc>
          <w:tcPr>
            <w:tcW w:w="821" w:type="pct"/>
            <w:tcBorders>
              <w:right w:val="single" w:color="auto" w:sz="4" w:space="0"/>
            </w:tcBorders>
            <w:noWrap w:val="0"/>
            <w:vAlign w:val="center"/>
          </w:tcPr>
          <w:p w14:paraId="4EBFB421">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宋体" w:hAnsi="宋体" w:eastAsia="宋体" w:cs="宋体"/>
                <w:sz w:val="21"/>
                <w:szCs w:val="21"/>
                <w:highlight w:val="none"/>
                <w:lang w:val="en-US" w:eastAsia="zh-CN"/>
              </w:rPr>
            </w:pPr>
          </w:p>
        </w:tc>
      </w:tr>
      <w:tr w14:paraId="502036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pct"/>
            <w:tcBorders>
              <w:left w:val="single" w:color="auto" w:sz="4" w:space="0"/>
            </w:tcBorders>
            <w:noWrap w:val="0"/>
            <w:vAlign w:val="center"/>
          </w:tcPr>
          <w:p w14:paraId="78C9FCAA">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岩石可钻性</w:t>
            </w:r>
          </w:p>
        </w:tc>
        <w:tc>
          <w:tcPr>
            <w:tcW w:w="612" w:type="pct"/>
            <w:noWrap w:val="0"/>
            <w:vAlign w:val="center"/>
          </w:tcPr>
          <w:p w14:paraId="500FB3B4">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1～3级</w:t>
            </w:r>
          </w:p>
        </w:tc>
        <w:tc>
          <w:tcPr>
            <w:tcW w:w="766" w:type="pct"/>
            <w:noWrap w:val="0"/>
            <w:vAlign w:val="center"/>
          </w:tcPr>
          <w:p w14:paraId="206E7E78">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4～6级</w:t>
            </w:r>
          </w:p>
        </w:tc>
        <w:tc>
          <w:tcPr>
            <w:tcW w:w="1915" w:type="pct"/>
            <w:noWrap w:val="0"/>
            <w:vAlign w:val="center"/>
          </w:tcPr>
          <w:p w14:paraId="3776F385">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7～9级</w:t>
            </w:r>
          </w:p>
        </w:tc>
        <w:tc>
          <w:tcPr>
            <w:tcW w:w="821" w:type="pct"/>
            <w:tcBorders>
              <w:right w:val="single" w:color="auto" w:sz="4" w:space="0"/>
            </w:tcBorders>
            <w:noWrap w:val="0"/>
            <w:vAlign w:val="center"/>
          </w:tcPr>
          <w:p w14:paraId="5CEFA67A">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10～12级</w:t>
            </w:r>
          </w:p>
        </w:tc>
      </w:tr>
      <w:tr w14:paraId="220324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pct"/>
            <w:tcBorders>
              <w:left w:val="single" w:color="auto" w:sz="4" w:space="0"/>
            </w:tcBorders>
            <w:noWrap w:val="0"/>
            <w:vAlign w:val="center"/>
          </w:tcPr>
          <w:p w14:paraId="08A85E2A">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工作量（米）</w:t>
            </w:r>
          </w:p>
        </w:tc>
        <w:tc>
          <w:tcPr>
            <w:tcW w:w="612" w:type="pct"/>
            <w:noWrap w:val="0"/>
            <w:vAlign w:val="center"/>
          </w:tcPr>
          <w:p w14:paraId="2D4CF5DA">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p>
        </w:tc>
        <w:tc>
          <w:tcPr>
            <w:tcW w:w="766" w:type="pct"/>
            <w:noWrap w:val="0"/>
            <w:vAlign w:val="center"/>
          </w:tcPr>
          <w:p w14:paraId="6A46B72A">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szCs w:val="21"/>
                <w:highlight w:val="none"/>
                <w:lang w:val="en-US" w:eastAsia="zh-CN"/>
              </w:rPr>
            </w:pPr>
          </w:p>
        </w:tc>
        <w:tc>
          <w:tcPr>
            <w:tcW w:w="1915" w:type="pct"/>
            <w:noWrap w:val="0"/>
            <w:vAlign w:val="center"/>
          </w:tcPr>
          <w:p w14:paraId="019B0E58">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800</w:t>
            </w:r>
          </w:p>
        </w:tc>
        <w:tc>
          <w:tcPr>
            <w:tcW w:w="821" w:type="pct"/>
            <w:tcBorders>
              <w:right w:val="single" w:color="auto" w:sz="4" w:space="0"/>
            </w:tcBorders>
            <w:noWrap w:val="0"/>
            <w:vAlign w:val="center"/>
          </w:tcPr>
          <w:p w14:paraId="2D938E24">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宋体" w:hAnsi="宋体" w:eastAsia="宋体" w:cs="宋体"/>
                <w:sz w:val="21"/>
                <w:szCs w:val="21"/>
                <w:highlight w:val="none"/>
                <w:lang w:val="en-US" w:eastAsia="zh-CN"/>
              </w:rPr>
            </w:pPr>
          </w:p>
        </w:tc>
      </w:tr>
    </w:tbl>
    <w:p w14:paraId="73368B02">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w:t>
      </w:r>
      <w:r>
        <w:rPr>
          <w:rFonts w:hint="eastAsia" w:ascii="宋体" w:hAnsi="宋体" w:eastAsia="宋体" w:cs="宋体"/>
          <w:b/>
          <w:bCs/>
          <w:color w:val="auto"/>
          <w:sz w:val="24"/>
          <w:lang w:val="en-US" w:eastAsia="zh-CN"/>
        </w:rPr>
        <w:t>五、技术标准及要求</w:t>
      </w:r>
    </w:p>
    <w:p w14:paraId="544F4041">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钻探服务</w:t>
      </w:r>
    </w:p>
    <w:p w14:paraId="1822553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（一）钻孔施工要求</w:t>
      </w:r>
    </w:p>
    <w:p w14:paraId="543537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1.施工前应将编制的地质技术设计书交施工单位。</w:t>
      </w:r>
    </w:p>
    <w:p w14:paraId="28FA6EA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2.施工前的现场检查，由地质、测量、钻探技术人员、机长等有关人员到现场进行钻前的检查工作，重点检查钻孔孔位，安装要求（方位、倾角）是否符合施工要求，并下达开孔通知书。</w:t>
      </w:r>
    </w:p>
    <w:p w14:paraId="548B8E5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3.钻孔孔深达到设计要求时，下达终孔通知书。并组织有关人员进行质量验收，填写钻孔质量验收表。</w:t>
      </w:r>
    </w:p>
    <w:p w14:paraId="66833F7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4.岩心处理：岩心箱上应标明矿区名称、钻孔编号、岩心箱编号，最后—箱应标明“终孔”二字。</w:t>
      </w:r>
    </w:p>
    <w:p w14:paraId="74BBF88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5.钻孔完工后应填写岩心移交清单（钻孔施工单位负责），在项目单位验收合格后，方可移交。</w:t>
      </w:r>
    </w:p>
    <w:p w14:paraId="2B7B82F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6.完成钻机施工需要的机台平整、现场恢复等工作。</w:t>
      </w:r>
    </w:p>
    <w:p w14:paraId="1141E1F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（二）钻孔施工质量要求</w:t>
      </w:r>
    </w:p>
    <w:p w14:paraId="20622BD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1.岩矿心整理及岩矿心采取率</w:t>
      </w:r>
    </w:p>
    <w:p w14:paraId="272D3A7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（1）除地表松散沉积物外，地质要求取芯的岩层，岩心的分层平均采取率一般不得低于70%。</w:t>
      </w:r>
    </w:p>
    <w:p w14:paraId="7BD20AB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（2）矿化带、矿层及顶底板各3～5米范围的采取率不得低于80%。厚大矿体内部矿心采取率低于80%的连续长度不能超过5米，否则应采取补救措施。</w:t>
      </w:r>
    </w:p>
    <w:p w14:paraId="0487EF1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（3）取出的岩心应洗净后自上而下依次装箱，不得颠倒或任意拉长，凡大于10厘米长的岩心均应编号。每回次应填写岩心牌（包括没有岩心的回次）。岩心箱也应编号。</w:t>
      </w:r>
    </w:p>
    <w:p w14:paraId="02A6104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2.钻孔弯曲度测量</w:t>
      </w:r>
    </w:p>
    <w:p w14:paraId="02E4770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（1）终孔和见矿部位方位角的偏差一般不超过相邻工程间距的1/4。</w:t>
      </w:r>
    </w:p>
    <w:p w14:paraId="03A5883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（2）开孔、终孔及钻进过程中的每50米需进行一次钻孔弯曲度的测量。每百米不超过3°，可累计计算。</w:t>
      </w:r>
    </w:p>
    <w:p w14:paraId="3B452B6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（3）终孔测斜及见矿部位测斜需有地质人员现场监测。</w:t>
      </w:r>
    </w:p>
    <w:p w14:paraId="5785D47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3.孔深误差的测量与校正</w:t>
      </w:r>
    </w:p>
    <w:p w14:paraId="5923AD4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（1）每钻进百米、进出矿层（矿层小于5米只测一次），终孔后均要进行孔深的测量，误差小于1/1000者可不修正孔深。</w:t>
      </w:r>
    </w:p>
    <w:p w14:paraId="6940C10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（2）测量要使用经过校正的钢尺，见矿与终孔校正时要有地质人员现场监测。</w:t>
      </w:r>
    </w:p>
    <w:p w14:paraId="646FA5C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4.简易水文观测</w:t>
      </w:r>
    </w:p>
    <w:p w14:paraId="45159F4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（1）观测钻进过程中的水位变化，每班至少观测1～2个回次。</w:t>
      </w:r>
    </w:p>
    <w:p w14:paraId="7B60721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（2）观测应在提钻后、下钻前各测1次，其时间间隔大于5分钟。</w:t>
      </w:r>
    </w:p>
    <w:p w14:paraId="66E240F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（3）详细记录钻进过程中发现的涌水、漏水、塌孔、掉钻、掉块等情况，记录孔深。</w:t>
      </w:r>
    </w:p>
    <w:p w14:paraId="1E638B7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（4）终孔24小时后，做静止水位观测，观测前须洗孔至水返清为止。</w:t>
      </w:r>
    </w:p>
    <w:p w14:paraId="777F0CA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（5）提交简易观测记录。</w:t>
      </w:r>
    </w:p>
    <w:p w14:paraId="36011E8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（6）在条件允许的情况下，提供不同岩性段的RQD值，并划分岩石质量等级。</w:t>
      </w:r>
    </w:p>
    <w:p w14:paraId="02BB6AB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5.原始班报表</w:t>
      </w:r>
    </w:p>
    <w:p w14:paraId="1804469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（1）班报表用钢笔填写，真实、准确。</w:t>
      </w:r>
    </w:p>
    <w:p w14:paraId="1117127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（2）交接班班长要求亲笔签字，不得代签。</w:t>
      </w:r>
    </w:p>
    <w:p w14:paraId="74BFDE4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（3）要干净、整洁，终孔后装订成册。</w:t>
      </w:r>
    </w:p>
    <w:p w14:paraId="5C981FE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6.封孔</w:t>
      </w:r>
    </w:p>
    <w:p w14:paraId="779ED2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（1）为便于在钻孔内做物探井中充电工作，钻孔完工后不起拔套管。具体做法是：在套管口放入编织袋并在套管口加盖，防止岩块、土块等异物进入。</w:t>
      </w:r>
    </w:p>
    <w:p w14:paraId="4E0AA1C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（2）在孔口上需立水泥桩，标明施工单位、施工日期、孔号、孔深等。</w:t>
      </w:r>
    </w:p>
    <w:p w14:paraId="331BD00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2.槽探服务</w:t>
      </w:r>
    </w:p>
    <w:p w14:paraId="7CF0CC8A">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施工具体地点由委托方实地进行确定，探槽施工要求如下： </w:t>
      </w:r>
    </w:p>
    <w:p w14:paraId="54F550BD">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1.施工设备需保证正常使用，人员要有一定的经验要求。 </w:t>
      </w:r>
    </w:p>
    <w:p w14:paraId="32D4DFC6">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2.甲方提供施工探槽的地点，探槽的规格（槽深一般不小于 1米，若覆盖层较厚时，槽深按 1.5～</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.0 米；槽壁坡度角始终保持70°～80°，槽口宽不小于 1.2 米，槽底宽不小于 0.8 米，揭露至基岩层以下 0.5 米）；甲方对完成情况进行验收。 </w:t>
      </w:r>
    </w:p>
    <w:p w14:paraId="52805C24">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3.探槽底部浮土、渣石需清理干净，以方便探槽编录和样品采集。 </w:t>
      </w:r>
    </w:p>
    <w:p w14:paraId="12503B1E">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4.如遇矿坑内渣石堆积，甲乙双方可现场根据剥离量合理折算为双方同意的探槽施工方量。 </w:t>
      </w:r>
    </w:p>
    <w:p w14:paraId="7DD4DA70">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5.待探槽施工结束后，根据甲方要求对探槽进行刻槽采样及探槽回填。 </w:t>
      </w:r>
    </w:p>
    <w:p w14:paraId="595490DA">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.探槽</w:t>
      </w:r>
      <w:r>
        <w:rPr>
          <w:rFonts w:hint="eastAsia" w:hAnsi="宋体" w:cs="宋体"/>
          <w:sz w:val="24"/>
          <w:szCs w:val="24"/>
          <w:highlight w:val="none"/>
          <w:lang w:val="en-US" w:eastAsia="zh-CN"/>
        </w:rPr>
        <w:t>需</w:t>
      </w:r>
      <w:r>
        <w:rPr>
          <w:rFonts w:hint="eastAsia" w:ascii="宋体" w:hAnsi="宋体" w:eastAsia="宋体" w:cs="宋体"/>
          <w:sz w:val="24"/>
          <w:szCs w:val="24"/>
          <w:highlight w:val="none"/>
          <w:lang w:val="en-US" w:eastAsia="zh-CN"/>
        </w:rPr>
        <w:t>经现场验收，施工质量符合要求并已达到地质目的的探槽（含样沟、剥土、采场以及其他的天然露头）。</w:t>
      </w:r>
    </w:p>
    <w:p w14:paraId="3ECAF3B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3.槽探配套服务</w:t>
      </w:r>
    </w:p>
    <w:p w14:paraId="7DCCE439">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1.完成工作区工作需要的简易道路疏通。 </w:t>
      </w:r>
    </w:p>
    <w:p w14:paraId="227CB1B5">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2.完成工作区需要的固定营地平整。</w:t>
      </w:r>
    </w:p>
    <w:p w14:paraId="17AC9AC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1BD3A93B">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b/>
          <w:bCs/>
          <w:color w:val="auto"/>
          <w:sz w:val="24"/>
          <w:szCs w:val="24"/>
          <w:highlight w:val="none"/>
          <w:lang w:val="en-US" w:eastAsia="zh-CN"/>
        </w:rPr>
        <w:t>遥感技术服务</w:t>
      </w:r>
    </w:p>
    <w:p w14:paraId="0486CA81">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1．遥感数据源选取</w:t>
      </w:r>
    </w:p>
    <w:p w14:paraId="7B068CA8">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本次采用的遥感影像数据为美国陆地卫星LANDSAT-8 OLI数据和日美合作的Terra卫星ASTER数据辅助完成蚀变信息提取与解译工作。要求云量均低于1%。影像中云、雪等的覆盖量小于全区面积的20%。Landsat-8卫星装备的陆地成像仪有9个波段的感应器，覆盖了从红外到可见光的不同波长范围。ASTER传感器分成三个独立的子系统，分别处于可见光/近红外、短波红外、热红外波段。</w:t>
      </w:r>
    </w:p>
    <w:p w14:paraId="377272E7">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高分二卫星是中国自主研制的首颗空间分辨率优于1米的民用光学遥感卫星，装载两台1米全色/4米多光谱相机实现拼幅成像，星下点分辨率全色为0.81米、多光谱为3.24米，成像幅宽为45千米。</w:t>
      </w:r>
    </w:p>
    <w:p w14:paraId="3B7B430F">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2．影像处理</w:t>
      </w:r>
    </w:p>
    <w:p w14:paraId="03922D9C">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处理软件采用的是美国-ENVI软件。遥感影像处理主要包括几何校正、影像融合、彩色合成、影像增强（线性拉伸、波段比值、主成分分析等）等程序。</w:t>
      </w:r>
    </w:p>
    <w:p w14:paraId="24D28DF4">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调查区遥感影像经与地形图校正，采用2000国家大地坐标系。通过对高分2号 3/2/1波段进行Pansharp融合，以及2%线性拉伸等增强方法，用于辅助调查区1∶50000的遥感解译。通过对LandSat-8数据的7/4/2波段与全色（8）波段进行HSV融合，以及2%的线性拉伸、百分比截断拉伸（参数0.5、0.5）与gamma拉伸协同处理等增强方法，最终形成LandSat-8假彩色遥感影像底图（空间分辨率为15米，采用7/4/2波段进行彩色合成作为解译底图）。通过对ASTER数据的6/3/1波段假彩色合成形成辅助解译底图（空间分辨率为15米）。高分2号影像色彩层次较丰富、反差适中、能够较好的分辨地表及地表以下一定深度的地质现象，解译标志较好，解译效果较好，基本能较为细致反映地貌特征、地层特征、岩浆岩形态及线性构造等，可识别出岩浆岩、地层、线性构造及第四纪等不同地质填图单元。LandSat-8、ASTER影像分辨率较低，但经以上增强处理方法，可较好的区分相近岩性界线。同时，受拍摄时间及图像质量选择质量影响，区内植被覆盖率存在明显差异，互补完成遥感解译更为合理。综合解译影像质量及精度充分满足1∶50000初步遥感地质解译的要求。</w:t>
      </w:r>
    </w:p>
    <w:p w14:paraId="67D5EA7D">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3．遥感地质解译的原则</w:t>
      </w:r>
    </w:p>
    <w:p w14:paraId="4040BCD3">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（1）由点到线到面</w:t>
      </w:r>
    </w:p>
    <w:p w14:paraId="07C1A90C">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已掌握地质情况或建立解译标志的区（点）出发，垂直地质构造走向进行解译，通过解译掌握地层层序与变化，了解调查区域的基本地质状况；然后，再由线沿地质线或线性构造走向向两侧延伸解译，进而完成面的解译。</w:t>
      </w:r>
    </w:p>
    <w:p w14:paraId="13B8D176">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（2）由易到难</w:t>
      </w:r>
    </w:p>
    <w:p w14:paraId="33A64EAF">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这里的“难、易”主要指遥感影像的可解译程度和地质的复杂程度。解译时先从地质构造简单、地层出露齐全，遥感影像上地质信息丰富、清晰的地区开始；然后再推进到解译难度较大的地区。推进时，可采取多方向推进形成“围攻”之势，运用周边信息攻取“难”处。</w:t>
      </w:r>
    </w:p>
    <w:p w14:paraId="4F63D86D">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（3）由表及里</w:t>
      </w:r>
    </w:p>
    <w:p w14:paraId="43598553">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解译时先从岩石、地质现象的裸露区开始，然后解译岩石、地质现象被覆盖的地区。覆盖区的解译可通过不同图像处理方式提取或增强隐伏地质信息。一般隐伏信息受覆盖物的干扰，显现模糊或断续展布，可结合与露头区的内在联系进行解译。</w:t>
      </w:r>
    </w:p>
    <w:p w14:paraId="47EBF5EE">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（4）由新到老</w:t>
      </w:r>
    </w:p>
    <w:p w14:paraId="7853D3A2">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地质时代较新的岩石地层、地质构造受地质作用破坏较少，在图像上反映的信息比较清晰，因此，按地质时代由新到老进行解译不仅体现了由易到难的原则，也有利于建立、理顺地质体的时空关系。</w:t>
      </w:r>
    </w:p>
    <w:p w14:paraId="2179A996">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4．遥感解译标志</w:t>
      </w:r>
    </w:p>
    <w:p w14:paraId="176D21A2">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（1）断裂解译标志</w:t>
      </w:r>
    </w:p>
    <w:p w14:paraId="24B1B47B">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单线或线带信息是直接显示断裂或断裂破碎带、岩浆热液存在的一种标志,其延伸代表断裂的走向。</w:t>
      </w:r>
    </w:p>
    <w:p w14:paraId="62CB7EAE">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直接标志：直线性水系、线性负地形、串荚状沟谷、带状脉体，白色蠕虫状带体、菱形带体、透镜状带体等。另外，线性影像单元周围的信息变化，也起到间接判断作用，具体包括：组合色彩信息：单一色彩体或组合色彩体的斜交、位移、突变与消失。影像结构信息：不同或相同影像结构信息整体不协调分布，呈斜交、位移、叠置等关系。地貌单元信息：主要指地貌单元的陡然变化。几何图形信息：三角面、陡坎、透镜体。地理景观信息：水系直角拐弯，串珠状泉点等。</w:t>
      </w:r>
    </w:p>
    <w:p w14:paraId="36295CFF">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（2）褶皱解译标志</w:t>
      </w:r>
    </w:p>
    <w:p w14:paraId="648DB97E">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组合色彩信息、地形地貌信息、影像结构信息等对称分布、转折或圈闭特征显示，指示褶皱构造的存在。</w:t>
      </w:r>
    </w:p>
    <w:p w14:paraId="2A642065">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（3）第四纪松散堆积物解译标志</w:t>
      </w:r>
    </w:p>
    <w:p w14:paraId="561FBED8">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纪松散堆积物广泛分布山间盆地、河流两岸、山前地带、湖泊周围等地。第四纪冲洪积物解译标志：典型标志为“束”状、折线状影纹与带状、透镜状影纹。第四纪风积物解译标志：典型标志为浅黄色彩、砂丘地形、“新月”形链状地貌特征是该单元解译划分的标志。第四纪湖泊堆积物解译标志：典型标志为清晰的湖岸变线影纹、平缓的平原地形是该单元划分标志。</w:t>
      </w:r>
    </w:p>
    <w:p w14:paraId="29662A8E">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（4）层型地层单元解译标志</w:t>
      </w:r>
    </w:p>
    <w:p w14:paraId="50596CEA">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层型地层单元系指呈层状产出成岩的地层，它包括沉积岩、浅变质岩和火山岩。其典型标志为层型影纹发育，块状、爪状地貌类型，边界清楚，宏观呈带片状分布。</w:t>
      </w:r>
    </w:p>
    <w:p w14:paraId="65BCDEA0">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（5）非层型地层单元解译标志</w:t>
      </w:r>
    </w:p>
    <w:p w14:paraId="42318D3D">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非层型地层单元系指边界受构造控制，构造改造作用明显，具一定的变形变质特征，且层纹不甚发育，甚至无任何层级信息显示的一种构造地层体。在对该类地层单元解译过程中，主要依据宏观影像块体与层型地层单元间的空间关系及岩性特点加以判别。</w:t>
      </w:r>
    </w:p>
    <w:p w14:paraId="7A299D11">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bookmarkStart w:id="134" w:name="_Toc71089012"/>
      <w:r>
        <w:rPr>
          <w:rFonts w:hint="eastAsia" w:ascii="宋体" w:hAnsi="宋体" w:eastAsia="宋体" w:cs="宋体"/>
          <w:sz w:val="24"/>
          <w:szCs w:val="24"/>
          <w:highlight w:val="none"/>
        </w:rPr>
        <w:t>（6）花岗岩类侵入体解译标志</w:t>
      </w:r>
      <w:bookmarkEnd w:id="134"/>
    </w:p>
    <w:p w14:paraId="129C27E1">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总体特征集中表现在形态、色彩、地形地貌和影像结构四个方面。常见的形态有不规则的“饼”状、“鞋底”状、“椭圆”状和“亚铃”状体等，其表面平滑、微地形起伏差异较少；以浅色彩、褐红色彩和浅黄色彩的色团、色块显示，与围岩色彩形成明显的反差，间接地反映出侵入岩体的岩石类型的不同和性质变化；地形地貌以区域性的团块山、透镜山体和宠大山体显示；在影像结构方面，受岩浆侵入固结收缩作用和后期构造改造作用影响，岩体表面节理、裂隙发育，显示出格子状影像结构，易于判别。其空间组合表现为相切或同心关系，尤其是后者，间接地反映出岩浆侵入作用的多期次性特点，是侵入岩单元解译划分的依据之一。</w:t>
      </w:r>
    </w:p>
    <w:p w14:paraId="64EC00B5">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（7）基性-超基性岩类侵入体解译标志</w:t>
      </w:r>
    </w:p>
    <w:p w14:paraId="52BA8E80">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其总体特征相较花岗岩类特征有相同的形态和影像结构，但由于其易风化的特点在影像中显示边界不清晰，颜色显示较深的褐紫色、灰黑色色团；地貌以洼地、多覆盖的小团块丘陵显示。</w:t>
      </w:r>
    </w:p>
    <w:p w14:paraId="65B5B4D3">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4．异常信息提取</w:t>
      </w:r>
    </w:p>
    <w:p w14:paraId="428F404F">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（1）感异常信息提取方法</w:t>
      </w:r>
    </w:p>
    <w:p w14:paraId="043ACE0A">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遥感异常信息提取包括了遥感数据掩膜处理、遥感异常信息处理、遥感异常分级及遥感找矿预测等内容。调查区蚀变信息提取同时选用OLI数据和ASTER数据，能够提取传统羟基、铁染蚀变信息和各类矿物蚀变信息。</w:t>
      </w:r>
    </w:p>
    <w:p w14:paraId="13FFC2D7">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Landsat-8 OLI采用B（2，5，6，7）波段提取羟基为主的基团异常，用B（2，4，5，6）波段提取以铁染为主的变价元素异常。</w:t>
      </w:r>
    </w:p>
    <w:p w14:paraId="055EDF55">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利用ASTER数据可采用比值运算方法、主成分分析法提取异常信息。铁氧化物矿物蚀变信息主要采用Band2/1提取三价铁氧化矿物蚀变信息，Band5/3和1/2提取二价铁氧化物矿物蚀变信息，Band4/5增强后红土蚀变信息,Band5/4提取含铁硅酸盐矿物蚀变信息，Band4/3提取铁氧化物（三价和二价铁皆可）。碳酸盐及镁铁矿物蚀变信息主要采用Band（7+9）/8提取碳酸盐/绿泥石/绿帘石矿物蚀变信息，Band（6+9）/（7+8） 提取绿帘石/绿泥石/角闪石矿物（内矽卡岩）蚀变信息，Band（6+9）/8提取角闪石/氢氧化镁矿物（也可能是氢氧化镁与碳酸盐）蚀变信息，Band6/8提取角闪石蚀变信息，Band（6+8）/7提取白云石矿物蚀变信息，Band13/14提取碳酸盐矿物（外矽卡岩）蚀变信息。硅酸盐矿物蚀变信息主要采用Band（5+7）/6提取绢云母/白云母/伊利石/蒙脱石矿物（绢英岩化）蚀变信息，Band（4+6）/5提取明矾石/高岭石/叶腊石矿物蚀变信息，Band5/6提取多硅白云母矿物蚀变信息，Band7/6提取白云母矿物蚀变信息，Band7/5提取高岭石矿物（近似）蚀变信息，Band（5×7）/6提取黏土矿物蚀变信息，Band4/5增强后提取硅酸盐化蚀变信息。二氧化硅矿物蚀变信息主要采用Band14/12提取富石英岩石蚀变信息，Band12/13提取SiO2矿物蚀变信息。B（1，4，6，7）波段提取高岭石、钠长石以及似千枚岩化，B（1，4，6，9）波段提取云英岩化，B（4，（6+7）/2，8，9）波段提取钾化，B（4，（5+6）/2，7，9）波段提取泥化，B（1，5，8，9）波段提取青磐岩化，B（1，3，4，8）波段提取Mg-OH基团，B（10，11，12，13，14）波段提取超基性岩。</w:t>
      </w:r>
    </w:p>
    <w:p w14:paraId="53A7A917">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遥感数据掩膜处理：在信息获取过程中针对遥感找矿而言，水体、植被、雪、云雾、水体阴影等都是遥感异常信息提取工作中的干扰信息，采用数据掩膜技术，可解决阴影、水体、云和云影、植被等对异常提取的干扰问题。</w:t>
      </w:r>
    </w:p>
    <w:p w14:paraId="0F3A285F">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bookmarkStart w:id="135" w:name="OLE_LINK2"/>
      <w:r>
        <w:rPr>
          <w:rFonts w:hint="eastAsia" w:ascii="宋体" w:hAnsi="宋体" w:eastAsia="宋体" w:cs="宋体"/>
          <w:sz w:val="24"/>
          <w:szCs w:val="24"/>
          <w:highlight w:val="none"/>
        </w:rPr>
        <w:t>．</w:t>
      </w:r>
      <w:bookmarkEnd w:id="135"/>
      <w:r>
        <w:rPr>
          <w:rFonts w:hint="eastAsia" w:ascii="宋体" w:hAnsi="宋体" w:eastAsia="宋体" w:cs="宋体"/>
          <w:sz w:val="24"/>
          <w:szCs w:val="24"/>
          <w:highlight w:val="none"/>
        </w:rPr>
        <w:t>高光谱矿物填图数据集</w:t>
      </w:r>
    </w:p>
    <w:p w14:paraId="739DA88A">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选用新疆地质局数字地质中心联合中国地质调查局西安矿产资源调查中心于2025年发布的新疆高光谱矿物填图数据集，该数据集使用高分五号（GF-5 AHSI）、资源一号（ZY01-02D）影像，所选影像数据为4月-9月夏季时相，影像范围覆盖整个区域，雨雪覆盖、统计云量小于5%，影像质量符合遥感地质解译标准要求。数据集使用GeoAHSI软件制作，核心算法是在Tetracorder算法的基础上，改进矿物专家识别规则，支持在同一条观测波谱上识别出多种物质，提高矿物填图的自动化程度与准确度。方法流程可大致分为连续统去除、光谱重采样、光谱匹配识别、矿物组分提取等几个步骤。基于高光谱遥感数据的矿物识别技术方法，可以在地表准确探测出碳酸盐矿物、层状硅酸盐矿物、硫酸盐矿物及混合矿物共计30余种，并能够准确反映各类矿物的空间分布特征。</w:t>
      </w:r>
    </w:p>
    <w:p w14:paraId="22AE93CD">
      <w:pPr>
        <w:pStyle w:val="2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6．其他要求</w:t>
      </w:r>
    </w:p>
    <w:p w14:paraId="71B60C3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color w:val="auto"/>
          <w:highlight w:val="none"/>
          <w:lang w:val="en-US" w:eastAsia="zh-CN"/>
        </w:rPr>
      </w:pPr>
      <w:r>
        <w:rPr>
          <w:rFonts w:hint="eastAsia" w:ascii="宋体" w:hAnsi="宋体" w:eastAsia="宋体" w:cs="宋体"/>
          <w:sz w:val="24"/>
          <w:szCs w:val="24"/>
          <w:highlight w:val="none"/>
        </w:rPr>
        <w:t>鼓励使用人工智能方法技术开展本次工作。</w:t>
      </w:r>
    </w:p>
    <w:p w14:paraId="3BADFCF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default"/>
          <w:b/>
          <w:bCs/>
          <w:color w:val="auto"/>
          <w:highlight w:val="none"/>
          <w:lang w:val="en-US" w:eastAsia="zh-CN"/>
        </w:rPr>
      </w:pPr>
      <w:r>
        <w:rPr>
          <w:rFonts w:hint="eastAsia"/>
          <w:b/>
          <w:bCs/>
          <w:color w:val="auto"/>
          <w:highlight w:val="none"/>
          <w:lang w:val="en-US" w:eastAsia="zh-CN"/>
        </w:rPr>
        <w:t>备注：加“★”项为实质性响应条款，不允许出现负偏离，否则作投标无效处理。</w:t>
      </w:r>
    </w:p>
    <w:bookmarkEnd w:id="130"/>
    <w:p w14:paraId="2253758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9"/>
        <w:rPr>
          <w:rFonts w:hint="eastAsia"/>
          <w:color w:val="auto"/>
          <w:highlight w:val="none"/>
          <w:lang w:val="en-US" w:eastAsia="zh-CN"/>
        </w:rPr>
      </w:pPr>
      <w:r>
        <w:rPr>
          <w:rFonts w:hint="eastAsia"/>
          <w:color w:val="auto"/>
          <w:highlight w:val="none"/>
          <w:lang w:val="en-US" w:eastAsia="zh-CN"/>
        </w:rPr>
        <w:br w:type="page"/>
      </w:r>
      <w:bookmarkEnd w:id="56"/>
      <w:bookmarkEnd w:id="57"/>
      <w:bookmarkEnd w:id="58"/>
      <w:bookmarkEnd w:id="59"/>
      <w:bookmarkEnd w:id="60"/>
      <w:bookmarkEnd w:id="61"/>
      <w:bookmarkEnd w:id="62"/>
      <w:bookmarkStart w:id="136" w:name="_Hlt101846155"/>
      <w:bookmarkEnd w:id="136"/>
      <w:bookmarkStart w:id="137" w:name="_Toc16847"/>
      <w:bookmarkStart w:id="138" w:name="_Toc217446097"/>
      <w:bookmarkStart w:id="139" w:name="_Toc183682415"/>
      <w:bookmarkStart w:id="140" w:name="_Toc183582280"/>
      <w:bookmarkStart w:id="141" w:name="_Toc208849007"/>
    </w:p>
    <w:p w14:paraId="455E06D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lang w:eastAsia="zh-CN"/>
        </w:rPr>
      </w:pPr>
      <w:bookmarkStart w:id="142" w:name="_Toc19421"/>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四部分</w:t>
      </w:r>
      <w:r>
        <w:rPr>
          <w:rFonts w:hint="eastAsia" w:ascii="宋体" w:hAnsi="宋体" w:eastAsia="宋体" w:cs="宋体"/>
          <w:color w:val="auto"/>
          <w:sz w:val="32"/>
          <w:szCs w:val="32"/>
          <w:highlight w:val="none"/>
        </w:rPr>
        <w:t xml:space="preserve"> </w:t>
      </w:r>
      <w:bookmarkEnd w:id="137"/>
      <w:r>
        <w:rPr>
          <w:rFonts w:hint="eastAsia" w:ascii="宋体" w:hAnsi="宋体" w:eastAsia="宋体" w:cs="宋体"/>
          <w:color w:val="auto"/>
          <w:sz w:val="32"/>
          <w:szCs w:val="32"/>
          <w:highlight w:val="none"/>
          <w:lang w:eastAsia="zh-CN"/>
        </w:rPr>
        <w:t>评审方法</w:t>
      </w:r>
      <w:bookmarkEnd w:id="142"/>
    </w:p>
    <w:bookmarkEnd w:id="138"/>
    <w:bookmarkEnd w:id="139"/>
    <w:bookmarkEnd w:id="140"/>
    <w:bookmarkEnd w:id="141"/>
    <w:p w14:paraId="0D25CC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3" w:name="_Toc17152"/>
      <w:bookmarkStart w:id="144" w:name="_Toc21981"/>
      <w:bookmarkStart w:id="145" w:name="_Toc217446099"/>
      <w:r>
        <w:rPr>
          <w:rFonts w:hint="eastAsia" w:ascii="宋体" w:hAnsi="宋体" w:eastAsia="宋体" w:cs="宋体"/>
          <w:bCs/>
          <w:color w:val="auto"/>
          <w:sz w:val="24"/>
          <w:szCs w:val="24"/>
          <w:highlight w:val="none"/>
        </w:rPr>
        <w:t>1.总则</w:t>
      </w:r>
      <w:bookmarkEnd w:id="143"/>
      <w:bookmarkEnd w:id="144"/>
    </w:p>
    <w:p w14:paraId="569A9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1.1根据《中华人民共和国政府采购法》和《政府采购货物和服务招标投标管理办法》（财政部第87号令）等法律规章，结合采购项目特点制定本评标办法。</w:t>
      </w:r>
    </w:p>
    <w:p w14:paraId="460FA5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1.2评标工作由采购人</w:t>
      </w:r>
      <w:r>
        <w:rPr>
          <w:rFonts w:hint="eastAsia" w:ascii="宋体" w:hAnsi="宋体" w:eastAsia="宋体" w:cs="宋体"/>
          <w:bCs/>
          <w:color w:val="auto"/>
          <w:sz w:val="24"/>
          <w:szCs w:val="24"/>
          <w:highlight w:val="none"/>
          <w:lang w:eastAsia="zh-CN"/>
        </w:rPr>
        <w:t>或代理机构</w:t>
      </w:r>
      <w:r>
        <w:rPr>
          <w:rFonts w:hint="eastAsia" w:ascii="宋体" w:hAnsi="宋体" w:eastAsia="宋体" w:cs="宋体"/>
          <w:bCs/>
          <w:color w:val="auto"/>
          <w:sz w:val="24"/>
          <w:szCs w:val="24"/>
          <w:highlight w:val="none"/>
        </w:rPr>
        <w:t>负责组织，具体评标事务由评标委员会负责。评标委员会由采购人代表和有关技术、经济等方面的专家组成。</w:t>
      </w:r>
    </w:p>
    <w:p w14:paraId="4DA52BB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1.3评标工作应遵循公平、公正、科学及择优的原则，并以相同的评标程序和标准对待所有的</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273A6D8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1.4评标委员会按照采购文件规定的评标方法和标准进行评标，并独立履行下列职责：</w:t>
      </w:r>
    </w:p>
    <w:p w14:paraId="3092B77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是否符合采购文件要求，并作出评价；</w:t>
      </w:r>
    </w:p>
    <w:p w14:paraId="2027595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（2）要求投标</w:t>
      </w:r>
      <w:r>
        <w:rPr>
          <w:rFonts w:hint="eastAsia" w:ascii="宋体" w:hAnsi="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有关事项作出解释或者澄清；</w:t>
      </w:r>
    </w:p>
    <w:p w14:paraId="3585B74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（3）推荐</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候选</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名单，或者受采购人委托按照事先确定的办法直接确定</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7843B7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（4）向采购单位或者有关部门报告非法干预评标工作的行为。</w:t>
      </w:r>
      <w:bookmarkStart w:id="146" w:name="_Toc217446098"/>
    </w:p>
    <w:p w14:paraId="123B75E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1.5评标过程严格保密。</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的评标过程或合同授予决定施加影响的任何行为都可能导致其投标被拒绝。</w:t>
      </w:r>
    </w:p>
    <w:p w14:paraId="2DC47A3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1.6评标委员会决定投标文件的响应性依据投标文件本身的内容，而不寻求外部的证据。</w:t>
      </w:r>
    </w:p>
    <w:p w14:paraId="2157C01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1.7评标委员会发现采购文件表述不明确或需要说明的事项，可提请采购单位书面解释说明。发现采购文件违反有关法律、法规和规章的，可以拒绝评标，并向采购单位书面说明情况。</w:t>
      </w:r>
    </w:p>
    <w:p w14:paraId="7300BAF7">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在评标过程中，评标委员会发现有下列情形之一的，视为投标人串通投标，其投标无效：</w:t>
      </w:r>
    </w:p>
    <w:p w14:paraId="7F5C400D">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53E9E6C">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5D0B14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14:paraId="5DD5759E">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951513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1C19BB6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7423579F">
      <w:pPr>
        <w:adjustRightInd w:val="0"/>
        <w:snapToGrid w:val="0"/>
        <w:spacing w:line="360" w:lineRule="auto"/>
        <w:ind w:firstLine="480" w:firstLineChars="200"/>
        <w:outlineLvl w:val="9"/>
        <w:rPr>
          <w:rFonts w:hint="eastAsia" w:ascii="宋体" w:hAnsi="宋体" w:cs="宋体"/>
          <w:color w:val="auto"/>
          <w:sz w:val="24"/>
          <w:highlight w:val="none"/>
        </w:rPr>
      </w:pPr>
      <w:bookmarkStart w:id="147" w:name="_Toc15247"/>
      <w:bookmarkStart w:id="148" w:name="_Toc5150"/>
      <w:r>
        <w:rPr>
          <w:rFonts w:hint="eastAsia" w:ascii="宋体" w:hAnsi="宋体" w:cs="宋体"/>
          <w:color w:val="auto"/>
          <w:sz w:val="24"/>
          <w:highlight w:val="none"/>
          <w:lang w:val="en-US" w:eastAsia="zh-CN"/>
        </w:rPr>
        <w:t>1.9</w:t>
      </w:r>
      <w:r>
        <w:rPr>
          <w:rFonts w:hint="eastAsia" w:ascii="宋体" w:hAnsi="宋体" w:cs="宋体"/>
          <w:color w:val="auto"/>
          <w:sz w:val="24"/>
          <w:highlight w:val="none"/>
        </w:rPr>
        <w:t>对与评标活动有关的工作人员的纪律要求</w:t>
      </w:r>
      <w:bookmarkEnd w:id="147"/>
      <w:bookmarkEnd w:id="148"/>
    </w:p>
    <w:p w14:paraId="6EEBF099">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07959417">
      <w:pPr>
        <w:adjustRightInd w:val="0"/>
        <w:snapToGrid w:val="0"/>
        <w:spacing w:line="360" w:lineRule="auto"/>
        <w:ind w:firstLine="480" w:firstLineChars="200"/>
        <w:outlineLvl w:val="9"/>
        <w:rPr>
          <w:rFonts w:hint="eastAsia" w:ascii="宋体" w:hAnsi="宋体" w:cs="宋体"/>
          <w:color w:val="auto"/>
          <w:sz w:val="24"/>
          <w:highlight w:val="none"/>
        </w:rPr>
      </w:pPr>
      <w:bookmarkStart w:id="149" w:name="_Toc16272"/>
      <w:bookmarkStart w:id="150" w:name="_Toc32479"/>
      <w:r>
        <w:rPr>
          <w:rFonts w:hint="eastAsia" w:ascii="宋体" w:hAnsi="宋体" w:cs="宋体"/>
          <w:color w:val="auto"/>
          <w:sz w:val="24"/>
          <w:highlight w:val="none"/>
          <w:lang w:val="en-US" w:eastAsia="zh-CN"/>
        </w:rPr>
        <w:t>1.10</w:t>
      </w:r>
      <w:r>
        <w:rPr>
          <w:rFonts w:hint="eastAsia" w:ascii="宋体" w:hAnsi="宋体" w:cs="宋体"/>
          <w:color w:val="auto"/>
          <w:sz w:val="24"/>
          <w:highlight w:val="none"/>
        </w:rPr>
        <w:t>对评标委员会成员要求评标纪律</w:t>
      </w:r>
      <w:bookmarkEnd w:id="149"/>
      <w:bookmarkEnd w:id="150"/>
    </w:p>
    <w:p w14:paraId="49EFB4A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.1评委会应当依照有关法律法规的规定，按照招标文件确定的评标标准和办法客观、公正的对投标文件提出评审意见。招标文件设有规定的评标标准和方法不得作为评标依据。</w:t>
      </w:r>
    </w:p>
    <w:p w14:paraId="7EE35C85">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.2评标委员会成员不得私下接触投标人，不得收受投标人给予的财务或者其他好处，不得向招标人征询确定中标人意向。</w:t>
      </w:r>
    </w:p>
    <w:p w14:paraId="6EA6CD8A">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.3不得接受任何单位或个人明示或暗示提出的倾向或排斥特定投标人的要求。</w:t>
      </w:r>
    </w:p>
    <w:p w14:paraId="039AD02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.4不得有其他不客观，不公正履行职务的行为。</w:t>
      </w:r>
    </w:p>
    <w:p w14:paraId="70F3C2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51" w:name="_Toc31942"/>
      <w:bookmarkStart w:id="152" w:name="_Toc22379"/>
      <w:r>
        <w:rPr>
          <w:rFonts w:hint="eastAsia" w:ascii="宋体" w:hAnsi="宋体" w:eastAsia="宋体" w:cs="宋体"/>
          <w:bCs/>
          <w:color w:val="auto"/>
          <w:sz w:val="24"/>
          <w:szCs w:val="24"/>
          <w:highlight w:val="none"/>
        </w:rPr>
        <w:t>2.评标方法</w:t>
      </w:r>
      <w:bookmarkEnd w:id="151"/>
      <w:bookmarkEnd w:id="152"/>
    </w:p>
    <w:bookmarkEnd w:id="146"/>
    <w:p w14:paraId="20DF1B9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本项目采用综合评分法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评标结果按评审后得分由高到低顺序排列。得分相同的，按投标报价由低到高顺序排列。</w:t>
      </w:r>
      <w:r>
        <w:rPr>
          <w:rFonts w:hint="eastAsia" w:ascii="宋体" w:hAnsi="宋体" w:eastAsia="宋体" w:cs="宋体"/>
          <w:color w:val="auto"/>
          <w:sz w:val="24"/>
          <w:szCs w:val="24"/>
          <w:highlight w:val="none"/>
          <w:lang w:eastAsia="zh-CN"/>
        </w:rPr>
        <w:t>得分且投标报价相同的，技术指标较优的一方为中标人。</w:t>
      </w:r>
    </w:p>
    <w:p w14:paraId="4048028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53" w:name="_Toc10751"/>
      <w:bookmarkStart w:id="154" w:name="_Toc28657"/>
      <w:r>
        <w:rPr>
          <w:rFonts w:hint="eastAsia" w:ascii="宋体" w:hAnsi="宋体" w:eastAsia="宋体" w:cs="宋体"/>
          <w:bCs/>
          <w:color w:val="auto"/>
          <w:sz w:val="24"/>
          <w:szCs w:val="24"/>
          <w:highlight w:val="none"/>
        </w:rPr>
        <w:t>3.评标程序</w:t>
      </w:r>
      <w:bookmarkEnd w:id="153"/>
      <w:bookmarkEnd w:id="154"/>
    </w:p>
    <w:p w14:paraId="297B447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1资格性审查。采购人或招标代理机构根据</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的投标文件进行资格审查，资格审查通过的单位进行符合性审查，未通过的单位予以废标处理。</w:t>
      </w:r>
    </w:p>
    <w:p w14:paraId="341FC12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60"/>
        <w:gridCol w:w="4500"/>
        <w:gridCol w:w="1233"/>
      </w:tblGrid>
      <w:tr w14:paraId="3939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6F71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3360" w:type="dxa"/>
            <w:noWrap w:val="0"/>
            <w:vAlign w:val="center"/>
          </w:tcPr>
          <w:p w14:paraId="3BEC2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因素</w:t>
            </w:r>
          </w:p>
        </w:tc>
        <w:tc>
          <w:tcPr>
            <w:tcW w:w="4500" w:type="dxa"/>
            <w:noWrap w:val="0"/>
            <w:vAlign w:val="center"/>
          </w:tcPr>
          <w:p w14:paraId="105168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审查标准</w:t>
            </w:r>
          </w:p>
        </w:tc>
        <w:tc>
          <w:tcPr>
            <w:tcW w:w="1233" w:type="dxa"/>
            <w:noWrap w:val="0"/>
            <w:vAlign w:val="center"/>
          </w:tcPr>
          <w:p w14:paraId="32BA3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0B73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60EEC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3360" w:type="dxa"/>
            <w:shd w:val="clear" w:color="auto" w:fill="auto"/>
            <w:noWrap w:val="0"/>
            <w:vAlign w:val="center"/>
          </w:tcPr>
          <w:p w14:paraId="17ACDAF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资格声明函</w:t>
            </w:r>
          </w:p>
        </w:tc>
        <w:tc>
          <w:tcPr>
            <w:tcW w:w="4500" w:type="dxa"/>
            <w:shd w:val="clear" w:color="auto" w:fill="auto"/>
            <w:noWrap w:val="0"/>
            <w:vAlign w:val="center"/>
          </w:tcPr>
          <w:p w14:paraId="3C00AA1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233" w:type="dxa"/>
            <w:noWrap w:val="0"/>
            <w:vAlign w:val="center"/>
          </w:tcPr>
          <w:p w14:paraId="4BC2292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10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4BDD5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3360" w:type="dxa"/>
            <w:shd w:val="clear" w:color="auto" w:fill="auto"/>
            <w:noWrap w:val="0"/>
            <w:vAlign w:val="center"/>
          </w:tcPr>
          <w:p w14:paraId="191F737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eastAsia="zh-CN"/>
              </w:rPr>
              <w:t>具有独立承担民事责任的能力的</w:t>
            </w:r>
            <w:r>
              <w:rPr>
                <w:rFonts w:hint="eastAsia" w:ascii="宋体" w:hAnsi="宋体" w:cs="宋体"/>
                <w:b w:val="0"/>
                <w:bCs/>
                <w:color w:val="auto"/>
                <w:kern w:val="0"/>
                <w:sz w:val="24"/>
                <w:szCs w:val="24"/>
                <w:highlight w:val="none"/>
                <w:vertAlign w:val="baseline"/>
                <w:lang w:val="en-US" w:eastAsia="zh-CN" w:bidi="ar-SA"/>
              </w:rPr>
              <w:t>投标人</w:t>
            </w:r>
          </w:p>
        </w:tc>
        <w:tc>
          <w:tcPr>
            <w:tcW w:w="4500" w:type="dxa"/>
            <w:shd w:val="clear" w:color="auto" w:fill="auto"/>
            <w:noWrap w:val="0"/>
            <w:vAlign w:val="center"/>
          </w:tcPr>
          <w:p w14:paraId="7F5C72C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54FFF53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7DABAC9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6DCA3EA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4C0B2DB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508CC6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5D7143C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233" w:type="dxa"/>
            <w:noWrap w:val="0"/>
            <w:vAlign w:val="center"/>
          </w:tcPr>
          <w:p w14:paraId="712EB61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highlight w:val="none"/>
                <w:lang w:eastAsia="zh-CN"/>
              </w:rPr>
            </w:pPr>
          </w:p>
        </w:tc>
      </w:tr>
      <w:tr w14:paraId="393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0DEE25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3360" w:type="dxa"/>
            <w:shd w:val="clear" w:color="auto" w:fill="auto"/>
            <w:noWrap w:val="0"/>
            <w:vAlign w:val="center"/>
          </w:tcPr>
          <w:p w14:paraId="3F414F2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4500" w:type="dxa"/>
            <w:shd w:val="clear" w:color="auto" w:fill="auto"/>
            <w:noWrap w:val="0"/>
            <w:vAlign w:val="center"/>
          </w:tcPr>
          <w:p w14:paraId="0BA2F84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233" w:type="dxa"/>
            <w:noWrap w:val="0"/>
            <w:vAlign w:val="center"/>
          </w:tcPr>
          <w:p w14:paraId="21051AC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340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noWrap w:val="0"/>
            <w:vAlign w:val="center"/>
          </w:tcPr>
          <w:p w14:paraId="04002C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3360" w:type="dxa"/>
            <w:shd w:val="clear" w:color="auto" w:fill="auto"/>
            <w:noWrap w:val="0"/>
            <w:vAlign w:val="center"/>
          </w:tcPr>
          <w:p w14:paraId="498A4C0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具有履行合同所必需的设备和专业技术能力</w:t>
            </w:r>
          </w:p>
        </w:tc>
        <w:tc>
          <w:tcPr>
            <w:tcW w:w="4500" w:type="dxa"/>
            <w:shd w:val="clear" w:color="auto" w:fill="auto"/>
            <w:noWrap w:val="0"/>
            <w:vAlign w:val="center"/>
          </w:tcPr>
          <w:p w14:paraId="343F13E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kern w:val="0"/>
                <w:sz w:val="24"/>
              </w:rPr>
              <w:t>按采购文件要求</w:t>
            </w:r>
            <w:r>
              <w:rPr>
                <w:rFonts w:hint="eastAsia" w:ascii="宋体" w:hAnsi="宋体" w:cs="宋体"/>
                <w:sz w:val="24"/>
                <w:szCs w:val="24"/>
              </w:rPr>
              <w:t>提供“具有履行合同所必需的设备和专业技术能力的声明函”</w:t>
            </w:r>
          </w:p>
        </w:tc>
        <w:tc>
          <w:tcPr>
            <w:tcW w:w="1233" w:type="dxa"/>
            <w:noWrap w:val="0"/>
            <w:vAlign w:val="center"/>
          </w:tcPr>
          <w:p w14:paraId="190E9D2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DBF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30" w:type="dxa"/>
            <w:noWrap w:val="0"/>
            <w:vAlign w:val="center"/>
          </w:tcPr>
          <w:p w14:paraId="7B1C5E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3360" w:type="dxa"/>
            <w:shd w:val="clear" w:color="auto" w:fill="auto"/>
            <w:noWrap w:val="0"/>
            <w:vAlign w:val="center"/>
          </w:tcPr>
          <w:p w14:paraId="137B4F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4500" w:type="dxa"/>
            <w:shd w:val="clear" w:color="auto" w:fill="auto"/>
            <w:noWrap w:val="0"/>
            <w:vAlign w:val="center"/>
          </w:tcPr>
          <w:p w14:paraId="198DA8F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sz w:val="24"/>
                <w:szCs w:val="24"/>
              </w:rPr>
              <w:t>提供近6个月内</w:t>
            </w:r>
            <w:r>
              <w:rPr>
                <w:rFonts w:hint="eastAsia" w:ascii="宋体" w:hAnsi="宋体" w:cs="宋体"/>
                <w:sz w:val="24"/>
                <w:szCs w:val="24"/>
                <w:lang w:val="en-US" w:eastAsia="zh-CN"/>
              </w:rPr>
              <w:t>任意</w:t>
            </w:r>
            <w:r>
              <w:rPr>
                <w:rFonts w:hint="eastAsia" w:ascii="宋体" w:hAnsi="宋体" w:cs="宋体"/>
                <w:sz w:val="24"/>
                <w:szCs w:val="24"/>
              </w:rPr>
              <w:t>1个月的依法缴纳税收的完税证明和社保缴纳证明加盖供应商公章；供应商依法享受缓缴、免缴税收，免缴社会保障资金的提供证明材料加盖</w:t>
            </w:r>
            <w:r>
              <w:rPr>
                <w:rFonts w:hint="eastAsia" w:ascii="宋体" w:hAnsi="宋体" w:cs="宋体"/>
                <w:sz w:val="24"/>
                <w:szCs w:val="24"/>
                <w:lang w:val="en-US" w:eastAsia="zh-CN"/>
              </w:rPr>
              <w:t>投标人</w:t>
            </w:r>
            <w:r>
              <w:rPr>
                <w:rFonts w:hint="eastAsia" w:ascii="宋体" w:hAnsi="宋体" w:cs="宋体"/>
                <w:sz w:val="24"/>
                <w:szCs w:val="24"/>
              </w:rPr>
              <w:t>公章</w:t>
            </w:r>
          </w:p>
        </w:tc>
        <w:tc>
          <w:tcPr>
            <w:tcW w:w="1233" w:type="dxa"/>
            <w:noWrap w:val="0"/>
            <w:vAlign w:val="center"/>
          </w:tcPr>
          <w:p w14:paraId="1551C7C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14C2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504455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3360" w:type="dxa"/>
            <w:shd w:val="clear" w:color="auto" w:fill="auto"/>
            <w:noWrap w:val="0"/>
            <w:vAlign w:val="center"/>
          </w:tcPr>
          <w:p w14:paraId="038223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参加本次采购活动前三年内，在经营活动中没有重大违法记录</w:t>
            </w:r>
          </w:p>
        </w:tc>
        <w:tc>
          <w:tcPr>
            <w:tcW w:w="4500" w:type="dxa"/>
            <w:shd w:val="clear" w:color="auto" w:fill="auto"/>
            <w:noWrap w:val="0"/>
            <w:vAlign w:val="center"/>
          </w:tcPr>
          <w:p w14:paraId="51DE0B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574E11E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233" w:type="dxa"/>
            <w:noWrap w:val="0"/>
            <w:vAlign w:val="center"/>
          </w:tcPr>
          <w:p w14:paraId="3DD0B4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3B7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6A5F87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3360" w:type="dxa"/>
            <w:shd w:val="clear" w:color="auto" w:fill="auto"/>
            <w:noWrap w:val="0"/>
            <w:vAlign w:val="center"/>
          </w:tcPr>
          <w:p w14:paraId="09AE4FB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特定资格要求</w:t>
            </w:r>
          </w:p>
        </w:tc>
        <w:tc>
          <w:tcPr>
            <w:tcW w:w="4500" w:type="dxa"/>
            <w:shd w:val="clear" w:color="auto" w:fill="auto"/>
            <w:noWrap w:val="0"/>
            <w:vAlign w:val="center"/>
          </w:tcPr>
          <w:p w14:paraId="6D46EB3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074FD91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2.项目负责人：</w:t>
            </w:r>
          </w:p>
          <w:p w14:paraId="64A0EFA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①提供</w:t>
            </w:r>
            <w:r>
              <w:rPr>
                <w:rFonts w:hint="eastAsia" w:ascii="宋体" w:hAnsi="宋体" w:cs="宋体"/>
                <w:sz w:val="24"/>
                <w:szCs w:val="24"/>
              </w:rPr>
              <w:t>地质矿产勘查或钻探相关专业高级工程师及以上职称</w:t>
            </w:r>
            <w:r>
              <w:rPr>
                <w:rFonts w:ascii="宋体" w:hAnsi="宋体" w:eastAsia="宋体" w:cs="宋体"/>
                <w:sz w:val="24"/>
                <w:szCs w:val="24"/>
              </w:rPr>
              <w:t>证书</w:t>
            </w:r>
            <w:r>
              <w:rPr>
                <w:rFonts w:hint="eastAsia" w:ascii="宋体" w:hAnsi="宋体" w:eastAsia="宋体" w:cs="宋体"/>
                <w:sz w:val="24"/>
                <w:szCs w:val="24"/>
                <w:lang w:eastAsia="zh-CN"/>
              </w:rPr>
              <w:t>；</w:t>
            </w:r>
          </w:p>
          <w:p w14:paraId="4523250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②</w:t>
            </w:r>
            <w:r>
              <w:rPr>
                <w:rFonts w:hint="eastAsia" w:ascii="宋体" w:hAnsi="宋体" w:eastAsia="宋体" w:cs="宋体"/>
                <w:b w:val="0"/>
                <w:bCs/>
                <w:color w:val="auto"/>
                <w:kern w:val="0"/>
                <w:sz w:val="24"/>
                <w:szCs w:val="24"/>
                <w:highlight w:val="none"/>
                <w:vertAlign w:val="baseline"/>
                <w:lang w:val="en-US" w:eastAsia="zh-CN" w:bidi="ar-SA"/>
              </w:rPr>
              <w:t>须为投标人在职人员，提供投标截止时间前近1个月的社保缴纳证明材料。</w:t>
            </w:r>
          </w:p>
        </w:tc>
        <w:tc>
          <w:tcPr>
            <w:tcW w:w="1233" w:type="dxa"/>
            <w:noWrap w:val="0"/>
            <w:vAlign w:val="center"/>
          </w:tcPr>
          <w:p w14:paraId="491E33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69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0" w:type="dxa"/>
            <w:noWrap w:val="0"/>
            <w:vAlign w:val="center"/>
          </w:tcPr>
          <w:p w14:paraId="78039D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93" w:type="dxa"/>
            <w:gridSpan w:val="3"/>
            <w:noWrap w:val="0"/>
            <w:vAlign w:val="center"/>
          </w:tcPr>
          <w:p w14:paraId="696E39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481AB788">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rPr>
      </w:pPr>
    </w:p>
    <w:p w14:paraId="60DE7C25">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rPr>
        <w:t>备注：如果</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中有一项未通过上述审查标准，将认定整个</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不响应采购文件而予以无效处理，并且不允许供应商通过修改或撤销其不符合要求的差异或保留，使之成为具有响应性的投标。</w:t>
      </w:r>
    </w:p>
    <w:p w14:paraId="4E3A413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3.2符合性检查。依据采购文件的规定，从</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的有效性、完整性和对采购文件的响应程度进行审查，以确定是否对采购文件的实质性要求作出响应。</w:t>
      </w:r>
    </w:p>
    <w:p w14:paraId="68AA15C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cs="宋体"/>
          <w:b w:val="0"/>
          <w:bCs/>
          <w:color w:val="auto"/>
          <w:kern w:val="0"/>
          <w:sz w:val="24"/>
          <w:szCs w:val="24"/>
          <w:highlight w:val="none"/>
          <w:vertAlign w:val="baseline"/>
          <w:lang w:val="en-US" w:eastAsia="zh-CN" w:bidi="ar-SA"/>
        </w:rPr>
        <w:t>投标人</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属于下列情况之一的，在符合性检查时按照无效投标处理：</w:t>
      </w:r>
    </w:p>
    <w:p w14:paraId="6AB7FD3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符合性审查表</w:t>
      </w:r>
    </w:p>
    <w:tbl>
      <w:tblPr>
        <w:tblStyle w:val="4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91"/>
        <w:gridCol w:w="5033"/>
        <w:gridCol w:w="1303"/>
      </w:tblGrid>
      <w:tr w14:paraId="2B90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1915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2591" w:type="dxa"/>
            <w:noWrap w:val="0"/>
            <w:vAlign w:val="center"/>
          </w:tcPr>
          <w:p w14:paraId="5C8A6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审查因素</w:t>
            </w:r>
          </w:p>
        </w:tc>
        <w:tc>
          <w:tcPr>
            <w:tcW w:w="5033" w:type="dxa"/>
            <w:noWrap w:val="0"/>
            <w:vAlign w:val="center"/>
          </w:tcPr>
          <w:p w14:paraId="19DD5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标准</w:t>
            </w:r>
          </w:p>
        </w:tc>
        <w:tc>
          <w:tcPr>
            <w:tcW w:w="1303" w:type="dxa"/>
            <w:noWrap w:val="0"/>
            <w:vAlign w:val="center"/>
          </w:tcPr>
          <w:p w14:paraId="07C0A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56F1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0433A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2591" w:type="dxa"/>
            <w:noWrap w:val="0"/>
            <w:vAlign w:val="center"/>
          </w:tcPr>
          <w:p w14:paraId="3EE1BC7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投标报价</w:t>
            </w:r>
          </w:p>
        </w:tc>
        <w:tc>
          <w:tcPr>
            <w:tcW w:w="5033" w:type="dxa"/>
            <w:noWrap w:val="0"/>
            <w:vAlign w:val="center"/>
          </w:tcPr>
          <w:p w14:paraId="7DB324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303" w:type="dxa"/>
            <w:noWrap w:val="0"/>
            <w:vAlign w:val="center"/>
          </w:tcPr>
          <w:p w14:paraId="07B5034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8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685A73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2591" w:type="dxa"/>
            <w:noWrap w:val="0"/>
            <w:vAlign w:val="center"/>
          </w:tcPr>
          <w:p w14:paraId="40146A6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default" w:ascii="宋体" w:hAnsi="宋体" w:eastAsia="宋体" w:cs="宋体"/>
                <w:b w:val="0"/>
                <w:bCs/>
                <w:color w:val="auto"/>
                <w:kern w:val="0"/>
                <w:sz w:val="24"/>
                <w:szCs w:val="24"/>
                <w:highlight w:val="none"/>
                <w:vertAlign w:val="baseline"/>
                <w:lang w:val="en-US" w:eastAsia="zh-CN"/>
              </w:rPr>
              <w:t>授权委托书或法人身份证明</w:t>
            </w:r>
          </w:p>
        </w:tc>
        <w:tc>
          <w:tcPr>
            <w:tcW w:w="5033" w:type="dxa"/>
            <w:noWrap w:val="0"/>
            <w:vAlign w:val="center"/>
          </w:tcPr>
          <w:p w14:paraId="2238E74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303" w:type="dxa"/>
            <w:noWrap w:val="0"/>
            <w:vAlign w:val="center"/>
          </w:tcPr>
          <w:p w14:paraId="0A8EAE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5C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5E165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2591" w:type="dxa"/>
            <w:noWrap w:val="0"/>
            <w:vAlign w:val="center"/>
          </w:tcPr>
          <w:p w14:paraId="7C6F6FD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eastAsia="zh-CN"/>
              </w:rPr>
              <w:t>签署、盖章</w:t>
            </w:r>
          </w:p>
        </w:tc>
        <w:tc>
          <w:tcPr>
            <w:tcW w:w="5033" w:type="dxa"/>
            <w:noWrap w:val="0"/>
            <w:vAlign w:val="center"/>
          </w:tcPr>
          <w:p w14:paraId="0CE374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303" w:type="dxa"/>
            <w:noWrap w:val="0"/>
            <w:vAlign w:val="center"/>
          </w:tcPr>
          <w:p w14:paraId="4A47B9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792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351D1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2591" w:type="dxa"/>
            <w:noWrap w:val="0"/>
            <w:vAlign w:val="center"/>
          </w:tcPr>
          <w:p w14:paraId="425915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保证金或电子保函</w:t>
            </w:r>
          </w:p>
        </w:tc>
        <w:tc>
          <w:tcPr>
            <w:tcW w:w="5033" w:type="dxa"/>
            <w:noWrap w:val="0"/>
            <w:vAlign w:val="center"/>
          </w:tcPr>
          <w:p w14:paraId="2A8136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303" w:type="dxa"/>
            <w:noWrap w:val="0"/>
            <w:vAlign w:val="center"/>
          </w:tcPr>
          <w:p w14:paraId="6B5618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675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3B457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2591" w:type="dxa"/>
            <w:noWrap w:val="0"/>
            <w:vAlign w:val="center"/>
          </w:tcPr>
          <w:p w14:paraId="693C1E5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p>
        </w:tc>
        <w:tc>
          <w:tcPr>
            <w:tcW w:w="5033" w:type="dxa"/>
            <w:noWrap w:val="0"/>
            <w:vAlign w:val="center"/>
          </w:tcPr>
          <w:p w14:paraId="16A45A7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303" w:type="dxa"/>
            <w:noWrap w:val="0"/>
            <w:vAlign w:val="center"/>
          </w:tcPr>
          <w:p w14:paraId="720B12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5EF3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DE87F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2591" w:type="dxa"/>
            <w:noWrap w:val="0"/>
            <w:vAlign w:val="center"/>
          </w:tcPr>
          <w:p w14:paraId="1BDEF4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eastAsia="zh-CN"/>
              </w:rPr>
              <w:t>实质性要求和条款</w:t>
            </w:r>
          </w:p>
        </w:tc>
        <w:tc>
          <w:tcPr>
            <w:tcW w:w="5033" w:type="dxa"/>
            <w:noWrap w:val="0"/>
            <w:vAlign w:val="center"/>
          </w:tcPr>
          <w:p w14:paraId="5D3131E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303" w:type="dxa"/>
            <w:noWrap w:val="0"/>
            <w:vAlign w:val="center"/>
          </w:tcPr>
          <w:p w14:paraId="1BEA3E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C5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4E0F8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2591" w:type="dxa"/>
            <w:noWrap w:val="0"/>
            <w:vAlign w:val="center"/>
          </w:tcPr>
          <w:p w14:paraId="4B8B289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采购人不能接受的条件</w:t>
            </w:r>
          </w:p>
        </w:tc>
        <w:tc>
          <w:tcPr>
            <w:tcW w:w="5033" w:type="dxa"/>
            <w:noWrap w:val="0"/>
            <w:vAlign w:val="center"/>
          </w:tcPr>
          <w:p w14:paraId="3CF79EF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303" w:type="dxa"/>
            <w:noWrap w:val="0"/>
            <w:vAlign w:val="center"/>
          </w:tcPr>
          <w:p w14:paraId="7FBBAB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A8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5FF20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509D726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E8DCB0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备注：如果</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中有一项未通过上述审查标准，</w:t>
      </w:r>
      <w:r>
        <w:rPr>
          <w:rFonts w:hint="eastAsia" w:ascii="宋体" w:hAnsi="宋体" w:cs="宋体"/>
          <w:b/>
          <w:bCs w:val="0"/>
          <w:color w:val="auto"/>
          <w:sz w:val="24"/>
          <w:szCs w:val="24"/>
          <w:highlight w:val="none"/>
          <w:lang w:val="en-US" w:eastAsia="zh-CN"/>
        </w:rPr>
        <w:t>评标委员会</w:t>
      </w:r>
      <w:r>
        <w:rPr>
          <w:rFonts w:hint="eastAsia" w:ascii="宋体" w:hAnsi="宋体" w:eastAsia="宋体" w:cs="宋体"/>
          <w:b/>
          <w:bCs w:val="0"/>
          <w:color w:val="auto"/>
          <w:sz w:val="24"/>
          <w:szCs w:val="24"/>
          <w:highlight w:val="none"/>
          <w:lang w:val="en-US" w:eastAsia="zh-CN"/>
        </w:rPr>
        <w:t>将认定整个</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不响应采购文件而予以无效处理，并且不允许供应商通过修改或撤销其不符合要求的差异或保留，使之成为具有响应性的投标。</w:t>
      </w:r>
    </w:p>
    <w:p w14:paraId="092B9E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3.2.1在</w:t>
      </w:r>
      <w:r>
        <w:rPr>
          <w:rFonts w:hint="eastAsia" w:ascii="宋体" w:hAnsi="宋体" w:cs="宋体"/>
          <w:bCs/>
          <w:color w:val="auto"/>
          <w:sz w:val="24"/>
          <w:szCs w:val="24"/>
          <w:highlight w:val="none"/>
          <w:lang w:val="en-US" w:eastAsia="zh-CN"/>
        </w:rPr>
        <w:t>投标文件</w:t>
      </w:r>
      <w:r>
        <w:rPr>
          <w:rFonts w:hint="eastAsia" w:ascii="宋体" w:hAnsi="宋体" w:eastAsia="宋体" w:cs="宋体"/>
          <w:bCs/>
          <w:color w:val="auto"/>
          <w:sz w:val="24"/>
          <w:szCs w:val="24"/>
          <w:highlight w:val="none"/>
          <w:lang w:val="en-US" w:eastAsia="zh-CN"/>
        </w:rPr>
        <w:t>符合性审查过程中，如果出现</w:t>
      </w:r>
      <w:r>
        <w:rPr>
          <w:rFonts w:hint="eastAsia" w:ascii="宋体" w:hAnsi="宋体" w:cs="宋体"/>
          <w:bCs/>
          <w:color w:val="auto"/>
          <w:sz w:val="24"/>
          <w:szCs w:val="24"/>
          <w:highlight w:val="none"/>
          <w:lang w:val="en-US" w:eastAsia="zh-CN"/>
        </w:rPr>
        <w:t>评标委员会</w:t>
      </w:r>
      <w:r>
        <w:rPr>
          <w:rFonts w:hint="eastAsia" w:ascii="宋体" w:hAnsi="宋体" w:eastAsia="宋体" w:cs="宋体"/>
          <w:bCs/>
          <w:color w:val="auto"/>
          <w:sz w:val="24"/>
          <w:szCs w:val="24"/>
          <w:highlight w:val="none"/>
          <w:lang w:val="en-US" w:eastAsia="zh-CN"/>
        </w:rPr>
        <w:t>成员意见不一致的情况，按照</w:t>
      </w:r>
      <w:r>
        <w:rPr>
          <w:rFonts w:hint="eastAsia" w:ascii="宋体" w:hAnsi="宋体" w:eastAsia="宋体" w:cs="宋体"/>
          <w:bCs/>
          <w:color w:val="auto"/>
          <w:sz w:val="24"/>
          <w:szCs w:val="24"/>
          <w:highlight w:val="none"/>
          <w:lang w:eastAsia="zh-CN"/>
        </w:rPr>
        <w:t>少数服从多数的原则确定，但不得违背政府采购基本原则和采购文件规定。</w:t>
      </w:r>
    </w:p>
    <w:p w14:paraId="11A0F2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3.2.2</w:t>
      </w:r>
      <w:r>
        <w:rPr>
          <w:rFonts w:hint="eastAsia" w:ascii="宋体" w:hAnsi="宋体" w:eastAsia="宋体" w:cs="宋体"/>
          <w:bCs/>
          <w:color w:val="auto"/>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692BC1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3.3澄清有关问题。对</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中含义不明确、同类问题表述不一致或者有明显文字和计算错误的内容，</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可以书面形式（应当由</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专家签字）要求供应商作出必要的澄清、说明或者纠正。供应商的澄清、说明或者补正应当采用书面形式，由其授权的代表签字，并不得超出投标文件的范围或者改变</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的实质性内容。</w:t>
      </w:r>
      <w:bookmarkStart w:id="155" w:name="_Toc183682422"/>
      <w:bookmarkEnd w:id="155"/>
      <w:bookmarkStart w:id="156" w:name="_Toc217446104"/>
      <w:bookmarkEnd w:id="156"/>
      <w:bookmarkStart w:id="157" w:name="_Toc183582287"/>
      <w:bookmarkEnd w:id="157"/>
    </w:p>
    <w:p w14:paraId="2943EB8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3.4比较与评价。按采购文件中规定的评标方法和标准，对符合性审查合格的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进行商务、技术和服务评估，综合比较与评价。</w:t>
      </w:r>
    </w:p>
    <w:p w14:paraId="7E5092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3.5推荐中标（成交）候选供应商名单。中标（成交）候选供应商数量应当根据采购需要确定，但必须按顺序排列中标（成交）候选供应商。</w:t>
      </w:r>
    </w:p>
    <w:p w14:paraId="07892A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3.5.1本项目采用综合评分法，评标结果按评审后得分由高到低顺序排列。得分相同的，按投标报价由低到高顺序排列。得分且投标报价相同的排序并列。</w:t>
      </w:r>
    </w:p>
    <w:p w14:paraId="13F1E07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3.6编写评标报告。评标报告是</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根据全体评标成员签字的原始评标记录和评标结果编写的报告，其主要内容包括：</w:t>
      </w:r>
    </w:p>
    <w:p w14:paraId="38BF288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（1）项目概况、开标日期和地点；</w:t>
      </w:r>
    </w:p>
    <w:p w14:paraId="04C266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（2）购买采购文件的供应商名单和</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成员名单；</w:t>
      </w:r>
    </w:p>
    <w:p w14:paraId="242E37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（3）评标方法和标准；</w:t>
      </w:r>
    </w:p>
    <w:p w14:paraId="7109F6E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（4）开标记录和评标情况及说明，包括投标无效供应商名单及原因；</w:t>
      </w:r>
    </w:p>
    <w:p w14:paraId="79DBAD7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（5）评标结果和中标（成交）候选供应商排序。</w:t>
      </w:r>
    </w:p>
    <w:p w14:paraId="70C6BC2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8" w:name="_Toc217446103"/>
      <w:r>
        <w:rPr>
          <w:rFonts w:hint="eastAsia" w:ascii="宋体" w:hAnsi="宋体" w:eastAsia="宋体" w:cs="宋体"/>
          <w:bCs/>
          <w:color w:val="auto"/>
          <w:sz w:val="24"/>
          <w:szCs w:val="24"/>
          <w:highlight w:val="none"/>
          <w:lang w:eastAsia="zh-CN"/>
        </w:rPr>
        <w:t>4.评标细则及标准</w:t>
      </w:r>
      <w:bookmarkEnd w:id="158"/>
    </w:p>
    <w:p w14:paraId="5855CE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4.1</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只对通过符合性审查的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，根据采购文件的要求采用相同的评标程序、评分办法及标准进行评价和比较。</w:t>
      </w:r>
    </w:p>
    <w:p w14:paraId="7E931E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4.2本次综合评分的因素是：价格、服务、业绩、对采购文件的响应程度和（如涉及）节能、环境标志产品及投标文件规范性等。</w:t>
      </w:r>
    </w:p>
    <w:p w14:paraId="553069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4.3除价格因素外，</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成员应依据</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规定的评分标准和方法独立对其他因素进行比较打分。</w:t>
      </w:r>
    </w:p>
    <w:p w14:paraId="3942F9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4.4在评标过程中，</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有下列情况之一，</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成员应当按照采购文件规定的非实质性偏离进行扣分：</w:t>
      </w:r>
    </w:p>
    <w:p w14:paraId="6D872B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220256A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未编制目录、页码；</w:t>
      </w:r>
    </w:p>
    <w:p w14:paraId="433C7A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（3）认定的与采购文件规定的技术、商务和其他规定要求不符的非实质性偏离；</w:t>
      </w:r>
    </w:p>
    <w:p w14:paraId="17DE711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（4）认定的其他非实质性偏离。</w:t>
      </w:r>
    </w:p>
    <w:p w14:paraId="26EE305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4.5综合评审标准</w:t>
      </w:r>
    </w:p>
    <w:p w14:paraId="42ADD2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4.5.1综合评审标准的制定以科学合理、降低</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自由裁量权为原则。</w:t>
      </w:r>
    </w:p>
    <w:p w14:paraId="59BE3D4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4.5.2</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将按照下述评审标准对通过符合性审查的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进行详细评审，供应商评审得分等于所有评委评分的算术平均值，结果保留两位小数。</w:t>
      </w:r>
    </w:p>
    <w:p w14:paraId="15822E3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评标因素权重表：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77"/>
        <w:gridCol w:w="2586"/>
        <w:gridCol w:w="2945"/>
      </w:tblGrid>
      <w:tr w14:paraId="321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7F39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74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0FBB22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475E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r>
      <w:tr w14:paraId="721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E579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评标因素</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E2842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1D7C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技术、商务部分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EC2E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14:paraId="2B6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3B137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D48F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7932D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25AE8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32C064C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p>
    <w:p w14:paraId="1AF6B2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4.5.3</w:t>
      </w:r>
      <w:r>
        <w:rPr>
          <w:rFonts w:hint="eastAsia" w:ascii="宋体" w:hAnsi="宋体" w:eastAsia="宋体" w:cs="宋体"/>
          <w:bCs/>
          <w:color w:val="auto"/>
          <w:sz w:val="24"/>
          <w:szCs w:val="24"/>
          <w:highlight w:val="none"/>
          <w:lang w:eastAsia="zh-CN"/>
        </w:rPr>
        <w:t>价格得分的评分方法：采用低价优先法计算，即满足采购文件要求且投标价格最低的投标报价为评标基准价，其价格得分为满分。其他投标人的价格得分统一按照下列公式计算：价格得分=（评标基准价/</w:t>
      </w:r>
      <w:r>
        <w:rPr>
          <w:rFonts w:hint="eastAsia" w:ascii="宋体" w:hAnsi="宋体" w:eastAsia="宋体" w:cs="宋体"/>
          <w:bCs/>
          <w:color w:val="auto"/>
          <w:sz w:val="24"/>
          <w:szCs w:val="24"/>
          <w:highlight w:val="none"/>
          <w:lang w:val="zh-CN" w:eastAsia="zh-CN"/>
        </w:rPr>
        <w:t>投标报价</w:t>
      </w:r>
      <w:r>
        <w:rPr>
          <w:rFonts w:hint="eastAsia" w:ascii="宋体" w:hAnsi="宋体" w:eastAsia="宋体" w:cs="宋体"/>
          <w:bCs/>
          <w:color w:val="auto"/>
          <w:sz w:val="24"/>
          <w:szCs w:val="24"/>
          <w:highlight w:val="none"/>
          <w:lang w:eastAsia="zh-CN"/>
        </w:rPr>
        <w:t>）×报价部分权重×100，如此类推，算出所有投标供应商的价格得分。</w:t>
      </w:r>
    </w:p>
    <w:p w14:paraId="51AA60F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评审优惠内容及价格扣除：</w:t>
      </w:r>
    </w:p>
    <w:p w14:paraId="3CB0CF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（一）小型和微型企业产品价格扣除</w:t>
      </w:r>
    </w:p>
    <w:p w14:paraId="59D053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根据财政部印发的《政府采购促进中小企业发展管理办法》（财库[20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号）和《关于进一步加大政府采购支持中小企业力度的通知》（财库[20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lang w:eastAsia="zh-CN"/>
        </w:rPr>
        <w:t>号）的规定，对小型和微型企业产品给予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的价格扣除优惠，用扣除后的价格参与评审。</w:t>
      </w:r>
    </w:p>
    <w:p w14:paraId="64DE102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号）所称中小企业（含中型、小型、微型企业，下同）应当同时符合以下条件：</w:t>
      </w:r>
    </w:p>
    <w:p w14:paraId="2112CA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符合中小企业划分标准；</w:t>
      </w:r>
    </w:p>
    <w:p w14:paraId="12AEEA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提供本企业制造的货物、承担的工程或者服务，或者提供其他中小企业制造的货物。本项所称货物不包括使用大型企业注册商标的货物。</w:t>
      </w:r>
    </w:p>
    <w:p w14:paraId="6CA8A48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4686CB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（二）监狱企业产品价格扣除</w:t>
      </w:r>
    </w:p>
    <w:p w14:paraId="24BAD6C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监狱企业视同小型、微型企业，按上述条款享受评审中价格扣除。</w:t>
      </w:r>
    </w:p>
    <w:p w14:paraId="4FF17C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D847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监狱企业参加政府采购活动时，应当提供由省级以上监狱管理局、戒毒管理局（含新疆生产建设兵团）出具的属于监狱企业的证明文件，否则不予认可。</w:t>
      </w:r>
    </w:p>
    <w:p w14:paraId="72AE1F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（三）残疾人福利性单位产品价格扣除</w:t>
      </w:r>
    </w:p>
    <w:p w14:paraId="02613F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残疾人福利性单位视同小型、微型企业，按上述条款享受评审中价格扣除。</w:t>
      </w:r>
    </w:p>
    <w:p w14:paraId="64DE708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3BE807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投标人同时为小型、微型企业、监狱企业、残疾人福利性单位任两种或以上情况的，评审中只享受一次价格扣除，不重复进行价格扣除。</w:t>
      </w:r>
    </w:p>
    <w:p w14:paraId="4D08119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（四）节能产品、环境标志产品价格扣除：</w:t>
      </w:r>
    </w:p>
    <w:p w14:paraId="109EE3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针对非政府强制采购产品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纳入国家行业主管部门颁布的最新一期节能产品清单的，节能产品投标报价占总投标报价比例在30%或以上的，对节能产品的价格给予2%的扣除，在30%以下的，对节能产品的价格给予1%的扣除，用扣除后的价格参与评审。</w:t>
      </w:r>
      <w:r>
        <w:rPr>
          <w:rFonts w:hint="eastAsia" w:ascii="宋体" w:hAnsi="宋体" w:eastAsia="宋体" w:cs="宋体"/>
          <w:b/>
          <w:bCs w:val="0"/>
          <w:color w:val="auto"/>
          <w:sz w:val="24"/>
          <w:szCs w:val="24"/>
          <w:highlight w:val="none"/>
          <w:lang w:eastAsia="zh-CN"/>
        </w:rPr>
        <w:t>（提供投标产品所在清单页加盖投标人公章）</w:t>
      </w:r>
      <w:r>
        <w:rPr>
          <w:rFonts w:hint="eastAsia" w:ascii="宋体" w:hAnsi="宋体" w:eastAsia="宋体" w:cs="宋体"/>
          <w:bCs/>
          <w:color w:val="auto"/>
          <w:sz w:val="24"/>
          <w:szCs w:val="24"/>
          <w:highlight w:val="none"/>
          <w:lang w:eastAsia="zh-CN"/>
        </w:rPr>
        <w:t>。</w:t>
      </w:r>
    </w:p>
    <w:p w14:paraId="3A7896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7FE6A9C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4.5.4报价评审标准</w:t>
      </w:r>
    </w:p>
    <w:p w14:paraId="66BF0B3B">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报价评</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标准（</w:t>
      </w:r>
      <w:r>
        <w:rPr>
          <w:rFonts w:hint="eastAsia" w:ascii="宋体" w:hAnsi="宋体" w:eastAsia="宋体" w:cs="宋体"/>
          <w:b/>
          <w:color w:val="auto"/>
          <w:spacing w:val="-2"/>
          <w:sz w:val="24"/>
          <w:szCs w:val="24"/>
          <w:highlight w:val="none"/>
        </w:rPr>
        <w:t>占总分值的</w:t>
      </w:r>
      <w:r>
        <w:rPr>
          <w:rFonts w:hint="eastAsia" w:ascii="宋体" w:hAnsi="宋体" w:cs="宋体"/>
          <w:b/>
          <w:color w:val="auto"/>
          <w:spacing w:val="-2"/>
          <w:sz w:val="24"/>
          <w:szCs w:val="24"/>
          <w:highlight w:val="none"/>
          <w:lang w:val="en-US" w:eastAsia="zh-CN"/>
        </w:rPr>
        <w:t>1</w:t>
      </w:r>
      <w:r>
        <w:rPr>
          <w:rFonts w:hint="eastAsia" w:ascii="宋体" w:hAnsi="宋体" w:eastAsia="宋体" w:cs="宋体"/>
          <w:b/>
          <w:color w:val="auto"/>
          <w:spacing w:val="-2"/>
          <w:sz w:val="24"/>
          <w:szCs w:val="24"/>
          <w:highlight w:val="none"/>
          <w:lang w:val="en-US" w:eastAsia="zh-CN"/>
        </w:rPr>
        <w:t>0</w:t>
      </w:r>
      <w:r>
        <w:rPr>
          <w:rFonts w:hint="eastAsia" w:ascii="宋体" w:hAnsi="宋体" w:eastAsia="宋体" w:cs="宋体"/>
          <w:b/>
          <w:color w:val="auto"/>
          <w:spacing w:val="-2"/>
          <w:sz w:val="24"/>
          <w:szCs w:val="24"/>
          <w:highlight w:val="none"/>
        </w:rPr>
        <w:t>%</w:t>
      </w:r>
      <w:r>
        <w:rPr>
          <w:rFonts w:hint="eastAsia" w:ascii="宋体" w:hAnsi="宋体" w:eastAsia="宋体" w:cs="宋体"/>
          <w:b/>
          <w:bCs/>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2"/>
        <w:gridCol w:w="7596"/>
      </w:tblGrid>
      <w:tr w14:paraId="305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0" w:type="dxa"/>
            <w:noWrap w:val="0"/>
            <w:vAlign w:val="center"/>
          </w:tcPr>
          <w:p w14:paraId="3AE9145B">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1332" w:type="dxa"/>
            <w:noWrap w:val="0"/>
            <w:vAlign w:val="center"/>
          </w:tcPr>
          <w:p w14:paraId="38F95511">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评审因素</w:t>
            </w:r>
          </w:p>
        </w:tc>
        <w:tc>
          <w:tcPr>
            <w:tcW w:w="7596" w:type="dxa"/>
            <w:noWrap w:val="0"/>
            <w:vAlign w:val="center"/>
          </w:tcPr>
          <w:p w14:paraId="4C1C9892">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评分标准</w:t>
            </w:r>
          </w:p>
        </w:tc>
      </w:tr>
      <w:tr w14:paraId="7FE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0" w:type="dxa"/>
            <w:vMerge w:val="restart"/>
            <w:noWrap w:val="0"/>
            <w:vAlign w:val="center"/>
          </w:tcPr>
          <w:p w14:paraId="3AF8A4DF">
            <w:pPr>
              <w:autoSpaceDE w:val="0"/>
              <w:autoSpaceDN w:val="0"/>
              <w:adjustRightInd w:val="0"/>
              <w:jc w:val="center"/>
              <w:outlineLvl w:val="9"/>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w:t>
            </w:r>
          </w:p>
        </w:tc>
        <w:tc>
          <w:tcPr>
            <w:tcW w:w="1332" w:type="dxa"/>
            <w:vMerge w:val="restart"/>
            <w:noWrap w:val="0"/>
            <w:vAlign w:val="center"/>
          </w:tcPr>
          <w:p w14:paraId="590B962B">
            <w:pPr>
              <w:autoSpaceDE w:val="0"/>
              <w:autoSpaceDN w:val="0"/>
              <w:adjustRightInd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投标报价</w:t>
            </w:r>
          </w:p>
        </w:tc>
        <w:tc>
          <w:tcPr>
            <w:tcW w:w="7596" w:type="dxa"/>
            <w:noWrap w:val="0"/>
            <w:vAlign w:val="center"/>
          </w:tcPr>
          <w:p w14:paraId="3C731E2A">
            <w:pPr>
              <w:autoSpaceDE w:val="0"/>
              <w:autoSpaceDN w:val="0"/>
              <w:adjustRightInd w:val="0"/>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评标基准价即满足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val="zh-CN"/>
              </w:rPr>
              <w:t>文件要求且投标价格最低的投标报价。</w:t>
            </w:r>
          </w:p>
          <w:p w14:paraId="1C86B4C4">
            <w:pPr>
              <w:autoSpaceDE w:val="0"/>
              <w:autoSpaceDN w:val="0"/>
              <w:adjustRightInd w:val="0"/>
              <w:outlineLvl w:val="9"/>
              <w:rPr>
                <w:rFonts w:hint="eastAsia" w:ascii="宋体" w:hAnsi="宋体" w:eastAsia="宋体" w:cs="宋体"/>
                <w:color w:val="auto"/>
                <w:sz w:val="24"/>
                <w:highlight w:val="none"/>
              </w:rPr>
            </w:pPr>
            <w:r>
              <w:rPr>
                <w:rFonts w:hint="eastAsia" w:ascii="宋体" w:hAnsi="宋体" w:cs="宋体"/>
                <w:color w:val="auto"/>
                <w:sz w:val="24"/>
                <w:highlight w:val="none"/>
                <w:lang w:val="zh-CN"/>
              </w:rPr>
              <w:t>投标报价得分=（评标基准价/投标报价）×</w:t>
            </w:r>
            <w:r>
              <w:rPr>
                <w:rFonts w:hint="eastAsia" w:ascii="宋体" w:hAnsi="宋体" w:cs="宋体"/>
                <w:color w:val="auto"/>
                <w:sz w:val="24"/>
                <w:highlight w:val="none"/>
              </w:rPr>
              <w:t>报价部分权重×100</w:t>
            </w:r>
          </w:p>
        </w:tc>
      </w:tr>
      <w:tr w14:paraId="071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0" w:type="dxa"/>
            <w:vMerge w:val="continue"/>
            <w:noWrap w:val="0"/>
            <w:vAlign w:val="center"/>
          </w:tcPr>
          <w:p w14:paraId="601E860C">
            <w:pPr>
              <w:autoSpaceDE w:val="0"/>
              <w:autoSpaceDN w:val="0"/>
              <w:adjustRightInd w:val="0"/>
              <w:jc w:val="center"/>
              <w:outlineLvl w:val="9"/>
              <w:rPr>
                <w:rFonts w:hint="eastAsia" w:ascii="宋体" w:hAnsi="宋体" w:eastAsia="宋体" w:cs="宋体"/>
                <w:bCs/>
                <w:color w:val="auto"/>
                <w:sz w:val="24"/>
                <w:highlight w:val="none"/>
                <w:lang w:val="zh-CN"/>
              </w:rPr>
            </w:pPr>
          </w:p>
        </w:tc>
        <w:tc>
          <w:tcPr>
            <w:tcW w:w="1332" w:type="dxa"/>
            <w:vMerge w:val="continue"/>
            <w:noWrap w:val="0"/>
            <w:vAlign w:val="center"/>
          </w:tcPr>
          <w:p w14:paraId="3AA71A2C">
            <w:pPr>
              <w:autoSpaceDE w:val="0"/>
              <w:autoSpaceDN w:val="0"/>
              <w:adjustRightInd w:val="0"/>
              <w:jc w:val="center"/>
              <w:outlineLvl w:val="9"/>
              <w:rPr>
                <w:rFonts w:hint="eastAsia" w:ascii="宋体" w:hAnsi="宋体" w:eastAsia="宋体" w:cs="宋体"/>
                <w:color w:val="auto"/>
                <w:sz w:val="24"/>
                <w:highlight w:val="none"/>
                <w:lang w:val="zh-CN"/>
              </w:rPr>
            </w:pPr>
          </w:p>
        </w:tc>
        <w:tc>
          <w:tcPr>
            <w:tcW w:w="7596" w:type="dxa"/>
            <w:noWrap w:val="0"/>
            <w:vAlign w:val="center"/>
          </w:tcPr>
          <w:p w14:paraId="2F4D76DE">
            <w:pPr>
              <w:autoSpaceDE w:val="0"/>
              <w:autoSpaceDN w:val="0"/>
              <w:adjustRightInd w:val="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因落实政府采购政策进行价格调整的，以调整后的价格计算评标基准价和投标报价。</w:t>
            </w:r>
          </w:p>
        </w:tc>
      </w:tr>
      <w:tr w14:paraId="1AD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0" w:type="dxa"/>
            <w:vMerge w:val="restart"/>
            <w:noWrap w:val="0"/>
            <w:vAlign w:val="center"/>
          </w:tcPr>
          <w:p w14:paraId="3AE946B3">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政府采购价格折扣优惠政策说明</w:t>
            </w:r>
          </w:p>
        </w:tc>
        <w:tc>
          <w:tcPr>
            <w:tcW w:w="1332" w:type="dxa"/>
            <w:vMerge w:val="restart"/>
            <w:noWrap w:val="0"/>
            <w:vAlign w:val="center"/>
          </w:tcPr>
          <w:p w14:paraId="5037306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w:t>
            </w:r>
          </w:p>
        </w:tc>
        <w:tc>
          <w:tcPr>
            <w:tcW w:w="7596" w:type="dxa"/>
            <w:noWrap w:val="0"/>
            <w:vAlign w:val="center"/>
          </w:tcPr>
          <w:p w14:paraId="1C194B8E">
            <w:pPr>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根据工信部等部委发布的《关于印发中小企业划型标准规定的通知》（工信部联企业</w:t>
            </w:r>
            <w:r>
              <w:rPr>
                <w:rFonts w:hint="eastAsia" w:ascii="宋体" w:hAnsi="宋体" w:eastAsia="宋体" w:cs="宋体"/>
                <w:bCs/>
                <w:color w:val="auto"/>
                <w:sz w:val="24"/>
                <w:highlight w:val="none"/>
              </w:rPr>
              <w:t>〔2011〕300</w:t>
            </w:r>
            <w:r>
              <w:rPr>
                <w:rFonts w:hint="eastAsia" w:ascii="宋体" w:hAnsi="宋体" w:eastAsia="宋体" w:cs="宋体"/>
                <w:color w:val="auto"/>
                <w:sz w:val="24"/>
                <w:highlight w:val="none"/>
              </w:rPr>
              <w:t>号），按照本次采购标的所属行业的划型标准，符合条件的中小企业提供《中小企业声明函》。</w:t>
            </w:r>
          </w:p>
        </w:tc>
      </w:tr>
      <w:tr w14:paraId="7A7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dxa"/>
            <w:vMerge w:val="continue"/>
            <w:noWrap w:val="0"/>
            <w:vAlign w:val="center"/>
          </w:tcPr>
          <w:p w14:paraId="42682AE7">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1E52A704">
            <w:pPr>
              <w:jc w:val="center"/>
              <w:outlineLvl w:val="9"/>
              <w:rPr>
                <w:rFonts w:hint="eastAsia" w:ascii="宋体" w:hAnsi="宋体" w:eastAsia="宋体" w:cs="宋体"/>
                <w:color w:val="auto"/>
                <w:sz w:val="24"/>
                <w:highlight w:val="none"/>
              </w:rPr>
            </w:pPr>
          </w:p>
        </w:tc>
        <w:tc>
          <w:tcPr>
            <w:tcW w:w="7596" w:type="dxa"/>
            <w:noWrap w:val="0"/>
            <w:vAlign w:val="center"/>
          </w:tcPr>
          <w:p w14:paraId="0D89021B">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根据财政部发布的《政府采购促进中小企业发展管理办法》（财库〔2020〕46号）</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szCs w:val="24"/>
                <w:highlight w:val="none"/>
                <w:lang w:val="en-US" w:eastAsia="zh-CN"/>
              </w:rPr>
              <w:t>非专门面向中小企业预留采购项目</w:t>
            </w:r>
            <w:r>
              <w:rPr>
                <w:rFonts w:hint="eastAsia" w:ascii="宋体" w:hAnsi="宋体" w:eastAsia="宋体" w:cs="宋体"/>
                <w:color w:val="auto"/>
                <w:sz w:val="24"/>
                <w:highlight w:val="none"/>
                <w:lang w:eastAsia="zh-CN"/>
              </w:rPr>
              <w:t>，给予</w:t>
            </w:r>
            <w:r>
              <w:rPr>
                <w:rFonts w:hint="eastAsia" w:ascii="宋体" w:hAnsi="宋体" w:eastAsia="宋体" w:cs="宋体"/>
                <w:color w:val="auto"/>
                <w:sz w:val="24"/>
                <w:highlight w:val="none"/>
              </w:rPr>
              <w:t>小微企业投标</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折扣。</w:t>
            </w:r>
          </w:p>
        </w:tc>
      </w:tr>
      <w:tr w14:paraId="1579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30" w:type="dxa"/>
            <w:vMerge w:val="continue"/>
            <w:noWrap w:val="0"/>
            <w:vAlign w:val="center"/>
          </w:tcPr>
          <w:p w14:paraId="5F59300C">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22D30BBB">
            <w:pPr>
              <w:jc w:val="center"/>
              <w:outlineLvl w:val="9"/>
              <w:rPr>
                <w:rFonts w:hint="eastAsia" w:ascii="宋体" w:hAnsi="宋体" w:eastAsia="宋体" w:cs="宋体"/>
                <w:color w:val="auto"/>
                <w:sz w:val="24"/>
                <w:highlight w:val="none"/>
              </w:rPr>
            </w:pPr>
          </w:p>
        </w:tc>
        <w:tc>
          <w:tcPr>
            <w:tcW w:w="7596" w:type="dxa"/>
            <w:noWrap w:val="0"/>
            <w:vAlign w:val="center"/>
          </w:tcPr>
          <w:p w14:paraId="55E2EC3E">
            <w:pP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小微企业只有提供本企业制造的货物、承担的工程或者服务，或者提供其他小微企业制造的货物，享受投标货物的价格折扣；</w:t>
            </w:r>
          </w:p>
          <w:p w14:paraId="39126FC1">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小微企业提供中型企业制造的货物或使用大型企业注册商标货物的，视同为中型企业。</w:t>
            </w:r>
          </w:p>
        </w:tc>
      </w:tr>
      <w:tr w14:paraId="782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0" w:type="dxa"/>
            <w:vMerge w:val="continue"/>
            <w:noWrap w:val="0"/>
            <w:vAlign w:val="center"/>
          </w:tcPr>
          <w:p w14:paraId="7502F30B">
            <w:pPr>
              <w:jc w:val="center"/>
              <w:outlineLvl w:val="9"/>
              <w:rPr>
                <w:rFonts w:hint="eastAsia" w:ascii="宋体" w:hAnsi="宋体" w:eastAsia="宋体" w:cs="宋体"/>
                <w:color w:val="auto"/>
                <w:sz w:val="24"/>
                <w:highlight w:val="none"/>
              </w:rPr>
            </w:pPr>
          </w:p>
        </w:tc>
        <w:tc>
          <w:tcPr>
            <w:tcW w:w="1332" w:type="dxa"/>
            <w:noWrap w:val="0"/>
            <w:vAlign w:val="center"/>
          </w:tcPr>
          <w:p w14:paraId="1F92FC44">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w:t>
            </w:r>
          </w:p>
        </w:tc>
        <w:tc>
          <w:tcPr>
            <w:tcW w:w="7596" w:type="dxa"/>
            <w:noWrap w:val="0"/>
            <w:vAlign w:val="center"/>
          </w:tcPr>
          <w:p w14:paraId="0051F01D">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根据财库〔2014〕68号《财政部司法部关于政府采购支持监狱企业发展有关问题的通知》，</w:t>
            </w:r>
            <w:r>
              <w:rPr>
                <w:rFonts w:hint="eastAsia" w:ascii="宋体" w:hAnsi="宋体" w:eastAsia="宋体" w:cs="宋体"/>
                <w:color w:val="auto"/>
                <w:sz w:val="24"/>
                <w:highlight w:val="none"/>
              </w:rPr>
              <w:t>由省级以上监狱管理局、戒毒管理局（含新疆生产建设兵团）</w:t>
            </w:r>
            <w:r>
              <w:rPr>
                <w:rFonts w:hint="eastAsia" w:ascii="宋体" w:hAnsi="宋体" w:eastAsia="宋体" w:cs="宋体"/>
                <w:color w:val="auto"/>
                <w:sz w:val="24"/>
                <w:highlight w:val="none"/>
                <w:lang w:eastAsia="zh-CN"/>
              </w:rPr>
              <w:t>认定</w:t>
            </w:r>
            <w:r>
              <w:rPr>
                <w:rFonts w:hint="eastAsia" w:ascii="宋体" w:hAnsi="宋体" w:eastAsia="宋体" w:cs="宋体"/>
                <w:color w:val="auto"/>
                <w:sz w:val="24"/>
                <w:highlight w:val="none"/>
              </w:rPr>
              <w:t>的监狱企业，</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监狱企业</w:t>
            </w:r>
            <w:r>
              <w:rPr>
                <w:rFonts w:hint="eastAsia" w:ascii="宋体" w:hAnsi="宋体" w:eastAsia="宋体" w:cs="宋体"/>
                <w:color w:val="auto"/>
                <w:sz w:val="24"/>
                <w:highlight w:val="none"/>
                <w:lang w:eastAsia="zh-CN"/>
              </w:rPr>
              <w:t>声明函》的</w:t>
            </w:r>
            <w:r>
              <w:rPr>
                <w:rFonts w:hint="eastAsia" w:ascii="宋体" w:hAnsi="宋体" w:eastAsia="宋体" w:cs="宋体"/>
                <w:bCs/>
                <w:color w:val="auto"/>
                <w:sz w:val="24"/>
                <w:highlight w:val="none"/>
              </w:rPr>
              <w:t>视同小微企业。</w:t>
            </w:r>
          </w:p>
        </w:tc>
      </w:tr>
      <w:tr w14:paraId="2CD2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0" w:type="dxa"/>
            <w:vMerge w:val="continue"/>
            <w:noWrap w:val="0"/>
            <w:vAlign w:val="center"/>
          </w:tcPr>
          <w:p w14:paraId="065A0E12">
            <w:pPr>
              <w:jc w:val="center"/>
              <w:outlineLvl w:val="9"/>
              <w:rPr>
                <w:rFonts w:hint="eastAsia" w:ascii="宋体" w:hAnsi="宋体" w:eastAsia="宋体" w:cs="宋体"/>
                <w:color w:val="auto"/>
                <w:sz w:val="24"/>
                <w:highlight w:val="none"/>
              </w:rPr>
            </w:pPr>
          </w:p>
        </w:tc>
        <w:tc>
          <w:tcPr>
            <w:tcW w:w="1332" w:type="dxa"/>
            <w:noWrap w:val="0"/>
            <w:vAlign w:val="center"/>
          </w:tcPr>
          <w:p w14:paraId="2114026A">
            <w:pPr>
              <w:jc w:val="center"/>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残疾人福利性</w:t>
            </w:r>
            <w:r>
              <w:rPr>
                <w:rFonts w:hint="eastAsia" w:ascii="宋体" w:hAnsi="宋体" w:eastAsia="宋体" w:cs="宋体"/>
                <w:bCs/>
                <w:color w:val="auto"/>
                <w:sz w:val="24"/>
                <w:highlight w:val="none"/>
                <w:lang w:eastAsia="zh-CN"/>
              </w:rPr>
              <w:t>单位</w:t>
            </w:r>
          </w:p>
        </w:tc>
        <w:tc>
          <w:tcPr>
            <w:tcW w:w="7596" w:type="dxa"/>
            <w:noWrap w:val="0"/>
            <w:vAlign w:val="center"/>
          </w:tcPr>
          <w:p w14:paraId="6826927A">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67F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0" w:type="dxa"/>
            <w:noWrap w:val="0"/>
            <w:vAlign w:val="center"/>
          </w:tcPr>
          <w:p w14:paraId="4F97C504">
            <w:pPr>
              <w:jc w:val="center"/>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备注</w:t>
            </w:r>
          </w:p>
        </w:tc>
        <w:tc>
          <w:tcPr>
            <w:tcW w:w="8928" w:type="dxa"/>
            <w:gridSpan w:val="2"/>
            <w:noWrap w:val="0"/>
            <w:vAlign w:val="center"/>
          </w:tcPr>
          <w:p w14:paraId="33D82806">
            <w:pPr>
              <w:outlineLvl w:val="9"/>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因落实政府采购政策进行价格调整的，</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val="zh-CN"/>
              </w:rPr>
              <w:t>小组应记录价格调整的依据、计算过程及计算结果。</w:t>
            </w:r>
          </w:p>
        </w:tc>
      </w:tr>
    </w:tbl>
    <w:p w14:paraId="5CA21CD8">
      <w:pPr>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4.5.5商务技术评审标准</w:t>
      </w:r>
    </w:p>
    <w:p w14:paraId="7597A7D6">
      <w:pPr>
        <w:spacing w:line="400" w:lineRule="exact"/>
        <w:jc w:val="center"/>
        <w:outlineLvl w:val="9"/>
        <w:rPr>
          <w:rFonts w:hint="eastAsia" w:ascii="宋体" w:hAnsi="宋体" w:cs="宋体"/>
          <w:b/>
          <w:color w:val="auto"/>
          <w:sz w:val="24"/>
          <w:szCs w:val="24"/>
          <w:highlight w:val="none"/>
        </w:rPr>
      </w:pPr>
      <w:bookmarkStart w:id="159" w:name="_Toc5828"/>
      <w:bookmarkStart w:id="160" w:name="_Toc24695"/>
      <w:r>
        <w:rPr>
          <w:rFonts w:hint="eastAsia" w:ascii="宋体" w:hAnsi="宋体" w:cs="宋体"/>
          <w:b/>
          <w:color w:val="auto"/>
          <w:sz w:val="24"/>
          <w:szCs w:val="24"/>
          <w:highlight w:val="none"/>
        </w:rPr>
        <w:t>商务技术评审</w:t>
      </w:r>
      <w:r>
        <w:rPr>
          <w:rFonts w:hint="eastAsia" w:ascii="宋体" w:hAnsi="宋体" w:cs="宋体"/>
          <w:b/>
          <w:color w:val="auto"/>
          <w:sz w:val="24"/>
          <w:szCs w:val="24"/>
          <w:highlight w:val="none"/>
          <w:lang w:eastAsia="zh-CN"/>
        </w:rPr>
        <w:t>标准</w:t>
      </w:r>
      <w:r>
        <w:rPr>
          <w:rFonts w:hint="eastAsia" w:ascii="宋体" w:hAnsi="宋体" w:cs="宋体"/>
          <w:b/>
          <w:color w:val="auto"/>
          <w:sz w:val="24"/>
          <w:szCs w:val="24"/>
          <w:highlight w:val="none"/>
        </w:rPr>
        <w:t>（占总分值的</w:t>
      </w:r>
      <w:r>
        <w:rPr>
          <w:rFonts w:hint="eastAsia" w:ascii="宋体" w:hAnsi="宋体" w:cs="宋体"/>
          <w:b/>
          <w:color w:val="auto"/>
          <w:sz w:val="24"/>
          <w:szCs w:val="24"/>
          <w:highlight w:val="none"/>
          <w:lang w:val="en-US" w:eastAsia="zh-CN"/>
        </w:rPr>
        <w:t>90%</w:t>
      </w:r>
      <w:r>
        <w:rPr>
          <w:rFonts w:hint="eastAsia" w:ascii="宋体" w:hAnsi="宋体" w:cs="宋体"/>
          <w:b/>
          <w:color w:val="auto"/>
          <w:sz w:val="24"/>
          <w:szCs w:val="24"/>
          <w:highlight w:val="none"/>
        </w:rPr>
        <w:t>）</w:t>
      </w:r>
      <w:bookmarkEnd w:id="159"/>
      <w:bookmarkEnd w:id="160"/>
    </w:p>
    <w:tbl>
      <w:tblPr>
        <w:tblStyle w:val="40"/>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5"/>
        <w:gridCol w:w="1386"/>
        <w:gridCol w:w="732"/>
        <w:gridCol w:w="6231"/>
      </w:tblGrid>
      <w:tr w14:paraId="3433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9" w:type="pct"/>
            <w:tcBorders>
              <w:top w:val="single" w:color="auto" w:sz="4" w:space="0"/>
              <w:left w:val="single" w:color="auto" w:sz="4" w:space="0"/>
              <w:right w:val="single" w:color="auto" w:sz="4" w:space="0"/>
            </w:tcBorders>
            <w:noWrap w:val="0"/>
            <w:vAlign w:val="center"/>
          </w:tcPr>
          <w:p w14:paraId="37810193">
            <w:pPr>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AE998F2">
            <w:pPr>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评审分项</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088D77EE">
            <w:pPr>
              <w:jc w:val="center"/>
              <w:outlineLvl w:val="9"/>
              <w:rPr>
                <w:rFonts w:ascii="宋体" w:hAnsi="宋体" w:cs="宋体"/>
                <w:color w:val="auto"/>
                <w:sz w:val="24"/>
                <w:highlight w:val="none"/>
              </w:rPr>
            </w:pPr>
            <w:r>
              <w:rPr>
                <w:rFonts w:hint="eastAsia" w:ascii="宋体" w:hAnsi="宋体" w:cs="宋体"/>
                <w:color w:val="auto"/>
                <w:sz w:val="24"/>
                <w:highlight w:val="none"/>
              </w:rPr>
              <w:t>评审项目</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CEBB385">
            <w:pPr>
              <w:jc w:val="center"/>
              <w:outlineLvl w:val="9"/>
              <w:rPr>
                <w:rFonts w:ascii="宋体" w:hAnsi="宋体" w:cs="宋体"/>
                <w:color w:val="auto"/>
                <w:sz w:val="24"/>
                <w:highlight w:val="none"/>
              </w:rPr>
            </w:pPr>
            <w:r>
              <w:rPr>
                <w:rFonts w:hint="eastAsia" w:ascii="宋体" w:hAnsi="宋体" w:cs="宋体"/>
                <w:color w:val="auto"/>
                <w:sz w:val="24"/>
                <w:highlight w:val="none"/>
              </w:rPr>
              <w:t>分值</w:t>
            </w:r>
          </w:p>
        </w:tc>
        <w:tc>
          <w:tcPr>
            <w:tcW w:w="3082" w:type="pct"/>
            <w:tcBorders>
              <w:top w:val="single" w:color="auto" w:sz="4" w:space="0"/>
              <w:left w:val="single" w:color="auto" w:sz="4" w:space="0"/>
              <w:bottom w:val="single" w:color="auto" w:sz="4" w:space="0"/>
              <w:right w:val="single" w:color="auto" w:sz="4" w:space="0"/>
            </w:tcBorders>
            <w:noWrap w:val="0"/>
            <w:vAlign w:val="center"/>
          </w:tcPr>
          <w:p w14:paraId="108E6EEB">
            <w:pPr>
              <w:jc w:val="center"/>
              <w:outlineLvl w:val="9"/>
              <w:rPr>
                <w:rFonts w:ascii="宋体" w:hAnsi="宋体" w:cs="宋体"/>
                <w:color w:val="auto"/>
                <w:sz w:val="24"/>
                <w:highlight w:val="none"/>
              </w:rPr>
            </w:pPr>
            <w:r>
              <w:rPr>
                <w:rFonts w:hint="eastAsia" w:ascii="宋体" w:hAnsi="宋体" w:cs="宋体"/>
                <w:color w:val="auto"/>
                <w:sz w:val="24"/>
                <w:highlight w:val="none"/>
              </w:rPr>
              <w:t>评审标准</w:t>
            </w:r>
          </w:p>
        </w:tc>
      </w:tr>
      <w:tr w14:paraId="748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59" w:type="pct"/>
            <w:tcBorders>
              <w:top w:val="single" w:color="auto" w:sz="4" w:space="0"/>
              <w:left w:val="single" w:color="auto" w:sz="4" w:space="0"/>
              <w:right w:val="single" w:color="auto" w:sz="4" w:space="0"/>
            </w:tcBorders>
            <w:noWrap w:val="0"/>
            <w:vAlign w:val="center"/>
          </w:tcPr>
          <w:p w14:paraId="4754CF29">
            <w:pPr>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10" w:type="pct"/>
            <w:vMerge w:val="restart"/>
            <w:tcBorders>
              <w:top w:val="single" w:color="auto" w:sz="4" w:space="0"/>
              <w:left w:val="single" w:color="auto" w:sz="4" w:space="0"/>
              <w:right w:val="single" w:color="auto" w:sz="4" w:space="0"/>
            </w:tcBorders>
            <w:noWrap w:val="0"/>
            <w:vAlign w:val="center"/>
          </w:tcPr>
          <w:p w14:paraId="3899D8E2">
            <w:pPr>
              <w:widowControl/>
              <w:kinsoku w:val="0"/>
              <w:autoSpaceDE w:val="0"/>
              <w:autoSpaceDN w:val="0"/>
              <w:adjustRightInd w:val="0"/>
              <w:snapToGrid w:val="0"/>
              <w:spacing w:line="240" w:lineRule="auto"/>
              <w:jc w:val="center"/>
              <w:textAlignment w:val="baseline"/>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lang w:val="en-US" w:eastAsia="zh-CN"/>
              </w:rPr>
              <w:t>商务部分</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AF59C4E">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证明</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6754A4E">
            <w:pPr>
              <w:widowControl/>
              <w:kinsoku w:val="0"/>
              <w:autoSpaceDE w:val="0"/>
              <w:autoSpaceDN w:val="0"/>
              <w:adjustRightInd w:val="0"/>
              <w:snapToGrid w:val="0"/>
              <w:spacing w:line="240" w:lineRule="auto"/>
              <w:jc w:val="center"/>
              <w:textAlignment w:val="baseline"/>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15分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7CBCBAB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近三年（2023年1月1日-至今）类似项目业绩，每提供1个得3分，最高得15分。（须提供中标通知书或有效合同复印件作为证明材料，合同至少包括合同首页、合同金额所在页、合同采购内容、签字盖章页及相关页复印件并加盖投标人公章。未按上述要求提供佐证材料或佐证材料不清晰无法辨识内容的本项不得分。）</w:t>
            </w:r>
          </w:p>
        </w:tc>
      </w:tr>
      <w:tr w14:paraId="5410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734FB3C8">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610" w:type="pct"/>
            <w:vMerge w:val="continue"/>
            <w:tcBorders>
              <w:left w:val="single" w:color="auto" w:sz="4" w:space="0"/>
              <w:right w:val="single" w:color="auto" w:sz="4" w:space="0"/>
            </w:tcBorders>
            <w:noWrap w:val="0"/>
            <w:vAlign w:val="center"/>
          </w:tcPr>
          <w:p w14:paraId="4AF39104">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0A65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拟投入设备仪器</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C2939">
            <w:pPr>
              <w:widowControl/>
              <w:kinsoku w:val="0"/>
              <w:autoSpaceDE w:val="0"/>
              <w:autoSpaceDN w:val="0"/>
              <w:adjustRightInd w:val="0"/>
              <w:snapToGrid w:val="0"/>
              <w:spacing w:line="240" w:lineRule="auto"/>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B9091">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投标人提供满足本项目采购需求的相关仪器设备，每提供</w:t>
            </w:r>
            <w:r>
              <w:rPr>
                <w:rFonts w:hint="eastAsia" w:ascii="宋体" w:hAnsi="宋体" w:cs="宋体"/>
                <w:color w:val="auto"/>
                <w:kern w:val="0"/>
                <w:sz w:val="24"/>
                <w:szCs w:val="24"/>
                <w:highlight w:val="none"/>
                <w:lang w:val="en-US" w:eastAsia="zh-CN" w:bidi="ar-SA"/>
              </w:rPr>
              <w:t>一个</w:t>
            </w:r>
            <w:r>
              <w:rPr>
                <w:rFonts w:hint="eastAsia" w:ascii="宋体" w:hAnsi="宋体" w:eastAsia="宋体" w:cs="宋体"/>
                <w:color w:val="auto"/>
                <w:kern w:val="0"/>
                <w:sz w:val="24"/>
                <w:szCs w:val="24"/>
                <w:highlight w:val="none"/>
                <w:lang w:val="en-US" w:eastAsia="zh-CN" w:bidi="ar-SA"/>
              </w:rPr>
              <w:t>与本项目服务相关的仪器设备得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分，最高得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p w14:paraId="6F6C1710">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注：须提供设备购买凭证（如购置发票或购买合同等）或租赁合同或设备照片及设备清单等。</w:t>
            </w:r>
          </w:p>
        </w:tc>
      </w:tr>
      <w:tr w14:paraId="67BB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0FE0186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3</w:t>
            </w:r>
          </w:p>
        </w:tc>
        <w:tc>
          <w:tcPr>
            <w:tcW w:w="610" w:type="pct"/>
            <w:vMerge w:val="continue"/>
            <w:tcBorders>
              <w:left w:val="single" w:color="auto" w:sz="4" w:space="0"/>
              <w:right w:val="single" w:color="auto" w:sz="4" w:space="0"/>
            </w:tcBorders>
            <w:noWrap w:val="0"/>
            <w:vAlign w:val="center"/>
          </w:tcPr>
          <w:p w14:paraId="478A5F8A">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A210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服务团队</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A261F8">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20</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E048F">
            <w:pPr>
              <w:pStyle w:val="22"/>
              <w:numPr>
                <w:ilvl w:val="0"/>
                <w:numId w:val="0"/>
              </w:numPr>
              <w:ind w:leftChars="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r>
              <w:rPr>
                <w:rFonts w:hint="default" w:ascii="宋体" w:hAnsi="宋体" w:eastAsia="宋体" w:cs="宋体"/>
                <w:kern w:val="0"/>
                <w:sz w:val="24"/>
                <w:szCs w:val="24"/>
                <w:lang w:val="en-US" w:eastAsia="zh-CN" w:bidi="ar-SA"/>
              </w:rPr>
              <w:t>根据投标人拟派服务团队</w:t>
            </w:r>
            <w:r>
              <w:rPr>
                <w:rFonts w:hint="eastAsia" w:ascii="宋体" w:hAnsi="宋体" w:eastAsia="宋体" w:cs="宋体"/>
                <w:kern w:val="0"/>
                <w:sz w:val="24"/>
                <w:szCs w:val="24"/>
                <w:lang w:val="en-US" w:eastAsia="zh-CN" w:bidi="ar-SA"/>
              </w:rPr>
              <w:t>进行综合评审：</w:t>
            </w:r>
          </w:p>
          <w:p w14:paraId="393C9D88">
            <w:pPr>
              <w:pStyle w:val="22"/>
              <w:numPr>
                <w:ilvl w:val="0"/>
                <w:numId w:val="0"/>
              </w:numPr>
              <w:ind w:left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团队结构合理、专业齐全、资质匹配度高、经验丰富，完全满足项目需求的</w:t>
            </w:r>
            <w:r>
              <w:rPr>
                <w:rFonts w:hint="eastAsia" w:ascii="宋体" w:hAnsi="宋体" w:eastAsia="宋体" w:cs="宋体"/>
                <w:sz w:val="24"/>
                <w:szCs w:val="24"/>
              </w:rPr>
              <w:t>，得</w:t>
            </w: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2</w:t>
            </w:r>
            <w:r>
              <w:rPr>
                <w:rFonts w:hint="eastAsia" w:ascii="宋体" w:hAnsi="宋体" w:eastAsia="宋体" w:cs="宋体"/>
                <w:sz w:val="24"/>
                <w:szCs w:val="24"/>
                <w:lang w:val="en-US" w:eastAsia="zh-CN"/>
              </w:rPr>
              <w:t>分</w:t>
            </w:r>
          </w:p>
          <w:p w14:paraId="14BB222C">
            <w:pPr>
              <w:pStyle w:val="22"/>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rPr>
              <w:t>团队配置较合理，资质、经验基本满足项目需求的，得</w:t>
            </w:r>
            <w:r>
              <w:rPr>
                <w:rFonts w:hint="eastAsia" w:ascii="宋体" w:hAnsi="宋体" w:eastAsia="宋体" w:cs="宋体"/>
                <w:sz w:val="24"/>
                <w:szCs w:val="24"/>
                <w:lang w:val="en-US" w:eastAsia="zh-CN"/>
              </w:rPr>
              <w:t>7分</w:t>
            </w:r>
          </w:p>
          <w:p w14:paraId="087B8D82">
            <w:pPr>
              <w:pStyle w:val="22"/>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团队配置一般，仅能勉强满足需求的，得3分</w:t>
            </w:r>
            <w:r>
              <w:rPr>
                <w:rFonts w:hint="eastAsia" w:cs="宋体"/>
                <w:sz w:val="24"/>
                <w:szCs w:val="24"/>
                <w:lang w:val="en-US" w:eastAsia="zh-CN"/>
              </w:rPr>
              <w:t>，未提供，不得分。</w:t>
            </w:r>
          </w:p>
          <w:p w14:paraId="5C0ED770">
            <w:pPr>
              <w:pStyle w:val="22"/>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2.人员资质：每提供1名具有地质矿产勘查相关专业中级及以上职称（如地质矿产/钻探/水文地质/测绘工程/遥感科学与技术等与本项目相关专业）的人员证书，得1分，最高得8分。</w:t>
            </w:r>
          </w:p>
          <w:p w14:paraId="6126841E">
            <w:pPr>
              <w:pStyle w:val="22"/>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注：1.职称证书须为国家人社部门或行业主管部门颁发，且在有效期内；2.须同时提供职称证书、近</w:t>
            </w:r>
            <w:r>
              <w:rPr>
                <w:rFonts w:hint="eastAsia" w:cs="宋体"/>
                <w:sz w:val="24"/>
                <w:szCs w:val="24"/>
                <w:lang w:val="en-US" w:eastAsia="zh-CN"/>
              </w:rPr>
              <w:t>半年内任意</w:t>
            </w:r>
            <w:r>
              <w:rPr>
                <w:rFonts w:hint="eastAsia" w:ascii="宋体" w:hAnsi="宋体" w:eastAsia="宋体" w:cs="宋体"/>
                <w:sz w:val="24"/>
                <w:szCs w:val="24"/>
                <w:lang w:val="en-US" w:eastAsia="zh-CN"/>
              </w:rPr>
              <w:t>1个月社保缴纳证明或劳动合同复印件，未提供有效证明材料的不予计分；3.同一人员不重复计分。</w:t>
            </w:r>
          </w:p>
          <w:p w14:paraId="736E6DAE">
            <w:pPr>
              <w:pStyle w:val="21"/>
              <w:numPr>
                <w:ilvl w:val="0"/>
                <w:numId w:val="0"/>
              </w:num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lang w:val="en-US" w:eastAsia="zh-CN"/>
              </w:rPr>
              <w:t>3.</w:t>
            </w:r>
            <w:r>
              <w:rPr>
                <w:rFonts w:ascii="宋体" w:hAnsi="宋体" w:eastAsia="宋体" w:cs="宋体"/>
                <w:sz w:val="24"/>
                <w:szCs w:val="24"/>
              </w:rPr>
              <w:t>未提供相关材料或不满足需求的，得0分</w:t>
            </w:r>
          </w:p>
        </w:tc>
      </w:tr>
      <w:tr w14:paraId="548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59" w:type="pct"/>
            <w:tcBorders>
              <w:left w:val="single" w:color="auto" w:sz="4" w:space="0"/>
              <w:right w:val="single" w:color="auto" w:sz="4" w:space="0"/>
            </w:tcBorders>
            <w:shd w:val="clear" w:color="auto" w:fill="auto"/>
            <w:noWrap w:val="0"/>
            <w:vAlign w:val="center"/>
          </w:tcPr>
          <w:p w14:paraId="5A08A328">
            <w:pPr>
              <w:autoSpaceDE w:val="0"/>
              <w:autoSpaceDN w:val="0"/>
              <w:adjustRightInd w:val="0"/>
              <w:jc w:val="center"/>
              <w:outlineLvl w:val="9"/>
              <w:rPr>
                <w:rFonts w:hint="eastAsia"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4</w:t>
            </w:r>
          </w:p>
        </w:tc>
        <w:tc>
          <w:tcPr>
            <w:tcW w:w="610" w:type="pct"/>
            <w:vMerge w:val="restart"/>
            <w:tcBorders>
              <w:top w:val="single" w:color="auto" w:sz="4" w:space="0"/>
              <w:left w:val="single" w:color="auto" w:sz="4" w:space="0"/>
              <w:right w:val="single" w:color="auto" w:sz="4" w:space="0"/>
            </w:tcBorders>
            <w:noWrap w:val="0"/>
            <w:vAlign w:val="center"/>
          </w:tcPr>
          <w:p w14:paraId="44F49DE5">
            <w:pPr>
              <w:adjustRightInd w:val="0"/>
              <w:snapToGrid w:val="0"/>
              <w:jc w:val="center"/>
              <w:rPr>
                <w:rFonts w:hint="default"/>
                <w:color w:val="auto"/>
                <w:sz w:val="24"/>
                <w:szCs w:val="24"/>
                <w:highlight w:val="none"/>
                <w:lang w:val="en-US" w:eastAsia="zh-CN"/>
              </w:rPr>
            </w:pPr>
            <w:r>
              <w:rPr>
                <w:rFonts w:hint="eastAsia" w:ascii="宋体" w:hAnsi="宋体" w:eastAsia="宋体" w:cs="宋体"/>
                <w:color w:val="auto"/>
                <w:kern w:val="1"/>
                <w:sz w:val="24"/>
                <w:szCs w:val="24"/>
                <w:highlight w:val="none"/>
                <w:lang w:val="en-US" w:eastAsia="zh-CN"/>
              </w:rPr>
              <w:t>技术部分</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B8FD702">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项目实施方案</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74AD193">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5C4773D5">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提供详细的项目实施方案，内容包括但不限于：</w:t>
            </w:r>
          </w:p>
          <w:p w14:paraId="7A310E07">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①项目整体情况分析</w:t>
            </w:r>
            <w:r>
              <w:rPr>
                <w:rFonts w:ascii="宋体" w:hAnsi="宋体" w:eastAsia="宋体" w:cs="宋体"/>
                <w:sz w:val="24"/>
                <w:szCs w:val="24"/>
              </w:rPr>
              <w:t>（含项目背景、区域地质条件、工作范围与目标）</w:t>
            </w:r>
          </w:p>
          <w:p w14:paraId="181CE5D2">
            <w:pPr>
              <w:adjustRightInd w:val="0"/>
              <w:snapToGrid w:val="0"/>
              <w:jc w:val="left"/>
              <w:rPr>
                <w:rFonts w:hint="eastAsia" w:ascii="宋体" w:hAnsi="宋体" w:eastAsia="宋体" w:cs="宋体"/>
                <w:color w:val="auto"/>
                <w:kern w:val="0"/>
                <w:sz w:val="24"/>
                <w:szCs w:val="24"/>
                <w:highlight w:val="none"/>
                <w:lang w:val="en-US" w:eastAsia="zh-CN" w:bidi="ar-SA"/>
              </w:rPr>
            </w:pPr>
            <w:r>
              <w:rPr>
                <w:rFonts w:ascii="宋体" w:hAnsi="宋体" w:eastAsia="宋体" w:cs="宋体"/>
                <w:sz w:val="24"/>
                <w:szCs w:val="24"/>
              </w:rPr>
              <w:t>②施工实施方</w:t>
            </w:r>
            <w:r>
              <w:rPr>
                <w:rFonts w:hint="eastAsia" w:ascii="宋体" w:hAnsi="宋体" w:eastAsia="宋体" w:cs="宋体"/>
                <w:sz w:val="24"/>
                <w:szCs w:val="24"/>
                <w:lang w:val="en-US" w:eastAsia="zh-CN"/>
              </w:rPr>
              <w:t>案</w:t>
            </w:r>
            <w:r>
              <w:rPr>
                <w:rFonts w:hint="eastAsia" w:ascii="宋体" w:hAnsi="宋体" w:cs="宋体"/>
                <w:sz w:val="24"/>
                <w:szCs w:val="24"/>
                <w:lang w:val="en-US" w:eastAsia="zh-CN"/>
              </w:rPr>
              <w:t>（</w:t>
            </w:r>
            <w:r>
              <w:rPr>
                <w:rFonts w:ascii="宋体" w:hAnsi="宋体" w:eastAsia="宋体" w:cs="宋体"/>
                <w:sz w:val="24"/>
                <w:szCs w:val="24"/>
              </w:rPr>
              <w:t>含钻探施工方案、槽探施工方案、遥感</w:t>
            </w:r>
            <w:r>
              <w:rPr>
                <w:rFonts w:hint="eastAsia" w:ascii="宋体" w:hAnsi="宋体" w:eastAsia="宋体" w:cs="宋体"/>
                <w:sz w:val="24"/>
                <w:szCs w:val="24"/>
                <w:lang w:val="en-US" w:eastAsia="zh-CN"/>
              </w:rPr>
              <w:t>解译等</w:t>
            </w:r>
            <w:r>
              <w:rPr>
                <w:rFonts w:ascii="宋体" w:hAnsi="宋体" w:eastAsia="宋体" w:cs="宋体"/>
                <w:sz w:val="24"/>
                <w:szCs w:val="24"/>
              </w:rPr>
              <w:t>，分专业明确工艺流程、技术要求、质量控制要点</w:t>
            </w:r>
            <w:r>
              <w:rPr>
                <w:rFonts w:hint="eastAsia" w:ascii="宋体" w:hAnsi="宋体" w:cs="宋体"/>
                <w:sz w:val="24"/>
                <w:szCs w:val="24"/>
                <w:lang w:val="en-US" w:eastAsia="zh-CN"/>
              </w:rPr>
              <w:t>）</w:t>
            </w:r>
          </w:p>
          <w:p w14:paraId="2ED9B31E">
            <w:pPr>
              <w:adjustRightInd w:val="0"/>
              <w:snapToGrid w:val="0"/>
              <w:jc w:val="left"/>
              <w:rPr>
                <w:rFonts w:hint="eastAsia" w:ascii="宋体" w:hAnsi="宋体" w:eastAsia="宋体" w:cs="宋体"/>
                <w:sz w:val="24"/>
                <w:szCs w:val="24"/>
                <w:lang w:val="en-US" w:eastAsia="zh-CN"/>
              </w:rPr>
            </w:pPr>
            <w:r>
              <w:rPr>
                <w:rFonts w:ascii="宋体" w:hAnsi="宋体" w:eastAsia="宋体" w:cs="宋体"/>
                <w:sz w:val="24"/>
                <w:szCs w:val="24"/>
              </w:rPr>
              <w:t>③项目重点难点分析及解决方案（含复杂地层钻进、高边坡槽探施工、野外作业风险应对等）</w:t>
            </w:r>
          </w:p>
          <w:p w14:paraId="0E023022">
            <w:pPr>
              <w:adjustRightInd w:val="0"/>
              <w:snapToGrid w:val="0"/>
              <w:jc w:val="left"/>
              <w:rPr>
                <w:rFonts w:ascii="宋体" w:hAnsi="宋体" w:eastAsia="宋体" w:cs="宋体"/>
                <w:sz w:val="24"/>
                <w:szCs w:val="24"/>
              </w:rPr>
            </w:pPr>
            <w:r>
              <w:rPr>
                <w:rFonts w:hint="eastAsia" w:ascii="宋体" w:hAnsi="宋体" w:eastAsia="宋体" w:cs="宋体"/>
                <w:sz w:val="24"/>
                <w:szCs w:val="24"/>
                <w:lang w:val="en-US" w:eastAsia="zh-CN"/>
              </w:rPr>
              <w:t>④</w:t>
            </w:r>
            <w:r>
              <w:rPr>
                <w:rFonts w:ascii="宋体" w:hAnsi="宋体" w:eastAsia="宋体" w:cs="宋体"/>
                <w:sz w:val="24"/>
                <w:szCs w:val="24"/>
              </w:rPr>
              <w:t>组织架构及专业分工</w:t>
            </w:r>
          </w:p>
          <w:p w14:paraId="6DF4BB97">
            <w:pPr>
              <w:adjustRightInd w:val="0"/>
              <w:snapToGrid w:val="0"/>
              <w:jc w:val="left"/>
              <w:rPr>
                <w:rFonts w:ascii="宋体" w:hAnsi="宋体" w:eastAsia="宋体" w:cs="宋体"/>
                <w:sz w:val="24"/>
                <w:szCs w:val="24"/>
              </w:rPr>
            </w:pPr>
            <w:r>
              <w:rPr>
                <w:rFonts w:hint="eastAsia" w:ascii="宋体" w:hAnsi="宋体" w:eastAsia="宋体" w:cs="宋体"/>
                <w:sz w:val="24"/>
                <w:szCs w:val="24"/>
                <w:lang w:val="en-US" w:eastAsia="zh-CN"/>
              </w:rPr>
              <w:t>⑤</w:t>
            </w:r>
            <w:r>
              <w:rPr>
                <w:rFonts w:ascii="宋体" w:hAnsi="宋体" w:eastAsia="宋体" w:cs="宋体"/>
                <w:sz w:val="24"/>
                <w:szCs w:val="24"/>
              </w:rPr>
              <w:t>施工现场及临时工程安全保证措施</w:t>
            </w:r>
          </w:p>
          <w:p w14:paraId="58A1E06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lang w:val="en-US" w:eastAsia="zh-CN"/>
              </w:rPr>
              <w:t>⑥</w:t>
            </w:r>
            <w:r>
              <w:rPr>
                <w:rFonts w:hint="eastAsia" w:ascii="宋体" w:hAnsi="宋体" w:cs="宋体"/>
                <w:sz w:val="24"/>
                <w:szCs w:val="24"/>
                <w:lang w:val="en-US" w:eastAsia="zh-CN"/>
              </w:rPr>
              <w:t>钻探、槽探施工工艺</w:t>
            </w:r>
          </w:p>
          <w:p w14:paraId="05D857D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lang w:val="en-US" w:eastAsia="zh-CN"/>
              </w:rPr>
              <w:t>⑦</w:t>
            </w:r>
            <w:r>
              <w:rPr>
                <w:rFonts w:hint="eastAsia" w:ascii="宋体" w:hAnsi="宋体" w:eastAsia="宋体" w:cs="宋体"/>
                <w:color w:val="auto"/>
                <w:kern w:val="0"/>
                <w:sz w:val="24"/>
                <w:szCs w:val="24"/>
                <w:highlight w:val="none"/>
                <w:lang w:val="en-US" w:eastAsia="zh-CN" w:bidi="ar-SA"/>
              </w:rPr>
              <w:t>‌简易水文观测和封孔技术方案</w:t>
            </w:r>
          </w:p>
          <w:p w14:paraId="597DC6AC">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zh-CN" w:bidi="ar-SA"/>
              </w:rPr>
              <w:t>分，每缺少一项内容的扣</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分，每有一处缺陷的扣</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分（缺陷是指：存在不适用该项目实际情况的情形、凭空编造、内容前后不一致、前后逻辑错误、涉及的规范及标准错误、地点区域错误、内容缺失、不符合采购需求的任意一项等），扣完为止。</w:t>
            </w:r>
          </w:p>
        </w:tc>
      </w:tr>
      <w:tr w14:paraId="7070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259" w:type="pct"/>
            <w:tcBorders>
              <w:left w:val="single" w:color="auto" w:sz="4" w:space="0"/>
              <w:right w:val="single" w:color="auto" w:sz="4" w:space="0"/>
            </w:tcBorders>
            <w:shd w:val="clear" w:color="auto" w:fill="auto"/>
            <w:noWrap w:val="0"/>
            <w:vAlign w:val="center"/>
          </w:tcPr>
          <w:p w14:paraId="7FDEB6E4">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5</w:t>
            </w:r>
          </w:p>
        </w:tc>
        <w:tc>
          <w:tcPr>
            <w:tcW w:w="610" w:type="pct"/>
            <w:vMerge w:val="continue"/>
            <w:tcBorders>
              <w:left w:val="single" w:color="auto" w:sz="4" w:space="0"/>
              <w:right w:val="single" w:color="auto" w:sz="4" w:space="0"/>
            </w:tcBorders>
            <w:noWrap w:val="0"/>
            <w:vAlign w:val="center"/>
          </w:tcPr>
          <w:p w14:paraId="79ECA98E">
            <w:pPr>
              <w:adjustRightInd w:val="0"/>
              <w:snapToGrid w:val="0"/>
              <w:jc w:val="center"/>
              <w:rPr>
                <w:rFonts w:hint="default"/>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28834FC">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进度计划保障措施</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A2B9C2F">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1B7D8BA0">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提供详细的进度计划保障措施，内容包括但不限于：</w:t>
            </w:r>
          </w:p>
          <w:p w14:paraId="37E91C0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①项目实施的任务划分</w:t>
            </w:r>
          </w:p>
          <w:p w14:paraId="24636C4A">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②关键时间节点把握</w:t>
            </w:r>
          </w:p>
          <w:p w14:paraId="1CE7870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③施工进度管理要点</w:t>
            </w:r>
          </w:p>
          <w:p w14:paraId="6372E2A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④提供进度计划保障措施</w:t>
            </w:r>
          </w:p>
          <w:p w14:paraId="7CCA0E80">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8分，每缺失一项内容扣2分，每有一处缺陷的扣1分（缺陷是指：存在不适用该项目实际情况的情形、凭空编造、内容前后不一致、前后逻辑错误、涉及的规范及标准错误、地点区域错误、内容缺失、不符合采购需求的任意一项等），扣完为止。</w:t>
            </w:r>
          </w:p>
        </w:tc>
      </w:tr>
      <w:tr w14:paraId="421F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tcBorders>
              <w:left w:val="single" w:color="auto" w:sz="4" w:space="0"/>
              <w:right w:val="single" w:color="auto" w:sz="4" w:space="0"/>
            </w:tcBorders>
            <w:shd w:val="clear" w:color="auto" w:fill="auto"/>
            <w:noWrap w:val="0"/>
            <w:vAlign w:val="center"/>
          </w:tcPr>
          <w:p w14:paraId="7A4F89BB">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6</w:t>
            </w:r>
          </w:p>
        </w:tc>
        <w:tc>
          <w:tcPr>
            <w:tcW w:w="610" w:type="pct"/>
            <w:vMerge w:val="continue"/>
            <w:tcBorders>
              <w:left w:val="single" w:color="auto" w:sz="4" w:space="0"/>
              <w:right w:val="single" w:color="auto" w:sz="4" w:space="0"/>
            </w:tcBorders>
            <w:noWrap w:val="0"/>
            <w:vAlign w:val="center"/>
          </w:tcPr>
          <w:p w14:paraId="5E932FC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ACB5EE9">
            <w:pPr>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应急预案</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4DCA98F">
            <w:pPr>
              <w:adjustRightInd w:val="0"/>
              <w:snapToGrid w:val="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0A87783B">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提供详细的应急预案，内容包括但不限于：</w:t>
            </w:r>
          </w:p>
          <w:p w14:paraId="325C1E2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①应急组织机构及职责</w:t>
            </w:r>
          </w:p>
          <w:p w14:paraId="0A320D9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②重点事故分类及响应措施</w:t>
            </w:r>
          </w:p>
          <w:p w14:paraId="13AE7A1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③专项应急预案</w:t>
            </w:r>
          </w:p>
          <w:p w14:paraId="7390FB6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④应急保障措施</w:t>
            </w:r>
          </w:p>
          <w:p w14:paraId="78337ED7">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w:t>
            </w:r>
          </w:p>
          <w:p w14:paraId="7AFCC335">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陷扣1分（缺陷是指：存在不适用该项目实际情况的情形、凭空编造、内容前后不一致、前后逻辑错误、涉及的规范及标准错误、地点区域错误、内容缺失、不符合采购需求的任意一项等），扣完为止。</w:t>
            </w:r>
          </w:p>
        </w:tc>
      </w:tr>
      <w:tr w14:paraId="2A19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259" w:type="pct"/>
            <w:tcBorders>
              <w:left w:val="single" w:color="auto" w:sz="4" w:space="0"/>
              <w:right w:val="single" w:color="auto" w:sz="4" w:space="0"/>
            </w:tcBorders>
            <w:shd w:val="clear" w:color="auto" w:fill="auto"/>
            <w:noWrap w:val="0"/>
            <w:vAlign w:val="center"/>
          </w:tcPr>
          <w:p w14:paraId="2D5E91F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7</w:t>
            </w:r>
          </w:p>
        </w:tc>
        <w:tc>
          <w:tcPr>
            <w:tcW w:w="610" w:type="pct"/>
            <w:vMerge w:val="continue"/>
            <w:tcBorders>
              <w:left w:val="single" w:color="auto" w:sz="4" w:space="0"/>
              <w:right w:val="single" w:color="auto" w:sz="4" w:space="0"/>
            </w:tcBorders>
            <w:noWrap w:val="0"/>
            <w:vAlign w:val="center"/>
          </w:tcPr>
          <w:p w14:paraId="7806031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1C464">
            <w:pPr>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服务质量控制措施</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40913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D4E0CC">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提供详细的服务质量控制措施，内容包括但不限于：</w:t>
            </w:r>
          </w:p>
          <w:p w14:paraId="16E91972">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①质量管理组织机构；</w:t>
            </w:r>
          </w:p>
          <w:p w14:paraId="075B99CF">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②团队人员职责分工；</w:t>
            </w:r>
          </w:p>
          <w:p w14:paraId="6249630E">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③质量保证措施；</w:t>
            </w:r>
          </w:p>
          <w:p w14:paraId="3AD152CA">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④环境保护措施</w:t>
            </w:r>
            <w:r>
              <w:rPr>
                <w:rFonts w:hint="eastAsia" w:ascii="宋体" w:hAnsi="宋体" w:cs="宋体"/>
                <w:color w:val="auto"/>
                <w:kern w:val="0"/>
                <w:sz w:val="24"/>
                <w:szCs w:val="24"/>
                <w:highlight w:val="none"/>
                <w:lang w:val="en-US" w:eastAsia="zh-CN" w:bidi="ar-SA"/>
              </w:rPr>
              <w:t>（绿色勘查）</w:t>
            </w:r>
            <w:r>
              <w:rPr>
                <w:rFonts w:hint="eastAsia" w:ascii="宋体" w:hAnsi="宋体" w:eastAsia="宋体" w:cs="宋体"/>
                <w:color w:val="auto"/>
                <w:kern w:val="0"/>
                <w:sz w:val="24"/>
                <w:szCs w:val="24"/>
                <w:highlight w:val="none"/>
                <w:lang w:val="en-US" w:eastAsia="zh-CN" w:bidi="ar-SA"/>
              </w:rPr>
              <w:t>。</w:t>
            </w:r>
          </w:p>
          <w:p w14:paraId="7935DBCA">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lang w:val="en-US" w:eastAsia="zh-CN"/>
              </w:rPr>
              <w:t>⑤</w:t>
            </w:r>
            <w:r>
              <w:rPr>
                <w:rFonts w:ascii="宋体" w:hAnsi="宋体" w:eastAsia="宋体" w:cs="宋体"/>
                <w:sz w:val="24"/>
                <w:szCs w:val="24"/>
              </w:rPr>
              <w:t>成果质量与交付保障措施</w:t>
            </w:r>
          </w:p>
          <w:p w14:paraId="0F4218C5">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陷扣1分（缺陷是指：存在不适用该项目实际情况的情形、凭空编造、内容前后不一致、前后逻辑错误、涉及的规范及标准错误、地点区域错误、内容缺失、不符合采购需求的任意一项等），扣完为止。</w:t>
            </w:r>
          </w:p>
        </w:tc>
      </w:tr>
      <w:tr w14:paraId="2188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55" w:type="pct"/>
            <w:gridSpan w:val="3"/>
            <w:tcBorders>
              <w:left w:val="single" w:color="auto" w:sz="4" w:space="0"/>
              <w:right w:val="single" w:color="auto" w:sz="4" w:space="0"/>
            </w:tcBorders>
            <w:noWrap w:val="0"/>
            <w:vAlign w:val="center"/>
          </w:tcPr>
          <w:p w14:paraId="287365DE">
            <w:pPr>
              <w:autoSpaceDE w:val="0"/>
              <w:autoSpaceDN w:val="0"/>
              <w:adjustRightInd w:val="0"/>
              <w:jc w:val="center"/>
              <w:outlineLvl w:val="9"/>
              <w:rPr>
                <w:rFonts w:hint="eastAsia" w:ascii="宋体" w:hAnsi="宋体" w:eastAsia="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合计</w:t>
            </w:r>
          </w:p>
        </w:tc>
        <w:tc>
          <w:tcPr>
            <w:tcW w:w="3444" w:type="pct"/>
            <w:gridSpan w:val="2"/>
            <w:tcBorders>
              <w:top w:val="single" w:color="auto" w:sz="4" w:space="0"/>
              <w:left w:val="single" w:color="auto" w:sz="4" w:space="0"/>
              <w:bottom w:val="single" w:color="auto" w:sz="4" w:space="0"/>
              <w:right w:val="single" w:color="auto" w:sz="4" w:space="0"/>
            </w:tcBorders>
            <w:noWrap w:val="0"/>
            <w:vAlign w:val="center"/>
          </w:tcPr>
          <w:p w14:paraId="569F68AA">
            <w:pPr>
              <w:spacing w:line="30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90分</w:t>
            </w:r>
          </w:p>
        </w:tc>
      </w:tr>
    </w:tbl>
    <w:p w14:paraId="4D32BFB1">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说明：技术偏离表与投标人所提供的技术资料参数不符情况视为虚假应标，予以废标处理，其风险由投标人自行承担。</w:t>
      </w:r>
    </w:p>
    <w:p w14:paraId="3CC4CF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总分=</w:t>
      </w:r>
      <w:r>
        <w:rPr>
          <w:rFonts w:hint="eastAsia" w:ascii="宋体" w:hAnsi="宋体" w:eastAsia="宋体" w:cs="宋体"/>
          <w:bCs/>
          <w:color w:val="auto"/>
          <w:sz w:val="24"/>
          <w:szCs w:val="24"/>
          <w:highlight w:val="none"/>
          <w:lang w:val="en-US" w:eastAsia="zh-CN"/>
        </w:rPr>
        <w:t>商务部分得分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技术部分得分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报价部分得分</w:t>
      </w:r>
      <w:r>
        <w:rPr>
          <w:rFonts w:hint="eastAsia" w:ascii="宋体" w:hAnsi="宋体" w:eastAsia="宋体" w:cs="宋体"/>
          <w:bCs/>
          <w:color w:val="auto"/>
          <w:sz w:val="24"/>
          <w:szCs w:val="24"/>
          <w:highlight w:val="none"/>
          <w:lang w:eastAsia="zh-CN"/>
        </w:rPr>
        <w:t>，结果保留两位小数。</w:t>
      </w:r>
    </w:p>
    <w:p w14:paraId="6B911D1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1" w:name="_Toc25464"/>
      <w:bookmarkStart w:id="162" w:name="_Toc8606"/>
      <w:bookmarkStart w:id="163" w:name="_Toc217446060"/>
      <w:r>
        <w:rPr>
          <w:rFonts w:hint="eastAsia" w:ascii="宋体" w:hAnsi="宋体" w:eastAsia="宋体" w:cs="宋体"/>
          <w:bCs/>
          <w:color w:val="auto"/>
          <w:sz w:val="24"/>
          <w:szCs w:val="24"/>
          <w:highlight w:val="none"/>
          <w:lang w:eastAsia="zh-CN"/>
        </w:rPr>
        <w:t>5.废标</w:t>
      </w:r>
      <w:bookmarkEnd w:id="161"/>
      <w:bookmarkEnd w:id="162"/>
    </w:p>
    <w:p w14:paraId="34D796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本次政府采购活动中，出现下列情形之一的，予以废标：</w:t>
      </w:r>
    </w:p>
    <w:p w14:paraId="6F0A1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（1）符合专业条件的供应商或者对采购文件作实质响应的供应商不足三家的；</w:t>
      </w:r>
    </w:p>
    <w:p w14:paraId="56A6F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（2）出现影响采购公正的违法、违规行为的；</w:t>
      </w:r>
    </w:p>
    <w:p w14:paraId="30B296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（3）供应商的报价均超过了采购预算，采购人不能支付的；</w:t>
      </w:r>
    </w:p>
    <w:p w14:paraId="31750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（4）因重大变故，采购任务取消的。</w:t>
      </w:r>
    </w:p>
    <w:p w14:paraId="3097442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废标后，采购代理机构应在发布采购公告的媒体上发布废标公告，并公告废标的详细理由。</w:t>
      </w:r>
    </w:p>
    <w:p w14:paraId="48E03E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4" w:name="_Toc8947"/>
      <w:bookmarkStart w:id="165" w:name="_Toc20616"/>
      <w:r>
        <w:rPr>
          <w:rFonts w:hint="eastAsia" w:ascii="宋体" w:hAnsi="宋体" w:eastAsia="宋体" w:cs="宋体"/>
          <w:bCs/>
          <w:color w:val="auto"/>
          <w:sz w:val="24"/>
          <w:szCs w:val="24"/>
          <w:highlight w:val="none"/>
          <w:lang w:eastAsia="zh-CN"/>
        </w:rPr>
        <w:t>6.定标</w:t>
      </w:r>
      <w:bookmarkEnd w:id="163"/>
      <w:bookmarkEnd w:id="164"/>
      <w:bookmarkEnd w:id="165"/>
      <w:bookmarkStart w:id="166" w:name="_Toc217446061"/>
    </w:p>
    <w:p w14:paraId="4B478A2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6.1定标原则</w:t>
      </w:r>
      <w:bookmarkEnd w:id="166"/>
      <w:r>
        <w:rPr>
          <w:rFonts w:hint="eastAsia" w:ascii="宋体" w:hAnsi="宋体" w:eastAsia="宋体" w:cs="宋体"/>
          <w:bCs/>
          <w:color w:val="auto"/>
          <w:sz w:val="24"/>
          <w:szCs w:val="24"/>
          <w:highlight w:val="none"/>
          <w:lang w:eastAsia="zh-CN"/>
        </w:rPr>
        <w:t>：本项目根据评标委员会推荐的中标（成交）候选人名单，按顺序确定中标（成交）人。</w:t>
      </w:r>
    </w:p>
    <w:p w14:paraId="0A0DB3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7" w:name="_Toc217446062"/>
      <w:bookmarkStart w:id="168" w:name="_Toc14716"/>
      <w:bookmarkStart w:id="169" w:name="_Toc26450"/>
      <w:r>
        <w:rPr>
          <w:rFonts w:hint="eastAsia" w:ascii="宋体" w:hAnsi="宋体" w:eastAsia="宋体" w:cs="宋体"/>
          <w:bCs/>
          <w:color w:val="auto"/>
          <w:sz w:val="24"/>
          <w:szCs w:val="24"/>
          <w:highlight w:val="none"/>
          <w:lang w:eastAsia="zh-CN"/>
        </w:rPr>
        <w:t>6.2定标程序</w:t>
      </w:r>
      <w:bookmarkEnd w:id="167"/>
      <w:bookmarkEnd w:id="168"/>
      <w:bookmarkEnd w:id="169"/>
    </w:p>
    <w:p w14:paraId="3582B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6.2.1评标委员会将评标情况写出书面报告，推荐中标（成交）候选人，并按照综合得分高低标明排列顺序。本项目采用综合评分法，评标结果按评审后得分由高到低顺序排列。得分相同的，按投标报价由低到高顺序排列。得分且投标报价相同的，技术指标较优的一方为中标人。</w:t>
      </w:r>
    </w:p>
    <w:p w14:paraId="05F9CC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6.2.2采购代理机构在评标结束后两个工作日内将评标报告送至采购人。</w:t>
      </w:r>
    </w:p>
    <w:p w14:paraId="7A9E73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6.2.3采购人应当自收到评审报告之日起5个工作日内在评审报告推荐的中标（成交）候选人中按顺序确定中标（成交）供应商。</w:t>
      </w:r>
    </w:p>
    <w:p w14:paraId="31177E4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6.2.4根据采购人确定的中标（成交）人，采购人在采购公告发布的媒体上发布中标（成交）公告，同时向中标（成交）人发出中标（成交）通知书。</w:t>
      </w:r>
    </w:p>
    <w:p w14:paraId="15D1CE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6.2.5采购单位不退回响应文件和其他投标资料。</w:t>
      </w:r>
      <w:bookmarkEnd w:id="145"/>
    </w:p>
    <w:p w14:paraId="4A074C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0" w:name="_Toc183682432"/>
      <w:bookmarkStart w:id="171" w:name="_Toc217446105"/>
      <w:bookmarkStart w:id="172" w:name="_Toc208849022"/>
      <w:bookmarkStart w:id="173" w:name="_Toc183582297"/>
      <w:bookmarkStart w:id="174" w:name="_Toc2167"/>
      <w:bookmarkStart w:id="175" w:name="_Toc26038"/>
      <w:r>
        <w:rPr>
          <w:rFonts w:hint="eastAsia" w:ascii="宋体" w:hAnsi="宋体" w:eastAsia="宋体" w:cs="宋体"/>
          <w:bCs/>
          <w:color w:val="auto"/>
          <w:sz w:val="24"/>
          <w:szCs w:val="24"/>
          <w:highlight w:val="none"/>
          <w:lang w:eastAsia="zh-CN"/>
        </w:rPr>
        <w:t>7.</w:t>
      </w:r>
      <w:bookmarkEnd w:id="170"/>
      <w:bookmarkEnd w:id="171"/>
      <w:bookmarkEnd w:id="172"/>
      <w:bookmarkEnd w:id="173"/>
      <w:r>
        <w:rPr>
          <w:rFonts w:hint="eastAsia" w:ascii="宋体" w:hAnsi="宋体" w:eastAsia="宋体" w:cs="宋体"/>
          <w:bCs/>
          <w:color w:val="auto"/>
          <w:sz w:val="24"/>
          <w:szCs w:val="24"/>
          <w:highlight w:val="none"/>
          <w:lang w:eastAsia="zh-CN"/>
        </w:rPr>
        <w:t>评标专家在政府采购活动中承担以下义务：</w:t>
      </w:r>
      <w:bookmarkEnd w:id="174"/>
      <w:bookmarkEnd w:id="175"/>
    </w:p>
    <w:p w14:paraId="462682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6" w:name="_Toc13865"/>
      <w:bookmarkStart w:id="177" w:name="_Toc4921"/>
      <w:r>
        <w:rPr>
          <w:rFonts w:hint="eastAsia" w:ascii="宋体" w:hAnsi="宋体" w:eastAsia="宋体" w:cs="宋体"/>
          <w:bCs/>
          <w:color w:val="auto"/>
          <w:sz w:val="24"/>
          <w:szCs w:val="24"/>
          <w:highlight w:val="none"/>
          <w:lang w:eastAsia="zh-CN"/>
        </w:rPr>
        <w:t>7.1遵纪守法，客观、公正、廉洁地履行职责。</w:t>
      </w:r>
      <w:bookmarkEnd w:id="176"/>
      <w:bookmarkEnd w:id="177"/>
    </w:p>
    <w:p w14:paraId="006746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7.2按照政府采购法律法规和采购文件的规定要求对供应商的资格条件和供应商提供的产品价格、技术、服务等方面严格进行评判，提供科学合理、公平公正的评审意见，参与起草评审报告，并予签字确认。</w:t>
      </w:r>
    </w:p>
    <w:p w14:paraId="6B3B2AF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7.3保守秘密。不得透露采购文件咨询情况，不得泄漏供应商的响应文件及知悉的商业秘密，不得向供应商透露评审情况。</w:t>
      </w:r>
    </w:p>
    <w:p w14:paraId="7DF961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7.4发现供应商在政府采购活动中有不正当竞争或恶意串通等违规行为，及时向政府采购评审工作的组织者或财政部门报告并加以制止。</w:t>
      </w:r>
    </w:p>
    <w:p w14:paraId="289121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发现采购人、政府采购代理机构及其工作人员在政府采购活动中有干预评审、发表倾向性和歧视性言论、受贿或者接受供应商的其他好处及其他违法违规行为，及时向财政部门报告。</w:t>
      </w:r>
    </w:p>
    <w:p w14:paraId="3877E7C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7.5解答有关方面对政府采购评审工作中有关问题的询问，配合采购人或者政府采购代理机构答复供应商质疑，配合财政部门的投诉处理工作等事宜。</w:t>
      </w:r>
    </w:p>
    <w:p w14:paraId="7B7BB6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8" w:name="_Toc29855"/>
      <w:bookmarkStart w:id="179" w:name="_Toc12044"/>
      <w:r>
        <w:rPr>
          <w:rFonts w:hint="eastAsia" w:ascii="宋体" w:hAnsi="宋体" w:eastAsia="宋体" w:cs="宋体"/>
          <w:bCs/>
          <w:color w:val="auto"/>
          <w:sz w:val="24"/>
          <w:szCs w:val="24"/>
          <w:highlight w:val="none"/>
          <w:lang w:eastAsia="zh-CN"/>
        </w:rPr>
        <w:t>7.6法律、法规和规章规定的其他义务。</w:t>
      </w:r>
      <w:bookmarkEnd w:id="178"/>
      <w:bookmarkEnd w:id="179"/>
    </w:p>
    <w:p w14:paraId="1841227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80" w:name="_Toc32180"/>
      <w:bookmarkStart w:id="181" w:name="_Toc12751"/>
      <w:r>
        <w:rPr>
          <w:rFonts w:hint="eastAsia" w:ascii="宋体" w:hAnsi="宋体" w:eastAsia="宋体" w:cs="宋体"/>
          <w:bCs/>
          <w:color w:val="auto"/>
          <w:sz w:val="24"/>
          <w:szCs w:val="24"/>
          <w:highlight w:val="none"/>
          <w:lang w:eastAsia="zh-CN"/>
        </w:rPr>
        <w:t>8.评审专家在政府采购活动中应当遵守以下工作纪律：</w:t>
      </w:r>
      <w:bookmarkEnd w:id="180"/>
      <w:bookmarkEnd w:id="181"/>
    </w:p>
    <w:p w14:paraId="22F3E1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8.1应邀按时参加评审和咨询活动。遇特殊情况不能出席或途中遇阻不能按时参加评审或咨询的，应及时告知财政部门或者采购人或者政府采购代理机构，不得私自转托他人。</w:t>
      </w:r>
    </w:p>
    <w:p w14:paraId="0F307DC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8.2不得参加与自己有利害关系的政府采购项目的评审活动。对与自己有利害关系的评审项目，如受到邀请，应主动提出回避。财政部门、采购人或政府采购代理机构也可要求该评审专家回避。</w:t>
      </w:r>
    </w:p>
    <w:p w14:paraId="07DDEA1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有利害关系主要是指三年内曾在参加该采购项目供应商中任职</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包括一般工作</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或担任顾问，配偶或直系亲属在参加该采购项目的供应商中任职或担任顾问，与参加该采购项目供应商发生过法律纠纷，以及其他可能影响公正评审的情况。</w:t>
      </w:r>
    </w:p>
    <w:p w14:paraId="42539C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8.3评审或咨询过程中关闭通讯设备，不得与外界联系。因发生不可预见情况，确实需要与外界联系的，应当有在场工作人员陪同。</w:t>
      </w:r>
    </w:p>
    <w:p w14:paraId="7D9E0C9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3B9402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8.5在咨询工作中，严格执行国家产业政策和产品标准，认真听取咨询方的合理要求，提出科学合理的、无倾向性和歧视性的咨询方案，并对所提出的意见和建议承担个人责任。</w:t>
      </w:r>
    </w:p>
    <w:p w14:paraId="1EF79DB1">
      <w:pPr>
        <w:keepNext w:val="0"/>
        <w:keepLines w:val="0"/>
        <w:pageBreakBefore w:val="0"/>
        <w:widowControl w:val="0"/>
        <w:kinsoku/>
        <w:wordWrap w:val="0"/>
        <w:overflowPunct/>
        <w:topLinePunct/>
        <w:autoSpaceDE/>
        <w:autoSpaceDN/>
        <w:bidi w:val="0"/>
        <w:adjustRightInd w:val="0"/>
        <w:snapToGrid w:val="0"/>
        <w:spacing w:line="360" w:lineRule="auto"/>
        <w:ind w:firstLine="897" w:firstLineChars="374"/>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bCs/>
          <w:color w:val="auto"/>
          <w:sz w:val="24"/>
          <w:szCs w:val="24"/>
          <w:highlight w:val="none"/>
        </w:rPr>
        <w:br w:type="page"/>
      </w:r>
      <w:bookmarkStart w:id="182" w:name="_Toc19239"/>
      <w:bookmarkStart w:id="183" w:name="_Toc30154"/>
      <w:bookmarkStart w:id="184" w:name="_Toc614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部分 合同</w:t>
      </w:r>
      <w:bookmarkEnd w:id="182"/>
      <w:bookmarkEnd w:id="183"/>
      <w:r>
        <w:rPr>
          <w:rFonts w:hint="eastAsia" w:ascii="宋体" w:hAnsi="宋体" w:eastAsia="宋体" w:cs="宋体"/>
          <w:color w:val="auto"/>
          <w:sz w:val="32"/>
          <w:szCs w:val="32"/>
          <w:highlight w:val="none"/>
          <w:lang w:val="en-US" w:eastAsia="zh-CN"/>
        </w:rPr>
        <w:t>格式</w:t>
      </w:r>
      <w:bookmarkEnd w:id="184"/>
    </w:p>
    <w:bookmarkEnd w:id="63"/>
    <w:bookmarkEnd w:id="64"/>
    <w:bookmarkEnd w:id="65"/>
    <w:bookmarkEnd w:id="66"/>
    <w:p w14:paraId="696908FF">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bookmarkStart w:id="185" w:name="_Toc349573144"/>
      <w:bookmarkStart w:id="186" w:name="_Toc298240429"/>
      <w:bookmarkStart w:id="187" w:name="_Toc349637943"/>
    </w:p>
    <w:p w14:paraId="28B7C22E">
      <w:pPr>
        <w:pStyle w:val="39"/>
        <w:jc w:val="center"/>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（本合同仅供参考，最终以双方签订的合同为准）</w:t>
      </w:r>
    </w:p>
    <w:p w14:paraId="33DA884C">
      <w:pPr>
        <w:rPr>
          <w:color w:val="auto"/>
          <w:highlight w:val="none"/>
        </w:rPr>
      </w:pPr>
      <w:bookmarkStart w:id="188" w:name="_Toc15405"/>
      <w:bookmarkStart w:id="189" w:name="_Toc117"/>
    </w:p>
    <w:p w14:paraId="7644384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81487F7">
      <w:pPr>
        <w:spacing w:line="480" w:lineRule="auto"/>
        <w:jc w:val="center"/>
        <w:rPr>
          <w:rFonts w:ascii="宋体" w:hAnsi="宋体" w:cs="宋体"/>
          <w:b/>
          <w:color w:val="auto"/>
          <w:sz w:val="28"/>
          <w:szCs w:val="28"/>
          <w:highlight w:val="none"/>
        </w:rPr>
      </w:pPr>
    </w:p>
    <w:p w14:paraId="0E8F3C16">
      <w:pPr>
        <w:spacing w:line="480" w:lineRule="auto"/>
        <w:jc w:val="center"/>
        <w:rPr>
          <w:rFonts w:ascii="宋体" w:hAnsi="宋体" w:cs="宋体"/>
          <w:b/>
          <w:color w:val="auto"/>
          <w:sz w:val="24"/>
          <w:highlight w:val="none"/>
        </w:rPr>
      </w:pPr>
    </w:p>
    <w:p w14:paraId="13FFB5B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8705CF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4E09CD3">
      <w:pPr>
        <w:spacing w:before="120" w:line="22" w:lineRule="atLeast"/>
        <w:rPr>
          <w:rFonts w:ascii="宋体" w:hAnsi="宋体" w:cs="宋体"/>
          <w:color w:val="auto"/>
          <w:sz w:val="24"/>
          <w:highlight w:val="none"/>
        </w:rPr>
      </w:pPr>
    </w:p>
    <w:p w14:paraId="081ECE85">
      <w:pPr>
        <w:pStyle w:val="178"/>
        <w:spacing w:before="120" w:line="22" w:lineRule="atLeast"/>
        <w:rPr>
          <w:rFonts w:ascii="宋体" w:hAnsi="宋体" w:eastAsia="宋体" w:cs="宋体"/>
          <w:color w:val="auto"/>
          <w:szCs w:val="24"/>
          <w:highlight w:val="none"/>
        </w:rPr>
      </w:pPr>
    </w:p>
    <w:p w14:paraId="1655D53F">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5BC7E5">
      <w:pPr>
        <w:pStyle w:val="178"/>
        <w:spacing w:before="120" w:line="22" w:lineRule="atLeast"/>
        <w:rPr>
          <w:rFonts w:ascii="宋体" w:hAnsi="宋体" w:eastAsia="宋体" w:cs="宋体"/>
          <w:color w:val="auto"/>
          <w:szCs w:val="24"/>
          <w:highlight w:val="none"/>
        </w:rPr>
      </w:pPr>
    </w:p>
    <w:p w14:paraId="22528F55">
      <w:pPr>
        <w:pStyle w:val="178"/>
        <w:spacing w:before="120" w:line="22" w:lineRule="atLeast"/>
        <w:rPr>
          <w:rFonts w:ascii="宋体" w:hAnsi="宋体" w:eastAsia="宋体" w:cs="宋体"/>
          <w:color w:val="auto"/>
          <w:szCs w:val="24"/>
          <w:highlight w:val="none"/>
        </w:rPr>
      </w:pPr>
    </w:p>
    <w:p w14:paraId="0EEECD57">
      <w:pPr>
        <w:rPr>
          <w:rFonts w:ascii="宋体" w:hAnsi="宋体" w:cs="宋体"/>
          <w:color w:val="auto"/>
          <w:sz w:val="24"/>
          <w:highlight w:val="none"/>
        </w:rPr>
      </w:pPr>
    </w:p>
    <w:p w14:paraId="316ACF6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DC8B83B">
      <w:pPr>
        <w:spacing w:before="120" w:line="22" w:lineRule="atLeast"/>
        <w:rPr>
          <w:rFonts w:ascii="宋体" w:hAnsi="宋体" w:cs="宋体"/>
          <w:color w:val="auto"/>
          <w:sz w:val="24"/>
          <w:highlight w:val="none"/>
        </w:rPr>
      </w:pPr>
    </w:p>
    <w:p w14:paraId="4B58FFE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10CFCC1">
      <w:pPr>
        <w:spacing w:before="120" w:line="22" w:lineRule="atLeast"/>
        <w:rPr>
          <w:rFonts w:ascii="宋体" w:hAnsi="宋体" w:cs="宋体"/>
          <w:color w:val="auto"/>
          <w:sz w:val="24"/>
          <w:highlight w:val="none"/>
        </w:rPr>
      </w:pPr>
    </w:p>
    <w:p w14:paraId="7D44ACF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041F7DD">
      <w:pPr>
        <w:spacing w:before="120" w:line="22" w:lineRule="atLeast"/>
        <w:rPr>
          <w:rFonts w:ascii="宋体" w:hAnsi="宋体" w:cs="宋体"/>
          <w:color w:val="auto"/>
          <w:sz w:val="24"/>
          <w:highlight w:val="none"/>
        </w:rPr>
      </w:pPr>
    </w:p>
    <w:p w14:paraId="36E7435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B31341">
      <w:pPr>
        <w:spacing w:line="560" w:lineRule="exact"/>
        <w:ind w:firstLine="643" w:firstLineChars="200"/>
        <w:outlineLvl w:val="9"/>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br w:type="page"/>
      </w:r>
    </w:p>
    <w:p w14:paraId="48B39196">
      <w:pPr>
        <w:pStyle w:val="137"/>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637AE8A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年</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月</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日</w:t>
      </w:r>
      <w:r>
        <w:rPr>
          <w:rFonts w:hint="eastAsia" w:ascii="仿宋" w:hAnsi="仿宋" w:cs="仿宋"/>
          <w:color w:val="auto"/>
          <w:sz w:val="24"/>
          <w:highlight w:val="none"/>
        </w:rPr>
        <w:t>，</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rPr>
        <w:t>以</w:t>
      </w:r>
      <w:r>
        <w:rPr>
          <w:rFonts w:hint="eastAsia" w:ascii="仿宋" w:hAnsi="仿宋" w:cs="仿宋"/>
          <w:color w:val="auto"/>
          <w:sz w:val="24"/>
          <w:highlight w:val="none"/>
          <w:u w:val="single"/>
        </w:rPr>
        <w:t xml:space="preserve">   （政府采购方式）  </w:t>
      </w:r>
      <w:r>
        <w:rPr>
          <w:rFonts w:hint="eastAsia" w:ascii="仿宋" w:hAnsi="仿宋" w:cs="仿宋"/>
          <w:color w:val="auto"/>
          <w:sz w:val="24"/>
          <w:highlight w:val="none"/>
        </w:rPr>
        <w:t>对</w:t>
      </w:r>
      <w:r>
        <w:rPr>
          <w:rFonts w:hint="eastAsia" w:ascii="仿宋" w:hAnsi="仿宋" w:cs="仿宋"/>
          <w:color w:val="auto"/>
          <w:sz w:val="24"/>
          <w:highlight w:val="none"/>
          <w:u w:val="single"/>
        </w:rPr>
        <w:t xml:space="preserve">  （项目名称）    </w:t>
      </w:r>
      <w:r>
        <w:rPr>
          <w:rFonts w:hint="eastAsia" w:ascii="仿宋" w:hAnsi="仿宋" w:cs="仿宋"/>
          <w:color w:val="auto"/>
          <w:sz w:val="24"/>
          <w:highlight w:val="none"/>
        </w:rPr>
        <w:t>项目进行了采购。经</w:t>
      </w:r>
      <w:r>
        <w:rPr>
          <w:rFonts w:hint="eastAsia" w:ascii="仿宋" w:hAnsi="仿宋" w:cs="仿宋"/>
          <w:color w:val="auto"/>
          <w:sz w:val="24"/>
          <w:highlight w:val="none"/>
          <w:u w:val="single"/>
        </w:rPr>
        <w:t xml:space="preserve">   （相关评定主体名称）   </w:t>
      </w:r>
      <w:r>
        <w:rPr>
          <w:rFonts w:hint="eastAsia" w:ascii="仿宋" w:hAnsi="仿宋" w:cs="仿宋"/>
          <w:color w:val="auto"/>
          <w:sz w:val="24"/>
          <w:highlight w:val="none"/>
        </w:rPr>
        <w:t>评定，</w:t>
      </w:r>
      <w:r>
        <w:rPr>
          <w:rFonts w:hint="eastAsia" w:ascii="仿宋" w:hAnsi="仿宋" w:cs="仿宋"/>
          <w:color w:val="auto"/>
          <w:sz w:val="24"/>
          <w:highlight w:val="none"/>
          <w:u w:val="single"/>
        </w:rPr>
        <w:t xml:space="preserve">   （中标或者成交供应商名称） </w:t>
      </w:r>
      <w:r>
        <w:rPr>
          <w:rFonts w:hint="eastAsia" w:ascii="仿宋" w:hAnsi="仿宋" w:cs="仿宋"/>
          <w:color w:val="auto"/>
          <w:sz w:val="24"/>
          <w:highlight w:val="none"/>
        </w:rPr>
        <w:t>为该项目中标或者成交供应商。现于中标或者成交通知书发出之日起</w:t>
      </w:r>
      <w:r>
        <w:rPr>
          <w:rFonts w:hint="eastAsia" w:ascii="仿宋" w:hAnsi="仿宋" w:cs="仿宋"/>
          <w:color w:val="auto"/>
          <w:sz w:val="24"/>
          <w:highlight w:val="none"/>
          <w:lang w:val="en-US" w:eastAsia="zh-CN"/>
        </w:rPr>
        <w:t>30</w:t>
      </w:r>
      <w:r>
        <w:rPr>
          <w:rFonts w:hint="eastAsia" w:ascii="仿宋" w:hAnsi="仿宋" w:cs="仿宋"/>
          <w:color w:val="auto"/>
          <w:sz w:val="24"/>
          <w:highlight w:val="none"/>
        </w:rPr>
        <w:t>日内，按照采购文件确定的事项签订本合同。</w:t>
      </w:r>
    </w:p>
    <w:p w14:paraId="212D840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lang w:val="zh-CN"/>
        </w:rPr>
        <w:t>以下简称：甲方）和</w:t>
      </w:r>
      <w:r>
        <w:rPr>
          <w:rFonts w:hint="eastAsia" w:ascii="仿宋" w:hAnsi="仿宋" w:cs="仿宋"/>
          <w:color w:val="auto"/>
          <w:sz w:val="24"/>
          <w:highlight w:val="none"/>
          <w:u w:val="single"/>
        </w:rPr>
        <w:t xml:space="preserve">   （中或者成交标供应商名称）   （</w:t>
      </w:r>
      <w:r>
        <w:rPr>
          <w:rFonts w:hint="eastAsia" w:ascii="仿宋" w:hAnsi="仿宋" w:cs="仿宋"/>
          <w:color w:val="auto"/>
          <w:sz w:val="24"/>
          <w:highlight w:val="none"/>
          <w:lang w:val="zh-CN"/>
        </w:rPr>
        <w:t>以下简称：乙方）协商一致，约定以下合同</w:t>
      </w:r>
      <w:r>
        <w:rPr>
          <w:rFonts w:hint="eastAsia" w:ascii="仿宋" w:hAnsi="仿宋" w:cs="仿宋"/>
          <w:color w:val="auto"/>
          <w:sz w:val="24"/>
          <w:highlight w:val="none"/>
        </w:rPr>
        <w:t>条款，以兹共同遵守、全面履行。</w:t>
      </w:r>
    </w:p>
    <w:p w14:paraId="39D7748B">
      <w:pPr>
        <w:spacing w:line="560" w:lineRule="exact"/>
        <w:ind w:firstLine="482" w:firstLineChars="200"/>
        <w:outlineLvl w:val="9"/>
        <w:rPr>
          <w:rFonts w:ascii="仿宋" w:hAnsi="仿宋" w:cs="仿宋"/>
          <w:color w:val="auto"/>
          <w:sz w:val="24"/>
          <w:highlight w:val="none"/>
        </w:rPr>
      </w:pPr>
      <w:bookmarkStart w:id="190" w:name="_Toc19273"/>
      <w:bookmarkStart w:id="191" w:name="_Toc19803"/>
      <w:bookmarkStart w:id="192" w:name="_Toc22967"/>
      <w:bookmarkStart w:id="193" w:name="_Toc15367"/>
      <w:bookmarkStart w:id="194" w:name="_Toc20421"/>
      <w:bookmarkStart w:id="195" w:name="_Toc7366"/>
      <w:bookmarkStart w:id="196" w:name="_Toc28855"/>
      <w:r>
        <w:rPr>
          <w:rFonts w:hint="eastAsia" w:ascii="仿宋" w:hAnsi="仿宋" w:cs="仿宋"/>
          <w:b/>
          <w:color w:val="auto"/>
          <w:sz w:val="24"/>
          <w:highlight w:val="none"/>
        </w:rPr>
        <w:t>1.1合同组成部分</w:t>
      </w:r>
      <w:bookmarkEnd w:id="190"/>
      <w:bookmarkEnd w:id="191"/>
      <w:bookmarkEnd w:id="192"/>
      <w:bookmarkEnd w:id="193"/>
      <w:bookmarkEnd w:id="194"/>
      <w:bookmarkEnd w:id="195"/>
      <w:bookmarkEnd w:id="196"/>
    </w:p>
    <w:p w14:paraId="1506615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86642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1.1.1本合同及其补充合同、变更协议；</w:t>
      </w:r>
    </w:p>
    <w:p w14:paraId="4BD04FE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1.1.2中标或者成交通知书；</w:t>
      </w:r>
    </w:p>
    <w:p w14:paraId="439FFC4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1.1.3投标或者投标文件（含澄清或者说明文件）；</w:t>
      </w:r>
    </w:p>
    <w:p w14:paraId="7743341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1.1.4采购文件（含澄清或者修改文件）；</w:t>
      </w:r>
    </w:p>
    <w:p w14:paraId="6391D61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1.1.5其他相关采购文件。</w:t>
      </w:r>
    </w:p>
    <w:p w14:paraId="541C11B3">
      <w:pPr>
        <w:spacing w:line="560" w:lineRule="exact"/>
        <w:ind w:firstLine="482" w:firstLineChars="200"/>
        <w:outlineLvl w:val="9"/>
        <w:rPr>
          <w:rFonts w:ascii="仿宋" w:hAnsi="仿宋" w:cs="仿宋"/>
          <w:b/>
          <w:color w:val="auto"/>
          <w:sz w:val="24"/>
          <w:highlight w:val="none"/>
        </w:rPr>
      </w:pPr>
      <w:bookmarkStart w:id="197" w:name="_Toc6773"/>
      <w:bookmarkStart w:id="198" w:name="_Toc22185"/>
      <w:bookmarkStart w:id="199" w:name="_Toc6311"/>
      <w:bookmarkStart w:id="200" w:name="_Toc2918"/>
      <w:bookmarkStart w:id="201" w:name="_Toc27828"/>
      <w:bookmarkStart w:id="202" w:name="_Toc18585"/>
      <w:bookmarkStart w:id="203" w:name="_Toc7659"/>
      <w:r>
        <w:rPr>
          <w:rFonts w:hint="eastAsia" w:ascii="仿宋" w:hAnsi="仿宋" w:cs="仿宋"/>
          <w:b/>
          <w:color w:val="auto"/>
          <w:sz w:val="24"/>
          <w:highlight w:val="none"/>
        </w:rPr>
        <w:t>1.2标的</w:t>
      </w:r>
      <w:bookmarkEnd w:id="197"/>
      <w:bookmarkEnd w:id="198"/>
      <w:bookmarkEnd w:id="199"/>
      <w:bookmarkEnd w:id="200"/>
      <w:bookmarkEnd w:id="201"/>
      <w:bookmarkEnd w:id="202"/>
      <w:bookmarkEnd w:id="203"/>
    </w:p>
    <w:p w14:paraId="055C2692">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1.2.1服务内容：</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0101F4DA">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1.2.2服务标准：</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52B50FA9">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1.2.3技术保障：</w:t>
      </w:r>
      <w:r>
        <w:rPr>
          <w:rFonts w:hint="eastAsia" w:ascii="仿宋" w:hAnsi="仿宋" w:cs="仿宋"/>
          <w:color w:val="auto"/>
          <w:sz w:val="24"/>
          <w:highlight w:val="none"/>
          <w:u w:val="single"/>
        </w:rPr>
        <w:t>　　　　　　　　　                      　      ；</w:t>
      </w:r>
    </w:p>
    <w:p w14:paraId="43723FB4">
      <w:pPr>
        <w:spacing w:line="560" w:lineRule="exact"/>
        <w:ind w:firstLine="480" w:firstLineChars="200"/>
        <w:jc w:val="left"/>
        <w:outlineLvl w:val="9"/>
        <w:rPr>
          <w:rFonts w:ascii="仿宋" w:hAnsi="仿宋" w:cs="仿宋"/>
          <w:color w:val="auto"/>
          <w:sz w:val="24"/>
          <w:highlight w:val="none"/>
        </w:rPr>
      </w:pPr>
      <w:r>
        <w:rPr>
          <w:rFonts w:hint="eastAsia" w:ascii="仿宋" w:hAnsi="仿宋" w:cs="仿宋"/>
          <w:color w:val="auto"/>
          <w:sz w:val="24"/>
          <w:highlight w:val="none"/>
        </w:rPr>
        <w:t>1.2.4服务人员组成：</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9BD462F">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1.2.5合同</w:t>
      </w:r>
      <w:r>
        <w:rPr>
          <w:rFonts w:hint="eastAsia" w:ascii="仿宋" w:hAnsi="仿宋" w:cs="仿宋"/>
          <w:color w:val="auto"/>
          <w:highlight w:val="none"/>
          <w:u w:val="single"/>
        </w:rPr>
        <w:t xml:space="preserve">     </w:t>
      </w:r>
      <w:r>
        <w:rPr>
          <w:rFonts w:hint="eastAsia" w:ascii="仿宋" w:hAnsi="仿宋" w:cs="仿宋"/>
          <w:color w:val="auto"/>
          <w:highlight w:val="none"/>
        </w:rPr>
        <w:t>（是/否）涉及货物。若涉及货物的的，则：</w:t>
      </w:r>
    </w:p>
    <w:p w14:paraId="570FB2AE">
      <w:pPr>
        <w:spacing w:line="560" w:lineRule="exact"/>
        <w:ind w:firstLine="480" w:firstLineChars="200"/>
        <w:outlineLvl w:val="9"/>
        <w:rPr>
          <w:rFonts w:ascii="仿宋" w:hAnsi="仿宋" w:cs="仿宋"/>
          <w:color w:val="auto"/>
          <w:sz w:val="24"/>
          <w:highlight w:val="none"/>
          <w:u w:val="single"/>
        </w:rPr>
      </w:pPr>
      <w:bookmarkStart w:id="204" w:name="_Toc1386"/>
      <w:bookmarkStart w:id="205" w:name="_Toc21124"/>
      <w:bookmarkStart w:id="206" w:name="_Toc13918"/>
      <w:bookmarkStart w:id="207" w:name="_Toc5635"/>
      <w:bookmarkStart w:id="208" w:name="_Toc4929"/>
      <w:r>
        <w:rPr>
          <w:rFonts w:hint="eastAsia" w:ascii="仿宋" w:hAnsi="仿宋" w:cs="仿宋"/>
          <w:color w:val="auto"/>
          <w:sz w:val="24"/>
          <w:highlight w:val="none"/>
        </w:rPr>
        <w:t>1.2.5.1货物名称、品牌、规格型号、花色：</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2CB22060">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1.2.5.2货物数量：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1BA370C">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1.2.5.3货物质量：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49D74DD">
      <w:pPr>
        <w:spacing w:line="560" w:lineRule="exact"/>
        <w:ind w:firstLine="482" w:firstLineChars="200"/>
        <w:outlineLvl w:val="9"/>
        <w:rPr>
          <w:rFonts w:ascii="仿宋" w:hAnsi="仿宋" w:cs="仿宋"/>
          <w:b/>
          <w:color w:val="auto"/>
          <w:sz w:val="24"/>
          <w:highlight w:val="none"/>
        </w:rPr>
      </w:pPr>
      <w:bookmarkStart w:id="209" w:name="_Toc25508"/>
      <w:bookmarkStart w:id="210" w:name="_Toc4258"/>
      <w:r>
        <w:rPr>
          <w:rFonts w:hint="eastAsia" w:ascii="仿宋" w:hAnsi="仿宋" w:cs="仿宋"/>
          <w:b/>
          <w:color w:val="auto"/>
          <w:sz w:val="24"/>
          <w:highlight w:val="none"/>
        </w:rPr>
        <w:t>1.3价款</w:t>
      </w:r>
      <w:bookmarkEnd w:id="204"/>
      <w:bookmarkEnd w:id="205"/>
      <w:bookmarkEnd w:id="206"/>
      <w:bookmarkEnd w:id="207"/>
      <w:bookmarkEnd w:id="208"/>
      <w:bookmarkEnd w:id="209"/>
      <w:bookmarkEnd w:id="210"/>
    </w:p>
    <w:p w14:paraId="4C323D8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本项目采用以下第</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条款规定的计价方式计价。</w:t>
      </w:r>
    </w:p>
    <w:p w14:paraId="13CE03AA">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1.3.1总价合同，本合同总价（含税）为：￥</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18AFCAA1">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分项价格：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C5DAFD">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序号</w:t>
            </w:r>
          </w:p>
        </w:tc>
        <w:tc>
          <w:tcPr>
            <w:tcW w:w="3402" w:type="dxa"/>
            <w:vAlign w:val="center"/>
          </w:tcPr>
          <w:p w14:paraId="3B52DCF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分项名称</w:t>
            </w:r>
          </w:p>
        </w:tc>
        <w:tc>
          <w:tcPr>
            <w:tcW w:w="2552" w:type="dxa"/>
            <w:vAlign w:val="center"/>
          </w:tcPr>
          <w:p w14:paraId="7AA27FA3">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分项价格</w:t>
            </w:r>
          </w:p>
        </w:tc>
      </w:tr>
      <w:tr w14:paraId="291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073BE7">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99C04E1">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DE854AB">
            <w:pPr>
              <w:pStyle w:val="180"/>
              <w:spacing w:line="560" w:lineRule="exact"/>
              <w:ind w:firstLine="200"/>
              <w:jc w:val="center"/>
              <w:outlineLvl w:val="9"/>
              <w:rPr>
                <w:rFonts w:ascii="仿宋" w:hAnsi="仿宋" w:cs="仿宋"/>
                <w:color w:val="auto"/>
                <w:sz w:val="24"/>
                <w:szCs w:val="24"/>
                <w:highlight w:val="none"/>
              </w:rPr>
            </w:pPr>
          </w:p>
        </w:tc>
      </w:tr>
      <w:tr w14:paraId="12DA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D44D2C">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68782D8">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01090BF3">
            <w:pPr>
              <w:pStyle w:val="180"/>
              <w:spacing w:line="560" w:lineRule="exact"/>
              <w:ind w:firstLine="200"/>
              <w:jc w:val="center"/>
              <w:outlineLvl w:val="9"/>
              <w:rPr>
                <w:rFonts w:ascii="仿宋" w:hAnsi="仿宋" w:cs="仿宋"/>
                <w:color w:val="auto"/>
                <w:sz w:val="24"/>
                <w:szCs w:val="24"/>
                <w:highlight w:val="none"/>
              </w:rPr>
            </w:pPr>
          </w:p>
        </w:tc>
      </w:tr>
      <w:tr w14:paraId="7459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C30FB1">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2B158D4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CA73A18">
            <w:pPr>
              <w:pStyle w:val="180"/>
              <w:spacing w:line="560" w:lineRule="exact"/>
              <w:ind w:firstLine="200"/>
              <w:jc w:val="center"/>
              <w:outlineLvl w:val="9"/>
              <w:rPr>
                <w:rFonts w:ascii="仿宋" w:hAnsi="仿宋" w:cs="仿宋"/>
                <w:color w:val="auto"/>
                <w:sz w:val="24"/>
                <w:szCs w:val="24"/>
                <w:highlight w:val="none"/>
              </w:rPr>
            </w:pPr>
          </w:p>
        </w:tc>
      </w:tr>
      <w:tr w14:paraId="731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D2555F">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0BADE5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31E09DA3">
            <w:pPr>
              <w:pStyle w:val="180"/>
              <w:spacing w:line="560" w:lineRule="exact"/>
              <w:ind w:firstLine="200"/>
              <w:jc w:val="center"/>
              <w:outlineLvl w:val="9"/>
              <w:rPr>
                <w:rFonts w:ascii="仿宋" w:hAnsi="仿宋" w:cs="仿宋"/>
                <w:color w:val="auto"/>
                <w:sz w:val="24"/>
                <w:szCs w:val="24"/>
                <w:highlight w:val="none"/>
              </w:rPr>
            </w:pPr>
          </w:p>
        </w:tc>
      </w:tr>
      <w:tr w14:paraId="0609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222CD4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总价</w:t>
            </w:r>
          </w:p>
        </w:tc>
        <w:tc>
          <w:tcPr>
            <w:tcW w:w="2552" w:type="dxa"/>
            <w:vAlign w:val="center"/>
          </w:tcPr>
          <w:p w14:paraId="00972AEF">
            <w:pPr>
              <w:pStyle w:val="180"/>
              <w:spacing w:line="560" w:lineRule="exact"/>
              <w:ind w:firstLine="200"/>
              <w:jc w:val="center"/>
              <w:outlineLvl w:val="9"/>
              <w:rPr>
                <w:rFonts w:ascii="仿宋" w:hAnsi="仿宋" w:cs="仿宋"/>
                <w:color w:val="auto"/>
                <w:sz w:val="24"/>
                <w:szCs w:val="24"/>
                <w:highlight w:val="none"/>
              </w:rPr>
            </w:pPr>
          </w:p>
        </w:tc>
      </w:tr>
    </w:tbl>
    <w:p w14:paraId="4B65871B">
      <w:pPr>
        <w:spacing w:line="560" w:lineRule="exact"/>
        <w:ind w:firstLine="480" w:firstLineChars="200"/>
        <w:outlineLvl w:val="9"/>
        <w:rPr>
          <w:rFonts w:hint="eastAsia" w:ascii="仿宋" w:hAnsi="仿宋" w:cs="仿宋"/>
          <w:color w:val="auto"/>
          <w:sz w:val="24"/>
          <w:highlight w:val="none"/>
        </w:rPr>
      </w:pPr>
      <w:bookmarkStart w:id="211" w:name="_Toc14993"/>
      <w:bookmarkStart w:id="212" w:name="_Toc30158"/>
      <w:bookmarkStart w:id="213" w:name="_Toc26916"/>
      <w:bookmarkStart w:id="214" w:name="_Toc3654"/>
      <w:bookmarkStart w:id="215" w:name="_Toc30506"/>
      <w:r>
        <w:rPr>
          <w:rFonts w:hint="eastAsia" w:ascii="仿宋" w:hAnsi="仿宋" w:cs="仿宋"/>
          <w:bCs/>
          <w:color w:val="auto"/>
          <w:sz w:val="24"/>
          <w:highlight w:val="none"/>
        </w:rPr>
        <w:t>1.3.2单价合同，本合同单价（含税）标准为：</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。服务工作量的计量方式为：</w:t>
      </w:r>
      <w:r>
        <w:rPr>
          <w:rFonts w:hint="eastAsia" w:ascii="仿宋" w:hAnsi="仿宋" w:cs="仿宋"/>
          <w:bCs/>
          <w:color w:val="auto"/>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cs="仿宋"/>
          <w:color w:val="auto"/>
          <w:sz w:val="24"/>
          <w:highlight w:val="none"/>
          <w:u w:val="single"/>
        </w:rPr>
        <w:t xml:space="preserve"> </w:t>
      </w:r>
      <w:r>
        <w:rPr>
          <w:rFonts w:hint="eastAsia" w:ascii="仿宋" w:hAnsi="仿宋" w:cs="仿宋"/>
          <w:color w:val="auto"/>
          <w:sz w:val="24"/>
          <w:highlight w:val="none"/>
          <w:u w:val="single"/>
          <w:lang w:val="en-US" w:eastAsia="zh-CN"/>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w:t>
      </w:r>
    </w:p>
    <w:p w14:paraId="09E33151">
      <w:pPr>
        <w:spacing w:line="560" w:lineRule="exact"/>
        <w:outlineLvl w:val="9"/>
        <w:rPr>
          <w:rFonts w:ascii="仿宋" w:hAnsi="仿宋" w:cs="仿宋"/>
          <w:color w:val="auto"/>
          <w:sz w:val="24"/>
          <w:highlight w:val="none"/>
        </w:rPr>
      </w:pPr>
      <w:r>
        <w:rPr>
          <w:rFonts w:hint="eastAsia" w:ascii="仿宋" w:hAnsi="仿宋" w:cs="仿宋"/>
          <w:color w:val="auto"/>
          <w:sz w:val="24"/>
          <w:highlight w:val="none"/>
        </w:rPr>
        <w:t>（大写：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39388745">
      <w:pPr>
        <w:keepNext w:val="0"/>
        <w:keepLines w:val="0"/>
        <w:pageBreakBefore w:val="0"/>
        <w:widowControl w:val="0"/>
        <w:tabs>
          <w:tab w:val="left" w:pos="432"/>
        </w:tabs>
        <w:kinsoku/>
        <w:wordWrap/>
        <w:overflowPunct/>
        <w:topLinePunct w:val="0"/>
        <w:autoSpaceDE/>
        <w:autoSpaceDN/>
        <w:bidi w:val="0"/>
        <w:adjustRightInd/>
        <w:snapToGrid/>
        <w:ind w:firstLine="480" w:firstLineChars="200"/>
        <w:textAlignment w:val="auto"/>
        <w:outlineLvl w:val="9"/>
        <w:rPr>
          <w:rFonts w:ascii="仿宋" w:hAnsi="仿宋" w:cs="仿宋"/>
          <w:color w:val="auto"/>
          <w:highlight w:val="none"/>
        </w:rPr>
      </w:pPr>
      <w:r>
        <w:rPr>
          <w:rFonts w:hint="eastAsia" w:ascii="仿宋" w:hAnsi="仿宋" w:cs="仿宋"/>
          <w:color w:val="auto"/>
          <w:sz w:val="24"/>
          <w:highlight w:val="none"/>
        </w:rPr>
        <w:t>1.3.3其他计价方式：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bookmarkEnd w:id="211"/>
    <w:bookmarkEnd w:id="212"/>
    <w:bookmarkEnd w:id="213"/>
    <w:bookmarkEnd w:id="214"/>
    <w:bookmarkEnd w:id="215"/>
    <w:p w14:paraId="2957FDA7">
      <w:pPr>
        <w:pStyle w:val="179"/>
        <w:spacing w:before="0" w:beforeAutospacing="0" w:after="0" w:afterAutospacing="0" w:line="360" w:lineRule="auto"/>
        <w:ind w:firstLine="480"/>
        <w:outlineLvl w:val="9"/>
        <w:rPr>
          <w:rFonts w:ascii="仿宋" w:hAnsi="仿宋" w:cs="仿宋"/>
          <w:b/>
          <w:color w:val="auto"/>
          <w:highlight w:val="none"/>
        </w:rPr>
      </w:pPr>
      <w:bookmarkStart w:id="216" w:name="_Toc10340"/>
      <w:bookmarkStart w:id="217" w:name="_Toc22618"/>
      <w:bookmarkStart w:id="218" w:name="_Toc1814"/>
      <w:bookmarkStart w:id="219" w:name="_Toc11108"/>
      <w:bookmarkStart w:id="220" w:name="_Toc4760"/>
      <w:bookmarkStart w:id="221" w:name="_Toc3625"/>
      <w:bookmarkStart w:id="222" w:name="_Toc31421"/>
      <w:bookmarkStart w:id="223" w:name="_Toc8772"/>
      <w:r>
        <w:rPr>
          <w:rFonts w:hint="eastAsia" w:ascii="仿宋" w:hAnsi="仿宋" w:cs="仿宋"/>
          <w:b/>
          <w:color w:val="auto"/>
          <w:highlight w:val="none"/>
        </w:rPr>
        <w:t>1.4履约保函</w:t>
      </w:r>
    </w:p>
    <w:p w14:paraId="24785010">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乙方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（是/否）需要支付履约保函。若需要支付履约保证金的，则：</w:t>
      </w:r>
    </w:p>
    <w:p w14:paraId="62015B97">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1.4.1履约保证金的比例为合同金额的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5D9802F3">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1.4.2履约保证金支付方式详见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1FFA6D1D">
      <w:pPr>
        <w:tabs>
          <w:tab w:val="left" w:pos="0"/>
          <w:tab w:val="left" w:pos="432"/>
        </w:tabs>
        <w:spacing w:line="560" w:lineRule="exact"/>
        <w:ind w:firstLine="480" w:firstLineChars="200"/>
        <w:outlineLvl w:val="9"/>
        <w:rPr>
          <w:rFonts w:ascii="仿宋" w:hAnsi="仿宋" w:cs="仿宋"/>
          <w:color w:val="auto"/>
          <w:highlight w:val="none"/>
        </w:rPr>
      </w:pPr>
      <w:r>
        <w:rPr>
          <w:rFonts w:hint="eastAsia" w:ascii="仿宋" w:hAnsi="仿宋" w:cs="仿宋"/>
          <w:color w:val="auto"/>
          <w:kern w:val="0"/>
          <w:sz w:val="24"/>
          <w:szCs w:val="24"/>
          <w:highlight w:val="none"/>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07072E8">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1.4.4甲方在项目验收结束后及时退还履约保证金。甲方在项目通过验收之日起</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每迟延退还一日的应退还而未退还金额的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%计算，最高限额为本合同履约保证金的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 xml:space="preserve"> %。</w:t>
      </w:r>
    </w:p>
    <w:p w14:paraId="7C22B02C">
      <w:pPr>
        <w:spacing w:line="560" w:lineRule="exact"/>
        <w:ind w:firstLine="482" w:firstLineChars="200"/>
        <w:outlineLvl w:val="9"/>
        <w:rPr>
          <w:rFonts w:ascii="仿宋" w:hAnsi="仿宋" w:cs="仿宋"/>
          <w:b/>
          <w:color w:val="auto"/>
          <w:sz w:val="24"/>
          <w:highlight w:val="none"/>
        </w:rPr>
      </w:pPr>
      <w:bookmarkStart w:id="224" w:name="_Toc9623"/>
      <w:bookmarkStart w:id="225" w:name="_Toc16437"/>
      <w:r>
        <w:rPr>
          <w:rFonts w:hint="eastAsia" w:ascii="仿宋" w:hAnsi="仿宋" w:cs="仿宋"/>
          <w:b/>
          <w:color w:val="auto"/>
          <w:sz w:val="24"/>
          <w:highlight w:val="none"/>
        </w:rPr>
        <w:t>1.5</w:t>
      </w:r>
      <w:bookmarkEnd w:id="216"/>
      <w:bookmarkEnd w:id="217"/>
      <w:bookmarkEnd w:id="218"/>
      <w:r>
        <w:rPr>
          <w:rFonts w:hint="eastAsia" w:ascii="仿宋" w:hAnsi="仿宋" w:cs="仿宋"/>
          <w:b/>
          <w:color w:val="auto"/>
          <w:sz w:val="24"/>
          <w:highlight w:val="none"/>
        </w:rPr>
        <w:t>预付款</w:t>
      </w:r>
      <w:bookmarkEnd w:id="224"/>
      <w:bookmarkEnd w:id="225"/>
    </w:p>
    <w:p w14:paraId="69CC0558">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甲方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（是/否）需要支付预付款。若需要支付预付款的，则：</w:t>
      </w:r>
    </w:p>
    <w:p w14:paraId="556B0E4C">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1.5.1预付款比例、支付方式、时间详见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25B185C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1.5.2预付款的扣回方式详见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F6B8D81">
      <w:pPr>
        <w:pStyle w:val="179"/>
        <w:spacing w:before="0" w:beforeAutospacing="0" w:after="0" w:afterAutospacing="0" w:line="360" w:lineRule="auto"/>
        <w:ind w:firstLine="480"/>
        <w:outlineLvl w:val="9"/>
        <w:rPr>
          <w:rFonts w:ascii="仿宋" w:hAnsi="仿宋" w:cs="仿宋"/>
          <w:color w:val="auto"/>
          <w:highlight w:val="none"/>
          <w:u w:val="single"/>
        </w:rPr>
      </w:pPr>
      <w:r>
        <w:rPr>
          <w:rFonts w:hint="eastAsia" w:ascii="仿宋" w:hAnsi="仿宋" w:cs="仿宋"/>
          <w:color w:val="auto"/>
          <w:highlight w:val="none"/>
        </w:rPr>
        <w:t>1.5.3预付款的担保措施详见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A7C1E8D">
      <w:pPr>
        <w:pStyle w:val="179"/>
        <w:spacing w:before="0" w:beforeAutospacing="0" w:after="0" w:afterAutospacing="0" w:line="360" w:lineRule="auto"/>
        <w:ind w:firstLine="480"/>
        <w:outlineLvl w:val="9"/>
        <w:rPr>
          <w:rFonts w:ascii="仿宋" w:hAnsi="仿宋" w:cs="仿宋"/>
          <w:b/>
          <w:bCs/>
          <w:color w:val="auto"/>
          <w:highlight w:val="none"/>
        </w:rPr>
      </w:pPr>
      <w:r>
        <w:rPr>
          <w:rFonts w:hint="eastAsia" w:ascii="仿宋" w:hAnsi="仿宋" w:cs="仿宋"/>
          <w:b/>
          <w:bCs/>
          <w:color w:val="auto"/>
          <w:highlight w:val="none"/>
        </w:rPr>
        <w:t>1.6资金支付</w:t>
      </w:r>
    </w:p>
    <w:p w14:paraId="4778642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1.6.1甲方应严格履行合同，及时组织验收，验收合格后及时将合同款支付完毕。对于满足合同约定支付条件的，甲方自收到发票后</w:t>
      </w:r>
      <w:r>
        <w:rPr>
          <w:rFonts w:hint="eastAsia" w:ascii="仿宋" w:hAnsi="仿宋" w:cs="仿宋"/>
          <w:color w:val="auto"/>
          <w:highlight w:val="none"/>
          <w:u w:val="single"/>
        </w:rPr>
        <w:t xml:space="preserve">    </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rPr>
        <w:t>个工作日内将资金支付到合同约定的乙方账户，有条件的甲方可以即时支付。甲方不得以机构变动、人员更替、政策调整、单位放假等为由延迟付款。</w:t>
      </w:r>
    </w:p>
    <w:p w14:paraId="020A1E94">
      <w:pPr>
        <w:adjustRightInd w:val="0"/>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1.6.2资金支付的方式、时间和条件详见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B970B85">
      <w:pPr>
        <w:spacing w:line="560" w:lineRule="exact"/>
        <w:ind w:firstLine="482" w:firstLineChars="200"/>
        <w:outlineLvl w:val="9"/>
        <w:rPr>
          <w:rFonts w:ascii="仿宋" w:hAnsi="仿宋" w:cs="仿宋"/>
          <w:b/>
          <w:color w:val="auto"/>
          <w:sz w:val="24"/>
          <w:highlight w:val="none"/>
        </w:rPr>
      </w:pPr>
      <w:bookmarkStart w:id="226" w:name="_Toc15240"/>
      <w:bookmarkStart w:id="227" w:name="_Toc6825"/>
      <w:r>
        <w:rPr>
          <w:rFonts w:hint="eastAsia" w:ascii="仿宋" w:hAnsi="仿宋" w:cs="仿宋"/>
          <w:b/>
          <w:color w:val="auto"/>
          <w:sz w:val="24"/>
          <w:highlight w:val="none"/>
        </w:rPr>
        <w:t>1.7履行期限、地点和方式</w:t>
      </w:r>
      <w:bookmarkEnd w:id="219"/>
      <w:bookmarkEnd w:id="220"/>
      <w:bookmarkEnd w:id="221"/>
      <w:bookmarkEnd w:id="222"/>
      <w:bookmarkEnd w:id="223"/>
      <w:bookmarkEnd w:id="226"/>
      <w:bookmarkEnd w:id="227"/>
    </w:p>
    <w:p w14:paraId="477D99E7">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1.7.1服务交付（实施）的时间（期限）：</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76A652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1.7.2服务交付（实施）的地点（地域范围）：</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B4926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1.7.3服务交付（实施）的方式：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602BDF0">
      <w:pPr>
        <w:adjustRightInd w:val="0"/>
        <w:spacing w:line="560" w:lineRule="exact"/>
        <w:ind w:firstLine="480" w:firstLineChars="200"/>
        <w:outlineLvl w:val="9"/>
        <w:rPr>
          <w:rFonts w:ascii="仿宋" w:hAnsi="仿宋" w:cs="仿宋"/>
          <w:bCs/>
          <w:color w:val="auto"/>
          <w:sz w:val="24"/>
          <w:highlight w:val="none"/>
        </w:rPr>
      </w:pPr>
      <w:bookmarkStart w:id="228" w:name="_Toc24662"/>
      <w:bookmarkStart w:id="229" w:name="_Toc3079"/>
      <w:bookmarkStart w:id="230" w:name="_Toc2375"/>
      <w:bookmarkStart w:id="231" w:name="_Toc5698"/>
      <w:bookmarkStart w:id="232" w:name="_Toc8586"/>
      <w:r>
        <w:rPr>
          <w:rFonts w:hint="eastAsia" w:ascii="仿宋" w:hAnsi="仿宋" w:cs="仿宋"/>
          <w:bCs/>
          <w:color w:val="auto"/>
          <w:sz w:val="24"/>
          <w:highlight w:val="none"/>
        </w:rPr>
        <w:t>1.7.4若服务涉及货物的，则货物的：</w:t>
      </w:r>
    </w:p>
    <w:p w14:paraId="7419BBEE">
      <w:pPr>
        <w:adjustRightInd w:val="0"/>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1.7.4.1交付期限：详见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D25444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1.7.4.2交付地点：</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98AA7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1.7.4.3交付方式：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1CC6B41">
      <w:pPr>
        <w:spacing w:line="560" w:lineRule="exact"/>
        <w:ind w:firstLine="482" w:firstLineChars="200"/>
        <w:outlineLvl w:val="9"/>
        <w:rPr>
          <w:rFonts w:ascii="仿宋" w:hAnsi="仿宋" w:cs="仿宋"/>
          <w:color w:val="auto"/>
          <w:sz w:val="24"/>
          <w:highlight w:val="none"/>
          <w:u w:val="single"/>
        </w:rPr>
      </w:pPr>
      <w:bookmarkStart w:id="233" w:name="_Toc2009"/>
      <w:bookmarkStart w:id="234" w:name="_Toc15653"/>
      <w:r>
        <w:rPr>
          <w:rFonts w:hint="eastAsia" w:ascii="仿宋" w:hAnsi="仿宋" w:cs="仿宋"/>
          <w:b/>
          <w:color w:val="auto"/>
          <w:sz w:val="24"/>
          <w:highlight w:val="none"/>
        </w:rPr>
        <w:t>1.8违约责任</w:t>
      </w:r>
      <w:bookmarkEnd w:id="228"/>
      <w:bookmarkEnd w:id="229"/>
      <w:bookmarkEnd w:id="230"/>
      <w:bookmarkEnd w:id="231"/>
      <w:bookmarkEnd w:id="232"/>
      <w:bookmarkEnd w:id="233"/>
      <w:bookmarkEnd w:id="234"/>
    </w:p>
    <w:p w14:paraId="1AE53FF7">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%；迟延履行的违约金计算数额达到前述最高限额之日起，甲方有权在要求乙方支付违约金的同时，书面通知乙方解除本合同；</w:t>
      </w:r>
    </w:p>
    <w:p w14:paraId="31614BAD">
      <w:pPr>
        <w:spacing w:line="560" w:lineRule="exact"/>
        <w:ind w:firstLine="480" w:firstLineChars="200"/>
        <w:outlineLvl w:val="9"/>
        <w:rPr>
          <w:rFonts w:ascii="仿宋" w:hAnsi="仿宋" w:cs="仿宋"/>
          <w:color w:val="auto"/>
          <w:sz w:val="24"/>
          <w:szCs w:val="24"/>
          <w:highlight w:val="none"/>
        </w:rPr>
      </w:pPr>
      <w:r>
        <w:rPr>
          <w:rFonts w:hint="eastAsia" w:ascii="仿宋" w:hAnsi="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cs="仿宋"/>
          <w:color w:val="auto"/>
          <w:sz w:val="24"/>
          <w:highlight w:val="none"/>
          <w:u w:val="single"/>
        </w:rPr>
        <w:t xml:space="preserve">    （可根据情况修改）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%；迟延交付货物的违约金计算数额达到前述最高限额之日起，甲方有权在要求乙方支付违约金的同时，</w:t>
      </w:r>
      <w:r>
        <w:rPr>
          <w:rFonts w:hint="eastAsia" w:ascii="仿宋" w:hAnsi="仿宋" w:cs="仿宋"/>
          <w:color w:val="auto"/>
          <w:sz w:val="24"/>
          <w:szCs w:val="24"/>
          <w:highlight w:val="none"/>
        </w:rPr>
        <w:t>书面通知乙方解除本合同；</w:t>
      </w:r>
    </w:p>
    <w:p w14:paraId="7E750CB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%；迟延付款的违约金计算数额达到前述最高限额之日起，乙方有权在要求甲方支付违约金的同时，书面通知甲方解除本合同；</w:t>
      </w:r>
    </w:p>
    <w:p w14:paraId="6133C8B5">
      <w:pPr>
        <w:spacing w:line="560" w:lineRule="exact"/>
        <w:ind w:firstLine="480" w:firstLineChars="200"/>
        <w:outlineLvl w:val="9"/>
        <w:rPr>
          <w:rFonts w:ascii="仿宋" w:hAnsi="仿宋" w:cs="仿宋"/>
          <w:color w:val="auto"/>
          <w:sz w:val="24"/>
          <w:highlight w:val="none"/>
        </w:rPr>
      </w:pPr>
      <w:bookmarkStart w:id="235" w:name="_Toc26807"/>
      <w:bookmarkStart w:id="236" w:name="_Toc30329"/>
      <w:bookmarkStart w:id="237" w:name="_Toc9497"/>
      <w:bookmarkStart w:id="238" w:name="_Toc32454"/>
      <w:bookmarkStart w:id="239" w:name="_Toc18683"/>
      <w:r>
        <w:rPr>
          <w:rFonts w:hint="eastAsia" w:ascii="仿宋" w:hAnsi="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E4383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4697B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4B0F6AF">
      <w:pPr>
        <w:spacing w:line="560" w:lineRule="exact"/>
        <w:ind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1.8.7违约责任</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另有约定的，从其约定。</w:t>
      </w:r>
    </w:p>
    <w:bookmarkEnd w:id="235"/>
    <w:bookmarkEnd w:id="236"/>
    <w:bookmarkEnd w:id="237"/>
    <w:bookmarkEnd w:id="238"/>
    <w:bookmarkEnd w:id="239"/>
    <w:p w14:paraId="7D23FCA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ascii="仿宋" w:hAnsi="仿宋" w:cs="仿宋"/>
          <w:b/>
          <w:color w:val="auto"/>
          <w:sz w:val="24"/>
          <w:highlight w:val="none"/>
        </w:rPr>
      </w:pPr>
      <w:bookmarkStart w:id="240" w:name="_Toc28375"/>
      <w:bookmarkStart w:id="241" w:name="_Toc15583"/>
      <w:bookmarkStart w:id="242" w:name="_Toc31049"/>
      <w:bookmarkStart w:id="243" w:name="_Toc4790"/>
      <w:bookmarkStart w:id="244" w:name="_Toc16021"/>
      <w:r>
        <w:rPr>
          <w:rFonts w:hint="eastAsia" w:ascii="仿宋" w:hAnsi="仿宋" w:cs="仿宋"/>
          <w:b/>
          <w:color w:val="auto"/>
          <w:sz w:val="24"/>
          <w:highlight w:val="none"/>
        </w:rPr>
        <w:t>1.9合同争议的解决</w:t>
      </w:r>
      <w:bookmarkEnd w:id="240"/>
      <w:bookmarkEnd w:id="241"/>
      <w:bookmarkEnd w:id="242"/>
      <w:bookmarkEnd w:id="243"/>
      <w:bookmarkEnd w:id="244"/>
    </w:p>
    <w:p w14:paraId="6C451A0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cs="仿宋"/>
          <w:b/>
          <w:color w:val="auto"/>
          <w:sz w:val="24"/>
          <w:highlight w:val="none"/>
          <w:u w:val="single"/>
        </w:rPr>
        <w:t xml:space="preserve">      </w:t>
      </w:r>
      <w:r>
        <w:rPr>
          <w:rFonts w:hint="eastAsia" w:ascii="仿宋" w:hAnsi="仿宋" w:cs="仿宋"/>
          <w:color w:val="auto"/>
          <w:sz w:val="24"/>
          <w:highlight w:val="none"/>
        </w:rPr>
        <w:t>条款规定的方式解决：</w:t>
      </w:r>
    </w:p>
    <w:p w14:paraId="09BFCD6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1.9.1将争议提交</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仲裁委员会依申请仲裁时其现行有效的仲裁规则裁决；</w:t>
      </w:r>
    </w:p>
    <w:p w14:paraId="41256222">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1.9.2向</w:t>
      </w:r>
      <w:r>
        <w:rPr>
          <w:rFonts w:hint="eastAsia" w:ascii="仿宋" w:hAnsi="仿宋" w:cs="仿宋"/>
          <w:b/>
          <w:color w:val="auto"/>
          <w:sz w:val="24"/>
          <w:highlight w:val="none"/>
          <w:u w:val="single"/>
        </w:rPr>
        <w:t>项目所在地</w:t>
      </w:r>
      <w:r>
        <w:rPr>
          <w:rFonts w:hint="eastAsia" w:ascii="仿宋" w:hAnsi="仿宋" w:cs="仿宋"/>
          <w:color w:val="auto"/>
          <w:sz w:val="24"/>
          <w:highlight w:val="none"/>
        </w:rPr>
        <w:t>人民法院起诉。</w:t>
      </w:r>
    </w:p>
    <w:p w14:paraId="6675F260">
      <w:pPr>
        <w:spacing w:line="560" w:lineRule="exact"/>
        <w:ind w:firstLine="482" w:firstLineChars="200"/>
        <w:outlineLvl w:val="9"/>
        <w:rPr>
          <w:rFonts w:ascii="仿宋" w:hAnsi="仿宋" w:cs="仿宋"/>
          <w:b/>
          <w:color w:val="auto"/>
          <w:sz w:val="24"/>
          <w:highlight w:val="none"/>
        </w:rPr>
      </w:pPr>
      <w:bookmarkStart w:id="245" w:name="_Toc8195"/>
      <w:bookmarkStart w:id="246" w:name="_Toc25250"/>
      <w:bookmarkStart w:id="247" w:name="_Toc7245"/>
      <w:bookmarkStart w:id="248" w:name="_Toc11173"/>
      <w:bookmarkStart w:id="249" w:name="_Toc15322"/>
      <w:r>
        <w:rPr>
          <w:rFonts w:hint="eastAsia" w:ascii="仿宋" w:hAnsi="仿宋" w:cs="仿宋"/>
          <w:b/>
          <w:color w:val="auto"/>
          <w:sz w:val="24"/>
          <w:highlight w:val="none"/>
        </w:rPr>
        <w:t>2.0合同生效</w:t>
      </w:r>
      <w:bookmarkEnd w:id="245"/>
      <w:bookmarkEnd w:id="246"/>
      <w:bookmarkEnd w:id="247"/>
      <w:bookmarkEnd w:id="248"/>
      <w:bookmarkEnd w:id="249"/>
    </w:p>
    <w:p w14:paraId="17B8B1DD">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本合同自双方当事人盖章签字时生效。</w:t>
      </w:r>
    </w:p>
    <w:p w14:paraId="11B37130">
      <w:pPr>
        <w:spacing w:line="560" w:lineRule="exact"/>
        <w:ind w:firstLine="480" w:firstLineChars="200"/>
        <w:outlineLvl w:val="9"/>
        <w:rPr>
          <w:rFonts w:hint="eastAsia" w:ascii="仿宋" w:hAnsi="仿宋" w:cs="仿宋"/>
          <w:color w:val="auto"/>
          <w:sz w:val="24"/>
          <w:highlight w:val="none"/>
        </w:rPr>
      </w:pPr>
    </w:p>
    <w:p w14:paraId="4A730199">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b/>
          <w:color w:val="auto"/>
          <w:sz w:val="24"/>
          <w:highlight w:val="none"/>
          <w:lang w:val="zh-CN"/>
        </w:rPr>
        <w:t>甲方</w:t>
      </w:r>
      <w:r>
        <w:rPr>
          <w:rFonts w:hint="eastAsia" w:ascii="仿宋" w:hAnsi="仿宋" w:cs="仿宋"/>
          <w:color w:val="auto"/>
          <w:sz w:val="24"/>
          <w:highlight w:val="none"/>
          <w:lang w:val="zh-CN"/>
        </w:rPr>
        <w:t xml:space="preserve">：                             </w:t>
      </w:r>
      <w:r>
        <w:rPr>
          <w:rFonts w:hint="eastAsia" w:ascii="仿宋" w:hAnsi="仿宋" w:cs="仿宋"/>
          <w:b/>
          <w:color w:val="auto"/>
          <w:sz w:val="24"/>
          <w:highlight w:val="none"/>
          <w:lang w:val="zh-CN"/>
        </w:rPr>
        <w:t xml:space="preserve">      乙方</w:t>
      </w:r>
      <w:r>
        <w:rPr>
          <w:rFonts w:hint="eastAsia" w:ascii="仿宋" w:hAnsi="仿宋" w:cs="仿宋"/>
          <w:color w:val="auto"/>
          <w:sz w:val="24"/>
          <w:highlight w:val="none"/>
          <w:lang w:val="zh-CN"/>
        </w:rPr>
        <w:t>：</w:t>
      </w:r>
    </w:p>
    <w:p w14:paraId="0840A04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统一社会信用代码：                        统一社会信用代码或身份证号码：</w:t>
      </w:r>
    </w:p>
    <w:p w14:paraId="5FB1D79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住所：                                   住所：</w:t>
      </w:r>
    </w:p>
    <w:p w14:paraId="2AABF9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法定代表人或                             法定代表人或</w:t>
      </w:r>
    </w:p>
    <w:p w14:paraId="23473BA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授权代表（签字）：                       授权代表（签字）： </w:t>
      </w:r>
    </w:p>
    <w:p w14:paraId="2666E21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联系人：                                 联系人：</w:t>
      </w:r>
    </w:p>
    <w:p w14:paraId="0B7F10F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约定送达地址：                           约定送达地址：</w:t>
      </w:r>
    </w:p>
    <w:p w14:paraId="46A755B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邮政编码：                               邮政编码：</w:t>
      </w:r>
    </w:p>
    <w:p w14:paraId="113250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电话：                                    电话： </w:t>
      </w:r>
    </w:p>
    <w:p w14:paraId="237280AE">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传真：                                    传真：</w:t>
      </w:r>
    </w:p>
    <w:p w14:paraId="72A61CEB">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lang w:val="zh-CN"/>
        </w:rPr>
        <w:t>电子邮箱：                               电子邮箱：</w:t>
      </w:r>
    </w:p>
    <w:p w14:paraId="698A661F">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开户银行：                               开户银行： </w:t>
      </w:r>
    </w:p>
    <w:p w14:paraId="71094E3A">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开户名称：                               开户名称： </w:t>
      </w:r>
    </w:p>
    <w:p w14:paraId="5B0C8A77">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开户账号：</w:t>
      </w:r>
      <w:r>
        <w:rPr>
          <w:rFonts w:hint="eastAsia" w:ascii="仿宋" w:hAnsi="仿宋" w:cs="仿宋"/>
          <w:color w:val="auto"/>
          <w:sz w:val="24"/>
          <w:highlight w:val="none"/>
          <w:lang w:val="zh-CN"/>
        </w:rPr>
        <w:t xml:space="preserve">                               </w:t>
      </w:r>
      <w:r>
        <w:rPr>
          <w:rFonts w:hint="eastAsia" w:ascii="仿宋" w:hAnsi="仿宋" w:cs="仿宋"/>
          <w:color w:val="auto"/>
          <w:sz w:val="24"/>
          <w:highlight w:val="none"/>
        </w:rPr>
        <w:t>开户账号：</w:t>
      </w:r>
    </w:p>
    <w:p w14:paraId="41463E45">
      <w:pPr>
        <w:widowControl/>
        <w:jc w:val="left"/>
        <w:outlineLvl w:val="9"/>
        <w:rPr>
          <w:rFonts w:ascii="仿宋" w:hAnsi="仿宋" w:cs="仿宋"/>
          <w:b/>
          <w:color w:val="auto"/>
          <w:sz w:val="24"/>
          <w:highlight w:val="none"/>
        </w:rPr>
      </w:pPr>
      <w:r>
        <w:rPr>
          <w:rFonts w:hint="eastAsia" w:ascii="仿宋" w:hAnsi="仿宋" w:cs="仿宋"/>
          <w:b/>
          <w:color w:val="auto"/>
          <w:highlight w:val="none"/>
        </w:rPr>
        <w:br w:type="page"/>
      </w:r>
    </w:p>
    <w:p w14:paraId="1F471D68">
      <w:pPr>
        <w:pStyle w:val="137"/>
        <w:spacing w:line="560" w:lineRule="exact"/>
        <w:ind w:firstLine="482"/>
        <w:jc w:val="center"/>
        <w:outlineLvl w:val="9"/>
        <w:rPr>
          <w:rFonts w:ascii="仿宋" w:hAnsi="仿宋" w:cs="仿宋"/>
          <w:b/>
          <w:color w:val="auto"/>
          <w:szCs w:val="24"/>
          <w:highlight w:val="none"/>
        </w:rPr>
      </w:pPr>
      <w:r>
        <w:rPr>
          <w:rFonts w:hint="eastAsia" w:ascii="仿宋" w:hAnsi="仿宋" w:cs="仿宋"/>
          <w:b/>
          <w:color w:val="auto"/>
          <w:szCs w:val="24"/>
          <w:highlight w:val="none"/>
        </w:rPr>
        <w:t>第二部分 合同一般条款</w:t>
      </w:r>
    </w:p>
    <w:p w14:paraId="681E9C0F">
      <w:pPr>
        <w:spacing w:line="560" w:lineRule="exact"/>
        <w:ind w:firstLine="482" w:firstLineChars="200"/>
        <w:outlineLvl w:val="9"/>
        <w:rPr>
          <w:rFonts w:ascii="仿宋" w:hAnsi="仿宋" w:cs="仿宋"/>
          <w:b/>
          <w:color w:val="auto"/>
          <w:sz w:val="24"/>
          <w:highlight w:val="none"/>
        </w:rPr>
      </w:pPr>
      <w:bookmarkStart w:id="250" w:name="_Toc8583"/>
      <w:bookmarkStart w:id="251" w:name="_Toc5228"/>
      <w:bookmarkStart w:id="252" w:name="_Toc19680"/>
      <w:bookmarkStart w:id="253" w:name="_Toc25079"/>
      <w:bookmarkStart w:id="254" w:name="_Toc2197"/>
      <w:bookmarkStart w:id="255" w:name="_Toc14021"/>
      <w:bookmarkStart w:id="256" w:name="_Toc31297"/>
      <w:r>
        <w:rPr>
          <w:rFonts w:hint="eastAsia" w:ascii="仿宋" w:hAnsi="仿宋" w:cs="仿宋"/>
          <w:b/>
          <w:color w:val="auto"/>
          <w:sz w:val="24"/>
          <w:highlight w:val="none"/>
        </w:rPr>
        <w:t>2.1定义</w:t>
      </w:r>
      <w:bookmarkEnd w:id="250"/>
      <w:bookmarkEnd w:id="251"/>
      <w:bookmarkEnd w:id="252"/>
      <w:bookmarkEnd w:id="253"/>
      <w:bookmarkEnd w:id="254"/>
      <w:bookmarkEnd w:id="255"/>
      <w:bookmarkEnd w:id="256"/>
    </w:p>
    <w:p w14:paraId="6F541EB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本合同中的下列词语应按以下内容进行解释：</w:t>
      </w:r>
    </w:p>
    <w:p w14:paraId="6789FC6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2.1.1“合同”系指采购人和中标或成交供应商签订的载明双方当事人所达成的协议，并包括所有的附件、附录和构成合同的其他文件。</w:t>
      </w:r>
    </w:p>
    <w:p w14:paraId="57F8948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2.1.2“合同价”系指根据合同约定，中标或成交供应商在完全履行合同义务后，采购人应支付给中标或成交供应商的价格。</w:t>
      </w:r>
    </w:p>
    <w:p w14:paraId="6ED66E6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6ECB9DB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2.1.4“甲方”系指与中标或成交供应商签署合同的采购人；采购人委托采购代理机构代表其与乙方签订合同的，采购人的授权委托书作为合同附件。</w:t>
      </w:r>
    </w:p>
    <w:p w14:paraId="65CF6DDF">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E76A8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2.1.6“现场”系指合同约定提供服务的地点。</w:t>
      </w:r>
    </w:p>
    <w:p w14:paraId="2F764777">
      <w:pPr>
        <w:spacing w:line="560" w:lineRule="exact"/>
        <w:ind w:firstLine="482" w:firstLineChars="200"/>
        <w:outlineLvl w:val="9"/>
        <w:rPr>
          <w:rFonts w:ascii="仿宋" w:hAnsi="仿宋" w:cs="仿宋"/>
          <w:b/>
          <w:color w:val="auto"/>
          <w:sz w:val="24"/>
          <w:highlight w:val="none"/>
        </w:rPr>
      </w:pPr>
      <w:bookmarkStart w:id="257" w:name="_Toc11795"/>
      <w:bookmarkStart w:id="258" w:name="_Toc6220"/>
      <w:bookmarkStart w:id="259" w:name="_Toc19539"/>
      <w:bookmarkStart w:id="260" w:name="_Toc31402"/>
      <w:bookmarkStart w:id="261" w:name="_Toc16752"/>
      <w:bookmarkStart w:id="262" w:name="_Toc23289"/>
      <w:bookmarkStart w:id="263" w:name="_Toc3769"/>
      <w:r>
        <w:rPr>
          <w:rFonts w:hint="eastAsia" w:ascii="仿宋" w:hAnsi="仿宋" w:cs="仿宋"/>
          <w:b/>
          <w:color w:val="auto"/>
          <w:sz w:val="24"/>
          <w:highlight w:val="none"/>
        </w:rPr>
        <w:t>2.2技术规范</w:t>
      </w:r>
      <w:bookmarkEnd w:id="257"/>
      <w:bookmarkEnd w:id="258"/>
      <w:bookmarkEnd w:id="259"/>
      <w:bookmarkEnd w:id="260"/>
      <w:bookmarkEnd w:id="261"/>
      <w:bookmarkEnd w:id="262"/>
      <w:bookmarkEnd w:id="263"/>
    </w:p>
    <w:p w14:paraId="56902C43">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BA3A0E">
      <w:pPr>
        <w:spacing w:line="560" w:lineRule="exact"/>
        <w:ind w:firstLine="482" w:firstLineChars="200"/>
        <w:outlineLvl w:val="9"/>
        <w:rPr>
          <w:rFonts w:ascii="仿宋" w:hAnsi="仿宋" w:cs="仿宋"/>
          <w:b/>
          <w:color w:val="auto"/>
          <w:sz w:val="24"/>
          <w:highlight w:val="none"/>
        </w:rPr>
      </w:pPr>
      <w:bookmarkStart w:id="264" w:name="_Toc9161"/>
      <w:bookmarkStart w:id="265" w:name="_Toc13673"/>
      <w:bookmarkStart w:id="266" w:name="_Toc32684"/>
      <w:bookmarkStart w:id="267" w:name="_Toc4133"/>
      <w:bookmarkStart w:id="268" w:name="_Toc27945"/>
      <w:bookmarkStart w:id="269" w:name="_Toc12412"/>
      <w:bookmarkStart w:id="270" w:name="_Toc6990"/>
      <w:r>
        <w:rPr>
          <w:rFonts w:hint="eastAsia" w:ascii="仿宋" w:hAnsi="仿宋" w:cs="仿宋"/>
          <w:b/>
          <w:color w:val="auto"/>
          <w:sz w:val="24"/>
          <w:highlight w:val="none"/>
        </w:rPr>
        <w:t>2.3知识产权</w:t>
      </w:r>
      <w:bookmarkEnd w:id="264"/>
      <w:bookmarkEnd w:id="265"/>
      <w:bookmarkEnd w:id="266"/>
      <w:bookmarkEnd w:id="267"/>
      <w:bookmarkEnd w:id="268"/>
      <w:bookmarkEnd w:id="269"/>
      <w:bookmarkEnd w:id="270"/>
    </w:p>
    <w:p w14:paraId="1D8584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E13338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2.3.2合同涉及技术成果的归属和收益的分成办法的，详见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870030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2.4履约检查和问题反馈</w:t>
      </w:r>
    </w:p>
    <w:p w14:paraId="39D78F2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C732D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2.4.2合同履行期间，甲方有权将履行过程中出现的问题反馈给乙方，双方当事人应以书面形式约定需要完善和改进的内容。</w:t>
      </w:r>
    </w:p>
    <w:p w14:paraId="03097F35">
      <w:pPr>
        <w:spacing w:line="560" w:lineRule="exact"/>
        <w:ind w:firstLine="482" w:firstLineChars="200"/>
        <w:outlineLvl w:val="9"/>
        <w:rPr>
          <w:rFonts w:ascii="仿宋" w:hAnsi="仿宋" w:cs="仿宋"/>
          <w:b/>
          <w:color w:val="auto"/>
          <w:sz w:val="24"/>
          <w:highlight w:val="none"/>
        </w:rPr>
      </w:pPr>
      <w:bookmarkStart w:id="271" w:name="_Toc26555"/>
      <w:bookmarkStart w:id="272" w:name="_Toc22011"/>
      <w:bookmarkStart w:id="273" w:name="_Toc31233"/>
      <w:bookmarkStart w:id="274" w:name="_Toc15447"/>
      <w:bookmarkStart w:id="275" w:name="_Toc26006"/>
      <w:bookmarkStart w:id="276" w:name="_Toc5954"/>
      <w:bookmarkStart w:id="277" w:name="_Toc32670"/>
      <w:r>
        <w:rPr>
          <w:rFonts w:hint="eastAsia" w:ascii="仿宋" w:hAnsi="仿宋" w:cs="仿宋"/>
          <w:b/>
          <w:color w:val="auto"/>
          <w:sz w:val="24"/>
          <w:highlight w:val="none"/>
        </w:rPr>
        <w:t>2.5结算方式和付款条件</w:t>
      </w:r>
      <w:bookmarkEnd w:id="271"/>
      <w:bookmarkEnd w:id="272"/>
      <w:bookmarkEnd w:id="273"/>
      <w:bookmarkEnd w:id="274"/>
      <w:bookmarkEnd w:id="275"/>
      <w:bookmarkEnd w:id="276"/>
      <w:bookmarkEnd w:id="277"/>
    </w:p>
    <w:p w14:paraId="4E17C9F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3CCA7A1">
      <w:pPr>
        <w:spacing w:line="560" w:lineRule="exact"/>
        <w:ind w:firstLine="482" w:firstLineChars="200"/>
        <w:outlineLvl w:val="9"/>
        <w:rPr>
          <w:rFonts w:ascii="仿宋" w:hAnsi="仿宋" w:cs="仿宋"/>
          <w:b/>
          <w:color w:val="auto"/>
          <w:sz w:val="24"/>
          <w:highlight w:val="none"/>
        </w:rPr>
      </w:pPr>
      <w:bookmarkStart w:id="278" w:name="_Toc13154"/>
      <w:bookmarkStart w:id="279" w:name="_Toc16163"/>
      <w:bookmarkStart w:id="280" w:name="_Toc13467"/>
      <w:bookmarkStart w:id="281" w:name="_Toc18990"/>
      <w:bookmarkStart w:id="282" w:name="_Toc232"/>
      <w:bookmarkStart w:id="283" w:name="_Toc9128"/>
      <w:bookmarkStart w:id="284" w:name="_Toc30507"/>
      <w:r>
        <w:rPr>
          <w:rFonts w:hint="eastAsia" w:ascii="仿宋" w:hAnsi="仿宋" w:cs="仿宋"/>
          <w:b/>
          <w:color w:val="auto"/>
          <w:sz w:val="24"/>
          <w:highlight w:val="none"/>
        </w:rPr>
        <w:t>2.6技术资料和保密义务</w:t>
      </w:r>
      <w:bookmarkEnd w:id="278"/>
      <w:bookmarkEnd w:id="279"/>
      <w:bookmarkEnd w:id="280"/>
      <w:bookmarkEnd w:id="281"/>
      <w:bookmarkEnd w:id="282"/>
      <w:bookmarkEnd w:id="283"/>
      <w:bookmarkEnd w:id="284"/>
    </w:p>
    <w:p w14:paraId="17F6209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2.6.1乙方有权依据合同约定和项目需要，向甲方了解有关情况，调阅有关资料等，甲方应予积极配合；</w:t>
      </w:r>
    </w:p>
    <w:p w14:paraId="74443F7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2.6.2乙方有义务妥善保管和保护由甲方提供的前款信息和资料等；</w:t>
      </w:r>
    </w:p>
    <w:p w14:paraId="390E13C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87E1A4">
      <w:pPr>
        <w:spacing w:line="560" w:lineRule="exact"/>
        <w:ind w:firstLine="482" w:firstLineChars="200"/>
        <w:outlineLvl w:val="9"/>
        <w:rPr>
          <w:rFonts w:ascii="仿宋" w:hAnsi="仿宋" w:cs="仿宋"/>
          <w:b/>
          <w:color w:val="auto"/>
          <w:sz w:val="24"/>
          <w:highlight w:val="none"/>
        </w:rPr>
      </w:pPr>
      <w:bookmarkStart w:id="285" w:name="_Toc28724"/>
      <w:bookmarkStart w:id="286" w:name="_Toc19069"/>
      <w:bookmarkStart w:id="287" w:name="_Toc4129"/>
      <w:r>
        <w:rPr>
          <w:rFonts w:hint="eastAsia" w:ascii="仿宋" w:hAnsi="仿宋" w:cs="仿宋"/>
          <w:b/>
          <w:color w:val="auto"/>
          <w:sz w:val="24"/>
          <w:highlight w:val="none"/>
        </w:rPr>
        <w:t>2.7质量保证</w:t>
      </w:r>
      <w:bookmarkEnd w:id="285"/>
      <w:bookmarkEnd w:id="286"/>
      <w:bookmarkEnd w:id="287"/>
    </w:p>
    <w:p w14:paraId="65F60E2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2.7.1乙方应建立和完善履行合同的内部质量保证体系，并提供相关内部规章制度给甲方，以便甲方进行监督检查；</w:t>
      </w:r>
    </w:p>
    <w:p w14:paraId="1EE96C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2.7.2乙方应保证履行合同的人员数量和素质、软件和硬件设备的配置、场地、环境和设施等满足全面履行合同的要求，并应接受甲方的监督检查。</w:t>
      </w:r>
    </w:p>
    <w:p w14:paraId="28E76D5E">
      <w:pPr>
        <w:spacing w:line="560" w:lineRule="exact"/>
        <w:ind w:firstLine="482" w:firstLineChars="200"/>
        <w:outlineLvl w:val="9"/>
        <w:rPr>
          <w:rFonts w:ascii="仿宋" w:hAnsi="仿宋" w:cs="仿宋"/>
          <w:b/>
          <w:color w:val="auto"/>
          <w:sz w:val="24"/>
          <w:highlight w:val="none"/>
        </w:rPr>
      </w:pPr>
      <w:bookmarkStart w:id="288" w:name="_Toc22267"/>
      <w:bookmarkStart w:id="289" w:name="_Toc7782"/>
      <w:bookmarkStart w:id="290" w:name="_Toc9528"/>
      <w:r>
        <w:rPr>
          <w:rFonts w:hint="eastAsia" w:ascii="仿宋" w:hAnsi="仿宋" w:cs="仿宋"/>
          <w:b/>
          <w:color w:val="auto"/>
          <w:sz w:val="24"/>
          <w:highlight w:val="none"/>
        </w:rPr>
        <w:t>2.8延迟履行</w:t>
      </w:r>
      <w:bookmarkEnd w:id="288"/>
      <w:bookmarkEnd w:id="289"/>
      <w:bookmarkEnd w:id="290"/>
    </w:p>
    <w:p w14:paraId="50C2DCF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101AB315">
      <w:pPr>
        <w:spacing w:line="560" w:lineRule="exact"/>
        <w:ind w:firstLine="482" w:firstLineChars="200"/>
        <w:outlineLvl w:val="9"/>
        <w:rPr>
          <w:rFonts w:ascii="仿宋" w:hAnsi="仿宋" w:cs="仿宋"/>
          <w:b/>
          <w:color w:val="auto"/>
          <w:sz w:val="24"/>
          <w:highlight w:val="none"/>
        </w:rPr>
      </w:pPr>
      <w:bookmarkStart w:id="291" w:name="_Toc26974"/>
      <w:bookmarkStart w:id="292" w:name="_Toc7798"/>
      <w:bookmarkStart w:id="293" w:name="_Toc10611"/>
      <w:r>
        <w:rPr>
          <w:rFonts w:hint="eastAsia" w:ascii="仿宋" w:hAnsi="仿宋" w:cs="仿宋"/>
          <w:b/>
          <w:color w:val="auto"/>
          <w:sz w:val="24"/>
          <w:highlight w:val="none"/>
        </w:rPr>
        <w:t>2.9合同变更</w:t>
      </w:r>
      <w:bookmarkEnd w:id="291"/>
      <w:bookmarkEnd w:id="292"/>
      <w:bookmarkEnd w:id="293"/>
    </w:p>
    <w:p w14:paraId="5AAEEEA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8D65C83">
      <w:pPr>
        <w:spacing w:line="560" w:lineRule="exact"/>
        <w:ind w:firstLine="482" w:firstLineChars="200"/>
        <w:outlineLvl w:val="9"/>
        <w:rPr>
          <w:rFonts w:ascii="仿宋" w:hAnsi="仿宋" w:cs="仿宋"/>
          <w:b/>
          <w:color w:val="auto"/>
          <w:sz w:val="24"/>
          <w:highlight w:val="none"/>
        </w:rPr>
      </w:pPr>
      <w:bookmarkStart w:id="294" w:name="_Toc27613"/>
      <w:bookmarkStart w:id="295" w:name="_Toc21830"/>
      <w:bookmarkStart w:id="296" w:name="_Toc10663"/>
      <w:bookmarkStart w:id="297" w:name="_Toc42"/>
      <w:bookmarkStart w:id="298" w:name="_Toc23368"/>
      <w:bookmarkStart w:id="299" w:name="_Toc28551"/>
      <w:bookmarkStart w:id="300" w:name="_Toc26689"/>
      <w:r>
        <w:rPr>
          <w:rFonts w:hint="eastAsia" w:ascii="仿宋" w:hAnsi="仿宋" w:cs="仿宋"/>
          <w:b/>
          <w:color w:val="auto"/>
          <w:sz w:val="24"/>
          <w:highlight w:val="none"/>
        </w:rPr>
        <w:t>2.10合同转让和分包</w:t>
      </w:r>
      <w:bookmarkEnd w:id="294"/>
      <w:bookmarkEnd w:id="295"/>
      <w:bookmarkEnd w:id="296"/>
      <w:bookmarkEnd w:id="297"/>
      <w:bookmarkEnd w:id="298"/>
      <w:bookmarkEnd w:id="299"/>
      <w:bookmarkEnd w:id="300"/>
    </w:p>
    <w:p w14:paraId="58B9215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80376C">
      <w:pPr>
        <w:spacing w:line="560" w:lineRule="exact"/>
        <w:ind w:firstLine="482" w:firstLineChars="200"/>
        <w:outlineLvl w:val="9"/>
        <w:rPr>
          <w:rFonts w:ascii="仿宋" w:hAnsi="仿宋" w:cs="仿宋"/>
          <w:b/>
          <w:color w:val="auto"/>
          <w:sz w:val="24"/>
          <w:highlight w:val="none"/>
        </w:rPr>
      </w:pPr>
      <w:bookmarkStart w:id="301" w:name="_Toc14371"/>
      <w:bookmarkStart w:id="302" w:name="_Toc32494"/>
      <w:bookmarkStart w:id="303" w:name="_Toc26633"/>
      <w:bookmarkStart w:id="304" w:name="_Toc4720"/>
      <w:bookmarkStart w:id="305" w:name="_Toc12456"/>
      <w:bookmarkStart w:id="306" w:name="_Toc28756"/>
      <w:bookmarkStart w:id="307" w:name="_Toc25571"/>
      <w:r>
        <w:rPr>
          <w:rFonts w:hint="eastAsia" w:ascii="仿宋" w:hAnsi="仿宋" w:cs="仿宋"/>
          <w:b/>
          <w:color w:val="auto"/>
          <w:sz w:val="24"/>
          <w:highlight w:val="none"/>
        </w:rPr>
        <w:t>2.11不可抗力</w:t>
      </w:r>
      <w:bookmarkEnd w:id="301"/>
      <w:bookmarkEnd w:id="302"/>
      <w:bookmarkEnd w:id="303"/>
      <w:bookmarkEnd w:id="304"/>
      <w:bookmarkEnd w:id="305"/>
      <w:bookmarkEnd w:id="306"/>
      <w:bookmarkEnd w:id="307"/>
    </w:p>
    <w:p w14:paraId="433CFA2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2.11.1如果任何一方遭遇法律规定的不可抗力，致使合同履行受阻时，履行合同的期限应予延长，延长的期限应相当于不可抗力所影响的时间；</w:t>
      </w:r>
    </w:p>
    <w:p w14:paraId="6A84968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2</w:t>
      </w:r>
      <w:r>
        <w:rPr>
          <w:rFonts w:hint="eastAsia" w:ascii="仿宋" w:hAnsi="仿宋" w:cs="仿宋"/>
          <w:color w:val="auto"/>
          <w:sz w:val="24"/>
          <w:highlight w:val="none"/>
        </w:rPr>
        <w:t>因不可抗力致使不能实现合同目的的，当事人可以解除合同；</w:t>
      </w:r>
    </w:p>
    <w:p w14:paraId="6175429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3</w:t>
      </w:r>
      <w:r>
        <w:rPr>
          <w:rFonts w:hint="eastAsia" w:ascii="仿宋" w:hAnsi="仿宋" w:cs="仿宋"/>
          <w:color w:val="auto"/>
          <w:sz w:val="24"/>
          <w:highlight w:val="none"/>
        </w:rPr>
        <w:t>因不可抗力致使合同有变更必要的，双方当事人应在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约定时间内以书面形式变更合同；</w:t>
      </w:r>
    </w:p>
    <w:p w14:paraId="39A51A9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2.11.4受不可抗力影响的一方在不可抗力发生后，应在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约定时间内以书面形式通知对方当事人，并在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约定时间内，将有关部门出具的证明文件送达对方当事人。</w:t>
      </w:r>
    </w:p>
    <w:p w14:paraId="4BCEAF8A">
      <w:pPr>
        <w:spacing w:line="560" w:lineRule="exact"/>
        <w:ind w:firstLine="482" w:firstLineChars="200"/>
        <w:outlineLvl w:val="9"/>
        <w:rPr>
          <w:rFonts w:ascii="仿宋" w:hAnsi="仿宋" w:cs="仿宋"/>
          <w:b/>
          <w:color w:val="auto"/>
          <w:sz w:val="24"/>
          <w:highlight w:val="none"/>
        </w:rPr>
      </w:pPr>
      <w:bookmarkStart w:id="308" w:name="_Toc3638"/>
      <w:bookmarkStart w:id="309" w:name="_Toc23706"/>
      <w:bookmarkStart w:id="310" w:name="_Toc20515"/>
      <w:bookmarkStart w:id="311" w:name="_Toc24465"/>
      <w:bookmarkStart w:id="312" w:name="_Toc23854"/>
      <w:bookmarkStart w:id="313" w:name="_Toc14115"/>
      <w:bookmarkStart w:id="314" w:name="_Toc25783"/>
      <w:r>
        <w:rPr>
          <w:rFonts w:hint="eastAsia" w:ascii="仿宋" w:hAnsi="仿宋" w:cs="仿宋"/>
          <w:b/>
          <w:color w:val="auto"/>
          <w:sz w:val="24"/>
          <w:highlight w:val="none"/>
        </w:rPr>
        <w:t>2.12税费</w:t>
      </w:r>
      <w:bookmarkEnd w:id="308"/>
      <w:bookmarkEnd w:id="309"/>
      <w:bookmarkEnd w:id="310"/>
      <w:bookmarkEnd w:id="311"/>
      <w:bookmarkEnd w:id="312"/>
      <w:bookmarkEnd w:id="313"/>
      <w:bookmarkEnd w:id="314"/>
    </w:p>
    <w:p w14:paraId="111C693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与合同有关的一切税费，均按照中华人民共和国法律的相关规定缴纳。</w:t>
      </w:r>
    </w:p>
    <w:p w14:paraId="07F026E9">
      <w:pPr>
        <w:spacing w:line="560" w:lineRule="exact"/>
        <w:ind w:firstLine="482" w:firstLineChars="200"/>
        <w:outlineLvl w:val="9"/>
        <w:rPr>
          <w:rFonts w:ascii="仿宋" w:hAnsi="仿宋" w:cs="仿宋"/>
          <w:b/>
          <w:color w:val="auto"/>
          <w:sz w:val="24"/>
          <w:highlight w:val="none"/>
        </w:rPr>
      </w:pPr>
      <w:bookmarkStart w:id="315" w:name="_Toc11189"/>
      <w:bookmarkStart w:id="316" w:name="_Toc7315"/>
      <w:bookmarkStart w:id="317" w:name="_Toc25525"/>
      <w:bookmarkStart w:id="318" w:name="_Toc28684"/>
      <w:bookmarkStart w:id="319" w:name="_Toc14814"/>
      <w:bookmarkStart w:id="320" w:name="_Toc30105"/>
      <w:bookmarkStart w:id="321" w:name="_Toc26883"/>
      <w:r>
        <w:rPr>
          <w:rFonts w:hint="eastAsia" w:ascii="仿宋" w:hAnsi="仿宋" w:cs="仿宋"/>
          <w:b/>
          <w:color w:val="auto"/>
          <w:sz w:val="24"/>
          <w:highlight w:val="none"/>
        </w:rPr>
        <w:t>2.13乙方破产</w:t>
      </w:r>
      <w:bookmarkEnd w:id="315"/>
      <w:bookmarkEnd w:id="316"/>
      <w:bookmarkEnd w:id="317"/>
      <w:bookmarkEnd w:id="318"/>
      <w:bookmarkEnd w:id="319"/>
      <w:bookmarkEnd w:id="320"/>
      <w:bookmarkEnd w:id="321"/>
    </w:p>
    <w:p w14:paraId="071E4B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F93567">
      <w:pPr>
        <w:spacing w:line="560" w:lineRule="exact"/>
        <w:ind w:firstLine="482" w:firstLineChars="200"/>
        <w:outlineLvl w:val="9"/>
        <w:rPr>
          <w:rFonts w:ascii="仿宋" w:hAnsi="仿宋" w:cs="仿宋"/>
          <w:b/>
          <w:color w:val="auto"/>
          <w:sz w:val="24"/>
          <w:highlight w:val="none"/>
        </w:rPr>
      </w:pPr>
      <w:bookmarkStart w:id="322" w:name="_Toc1123"/>
      <w:bookmarkStart w:id="323" w:name="_Toc2016"/>
      <w:bookmarkStart w:id="324" w:name="_Toc16331"/>
      <w:bookmarkStart w:id="325" w:name="_Toc23323"/>
      <w:r>
        <w:rPr>
          <w:rFonts w:hint="eastAsia" w:ascii="仿宋" w:hAnsi="仿宋" w:cs="仿宋"/>
          <w:b/>
          <w:color w:val="auto"/>
          <w:sz w:val="24"/>
          <w:highlight w:val="none"/>
        </w:rPr>
        <w:t>2.14合同中止、终止</w:t>
      </w:r>
      <w:bookmarkEnd w:id="322"/>
      <w:bookmarkEnd w:id="323"/>
      <w:bookmarkEnd w:id="324"/>
      <w:bookmarkEnd w:id="325"/>
    </w:p>
    <w:p w14:paraId="78B40BF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2.14.1双方当事人不得擅自中止或者终止合同；</w:t>
      </w:r>
    </w:p>
    <w:p w14:paraId="16E84CD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23531DB">
      <w:pPr>
        <w:spacing w:line="560" w:lineRule="exact"/>
        <w:ind w:firstLine="482" w:firstLineChars="200"/>
        <w:outlineLvl w:val="9"/>
        <w:rPr>
          <w:rFonts w:ascii="仿宋" w:hAnsi="仿宋" w:cs="仿宋"/>
          <w:b/>
          <w:color w:val="auto"/>
          <w:sz w:val="24"/>
          <w:highlight w:val="none"/>
        </w:rPr>
      </w:pPr>
      <w:bookmarkStart w:id="326" w:name="_Toc32055"/>
      <w:bookmarkStart w:id="327" w:name="_Toc14525"/>
      <w:bookmarkStart w:id="328" w:name="_Toc17363"/>
      <w:bookmarkStart w:id="329" w:name="_Toc1987"/>
      <w:bookmarkStart w:id="330" w:name="_Toc1969"/>
      <w:r>
        <w:rPr>
          <w:rFonts w:hint="eastAsia" w:ascii="仿宋" w:hAnsi="仿宋" w:cs="仿宋"/>
          <w:b/>
          <w:color w:val="auto"/>
          <w:sz w:val="24"/>
          <w:highlight w:val="none"/>
        </w:rPr>
        <w:t>2.15检验和验收</w:t>
      </w:r>
      <w:bookmarkEnd w:id="326"/>
      <w:bookmarkEnd w:id="327"/>
      <w:bookmarkEnd w:id="328"/>
      <w:bookmarkEnd w:id="329"/>
      <w:bookmarkEnd w:id="330"/>
    </w:p>
    <w:p w14:paraId="2655A890">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2.15.1乙方按照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的约定，定期提交服务报告，甲方按照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的约定进行定期验收；</w:t>
      </w:r>
    </w:p>
    <w:p w14:paraId="590028A7">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16312D5">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2.15.3检验和验收标准、程序等具体内容以及前述验收书的效力详见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3F2398E">
      <w:pPr>
        <w:spacing w:line="560" w:lineRule="exact"/>
        <w:ind w:firstLine="482" w:firstLineChars="200"/>
        <w:outlineLvl w:val="9"/>
        <w:rPr>
          <w:rFonts w:ascii="仿宋" w:hAnsi="仿宋" w:cs="仿宋"/>
          <w:b/>
          <w:color w:val="auto"/>
          <w:sz w:val="24"/>
          <w:highlight w:val="none"/>
        </w:rPr>
      </w:pPr>
      <w:bookmarkStart w:id="331" w:name="_Toc31892"/>
      <w:bookmarkStart w:id="332" w:name="_Toc9808"/>
      <w:bookmarkStart w:id="333" w:name="_Toc25198"/>
      <w:bookmarkStart w:id="334" w:name="_Toc12666"/>
      <w:bookmarkStart w:id="335" w:name="_Toc2308"/>
      <w:bookmarkStart w:id="336" w:name="_Toc18910"/>
      <w:bookmarkStart w:id="337" w:name="_Toc416"/>
      <w:r>
        <w:rPr>
          <w:rFonts w:hint="eastAsia" w:ascii="仿宋" w:hAnsi="仿宋" w:cs="仿宋"/>
          <w:b/>
          <w:color w:val="auto"/>
          <w:sz w:val="24"/>
          <w:highlight w:val="none"/>
        </w:rPr>
        <w:t>2.16通知和送达</w:t>
      </w:r>
      <w:bookmarkEnd w:id="331"/>
      <w:bookmarkEnd w:id="332"/>
      <w:bookmarkEnd w:id="333"/>
      <w:bookmarkEnd w:id="334"/>
      <w:bookmarkEnd w:id="335"/>
      <w:bookmarkEnd w:id="336"/>
      <w:bookmarkEnd w:id="337"/>
    </w:p>
    <w:p w14:paraId="5CBBA013">
      <w:pPr>
        <w:spacing w:line="560" w:lineRule="exact"/>
        <w:ind w:firstLine="480" w:firstLineChars="200"/>
        <w:outlineLvl w:val="9"/>
        <w:rPr>
          <w:rFonts w:ascii="仿宋" w:hAnsi="仿宋" w:cs="仿宋"/>
          <w:color w:val="auto"/>
          <w:sz w:val="24"/>
          <w:highlight w:val="none"/>
        </w:rPr>
      </w:pPr>
      <w:bookmarkStart w:id="338" w:name="_Toc27674"/>
      <w:bookmarkStart w:id="339" w:name="_Toc18401"/>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.1任何一方因履行合同而以合同第一部分尾部所列明的传真或电子邮件</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发出的所有通知、文件、材料，均视为已向对方当事人送达；任何一方变更上述送达方式或者地址的，应于</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个工作日内书面通知对方当事人，在对方当事人收到有关变更通知之前，变更前的约定送达方式或者地址仍视为有效。</w:t>
      </w:r>
    </w:p>
    <w:p w14:paraId="23AD200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8"/>
      <w:bookmarkEnd w:id="339"/>
    </w:p>
    <w:p w14:paraId="767D39D9">
      <w:pPr>
        <w:spacing w:line="560" w:lineRule="exact"/>
        <w:ind w:firstLine="482" w:firstLineChars="200"/>
        <w:outlineLvl w:val="9"/>
        <w:rPr>
          <w:rFonts w:ascii="仿宋" w:hAnsi="仿宋" w:cs="仿宋"/>
          <w:b/>
          <w:color w:val="auto"/>
          <w:sz w:val="24"/>
          <w:highlight w:val="none"/>
        </w:rPr>
      </w:pPr>
      <w:bookmarkStart w:id="340" w:name="_Toc27644"/>
      <w:bookmarkStart w:id="341" w:name="_Toc13906"/>
      <w:bookmarkStart w:id="342" w:name="_Toc5063"/>
      <w:bookmarkStart w:id="343" w:name="_Toc28906"/>
      <w:bookmarkStart w:id="344" w:name="_Toc12254"/>
      <w:bookmarkStart w:id="345" w:name="_Toc375"/>
      <w:bookmarkStart w:id="346" w:name="_Toc20808"/>
      <w:r>
        <w:rPr>
          <w:rFonts w:hint="eastAsia" w:ascii="仿宋" w:hAnsi="仿宋" w:cs="仿宋"/>
          <w:b/>
          <w:color w:val="auto"/>
          <w:sz w:val="24"/>
          <w:highlight w:val="none"/>
        </w:rPr>
        <w:t>2.17合同使用的文字和适用的法律</w:t>
      </w:r>
      <w:bookmarkEnd w:id="340"/>
      <w:bookmarkEnd w:id="341"/>
      <w:bookmarkEnd w:id="342"/>
      <w:bookmarkEnd w:id="343"/>
      <w:bookmarkEnd w:id="344"/>
      <w:bookmarkEnd w:id="345"/>
      <w:bookmarkEnd w:id="346"/>
    </w:p>
    <w:p w14:paraId="15FBB99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2.17.1合同使用汉语书就、变更和解释；</w:t>
      </w:r>
    </w:p>
    <w:p w14:paraId="4F93136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2.17.2合同适用中华人民共和国法律。</w:t>
      </w:r>
    </w:p>
    <w:p w14:paraId="4043F3F2">
      <w:pPr>
        <w:spacing w:line="560" w:lineRule="exact"/>
        <w:ind w:firstLine="482" w:firstLineChars="200"/>
        <w:outlineLvl w:val="9"/>
        <w:rPr>
          <w:rFonts w:ascii="仿宋" w:hAnsi="仿宋" w:cs="仿宋"/>
          <w:b/>
          <w:color w:val="auto"/>
          <w:sz w:val="24"/>
          <w:highlight w:val="none"/>
        </w:rPr>
      </w:pPr>
      <w:bookmarkStart w:id="347" w:name="_Toc7335"/>
      <w:bookmarkStart w:id="348" w:name="_Toc4355"/>
      <w:bookmarkStart w:id="349" w:name="_Toc15649"/>
      <w:bookmarkStart w:id="350" w:name="_Toc18540"/>
      <w:bookmarkStart w:id="351" w:name="_Toc30599"/>
      <w:r>
        <w:rPr>
          <w:rFonts w:hint="eastAsia" w:ascii="仿宋" w:hAnsi="仿宋" w:cs="仿宋"/>
          <w:b/>
          <w:color w:val="auto"/>
          <w:sz w:val="24"/>
          <w:highlight w:val="none"/>
        </w:rPr>
        <w:t>2.1</w:t>
      </w:r>
      <w:r>
        <w:rPr>
          <w:rFonts w:hint="eastAsia" w:ascii="仿宋" w:hAnsi="仿宋" w:cs="仿宋"/>
          <w:b/>
          <w:color w:val="auto"/>
          <w:sz w:val="24"/>
          <w:highlight w:val="none"/>
          <w:lang w:val="en-US" w:eastAsia="zh-CN"/>
        </w:rPr>
        <w:t>8</w:t>
      </w:r>
      <w:r>
        <w:rPr>
          <w:rFonts w:hint="eastAsia" w:ascii="仿宋" w:hAnsi="仿宋" w:cs="仿宋"/>
          <w:b/>
          <w:color w:val="auto"/>
          <w:sz w:val="24"/>
          <w:highlight w:val="none"/>
        </w:rPr>
        <w:t>计量单位</w:t>
      </w:r>
      <w:bookmarkEnd w:id="347"/>
      <w:bookmarkEnd w:id="348"/>
      <w:bookmarkEnd w:id="349"/>
      <w:bookmarkEnd w:id="350"/>
      <w:bookmarkEnd w:id="351"/>
    </w:p>
    <w:p w14:paraId="1C5EAFE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除技术规范中另有规定外，合同的计量单位均使用国家法定计量单位。</w:t>
      </w:r>
    </w:p>
    <w:p w14:paraId="5B20E07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2.19合同份数</w:t>
      </w:r>
    </w:p>
    <w:p w14:paraId="680515C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合同份数按</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规定，每份均具有同等法律效力。</w:t>
      </w:r>
    </w:p>
    <w:p w14:paraId="5B2D7528">
      <w:pPr>
        <w:spacing w:line="360" w:lineRule="auto"/>
        <w:jc w:val="center"/>
        <w:outlineLvl w:val="9"/>
        <w:rPr>
          <w:rFonts w:ascii="仿宋" w:hAnsi="仿宋" w:cs="仿宋"/>
          <w:b/>
          <w:color w:val="auto"/>
          <w:sz w:val="24"/>
          <w:highlight w:val="none"/>
        </w:rPr>
      </w:pPr>
      <w:r>
        <w:rPr>
          <w:rFonts w:hint="eastAsia" w:ascii="仿宋" w:hAnsi="仿宋" w:cs="仿宋"/>
          <w:color w:val="auto"/>
          <w:kern w:val="0"/>
          <w:highlight w:val="none"/>
        </w:rPr>
        <w:br w:type="page"/>
      </w:r>
      <w:r>
        <w:rPr>
          <w:rFonts w:hint="eastAsia" w:ascii="仿宋" w:hAnsi="仿宋" w:cs="仿宋"/>
          <w:b/>
          <w:color w:val="auto"/>
          <w:sz w:val="24"/>
          <w:highlight w:val="none"/>
        </w:rPr>
        <w:t>第三部分  合同专用条款</w:t>
      </w:r>
    </w:p>
    <w:p w14:paraId="3FC9EEA9">
      <w:pPr>
        <w:spacing w:line="560" w:lineRule="exact"/>
        <w:ind w:left="-420" w:leftChars="-200"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72"/>
      </w:tblGrid>
      <w:tr w14:paraId="4382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527CEB9C">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条款号</w:t>
            </w:r>
          </w:p>
        </w:tc>
        <w:tc>
          <w:tcPr>
            <w:tcW w:w="7472" w:type="dxa"/>
            <w:vAlign w:val="center"/>
          </w:tcPr>
          <w:p w14:paraId="344A2FB7">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约定内容</w:t>
            </w:r>
          </w:p>
        </w:tc>
      </w:tr>
      <w:tr w14:paraId="4BB8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1B4E8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1.3.2</w:t>
            </w:r>
          </w:p>
        </w:tc>
        <w:tc>
          <w:tcPr>
            <w:tcW w:w="7472" w:type="dxa"/>
            <w:vAlign w:val="center"/>
          </w:tcPr>
          <w:p w14:paraId="5E1B9BA7">
            <w:pPr>
              <w:spacing w:line="360" w:lineRule="auto"/>
              <w:outlineLvl w:val="9"/>
              <w:rPr>
                <w:rFonts w:ascii="仿宋" w:hAnsi="仿宋" w:cs="仿宋"/>
                <w:color w:val="auto"/>
                <w:sz w:val="24"/>
                <w:highlight w:val="none"/>
              </w:rPr>
            </w:pPr>
          </w:p>
        </w:tc>
      </w:tr>
      <w:tr w14:paraId="576A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89CFB6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1.4.2</w:t>
            </w:r>
          </w:p>
        </w:tc>
        <w:tc>
          <w:tcPr>
            <w:tcW w:w="7472" w:type="dxa"/>
            <w:vAlign w:val="center"/>
          </w:tcPr>
          <w:p w14:paraId="05FE6BFB">
            <w:pPr>
              <w:spacing w:line="360" w:lineRule="auto"/>
              <w:outlineLvl w:val="9"/>
              <w:rPr>
                <w:rFonts w:ascii="仿宋" w:hAnsi="仿宋" w:cs="仿宋"/>
                <w:color w:val="auto"/>
                <w:sz w:val="24"/>
                <w:highlight w:val="none"/>
              </w:rPr>
            </w:pPr>
          </w:p>
        </w:tc>
      </w:tr>
      <w:tr w14:paraId="53D0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58D6B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1.5.1 </w:t>
            </w:r>
          </w:p>
        </w:tc>
        <w:tc>
          <w:tcPr>
            <w:tcW w:w="7472" w:type="dxa"/>
            <w:vAlign w:val="center"/>
          </w:tcPr>
          <w:p w14:paraId="577F7460">
            <w:pPr>
              <w:spacing w:line="360" w:lineRule="auto"/>
              <w:outlineLvl w:val="9"/>
              <w:rPr>
                <w:rFonts w:ascii="仿宋" w:hAnsi="仿宋" w:cs="仿宋"/>
                <w:color w:val="auto"/>
                <w:sz w:val="24"/>
                <w:highlight w:val="none"/>
              </w:rPr>
            </w:pPr>
          </w:p>
        </w:tc>
      </w:tr>
      <w:tr w14:paraId="3037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D61401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1.5.2</w:t>
            </w:r>
          </w:p>
        </w:tc>
        <w:tc>
          <w:tcPr>
            <w:tcW w:w="7472" w:type="dxa"/>
            <w:vAlign w:val="center"/>
          </w:tcPr>
          <w:p w14:paraId="05ED9376">
            <w:pPr>
              <w:spacing w:line="360" w:lineRule="auto"/>
              <w:outlineLvl w:val="9"/>
              <w:rPr>
                <w:rFonts w:ascii="仿宋" w:hAnsi="仿宋" w:cs="仿宋"/>
                <w:color w:val="auto"/>
                <w:sz w:val="24"/>
                <w:highlight w:val="none"/>
              </w:rPr>
            </w:pPr>
          </w:p>
        </w:tc>
      </w:tr>
      <w:tr w14:paraId="1B72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3DD527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1.5.3 </w:t>
            </w:r>
          </w:p>
        </w:tc>
        <w:tc>
          <w:tcPr>
            <w:tcW w:w="7472" w:type="dxa"/>
            <w:vAlign w:val="center"/>
          </w:tcPr>
          <w:p w14:paraId="613EC130">
            <w:pPr>
              <w:spacing w:line="360" w:lineRule="auto"/>
              <w:outlineLvl w:val="9"/>
              <w:rPr>
                <w:rFonts w:ascii="仿宋" w:hAnsi="仿宋" w:cs="仿宋"/>
                <w:color w:val="auto"/>
                <w:sz w:val="24"/>
                <w:highlight w:val="none"/>
              </w:rPr>
            </w:pPr>
          </w:p>
        </w:tc>
      </w:tr>
      <w:tr w14:paraId="3CCB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7C5701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1.6.2</w:t>
            </w:r>
          </w:p>
        </w:tc>
        <w:tc>
          <w:tcPr>
            <w:tcW w:w="7472" w:type="dxa"/>
            <w:vAlign w:val="center"/>
          </w:tcPr>
          <w:p w14:paraId="622C8EA9">
            <w:pPr>
              <w:spacing w:line="360" w:lineRule="auto"/>
              <w:outlineLvl w:val="9"/>
              <w:rPr>
                <w:rFonts w:ascii="仿宋" w:hAnsi="仿宋" w:cs="仿宋"/>
                <w:color w:val="auto"/>
                <w:sz w:val="24"/>
                <w:highlight w:val="none"/>
              </w:rPr>
            </w:pPr>
          </w:p>
        </w:tc>
      </w:tr>
      <w:tr w14:paraId="141D1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573765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1.7.1</w:t>
            </w:r>
          </w:p>
        </w:tc>
        <w:tc>
          <w:tcPr>
            <w:tcW w:w="7472" w:type="dxa"/>
            <w:vAlign w:val="center"/>
          </w:tcPr>
          <w:p w14:paraId="54FC3B3B">
            <w:pPr>
              <w:spacing w:line="360" w:lineRule="auto"/>
              <w:outlineLvl w:val="9"/>
              <w:rPr>
                <w:rFonts w:ascii="仿宋" w:hAnsi="仿宋" w:cs="仿宋"/>
                <w:color w:val="auto"/>
                <w:sz w:val="24"/>
                <w:highlight w:val="none"/>
              </w:rPr>
            </w:pPr>
          </w:p>
        </w:tc>
      </w:tr>
      <w:tr w14:paraId="7734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78ED9A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1.7.2</w:t>
            </w:r>
          </w:p>
        </w:tc>
        <w:tc>
          <w:tcPr>
            <w:tcW w:w="7472" w:type="dxa"/>
            <w:vAlign w:val="center"/>
          </w:tcPr>
          <w:p w14:paraId="0A373197">
            <w:pPr>
              <w:spacing w:line="360" w:lineRule="auto"/>
              <w:outlineLvl w:val="9"/>
              <w:rPr>
                <w:rFonts w:ascii="仿宋" w:hAnsi="仿宋" w:cs="仿宋"/>
                <w:color w:val="auto"/>
                <w:sz w:val="24"/>
                <w:highlight w:val="none"/>
              </w:rPr>
            </w:pPr>
          </w:p>
        </w:tc>
      </w:tr>
      <w:tr w14:paraId="0552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AB1704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1.7.3</w:t>
            </w:r>
          </w:p>
        </w:tc>
        <w:tc>
          <w:tcPr>
            <w:tcW w:w="7472" w:type="dxa"/>
            <w:vAlign w:val="center"/>
          </w:tcPr>
          <w:p w14:paraId="55A04BE4">
            <w:pPr>
              <w:spacing w:line="360" w:lineRule="auto"/>
              <w:outlineLvl w:val="9"/>
              <w:rPr>
                <w:rFonts w:ascii="仿宋" w:hAnsi="仿宋" w:cs="仿宋"/>
                <w:color w:val="auto"/>
                <w:sz w:val="24"/>
                <w:highlight w:val="none"/>
              </w:rPr>
            </w:pPr>
          </w:p>
        </w:tc>
      </w:tr>
      <w:tr w14:paraId="0352B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37F7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1.7.4.1</w:t>
            </w:r>
          </w:p>
        </w:tc>
        <w:tc>
          <w:tcPr>
            <w:tcW w:w="7472" w:type="dxa"/>
            <w:vAlign w:val="center"/>
          </w:tcPr>
          <w:p w14:paraId="7C3DB1D0">
            <w:pPr>
              <w:spacing w:line="360" w:lineRule="auto"/>
              <w:outlineLvl w:val="9"/>
              <w:rPr>
                <w:rFonts w:ascii="仿宋" w:hAnsi="仿宋" w:cs="仿宋"/>
                <w:color w:val="auto"/>
                <w:sz w:val="24"/>
                <w:highlight w:val="none"/>
              </w:rPr>
            </w:pPr>
          </w:p>
        </w:tc>
      </w:tr>
      <w:tr w14:paraId="42CA1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104574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1.7.4.2</w:t>
            </w:r>
          </w:p>
        </w:tc>
        <w:tc>
          <w:tcPr>
            <w:tcW w:w="7472" w:type="dxa"/>
            <w:vAlign w:val="center"/>
          </w:tcPr>
          <w:p w14:paraId="6ABE3029">
            <w:pPr>
              <w:spacing w:line="360" w:lineRule="auto"/>
              <w:outlineLvl w:val="9"/>
              <w:rPr>
                <w:rFonts w:ascii="仿宋" w:hAnsi="仿宋" w:cs="仿宋"/>
                <w:color w:val="auto"/>
                <w:sz w:val="24"/>
                <w:highlight w:val="none"/>
              </w:rPr>
            </w:pPr>
          </w:p>
        </w:tc>
      </w:tr>
      <w:tr w14:paraId="17CA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BAB66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1.7.4.3</w:t>
            </w:r>
          </w:p>
        </w:tc>
        <w:tc>
          <w:tcPr>
            <w:tcW w:w="7472" w:type="dxa"/>
            <w:vAlign w:val="center"/>
          </w:tcPr>
          <w:p w14:paraId="632A4E50">
            <w:pPr>
              <w:spacing w:line="360" w:lineRule="auto"/>
              <w:outlineLvl w:val="9"/>
              <w:rPr>
                <w:rFonts w:ascii="仿宋" w:hAnsi="仿宋" w:cs="仿宋"/>
                <w:color w:val="auto"/>
                <w:sz w:val="24"/>
                <w:highlight w:val="none"/>
              </w:rPr>
            </w:pPr>
          </w:p>
        </w:tc>
      </w:tr>
      <w:tr w14:paraId="15A14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2B5D58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1.8.7</w:t>
            </w:r>
          </w:p>
        </w:tc>
        <w:tc>
          <w:tcPr>
            <w:tcW w:w="7472" w:type="dxa"/>
            <w:vAlign w:val="center"/>
          </w:tcPr>
          <w:p w14:paraId="7C02F623">
            <w:pPr>
              <w:spacing w:line="360" w:lineRule="auto"/>
              <w:outlineLvl w:val="9"/>
              <w:rPr>
                <w:rFonts w:ascii="仿宋" w:hAnsi="仿宋" w:cs="仿宋"/>
                <w:color w:val="auto"/>
                <w:sz w:val="24"/>
                <w:highlight w:val="none"/>
              </w:rPr>
            </w:pPr>
          </w:p>
        </w:tc>
      </w:tr>
      <w:tr w14:paraId="472F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0E226F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1.9.1</w:t>
            </w:r>
          </w:p>
        </w:tc>
        <w:tc>
          <w:tcPr>
            <w:tcW w:w="7472" w:type="dxa"/>
            <w:vAlign w:val="center"/>
          </w:tcPr>
          <w:p w14:paraId="6D3F31FD">
            <w:pPr>
              <w:spacing w:line="360" w:lineRule="auto"/>
              <w:outlineLvl w:val="9"/>
              <w:rPr>
                <w:rFonts w:ascii="仿宋" w:hAnsi="仿宋" w:cs="仿宋"/>
                <w:color w:val="auto"/>
                <w:sz w:val="24"/>
                <w:highlight w:val="none"/>
              </w:rPr>
            </w:pPr>
          </w:p>
        </w:tc>
      </w:tr>
      <w:tr w14:paraId="1363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43D762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1.9.2</w:t>
            </w:r>
          </w:p>
        </w:tc>
        <w:tc>
          <w:tcPr>
            <w:tcW w:w="7472" w:type="dxa"/>
            <w:vAlign w:val="center"/>
          </w:tcPr>
          <w:p w14:paraId="7E516ACA">
            <w:pPr>
              <w:spacing w:line="360" w:lineRule="auto"/>
              <w:outlineLvl w:val="9"/>
              <w:rPr>
                <w:rFonts w:ascii="仿宋" w:hAnsi="仿宋" w:cs="仿宋"/>
                <w:color w:val="auto"/>
                <w:sz w:val="24"/>
                <w:highlight w:val="none"/>
              </w:rPr>
            </w:pPr>
          </w:p>
        </w:tc>
      </w:tr>
      <w:tr w14:paraId="24B0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750BF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2.3.2</w:t>
            </w:r>
          </w:p>
        </w:tc>
        <w:tc>
          <w:tcPr>
            <w:tcW w:w="7472" w:type="dxa"/>
            <w:vAlign w:val="center"/>
          </w:tcPr>
          <w:p w14:paraId="17138870">
            <w:pPr>
              <w:spacing w:line="360" w:lineRule="auto"/>
              <w:ind w:left="-420" w:leftChars="-200" w:right="-420" w:rightChars="-200" w:firstLine="480" w:firstLineChars="200"/>
              <w:outlineLvl w:val="9"/>
              <w:rPr>
                <w:rFonts w:ascii="仿宋" w:hAnsi="仿宋" w:cs="仿宋"/>
                <w:color w:val="auto"/>
                <w:sz w:val="24"/>
                <w:highlight w:val="none"/>
              </w:rPr>
            </w:pPr>
          </w:p>
        </w:tc>
      </w:tr>
      <w:tr w14:paraId="6E32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DC3A2C1">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2.5</w:t>
            </w:r>
          </w:p>
        </w:tc>
        <w:tc>
          <w:tcPr>
            <w:tcW w:w="7472" w:type="dxa"/>
            <w:vAlign w:val="center"/>
          </w:tcPr>
          <w:p w14:paraId="3FD302BF">
            <w:pPr>
              <w:spacing w:line="360" w:lineRule="auto"/>
              <w:ind w:left="-420" w:leftChars="-200" w:right="-420" w:rightChars="-200" w:firstLine="480" w:firstLineChars="200"/>
              <w:outlineLvl w:val="9"/>
              <w:rPr>
                <w:rFonts w:ascii="仿宋" w:hAnsi="仿宋" w:cs="仿宋"/>
                <w:color w:val="auto"/>
                <w:sz w:val="24"/>
                <w:highlight w:val="none"/>
              </w:rPr>
            </w:pPr>
          </w:p>
        </w:tc>
      </w:tr>
      <w:tr w14:paraId="0EAE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3EEE38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2.11.2</w:t>
            </w:r>
          </w:p>
        </w:tc>
        <w:tc>
          <w:tcPr>
            <w:tcW w:w="7472" w:type="dxa"/>
            <w:vAlign w:val="center"/>
          </w:tcPr>
          <w:p w14:paraId="4EB1DAF3">
            <w:pPr>
              <w:spacing w:line="360" w:lineRule="auto"/>
              <w:outlineLvl w:val="9"/>
              <w:rPr>
                <w:rFonts w:ascii="仿宋" w:hAnsi="仿宋" w:cs="仿宋"/>
                <w:color w:val="auto"/>
                <w:sz w:val="24"/>
                <w:highlight w:val="none"/>
              </w:rPr>
            </w:pPr>
          </w:p>
        </w:tc>
      </w:tr>
      <w:tr w14:paraId="4CBC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79C51C76">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2.11.4 </w:t>
            </w:r>
          </w:p>
        </w:tc>
        <w:tc>
          <w:tcPr>
            <w:tcW w:w="7472" w:type="dxa"/>
          </w:tcPr>
          <w:p w14:paraId="79B5567D">
            <w:pPr>
              <w:spacing w:line="360" w:lineRule="auto"/>
              <w:outlineLvl w:val="9"/>
              <w:rPr>
                <w:rFonts w:ascii="仿宋" w:hAnsi="仿宋" w:cs="仿宋"/>
                <w:color w:val="auto"/>
                <w:sz w:val="24"/>
                <w:highlight w:val="none"/>
              </w:rPr>
            </w:pPr>
          </w:p>
        </w:tc>
      </w:tr>
      <w:tr w14:paraId="7192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294E2B9">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2.15.1</w:t>
            </w:r>
          </w:p>
        </w:tc>
        <w:tc>
          <w:tcPr>
            <w:tcW w:w="7472" w:type="dxa"/>
            <w:vAlign w:val="center"/>
          </w:tcPr>
          <w:p w14:paraId="60DF046F">
            <w:pPr>
              <w:spacing w:line="360" w:lineRule="auto"/>
              <w:outlineLvl w:val="9"/>
              <w:rPr>
                <w:rFonts w:ascii="仿宋" w:hAnsi="仿宋" w:cs="仿宋"/>
                <w:color w:val="auto"/>
                <w:sz w:val="24"/>
                <w:highlight w:val="none"/>
              </w:rPr>
            </w:pPr>
          </w:p>
        </w:tc>
      </w:tr>
      <w:tr w14:paraId="153B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2E7878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2.15.3</w:t>
            </w:r>
          </w:p>
        </w:tc>
        <w:tc>
          <w:tcPr>
            <w:tcW w:w="7472" w:type="dxa"/>
            <w:vAlign w:val="center"/>
          </w:tcPr>
          <w:p w14:paraId="5685FD08">
            <w:pPr>
              <w:spacing w:line="360" w:lineRule="auto"/>
              <w:outlineLvl w:val="9"/>
              <w:rPr>
                <w:rFonts w:ascii="仿宋" w:hAnsi="仿宋" w:cs="仿宋"/>
                <w:color w:val="auto"/>
                <w:sz w:val="24"/>
                <w:highlight w:val="none"/>
              </w:rPr>
            </w:pPr>
          </w:p>
        </w:tc>
      </w:tr>
      <w:tr w14:paraId="03169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0ECAA4D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2.19</w:t>
            </w:r>
          </w:p>
        </w:tc>
        <w:tc>
          <w:tcPr>
            <w:tcW w:w="7472" w:type="dxa"/>
          </w:tcPr>
          <w:p w14:paraId="75E48EE6">
            <w:pPr>
              <w:spacing w:line="360" w:lineRule="auto"/>
              <w:outlineLvl w:val="9"/>
              <w:rPr>
                <w:rFonts w:ascii="仿宋" w:hAnsi="仿宋" w:cs="仿宋"/>
                <w:color w:val="auto"/>
                <w:sz w:val="24"/>
                <w:highlight w:val="none"/>
              </w:rPr>
            </w:pPr>
          </w:p>
        </w:tc>
      </w:tr>
    </w:tbl>
    <w:p w14:paraId="4EBCD842">
      <w:pPr>
        <w:pStyle w:val="39"/>
        <w:keepNext w:val="0"/>
        <w:keepLines w:val="0"/>
        <w:pageBreakBefore w:val="0"/>
        <w:kinsoku/>
        <w:wordWrap/>
        <w:overflowPunct/>
        <w:topLinePunct w:val="0"/>
        <w:autoSpaceDE/>
        <w:autoSpaceDN/>
        <w:bidi w:val="0"/>
        <w:adjustRightInd/>
        <w:snapToGrid/>
        <w:ind w:firstLine="482" w:firstLineChars="200"/>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b/>
          <w:bCs/>
          <w:snapToGrid/>
          <w:color w:val="auto"/>
          <w:kern w:val="2"/>
          <w:sz w:val="24"/>
          <w:szCs w:val="24"/>
          <w:highlight w:val="none"/>
          <w:lang w:val="en-US" w:eastAsia="zh-CN" w:bidi="ar-SA"/>
        </w:rPr>
        <w:br w:type="page"/>
      </w:r>
      <w:bookmarkStart w:id="352" w:name="_Toc1740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部分</w:t>
      </w:r>
      <w:bookmarkEnd w:id="185"/>
      <w:bookmarkEnd w:id="186"/>
      <w:bookmarkEnd w:id="187"/>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val="en-US" w:eastAsia="zh-CN"/>
        </w:rPr>
        <w:t>投标文件</w:t>
      </w:r>
      <w:r>
        <w:rPr>
          <w:rFonts w:hint="eastAsia" w:ascii="宋体" w:hAnsi="宋体" w:eastAsia="宋体" w:cs="宋体"/>
          <w:color w:val="auto"/>
          <w:sz w:val="32"/>
          <w:szCs w:val="32"/>
          <w:highlight w:val="none"/>
        </w:rPr>
        <w:t>格式</w:t>
      </w:r>
      <w:bookmarkEnd w:id="188"/>
      <w:bookmarkEnd w:id="189"/>
      <w:bookmarkEnd w:id="352"/>
    </w:p>
    <w:p w14:paraId="52E09312">
      <w:pPr>
        <w:autoSpaceDE w:val="0"/>
        <w:autoSpaceDN w:val="0"/>
        <w:adjustRightInd w:val="0"/>
        <w:jc w:val="center"/>
        <w:outlineLvl w:val="9"/>
        <w:rPr>
          <w:rFonts w:hint="eastAsia" w:ascii="宋体" w:hAnsi="宋体" w:eastAsia="宋体" w:cs="宋体"/>
          <w:bCs/>
          <w:color w:val="auto"/>
          <w:kern w:val="0"/>
          <w:szCs w:val="21"/>
          <w:highlight w:val="none"/>
        </w:rPr>
      </w:pPr>
      <w:bookmarkStart w:id="353" w:name="_Toc19838"/>
      <w:bookmarkStart w:id="354" w:name="_Toc25864"/>
      <w:bookmarkStart w:id="355" w:name="_Toc3432"/>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投标文件</w:t>
      </w:r>
      <w:r>
        <w:rPr>
          <w:rFonts w:hint="eastAsia" w:ascii="宋体" w:hAnsi="宋体" w:eastAsia="宋体" w:cs="宋体"/>
          <w:bCs/>
          <w:color w:val="auto"/>
          <w:kern w:val="0"/>
          <w:szCs w:val="21"/>
          <w:highlight w:val="none"/>
        </w:rPr>
        <w:t>制作格式，仅供参考）</w:t>
      </w:r>
    </w:p>
    <w:bookmarkEnd w:id="353"/>
    <w:bookmarkEnd w:id="354"/>
    <w:bookmarkEnd w:id="355"/>
    <w:p w14:paraId="0B773067">
      <w:pPr>
        <w:jc w:val="center"/>
        <w:outlineLvl w:val="1"/>
        <w:rPr>
          <w:rFonts w:hint="eastAsia" w:ascii="宋体" w:hAnsi="宋体" w:eastAsia="宋体" w:cs="宋体"/>
          <w:color w:val="auto"/>
          <w:sz w:val="24"/>
          <w:szCs w:val="24"/>
          <w:highlight w:val="none"/>
          <w:lang w:eastAsia="zh-CN"/>
        </w:rPr>
      </w:pPr>
      <w:bookmarkStart w:id="356" w:name="_Toc14762"/>
      <w:bookmarkStart w:id="357" w:name="_Toc17682"/>
      <w:bookmarkStart w:id="358" w:name="_Toc21283"/>
      <w:bookmarkStart w:id="359" w:name="_Toc8526"/>
      <w:bookmarkStart w:id="360" w:name="_Toc16640"/>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封面</w:t>
      </w:r>
      <w:bookmarkEnd w:id="356"/>
      <w:bookmarkEnd w:id="357"/>
    </w:p>
    <w:p w14:paraId="685B7008">
      <w:pPr>
        <w:autoSpaceDE w:val="0"/>
        <w:autoSpaceDN w:val="0"/>
        <w:adjustRightInd w:val="0"/>
        <w:jc w:val="right"/>
        <w:outlineLvl w:val="9"/>
        <w:rPr>
          <w:rFonts w:hint="eastAsia" w:ascii="宋体" w:hAnsi="宋体" w:eastAsia="宋体" w:cs="宋体"/>
          <w:b/>
          <w:color w:val="auto"/>
          <w:spacing w:val="-6"/>
          <w:kern w:val="0"/>
          <w:sz w:val="32"/>
          <w:szCs w:val="32"/>
          <w:highlight w:val="none"/>
          <w:bdr w:val="single" w:color="auto" w:sz="4" w:space="0"/>
          <w:lang w:eastAsia="zh-CN"/>
        </w:rPr>
      </w:pPr>
      <w:r>
        <w:rPr>
          <w:rFonts w:hint="eastAsia" w:ascii="宋体" w:hAnsi="宋体" w:eastAsia="宋体" w:cs="宋体"/>
          <w:b/>
          <w:color w:val="auto"/>
          <w:spacing w:val="-6"/>
          <w:kern w:val="0"/>
          <w:sz w:val="32"/>
          <w:szCs w:val="32"/>
          <w:highlight w:val="none"/>
          <w:bdr w:val="single" w:color="auto" w:sz="4" w:space="0"/>
        </w:rPr>
        <w:t>正本</w:t>
      </w:r>
      <w:r>
        <w:rPr>
          <w:rFonts w:hint="eastAsia" w:ascii="宋体" w:hAnsi="宋体" w:cs="宋体"/>
          <w:b/>
          <w:color w:val="auto"/>
          <w:spacing w:val="-6"/>
          <w:kern w:val="0"/>
          <w:sz w:val="32"/>
          <w:szCs w:val="32"/>
          <w:highlight w:val="none"/>
          <w:bdr w:val="single" w:color="auto" w:sz="4" w:space="0"/>
          <w:lang w:eastAsia="zh-CN"/>
        </w:rPr>
        <w:t>（</w:t>
      </w:r>
      <w:r>
        <w:rPr>
          <w:rFonts w:hint="eastAsia" w:ascii="宋体" w:hAnsi="宋体" w:eastAsia="宋体" w:cs="宋体"/>
          <w:b/>
          <w:color w:val="auto"/>
          <w:spacing w:val="-6"/>
          <w:kern w:val="0"/>
          <w:sz w:val="32"/>
          <w:szCs w:val="32"/>
          <w:highlight w:val="none"/>
          <w:bdr w:val="single" w:color="auto" w:sz="4" w:space="0"/>
        </w:rPr>
        <w:t>或副本</w:t>
      </w:r>
      <w:r>
        <w:rPr>
          <w:rFonts w:hint="eastAsia" w:ascii="宋体" w:hAnsi="宋体" w:cs="宋体"/>
          <w:b/>
          <w:color w:val="auto"/>
          <w:spacing w:val="-6"/>
          <w:kern w:val="0"/>
          <w:sz w:val="32"/>
          <w:szCs w:val="32"/>
          <w:highlight w:val="none"/>
          <w:bdr w:val="single" w:color="auto" w:sz="4" w:space="0"/>
          <w:lang w:eastAsia="zh-CN"/>
        </w:rPr>
        <w:t>）</w:t>
      </w:r>
    </w:p>
    <w:p w14:paraId="257782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pacing w:val="-6"/>
          <w:kern w:val="0"/>
          <w:sz w:val="44"/>
          <w:szCs w:val="44"/>
          <w:highlight w:val="none"/>
          <w:lang w:val="en-US" w:eastAsia="zh-CN"/>
        </w:rPr>
      </w:pPr>
      <w:r>
        <w:rPr>
          <w:rFonts w:hint="eastAsia" w:ascii="宋体" w:hAnsi="宋体" w:cs="宋体"/>
          <w:b/>
          <w:color w:val="auto"/>
          <w:spacing w:val="-6"/>
          <w:kern w:val="0"/>
          <w:sz w:val="44"/>
          <w:szCs w:val="44"/>
          <w:highlight w:val="none"/>
          <w:lang w:val="en-US" w:eastAsia="zh-CN"/>
        </w:rPr>
        <w:t>新疆西昆仑地区地质勘查服务采购项目</w:t>
      </w:r>
    </w:p>
    <w:p w14:paraId="25DC9A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w:t>
      </w:r>
      <w:r>
        <w:rPr>
          <w:rFonts w:hint="eastAsia" w:ascii="宋体" w:hAnsi="宋体" w:eastAsia="宋体" w:cs="宋体"/>
          <w:color w:val="auto"/>
          <w:sz w:val="30"/>
          <w:highlight w:val="none"/>
        </w:rPr>
        <w:t>项目编号：</w:t>
      </w:r>
      <w:r>
        <w:rPr>
          <w:rFonts w:hint="eastAsia" w:ascii="宋体" w:hAnsi="宋体" w:cs="宋体"/>
          <w:color w:val="auto"/>
          <w:sz w:val="30"/>
          <w:highlight w:val="none"/>
          <w:lang w:val="en-US" w:eastAsia="zh-CN"/>
        </w:rPr>
        <w:t>ZTQ-2026041</w:t>
      </w:r>
      <w:r>
        <w:rPr>
          <w:rFonts w:hint="eastAsia" w:ascii="宋体" w:hAnsi="宋体" w:eastAsia="宋体" w:cs="宋体"/>
          <w:color w:val="auto"/>
          <w:sz w:val="30"/>
          <w:highlight w:val="none"/>
          <w:lang w:val="en-US" w:eastAsia="zh-CN"/>
        </w:rPr>
        <w:t>）</w:t>
      </w:r>
    </w:p>
    <w:p w14:paraId="3817633E">
      <w:pPr>
        <w:spacing w:line="360" w:lineRule="auto"/>
        <w:jc w:val="center"/>
        <w:outlineLvl w:val="9"/>
        <w:rPr>
          <w:rFonts w:hint="eastAsia" w:ascii="宋体" w:hAnsi="宋体" w:eastAsia="宋体" w:cs="宋体"/>
          <w:b/>
          <w:color w:val="auto"/>
          <w:sz w:val="32"/>
          <w:szCs w:val="32"/>
          <w:highlight w:val="none"/>
        </w:rPr>
      </w:pPr>
    </w:p>
    <w:p w14:paraId="2DAD531A">
      <w:pPr>
        <w:spacing w:line="360" w:lineRule="auto"/>
        <w:jc w:val="center"/>
        <w:outlineLvl w:val="9"/>
        <w:rPr>
          <w:rFonts w:hint="eastAsia" w:ascii="宋体" w:hAnsi="宋体" w:eastAsia="宋体" w:cs="宋体"/>
          <w:b/>
          <w:color w:val="auto"/>
          <w:sz w:val="32"/>
          <w:szCs w:val="32"/>
          <w:highlight w:val="none"/>
        </w:rPr>
      </w:pPr>
    </w:p>
    <w:p w14:paraId="7CE9BDAB">
      <w:pPr>
        <w:spacing w:line="360" w:lineRule="auto"/>
        <w:jc w:val="center"/>
        <w:outlineLvl w:val="9"/>
        <w:rPr>
          <w:rFonts w:hint="eastAsia" w:ascii="宋体" w:hAnsi="宋体" w:eastAsia="宋体" w:cs="宋体"/>
          <w:b/>
          <w:color w:val="auto"/>
          <w:sz w:val="72"/>
          <w:szCs w:val="72"/>
          <w:highlight w:val="none"/>
          <w:lang w:eastAsia="zh-CN"/>
        </w:rPr>
      </w:pPr>
    </w:p>
    <w:p w14:paraId="685AC0A8">
      <w:pPr>
        <w:spacing w:line="360" w:lineRule="auto"/>
        <w:jc w:val="center"/>
        <w:outlineLvl w:val="9"/>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投标</w:t>
      </w:r>
      <w:r>
        <w:rPr>
          <w:rFonts w:hint="eastAsia" w:ascii="宋体" w:hAnsi="宋体" w:eastAsia="宋体" w:cs="宋体"/>
          <w:b/>
          <w:color w:val="auto"/>
          <w:sz w:val="72"/>
          <w:szCs w:val="72"/>
          <w:highlight w:val="none"/>
        </w:rPr>
        <w:t>文件</w:t>
      </w:r>
    </w:p>
    <w:p w14:paraId="65E6A252">
      <w:pPr>
        <w:pStyle w:val="18"/>
        <w:tabs>
          <w:tab w:val="left" w:pos="924"/>
        </w:tabs>
        <w:outlineLvl w:val="9"/>
        <w:rPr>
          <w:rFonts w:hint="eastAsia" w:ascii="宋体" w:hAnsi="宋体" w:eastAsia="宋体" w:cs="宋体"/>
          <w:b/>
          <w:color w:val="auto"/>
          <w:szCs w:val="48"/>
          <w:highlight w:val="none"/>
        </w:rPr>
      </w:pPr>
    </w:p>
    <w:p w14:paraId="1A94822A">
      <w:pPr>
        <w:pStyle w:val="19"/>
        <w:rPr>
          <w:rFonts w:hint="eastAsia"/>
          <w:color w:val="auto"/>
          <w:highlight w:val="none"/>
        </w:rPr>
      </w:pPr>
    </w:p>
    <w:p w14:paraId="01A3DB92">
      <w:pPr>
        <w:pStyle w:val="20"/>
        <w:ind w:left="0" w:leftChars="0" w:firstLine="0" w:firstLineChars="0"/>
        <w:rPr>
          <w:rFonts w:hint="eastAsia"/>
          <w:color w:val="auto"/>
          <w:highlight w:val="none"/>
        </w:rPr>
      </w:pPr>
    </w:p>
    <w:p w14:paraId="5D31C1DA">
      <w:pPr>
        <w:spacing w:line="360" w:lineRule="auto"/>
        <w:ind w:firstLine="1500" w:firstLineChars="500"/>
        <w:jc w:val="both"/>
        <w:outlineLvl w:val="9"/>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303554EE">
      <w:pPr>
        <w:spacing w:line="360" w:lineRule="auto"/>
        <w:ind w:firstLine="1500" w:firstLineChars="500"/>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522567E5">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（签字</w:t>
      </w:r>
      <w:r>
        <w:rPr>
          <w:rFonts w:hint="eastAsia" w:ascii="宋体" w:hAnsi="宋体" w:eastAsia="宋体" w:cs="宋体"/>
          <w:color w:val="auto"/>
          <w:sz w:val="30"/>
          <w:highlight w:val="none"/>
          <w:lang w:eastAsia="zh-CN"/>
        </w:rPr>
        <w:t>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0FC8704">
      <w:pPr>
        <w:spacing w:line="360" w:lineRule="auto"/>
        <w:ind w:firstLine="1500" w:firstLineChars="500"/>
        <w:outlineLvl w:val="9"/>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6509C30C">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74BA2B3A">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EB74270">
      <w:pPr>
        <w:pStyle w:val="143"/>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rPr>
      </w:pPr>
    </w:p>
    <w:p w14:paraId="468067F7">
      <w:pPr>
        <w:bidi w:val="0"/>
        <w:jc w:val="center"/>
        <w:outlineLvl w:val="9"/>
        <w:rPr>
          <w:rFonts w:hint="eastAsia" w:ascii="宋体" w:hAnsi="宋体" w:eastAsia="宋体" w:cs="宋体"/>
          <w:b/>
          <w:bCs/>
          <w:color w:val="auto"/>
          <w:sz w:val="24"/>
          <w:szCs w:val="24"/>
          <w:highlight w:val="none"/>
        </w:rPr>
      </w:pPr>
      <w:bookmarkStart w:id="361" w:name="_Toc31656"/>
      <w:bookmarkStart w:id="362" w:name="_Toc1721037"/>
      <w:bookmarkStart w:id="363" w:name="_Toc13820"/>
      <w:bookmarkStart w:id="364" w:name="_Toc3891637"/>
      <w:bookmarkStart w:id="365" w:name="_Toc1719141"/>
      <w:bookmarkStart w:id="366" w:name="_Toc1719142"/>
      <w:bookmarkStart w:id="367" w:name="_Toc1721038"/>
      <w:bookmarkStart w:id="368" w:name="_Toc3891638"/>
      <w:bookmarkStart w:id="369" w:name="_Toc30637"/>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bookmarkEnd w:id="361"/>
      <w:bookmarkEnd w:id="362"/>
      <w:bookmarkEnd w:id="363"/>
      <w:bookmarkEnd w:id="364"/>
      <w:bookmarkEnd w:id="365"/>
    </w:p>
    <w:p w14:paraId="29E6F0B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bookmarkEnd w:id="366"/>
    <w:bookmarkEnd w:id="367"/>
    <w:bookmarkEnd w:id="368"/>
    <w:bookmarkEnd w:id="369"/>
    <w:p w14:paraId="3461DF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3A1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466123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4604984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7A6D7D2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550D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6CE39E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5A41D7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678" w:type="dxa"/>
            <w:noWrap w:val="0"/>
            <w:vAlign w:val="center"/>
          </w:tcPr>
          <w:p w14:paraId="33FD2CA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76FF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381578A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780ECB2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40D6A2D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0AD523A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5CE2D4A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242AB7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3B04A1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7C01AE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678" w:type="dxa"/>
            <w:noWrap w:val="0"/>
            <w:vAlign w:val="center"/>
          </w:tcPr>
          <w:p w14:paraId="7FD530E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59A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DC767F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6E4920E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678" w:type="dxa"/>
            <w:noWrap w:val="0"/>
            <w:vAlign w:val="center"/>
          </w:tcPr>
          <w:p w14:paraId="4E04E1C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156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42EC3A1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64253B0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kern w:val="0"/>
                <w:sz w:val="24"/>
              </w:rPr>
              <w:t>按采购文件要求</w:t>
            </w:r>
            <w:r>
              <w:rPr>
                <w:rFonts w:hint="eastAsia" w:ascii="宋体" w:hAnsi="宋体" w:cs="宋体"/>
                <w:sz w:val="24"/>
                <w:szCs w:val="24"/>
              </w:rPr>
              <w:t>提供“具有履行合同所必需的设备和专业技术能力的声明函”</w:t>
            </w:r>
          </w:p>
        </w:tc>
        <w:tc>
          <w:tcPr>
            <w:tcW w:w="1678" w:type="dxa"/>
            <w:noWrap w:val="0"/>
            <w:vAlign w:val="center"/>
          </w:tcPr>
          <w:p w14:paraId="294EC8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3FD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054933D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74F6E6C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sz w:val="24"/>
                <w:szCs w:val="24"/>
              </w:rPr>
              <w:t>提供近6个月内至少1个月的依法缴纳税收的完税证明和社保缴纳证明加盖供应商公章；供应商依法享受缓缴、免缴税收，免缴社会保障资金的提供证明材料加盖</w:t>
            </w:r>
            <w:r>
              <w:rPr>
                <w:rFonts w:hint="eastAsia" w:ascii="宋体" w:hAnsi="宋体" w:cs="宋体"/>
                <w:sz w:val="24"/>
                <w:szCs w:val="24"/>
                <w:lang w:val="en-US" w:eastAsia="zh-CN"/>
              </w:rPr>
              <w:t>投标人</w:t>
            </w:r>
            <w:r>
              <w:rPr>
                <w:rFonts w:hint="eastAsia" w:ascii="宋体" w:hAnsi="宋体" w:cs="宋体"/>
                <w:sz w:val="24"/>
                <w:szCs w:val="24"/>
              </w:rPr>
              <w:t>公章</w:t>
            </w:r>
          </w:p>
        </w:tc>
        <w:tc>
          <w:tcPr>
            <w:tcW w:w="1678" w:type="dxa"/>
            <w:noWrap w:val="0"/>
            <w:vAlign w:val="center"/>
          </w:tcPr>
          <w:p w14:paraId="039DBAF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B2F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687066E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6915" w:type="dxa"/>
            <w:noWrap w:val="0"/>
            <w:vAlign w:val="center"/>
          </w:tcPr>
          <w:p w14:paraId="2B527E3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06BF68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678" w:type="dxa"/>
            <w:noWrap w:val="0"/>
            <w:vAlign w:val="center"/>
          </w:tcPr>
          <w:p w14:paraId="3CE712D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1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767424B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1"/>
                <w:szCs w:val="21"/>
                <w:highlight w:val="none"/>
                <w:lang w:val="en-US" w:eastAsia="zh-CN"/>
              </w:rPr>
            </w:pPr>
          </w:p>
        </w:tc>
        <w:tc>
          <w:tcPr>
            <w:tcW w:w="6915" w:type="dxa"/>
            <w:noWrap w:val="0"/>
            <w:vAlign w:val="center"/>
          </w:tcPr>
          <w:p w14:paraId="7ADD997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特定资格要求：</w:t>
            </w:r>
          </w:p>
          <w:p w14:paraId="5370054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68D8339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2.项目负责人：</w:t>
            </w:r>
          </w:p>
          <w:p w14:paraId="19A73CF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①提供</w:t>
            </w:r>
            <w:r>
              <w:rPr>
                <w:rFonts w:hint="eastAsia" w:ascii="宋体" w:hAnsi="宋体" w:cs="宋体"/>
                <w:sz w:val="24"/>
                <w:szCs w:val="24"/>
              </w:rPr>
              <w:t>地质矿产勘查或钻探相关专业高级工程师及以上职称</w:t>
            </w:r>
            <w:r>
              <w:rPr>
                <w:rFonts w:ascii="宋体" w:hAnsi="宋体" w:eastAsia="宋体" w:cs="宋体"/>
                <w:sz w:val="24"/>
                <w:szCs w:val="24"/>
              </w:rPr>
              <w:t>证书</w:t>
            </w:r>
            <w:r>
              <w:rPr>
                <w:rFonts w:hint="eastAsia" w:ascii="宋体" w:hAnsi="宋体" w:eastAsia="宋体" w:cs="宋体"/>
                <w:sz w:val="24"/>
                <w:szCs w:val="24"/>
                <w:lang w:eastAsia="zh-CN"/>
              </w:rPr>
              <w:t>；</w:t>
            </w:r>
          </w:p>
          <w:p w14:paraId="6186030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②</w:t>
            </w:r>
            <w:r>
              <w:rPr>
                <w:rFonts w:hint="eastAsia" w:ascii="宋体" w:hAnsi="宋体" w:eastAsia="宋体" w:cs="宋体"/>
                <w:b w:val="0"/>
                <w:bCs/>
                <w:color w:val="auto"/>
                <w:kern w:val="0"/>
                <w:sz w:val="24"/>
                <w:szCs w:val="24"/>
                <w:highlight w:val="none"/>
                <w:vertAlign w:val="baseline"/>
                <w:lang w:val="en-US" w:eastAsia="zh-CN" w:bidi="ar-SA"/>
              </w:rPr>
              <w:t>须为投标人在职人员，提供投标截止时间前近1个月的社保缴纳证明材料。</w:t>
            </w:r>
          </w:p>
        </w:tc>
        <w:tc>
          <w:tcPr>
            <w:tcW w:w="1678" w:type="dxa"/>
            <w:noWrap w:val="0"/>
            <w:vAlign w:val="center"/>
          </w:tcPr>
          <w:p w14:paraId="55627D5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33015B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p>
    <w:p w14:paraId="3B7FE5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03D1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2BEA139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6C9233A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579E22D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10D1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780F2E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20063E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579" w:type="dxa"/>
            <w:noWrap w:val="0"/>
            <w:vAlign w:val="center"/>
          </w:tcPr>
          <w:p w14:paraId="6661870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54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0B953BC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59F9A95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579" w:type="dxa"/>
            <w:noWrap w:val="0"/>
            <w:vAlign w:val="center"/>
          </w:tcPr>
          <w:p w14:paraId="3B76B05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8AB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37C57E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6C3125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579" w:type="dxa"/>
            <w:noWrap w:val="0"/>
            <w:vAlign w:val="center"/>
          </w:tcPr>
          <w:p w14:paraId="480839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3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6C6DBE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232734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579" w:type="dxa"/>
            <w:noWrap w:val="0"/>
            <w:vAlign w:val="center"/>
          </w:tcPr>
          <w:p w14:paraId="1D12041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4EA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291B27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05A188E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579" w:type="dxa"/>
            <w:noWrap w:val="0"/>
            <w:vAlign w:val="center"/>
          </w:tcPr>
          <w:p w14:paraId="290ADE8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2B3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D654B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918" w:type="dxa"/>
            <w:noWrap w:val="0"/>
            <w:vAlign w:val="center"/>
          </w:tcPr>
          <w:p w14:paraId="2177D5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579" w:type="dxa"/>
            <w:noWrap w:val="0"/>
            <w:vAlign w:val="center"/>
          </w:tcPr>
          <w:p w14:paraId="373EC64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FBE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953292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8" w:type="dxa"/>
            <w:noWrap w:val="0"/>
            <w:vAlign w:val="center"/>
          </w:tcPr>
          <w:p w14:paraId="13DCB60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579" w:type="dxa"/>
            <w:noWrap w:val="0"/>
            <w:vAlign w:val="center"/>
          </w:tcPr>
          <w:p w14:paraId="6622474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2CEE4AE">
      <w:pPr>
        <w:pStyle w:val="18"/>
        <w:outlineLvl w:val="9"/>
        <w:rPr>
          <w:rFonts w:hint="eastAsia" w:ascii="宋体" w:hAnsi="宋体" w:eastAsia="宋体" w:cs="宋体"/>
          <w:color w:val="auto"/>
          <w:highlight w:val="none"/>
        </w:rPr>
      </w:pPr>
    </w:p>
    <w:p w14:paraId="6E32A786">
      <w:pPr>
        <w:spacing w:line="440" w:lineRule="exact"/>
        <w:jc w:val="both"/>
        <w:outlineLvl w:val="9"/>
        <w:rPr>
          <w:rFonts w:hint="eastAsia" w:ascii="宋体" w:hAnsi="宋体" w:eastAsia="宋体" w:cs="宋体"/>
          <w:b w:val="0"/>
          <w:bCs w:val="0"/>
          <w:color w:val="auto"/>
          <w:sz w:val="24"/>
          <w:szCs w:val="24"/>
          <w:highlight w:val="none"/>
        </w:rPr>
      </w:pPr>
    </w:p>
    <w:p w14:paraId="1026528A">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商务技术评审索引表</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3A69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B374241">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21349789">
            <w:pPr>
              <w:spacing w:line="240" w:lineRule="auto"/>
              <w:jc w:val="cente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578" w:type="dxa"/>
            <w:noWrap w:val="0"/>
            <w:vAlign w:val="center"/>
          </w:tcPr>
          <w:p w14:paraId="4F6DD51D">
            <w:pPr>
              <w:spacing w:line="22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161" w:type="dxa"/>
            <w:noWrap w:val="0"/>
            <w:vAlign w:val="center"/>
          </w:tcPr>
          <w:p w14:paraId="675F7CFD">
            <w:pPr>
              <w:spacing w:line="220" w:lineRule="exact"/>
              <w:jc w:val="center"/>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505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14:paraId="6711C61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335B3C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5480206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A23CA41">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BDE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C98A65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7F872EB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C09B5C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1154E0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0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7EF3C89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12525836">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0367B3E">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7C0AC7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5E1FDA28">
      <w:pPr>
        <w:keepNext w:val="0"/>
        <w:keepLines w:val="0"/>
        <w:pageBreakBefore w:val="0"/>
        <w:widowControl w:val="0"/>
        <w:kinsoku/>
        <w:wordWrap/>
        <w:overflowPunct/>
        <w:topLinePunct w:val="0"/>
        <w:bidi w:val="0"/>
        <w:adjustRightInd w:val="0"/>
        <w:snapToGrid w:val="0"/>
        <w:spacing w:line="400" w:lineRule="exact"/>
        <w:textAlignment w:val="auto"/>
        <w:outlineLvl w:val="9"/>
        <w:rPr>
          <w:rFonts w:hint="eastAsia" w:ascii="宋体" w:hAnsi="宋体" w:eastAsia="宋体" w:cs="宋体"/>
          <w:color w:val="auto"/>
          <w:sz w:val="24"/>
          <w:szCs w:val="24"/>
          <w:highlight w:val="none"/>
        </w:rPr>
      </w:pPr>
    </w:p>
    <w:p w14:paraId="765DE1EB">
      <w:pPr>
        <w:pageBreakBefore w:val="0"/>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4"/>
          <w:szCs w:val="24"/>
          <w:highlight w:val="none"/>
        </w:rPr>
      </w:pPr>
      <w:bookmarkStart w:id="370" w:name="_Toc16"/>
      <w:r>
        <w:rPr>
          <w:rFonts w:hint="eastAsia" w:ascii="宋体" w:hAnsi="宋体" w:eastAsia="宋体" w:cs="宋体"/>
          <w:color w:val="auto"/>
          <w:sz w:val="24"/>
          <w:szCs w:val="24"/>
          <w:highlight w:val="none"/>
          <w:lang w:eastAsia="zh-CN"/>
        </w:rPr>
        <w:br w:type="page"/>
      </w:r>
      <w:bookmarkStart w:id="371" w:name="_Toc10991"/>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、资</w:t>
      </w:r>
      <w:r>
        <w:rPr>
          <w:rFonts w:hint="eastAsia" w:ascii="宋体" w:hAnsi="宋体" w:eastAsia="宋体" w:cs="宋体"/>
          <w:b/>
          <w:bCs/>
          <w:color w:val="auto"/>
          <w:sz w:val="24"/>
          <w:szCs w:val="24"/>
          <w:highlight w:val="none"/>
          <w:lang w:eastAsia="zh-CN"/>
        </w:rPr>
        <w:t>格</w:t>
      </w:r>
      <w:r>
        <w:rPr>
          <w:rFonts w:hint="eastAsia" w:ascii="宋体" w:hAnsi="宋体" w:eastAsia="宋体" w:cs="宋体"/>
          <w:b/>
          <w:bCs/>
          <w:color w:val="auto"/>
          <w:sz w:val="24"/>
          <w:szCs w:val="24"/>
          <w:highlight w:val="none"/>
        </w:rPr>
        <w:t>文件</w:t>
      </w:r>
      <w:bookmarkEnd w:id="358"/>
      <w:bookmarkEnd w:id="359"/>
      <w:bookmarkEnd w:id="370"/>
      <w:bookmarkEnd w:id="371"/>
    </w:p>
    <w:p w14:paraId="68038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2"/>
        <w:rPr>
          <w:rFonts w:hint="eastAsia" w:ascii="宋体" w:hAnsi="宋体" w:eastAsia="宋体" w:cs="宋体"/>
          <w:b/>
          <w:color w:val="auto"/>
          <w:sz w:val="24"/>
          <w:szCs w:val="24"/>
          <w:highlight w:val="none"/>
        </w:rPr>
      </w:pPr>
      <w:bookmarkStart w:id="372" w:name="_Toc31100"/>
      <w:bookmarkStart w:id="373" w:name="_Toc20611"/>
      <w:bookmarkStart w:id="374" w:name="_Toc25303"/>
      <w:bookmarkStart w:id="375" w:name="_Toc5330"/>
      <w:bookmarkStart w:id="376" w:name="_Toc10358"/>
      <w:bookmarkStart w:id="377" w:name="_Toc31104"/>
      <w:r>
        <w:rPr>
          <w:rFonts w:hint="eastAsia" w:ascii="宋体" w:hAnsi="宋体" w:eastAsia="宋体" w:cs="宋体"/>
          <w:b/>
          <w:color w:val="auto"/>
          <w:sz w:val="24"/>
          <w:szCs w:val="24"/>
          <w:highlight w:val="none"/>
          <w:lang w:val="en-US" w:eastAsia="zh-CN"/>
        </w:rPr>
        <w:t>（一）满足《中华人民共和国政府采购法》第二十二条规定</w:t>
      </w:r>
      <w:bookmarkEnd w:id="372"/>
      <w:bookmarkEnd w:id="373"/>
      <w:bookmarkEnd w:id="374"/>
    </w:p>
    <w:bookmarkEnd w:id="375"/>
    <w:p w14:paraId="1B681643">
      <w:pPr>
        <w:tabs>
          <w:tab w:val="left" w:pos="540"/>
        </w:tabs>
        <w:adjustRightInd w:val="0"/>
        <w:snapToGrid w:val="0"/>
        <w:spacing w:line="360" w:lineRule="auto"/>
        <w:jc w:val="center"/>
        <w:outlineLvl w:val="2"/>
        <w:rPr>
          <w:rFonts w:hint="eastAsia" w:asciiTheme="minorEastAsia" w:hAnsiTheme="minorEastAsia" w:eastAsiaTheme="minorEastAsia" w:cstheme="minorEastAsia"/>
          <w:b/>
          <w:bCs/>
          <w:sz w:val="24"/>
          <w:szCs w:val="24"/>
        </w:rPr>
      </w:pPr>
      <w:bookmarkStart w:id="378" w:name="_Toc20651"/>
      <w:bookmarkStart w:id="379" w:name="_Toc2120"/>
      <w:bookmarkStart w:id="380" w:name="_Toc18634"/>
      <w:bookmarkStart w:id="381" w:name="_Toc17522"/>
      <w:bookmarkStart w:id="382" w:name="_Toc10014"/>
      <w:bookmarkStart w:id="383" w:name="_Toc27466"/>
      <w:bookmarkStart w:id="384" w:name="_Toc26139"/>
      <w:bookmarkStart w:id="385" w:name="_Toc5321"/>
      <w:bookmarkStart w:id="386" w:name="_Toc25434"/>
      <w:bookmarkStart w:id="387" w:name="_Toc716"/>
      <w:bookmarkStart w:id="388" w:name="_Toc19137"/>
      <w:bookmarkStart w:id="389" w:name="_Toc11591"/>
      <w:bookmarkStart w:id="390" w:name="_Toc22804"/>
      <w:bookmarkStart w:id="391" w:name="_Toc18845"/>
      <w:bookmarkStart w:id="392" w:name="_Toc31522"/>
      <w:bookmarkStart w:id="393" w:name="_Toc29395"/>
      <w:r>
        <w:rPr>
          <w:rFonts w:hint="eastAsia" w:asciiTheme="minorEastAsia" w:hAnsiTheme="minorEastAsia" w:eastAsiaTheme="minorEastAsia" w:cstheme="minorEastAsia"/>
          <w:b/>
          <w:bCs/>
          <w:sz w:val="24"/>
          <w:szCs w:val="24"/>
        </w:rPr>
        <w:t>1.资格声明函</w:t>
      </w:r>
      <w:bookmarkEnd w:id="378"/>
      <w:bookmarkEnd w:id="379"/>
    </w:p>
    <w:p w14:paraId="158D5F85">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i/>
          <w:iCs/>
          <w:sz w:val="24"/>
          <w:u w:val="single"/>
        </w:rPr>
        <w:t>（采购人）（代理机构）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2C7556D6">
      <w:pPr>
        <w:pStyle w:val="27"/>
        <w:widowControl/>
        <w:adjustRightInd w:val="0"/>
        <w:snapToGrid w:val="0"/>
        <w:spacing w:line="360" w:lineRule="auto"/>
        <w:ind w:left="0" w:leftChars="0" w:firstLine="480" w:firstLineChars="200"/>
        <w:rPr>
          <w:rFonts w:hint="eastAsia" w:asciiTheme="minorEastAsia" w:hAnsiTheme="minorEastAsia" w:eastAsiaTheme="minorEastAsia" w:cstheme="minorEastAsia"/>
          <w:sz w:val="24"/>
        </w:rPr>
      </w:pPr>
      <w:r>
        <w:rPr>
          <w:rFonts w:hint="eastAsia" w:hAnsi="宋体" w:cs="宋体"/>
          <w:sz w:val="24"/>
          <w:szCs w:val="24"/>
        </w:rPr>
        <w:t>我单位自愿参加本次政府采购活动，严格遵守《中华人民共和国政府采购法》及相关法律法规，坚守公开、公平、公正和诚实信用等原则，依法诚信经营，并郑重承诺：</w:t>
      </w:r>
    </w:p>
    <w:p w14:paraId="68CD2B6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宋体" w:hAnsi="宋体" w:cs="宋体"/>
          <w:sz w:val="24"/>
          <w:szCs w:val="24"/>
        </w:rPr>
        <w:t>符合《中华人民共和国政府采购法》第二十二条规定</w:t>
      </w:r>
      <w:r>
        <w:rPr>
          <w:rFonts w:hint="eastAsia" w:asciiTheme="minorEastAsia" w:hAnsiTheme="minorEastAsia" w:eastAsiaTheme="minorEastAsia" w:cstheme="minorEastAsia"/>
          <w:sz w:val="24"/>
          <w:szCs w:val="24"/>
        </w:rPr>
        <w:t>：</w:t>
      </w:r>
    </w:p>
    <w:p w14:paraId="710CB14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1EB9130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64874E6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14:paraId="328FB5A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14:paraId="36F17B5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5.参加此项采购活动前三年内，在经营活动中没有重大违法记录；</w:t>
      </w:r>
    </w:p>
    <w:p w14:paraId="20E188D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7B7D26B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（二）未被信用中国（www.creditchina.gov.cn)、中国政府采购网（www.ccgp.gov.cn）列入失信被执行人、重大税收违法失信主体、政府采购严重违法失信行为记录名单。</w:t>
      </w:r>
    </w:p>
    <w:p w14:paraId="45E85F0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（三）不存在以下情况：</w:t>
      </w:r>
    </w:p>
    <w:p w14:paraId="352D55DF">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1.单位负责人为同一人或者存在直接控股、管理关系的不同供应商参加同一合同项下的政府采购活动的；</w:t>
      </w:r>
    </w:p>
    <w:p w14:paraId="63D1F9F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2.为采购项目提供整体设计、规范编制或者项目管理、监理、检测等服务后再参加该采购项目的其他采购活动的。</w:t>
      </w:r>
    </w:p>
    <w:p w14:paraId="12EF887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31F0C75D">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50A9BA18">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lang w:val="en-US" w:eastAsia="zh-CN"/>
        </w:rPr>
        <w:t>投标人</w:t>
      </w:r>
      <w:r>
        <w:rPr>
          <w:rFonts w:hint="eastAsia" w:asciiTheme="minorEastAsia" w:hAnsiTheme="minorEastAsia" w:eastAsiaTheme="minorEastAsia" w:cstheme="minorEastAsia"/>
          <w:kern w:val="0"/>
          <w:sz w:val="24"/>
          <w:szCs w:val="24"/>
        </w:rPr>
        <w:t>名称（公章）：</w:t>
      </w:r>
      <w:r>
        <w:rPr>
          <w:rFonts w:hint="eastAsia" w:asciiTheme="minorEastAsia" w:hAnsiTheme="minorEastAsia" w:eastAsiaTheme="minorEastAsia" w:cstheme="minorEastAsia"/>
          <w:kern w:val="0"/>
          <w:sz w:val="24"/>
          <w:szCs w:val="24"/>
          <w:u w:val="single"/>
        </w:rPr>
        <w:t xml:space="preserve">                     </w:t>
      </w:r>
    </w:p>
    <w:p w14:paraId="2FC28088">
      <w:pPr>
        <w:pStyle w:val="39"/>
        <w:ind w:firstLine="210"/>
        <w:rPr>
          <w:rFonts w:hint="eastAsia" w:asciiTheme="minorEastAsia" w:hAnsiTheme="minorEastAsia" w:eastAsiaTheme="minorEastAsia" w:cstheme="minorEastAsia"/>
        </w:rPr>
      </w:pPr>
    </w:p>
    <w:p w14:paraId="0F835651">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法定代表人或委托代理人（签字或盖章）：</w:t>
      </w:r>
      <w:r>
        <w:rPr>
          <w:rFonts w:hint="eastAsia" w:asciiTheme="minorEastAsia" w:hAnsiTheme="minorEastAsia" w:eastAsiaTheme="minorEastAsia" w:cstheme="minorEastAsia"/>
          <w:kern w:val="0"/>
          <w:sz w:val="24"/>
          <w:szCs w:val="24"/>
          <w:u w:val="single"/>
        </w:rPr>
        <w:t xml:space="preserve">                   </w:t>
      </w:r>
    </w:p>
    <w:p w14:paraId="683913E9">
      <w:pPr>
        <w:pStyle w:val="39"/>
        <w:ind w:firstLine="210"/>
        <w:rPr>
          <w:rFonts w:hint="eastAsia" w:asciiTheme="minorEastAsia" w:hAnsiTheme="minorEastAsia" w:eastAsiaTheme="minorEastAsia" w:cstheme="minorEastAsia"/>
        </w:rPr>
      </w:pPr>
    </w:p>
    <w:p w14:paraId="0AD5D565">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14:paraId="126193D3">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439A5C02">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74B95B76">
      <w:pPr>
        <w:adjustRightInd w:val="0"/>
        <w:snapToGrid w:val="0"/>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备注：没有提供此项声明函的，视为未实质性响应采购文件要求，将按无效响应处理。</w:t>
      </w:r>
    </w:p>
    <w:p w14:paraId="5AE8A890">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Style w:val="95"/>
          <w:rFonts w:hint="eastAsia" w:cs="宋体"/>
          <w:b/>
          <w:bCs/>
          <w:color w:val="auto"/>
          <w:sz w:val="24"/>
          <w:szCs w:val="24"/>
          <w:highlight w:val="none"/>
          <w:lang w:val="en-US" w:eastAsia="zh-CN"/>
        </w:rPr>
        <w:br w:type="page"/>
      </w:r>
      <w:bookmarkStart w:id="394" w:name="_Toc23672"/>
      <w:r>
        <w:rPr>
          <w:rStyle w:val="95"/>
          <w:rFonts w:hint="eastAsia" w:cs="宋体"/>
          <w:b/>
          <w:bCs/>
          <w:color w:val="auto"/>
          <w:sz w:val="24"/>
          <w:szCs w:val="24"/>
          <w:highlight w:val="none"/>
          <w:lang w:val="en-US" w:eastAsia="zh-CN"/>
        </w:rPr>
        <w:t>2.</w:t>
      </w:r>
      <w:bookmarkEnd w:id="380"/>
      <w:r>
        <w:rPr>
          <w:rStyle w:val="95"/>
          <w:rFonts w:hint="eastAsia" w:cs="宋体"/>
          <w:b/>
          <w:bCs/>
          <w:color w:val="auto"/>
          <w:sz w:val="24"/>
          <w:szCs w:val="24"/>
          <w:highlight w:val="none"/>
          <w:lang w:eastAsia="zh-CN"/>
        </w:rPr>
        <w:t>法定代表人身份证明及</w:t>
      </w:r>
      <w:r>
        <w:rPr>
          <w:rFonts w:hint="eastAsia" w:cs="宋体"/>
          <w:b/>
          <w:bCs/>
          <w:color w:val="auto"/>
          <w:sz w:val="24"/>
          <w:szCs w:val="24"/>
          <w:highlight w:val="none"/>
        </w:rPr>
        <w:t>授权委托书</w:t>
      </w:r>
      <w:bookmarkEnd w:id="381"/>
      <w:bookmarkEnd w:id="382"/>
      <w:bookmarkEnd w:id="383"/>
      <w:bookmarkEnd w:id="384"/>
      <w:bookmarkEnd w:id="385"/>
      <w:bookmarkEnd w:id="386"/>
      <w:bookmarkEnd w:id="387"/>
      <w:bookmarkEnd w:id="394"/>
    </w:p>
    <w:p w14:paraId="1AC70F0C">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eastAsia="宋体"/>
          <w:b/>
          <w:bCs/>
          <w:color w:val="auto"/>
          <w:sz w:val="24"/>
          <w:szCs w:val="24"/>
          <w:highlight w:val="none"/>
          <w:lang w:eastAsia="zh-CN"/>
        </w:rPr>
      </w:pPr>
      <w:r>
        <w:rPr>
          <w:rFonts w:hint="eastAsia"/>
          <w:b/>
          <w:bCs/>
          <w:color w:val="auto"/>
          <w:sz w:val="24"/>
          <w:szCs w:val="24"/>
          <w:highlight w:val="none"/>
          <w:lang w:eastAsia="zh-CN"/>
        </w:rPr>
        <w:t>法定代表人身份证明</w:t>
      </w:r>
    </w:p>
    <w:p w14:paraId="47D5C45B">
      <w:pPr>
        <w:pStyle w:val="39"/>
        <w:keepNext w:val="0"/>
        <w:keepLines w:val="0"/>
        <w:pageBreakBefore w:val="0"/>
        <w:widowControl w:val="0"/>
        <w:kinsoku/>
        <w:wordWrap/>
        <w:overflowPunct/>
        <w:topLinePunct w:val="0"/>
        <w:autoSpaceDE/>
        <w:autoSpaceDN/>
        <w:bidi w:val="0"/>
        <w:spacing w:line="360" w:lineRule="auto"/>
        <w:textAlignment w:val="auto"/>
        <w:outlineLvl w:val="9"/>
        <w:rPr>
          <w:rFonts w:hint="eastAsia"/>
          <w:color w:val="auto"/>
          <w:highlight w:val="none"/>
        </w:rPr>
      </w:pPr>
    </w:p>
    <w:p w14:paraId="63997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企业名称：</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38212B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企业类型：</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BD2A4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FDBB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成立时间：</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6DFE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营业期限：</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4B9D1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p>
    <w:p w14:paraId="62599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职务：</w:t>
      </w:r>
      <w:r>
        <w:rPr>
          <w:rFonts w:hint="eastAsia" w:cs="宋体"/>
          <w:color w:val="auto"/>
          <w:sz w:val="24"/>
          <w:szCs w:val="24"/>
          <w:highlight w:val="none"/>
          <w:u w:val="single"/>
        </w:rPr>
        <w:t xml:space="preserve">                  </w:t>
      </w:r>
      <w:r>
        <w:rPr>
          <w:rFonts w:hint="eastAsia" w:cs="宋体"/>
          <w:color w:val="auto"/>
          <w:sz w:val="24"/>
          <w:szCs w:val="24"/>
          <w:highlight w:val="none"/>
        </w:rPr>
        <w:t xml:space="preserve">系 </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投标人</w:t>
      </w:r>
      <w:r>
        <w:rPr>
          <w:rFonts w:hint="eastAsia" w:cs="宋体"/>
          <w:color w:val="auto"/>
          <w:sz w:val="24"/>
          <w:szCs w:val="24"/>
          <w:highlight w:val="none"/>
          <w:u w:val="single"/>
        </w:rPr>
        <w:t xml:space="preserve">公司名称） </w:t>
      </w:r>
      <w:r>
        <w:rPr>
          <w:rFonts w:hint="eastAsia" w:cs="宋体"/>
          <w:color w:val="auto"/>
          <w:sz w:val="24"/>
          <w:szCs w:val="24"/>
          <w:highlight w:val="none"/>
        </w:rPr>
        <w:t>的法定代表人。</w:t>
      </w:r>
    </w:p>
    <w:p w14:paraId="3E013FD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特此证明。</w:t>
      </w:r>
    </w:p>
    <w:p w14:paraId="69BA87A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416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6400D0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4321CC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75C103A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7188B52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640187B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u w:val="singl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r>
        <w:rPr>
          <w:rFonts w:hint="eastAsia" w:cs="宋体"/>
          <w:color w:val="auto"/>
          <w:sz w:val="24"/>
          <w:szCs w:val="24"/>
          <w:highlight w:val="none"/>
          <w:u w:val="single"/>
        </w:rPr>
        <w:t xml:space="preserve">                      </w:t>
      </w:r>
    </w:p>
    <w:p w14:paraId="731760E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  期：</w:t>
      </w:r>
      <w:r>
        <w:rPr>
          <w:rFonts w:hint="eastAsia" w:cs="宋体"/>
          <w:color w:val="auto"/>
          <w:sz w:val="24"/>
          <w:szCs w:val="24"/>
          <w:highlight w:val="none"/>
          <w:u w:val="single"/>
        </w:rPr>
        <w:t xml:space="preserve">        </w:t>
      </w:r>
      <w:r>
        <w:rPr>
          <w:rFonts w:hint="eastAsia" w:cs="宋体"/>
          <w:color w:val="auto"/>
          <w:sz w:val="24"/>
          <w:szCs w:val="24"/>
          <w:highlight w:val="none"/>
        </w:rPr>
        <w:t xml:space="preserve">年 </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749BA72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6DE966E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cs="宋体"/>
          <w:b/>
          <w:bCs/>
          <w:color w:val="auto"/>
          <w:sz w:val="24"/>
          <w:szCs w:val="24"/>
          <w:highlight w:val="none"/>
        </w:rPr>
      </w:pPr>
      <w:r>
        <w:rPr>
          <w:rFonts w:hint="eastAsia" w:cs="宋体"/>
          <w:b/>
          <w:bCs/>
          <w:color w:val="auto"/>
          <w:sz w:val="24"/>
          <w:szCs w:val="24"/>
          <w:highlight w:val="none"/>
        </w:rPr>
        <w:t>注：本证明书为法定代表人本人作为公司代理人参与投标的，提供此项证明书。</w:t>
      </w:r>
    </w:p>
    <w:p w14:paraId="508B79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5371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4"/>
          <w:szCs w:val="24"/>
          <w:highlight w:val="none"/>
        </w:rPr>
        <w:t>法定代表人授权委托书</w:t>
      </w:r>
    </w:p>
    <w:p w14:paraId="496E800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本授权委托书声明：我</w:t>
      </w:r>
      <w:r>
        <w:rPr>
          <w:rFonts w:hint="eastAsia" w:cs="宋体"/>
          <w:color w:val="auto"/>
          <w:sz w:val="24"/>
          <w:szCs w:val="24"/>
          <w:highlight w:val="none"/>
          <w:u w:val="single"/>
        </w:rPr>
        <w:t>（姓名）</w:t>
      </w:r>
      <w:r>
        <w:rPr>
          <w:rFonts w:hint="eastAsia" w:cs="宋体"/>
          <w:color w:val="auto"/>
          <w:sz w:val="24"/>
          <w:szCs w:val="24"/>
          <w:highlight w:val="none"/>
        </w:rPr>
        <w:t>系</w:t>
      </w:r>
      <w:r>
        <w:rPr>
          <w:rFonts w:hint="eastAsia" w:cs="宋体"/>
          <w:color w:val="auto"/>
          <w:sz w:val="24"/>
          <w:szCs w:val="24"/>
          <w:highlight w:val="none"/>
          <w:u w:val="single"/>
        </w:rPr>
        <w:t>（</w:t>
      </w:r>
      <w:r>
        <w:rPr>
          <w:rFonts w:hint="eastAsia" w:cs="宋体"/>
          <w:color w:val="auto"/>
          <w:sz w:val="24"/>
          <w:szCs w:val="24"/>
          <w:highlight w:val="none"/>
          <w:u w:val="single"/>
          <w:lang w:eastAsia="zh-CN"/>
        </w:rPr>
        <w:t>投标人名称</w:t>
      </w:r>
      <w:r>
        <w:rPr>
          <w:rFonts w:hint="eastAsia" w:cs="宋体"/>
          <w:color w:val="auto"/>
          <w:sz w:val="24"/>
          <w:szCs w:val="24"/>
          <w:highlight w:val="none"/>
          <w:u w:val="single"/>
        </w:rPr>
        <w:t>）</w:t>
      </w:r>
      <w:r>
        <w:rPr>
          <w:rFonts w:hint="eastAsia" w:cs="宋体"/>
          <w:color w:val="auto"/>
          <w:sz w:val="24"/>
          <w:szCs w:val="24"/>
          <w:highlight w:val="none"/>
        </w:rPr>
        <w:t>的法人代表人，现授权委托</w:t>
      </w:r>
      <w:r>
        <w:rPr>
          <w:rFonts w:hint="eastAsia" w:cs="宋体"/>
          <w:color w:val="auto"/>
          <w:sz w:val="24"/>
          <w:szCs w:val="24"/>
          <w:highlight w:val="none"/>
          <w:u w:val="none"/>
          <w:lang w:eastAsia="zh-CN"/>
        </w:rPr>
        <w:t>公司</w:t>
      </w:r>
      <w:r>
        <w:rPr>
          <w:rFonts w:hint="eastAsia" w:cs="宋体"/>
          <w:color w:val="auto"/>
          <w:sz w:val="24"/>
          <w:szCs w:val="24"/>
          <w:highlight w:val="none"/>
          <w:lang w:eastAsia="zh-CN"/>
        </w:rPr>
        <w:t>正式员工</w:t>
      </w:r>
      <w:r>
        <w:rPr>
          <w:rFonts w:hint="eastAsia" w:cs="宋体"/>
          <w:color w:val="auto"/>
          <w:sz w:val="24"/>
          <w:szCs w:val="24"/>
          <w:highlight w:val="none"/>
          <w:u w:val="single"/>
        </w:rPr>
        <w:t>（姓名）</w:t>
      </w:r>
      <w:r>
        <w:rPr>
          <w:rFonts w:hint="eastAsia" w:cs="宋体"/>
          <w:color w:val="auto"/>
          <w:sz w:val="24"/>
          <w:szCs w:val="24"/>
          <w:highlight w:val="none"/>
        </w:rPr>
        <w:t>为我公司代理人，以本公司的名义参加</w:t>
      </w:r>
      <w:r>
        <w:rPr>
          <w:rFonts w:hint="eastAsia" w:cs="宋体"/>
          <w:color w:val="auto"/>
          <w:sz w:val="24"/>
          <w:szCs w:val="24"/>
          <w:highlight w:val="none"/>
          <w:u w:val="single"/>
        </w:rPr>
        <w:t>（招标人）</w:t>
      </w:r>
      <w:r>
        <w:rPr>
          <w:rFonts w:hint="eastAsia" w:cs="宋体"/>
          <w:color w:val="auto"/>
          <w:sz w:val="24"/>
          <w:szCs w:val="24"/>
          <w:highlight w:val="none"/>
        </w:rPr>
        <w:t>的</w:t>
      </w:r>
      <w:r>
        <w:rPr>
          <w:rFonts w:hint="eastAsia" w:cs="宋体"/>
          <w:color w:val="auto"/>
          <w:sz w:val="24"/>
          <w:szCs w:val="24"/>
          <w:highlight w:val="none"/>
          <w:u w:val="single"/>
        </w:rPr>
        <w:t xml:space="preserve">  （项目名称）</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的投标活动。代理人在参加整个项目招标响应活动、合同招标过程中所签署的一切文件和处理与之有关的一切事物，我均予以承认。</w:t>
      </w:r>
    </w:p>
    <w:p w14:paraId="6CC7042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 xml:space="preserve">   年龄：</w:t>
      </w:r>
      <w:r>
        <w:rPr>
          <w:rFonts w:hint="eastAsia" w:cs="宋体"/>
          <w:color w:val="auto"/>
          <w:sz w:val="24"/>
          <w:szCs w:val="24"/>
          <w:highlight w:val="none"/>
          <w:u w:val="single"/>
        </w:rPr>
        <w:t xml:space="preserve">       </w:t>
      </w:r>
    </w:p>
    <w:p w14:paraId="25A8548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单  位：</w:t>
      </w:r>
      <w:r>
        <w:rPr>
          <w:rFonts w:hint="eastAsia" w:cs="宋体"/>
          <w:color w:val="auto"/>
          <w:sz w:val="24"/>
          <w:szCs w:val="24"/>
          <w:highlight w:val="none"/>
          <w:u w:val="single"/>
        </w:rPr>
        <w:t xml:space="preserve">             </w:t>
      </w:r>
      <w:r>
        <w:rPr>
          <w:rFonts w:hint="eastAsia" w:cs="宋体"/>
          <w:color w:val="auto"/>
          <w:sz w:val="24"/>
          <w:szCs w:val="24"/>
          <w:highlight w:val="none"/>
        </w:rPr>
        <w:t xml:space="preserve"> 部门：</w:t>
      </w:r>
      <w:r>
        <w:rPr>
          <w:rFonts w:hint="eastAsia" w:cs="宋体"/>
          <w:color w:val="auto"/>
          <w:sz w:val="24"/>
          <w:szCs w:val="24"/>
          <w:highlight w:val="none"/>
          <w:u w:val="single"/>
        </w:rPr>
        <w:t xml:space="preserve">       </w:t>
      </w:r>
      <w:r>
        <w:rPr>
          <w:rFonts w:hint="eastAsia" w:cs="宋体"/>
          <w:color w:val="auto"/>
          <w:sz w:val="24"/>
          <w:szCs w:val="24"/>
          <w:highlight w:val="none"/>
        </w:rPr>
        <w:t xml:space="preserve">  职务：</w:t>
      </w:r>
      <w:r>
        <w:rPr>
          <w:rFonts w:hint="eastAsia" w:cs="宋体"/>
          <w:color w:val="auto"/>
          <w:sz w:val="24"/>
          <w:szCs w:val="24"/>
          <w:highlight w:val="none"/>
          <w:u w:val="single"/>
        </w:rPr>
        <w:t xml:space="preserve">       </w:t>
      </w:r>
    </w:p>
    <w:p w14:paraId="1328A87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邮箱：</w:t>
      </w:r>
      <w:r>
        <w:rPr>
          <w:rFonts w:hint="eastAsia" w:cs="宋体"/>
          <w:color w:val="auto"/>
          <w:sz w:val="24"/>
          <w:szCs w:val="24"/>
          <w:highlight w:val="none"/>
          <w:u w:val="single"/>
        </w:rPr>
        <w:t xml:space="preserve">                   </w:t>
      </w:r>
    </w:p>
    <w:p w14:paraId="3BE2A32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代理人无转委托权。</w:t>
      </w:r>
    </w:p>
    <w:p w14:paraId="7464E20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7E8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5846EC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001C7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6AAE0A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被授权人身份证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B79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7652A1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3829B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316A576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b w:val="0"/>
          <w:bCs w:val="0"/>
          <w:color w:val="auto"/>
          <w:kern w:val="0"/>
          <w:sz w:val="24"/>
          <w:szCs w:val="24"/>
          <w:highlight w:val="none"/>
        </w:rPr>
      </w:pPr>
    </w:p>
    <w:p w14:paraId="43F26B8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p>
    <w:p w14:paraId="2437950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2652056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w:t>
      </w:r>
      <w:r>
        <w:rPr>
          <w:rFonts w:hint="eastAsia" w:ascii="宋体" w:hAnsi="宋体" w:eastAsia="宋体" w:cs="宋体"/>
          <w:b w:val="0"/>
          <w:bCs w:val="0"/>
          <w:color w:val="auto"/>
          <w:kern w:val="0"/>
          <w:sz w:val="24"/>
          <w:szCs w:val="24"/>
          <w:highlight w:val="none"/>
          <w:lang w:eastAsia="zh-CN"/>
        </w:rPr>
        <w:t>签字或盖章</w:t>
      </w:r>
      <w:r>
        <w:rPr>
          <w:rFonts w:hint="eastAsia" w:cs="宋体"/>
          <w:color w:val="auto"/>
          <w:sz w:val="24"/>
          <w:szCs w:val="24"/>
          <w:highlight w:val="none"/>
        </w:rPr>
        <w:t>）</w:t>
      </w:r>
    </w:p>
    <w:p w14:paraId="77EAB99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日期：      年    月    日</w:t>
      </w:r>
    </w:p>
    <w:p w14:paraId="562E56DD">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color w:val="auto"/>
          <w:sz w:val="24"/>
          <w:szCs w:val="24"/>
          <w:highlight w:val="none"/>
        </w:rPr>
      </w:pPr>
    </w:p>
    <w:p w14:paraId="18806867">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b/>
          <w:bCs/>
          <w:color w:val="auto"/>
          <w:sz w:val="24"/>
          <w:szCs w:val="24"/>
          <w:highlight w:val="none"/>
        </w:rPr>
      </w:pPr>
      <w:r>
        <w:rPr>
          <w:rFonts w:hint="eastAsia" w:cs="宋体"/>
          <w:b/>
          <w:bCs/>
          <w:color w:val="auto"/>
          <w:sz w:val="24"/>
          <w:szCs w:val="24"/>
          <w:highlight w:val="none"/>
        </w:rPr>
        <w:t>注：1.法定代表人本人作为公司代理人前来参与投标的，不提供此项证明文件。</w:t>
      </w:r>
    </w:p>
    <w:p w14:paraId="27730E1B">
      <w:pPr>
        <w:keepNext w:val="0"/>
        <w:keepLines w:val="0"/>
        <w:pageBreakBefore w:val="0"/>
        <w:widowControl w:val="0"/>
        <w:kinsoku/>
        <w:wordWrap/>
        <w:overflowPunct/>
        <w:topLinePunct w:val="0"/>
        <w:autoSpaceDE/>
        <w:autoSpaceDN/>
        <w:bidi w:val="0"/>
        <w:adjustRightInd w:val="0"/>
        <w:snapToGrid w:val="0"/>
        <w:spacing w:line="240" w:lineRule="auto"/>
        <w:ind w:firstLine="964" w:firstLineChars="400"/>
        <w:textAlignment w:val="auto"/>
        <w:outlineLvl w:val="9"/>
        <w:rPr>
          <w:rFonts w:hint="eastAsia" w:cs="宋体"/>
          <w:b/>
          <w:bCs/>
          <w:color w:val="auto"/>
          <w:sz w:val="24"/>
          <w:szCs w:val="24"/>
          <w:highlight w:val="none"/>
        </w:rPr>
      </w:pPr>
      <w:r>
        <w:rPr>
          <w:rFonts w:hint="eastAsia" w:cs="宋体"/>
          <w:b/>
          <w:bCs/>
          <w:color w:val="auto"/>
          <w:sz w:val="24"/>
          <w:szCs w:val="24"/>
          <w:highlight w:val="none"/>
        </w:rPr>
        <w:t>2.授权书上应当附有授权人和被授权人的居民身份证</w:t>
      </w:r>
      <w:r>
        <w:rPr>
          <w:rFonts w:hint="eastAsia" w:ascii="宋体" w:hAnsi="宋体" w:cs="宋体"/>
          <w:b/>
          <w:bCs/>
          <w:color w:val="auto"/>
          <w:sz w:val="24"/>
          <w:highlight w:val="none"/>
        </w:rPr>
        <w:t>扫描件</w:t>
      </w:r>
      <w:r>
        <w:rPr>
          <w:rFonts w:hint="eastAsia" w:cs="宋体"/>
          <w:b/>
          <w:bCs/>
          <w:color w:val="auto"/>
          <w:sz w:val="24"/>
          <w:szCs w:val="24"/>
          <w:highlight w:val="none"/>
        </w:rPr>
        <w:t>。</w:t>
      </w:r>
      <w:bookmarkStart w:id="395" w:name="_Toc7141"/>
      <w:bookmarkStart w:id="396" w:name="_Toc11400"/>
      <w:bookmarkStart w:id="397" w:name="_Toc2433"/>
    </w:p>
    <w:p w14:paraId="5B55F8AF">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Fonts w:hint="eastAsia" w:cs="宋体"/>
          <w:color w:val="auto"/>
          <w:sz w:val="24"/>
          <w:szCs w:val="24"/>
          <w:highlight w:val="none"/>
        </w:rPr>
        <w:br w:type="page"/>
      </w:r>
      <w:bookmarkStart w:id="398" w:name="_Toc14180"/>
      <w:r>
        <w:rPr>
          <w:rFonts w:hint="eastAsia" w:cs="宋体"/>
          <w:b/>
          <w:bCs/>
          <w:color w:val="auto"/>
          <w:sz w:val="24"/>
          <w:szCs w:val="24"/>
          <w:highlight w:val="none"/>
          <w:lang w:val="en-US" w:eastAsia="zh-CN"/>
        </w:rPr>
        <w:t>3</w:t>
      </w:r>
      <w:r>
        <w:rPr>
          <w:rStyle w:val="95"/>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具有独立承担民事责任的能力</w:t>
      </w:r>
      <w:bookmarkEnd w:id="398"/>
    </w:p>
    <w:bookmarkEnd w:id="388"/>
    <w:bookmarkEnd w:id="389"/>
    <w:bookmarkEnd w:id="390"/>
    <w:bookmarkEnd w:id="391"/>
    <w:bookmarkEnd w:id="395"/>
    <w:bookmarkEnd w:id="396"/>
    <w:bookmarkEnd w:id="397"/>
    <w:p w14:paraId="77ECD02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（1、如供应商是企业（包括合伙企业），应提供在市场监督管理部门注册的有效 “企业法人营业执照”或“营业执照”；</w:t>
      </w:r>
    </w:p>
    <w:p w14:paraId="48B63CA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2、如供应商是事业单位，应提供有效的“事业单位法人证书”；</w:t>
      </w:r>
    </w:p>
    <w:p w14:paraId="3B31EA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3、如供应商是非企业专业服务机构的，应提供执业许可证等证明文件；</w:t>
      </w:r>
    </w:p>
    <w:p w14:paraId="33BC1E4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4、如供应商是个体工商户，应提供有效的“个体工商户营业执照”；</w:t>
      </w:r>
    </w:p>
    <w:p w14:paraId="548EB1D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5、如供应商是自然人，应提供有效的自然人身份证明。</w:t>
      </w:r>
    </w:p>
    <w:p w14:paraId="6801E4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ascii="宋体" w:hAnsi="宋体" w:eastAsia="宋体" w:cs="宋体"/>
          <w:color w:val="auto"/>
          <w:sz w:val="24"/>
          <w:highlight w:val="none"/>
        </w:rPr>
      </w:pPr>
      <w:r>
        <w:rPr>
          <w:rFonts w:hint="eastAsia" w:cs="宋体"/>
          <w:color w:val="auto"/>
          <w:sz w:val="24"/>
          <w:szCs w:val="24"/>
          <w:highlight w:val="none"/>
        </w:rPr>
        <w:t>注：所有证明文件须在有效期内，且主体名称与投标人名称一致。）</w:t>
      </w:r>
    </w:p>
    <w:p w14:paraId="0113E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86E2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0C53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AA63249">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9" w:name="_Toc28952"/>
      <w:r>
        <w:rPr>
          <w:rFonts w:hint="eastAsia" w:ascii="Times New Roman" w:hAnsi="Times New Roman" w:eastAsia="宋体" w:cs="宋体"/>
          <w:b/>
          <w:bCs/>
          <w:color w:val="auto"/>
          <w:sz w:val="24"/>
          <w:szCs w:val="24"/>
          <w:highlight w:val="none"/>
          <w:lang w:val="en-US" w:eastAsia="zh-CN"/>
        </w:rPr>
        <w:t>4.具有良好的商业信誉和健全的财务会计制度</w:t>
      </w:r>
      <w:bookmarkEnd w:id="399"/>
    </w:p>
    <w:p w14:paraId="387A7A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提供2024年度或2025年度财务报表/财务审计报告或提供其基本开户银行在投标截止日前六个月内出具的银行资信证明加盖投标人公章；新成立不满1年的企业无需提供</w:t>
      </w:r>
      <w:r>
        <w:rPr>
          <w:rFonts w:hint="eastAsia" w:ascii="宋体" w:hAnsi="宋体" w:eastAsia="宋体" w:cs="宋体"/>
          <w:b w:val="0"/>
          <w:bCs/>
          <w:color w:val="auto"/>
          <w:kern w:val="0"/>
          <w:sz w:val="24"/>
          <w:szCs w:val="24"/>
          <w:highlight w:val="none"/>
          <w:vertAlign w:val="baseline"/>
          <w:lang w:val="en-US" w:eastAsia="zh-CN" w:bidi="ar-SA"/>
        </w:rPr>
        <w:t>）</w:t>
      </w:r>
    </w:p>
    <w:p w14:paraId="1E236A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30D77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0014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19456B80">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049F63E4">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0" w:name="_Toc13302"/>
      <w:bookmarkStart w:id="401" w:name="_Toc21571"/>
      <w:r>
        <w:rPr>
          <w:rFonts w:hint="eastAsia" w:ascii="Times New Roman" w:hAnsi="Times New Roman" w:eastAsia="宋体" w:cs="宋体"/>
          <w:b/>
          <w:bCs/>
          <w:color w:val="auto"/>
          <w:sz w:val="24"/>
          <w:szCs w:val="24"/>
          <w:highlight w:val="none"/>
          <w:lang w:val="en-US" w:eastAsia="zh-CN"/>
        </w:rPr>
        <w:t>5.具有履行合同所必需的设备和专业技术能力</w:t>
      </w:r>
      <w:bookmarkEnd w:id="400"/>
      <w:bookmarkEnd w:id="401"/>
    </w:p>
    <w:p w14:paraId="4A120223">
      <w:pPr>
        <w:adjustRightInd w:val="0"/>
        <w:snapToGrid w:val="0"/>
        <w:spacing w:line="360" w:lineRule="auto"/>
        <w:jc w:val="center"/>
        <w:outlineLvl w:val="9"/>
        <w:rPr>
          <w:rFonts w:hint="eastAsia" w:ascii="宋体" w:hAnsi="宋体" w:cs="宋体"/>
          <w:b/>
          <w:bCs/>
          <w:sz w:val="24"/>
          <w:szCs w:val="24"/>
        </w:rPr>
      </w:pPr>
    </w:p>
    <w:p w14:paraId="71C7C711">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具有履行合同所必需的设备和专业技术能力声明函</w:t>
      </w:r>
    </w:p>
    <w:p w14:paraId="182CBB95">
      <w:pPr>
        <w:adjustRightInd w:val="0"/>
        <w:snapToGrid w:val="0"/>
        <w:spacing w:line="480" w:lineRule="auto"/>
        <w:rPr>
          <w:rFonts w:hint="eastAsia" w:ascii="宋体" w:hAnsi="宋体" w:cs="宋体"/>
          <w:sz w:val="24"/>
        </w:rPr>
      </w:pPr>
      <w:r>
        <w:rPr>
          <w:rFonts w:hint="eastAsia" w:ascii="宋体" w:hAnsi="宋体" w:cs="宋体"/>
          <w:i/>
          <w:iCs/>
          <w:sz w:val="24"/>
          <w:u w:val="single"/>
        </w:rPr>
        <w:t>（采购人/采购代理机构）</w:t>
      </w:r>
      <w:r>
        <w:rPr>
          <w:rFonts w:hint="eastAsia" w:ascii="宋体" w:hAnsi="宋体" w:cs="宋体"/>
          <w:sz w:val="24"/>
        </w:rPr>
        <w:t>：</w:t>
      </w:r>
    </w:p>
    <w:p w14:paraId="072505E5">
      <w:pPr>
        <w:autoSpaceDE w:val="0"/>
        <w:autoSpaceDN w:val="0"/>
        <w:adjustRightInd w:val="0"/>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我方参加贵单位组织的</w:t>
      </w:r>
      <w:r>
        <w:rPr>
          <w:rFonts w:hint="eastAsia" w:ascii="宋体" w:hAnsi="宋体" w:cs="宋体"/>
          <w:sz w:val="24"/>
          <w:szCs w:val="24"/>
          <w:u w:val="single"/>
        </w:rPr>
        <w:t xml:space="preserve"> </w:t>
      </w:r>
      <w:r>
        <w:rPr>
          <w:rFonts w:hint="eastAsia" w:cs="宋体"/>
          <w:i/>
          <w:iCs/>
          <w:sz w:val="24"/>
          <w:szCs w:val="24"/>
          <w:u w:val="single"/>
        </w:rPr>
        <w:t>（项目名称及项目编号）</w:t>
      </w:r>
      <w:r>
        <w:rPr>
          <w:rFonts w:hint="eastAsia" w:ascii="宋体" w:hAnsi="宋体" w:cs="宋体"/>
          <w:sz w:val="24"/>
          <w:szCs w:val="24"/>
          <w:u w:val="single"/>
        </w:rPr>
        <w:t xml:space="preserve"> </w:t>
      </w:r>
      <w:r>
        <w:rPr>
          <w:rFonts w:hint="eastAsia" w:ascii="宋体" w:hAnsi="宋体" w:cs="宋体"/>
          <w:sz w:val="24"/>
          <w:szCs w:val="24"/>
        </w:rPr>
        <w:t>采购活动，在此郑重声明：我公司具有履行合同所必需的设备和专业技术能力。如果我方违反上述声明内容，愿意承担由此导致的一切不利后果和法律责任。</w:t>
      </w:r>
    </w:p>
    <w:p w14:paraId="325FCF99">
      <w:pPr>
        <w:autoSpaceDE w:val="0"/>
        <w:autoSpaceDN w:val="0"/>
        <w:adjustRightInd w:val="0"/>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特此声明！</w:t>
      </w:r>
    </w:p>
    <w:p w14:paraId="604EFE0F">
      <w:pPr>
        <w:rPr>
          <w:rFonts w:hint="eastAsia" w:ascii="Times New Roman" w:hAnsi="Times New Roman" w:eastAsia="宋体" w:cs="宋体"/>
          <w:b/>
          <w:bCs/>
          <w:color w:val="auto"/>
          <w:sz w:val="24"/>
          <w:szCs w:val="24"/>
          <w:highlight w:val="none"/>
          <w:lang w:val="en-US" w:eastAsia="zh-CN"/>
        </w:rPr>
      </w:pPr>
    </w:p>
    <w:p w14:paraId="752E57D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0C46AF79">
      <w:pPr>
        <w:pStyle w:val="39"/>
        <w:ind w:firstLine="240"/>
        <w:outlineLvl w:val="9"/>
        <w:rPr>
          <w:rFonts w:hint="eastAsia" w:ascii="宋体" w:hAnsi="宋体" w:eastAsia="宋体" w:cs="宋体"/>
          <w:color w:val="auto"/>
          <w:highlight w:val="none"/>
        </w:rPr>
      </w:pPr>
    </w:p>
    <w:p w14:paraId="72C16AE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DEE5166">
      <w:pPr>
        <w:pStyle w:val="39"/>
        <w:ind w:firstLine="240"/>
        <w:outlineLvl w:val="9"/>
        <w:rPr>
          <w:rFonts w:hint="eastAsia" w:ascii="宋体" w:hAnsi="宋体" w:eastAsia="宋体" w:cs="宋体"/>
          <w:color w:val="auto"/>
          <w:highlight w:val="none"/>
        </w:rPr>
      </w:pPr>
    </w:p>
    <w:p w14:paraId="16D2DE20">
      <w:pPr>
        <w:pStyle w:val="39"/>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5EF375B5">
      <w:pPr>
        <w:rPr>
          <w:rFonts w:hint="eastAsia" w:ascii="Times New Roman" w:hAnsi="Times New Roman" w:eastAsia="宋体" w:cs="宋体"/>
          <w:b/>
          <w:bCs/>
          <w:color w:val="auto"/>
          <w:sz w:val="24"/>
          <w:szCs w:val="24"/>
          <w:highlight w:val="none"/>
          <w:lang w:val="en-US" w:eastAsia="zh-CN"/>
        </w:rPr>
      </w:pPr>
    </w:p>
    <w:p w14:paraId="654816BE">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备注：没有提供此项声明函的，视为未实质性响应采购文件要求，将按无效响应处理。</w:t>
      </w:r>
    </w:p>
    <w:p w14:paraId="22B92CC6">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8405BD1">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2" w:name="_Toc27355"/>
      <w:r>
        <w:rPr>
          <w:rFonts w:hint="eastAsia" w:cs="宋体"/>
          <w:b/>
          <w:bCs/>
          <w:color w:val="auto"/>
          <w:sz w:val="24"/>
          <w:szCs w:val="24"/>
          <w:highlight w:val="none"/>
          <w:lang w:val="en-US" w:eastAsia="zh-CN"/>
        </w:rPr>
        <w:t>6</w:t>
      </w:r>
      <w:r>
        <w:rPr>
          <w:rFonts w:hint="eastAsia" w:ascii="Times New Roman" w:hAnsi="Times New Roman" w:eastAsia="宋体" w:cs="宋体"/>
          <w:b/>
          <w:bCs/>
          <w:color w:val="auto"/>
          <w:sz w:val="24"/>
          <w:szCs w:val="24"/>
          <w:highlight w:val="none"/>
          <w:lang w:val="en-US" w:eastAsia="zh-CN"/>
        </w:rPr>
        <w:t>.有依法缴纳税收和社会保障资金的良好记录</w:t>
      </w:r>
      <w:bookmarkEnd w:id="402"/>
    </w:p>
    <w:p w14:paraId="45D50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rPr>
        <w:t>（提供近6个月内任意1个月的依法缴纳税收的完税证明和社保缴纳证明加盖投标人公章；投标人依法享受缓缴、免缴税收，免缴社会保障资金的提供证明材料加盖投标人公章</w:t>
      </w:r>
      <w:r>
        <w:rPr>
          <w:rFonts w:hint="eastAsia" w:ascii="宋体" w:hAnsi="宋体" w:eastAsia="宋体" w:cs="宋体"/>
          <w:b w:val="0"/>
          <w:bCs/>
          <w:color w:val="auto"/>
          <w:kern w:val="0"/>
          <w:sz w:val="24"/>
          <w:szCs w:val="24"/>
          <w:highlight w:val="none"/>
          <w:vertAlign w:val="baseline"/>
          <w:lang w:val="en-US" w:eastAsia="zh-CN" w:bidi="ar-SA"/>
        </w:rPr>
        <w:t>）</w:t>
      </w:r>
    </w:p>
    <w:p w14:paraId="5E450E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07BC85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7F0745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377D537">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3E4B0CE">
      <w:pPr>
        <w:pStyle w:val="4"/>
        <w:tabs>
          <w:tab w:val="left" w:pos="540"/>
        </w:tabs>
        <w:spacing w:line="360" w:lineRule="auto"/>
        <w:ind w:left="0" w:leftChars="0"/>
        <w:jc w:val="center"/>
        <w:rPr>
          <w:rFonts w:hint="eastAsia" w:cs="宋体"/>
          <w:sz w:val="24"/>
          <w:szCs w:val="24"/>
        </w:rPr>
      </w:pPr>
      <w:bookmarkStart w:id="403" w:name="_Toc20960"/>
      <w:bookmarkStart w:id="404" w:name="_Toc22858"/>
      <w:bookmarkStart w:id="405" w:name="_Toc22493"/>
      <w:bookmarkStart w:id="406" w:name="_Toc11814"/>
      <w:bookmarkStart w:id="407" w:name="_Toc6771"/>
      <w:bookmarkStart w:id="408" w:name="_Toc19446"/>
      <w:bookmarkStart w:id="409" w:name="_Toc21495"/>
      <w:bookmarkStart w:id="410" w:name="_Toc15767"/>
      <w:bookmarkStart w:id="411" w:name="_Toc1547"/>
      <w:bookmarkStart w:id="412" w:name="_Toc30856"/>
      <w:r>
        <w:rPr>
          <w:rFonts w:hint="eastAsia" w:cs="宋体"/>
          <w:sz w:val="24"/>
          <w:szCs w:val="24"/>
        </w:rPr>
        <w:t>7.参加政府采购活动前三年内，在经营活动中没有重大违法记录</w:t>
      </w:r>
      <w:bookmarkEnd w:id="403"/>
      <w:bookmarkEnd w:id="404"/>
      <w:bookmarkEnd w:id="405"/>
      <w:bookmarkEnd w:id="406"/>
      <w:bookmarkEnd w:id="407"/>
      <w:bookmarkEnd w:id="408"/>
      <w:bookmarkEnd w:id="409"/>
      <w:bookmarkEnd w:id="410"/>
      <w:bookmarkEnd w:id="411"/>
      <w:bookmarkEnd w:id="412"/>
    </w:p>
    <w:p w14:paraId="375FAC33">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前三年内没有重大违法记录声明函</w:t>
      </w:r>
    </w:p>
    <w:p w14:paraId="6C5DE070">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iCs/>
          <w:sz w:val="24"/>
          <w:u w:val="single"/>
        </w:rPr>
        <w:t>（采购人）</w:t>
      </w:r>
      <w:r>
        <w:rPr>
          <w:rFonts w:hint="eastAsia" w:asciiTheme="minorEastAsia" w:hAnsiTheme="minorEastAsia" w:eastAsiaTheme="minorEastAsia" w:cstheme="minorEastAsia"/>
          <w:sz w:val="24"/>
        </w:rPr>
        <w:t>：</w:t>
      </w:r>
    </w:p>
    <w:p w14:paraId="68782691">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shd w:val="clear" w:color="auto" w:fill="FFFFFF" w:themeFill="background1"/>
        </w:rPr>
      </w:pPr>
      <w:r>
        <w:rPr>
          <w:rFonts w:hint="eastAsia" w:asciiTheme="minorEastAsia" w:hAnsiTheme="minorEastAsia" w:eastAsiaTheme="minorEastAsia" w:cstheme="minorEastAsia"/>
          <w:kern w:val="0"/>
          <w:sz w:val="24"/>
          <w:szCs w:val="24"/>
          <w:shd w:val="clear" w:color="auto" w:fill="FFFFFF" w:themeFill="background1"/>
        </w:rPr>
        <w:t>我方参加贵单位组织的</w:t>
      </w:r>
      <w:r>
        <w:rPr>
          <w:rFonts w:hint="eastAsia" w:asciiTheme="minorEastAsia" w:hAnsiTheme="minorEastAsia" w:eastAsiaTheme="minorEastAsia" w:cstheme="minorEastAsia"/>
          <w:kern w:val="0"/>
          <w:sz w:val="24"/>
          <w:szCs w:val="24"/>
          <w:u w:val="single"/>
          <w:shd w:val="clear" w:color="auto" w:fill="FFFFFF" w:themeFill="background1"/>
        </w:rPr>
        <w:t xml:space="preserve">            </w:t>
      </w:r>
      <w:r>
        <w:rPr>
          <w:rFonts w:hint="eastAsia" w:asciiTheme="minorEastAsia" w:hAnsiTheme="minorEastAsia" w:eastAsiaTheme="minorEastAsia" w:cstheme="minorEastAsia"/>
          <w:sz w:val="24"/>
          <w:szCs w:val="24"/>
          <w:shd w:val="clear" w:color="auto" w:fill="FFFFFF" w:themeFill="background1"/>
        </w:rPr>
        <w:t>（</w:t>
      </w:r>
      <w:r>
        <w:rPr>
          <w:rFonts w:hint="eastAsia" w:asciiTheme="minorEastAsia" w:hAnsiTheme="minorEastAsia" w:eastAsiaTheme="minorEastAsia" w:cstheme="minorEastAsia"/>
          <w:kern w:val="0"/>
          <w:sz w:val="24"/>
          <w:szCs w:val="24"/>
          <w:shd w:val="clear" w:color="auto" w:fill="FFFFFF" w:themeFill="background1"/>
        </w:rPr>
        <w:t>项目名称及项目编号</w:t>
      </w:r>
      <w:r>
        <w:rPr>
          <w:rFonts w:hint="eastAsia" w:asciiTheme="minorEastAsia" w:hAnsiTheme="minorEastAsia" w:eastAsiaTheme="minorEastAsia" w:cstheme="minorEastAsia"/>
          <w:sz w:val="24"/>
          <w:szCs w:val="24"/>
          <w:shd w:val="clear" w:color="auto" w:fill="FFFFFF" w:themeFill="background1"/>
        </w:rPr>
        <w:t>）采购活动，</w:t>
      </w:r>
      <w:r>
        <w:rPr>
          <w:rFonts w:hint="eastAsia" w:asciiTheme="minorEastAsia" w:hAnsiTheme="minorEastAsia" w:eastAsiaTheme="minorEastAsia" w:cstheme="minorEastAsia"/>
          <w:kern w:val="0"/>
          <w:sz w:val="24"/>
          <w:szCs w:val="24"/>
          <w:shd w:val="clear" w:color="auto" w:fill="FFFFFF" w:themeFill="background1"/>
        </w:rPr>
        <w:t>前三年内（以</w:t>
      </w:r>
      <w:r>
        <w:rPr>
          <w:rFonts w:hint="eastAsia" w:asciiTheme="minorEastAsia" w:hAnsiTheme="minorEastAsia" w:eastAsiaTheme="minorEastAsia" w:cstheme="minorEastAsia"/>
          <w:sz w:val="24"/>
          <w:szCs w:val="24"/>
          <w:shd w:val="clear" w:color="auto" w:fill="FFFFFF" w:themeFill="background1"/>
        </w:rPr>
        <w:t>投标文件递交截止之日为期限</w:t>
      </w:r>
      <w:r>
        <w:rPr>
          <w:rFonts w:hint="eastAsia" w:asciiTheme="minorEastAsia" w:hAnsiTheme="minorEastAsia" w:eastAsiaTheme="minorEastAsia" w:cstheme="minorEastAsia"/>
          <w:kern w:val="0"/>
          <w:sz w:val="24"/>
          <w:szCs w:val="24"/>
          <w:shd w:val="clear" w:color="auto" w:fill="FFFFFF" w:themeFill="background1"/>
        </w:rPr>
        <w:t>）在经营活动中没有重大违法记录。</w:t>
      </w:r>
    </w:p>
    <w:p w14:paraId="646C6882">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kern w:val="0"/>
          <w:sz w:val="24"/>
          <w:szCs w:val="24"/>
          <w:shd w:val="clear" w:color="auto" w:fill="FFFFFF" w:themeFill="background1"/>
        </w:rPr>
        <w:t>我单位</w:t>
      </w:r>
      <w:r>
        <w:rPr>
          <w:rFonts w:hint="eastAsia" w:asciiTheme="minorEastAsia" w:hAnsiTheme="minorEastAsia" w:eastAsiaTheme="minorEastAsia" w:cstheme="minorEastAsia"/>
          <w:sz w:val="24"/>
          <w:szCs w:val="24"/>
          <w:shd w:val="clear" w:color="auto" w:fill="FFFFFF" w:themeFill="background1"/>
        </w:rPr>
        <w:t>将无条件退出本项目的投标，并承担因此引起的一切后果。我方对此声明负全部法律责任。</w:t>
      </w:r>
    </w:p>
    <w:p w14:paraId="2DF22948">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特此声明！</w:t>
      </w:r>
    </w:p>
    <w:p w14:paraId="3E2671C5">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63E75866">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3D3725FC">
      <w:pPr>
        <w:adjustRightInd w:val="0"/>
        <w:snapToGrid w:val="0"/>
        <w:spacing w:line="360" w:lineRule="auto"/>
        <w:ind w:firstLine="42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Cs w:val="24"/>
          <w:shd w:val="clear" w:color="auto" w:fill="FFFFFF" w:themeFill="background1"/>
        </w:rPr>
        <w:t>备注：若投标人在投标文件递交截止之日成立时间不足三年，以自成立以来的时间计取。</w:t>
      </w:r>
    </w:p>
    <w:p w14:paraId="07B901BA">
      <w:pPr>
        <w:pStyle w:val="15"/>
        <w:rPr>
          <w:rFonts w:hint="eastAsia" w:asciiTheme="minorEastAsia" w:hAnsiTheme="minorEastAsia" w:eastAsiaTheme="minorEastAsia" w:cstheme="minorEastAsia"/>
        </w:rPr>
      </w:pPr>
    </w:p>
    <w:p w14:paraId="5F83F37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4210815">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23FE944">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lang w:val="en-US" w:eastAsia="zh-CN"/>
        </w:rPr>
        <w:t>投标人</w:t>
      </w:r>
      <w:r>
        <w:rPr>
          <w:rFonts w:hint="eastAsia" w:asciiTheme="minorEastAsia" w:hAnsiTheme="minorEastAsia" w:eastAsiaTheme="minorEastAsia" w:cstheme="minorEastAsia"/>
          <w:kern w:val="0"/>
          <w:sz w:val="24"/>
          <w:szCs w:val="24"/>
        </w:rPr>
        <w:t>名称（公章）：</w:t>
      </w:r>
      <w:r>
        <w:rPr>
          <w:rFonts w:hint="eastAsia" w:asciiTheme="minorEastAsia" w:hAnsiTheme="minorEastAsia" w:eastAsiaTheme="minorEastAsia" w:cstheme="minorEastAsia"/>
          <w:kern w:val="0"/>
          <w:sz w:val="24"/>
          <w:szCs w:val="24"/>
          <w:u w:val="single"/>
        </w:rPr>
        <w:t xml:space="preserve">                     </w:t>
      </w:r>
    </w:p>
    <w:p w14:paraId="48E4B529">
      <w:pPr>
        <w:pStyle w:val="39"/>
        <w:adjustRightInd w:val="0"/>
        <w:snapToGrid w:val="0"/>
        <w:spacing w:after="0" w:line="360" w:lineRule="auto"/>
        <w:ind w:firstLine="210"/>
        <w:rPr>
          <w:rFonts w:hint="eastAsia" w:asciiTheme="minorEastAsia" w:hAnsiTheme="minorEastAsia" w:eastAsiaTheme="minorEastAsia" w:cstheme="minorEastAsia"/>
        </w:rPr>
      </w:pPr>
    </w:p>
    <w:p w14:paraId="0906CF79">
      <w:pPr>
        <w:adjustRightInd w:val="0"/>
        <w:snapToGrid w:val="0"/>
        <w:spacing w:line="360" w:lineRule="auto"/>
        <w:ind w:firstLine="480" w:firstLineChars="200"/>
        <w:rPr>
          <w:rFonts w:hint="eastAsia" w:ascii="宋体" w:hAnsi="宋体" w:cs="宋体"/>
          <w:kern w:val="0"/>
          <w:sz w:val="24"/>
          <w:szCs w:val="24"/>
          <w:u w:val="single"/>
        </w:rPr>
      </w:pPr>
      <w:r>
        <w:rPr>
          <w:rFonts w:hint="eastAsia" w:asciiTheme="minorEastAsia" w:hAnsiTheme="minorEastAsia" w:eastAsiaTheme="minorEastAsia" w:cstheme="minorEastAsia"/>
          <w:kern w:val="0"/>
          <w:sz w:val="24"/>
          <w:szCs w:val="24"/>
        </w:rPr>
        <w:t>法定代表人或委托代理人（</w:t>
      </w:r>
      <w:r>
        <w:rPr>
          <w:rFonts w:hint="eastAsia" w:asciiTheme="minorEastAsia" w:hAnsiTheme="minorEastAsia" w:eastAsiaTheme="minorEastAsia" w:cstheme="minorEastAsia"/>
          <w:kern w:val="0"/>
          <w:sz w:val="24"/>
          <w:szCs w:val="24"/>
          <w:lang w:eastAsia="zh-CN"/>
        </w:rPr>
        <w:t>签字</w:t>
      </w:r>
      <w:r>
        <w:rPr>
          <w:rFonts w:hint="eastAsia" w:asciiTheme="minorEastAsia" w:hAnsiTheme="minorEastAsia" w:eastAsiaTheme="minorEastAsia" w:cstheme="minorEastAsia"/>
          <w:kern w:val="0"/>
          <w:sz w:val="24"/>
          <w:szCs w:val="24"/>
        </w:rPr>
        <w:t>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655205CF">
      <w:pPr>
        <w:pStyle w:val="39"/>
        <w:adjustRightInd w:val="0"/>
        <w:snapToGrid w:val="0"/>
        <w:spacing w:after="0" w:line="360" w:lineRule="auto"/>
        <w:ind w:firstLine="210"/>
      </w:pPr>
    </w:p>
    <w:p w14:paraId="16B5C086">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5A7A4DA">
      <w:pPr>
        <w:adjustRightInd w:val="0"/>
        <w:snapToGrid w:val="0"/>
        <w:spacing w:line="360" w:lineRule="auto"/>
        <w:ind w:firstLine="480" w:firstLineChars="200"/>
        <w:rPr>
          <w:rFonts w:hint="eastAsia" w:ascii="宋体" w:hAnsi="宋体" w:cs="宋体"/>
          <w:sz w:val="24"/>
          <w:szCs w:val="24"/>
        </w:rPr>
      </w:pPr>
    </w:p>
    <w:p w14:paraId="1B6C26AD">
      <w:pPr>
        <w:adjustRightInd w:val="0"/>
        <w:snapToGrid w:val="0"/>
        <w:spacing w:line="360" w:lineRule="auto"/>
        <w:ind w:firstLine="480" w:firstLineChars="200"/>
        <w:rPr>
          <w:rFonts w:hint="eastAsia" w:ascii="宋体" w:hAnsi="宋体" w:cs="宋体"/>
          <w:sz w:val="24"/>
          <w:szCs w:val="24"/>
        </w:rPr>
      </w:pPr>
    </w:p>
    <w:p w14:paraId="1F146868">
      <w:pPr>
        <w:adjustRightInd w:val="0"/>
        <w:snapToGrid w:val="0"/>
        <w:spacing w:line="360" w:lineRule="auto"/>
        <w:ind w:firstLine="480" w:firstLineChars="200"/>
        <w:rPr>
          <w:rFonts w:hint="eastAsia" w:ascii="宋体" w:hAnsi="宋体" w:cs="宋体"/>
          <w:sz w:val="24"/>
          <w:szCs w:val="24"/>
        </w:rPr>
      </w:pPr>
    </w:p>
    <w:p w14:paraId="6CF6220A">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备注：没有提供此项声明函的，视为未实质性响应采购文件要求，将按无效响应处理。</w:t>
      </w:r>
    </w:p>
    <w:p w14:paraId="3984C5AE">
      <w:pPr>
        <w:adjustRightInd w:val="0"/>
        <w:snapToGrid w:val="0"/>
        <w:spacing w:line="360" w:lineRule="auto"/>
        <w:ind w:firstLine="480" w:firstLineChars="200"/>
        <w:rPr>
          <w:rFonts w:hint="eastAsia" w:ascii="宋体" w:hAnsi="宋体" w:cs="宋体"/>
          <w:sz w:val="24"/>
          <w:szCs w:val="24"/>
        </w:rPr>
      </w:pPr>
    </w:p>
    <w:p w14:paraId="1E7823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2553BE2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b/>
          <w:bCs/>
          <w:color w:val="auto"/>
          <w:sz w:val="24"/>
          <w:szCs w:val="24"/>
          <w:highlight w:val="none"/>
          <w:lang w:val="en-US" w:eastAsia="zh-CN"/>
        </w:rPr>
      </w:pPr>
      <w:bookmarkStart w:id="413" w:name="_Toc1490"/>
      <w:r>
        <w:rPr>
          <w:rFonts w:hint="eastAsia" w:ascii="宋体" w:hAnsi="宋体" w:eastAsia="宋体" w:cs="宋体"/>
          <w:color w:val="auto"/>
          <w:sz w:val="24"/>
          <w:szCs w:val="24"/>
          <w:highlight w:val="none"/>
          <w:lang w:val="en-US" w:eastAsia="zh-CN"/>
        </w:rPr>
        <w:br w:type="page"/>
      </w:r>
      <w:bookmarkStart w:id="414" w:name="_Toc2665"/>
      <w:r>
        <w:rPr>
          <w:rFonts w:hint="eastAsia" w:ascii="宋体" w:hAnsi="宋体" w:eastAsia="宋体" w:cs="宋体"/>
          <w:b/>
          <w:bCs/>
          <w:color w:val="auto"/>
          <w:sz w:val="24"/>
          <w:szCs w:val="24"/>
          <w:highlight w:val="none"/>
          <w:lang w:val="en-US" w:eastAsia="zh-CN"/>
        </w:rPr>
        <w:t>（二）落实政府采购政策需满足的资格要求</w:t>
      </w:r>
      <w:bookmarkEnd w:id="392"/>
      <w:bookmarkEnd w:id="413"/>
      <w:bookmarkEnd w:id="414"/>
    </w:p>
    <w:bookmarkEnd w:id="393"/>
    <w:p w14:paraId="32DA9C7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15" w:name="_Toc1546"/>
      <w:bookmarkStart w:id="416" w:name="_Toc22504"/>
      <w:bookmarkStart w:id="417" w:name="_Toc25529"/>
      <w:bookmarkStart w:id="418" w:name="_Toc18369"/>
      <w:bookmarkStart w:id="419" w:name="_Toc26737"/>
      <w:bookmarkStart w:id="420" w:name="_Toc9271"/>
      <w:r>
        <w:rPr>
          <w:rFonts w:hint="eastAsia" w:ascii="宋体" w:hAnsi="宋体" w:eastAsia="宋体" w:cs="宋体"/>
          <w:color w:val="auto"/>
          <w:sz w:val="24"/>
          <w:szCs w:val="24"/>
          <w:highlight w:val="none"/>
        </w:rPr>
        <w:t>中小企业声明函</w:t>
      </w:r>
      <w:bookmarkEnd w:id="415"/>
      <w:bookmarkEnd w:id="416"/>
      <w:bookmarkEnd w:id="417"/>
      <w:bookmarkEnd w:id="418"/>
      <w:bookmarkEnd w:id="419"/>
      <w:bookmarkEnd w:id="420"/>
    </w:p>
    <w:p w14:paraId="1093C8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i/>
          <w:iCs/>
          <w:color w:val="auto"/>
          <w:sz w:val="24"/>
          <w:szCs w:val="24"/>
          <w:highlight w:val="none"/>
          <w:u w:val="single"/>
          <w:lang w:eastAsia="zh-CN"/>
        </w:rPr>
        <w:t>）</w:t>
      </w:r>
      <w:r>
        <w:rPr>
          <w:rFonts w:hint="eastAsia" w:ascii="宋体" w:hAnsi="宋体" w:eastAsia="宋体" w:cs="宋体"/>
          <w:i/>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采购活动，</w:t>
      </w:r>
      <w:r>
        <w:rPr>
          <w:rFonts w:hint="eastAsia" w:ascii="宋体" w:hAnsi="宋体" w:cs="宋体"/>
          <w:color w:val="auto"/>
          <w:kern w:val="0"/>
          <w:sz w:val="24"/>
          <w:szCs w:val="24"/>
          <w:highlight w:val="none"/>
          <w:lang w:val="en-US" w:eastAsia="zh-CN" w:bidi="ar"/>
        </w:rPr>
        <w:t>服务全部由</w:t>
      </w:r>
      <w:r>
        <w:rPr>
          <w:rFonts w:hint="eastAsia" w:ascii="宋体" w:hAnsi="宋体" w:eastAsia="宋体" w:cs="宋体"/>
          <w:color w:val="auto"/>
          <w:kern w:val="0"/>
          <w:sz w:val="24"/>
          <w:szCs w:val="24"/>
          <w:highlight w:val="none"/>
          <w:lang w:bidi="ar"/>
        </w:rPr>
        <w:t>符合政策要求的中小企业</w:t>
      </w:r>
      <w:r>
        <w:rPr>
          <w:rFonts w:hint="eastAsia" w:ascii="宋体" w:hAnsi="宋体" w:eastAsia="宋体" w:cs="宋体"/>
          <w:color w:val="auto"/>
          <w:kern w:val="0"/>
          <w:sz w:val="24"/>
          <w:szCs w:val="24"/>
          <w:highlight w:val="none"/>
          <w:lang w:val="en-US" w:eastAsia="zh-CN" w:bidi="ar"/>
        </w:rPr>
        <w:t>承接</w:t>
      </w:r>
      <w:r>
        <w:rPr>
          <w:rFonts w:hint="eastAsia" w:ascii="宋体" w:hAnsi="宋体" w:eastAsia="宋体" w:cs="宋体"/>
          <w:color w:val="auto"/>
          <w:kern w:val="0"/>
          <w:sz w:val="24"/>
          <w:szCs w:val="24"/>
          <w:highlight w:val="none"/>
          <w:lang w:bidi="ar"/>
        </w:rPr>
        <w:t>。相关企业（含联合体中的中小企业、签订分包意向协议的中小企业）的具体情况如下：</w:t>
      </w:r>
    </w:p>
    <w:p w14:paraId="27FEC63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0DB62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692F09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w:t>
      </w:r>
    </w:p>
    <w:p w14:paraId="1874F08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24DFF00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402436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151DF0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74BAB2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5E2B2B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7BF015FE">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A9E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rPr>
      </w:pPr>
    </w:p>
    <w:p w14:paraId="02DBD3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lang w:val="en-US" w:eastAsia="zh-CN"/>
        </w:rPr>
      </w:pPr>
      <w:r>
        <w:rPr>
          <w:rFonts w:hint="eastAsia"/>
          <w:b/>
          <w:bCs/>
          <w:color w:val="auto"/>
          <w:sz w:val="24"/>
          <w:szCs w:val="24"/>
          <w:highlight w:val="none"/>
          <w:lang w:val="en-US" w:eastAsia="zh-CN"/>
        </w:rPr>
        <w:t>备注：从业人员、营业收入、资产总额填报上一年度数据，无上一年度数据的新成立企业可不填报。</w:t>
      </w:r>
    </w:p>
    <w:p w14:paraId="431EC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A8CBDCB">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21" w:name="_Toc5057"/>
      <w:bookmarkStart w:id="422" w:name="_Toc32475"/>
      <w:bookmarkStart w:id="423" w:name="_Toc28323"/>
      <w:bookmarkStart w:id="424" w:name="_Toc15161"/>
      <w:bookmarkStart w:id="425" w:name="_Toc26247"/>
      <w:bookmarkStart w:id="426" w:name="_Toc10136"/>
      <w:r>
        <w:rPr>
          <w:rFonts w:hint="eastAsia" w:ascii="宋体" w:hAnsi="宋体" w:eastAsia="宋体" w:cs="宋体"/>
          <w:color w:val="auto"/>
          <w:sz w:val="24"/>
          <w:szCs w:val="24"/>
          <w:highlight w:val="none"/>
          <w:lang w:eastAsia="zh-CN"/>
        </w:rPr>
        <w:br w:type="page"/>
      </w:r>
      <w:bookmarkStart w:id="427" w:name="_Toc1581"/>
      <w:r>
        <w:rPr>
          <w:rFonts w:hint="eastAsia" w:ascii="宋体" w:hAnsi="宋体" w:eastAsia="宋体" w:cs="宋体"/>
          <w:color w:val="auto"/>
          <w:sz w:val="24"/>
          <w:szCs w:val="24"/>
          <w:highlight w:val="none"/>
          <w:lang w:eastAsia="zh-CN"/>
        </w:rPr>
        <w:t>监狱企业声明函</w:t>
      </w:r>
      <w:bookmarkEnd w:id="421"/>
      <w:bookmarkEnd w:id="422"/>
      <w:bookmarkEnd w:id="423"/>
      <w:bookmarkEnd w:id="424"/>
      <w:bookmarkEnd w:id="425"/>
      <w:bookmarkEnd w:id="426"/>
      <w:bookmarkEnd w:id="427"/>
    </w:p>
    <w:p w14:paraId="5FB33B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（监狱企业适用）</w:t>
      </w:r>
    </w:p>
    <w:p w14:paraId="63B92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本公司郑重声明，根据《关于政府采购支持监狱企业发展有关问题的通知》（财库[2014]68号）的规定</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szCs w:val="24"/>
          <w:highlight w:val="none"/>
          <w:lang w:val="en-US" w:eastAsia="zh-CN" w:bidi="ar"/>
        </w:rPr>
        <w:t>（请进行勾选）</w:t>
      </w:r>
    </w:p>
    <w:p w14:paraId="794004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本公司是监狱企业，且</w:t>
      </w:r>
      <w:r>
        <w:rPr>
          <w:rFonts w:hint="eastAsia" w:ascii="宋体" w:hAnsi="宋体" w:eastAsia="宋体" w:cs="宋体"/>
          <w:color w:val="auto"/>
          <w:kern w:val="0"/>
          <w:sz w:val="24"/>
          <w:szCs w:val="24"/>
          <w:highlight w:val="none"/>
          <w:lang w:val="en-US" w:eastAsia="zh-CN" w:bidi="ar"/>
        </w:rPr>
        <w:t>本公司参加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采购活动提供本公司制造的货物（由本公司承担工程/提供服务）；</w:t>
      </w:r>
    </w:p>
    <w:p w14:paraId="278582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本公司不是监狱企业，但本</w:t>
      </w:r>
      <w:r>
        <w:rPr>
          <w:rFonts w:hint="eastAsia" w:ascii="宋体" w:hAnsi="宋体" w:eastAsia="宋体" w:cs="宋体"/>
          <w:color w:val="auto"/>
          <w:kern w:val="0"/>
          <w:sz w:val="24"/>
          <w:szCs w:val="24"/>
          <w:highlight w:val="none"/>
          <w:lang w:val="en-US" w:eastAsia="zh-CN" w:bidi="ar"/>
        </w:rPr>
        <w:t>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采购活动提供的货物均为监狱企业制造（不包括使用监狱企业注册商标的货物）。</w:t>
      </w:r>
    </w:p>
    <w:p w14:paraId="71E554F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highlight w:val="none"/>
        </w:rPr>
        <w:t>本公司对上述声明的真实性负责。如有虚假，将依法承担相应责任。</w:t>
      </w:r>
    </w:p>
    <w:p w14:paraId="30898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1B6EC25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7BB58D06">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4D59DF4A">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410D321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56D65CF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29A1B141">
      <w:pPr>
        <w:pageBreakBefore w:val="0"/>
        <w:tabs>
          <w:tab w:val="left" w:pos="2880"/>
        </w:tabs>
        <w:kinsoku/>
        <w:wordWrap/>
        <w:overflowPunct/>
        <w:topLinePunct w:val="0"/>
        <w:autoSpaceDE/>
        <w:autoSpaceDN/>
        <w:bidi w:val="0"/>
        <w:spacing w:line="360" w:lineRule="auto"/>
        <w:ind w:firstLine="569" w:firstLineChars="236"/>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475E9F58">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28" w:name="_Toc23744"/>
      <w:bookmarkStart w:id="429" w:name="_Toc24927"/>
      <w:bookmarkStart w:id="430" w:name="_Toc16600"/>
      <w:bookmarkStart w:id="431" w:name="_Toc1541"/>
      <w:bookmarkStart w:id="432" w:name="_Toc13689"/>
      <w:bookmarkStart w:id="433" w:name="_Toc28887"/>
      <w:bookmarkStart w:id="434" w:name="_Toc18784"/>
      <w:bookmarkStart w:id="435" w:name="_Toc31769"/>
      <w:r>
        <w:rPr>
          <w:rFonts w:hint="eastAsia" w:ascii="宋体" w:hAnsi="宋体" w:eastAsia="宋体" w:cs="宋体"/>
          <w:color w:val="auto"/>
          <w:sz w:val="24"/>
          <w:szCs w:val="24"/>
          <w:highlight w:val="none"/>
        </w:rPr>
        <w:br w:type="page"/>
      </w:r>
      <w:bookmarkStart w:id="436" w:name="_Toc4522"/>
      <w:r>
        <w:rPr>
          <w:rFonts w:hint="eastAsia" w:ascii="宋体" w:hAnsi="宋体" w:eastAsia="宋体" w:cs="宋体"/>
          <w:color w:val="auto"/>
          <w:sz w:val="24"/>
          <w:szCs w:val="24"/>
          <w:highlight w:val="none"/>
        </w:rPr>
        <w:t>残疾人福利性单位声明函</w:t>
      </w:r>
      <w:bookmarkEnd w:id="428"/>
      <w:bookmarkEnd w:id="429"/>
      <w:bookmarkEnd w:id="430"/>
      <w:bookmarkEnd w:id="431"/>
      <w:bookmarkEnd w:id="432"/>
      <w:bookmarkEnd w:id="433"/>
      <w:bookmarkEnd w:id="436"/>
    </w:p>
    <w:p w14:paraId="16F1EB7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rPr>
        <w:t>残疾人福利性单位</w:t>
      </w:r>
      <w:r>
        <w:rPr>
          <w:rFonts w:hint="eastAsia" w:ascii="宋体" w:hAnsi="宋体" w:eastAsia="宋体" w:cs="宋体"/>
          <w:color w:val="auto"/>
          <w:kern w:val="0"/>
          <w:sz w:val="24"/>
          <w:highlight w:val="none"/>
        </w:rPr>
        <w:t>适用）</w:t>
      </w:r>
    </w:p>
    <w:p w14:paraId="73BAD5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采购活动提供本单位制造的货物（由本单位承担工程/提供服务），或者提供其他残疾人福利性单位制造的货物（不包括使用非残疾人福利性单位注册商标的货物）。</w:t>
      </w:r>
    </w:p>
    <w:p w14:paraId="08AA5A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6F86334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01228FF7">
      <w:pPr>
        <w:pStyle w:val="39"/>
        <w:keepNext w:val="0"/>
        <w:keepLines w:val="0"/>
        <w:pageBreakBefore w:val="0"/>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color w:val="auto"/>
          <w:highlight w:val="none"/>
        </w:rPr>
      </w:pPr>
    </w:p>
    <w:p w14:paraId="7816BAF1">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5179195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单位</w:t>
      </w:r>
      <w:r>
        <w:rPr>
          <w:rFonts w:hint="eastAsia" w:ascii="宋体" w:hAnsi="宋体" w:eastAsia="宋体" w:cs="宋体"/>
          <w:color w:val="auto"/>
          <w:kern w:val="0"/>
          <w:sz w:val="24"/>
          <w:szCs w:val="24"/>
          <w:highlight w:val="none"/>
          <w:lang w:bidi="ar"/>
        </w:rPr>
        <w:t>名称（盖章）：</w:t>
      </w:r>
    </w:p>
    <w:p w14:paraId="00FB89A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144A9F6">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30"/>
          <w:szCs w:val="30"/>
          <w:highlight w:val="none"/>
        </w:rPr>
      </w:pPr>
    </w:p>
    <w:p w14:paraId="0A096AAA">
      <w:pPr>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330973C8">
      <w:pPr>
        <w:pageBreakBefore w:val="0"/>
        <w:kinsoku/>
        <w:wordWrap/>
        <w:overflowPunct/>
        <w:topLinePunct w:val="0"/>
        <w:autoSpaceDE/>
        <w:autoSpaceDN/>
        <w:bidi w:val="0"/>
        <w:spacing w:line="400" w:lineRule="exact"/>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bookmarkStart w:id="437" w:name="_Toc23700"/>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bookmarkEnd w:id="434"/>
      <w:bookmarkEnd w:id="435"/>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保证金</w:t>
      </w:r>
      <w:bookmarkEnd w:id="437"/>
    </w:p>
    <w:p w14:paraId="789485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保证金</w:t>
      </w:r>
      <w:r>
        <w:rPr>
          <w:rFonts w:hint="eastAsia" w:ascii="宋体" w:hAnsi="宋体" w:eastAsia="宋体" w:cs="宋体"/>
          <w:color w:val="auto"/>
          <w:sz w:val="24"/>
          <w:highlight w:val="none"/>
        </w:rPr>
        <w:t>缴纳凭证截图</w:t>
      </w:r>
      <w:r>
        <w:rPr>
          <w:rFonts w:hint="eastAsia" w:ascii="宋体" w:hAnsi="宋体" w:eastAsia="宋体" w:cs="宋体"/>
          <w:color w:val="auto"/>
          <w:sz w:val="24"/>
          <w:highlight w:val="none"/>
          <w:lang w:eastAsia="zh-CN"/>
        </w:rPr>
        <w:t>或回单</w:t>
      </w:r>
      <w:r>
        <w:rPr>
          <w:rFonts w:hint="eastAsia" w:ascii="宋体" w:hAnsi="宋体" w:eastAsia="宋体" w:cs="宋体"/>
          <w:color w:val="auto"/>
          <w:sz w:val="24"/>
          <w:highlight w:val="none"/>
        </w:rPr>
        <w:t>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color w:val="auto"/>
          <w:sz w:val="24"/>
          <w:highlight w:val="none"/>
        </w:rPr>
        <w:t>公章）</w:t>
      </w:r>
    </w:p>
    <w:p w14:paraId="2DE790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38" w:name="_Toc6661"/>
      <w:bookmarkStart w:id="439" w:name="_Toc13335"/>
    </w:p>
    <w:p w14:paraId="7CBACB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74DF47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128E2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C302B0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F4C93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B1357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A2E4A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137CAE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5300B0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40129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7D764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3A24D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AE5563D">
      <w:pPr>
        <w:pageBreakBefore w:val="0"/>
        <w:kinsoku/>
        <w:wordWrap/>
        <w:overflowPunct/>
        <w:topLinePunct w:val="0"/>
        <w:autoSpaceDE/>
        <w:autoSpaceDN/>
        <w:bidi w:val="0"/>
        <w:spacing w:line="400" w:lineRule="exact"/>
        <w:jc w:val="center"/>
        <w:textAlignment w:val="auto"/>
        <w:outlineLvl w:val="2"/>
        <w:rPr>
          <w:rFonts w:hint="default" w:ascii="宋体" w:hAnsi="宋体" w:eastAsia="宋体" w:cs="宋体"/>
          <w:b/>
          <w:bCs/>
          <w:color w:val="auto"/>
          <w:sz w:val="24"/>
          <w:szCs w:val="24"/>
          <w:highlight w:val="none"/>
          <w:lang w:val="en-US" w:eastAsia="zh-CN"/>
        </w:rPr>
      </w:pPr>
      <w:bookmarkStart w:id="440" w:name="_Toc8551"/>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本项目特定资格要求</w:t>
      </w:r>
      <w:bookmarkEnd w:id="440"/>
    </w:p>
    <w:p w14:paraId="6B7213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rPr>
        <w:t>（提供相关资质证明材料并加盖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cs="宋体"/>
          <w:color w:val="auto"/>
          <w:sz w:val="24"/>
          <w:highlight w:val="none"/>
        </w:rPr>
        <w:t>公章）</w:t>
      </w:r>
    </w:p>
    <w:p w14:paraId="3F793FD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bookmarkEnd w:id="438"/>
      <w:bookmarkEnd w:id="439"/>
      <w:bookmarkStart w:id="441" w:name="_Toc22826"/>
      <w:bookmarkStart w:id="442" w:name="_Toc11027"/>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bookmarkEnd w:id="360"/>
      <w:bookmarkEnd w:id="376"/>
      <w:bookmarkEnd w:id="377"/>
      <w:bookmarkEnd w:id="441"/>
      <w:bookmarkEnd w:id="442"/>
      <w:bookmarkStart w:id="443" w:name="_Toc29772"/>
      <w:bookmarkStart w:id="444" w:name="_Toc19064"/>
      <w:bookmarkStart w:id="445" w:name="_Toc29193"/>
    </w:p>
    <w:p w14:paraId="41E01BD2">
      <w:pPr>
        <w:jc w:val="center"/>
        <w:outlineLvl w:val="2"/>
        <w:rPr>
          <w:rFonts w:hint="eastAsia" w:ascii="宋体" w:hAnsi="宋体" w:eastAsia="宋体" w:cs="宋体"/>
          <w:color w:val="auto"/>
          <w:sz w:val="24"/>
          <w:szCs w:val="24"/>
          <w:highlight w:val="none"/>
          <w:lang w:eastAsia="zh-CN"/>
        </w:rPr>
      </w:pPr>
      <w:bookmarkStart w:id="446" w:name="_Toc31323"/>
      <w:bookmarkStart w:id="447" w:name="_Toc10625"/>
      <w:bookmarkStart w:id="448" w:name="_Toc9625"/>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lang w:eastAsia="zh-CN"/>
        </w:rPr>
        <w:t>一览表</w:t>
      </w:r>
      <w:bookmarkEnd w:id="446"/>
      <w:bookmarkEnd w:id="447"/>
      <w:bookmarkEnd w:id="448"/>
    </w:p>
    <w:p w14:paraId="4FF5475A">
      <w:pPr>
        <w:jc w:val="both"/>
        <w:outlineLvl w:val="9"/>
        <w:rPr>
          <w:rFonts w:hint="eastAsia" w:ascii="宋体" w:hAnsi="宋体" w:eastAsia="宋体" w:cs="宋体"/>
          <w:color w:val="auto"/>
          <w:sz w:val="24"/>
          <w:highlight w:val="none"/>
        </w:rPr>
      </w:pPr>
    </w:p>
    <w:p w14:paraId="48655629">
      <w:pPr>
        <w:jc w:val="both"/>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新疆西昆仑地区地质勘查服务采购项目</w:t>
      </w:r>
    </w:p>
    <w:p w14:paraId="727EA480">
      <w:pPr>
        <w:jc w:val="both"/>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ZTQ-2026041</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599"/>
      </w:tblGrid>
      <w:tr w14:paraId="02E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40" w:type="dxa"/>
            <w:noWrap w:val="0"/>
            <w:vAlign w:val="center"/>
          </w:tcPr>
          <w:p w14:paraId="13486D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p w14:paraId="7EB8B4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7599" w:type="dxa"/>
            <w:noWrap w:val="0"/>
            <w:vAlign w:val="center"/>
          </w:tcPr>
          <w:p w14:paraId="7AFE859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 xml:space="preserve">                              </w:t>
            </w:r>
          </w:p>
          <w:p w14:paraId="3E6284C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u w:val="single"/>
                <w:lang w:val="en-US" w:eastAsia="zh-CN"/>
              </w:rPr>
              <w:t xml:space="preserve">                              </w:t>
            </w:r>
          </w:p>
        </w:tc>
      </w:tr>
      <w:tr w14:paraId="523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18AEB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7599" w:type="dxa"/>
            <w:noWrap w:val="0"/>
            <w:vAlign w:val="center"/>
          </w:tcPr>
          <w:p w14:paraId="6EA852D2">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2"/>
                <w:highlight w:val="none"/>
                <w:lang w:val="en-US" w:eastAsia="zh-CN"/>
              </w:rPr>
            </w:pPr>
          </w:p>
        </w:tc>
      </w:tr>
      <w:tr w14:paraId="26B7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78D81A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p>
        </w:tc>
        <w:tc>
          <w:tcPr>
            <w:tcW w:w="7599" w:type="dxa"/>
            <w:noWrap w:val="0"/>
            <w:vAlign w:val="center"/>
          </w:tcPr>
          <w:p w14:paraId="15B94762">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自签订合同之日起至2026年11月止</w:t>
            </w:r>
          </w:p>
        </w:tc>
      </w:tr>
      <w:tr w14:paraId="78ED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78E613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4"/>
                <w:highlight w:val="none"/>
                <w:lang w:val="en-US" w:eastAsia="zh-CN" w:bidi="ar-SA"/>
              </w:rPr>
              <w:t>质量等级标准</w:t>
            </w:r>
          </w:p>
        </w:tc>
        <w:tc>
          <w:tcPr>
            <w:tcW w:w="7599" w:type="dxa"/>
            <w:noWrap w:val="0"/>
            <w:vAlign w:val="center"/>
          </w:tcPr>
          <w:p w14:paraId="2E065FE5">
            <w:pPr>
              <w:pStyle w:val="3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outlineLvl w:val="9"/>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0067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940" w:type="dxa"/>
            <w:noWrap w:val="0"/>
            <w:vAlign w:val="center"/>
          </w:tcPr>
          <w:p w14:paraId="514317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599" w:type="dxa"/>
            <w:noWrap w:val="0"/>
            <w:vAlign w:val="center"/>
          </w:tcPr>
          <w:p w14:paraId="1AF4479E">
            <w:pPr>
              <w:pStyle w:val="3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color w:val="auto"/>
                <w:highlight w:val="none"/>
                <w:lang w:eastAsia="zh-CN"/>
              </w:rPr>
            </w:pPr>
            <w:r>
              <w:rPr>
                <w:rFonts w:hint="eastAsia" w:ascii="宋体" w:hAnsi="宋体" w:eastAsia="宋体" w:cs="宋体"/>
                <w:color w:val="auto"/>
                <w:sz w:val="24"/>
                <w:highlight w:val="none"/>
                <w:lang w:val="en-US" w:eastAsia="zh-CN"/>
              </w:rPr>
              <w:t>本项目投标报价</w:t>
            </w:r>
            <w:r>
              <w:rPr>
                <w:rFonts w:hint="eastAsia" w:ascii="宋体" w:hAnsi="宋体" w:eastAsia="宋体" w:cs="宋体"/>
                <w:sz w:val="24"/>
                <w:szCs w:val="24"/>
              </w:rPr>
              <w:t>为各分项单价与工作量乘积之和，包含本项目全部费用，采购人无需另行支付任何其他费用</w:t>
            </w:r>
            <w:r>
              <w:rPr>
                <w:rFonts w:hint="eastAsia" w:ascii="宋体" w:hAnsi="宋体" w:eastAsia="宋体" w:cs="宋体"/>
                <w:color w:val="auto"/>
                <w:sz w:val="24"/>
                <w:highlight w:val="none"/>
                <w:lang w:val="en-US" w:eastAsia="zh-CN"/>
              </w:rPr>
              <w:t>。</w:t>
            </w:r>
          </w:p>
        </w:tc>
      </w:tr>
    </w:tbl>
    <w:p w14:paraId="25AFCA61">
      <w:pPr>
        <w:tabs>
          <w:tab w:val="left" w:pos="9135"/>
        </w:tabs>
        <w:spacing w:line="400" w:lineRule="atLeast"/>
        <w:outlineLvl w:val="9"/>
        <w:rPr>
          <w:rFonts w:hint="eastAsia" w:ascii="宋体" w:hAnsi="宋体" w:eastAsia="宋体" w:cs="宋体"/>
          <w:color w:val="auto"/>
          <w:sz w:val="24"/>
          <w:highlight w:val="none"/>
        </w:rPr>
      </w:pPr>
    </w:p>
    <w:p w14:paraId="63A47D54">
      <w:pPr>
        <w:tabs>
          <w:tab w:val="left" w:pos="9135"/>
        </w:tabs>
        <w:spacing w:line="40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报价一经涂改，应在涂改处加盖单位公章或者由法定代表人或授权委托人签字或盖章，否则其</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作无效处理。</w:t>
      </w:r>
    </w:p>
    <w:p w14:paraId="01D8B4D5">
      <w:pPr>
        <w:tabs>
          <w:tab w:val="left" w:pos="9135"/>
        </w:tabs>
        <w:spacing w:line="400" w:lineRule="atLeas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2.“投标报价”为投标总价。</w:t>
      </w:r>
    </w:p>
    <w:p w14:paraId="164A7A13">
      <w:pPr>
        <w:tabs>
          <w:tab w:val="left" w:pos="9135"/>
        </w:tabs>
        <w:spacing w:line="400" w:lineRule="atLeast"/>
        <w:outlineLvl w:val="9"/>
        <w:rPr>
          <w:rFonts w:hint="eastAsia" w:ascii="宋体" w:hAnsi="宋体" w:eastAsia="宋体" w:cs="宋体"/>
          <w:color w:val="auto"/>
          <w:sz w:val="24"/>
          <w:highlight w:val="none"/>
        </w:rPr>
      </w:pPr>
    </w:p>
    <w:p w14:paraId="0CD8FE59">
      <w:pPr>
        <w:tabs>
          <w:tab w:val="left" w:pos="9135"/>
        </w:tabs>
        <w:spacing w:line="400" w:lineRule="atLeast"/>
        <w:outlineLvl w:val="9"/>
        <w:rPr>
          <w:rFonts w:hint="eastAsia" w:ascii="宋体" w:hAnsi="宋体" w:eastAsia="宋体" w:cs="宋体"/>
          <w:color w:val="auto"/>
          <w:sz w:val="24"/>
          <w:highlight w:val="none"/>
        </w:rPr>
      </w:pPr>
    </w:p>
    <w:p w14:paraId="2378E1E4">
      <w:pPr>
        <w:tabs>
          <w:tab w:val="left" w:pos="9135"/>
        </w:tabs>
        <w:spacing w:line="400" w:lineRule="atLeast"/>
        <w:outlineLvl w:val="9"/>
        <w:rPr>
          <w:rFonts w:hint="eastAsia" w:ascii="宋体" w:hAnsi="宋体" w:eastAsia="宋体" w:cs="宋体"/>
          <w:color w:val="auto"/>
          <w:sz w:val="24"/>
          <w:highlight w:val="none"/>
        </w:rPr>
      </w:pPr>
    </w:p>
    <w:p w14:paraId="48CA531A">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40A25571">
      <w:pPr>
        <w:pStyle w:val="39"/>
        <w:ind w:firstLine="240"/>
        <w:outlineLvl w:val="9"/>
        <w:rPr>
          <w:rFonts w:hint="eastAsia" w:ascii="宋体" w:hAnsi="宋体" w:eastAsia="宋体" w:cs="宋体"/>
          <w:color w:val="auto"/>
          <w:highlight w:val="none"/>
        </w:rPr>
      </w:pPr>
    </w:p>
    <w:p w14:paraId="554A0924">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C639C3A">
      <w:pPr>
        <w:pStyle w:val="39"/>
        <w:ind w:firstLine="240"/>
        <w:outlineLvl w:val="9"/>
        <w:rPr>
          <w:rFonts w:hint="eastAsia" w:ascii="宋体" w:hAnsi="宋体" w:eastAsia="宋体" w:cs="宋体"/>
          <w:color w:val="auto"/>
          <w:highlight w:val="none"/>
        </w:rPr>
      </w:pPr>
    </w:p>
    <w:p w14:paraId="48E68E67">
      <w:pPr>
        <w:pStyle w:val="39"/>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10C81D82">
      <w:pPr>
        <w:rPr>
          <w:rFonts w:hint="eastAsia" w:eastAsia="宋体"/>
          <w:color w:val="auto"/>
          <w:sz w:val="24"/>
          <w:szCs w:val="24"/>
          <w:highlight w:val="none"/>
          <w:lang w:eastAsia="zh-CN"/>
        </w:rPr>
      </w:pPr>
      <w:bookmarkStart w:id="449" w:name="_Toc20633"/>
      <w:bookmarkStart w:id="450" w:name="_Toc30248"/>
      <w:bookmarkStart w:id="451" w:name="_Toc12415"/>
      <w:r>
        <w:rPr>
          <w:rFonts w:hint="eastAsia" w:eastAsia="宋体"/>
          <w:color w:val="auto"/>
          <w:sz w:val="24"/>
          <w:szCs w:val="24"/>
          <w:highlight w:val="none"/>
          <w:lang w:eastAsia="zh-CN"/>
        </w:rPr>
        <w:br w:type="page"/>
      </w:r>
    </w:p>
    <w:p w14:paraId="3B576A5D">
      <w:pPr>
        <w:jc w:val="center"/>
        <w:outlineLvl w:val="2"/>
        <w:rPr>
          <w:rFonts w:hint="default" w:ascii="宋体" w:hAnsi="宋体" w:eastAsia="宋体" w:cs="宋体"/>
          <w:color w:val="auto"/>
          <w:sz w:val="24"/>
          <w:szCs w:val="24"/>
          <w:highlight w:val="none"/>
          <w:lang w:val="en-US" w:eastAsia="zh-CN"/>
        </w:rPr>
      </w:pPr>
      <w:bookmarkStart w:id="452" w:name="_Toc27598"/>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报价明细表</w:t>
      </w:r>
      <w:bookmarkEnd w:id="452"/>
    </w:p>
    <w:p w14:paraId="2943F8ED">
      <w:pPr>
        <w:tabs>
          <w:tab w:val="left" w:pos="9135"/>
        </w:tabs>
        <w:spacing w:line="400" w:lineRule="atLeast"/>
        <w:outlineLvl w:val="9"/>
        <w:rPr>
          <w:rFonts w:hint="eastAsia" w:ascii="宋体" w:hAnsi="宋体" w:eastAsia="宋体" w:cs="宋体"/>
          <w:color w:val="auto"/>
          <w:sz w:val="24"/>
          <w:highlight w:val="none"/>
        </w:rPr>
      </w:pPr>
    </w:p>
    <w:p w14:paraId="5389D21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0F5DC46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41"/>
        <w:tblW w:w="10008"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240"/>
        <w:gridCol w:w="1695"/>
        <w:gridCol w:w="1440"/>
        <w:gridCol w:w="1689"/>
        <w:gridCol w:w="1537"/>
        <w:gridCol w:w="1233"/>
      </w:tblGrid>
      <w:tr w14:paraId="325A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6B91E7C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序号</w:t>
            </w:r>
          </w:p>
        </w:tc>
        <w:tc>
          <w:tcPr>
            <w:tcW w:w="1240" w:type="dxa"/>
            <w:noWrap w:val="0"/>
            <w:vAlign w:val="center"/>
          </w:tcPr>
          <w:p w14:paraId="6ACE9C8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勘查分区</w:t>
            </w:r>
          </w:p>
        </w:tc>
        <w:tc>
          <w:tcPr>
            <w:tcW w:w="1695" w:type="dxa"/>
            <w:noWrap w:val="0"/>
            <w:vAlign w:val="center"/>
          </w:tcPr>
          <w:p w14:paraId="3137AFB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服务名称</w:t>
            </w:r>
          </w:p>
        </w:tc>
        <w:tc>
          <w:tcPr>
            <w:tcW w:w="1440" w:type="dxa"/>
            <w:noWrap w:val="0"/>
            <w:vAlign w:val="center"/>
          </w:tcPr>
          <w:p w14:paraId="5DB2DC1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1689" w:type="dxa"/>
            <w:noWrap w:val="0"/>
            <w:vAlign w:val="center"/>
          </w:tcPr>
          <w:p w14:paraId="3E4598E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单价</w:t>
            </w:r>
            <w:r>
              <w:rPr>
                <w:rFonts w:hint="eastAsia" w:ascii="宋体" w:hAnsi="宋体" w:eastAsia="宋体" w:cs="宋体"/>
                <w:color w:val="auto"/>
                <w:sz w:val="24"/>
                <w:szCs w:val="24"/>
                <w:highlight w:val="none"/>
                <w:vertAlign w:val="baseline"/>
                <w:lang w:val="en-US" w:eastAsia="zh-CN"/>
              </w:rPr>
              <w:t>（元）</w:t>
            </w:r>
          </w:p>
        </w:tc>
        <w:tc>
          <w:tcPr>
            <w:tcW w:w="1537" w:type="dxa"/>
            <w:noWrap w:val="0"/>
            <w:vAlign w:val="center"/>
          </w:tcPr>
          <w:p w14:paraId="270FBD0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工作量</w:t>
            </w:r>
          </w:p>
        </w:tc>
        <w:tc>
          <w:tcPr>
            <w:tcW w:w="1233" w:type="dxa"/>
            <w:noWrap w:val="0"/>
            <w:vAlign w:val="top"/>
          </w:tcPr>
          <w:p w14:paraId="2DCF3CD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总价（元）</w:t>
            </w:r>
          </w:p>
        </w:tc>
      </w:tr>
      <w:tr w14:paraId="59F8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6DCCEAE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40" w:type="dxa"/>
            <w:vMerge w:val="restart"/>
            <w:noWrap w:val="0"/>
            <w:vAlign w:val="center"/>
          </w:tcPr>
          <w:p w14:paraId="5044231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A区</w:t>
            </w:r>
          </w:p>
        </w:tc>
        <w:tc>
          <w:tcPr>
            <w:tcW w:w="1695" w:type="dxa"/>
            <w:noWrap w:val="0"/>
            <w:vAlign w:val="center"/>
          </w:tcPr>
          <w:p w14:paraId="320AEBA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440" w:type="dxa"/>
            <w:noWrap w:val="0"/>
            <w:vAlign w:val="center"/>
          </w:tcPr>
          <w:p w14:paraId="12BE385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689" w:type="dxa"/>
            <w:noWrap w:val="0"/>
            <w:vAlign w:val="center"/>
          </w:tcPr>
          <w:p w14:paraId="34B8CFD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670CB01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200</w:t>
            </w:r>
          </w:p>
        </w:tc>
        <w:tc>
          <w:tcPr>
            <w:tcW w:w="1233" w:type="dxa"/>
            <w:noWrap w:val="0"/>
            <w:vAlign w:val="center"/>
          </w:tcPr>
          <w:p w14:paraId="404B0F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7C58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571E2D6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1240" w:type="dxa"/>
            <w:vMerge w:val="continue"/>
            <w:noWrap w:val="0"/>
            <w:vAlign w:val="center"/>
          </w:tcPr>
          <w:p w14:paraId="232BD3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695" w:type="dxa"/>
            <w:noWrap w:val="0"/>
            <w:vAlign w:val="center"/>
          </w:tcPr>
          <w:p w14:paraId="13F89AF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440" w:type="dxa"/>
            <w:noWrap w:val="0"/>
            <w:vAlign w:val="center"/>
          </w:tcPr>
          <w:p w14:paraId="1F27227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689" w:type="dxa"/>
            <w:noWrap w:val="0"/>
            <w:vAlign w:val="center"/>
          </w:tcPr>
          <w:p w14:paraId="42E78B8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57784D6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350</w:t>
            </w:r>
          </w:p>
        </w:tc>
        <w:tc>
          <w:tcPr>
            <w:tcW w:w="1233" w:type="dxa"/>
            <w:noWrap w:val="0"/>
            <w:vAlign w:val="center"/>
          </w:tcPr>
          <w:p w14:paraId="3710492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45A7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67814FD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w:t>
            </w:r>
          </w:p>
        </w:tc>
        <w:tc>
          <w:tcPr>
            <w:tcW w:w="1240" w:type="dxa"/>
            <w:vMerge w:val="continue"/>
            <w:noWrap w:val="0"/>
            <w:vAlign w:val="center"/>
          </w:tcPr>
          <w:p w14:paraId="7A1F331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695" w:type="dxa"/>
            <w:noWrap w:val="0"/>
            <w:vAlign w:val="center"/>
          </w:tcPr>
          <w:p w14:paraId="334297D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槽探配套施工服务</w:t>
            </w:r>
          </w:p>
        </w:tc>
        <w:tc>
          <w:tcPr>
            <w:tcW w:w="1440" w:type="dxa"/>
            <w:noWrap w:val="0"/>
            <w:vAlign w:val="center"/>
          </w:tcPr>
          <w:p w14:paraId="1D35D34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689" w:type="dxa"/>
            <w:noWrap w:val="0"/>
            <w:vAlign w:val="center"/>
          </w:tcPr>
          <w:p w14:paraId="487E8F2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61F90BF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40</w:t>
            </w:r>
          </w:p>
        </w:tc>
        <w:tc>
          <w:tcPr>
            <w:tcW w:w="1233" w:type="dxa"/>
            <w:noWrap w:val="0"/>
            <w:vAlign w:val="center"/>
          </w:tcPr>
          <w:p w14:paraId="2DCF185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0260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475B655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w:t>
            </w:r>
          </w:p>
        </w:tc>
        <w:tc>
          <w:tcPr>
            <w:tcW w:w="1240" w:type="dxa"/>
            <w:noWrap w:val="0"/>
            <w:vAlign w:val="center"/>
          </w:tcPr>
          <w:p w14:paraId="66D27A6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B区</w:t>
            </w:r>
          </w:p>
        </w:tc>
        <w:tc>
          <w:tcPr>
            <w:tcW w:w="1695" w:type="dxa"/>
            <w:noWrap w:val="0"/>
            <w:vAlign w:val="center"/>
          </w:tcPr>
          <w:p w14:paraId="2C0C2EF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遥感技术</w:t>
            </w:r>
          </w:p>
        </w:tc>
        <w:tc>
          <w:tcPr>
            <w:tcW w:w="1440" w:type="dxa"/>
            <w:noWrap w:val="0"/>
            <w:vAlign w:val="center"/>
          </w:tcPr>
          <w:p w14:paraId="133F41F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平方千米</w:t>
            </w:r>
          </w:p>
        </w:tc>
        <w:tc>
          <w:tcPr>
            <w:tcW w:w="1689" w:type="dxa"/>
            <w:noWrap w:val="0"/>
            <w:vAlign w:val="center"/>
          </w:tcPr>
          <w:p w14:paraId="55CB4BA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p>
        </w:tc>
        <w:tc>
          <w:tcPr>
            <w:tcW w:w="1537" w:type="dxa"/>
            <w:noWrap w:val="0"/>
            <w:vAlign w:val="center"/>
          </w:tcPr>
          <w:p w14:paraId="4B84DA5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z w:val="24"/>
                <w:szCs w:val="24"/>
                <w:highlight w:val="none"/>
                <w:lang w:val="en-US" w:eastAsia="zh-CN"/>
              </w:rPr>
              <w:t>830</w:t>
            </w:r>
          </w:p>
        </w:tc>
        <w:tc>
          <w:tcPr>
            <w:tcW w:w="1233" w:type="dxa"/>
            <w:noWrap w:val="0"/>
            <w:vAlign w:val="center"/>
          </w:tcPr>
          <w:p w14:paraId="1BE8D4A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ABD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263616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5</w:t>
            </w:r>
          </w:p>
        </w:tc>
        <w:tc>
          <w:tcPr>
            <w:tcW w:w="1240" w:type="dxa"/>
            <w:noWrap w:val="0"/>
            <w:vAlign w:val="center"/>
          </w:tcPr>
          <w:p w14:paraId="5A7A2F2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C区</w:t>
            </w:r>
          </w:p>
        </w:tc>
        <w:tc>
          <w:tcPr>
            <w:tcW w:w="1695" w:type="dxa"/>
            <w:noWrap w:val="0"/>
            <w:vAlign w:val="center"/>
          </w:tcPr>
          <w:p w14:paraId="3533DB3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遥感技术</w:t>
            </w:r>
          </w:p>
        </w:tc>
        <w:tc>
          <w:tcPr>
            <w:tcW w:w="1440" w:type="dxa"/>
            <w:noWrap w:val="0"/>
            <w:vAlign w:val="center"/>
          </w:tcPr>
          <w:p w14:paraId="1CD2F53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平方千米</w:t>
            </w:r>
          </w:p>
        </w:tc>
        <w:tc>
          <w:tcPr>
            <w:tcW w:w="1689" w:type="dxa"/>
            <w:noWrap w:val="0"/>
            <w:vAlign w:val="center"/>
          </w:tcPr>
          <w:p w14:paraId="19C02D2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p>
        </w:tc>
        <w:tc>
          <w:tcPr>
            <w:tcW w:w="1537" w:type="dxa"/>
            <w:noWrap w:val="0"/>
            <w:vAlign w:val="center"/>
          </w:tcPr>
          <w:p w14:paraId="377DD96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z w:val="24"/>
                <w:szCs w:val="24"/>
                <w:highlight w:val="none"/>
                <w:lang w:val="en-US" w:eastAsia="zh-CN"/>
              </w:rPr>
              <w:t>1246</w:t>
            </w:r>
          </w:p>
        </w:tc>
        <w:tc>
          <w:tcPr>
            <w:tcW w:w="1233" w:type="dxa"/>
            <w:noWrap w:val="0"/>
            <w:vAlign w:val="center"/>
          </w:tcPr>
          <w:p w14:paraId="5FA4426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F16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340D5CD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1240" w:type="dxa"/>
            <w:vMerge w:val="restart"/>
            <w:noWrap w:val="0"/>
            <w:vAlign w:val="center"/>
          </w:tcPr>
          <w:p w14:paraId="059876F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D区</w:t>
            </w:r>
          </w:p>
        </w:tc>
        <w:tc>
          <w:tcPr>
            <w:tcW w:w="1695" w:type="dxa"/>
            <w:noWrap w:val="0"/>
            <w:vAlign w:val="center"/>
          </w:tcPr>
          <w:p w14:paraId="315FEE3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440" w:type="dxa"/>
            <w:noWrap w:val="0"/>
            <w:vAlign w:val="center"/>
          </w:tcPr>
          <w:p w14:paraId="2A60838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689" w:type="dxa"/>
            <w:noWrap w:val="0"/>
            <w:vAlign w:val="center"/>
          </w:tcPr>
          <w:p w14:paraId="272715C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649D4C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1000</w:t>
            </w:r>
          </w:p>
        </w:tc>
        <w:tc>
          <w:tcPr>
            <w:tcW w:w="1233" w:type="dxa"/>
            <w:noWrap w:val="0"/>
            <w:vAlign w:val="center"/>
          </w:tcPr>
          <w:p w14:paraId="4AED87C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795C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2885FF3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w:t>
            </w:r>
          </w:p>
        </w:tc>
        <w:tc>
          <w:tcPr>
            <w:tcW w:w="1240" w:type="dxa"/>
            <w:vMerge w:val="continue"/>
            <w:noWrap w:val="0"/>
            <w:vAlign w:val="center"/>
          </w:tcPr>
          <w:p w14:paraId="78626E5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695" w:type="dxa"/>
            <w:noWrap w:val="0"/>
            <w:vAlign w:val="center"/>
          </w:tcPr>
          <w:p w14:paraId="30DE82F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440" w:type="dxa"/>
            <w:noWrap w:val="0"/>
            <w:vAlign w:val="center"/>
          </w:tcPr>
          <w:p w14:paraId="281B54C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689" w:type="dxa"/>
            <w:noWrap w:val="0"/>
            <w:vAlign w:val="center"/>
          </w:tcPr>
          <w:p w14:paraId="1DE22C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7" w:type="dxa"/>
            <w:noWrap w:val="0"/>
            <w:vAlign w:val="center"/>
          </w:tcPr>
          <w:p w14:paraId="0158536D">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000000"/>
                <w:kern w:val="0"/>
                <w:sz w:val="24"/>
                <w:szCs w:val="24"/>
                <w:highlight w:val="none"/>
                <w:u w:val="none"/>
                <w:lang w:val="en-US" w:eastAsia="zh-CN" w:bidi="ar"/>
              </w:rPr>
              <w:t>2000</w:t>
            </w:r>
          </w:p>
        </w:tc>
        <w:tc>
          <w:tcPr>
            <w:tcW w:w="1233" w:type="dxa"/>
            <w:noWrap w:val="0"/>
            <w:vAlign w:val="center"/>
          </w:tcPr>
          <w:p w14:paraId="14CDB61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6244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25CF6CF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1240" w:type="dxa"/>
            <w:vMerge w:val="restart"/>
            <w:noWrap w:val="0"/>
            <w:vAlign w:val="center"/>
          </w:tcPr>
          <w:p w14:paraId="45DDBA2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E区</w:t>
            </w:r>
          </w:p>
        </w:tc>
        <w:tc>
          <w:tcPr>
            <w:tcW w:w="1695" w:type="dxa"/>
            <w:noWrap w:val="0"/>
            <w:vAlign w:val="center"/>
          </w:tcPr>
          <w:p w14:paraId="2E24C4F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440" w:type="dxa"/>
            <w:noWrap w:val="0"/>
            <w:vAlign w:val="center"/>
          </w:tcPr>
          <w:p w14:paraId="5F6C82F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689" w:type="dxa"/>
            <w:noWrap w:val="0"/>
            <w:vAlign w:val="center"/>
          </w:tcPr>
          <w:p w14:paraId="26644D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7" w:type="dxa"/>
            <w:noWrap w:val="0"/>
            <w:vAlign w:val="center"/>
          </w:tcPr>
          <w:p w14:paraId="13593A76">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000000"/>
                <w:kern w:val="0"/>
                <w:sz w:val="24"/>
                <w:szCs w:val="24"/>
                <w:highlight w:val="none"/>
                <w:u w:val="none"/>
                <w:lang w:val="en-US" w:eastAsia="zh-CN" w:bidi="ar"/>
              </w:rPr>
              <w:t>1150</w:t>
            </w:r>
          </w:p>
        </w:tc>
        <w:tc>
          <w:tcPr>
            <w:tcW w:w="1233" w:type="dxa"/>
            <w:noWrap w:val="0"/>
            <w:vAlign w:val="center"/>
          </w:tcPr>
          <w:p w14:paraId="0E6F1DB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D8D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6ACFAF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1240" w:type="dxa"/>
            <w:vMerge w:val="continue"/>
            <w:noWrap w:val="0"/>
            <w:vAlign w:val="center"/>
          </w:tcPr>
          <w:p w14:paraId="6295312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695" w:type="dxa"/>
            <w:noWrap w:val="0"/>
            <w:vAlign w:val="center"/>
          </w:tcPr>
          <w:p w14:paraId="05EEF07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440" w:type="dxa"/>
            <w:noWrap w:val="0"/>
            <w:vAlign w:val="center"/>
          </w:tcPr>
          <w:p w14:paraId="74B9AAF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689" w:type="dxa"/>
            <w:noWrap w:val="0"/>
            <w:vAlign w:val="center"/>
          </w:tcPr>
          <w:p w14:paraId="73FF53F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37EADA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2000</w:t>
            </w:r>
          </w:p>
        </w:tc>
        <w:tc>
          <w:tcPr>
            <w:tcW w:w="1233" w:type="dxa"/>
            <w:noWrap w:val="0"/>
            <w:vAlign w:val="center"/>
          </w:tcPr>
          <w:p w14:paraId="7BC56D5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ADE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291A6E4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w:t>
            </w:r>
          </w:p>
        </w:tc>
        <w:tc>
          <w:tcPr>
            <w:tcW w:w="1240" w:type="dxa"/>
            <w:vMerge w:val="continue"/>
            <w:noWrap w:val="0"/>
            <w:vAlign w:val="center"/>
          </w:tcPr>
          <w:p w14:paraId="5891AA4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695" w:type="dxa"/>
            <w:noWrap w:val="0"/>
            <w:vAlign w:val="center"/>
          </w:tcPr>
          <w:p w14:paraId="2FDF0F9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槽探配套线路开挖及场地平整</w:t>
            </w:r>
          </w:p>
        </w:tc>
        <w:tc>
          <w:tcPr>
            <w:tcW w:w="1440" w:type="dxa"/>
            <w:noWrap w:val="0"/>
            <w:vAlign w:val="center"/>
          </w:tcPr>
          <w:p w14:paraId="71B00F0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千米</w:t>
            </w:r>
          </w:p>
        </w:tc>
        <w:tc>
          <w:tcPr>
            <w:tcW w:w="1689" w:type="dxa"/>
            <w:noWrap w:val="0"/>
            <w:vAlign w:val="center"/>
          </w:tcPr>
          <w:p w14:paraId="0CBA7A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41E8091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10.95</w:t>
            </w:r>
          </w:p>
        </w:tc>
        <w:tc>
          <w:tcPr>
            <w:tcW w:w="1233" w:type="dxa"/>
            <w:noWrap w:val="0"/>
            <w:vAlign w:val="center"/>
          </w:tcPr>
          <w:p w14:paraId="3AA53DE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3F2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70ECF1A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11</w:t>
            </w:r>
          </w:p>
        </w:tc>
        <w:tc>
          <w:tcPr>
            <w:tcW w:w="1240" w:type="dxa"/>
            <w:vMerge w:val="restart"/>
            <w:noWrap w:val="0"/>
            <w:vAlign w:val="center"/>
          </w:tcPr>
          <w:p w14:paraId="20645CD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F区</w:t>
            </w:r>
          </w:p>
        </w:tc>
        <w:tc>
          <w:tcPr>
            <w:tcW w:w="1695" w:type="dxa"/>
            <w:noWrap w:val="0"/>
            <w:vAlign w:val="center"/>
          </w:tcPr>
          <w:p w14:paraId="3119522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440" w:type="dxa"/>
            <w:noWrap w:val="0"/>
            <w:vAlign w:val="center"/>
          </w:tcPr>
          <w:p w14:paraId="596D8E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689" w:type="dxa"/>
            <w:noWrap w:val="0"/>
            <w:vAlign w:val="center"/>
          </w:tcPr>
          <w:p w14:paraId="788B1C0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4D61A8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3000</w:t>
            </w:r>
          </w:p>
        </w:tc>
        <w:tc>
          <w:tcPr>
            <w:tcW w:w="1233" w:type="dxa"/>
            <w:noWrap w:val="0"/>
            <w:vAlign w:val="center"/>
          </w:tcPr>
          <w:p w14:paraId="35B126A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77A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1C13F39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w:t>
            </w:r>
          </w:p>
        </w:tc>
        <w:tc>
          <w:tcPr>
            <w:tcW w:w="1240" w:type="dxa"/>
            <w:vMerge w:val="continue"/>
            <w:noWrap w:val="0"/>
            <w:vAlign w:val="center"/>
          </w:tcPr>
          <w:p w14:paraId="5EAF2C9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695" w:type="dxa"/>
            <w:noWrap w:val="0"/>
            <w:vAlign w:val="center"/>
          </w:tcPr>
          <w:p w14:paraId="361F8D0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440" w:type="dxa"/>
            <w:noWrap w:val="0"/>
            <w:vAlign w:val="center"/>
          </w:tcPr>
          <w:p w14:paraId="45A1A5D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689" w:type="dxa"/>
            <w:noWrap w:val="0"/>
            <w:vAlign w:val="center"/>
          </w:tcPr>
          <w:p w14:paraId="2BF8182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7C8684F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kern w:val="2"/>
                <w:sz w:val="24"/>
                <w:szCs w:val="24"/>
                <w:highlight w:val="none"/>
                <w:vertAlign w:val="baseline"/>
                <w:lang w:val="en-US" w:eastAsia="zh-CN" w:bidi="ar-SA"/>
              </w:rPr>
              <w:t>5000</w:t>
            </w:r>
          </w:p>
        </w:tc>
        <w:tc>
          <w:tcPr>
            <w:tcW w:w="1233" w:type="dxa"/>
            <w:noWrap w:val="0"/>
            <w:vAlign w:val="center"/>
          </w:tcPr>
          <w:p w14:paraId="0A6EFC7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1BDC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579BC96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13</w:t>
            </w:r>
          </w:p>
        </w:tc>
        <w:tc>
          <w:tcPr>
            <w:tcW w:w="1240" w:type="dxa"/>
            <w:vMerge w:val="continue"/>
            <w:noWrap w:val="0"/>
            <w:vAlign w:val="center"/>
          </w:tcPr>
          <w:p w14:paraId="6B39FA0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695" w:type="dxa"/>
            <w:noWrap w:val="0"/>
            <w:vAlign w:val="center"/>
          </w:tcPr>
          <w:p w14:paraId="09D8650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槽探配套线路开挖及场地平整</w:t>
            </w:r>
          </w:p>
        </w:tc>
        <w:tc>
          <w:tcPr>
            <w:tcW w:w="1440" w:type="dxa"/>
            <w:noWrap w:val="0"/>
            <w:vAlign w:val="center"/>
          </w:tcPr>
          <w:p w14:paraId="07641EC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千米</w:t>
            </w:r>
          </w:p>
        </w:tc>
        <w:tc>
          <w:tcPr>
            <w:tcW w:w="1689" w:type="dxa"/>
            <w:noWrap w:val="0"/>
            <w:vAlign w:val="center"/>
          </w:tcPr>
          <w:p w14:paraId="3268E5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537" w:type="dxa"/>
            <w:noWrap w:val="0"/>
            <w:vAlign w:val="center"/>
          </w:tcPr>
          <w:p w14:paraId="4C5787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10</w:t>
            </w:r>
          </w:p>
        </w:tc>
        <w:tc>
          <w:tcPr>
            <w:tcW w:w="1233" w:type="dxa"/>
            <w:noWrap w:val="0"/>
            <w:vAlign w:val="center"/>
          </w:tcPr>
          <w:p w14:paraId="5155275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3449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6356D2A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14</w:t>
            </w:r>
          </w:p>
        </w:tc>
        <w:tc>
          <w:tcPr>
            <w:tcW w:w="1240" w:type="dxa"/>
            <w:vMerge w:val="restart"/>
            <w:noWrap w:val="0"/>
            <w:vAlign w:val="center"/>
          </w:tcPr>
          <w:p w14:paraId="682D4F6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G区</w:t>
            </w:r>
          </w:p>
        </w:tc>
        <w:tc>
          <w:tcPr>
            <w:tcW w:w="1695" w:type="dxa"/>
            <w:noWrap w:val="0"/>
            <w:vAlign w:val="center"/>
          </w:tcPr>
          <w:p w14:paraId="24728D0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440" w:type="dxa"/>
            <w:noWrap w:val="0"/>
            <w:vAlign w:val="center"/>
          </w:tcPr>
          <w:p w14:paraId="4AFC06B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689" w:type="dxa"/>
            <w:noWrap w:val="0"/>
            <w:vAlign w:val="center"/>
          </w:tcPr>
          <w:p w14:paraId="2C901B6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537" w:type="dxa"/>
            <w:noWrap w:val="0"/>
            <w:vAlign w:val="center"/>
          </w:tcPr>
          <w:p w14:paraId="66F0C5C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2000</w:t>
            </w:r>
          </w:p>
        </w:tc>
        <w:tc>
          <w:tcPr>
            <w:tcW w:w="1233" w:type="dxa"/>
            <w:noWrap w:val="0"/>
            <w:vAlign w:val="center"/>
          </w:tcPr>
          <w:p w14:paraId="16E0BA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7DB6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38516B5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15</w:t>
            </w:r>
          </w:p>
        </w:tc>
        <w:tc>
          <w:tcPr>
            <w:tcW w:w="1240" w:type="dxa"/>
            <w:vMerge w:val="continue"/>
            <w:noWrap w:val="0"/>
            <w:vAlign w:val="center"/>
          </w:tcPr>
          <w:p w14:paraId="6316F34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695" w:type="dxa"/>
            <w:noWrap w:val="0"/>
            <w:vAlign w:val="center"/>
          </w:tcPr>
          <w:p w14:paraId="69F5F5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440" w:type="dxa"/>
            <w:noWrap w:val="0"/>
            <w:vAlign w:val="center"/>
          </w:tcPr>
          <w:p w14:paraId="30FA1C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1689" w:type="dxa"/>
            <w:noWrap w:val="0"/>
            <w:vAlign w:val="center"/>
          </w:tcPr>
          <w:p w14:paraId="7DB5C7A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537" w:type="dxa"/>
            <w:noWrap w:val="0"/>
            <w:vAlign w:val="center"/>
          </w:tcPr>
          <w:p w14:paraId="1E2B5AF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4000</w:t>
            </w:r>
          </w:p>
        </w:tc>
        <w:tc>
          <w:tcPr>
            <w:tcW w:w="1233" w:type="dxa"/>
            <w:noWrap w:val="0"/>
            <w:vAlign w:val="center"/>
          </w:tcPr>
          <w:p w14:paraId="7136CCA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4BAF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44980D4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16</w:t>
            </w:r>
          </w:p>
        </w:tc>
        <w:tc>
          <w:tcPr>
            <w:tcW w:w="1240" w:type="dxa"/>
            <w:vMerge w:val="restart"/>
            <w:noWrap w:val="0"/>
            <w:vAlign w:val="center"/>
          </w:tcPr>
          <w:p w14:paraId="5DB89E9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rPr>
              <w:t>H</w:t>
            </w:r>
            <w:r>
              <w:rPr>
                <w:rFonts w:hint="eastAsia" w:ascii="宋体" w:hAnsi="宋体" w:eastAsia="宋体" w:cs="宋体"/>
                <w:color w:val="auto"/>
                <w:sz w:val="24"/>
                <w:szCs w:val="24"/>
                <w:highlight w:val="none"/>
                <w:vertAlign w:val="baseline"/>
                <w:lang w:val="en-US" w:eastAsia="zh-CN"/>
              </w:rPr>
              <w:t>区</w:t>
            </w:r>
          </w:p>
        </w:tc>
        <w:tc>
          <w:tcPr>
            <w:tcW w:w="1695" w:type="dxa"/>
            <w:noWrap w:val="0"/>
            <w:vAlign w:val="center"/>
          </w:tcPr>
          <w:p w14:paraId="3FD7FDD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440" w:type="dxa"/>
            <w:noWrap w:val="0"/>
            <w:vAlign w:val="center"/>
          </w:tcPr>
          <w:p w14:paraId="738493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689" w:type="dxa"/>
            <w:noWrap w:val="0"/>
            <w:vAlign w:val="center"/>
          </w:tcPr>
          <w:p w14:paraId="0922EA8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537" w:type="dxa"/>
            <w:noWrap w:val="0"/>
            <w:vAlign w:val="center"/>
          </w:tcPr>
          <w:p w14:paraId="4C1F04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1500</w:t>
            </w:r>
          </w:p>
        </w:tc>
        <w:tc>
          <w:tcPr>
            <w:tcW w:w="1233" w:type="dxa"/>
            <w:noWrap w:val="0"/>
            <w:vAlign w:val="center"/>
          </w:tcPr>
          <w:p w14:paraId="553EB4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3BBD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3C942F9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17</w:t>
            </w:r>
          </w:p>
        </w:tc>
        <w:tc>
          <w:tcPr>
            <w:tcW w:w="1240" w:type="dxa"/>
            <w:vMerge w:val="continue"/>
            <w:noWrap w:val="0"/>
            <w:vAlign w:val="center"/>
          </w:tcPr>
          <w:p w14:paraId="0C07833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695" w:type="dxa"/>
            <w:noWrap w:val="0"/>
            <w:vAlign w:val="center"/>
          </w:tcPr>
          <w:p w14:paraId="376918B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440" w:type="dxa"/>
            <w:noWrap w:val="0"/>
            <w:vAlign w:val="center"/>
          </w:tcPr>
          <w:p w14:paraId="634A3E6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1689" w:type="dxa"/>
            <w:noWrap w:val="0"/>
            <w:vAlign w:val="center"/>
          </w:tcPr>
          <w:p w14:paraId="605450F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537" w:type="dxa"/>
            <w:noWrap w:val="0"/>
            <w:vAlign w:val="center"/>
          </w:tcPr>
          <w:p w14:paraId="18769C4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1500</w:t>
            </w:r>
          </w:p>
        </w:tc>
        <w:tc>
          <w:tcPr>
            <w:tcW w:w="1233" w:type="dxa"/>
            <w:noWrap w:val="0"/>
            <w:vAlign w:val="center"/>
          </w:tcPr>
          <w:p w14:paraId="01565E7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742B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14:paraId="641DBF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18</w:t>
            </w:r>
          </w:p>
        </w:tc>
        <w:tc>
          <w:tcPr>
            <w:tcW w:w="1240" w:type="dxa"/>
            <w:vMerge w:val="continue"/>
            <w:noWrap w:val="0"/>
            <w:vAlign w:val="center"/>
          </w:tcPr>
          <w:p w14:paraId="5135766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695" w:type="dxa"/>
            <w:noWrap w:val="0"/>
            <w:vAlign w:val="center"/>
          </w:tcPr>
          <w:p w14:paraId="37AD714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ascii="宋体" w:hAnsi="宋体" w:eastAsia="宋体" w:cs="宋体"/>
                <w:sz w:val="24"/>
                <w:szCs w:val="24"/>
              </w:rPr>
              <w:t>槽探配套施工服务</w:t>
            </w:r>
          </w:p>
        </w:tc>
        <w:tc>
          <w:tcPr>
            <w:tcW w:w="1440" w:type="dxa"/>
            <w:noWrap w:val="0"/>
            <w:vAlign w:val="center"/>
          </w:tcPr>
          <w:p w14:paraId="44C0C3F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689" w:type="dxa"/>
            <w:noWrap w:val="0"/>
            <w:vAlign w:val="center"/>
          </w:tcPr>
          <w:p w14:paraId="1826589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537" w:type="dxa"/>
            <w:noWrap w:val="0"/>
            <w:vAlign w:val="center"/>
          </w:tcPr>
          <w:p w14:paraId="2901166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16</w:t>
            </w:r>
          </w:p>
        </w:tc>
        <w:tc>
          <w:tcPr>
            <w:tcW w:w="1233" w:type="dxa"/>
            <w:noWrap w:val="0"/>
            <w:vAlign w:val="center"/>
          </w:tcPr>
          <w:p w14:paraId="504286C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34F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74" w:type="dxa"/>
            <w:noWrap w:val="0"/>
            <w:vAlign w:val="center"/>
          </w:tcPr>
          <w:p w14:paraId="7D8D229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19</w:t>
            </w:r>
          </w:p>
        </w:tc>
        <w:tc>
          <w:tcPr>
            <w:tcW w:w="1240" w:type="dxa"/>
            <w:noWrap w:val="0"/>
            <w:vAlign w:val="center"/>
          </w:tcPr>
          <w:p w14:paraId="273BF38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I</w:t>
            </w:r>
            <w:r>
              <w:rPr>
                <w:rFonts w:hint="eastAsia" w:ascii="宋体" w:hAnsi="宋体" w:eastAsia="宋体" w:cs="宋体"/>
                <w:color w:val="auto"/>
                <w:sz w:val="24"/>
                <w:szCs w:val="24"/>
                <w:highlight w:val="none"/>
                <w:vertAlign w:val="baseline"/>
                <w:lang w:val="en-US" w:eastAsia="zh-CN"/>
              </w:rPr>
              <w:t>区</w:t>
            </w:r>
          </w:p>
        </w:tc>
        <w:tc>
          <w:tcPr>
            <w:tcW w:w="1695" w:type="dxa"/>
            <w:noWrap w:val="0"/>
            <w:vAlign w:val="center"/>
          </w:tcPr>
          <w:p w14:paraId="01A59D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440" w:type="dxa"/>
            <w:noWrap w:val="0"/>
            <w:vAlign w:val="center"/>
          </w:tcPr>
          <w:p w14:paraId="284FD84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689" w:type="dxa"/>
            <w:noWrap w:val="0"/>
            <w:vAlign w:val="center"/>
          </w:tcPr>
          <w:p w14:paraId="483789E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7" w:type="dxa"/>
            <w:noWrap w:val="0"/>
            <w:vAlign w:val="center"/>
          </w:tcPr>
          <w:p w14:paraId="3BCD65F5">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000000"/>
                <w:kern w:val="0"/>
                <w:sz w:val="24"/>
                <w:szCs w:val="24"/>
                <w:highlight w:val="none"/>
                <w:u w:val="none"/>
                <w:lang w:val="en-US" w:eastAsia="zh-CN" w:bidi="ar"/>
              </w:rPr>
              <w:t>800</w:t>
            </w:r>
          </w:p>
        </w:tc>
        <w:tc>
          <w:tcPr>
            <w:tcW w:w="1233" w:type="dxa"/>
            <w:noWrap w:val="0"/>
            <w:vAlign w:val="center"/>
          </w:tcPr>
          <w:p w14:paraId="14DED05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1D1B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74" w:type="dxa"/>
            <w:noWrap w:val="0"/>
            <w:vAlign w:val="center"/>
          </w:tcPr>
          <w:p w14:paraId="44C704B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合计（元）</w:t>
            </w:r>
          </w:p>
        </w:tc>
        <w:tc>
          <w:tcPr>
            <w:tcW w:w="8834" w:type="dxa"/>
            <w:gridSpan w:val="6"/>
            <w:noWrap w:val="0"/>
            <w:vAlign w:val="center"/>
          </w:tcPr>
          <w:p w14:paraId="63973D1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小写：</w:t>
            </w:r>
          </w:p>
          <w:p w14:paraId="0963102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大写：</w:t>
            </w:r>
          </w:p>
        </w:tc>
      </w:tr>
    </w:tbl>
    <w:p w14:paraId="680D6E02">
      <w:pPr>
        <w:pStyle w:val="20"/>
        <w:ind w:left="0" w:leftChars="0" w:firstLine="0" w:firstLineChars="0"/>
        <w:rPr>
          <w:rFonts w:hint="eastAsia"/>
          <w:color w:val="auto"/>
        </w:rPr>
      </w:pPr>
    </w:p>
    <w:p w14:paraId="4BBCB739">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注：投标人所报分项单价不得超出对应分区的单价最高限价，否则视为实质性不响应，其投标将被拒绝</w:t>
      </w:r>
    </w:p>
    <w:p w14:paraId="1F745821">
      <w:pPr>
        <w:tabs>
          <w:tab w:val="left" w:pos="9135"/>
        </w:tabs>
        <w:spacing w:line="400" w:lineRule="atLeast"/>
        <w:outlineLvl w:val="9"/>
        <w:rPr>
          <w:rFonts w:hint="eastAsia" w:ascii="宋体" w:hAnsi="宋体" w:eastAsia="宋体" w:cs="宋体"/>
          <w:color w:val="auto"/>
          <w:sz w:val="24"/>
          <w:highlight w:val="none"/>
        </w:rPr>
      </w:pPr>
    </w:p>
    <w:p w14:paraId="7ED569A9">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rPr>
        <w:t>（公章）：</w:t>
      </w:r>
      <w:r>
        <w:rPr>
          <w:rFonts w:hint="eastAsia" w:ascii="宋体" w:hAnsi="宋体" w:cs="宋体"/>
          <w:color w:val="auto"/>
          <w:sz w:val="24"/>
          <w:highlight w:val="none"/>
          <w:u w:val="single"/>
        </w:rPr>
        <w:t>　　　　　　　　　　</w:t>
      </w:r>
    </w:p>
    <w:p w14:paraId="6DA0181B">
      <w:pPr>
        <w:tabs>
          <w:tab w:val="left" w:pos="9135"/>
        </w:tabs>
        <w:spacing w:line="400" w:lineRule="atLeast"/>
        <w:outlineLvl w:val="9"/>
        <w:rPr>
          <w:rFonts w:hint="eastAsia" w:ascii="宋体" w:hAnsi="宋体" w:cs="宋体"/>
          <w:color w:val="auto"/>
          <w:highlight w:val="none"/>
        </w:rPr>
      </w:pPr>
    </w:p>
    <w:p w14:paraId="616B9801">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16EC7DB9">
      <w:pPr>
        <w:tabs>
          <w:tab w:val="left" w:pos="9135"/>
        </w:tabs>
        <w:spacing w:line="400" w:lineRule="atLeast"/>
        <w:outlineLvl w:val="9"/>
        <w:rPr>
          <w:rFonts w:hint="eastAsia" w:ascii="宋体" w:hAnsi="宋体" w:cs="宋体"/>
          <w:color w:val="auto"/>
          <w:highlight w:val="none"/>
        </w:rPr>
      </w:pPr>
    </w:p>
    <w:p w14:paraId="0F7E197F">
      <w:pPr>
        <w:pStyle w:val="39"/>
        <w:ind w:firstLine="0" w:firstLineChars="0"/>
        <w:outlineLvl w:val="9"/>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14:paraId="4B695FF5">
      <w:pPr>
        <w:pStyle w:val="39"/>
        <w:ind w:firstLine="0" w:firstLineChars="0"/>
        <w:outlineLvl w:val="9"/>
        <w:rPr>
          <w:rFonts w:hint="eastAsia" w:ascii="宋体" w:hAnsi="宋体" w:eastAsia="宋体" w:cs="宋体"/>
          <w:color w:val="auto"/>
          <w:highlight w:val="none"/>
        </w:rPr>
      </w:pPr>
    </w:p>
    <w:p w14:paraId="0CE602E1">
      <w:pPr>
        <w:jc w:val="center"/>
        <w:outlineLvl w:val="9"/>
        <w:rPr>
          <w:rFonts w:hint="eastAsia" w:eastAsia="宋体"/>
          <w:color w:val="auto"/>
          <w:sz w:val="24"/>
          <w:szCs w:val="24"/>
          <w:highlight w:val="none"/>
          <w:lang w:eastAsia="zh-CN"/>
        </w:rPr>
      </w:pPr>
    </w:p>
    <w:p w14:paraId="0BD7F8A1">
      <w:pPr>
        <w:jc w:val="center"/>
        <w:outlineLvl w:val="9"/>
        <w:rPr>
          <w:rFonts w:hint="eastAsia" w:eastAsia="宋体"/>
          <w:color w:val="auto"/>
          <w:sz w:val="24"/>
          <w:szCs w:val="24"/>
          <w:highlight w:val="none"/>
          <w:lang w:eastAsia="zh-CN"/>
        </w:rPr>
      </w:pPr>
    </w:p>
    <w:p w14:paraId="234C0603">
      <w:pPr>
        <w:jc w:val="center"/>
        <w:outlineLvl w:val="9"/>
        <w:rPr>
          <w:rFonts w:hint="eastAsia" w:eastAsia="宋体"/>
          <w:color w:val="auto"/>
          <w:sz w:val="24"/>
          <w:szCs w:val="24"/>
          <w:highlight w:val="none"/>
          <w:lang w:eastAsia="zh-CN"/>
        </w:rPr>
      </w:pPr>
    </w:p>
    <w:p w14:paraId="33D2706F">
      <w:pPr>
        <w:jc w:val="center"/>
        <w:outlineLvl w:val="1"/>
        <w:rPr>
          <w:rFonts w:hint="eastAsia" w:ascii="宋体" w:hAnsi="宋体" w:eastAsia="宋体" w:cs="宋体"/>
          <w:b/>
          <w:bCs/>
          <w:color w:val="auto"/>
          <w:sz w:val="24"/>
          <w:szCs w:val="24"/>
          <w:highlight w:val="none"/>
          <w:lang w:eastAsia="zh-CN"/>
        </w:rPr>
      </w:pPr>
      <w:r>
        <w:rPr>
          <w:rFonts w:hint="eastAsia" w:eastAsia="宋体"/>
          <w:color w:val="auto"/>
          <w:sz w:val="24"/>
          <w:szCs w:val="24"/>
          <w:highlight w:val="none"/>
          <w:lang w:eastAsia="zh-CN"/>
        </w:rPr>
        <w:br w:type="page"/>
      </w:r>
      <w:bookmarkEnd w:id="449"/>
      <w:bookmarkEnd w:id="450"/>
      <w:bookmarkEnd w:id="451"/>
      <w:bookmarkStart w:id="453" w:name="_Toc19732"/>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商务技术文件</w:t>
      </w:r>
      <w:bookmarkEnd w:id="443"/>
      <w:bookmarkEnd w:id="444"/>
      <w:bookmarkEnd w:id="445"/>
      <w:bookmarkEnd w:id="453"/>
    </w:p>
    <w:p w14:paraId="151E1622">
      <w:pPr>
        <w:keepNext/>
        <w:keepLines/>
        <w:pageBreakBefore w:val="0"/>
        <w:widowControl w:val="0"/>
        <w:kinsoku/>
        <w:wordWrap/>
        <w:overflowPunct/>
        <w:topLinePunct w:val="0"/>
        <w:autoSpaceDE/>
        <w:autoSpaceDN/>
        <w:bidi w:val="0"/>
        <w:adjustRightInd w:val="0"/>
        <w:snapToGrid w:val="0"/>
        <w:spacing w:before="0" w:after="0" w:line="400" w:lineRule="exact"/>
        <w:jc w:val="center"/>
        <w:textAlignment w:val="auto"/>
        <w:outlineLvl w:val="2"/>
        <w:rPr>
          <w:rFonts w:hint="eastAsia" w:ascii="宋体" w:hAnsi="宋体" w:eastAsia="宋体" w:cs="宋体"/>
          <w:color w:val="auto"/>
          <w:sz w:val="24"/>
          <w:szCs w:val="24"/>
          <w:highlight w:val="none"/>
        </w:rPr>
      </w:pPr>
      <w:bookmarkStart w:id="454" w:name="_Toc10833"/>
      <w:bookmarkStart w:id="455" w:name="_Toc1523"/>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454"/>
      <w:bookmarkEnd w:id="455"/>
    </w:p>
    <w:p w14:paraId="6BC95782">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新疆众通桥项目管理咨询有限公司</w:t>
      </w:r>
      <w:r>
        <w:rPr>
          <w:rFonts w:hint="eastAsia" w:ascii="宋体" w:hAnsi="宋体" w:eastAsia="宋体" w:cs="宋体"/>
          <w:color w:val="auto"/>
          <w:sz w:val="24"/>
          <w:highlight w:val="none"/>
        </w:rPr>
        <w:t>：</w:t>
      </w:r>
    </w:p>
    <w:p w14:paraId="1EE6C55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授权代理人姓名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职务、职称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rPr>
        <w:t>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招标的有关活动，并对此项目进行投标。为此：</w:t>
      </w:r>
    </w:p>
    <w:p w14:paraId="05096864">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内遵守本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中的承诺且在此期限期满之前均具有约束力。</w:t>
      </w:r>
    </w:p>
    <w:p w14:paraId="5CAD4011">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2、提供投标人须知规定的全部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w:t>
      </w:r>
    </w:p>
    <w:p w14:paraId="3E7BB78C">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、按招标文件要求提供和交付的货物及相关服务的投标报价详见</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eastAsia="zh-CN"/>
        </w:rPr>
        <w:t>一览表</w:t>
      </w:r>
      <w:r>
        <w:rPr>
          <w:rFonts w:hint="eastAsia" w:ascii="宋体" w:hAnsi="宋体" w:eastAsia="宋体" w:cs="宋体"/>
          <w:color w:val="auto"/>
          <w:sz w:val="24"/>
          <w:highlight w:val="none"/>
        </w:rPr>
        <w:t>。</w:t>
      </w:r>
    </w:p>
    <w:p w14:paraId="7DCE8D49">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、保证忠实地执行双方所签订的合同，并承担合同规定的责任和义务。</w:t>
      </w:r>
    </w:p>
    <w:p w14:paraId="794EB689">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、我方承诺完全满足和响应招标文件中的各项技术和服务要求，若有偏差，已在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偏离表中予以明确特别说明。</w:t>
      </w:r>
    </w:p>
    <w:p w14:paraId="427B9762">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、我方承诺：完全理解投标报价若超过项目预算时，投标将被拒绝。</w:t>
      </w:r>
    </w:p>
    <w:p w14:paraId="182BB3BA">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、我方承诺：与在本项目中设计编制技术规格的机构及其附属机构无任何直接隶属关系和利益关联。</w:t>
      </w:r>
    </w:p>
    <w:p w14:paraId="0FE150B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如果在开标后规定的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内撤回投标，我方的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保证金可被贵方没收。</w:t>
      </w:r>
    </w:p>
    <w:p w14:paraId="19F6368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、我方完全理解贵方不一定接受最低价的投标或收到的任何投标。</w:t>
      </w:r>
    </w:p>
    <w:p w14:paraId="4FAC4CA6">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1185EEE">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、我方已详细审核全部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，包括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修改书（如有的话）、参考资料及有关附件，确认无误。</w:t>
      </w:r>
    </w:p>
    <w:p w14:paraId="0EC04382">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、我方承诺：采购人若需追加采购本项目招标文件所列货物及相关服务的，在不改变合同其他实质性条款的前提下，按相同或更优惠的折扣率保证供货。</w:t>
      </w:r>
    </w:p>
    <w:p w14:paraId="025F2F92">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、我方承诺：如所报货物属国家强制认证产品的，均已通过认证且在有效期内，否则，由此产生的一切法律责任由我方承担。</w:t>
      </w:r>
    </w:p>
    <w:p w14:paraId="6796F310">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、我方承诺：接受招标文件中的全部条款且无任何异议，保证遵守招标文件的规定。</w:t>
      </w:r>
    </w:p>
    <w:p w14:paraId="2B0A2F9C">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38317B">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1）提供虚假材料谋取中标、成交的；</w:t>
      </w:r>
    </w:p>
    <w:p w14:paraId="29CC69FD">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2）采取不正当手段诋毁、排挤其他供应商的；</w:t>
      </w:r>
    </w:p>
    <w:p w14:paraId="3A4BF35F">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3）与采购人、其他供应商或者采购代理机构工作人员恶意串通的；</w:t>
      </w:r>
    </w:p>
    <w:p w14:paraId="4741973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4）向采购人、采购代理机构工作人员行贿或者提供其他不正当利益的；</w:t>
      </w:r>
    </w:p>
    <w:p w14:paraId="379D8416">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5）在采购过程中与采购人进行协商谈判的；</w:t>
      </w:r>
    </w:p>
    <w:p w14:paraId="7C703240">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6）拒绝有关部门监督检查或提供虚假情况的。</w:t>
      </w:r>
    </w:p>
    <w:p w14:paraId="3C284876">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highlight w:val="none"/>
        </w:rPr>
      </w:pPr>
    </w:p>
    <w:p w14:paraId="56AEF633">
      <w:pPr>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highlight w:val="none"/>
        </w:rPr>
      </w:pPr>
    </w:p>
    <w:p w14:paraId="55FAA169">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rPr>
      </w:pPr>
    </w:p>
    <w:p w14:paraId="153E8AC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3E701D9D">
      <w:pPr>
        <w:pStyle w:val="3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lang w:val="en-US" w:eastAsia="zh-CN"/>
        </w:rPr>
      </w:pPr>
    </w:p>
    <w:p w14:paraId="4D1CE34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E017C75">
      <w:pPr>
        <w:pStyle w:val="3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p>
    <w:p w14:paraId="38E234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9BEED2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51925FA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496CE1E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18C4FB6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C98FD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56" w:name="_Toc217446088"/>
      <w:bookmarkStart w:id="457" w:name="_Toc24301"/>
      <w:r>
        <w:rPr>
          <w:rFonts w:hint="eastAsia" w:ascii="宋体" w:hAnsi="宋体" w:eastAsia="宋体" w:cs="宋体"/>
          <w:color w:val="auto"/>
          <w:sz w:val="24"/>
          <w:szCs w:val="24"/>
          <w:highlight w:val="none"/>
          <w:lang w:eastAsia="zh-CN"/>
        </w:rPr>
        <w:br w:type="page"/>
      </w:r>
      <w:bookmarkStart w:id="458" w:name="_Toc27032"/>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基本情况表</w:t>
      </w:r>
      <w:bookmarkEnd w:id="456"/>
      <w:bookmarkEnd w:id="457"/>
      <w:bookmarkEnd w:id="458"/>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370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5A87C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投标人名称</w:t>
            </w:r>
          </w:p>
        </w:tc>
        <w:tc>
          <w:tcPr>
            <w:tcW w:w="7828" w:type="dxa"/>
            <w:gridSpan w:val="6"/>
            <w:noWrap w:val="0"/>
            <w:vAlign w:val="center"/>
          </w:tcPr>
          <w:p w14:paraId="10AE7CF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0DF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44530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是否为联合体</w:t>
            </w:r>
          </w:p>
        </w:tc>
        <w:tc>
          <w:tcPr>
            <w:tcW w:w="7828" w:type="dxa"/>
            <w:gridSpan w:val="6"/>
            <w:noWrap w:val="0"/>
            <w:vAlign w:val="center"/>
          </w:tcPr>
          <w:p w14:paraId="727974E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tc>
      </w:tr>
      <w:tr w14:paraId="284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3D5CC9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618" w:type="dxa"/>
            <w:gridSpan w:val="3"/>
            <w:noWrap w:val="0"/>
            <w:vAlign w:val="center"/>
          </w:tcPr>
          <w:p w14:paraId="164086B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814E8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18" w:type="dxa"/>
            <w:gridSpan w:val="2"/>
            <w:noWrap w:val="0"/>
            <w:vAlign w:val="center"/>
          </w:tcPr>
          <w:p w14:paraId="6EB33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06F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noWrap w:val="0"/>
            <w:vAlign w:val="center"/>
          </w:tcPr>
          <w:p w14:paraId="75377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20" w:type="dxa"/>
            <w:noWrap w:val="0"/>
            <w:vAlign w:val="center"/>
          </w:tcPr>
          <w:p w14:paraId="5BA34C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8" w:type="dxa"/>
            <w:gridSpan w:val="2"/>
            <w:noWrap w:val="0"/>
            <w:vAlign w:val="center"/>
          </w:tcPr>
          <w:p w14:paraId="214898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83BED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18" w:type="dxa"/>
            <w:gridSpan w:val="2"/>
            <w:noWrap w:val="0"/>
            <w:vAlign w:val="center"/>
          </w:tcPr>
          <w:p w14:paraId="6EBF2C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77B8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noWrap w:val="0"/>
            <w:vAlign w:val="center"/>
          </w:tcPr>
          <w:p w14:paraId="545EF5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120" w:type="dxa"/>
            <w:noWrap w:val="0"/>
            <w:vAlign w:val="center"/>
          </w:tcPr>
          <w:p w14:paraId="176FD8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498" w:type="dxa"/>
            <w:gridSpan w:val="2"/>
            <w:noWrap w:val="0"/>
            <w:vAlign w:val="center"/>
          </w:tcPr>
          <w:p w14:paraId="13917B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AA850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18" w:type="dxa"/>
            <w:gridSpan w:val="2"/>
            <w:noWrap w:val="0"/>
            <w:vAlign w:val="center"/>
          </w:tcPr>
          <w:p w14:paraId="7F86E3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5F8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7650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组织结构</w:t>
            </w:r>
          </w:p>
        </w:tc>
        <w:tc>
          <w:tcPr>
            <w:tcW w:w="7828" w:type="dxa"/>
            <w:gridSpan w:val="6"/>
            <w:noWrap w:val="0"/>
            <w:vAlign w:val="center"/>
          </w:tcPr>
          <w:p w14:paraId="0010693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42A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3FF64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20" w:type="dxa"/>
            <w:noWrap w:val="0"/>
            <w:vAlign w:val="center"/>
          </w:tcPr>
          <w:p w14:paraId="3CB425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6CDABE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54BAC2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CDBBB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73CEE4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398FD9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71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0D5D7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1120" w:type="dxa"/>
            <w:noWrap w:val="0"/>
            <w:vAlign w:val="center"/>
          </w:tcPr>
          <w:p w14:paraId="17812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463CF7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0DE91C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A9A4C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1879FA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49187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843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5DFC3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2312" w:type="dxa"/>
            <w:gridSpan w:val="2"/>
            <w:noWrap w:val="0"/>
            <w:vAlign w:val="center"/>
          </w:tcPr>
          <w:p w14:paraId="7D3FAA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5516" w:type="dxa"/>
            <w:gridSpan w:val="4"/>
            <w:noWrap w:val="0"/>
            <w:vAlign w:val="center"/>
          </w:tcPr>
          <w:p w14:paraId="34C24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r>
      <w:tr w14:paraId="7C6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7D3A9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企业资质等级</w:t>
            </w:r>
          </w:p>
        </w:tc>
        <w:tc>
          <w:tcPr>
            <w:tcW w:w="2312" w:type="dxa"/>
            <w:gridSpan w:val="2"/>
            <w:noWrap w:val="0"/>
            <w:vAlign w:val="center"/>
          </w:tcPr>
          <w:p w14:paraId="6CA17B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restart"/>
            <w:noWrap w:val="0"/>
            <w:vAlign w:val="center"/>
          </w:tcPr>
          <w:p w14:paraId="32B10A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p>
        </w:tc>
        <w:tc>
          <w:tcPr>
            <w:tcW w:w="1792" w:type="dxa"/>
            <w:noWrap w:val="0"/>
            <w:vAlign w:val="center"/>
          </w:tcPr>
          <w:p w14:paraId="6D15D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负责人</w:t>
            </w:r>
          </w:p>
        </w:tc>
        <w:tc>
          <w:tcPr>
            <w:tcW w:w="2418" w:type="dxa"/>
            <w:gridSpan w:val="2"/>
            <w:noWrap w:val="0"/>
            <w:vAlign w:val="center"/>
          </w:tcPr>
          <w:p w14:paraId="521EC6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F1F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05B34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2312" w:type="dxa"/>
            <w:gridSpan w:val="2"/>
            <w:noWrap w:val="0"/>
            <w:vAlign w:val="center"/>
          </w:tcPr>
          <w:p w14:paraId="184FC3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16810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05BA30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高级职称人员</w:t>
            </w:r>
          </w:p>
        </w:tc>
        <w:tc>
          <w:tcPr>
            <w:tcW w:w="2418" w:type="dxa"/>
            <w:gridSpan w:val="2"/>
            <w:noWrap w:val="0"/>
            <w:vAlign w:val="center"/>
          </w:tcPr>
          <w:p w14:paraId="63F3F4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046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C380F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312" w:type="dxa"/>
            <w:gridSpan w:val="2"/>
            <w:noWrap w:val="0"/>
            <w:vAlign w:val="center"/>
          </w:tcPr>
          <w:p w14:paraId="6A6C47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4727E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5989C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中级职称人员</w:t>
            </w:r>
          </w:p>
        </w:tc>
        <w:tc>
          <w:tcPr>
            <w:tcW w:w="2418" w:type="dxa"/>
            <w:gridSpan w:val="2"/>
            <w:noWrap w:val="0"/>
            <w:vAlign w:val="center"/>
          </w:tcPr>
          <w:p w14:paraId="3229EC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9C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7300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312" w:type="dxa"/>
            <w:gridSpan w:val="2"/>
            <w:noWrap w:val="0"/>
            <w:vAlign w:val="center"/>
          </w:tcPr>
          <w:p w14:paraId="5185AE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5C8A91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DA8E7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初级职称人员</w:t>
            </w:r>
          </w:p>
        </w:tc>
        <w:tc>
          <w:tcPr>
            <w:tcW w:w="2418" w:type="dxa"/>
            <w:gridSpan w:val="2"/>
            <w:noWrap w:val="0"/>
            <w:vAlign w:val="center"/>
          </w:tcPr>
          <w:p w14:paraId="76AAE5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65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F5C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312" w:type="dxa"/>
            <w:gridSpan w:val="2"/>
            <w:noWrap w:val="0"/>
            <w:vAlign w:val="center"/>
          </w:tcPr>
          <w:p w14:paraId="10BBE4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5E327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13FD6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技工</w:t>
            </w:r>
          </w:p>
        </w:tc>
        <w:tc>
          <w:tcPr>
            <w:tcW w:w="2418" w:type="dxa"/>
            <w:gridSpan w:val="2"/>
            <w:noWrap w:val="0"/>
            <w:vAlign w:val="center"/>
          </w:tcPr>
          <w:p w14:paraId="622695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5AC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noWrap w:val="0"/>
            <w:vAlign w:val="center"/>
          </w:tcPr>
          <w:p w14:paraId="305637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828" w:type="dxa"/>
            <w:gridSpan w:val="6"/>
            <w:noWrap w:val="0"/>
            <w:vAlign w:val="center"/>
          </w:tcPr>
          <w:p w14:paraId="0B8188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b/>
                <w:bCs/>
                <w:color w:val="auto"/>
                <w:kern w:val="0"/>
                <w:sz w:val="24"/>
                <w:szCs w:val="24"/>
                <w:highlight w:val="none"/>
              </w:rPr>
            </w:pPr>
          </w:p>
        </w:tc>
      </w:tr>
      <w:tr w14:paraId="113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noWrap w:val="0"/>
            <w:vAlign w:val="center"/>
          </w:tcPr>
          <w:p w14:paraId="73E54D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828" w:type="dxa"/>
            <w:gridSpan w:val="6"/>
            <w:noWrap w:val="0"/>
            <w:vAlign w:val="center"/>
          </w:tcPr>
          <w:p w14:paraId="504E0F3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bl>
    <w:p w14:paraId="24361874">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088E37D6">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4C9F04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47FACCA8">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p>
    <w:p w14:paraId="1768615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b w:val="0"/>
          <w:bCs w:val="0"/>
          <w:color w:val="auto"/>
          <w:kern w:val="0"/>
          <w:sz w:val="24"/>
          <w:szCs w:val="24"/>
          <w:highlight w:val="none"/>
          <w:lang w:eastAsia="zh-CN"/>
        </w:rPr>
        <w:t>签字或盖章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D2485A2">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77D1D7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bookmarkStart w:id="459" w:name="_Toc4383"/>
      <w:bookmarkStart w:id="460" w:name="_Toc14521"/>
    </w:p>
    <w:p w14:paraId="5A464CA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val="0"/>
          <w:bCs w:val="0"/>
          <w:color w:val="auto"/>
          <w:kern w:val="0"/>
          <w:sz w:val="24"/>
          <w:szCs w:val="24"/>
          <w:highlight w:val="none"/>
        </w:rPr>
        <w:br w:type="page"/>
      </w:r>
      <w:bookmarkStart w:id="461" w:name="_Toc22588"/>
      <w:r>
        <w:rPr>
          <w:rFonts w:hint="eastAsia" w:ascii="宋体" w:hAnsi="宋体" w:eastAsia="宋体" w:cs="宋体"/>
          <w:color w:val="auto"/>
          <w:sz w:val="24"/>
          <w:szCs w:val="24"/>
          <w:highlight w:val="none"/>
          <w:lang w:eastAsia="zh-CN"/>
        </w:rPr>
        <w:t>（三）</w:t>
      </w:r>
      <w:bookmarkEnd w:id="459"/>
      <w:bookmarkEnd w:id="460"/>
      <w:bookmarkStart w:id="462" w:name="_Toc28097"/>
      <w:bookmarkStart w:id="463" w:name="_Toc15668"/>
      <w:r>
        <w:rPr>
          <w:rFonts w:hint="eastAsia" w:ascii="Times New Roman" w:hAnsi="Times New Roman" w:eastAsia="宋体" w:cs="Times New Roman"/>
          <w:color w:val="auto"/>
          <w:sz w:val="24"/>
          <w:szCs w:val="24"/>
          <w:highlight w:val="none"/>
          <w:lang w:eastAsia="zh-CN"/>
        </w:rPr>
        <w:t>技术参数偏离表</w:t>
      </w:r>
      <w:bookmarkEnd w:id="461"/>
      <w:bookmarkEnd w:id="462"/>
      <w:bookmarkEnd w:id="463"/>
    </w:p>
    <w:tbl>
      <w:tblPr>
        <w:tblStyle w:val="173"/>
        <w:tblpPr w:leftFromText="180" w:rightFromText="180" w:vertAnchor="text" w:horzAnchor="page" w:tblpX="1153" w:tblpY="30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896"/>
        <w:gridCol w:w="3314"/>
        <w:gridCol w:w="1283"/>
      </w:tblGrid>
      <w:tr w14:paraId="0A20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06" w:type="dxa"/>
            <w:tcBorders>
              <w:left w:val="single" w:color="000000" w:sz="10" w:space="0"/>
            </w:tcBorders>
            <w:noWrap w:val="0"/>
            <w:vAlign w:val="top"/>
          </w:tcPr>
          <w:p w14:paraId="479275E2">
            <w:pPr>
              <w:spacing w:line="400" w:lineRule="atLeast"/>
              <w:jc w:val="center"/>
              <w:outlineLvl w:val="9"/>
              <w:rPr>
                <w:rFonts w:hint="eastAsia" w:ascii="宋体" w:hAnsi="宋体" w:eastAsia="宋体" w:cs="宋体"/>
                <w:color w:val="auto"/>
                <w:sz w:val="24"/>
                <w:highlight w:val="none"/>
              </w:rPr>
            </w:pPr>
            <w:bookmarkStart w:id="464" w:name="_Toc27822"/>
            <w:bookmarkStart w:id="465" w:name="_Toc12504"/>
            <w:r>
              <w:rPr>
                <w:rFonts w:hint="eastAsia" w:ascii="宋体" w:hAnsi="宋体" w:eastAsia="宋体" w:cs="宋体"/>
                <w:color w:val="auto"/>
                <w:sz w:val="24"/>
                <w:highlight w:val="none"/>
              </w:rPr>
              <w:t>序号</w:t>
            </w:r>
          </w:p>
        </w:tc>
        <w:tc>
          <w:tcPr>
            <w:tcW w:w="3896" w:type="dxa"/>
            <w:noWrap w:val="0"/>
            <w:vAlign w:val="top"/>
          </w:tcPr>
          <w:p w14:paraId="53EE3D41">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招标要求</w:t>
            </w:r>
          </w:p>
        </w:tc>
        <w:tc>
          <w:tcPr>
            <w:tcW w:w="3314" w:type="dxa"/>
            <w:noWrap w:val="0"/>
            <w:vAlign w:val="top"/>
          </w:tcPr>
          <w:p w14:paraId="6DA568E6">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w:t>
            </w:r>
          </w:p>
        </w:tc>
        <w:tc>
          <w:tcPr>
            <w:tcW w:w="1283" w:type="dxa"/>
            <w:tcBorders>
              <w:right w:val="single" w:color="000000" w:sz="10" w:space="0"/>
            </w:tcBorders>
            <w:noWrap w:val="0"/>
            <w:vAlign w:val="top"/>
          </w:tcPr>
          <w:p w14:paraId="09DD969A">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r>
      <w:tr w14:paraId="5F66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470DDBDE">
            <w:pPr>
              <w:rPr>
                <w:rFonts w:ascii="Arial"/>
                <w:color w:val="auto"/>
                <w:sz w:val="21"/>
                <w:highlight w:val="none"/>
              </w:rPr>
            </w:pPr>
          </w:p>
        </w:tc>
        <w:tc>
          <w:tcPr>
            <w:tcW w:w="3896" w:type="dxa"/>
            <w:noWrap w:val="0"/>
            <w:vAlign w:val="top"/>
          </w:tcPr>
          <w:p w14:paraId="5D4839C6">
            <w:pPr>
              <w:rPr>
                <w:rFonts w:ascii="Arial"/>
                <w:color w:val="auto"/>
                <w:sz w:val="21"/>
                <w:highlight w:val="none"/>
              </w:rPr>
            </w:pPr>
          </w:p>
        </w:tc>
        <w:tc>
          <w:tcPr>
            <w:tcW w:w="3314" w:type="dxa"/>
            <w:noWrap w:val="0"/>
            <w:vAlign w:val="top"/>
          </w:tcPr>
          <w:p w14:paraId="64CF56DF">
            <w:pPr>
              <w:rPr>
                <w:rFonts w:ascii="Arial"/>
                <w:color w:val="auto"/>
                <w:sz w:val="21"/>
                <w:highlight w:val="none"/>
              </w:rPr>
            </w:pPr>
          </w:p>
        </w:tc>
        <w:tc>
          <w:tcPr>
            <w:tcW w:w="1283" w:type="dxa"/>
            <w:tcBorders>
              <w:right w:val="single" w:color="000000" w:sz="10" w:space="0"/>
            </w:tcBorders>
            <w:noWrap w:val="0"/>
            <w:vAlign w:val="top"/>
          </w:tcPr>
          <w:p w14:paraId="717C62E2">
            <w:pPr>
              <w:rPr>
                <w:rFonts w:ascii="Arial"/>
                <w:color w:val="auto"/>
                <w:sz w:val="21"/>
                <w:highlight w:val="none"/>
              </w:rPr>
            </w:pPr>
          </w:p>
        </w:tc>
      </w:tr>
      <w:tr w14:paraId="0241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3AAA2B15">
            <w:pPr>
              <w:rPr>
                <w:rFonts w:ascii="Arial"/>
                <w:color w:val="auto"/>
                <w:sz w:val="21"/>
                <w:highlight w:val="none"/>
              </w:rPr>
            </w:pPr>
          </w:p>
        </w:tc>
        <w:tc>
          <w:tcPr>
            <w:tcW w:w="3896" w:type="dxa"/>
            <w:noWrap w:val="0"/>
            <w:vAlign w:val="top"/>
          </w:tcPr>
          <w:p w14:paraId="5AB43778">
            <w:pPr>
              <w:rPr>
                <w:rFonts w:ascii="Arial"/>
                <w:color w:val="auto"/>
                <w:sz w:val="21"/>
                <w:highlight w:val="none"/>
              </w:rPr>
            </w:pPr>
          </w:p>
        </w:tc>
        <w:tc>
          <w:tcPr>
            <w:tcW w:w="3314" w:type="dxa"/>
            <w:noWrap w:val="0"/>
            <w:vAlign w:val="top"/>
          </w:tcPr>
          <w:p w14:paraId="5CC33978">
            <w:pPr>
              <w:rPr>
                <w:rFonts w:ascii="Arial"/>
                <w:color w:val="auto"/>
                <w:sz w:val="21"/>
                <w:highlight w:val="none"/>
              </w:rPr>
            </w:pPr>
          </w:p>
        </w:tc>
        <w:tc>
          <w:tcPr>
            <w:tcW w:w="1283" w:type="dxa"/>
            <w:tcBorders>
              <w:right w:val="single" w:color="000000" w:sz="10" w:space="0"/>
            </w:tcBorders>
            <w:noWrap w:val="0"/>
            <w:vAlign w:val="top"/>
          </w:tcPr>
          <w:p w14:paraId="3E1B8699">
            <w:pPr>
              <w:rPr>
                <w:rFonts w:ascii="Arial"/>
                <w:color w:val="auto"/>
                <w:sz w:val="21"/>
                <w:highlight w:val="none"/>
              </w:rPr>
            </w:pPr>
          </w:p>
        </w:tc>
      </w:tr>
      <w:tr w14:paraId="71C3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5AA07928">
            <w:pPr>
              <w:rPr>
                <w:rFonts w:ascii="Arial"/>
                <w:color w:val="auto"/>
                <w:sz w:val="21"/>
                <w:highlight w:val="none"/>
              </w:rPr>
            </w:pPr>
          </w:p>
        </w:tc>
        <w:tc>
          <w:tcPr>
            <w:tcW w:w="3896" w:type="dxa"/>
            <w:noWrap w:val="0"/>
            <w:vAlign w:val="top"/>
          </w:tcPr>
          <w:p w14:paraId="5CA0A25F">
            <w:pPr>
              <w:rPr>
                <w:rFonts w:ascii="Arial"/>
                <w:color w:val="auto"/>
                <w:sz w:val="21"/>
                <w:highlight w:val="none"/>
              </w:rPr>
            </w:pPr>
          </w:p>
        </w:tc>
        <w:tc>
          <w:tcPr>
            <w:tcW w:w="3314" w:type="dxa"/>
            <w:noWrap w:val="0"/>
            <w:vAlign w:val="top"/>
          </w:tcPr>
          <w:p w14:paraId="2A270948">
            <w:pPr>
              <w:rPr>
                <w:rFonts w:ascii="Arial"/>
                <w:color w:val="auto"/>
                <w:sz w:val="21"/>
                <w:highlight w:val="none"/>
              </w:rPr>
            </w:pPr>
          </w:p>
        </w:tc>
        <w:tc>
          <w:tcPr>
            <w:tcW w:w="1283" w:type="dxa"/>
            <w:tcBorders>
              <w:right w:val="single" w:color="000000" w:sz="10" w:space="0"/>
            </w:tcBorders>
            <w:noWrap w:val="0"/>
            <w:vAlign w:val="top"/>
          </w:tcPr>
          <w:p w14:paraId="5A79454C">
            <w:pPr>
              <w:rPr>
                <w:rFonts w:ascii="Arial"/>
                <w:color w:val="auto"/>
                <w:sz w:val="21"/>
                <w:highlight w:val="none"/>
              </w:rPr>
            </w:pPr>
          </w:p>
        </w:tc>
      </w:tr>
      <w:tr w14:paraId="1FC2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1BBA1EA3">
            <w:pPr>
              <w:rPr>
                <w:rFonts w:ascii="Arial"/>
                <w:color w:val="auto"/>
                <w:sz w:val="21"/>
                <w:highlight w:val="none"/>
              </w:rPr>
            </w:pPr>
          </w:p>
        </w:tc>
        <w:tc>
          <w:tcPr>
            <w:tcW w:w="3896" w:type="dxa"/>
            <w:noWrap w:val="0"/>
            <w:vAlign w:val="top"/>
          </w:tcPr>
          <w:p w14:paraId="7FA470D9">
            <w:pPr>
              <w:rPr>
                <w:rFonts w:ascii="Arial"/>
                <w:color w:val="auto"/>
                <w:sz w:val="21"/>
                <w:highlight w:val="none"/>
              </w:rPr>
            </w:pPr>
          </w:p>
        </w:tc>
        <w:tc>
          <w:tcPr>
            <w:tcW w:w="3314" w:type="dxa"/>
            <w:noWrap w:val="0"/>
            <w:vAlign w:val="top"/>
          </w:tcPr>
          <w:p w14:paraId="29D7D0B3">
            <w:pPr>
              <w:rPr>
                <w:rFonts w:ascii="Arial"/>
                <w:color w:val="auto"/>
                <w:sz w:val="21"/>
                <w:highlight w:val="none"/>
              </w:rPr>
            </w:pPr>
          </w:p>
        </w:tc>
        <w:tc>
          <w:tcPr>
            <w:tcW w:w="1283" w:type="dxa"/>
            <w:tcBorders>
              <w:right w:val="single" w:color="000000" w:sz="10" w:space="0"/>
            </w:tcBorders>
            <w:noWrap w:val="0"/>
            <w:vAlign w:val="top"/>
          </w:tcPr>
          <w:p w14:paraId="552AAFBF">
            <w:pPr>
              <w:rPr>
                <w:rFonts w:ascii="Arial"/>
                <w:color w:val="auto"/>
                <w:sz w:val="21"/>
                <w:highlight w:val="none"/>
              </w:rPr>
            </w:pPr>
          </w:p>
        </w:tc>
      </w:tr>
      <w:tr w14:paraId="3BAF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2DDE063F">
            <w:pPr>
              <w:rPr>
                <w:rFonts w:ascii="Arial"/>
                <w:color w:val="auto"/>
                <w:sz w:val="21"/>
                <w:highlight w:val="none"/>
              </w:rPr>
            </w:pPr>
          </w:p>
        </w:tc>
        <w:tc>
          <w:tcPr>
            <w:tcW w:w="3896" w:type="dxa"/>
            <w:noWrap w:val="0"/>
            <w:vAlign w:val="top"/>
          </w:tcPr>
          <w:p w14:paraId="7BF4F002">
            <w:pPr>
              <w:rPr>
                <w:rFonts w:ascii="Arial"/>
                <w:color w:val="auto"/>
                <w:sz w:val="21"/>
                <w:highlight w:val="none"/>
              </w:rPr>
            </w:pPr>
          </w:p>
        </w:tc>
        <w:tc>
          <w:tcPr>
            <w:tcW w:w="3314" w:type="dxa"/>
            <w:noWrap w:val="0"/>
            <w:vAlign w:val="top"/>
          </w:tcPr>
          <w:p w14:paraId="275BDB9B">
            <w:pPr>
              <w:rPr>
                <w:rFonts w:ascii="Arial"/>
                <w:color w:val="auto"/>
                <w:sz w:val="21"/>
                <w:highlight w:val="none"/>
              </w:rPr>
            </w:pPr>
          </w:p>
        </w:tc>
        <w:tc>
          <w:tcPr>
            <w:tcW w:w="1283" w:type="dxa"/>
            <w:tcBorders>
              <w:right w:val="single" w:color="000000" w:sz="10" w:space="0"/>
            </w:tcBorders>
            <w:noWrap w:val="0"/>
            <w:vAlign w:val="top"/>
          </w:tcPr>
          <w:p w14:paraId="25D7C062">
            <w:pPr>
              <w:rPr>
                <w:rFonts w:ascii="Arial"/>
                <w:color w:val="auto"/>
                <w:sz w:val="21"/>
                <w:highlight w:val="none"/>
              </w:rPr>
            </w:pPr>
          </w:p>
        </w:tc>
      </w:tr>
      <w:tr w14:paraId="0C3B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4C593499">
            <w:pPr>
              <w:rPr>
                <w:rFonts w:ascii="Arial"/>
                <w:color w:val="auto"/>
                <w:sz w:val="21"/>
                <w:highlight w:val="none"/>
              </w:rPr>
            </w:pPr>
          </w:p>
        </w:tc>
        <w:tc>
          <w:tcPr>
            <w:tcW w:w="3896" w:type="dxa"/>
            <w:noWrap w:val="0"/>
            <w:vAlign w:val="top"/>
          </w:tcPr>
          <w:p w14:paraId="6BA6C02D">
            <w:pPr>
              <w:rPr>
                <w:rFonts w:ascii="Arial"/>
                <w:color w:val="auto"/>
                <w:sz w:val="21"/>
                <w:highlight w:val="none"/>
              </w:rPr>
            </w:pPr>
          </w:p>
        </w:tc>
        <w:tc>
          <w:tcPr>
            <w:tcW w:w="3314" w:type="dxa"/>
            <w:noWrap w:val="0"/>
            <w:vAlign w:val="top"/>
          </w:tcPr>
          <w:p w14:paraId="53EDB44B">
            <w:pPr>
              <w:rPr>
                <w:rFonts w:ascii="Arial"/>
                <w:color w:val="auto"/>
                <w:sz w:val="21"/>
                <w:highlight w:val="none"/>
              </w:rPr>
            </w:pPr>
          </w:p>
        </w:tc>
        <w:tc>
          <w:tcPr>
            <w:tcW w:w="1283" w:type="dxa"/>
            <w:tcBorders>
              <w:right w:val="single" w:color="000000" w:sz="10" w:space="0"/>
            </w:tcBorders>
            <w:noWrap w:val="0"/>
            <w:vAlign w:val="top"/>
          </w:tcPr>
          <w:p w14:paraId="231B1087">
            <w:pPr>
              <w:rPr>
                <w:rFonts w:ascii="Arial"/>
                <w:color w:val="auto"/>
                <w:sz w:val="21"/>
                <w:highlight w:val="none"/>
              </w:rPr>
            </w:pPr>
          </w:p>
        </w:tc>
      </w:tr>
      <w:tr w14:paraId="388A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7C72135A">
            <w:pPr>
              <w:rPr>
                <w:rFonts w:ascii="Arial"/>
                <w:color w:val="auto"/>
                <w:sz w:val="21"/>
                <w:highlight w:val="none"/>
              </w:rPr>
            </w:pPr>
          </w:p>
        </w:tc>
        <w:tc>
          <w:tcPr>
            <w:tcW w:w="3896" w:type="dxa"/>
            <w:noWrap w:val="0"/>
            <w:vAlign w:val="top"/>
          </w:tcPr>
          <w:p w14:paraId="72279FF9">
            <w:pPr>
              <w:rPr>
                <w:rFonts w:ascii="Arial"/>
                <w:color w:val="auto"/>
                <w:sz w:val="21"/>
                <w:highlight w:val="none"/>
              </w:rPr>
            </w:pPr>
          </w:p>
        </w:tc>
        <w:tc>
          <w:tcPr>
            <w:tcW w:w="3314" w:type="dxa"/>
            <w:noWrap w:val="0"/>
            <w:vAlign w:val="top"/>
          </w:tcPr>
          <w:p w14:paraId="0BAA08A1">
            <w:pPr>
              <w:rPr>
                <w:rFonts w:ascii="Arial"/>
                <w:color w:val="auto"/>
                <w:sz w:val="21"/>
                <w:highlight w:val="none"/>
              </w:rPr>
            </w:pPr>
          </w:p>
        </w:tc>
        <w:tc>
          <w:tcPr>
            <w:tcW w:w="1283" w:type="dxa"/>
            <w:tcBorders>
              <w:right w:val="single" w:color="000000" w:sz="10" w:space="0"/>
            </w:tcBorders>
            <w:noWrap w:val="0"/>
            <w:vAlign w:val="top"/>
          </w:tcPr>
          <w:p w14:paraId="4C78AE9A">
            <w:pPr>
              <w:rPr>
                <w:rFonts w:ascii="Arial"/>
                <w:color w:val="auto"/>
                <w:sz w:val="21"/>
                <w:highlight w:val="none"/>
              </w:rPr>
            </w:pPr>
          </w:p>
        </w:tc>
      </w:tr>
      <w:tr w14:paraId="679F3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206" w:type="dxa"/>
            <w:tcBorders>
              <w:left w:val="single" w:color="000000" w:sz="10" w:space="0"/>
            </w:tcBorders>
            <w:noWrap w:val="0"/>
            <w:vAlign w:val="top"/>
          </w:tcPr>
          <w:p w14:paraId="7E92985F">
            <w:pPr>
              <w:rPr>
                <w:rFonts w:ascii="Arial"/>
                <w:color w:val="auto"/>
                <w:sz w:val="21"/>
                <w:highlight w:val="none"/>
              </w:rPr>
            </w:pPr>
          </w:p>
        </w:tc>
        <w:tc>
          <w:tcPr>
            <w:tcW w:w="3896" w:type="dxa"/>
            <w:noWrap w:val="0"/>
            <w:vAlign w:val="top"/>
          </w:tcPr>
          <w:p w14:paraId="5E43CADF">
            <w:pPr>
              <w:rPr>
                <w:rFonts w:ascii="Arial"/>
                <w:color w:val="auto"/>
                <w:sz w:val="21"/>
                <w:highlight w:val="none"/>
              </w:rPr>
            </w:pPr>
          </w:p>
        </w:tc>
        <w:tc>
          <w:tcPr>
            <w:tcW w:w="3314" w:type="dxa"/>
            <w:noWrap w:val="0"/>
            <w:vAlign w:val="top"/>
          </w:tcPr>
          <w:p w14:paraId="69BD473F">
            <w:pPr>
              <w:rPr>
                <w:rFonts w:ascii="Arial"/>
                <w:color w:val="auto"/>
                <w:sz w:val="21"/>
                <w:highlight w:val="none"/>
              </w:rPr>
            </w:pPr>
          </w:p>
        </w:tc>
        <w:tc>
          <w:tcPr>
            <w:tcW w:w="1283" w:type="dxa"/>
            <w:tcBorders>
              <w:right w:val="single" w:color="000000" w:sz="10" w:space="0"/>
            </w:tcBorders>
            <w:noWrap w:val="0"/>
            <w:vAlign w:val="top"/>
          </w:tcPr>
          <w:p w14:paraId="6CD13F93">
            <w:pPr>
              <w:rPr>
                <w:rFonts w:ascii="Arial"/>
                <w:color w:val="auto"/>
                <w:sz w:val="21"/>
                <w:highlight w:val="none"/>
              </w:rPr>
            </w:pPr>
          </w:p>
        </w:tc>
      </w:tr>
    </w:tbl>
    <w:p w14:paraId="33804F78">
      <w:pPr>
        <w:spacing w:line="272" w:lineRule="auto"/>
        <w:rPr>
          <w:rFonts w:ascii="Arial"/>
          <w:color w:val="auto"/>
          <w:sz w:val="21"/>
          <w:highlight w:val="none"/>
        </w:rPr>
      </w:pPr>
    </w:p>
    <w:p w14:paraId="42EF78F4">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注：与采购文件中“第三部分 </w:t>
      </w:r>
      <w:r>
        <w:rPr>
          <w:rFonts w:hint="eastAsia" w:ascii="宋体" w:hAnsi="宋体" w:cs="宋体"/>
          <w:sz w:val="24"/>
          <w:szCs w:val="24"/>
          <w:lang w:val="en-US" w:eastAsia="zh-CN"/>
        </w:rPr>
        <w:t>采购需求</w:t>
      </w:r>
      <w:r>
        <w:rPr>
          <w:rFonts w:hint="eastAsia" w:ascii="宋体" w:hAnsi="宋体" w:cs="宋体"/>
          <w:sz w:val="24"/>
          <w:szCs w:val="24"/>
        </w:rPr>
        <w:t>”</w:t>
      </w:r>
      <w:r>
        <w:rPr>
          <w:rFonts w:hint="eastAsia" w:ascii="宋体" w:hAnsi="宋体" w:cs="宋体"/>
          <w:sz w:val="24"/>
          <w:szCs w:val="24"/>
          <w:lang w:val="en-US" w:eastAsia="zh-CN"/>
        </w:rPr>
        <w:t>的“技术标准及要求”</w:t>
      </w:r>
      <w:r>
        <w:rPr>
          <w:rFonts w:hint="eastAsia" w:ascii="宋体" w:hAnsi="宋体" w:cs="宋体"/>
          <w:sz w:val="24"/>
          <w:szCs w:val="24"/>
        </w:rPr>
        <w:t>逐条对应填写，“偏离情况”填写“正偏离”或“负偏离”或“无偏离”。</w:t>
      </w:r>
    </w:p>
    <w:p w14:paraId="69B3B9AA">
      <w:pPr>
        <w:spacing w:line="277" w:lineRule="auto"/>
        <w:rPr>
          <w:rFonts w:ascii="Arial"/>
          <w:color w:val="auto"/>
          <w:sz w:val="21"/>
          <w:highlight w:val="none"/>
        </w:rPr>
      </w:pPr>
    </w:p>
    <w:p w14:paraId="353384B9">
      <w:pPr>
        <w:spacing w:line="278" w:lineRule="auto"/>
        <w:rPr>
          <w:rFonts w:ascii="Arial"/>
          <w:color w:val="auto"/>
          <w:sz w:val="21"/>
          <w:highlight w:val="none"/>
        </w:rPr>
      </w:pPr>
    </w:p>
    <w:p w14:paraId="281AD23A">
      <w:pPr>
        <w:spacing w:line="278" w:lineRule="auto"/>
        <w:rPr>
          <w:rFonts w:ascii="Arial"/>
          <w:color w:val="auto"/>
          <w:sz w:val="21"/>
          <w:highlight w:val="none"/>
        </w:rPr>
      </w:pPr>
    </w:p>
    <w:p w14:paraId="7119E818">
      <w:pPr>
        <w:tabs>
          <w:tab w:val="left" w:pos="146"/>
        </w:tabs>
        <w:spacing w:before="184" w:line="360" w:lineRule="auto"/>
        <w:ind w:left="11" w:right="48" w:firstLine="493"/>
        <w:rPr>
          <w:rFonts w:ascii="宋体" w:hAnsi="宋体" w:eastAsia="宋体" w:cs="宋体"/>
          <w:color w:val="auto"/>
          <w:spacing w:val="8"/>
          <w:sz w:val="24"/>
          <w:szCs w:val="24"/>
          <w:highlight w:val="none"/>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ascii="宋体" w:hAnsi="宋体" w:eastAsia="宋体" w:cs="宋体"/>
          <w:color w:val="auto"/>
          <w:spacing w:val="8"/>
          <w:sz w:val="24"/>
          <w:szCs w:val="24"/>
          <w:highlight w:val="none"/>
          <w:u w:val="single"/>
        </w:rPr>
        <w:t xml:space="preserve">                           </w:t>
      </w:r>
    </w:p>
    <w:p w14:paraId="3D7F8B95">
      <w:pPr>
        <w:tabs>
          <w:tab w:val="left" w:pos="146"/>
        </w:tabs>
        <w:spacing w:before="184" w:line="360" w:lineRule="auto"/>
        <w:ind w:left="11" w:right="48" w:firstLine="493"/>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CD92D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248AF5A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25BA823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bookmarkStart w:id="466" w:name="_Toc1295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四</w:t>
      </w:r>
      <w:r>
        <w:rPr>
          <w:rFonts w:hint="eastAsia" w:ascii="Times New Roman" w:hAnsi="Times New Roman" w:eastAsia="宋体" w:cs="Times New Roman"/>
          <w:color w:val="auto"/>
          <w:sz w:val="24"/>
          <w:szCs w:val="24"/>
          <w:highlight w:val="none"/>
          <w:lang w:eastAsia="zh-CN"/>
        </w:rPr>
        <w:t>）商务条款偏离表</w:t>
      </w:r>
      <w:bookmarkEnd w:id="464"/>
      <w:bookmarkEnd w:id="465"/>
      <w:bookmarkEnd w:id="466"/>
    </w:p>
    <w:p w14:paraId="0AB04B1A">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新疆西昆仑地区地质勘查服务采购项目</w:t>
      </w:r>
      <w:r>
        <w:rPr>
          <w:rFonts w:hint="eastAsia" w:ascii="宋体" w:hAnsi="宋体" w:eastAsia="宋体" w:cs="宋体"/>
          <w:color w:val="auto"/>
          <w:sz w:val="24"/>
          <w:szCs w:val="24"/>
          <w:highlight w:val="none"/>
          <w:u w:val="single"/>
          <w:lang w:val="en-US" w:eastAsia="zh-CN"/>
        </w:rPr>
        <w:t xml:space="preserve"> </w:t>
      </w:r>
    </w:p>
    <w:p w14:paraId="0E7F49F9">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ZTQ-2026041</w:t>
      </w:r>
      <w:r>
        <w:rPr>
          <w:rFonts w:hint="eastAsia" w:ascii="宋体" w:hAnsi="宋体" w:cs="宋体"/>
          <w:color w:val="auto"/>
          <w:sz w:val="24"/>
          <w:szCs w:val="24"/>
          <w:highlight w:val="none"/>
          <w:u w:val="single"/>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38"/>
        <w:gridCol w:w="3028"/>
        <w:gridCol w:w="2598"/>
      </w:tblGrid>
      <w:tr w14:paraId="2326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7" w:type="dxa"/>
            <w:noWrap w:val="0"/>
            <w:vAlign w:val="center"/>
          </w:tcPr>
          <w:p w14:paraId="6041C3AA">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序号</w:t>
            </w:r>
          </w:p>
        </w:tc>
        <w:tc>
          <w:tcPr>
            <w:tcW w:w="2938" w:type="dxa"/>
            <w:noWrap w:val="0"/>
            <w:vAlign w:val="center"/>
          </w:tcPr>
          <w:p w14:paraId="26A10BFD">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招标文件的商务条款</w:t>
            </w:r>
          </w:p>
        </w:tc>
        <w:tc>
          <w:tcPr>
            <w:tcW w:w="3028" w:type="dxa"/>
            <w:noWrap w:val="0"/>
            <w:vAlign w:val="center"/>
          </w:tcPr>
          <w:p w14:paraId="3FE68176">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的商务条款</w:t>
            </w:r>
          </w:p>
        </w:tc>
        <w:tc>
          <w:tcPr>
            <w:tcW w:w="2598" w:type="dxa"/>
            <w:noWrap w:val="0"/>
            <w:vAlign w:val="center"/>
          </w:tcPr>
          <w:p w14:paraId="47F6B3B0">
            <w:pPr>
              <w:spacing w:line="400" w:lineRule="atLeas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偏离情况</w:t>
            </w:r>
          </w:p>
        </w:tc>
      </w:tr>
      <w:tr w14:paraId="1C85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C6A78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4B6FEA6">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6C0B71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0711040">
            <w:pPr>
              <w:spacing w:line="400" w:lineRule="atLeast"/>
              <w:jc w:val="center"/>
              <w:outlineLvl w:val="9"/>
              <w:rPr>
                <w:rFonts w:hint="eastAsia" w:ascii="宋体" w:hAnsi="宋体" w:cs="宋体"/>
                <w:color w:val="auto"/>
                <w:sz w:val="24"/>
                <w:highlight w:val="none"/>
              </w:rPr>
            </w:pPr>
          </w:p>
        </w:tc>
      </w:tr>
      <w:tr w14:paraId="2957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0F327E6">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134AFA3D">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43451D3">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7ED6C4A2">
            <w:pPr>
              <w:spacing w:line="400" w:lineRule="atLeast"/>
              <w:jc w:val="center"/>
              <w:outlineLvl w:val="9"/>
              <w:rPr>
                <w:rFonts w:hint="eastAsia" w:ascii="宋体" w:hAnsi="宋体" w:cs="宋体"/>
                <w:color w:val="auto"/>
                <w:sz w:val="24"/>
                <w:highlight w:val="none"/>
              </w:rPr>
            </w:pPr>
          </w:p>
        </w:tc>
      </w:tr>
      <w:tr w14:paraId="032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2CF7C9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75CAC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0ABB7632">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43227F6">
            <w:pPr>
              <w:spacing w:line="400" w:lineRule="atLeast"/>
              <w:jc w:val="center"/>
              <w:outlineLvl w:val="9"/>
              <w:rPr>
                <w:rFonts w:hint="eastAsia" w:ascii="宋体" w:hAnsi="宋体" w:cs="宋体"/>
                <w:color w:val="auto"/>
                <w:sz w:val="24"/>
                <w:highlight w:val="none"/>
              </w:rPr>
            </w:pPr>
          </w:p>
        </w:tc>
      </w:tr>
      <w:tr w14:paraId="324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749DC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EF91C7F">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C31A1FA">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40A38AED">
            <w:pPr>
              <w:spacing w:line="400" w:lineRule="atLeast"/>
              <w:jc w:val="center"/>
              <w:outlineLvl w:val="9"/>
              <w:rPr>
                <w:rFonts w:hint="eastAsia" w:ascii="宋体" w:hAnsi="宋体" w:cs="宋体"/>
                <w:color w:val="auto"/>
                <w:sz w:val="24"/>
                <w:highlight w:val="none"/>
              </w:rPr>
            </w:pPr>
          </w:p>
        </w:tc>
      </w:tr>
      <w:tr w14:paraId="2C6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229B03CE">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A2968F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1EE297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32FB7355">
            <w:pPr>
              <w:spacing w:line="400" w:lineRule="atLeast"/>
              <w:jc w:val="center"/>
              <w:outlineLvl w:val="9"/>
              <w:rPr>
                <w:rFonts w:hint="eastAsia" w:ascii="宋体" w:hAnsi="宋体" w:cs="宋体"/>
                <w:color w:val="auto"/>
                <w:sz w:val="24"/>
                <w:highlight w:val="none"/>
              </w:rPr>
            </w:pPr>
          </w:p>
        </w:tc>
      </w:tr>
      <w:tr w14:paraId="64B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795E08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5A942BA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34C1F2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D010CC8">
            <w:pPr>
              <w:spacing w:line="400" w:lineRule="atLeast"/>
              <w:jc w:val="center"/>
              <w:outlineLvl w:val="9"/>
              <w:rPr>
                <w:rFonts w:hint="eastAsia" w:ascii="宋体" w:hAnsi="宋体" w:cs="宋体"/>
                <w:color w:val="auto"/>
                <w:sz w:val="24"/>
                <w:highlight w:val="none"/>
              </w:rPr>
            </w:pPr>
          </w:p>
        </w:tc>
      </w:tr>
      <w:tr w14:paraId="722D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298144B">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1252C81">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7F942EF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906875C">
            <w:pPr>
              <w:spacing w:line="400" w:lineRule="atLeast"/>
              <w:jc w:val="center"/>
              <w:outlineLvl w:val="9"/>
              <w:rPr>
                <w:rFonts w:hint="eastAsia" w:ascii="宋体" w:hAnsi="宋体" w:cs="宋体"/>
                <w:color w:val="auto"/>
                <w:sz w:val="24"/>
                <w:highlight w:val="none"/>
              </w:rPr>
            </w:pPr>
          </w:p>
        </w:tc>
      </w:tr>
      <w:tr w14:paraId="5E11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6B534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A2888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DE11BE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2108CD6">
            <w:pPr>
              <w:spacing w:line="400" w:lineRule="atLeast"/>
              <w:jc w:val="center"/>
              <w:outlineLvl w:val="9"/>
              <w:rPr>
                <w:rFonts w:hint="eastAsia" w:ascii="宋体" w:hAnsi="宋体" w:cs="宋体"/>
                <w:color w:val="auto"/>
                <w:sz w:val="24"/>
                <w:highlight w:val="none"/>
              </w:rPr>
            </w:pPr>
          </w:p>
        </w:tc>
      </w:tr>
      <w:tr w14:paraId="59B9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AAF429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0CA0A55">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0ED00F7">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F2E288E">
            <w:pPr>
              <w:spacing w:line="400" w:lineRule="atLeast"/>
              <w:jc w:val="center"/>
              <w:outlineLvl w:val="9"/>
              <w:rPr>
                <w:rFonts w:hint="eastAsia" w:ascii="宋体" w:hAnsi="宋体" w:cs="宋体"/>
                <w:color w:val="auto"/>
                <w:sz w:val="24"/>
                <w:highlight w:val="none"/>
              </w:rPr>
            </w:pPr>
          </w:p>
        </w:tc>
      </w:tr>
      <w:tr w14:paraId="6875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666FCB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F40CB90">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043003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6D202C08">
            <w:pPr>
              <w:spacing w:line="400" w:lineRule="atLeast"/>
              <w:jc w:val="center"/>
              <w:outlineLvl w:val="9"/>
              <w:rPr>
                <w:rFonts w:hint="eastAsia" w:ascii="宋体" w:hAnsi="宋体" w:cs="宋体"/>
                <w:color w:val="auto"/>
                <w:sz w:val="24"/>
                <w:highlight w:val="none"/>
              </w:rPr>
            </w:pPr>
          </w:p>
        </w:tc>
      </w:tr>
      <w:tr w14:paraId="7EC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EE0873C">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454D270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323449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69A1138">
            <w:pPr>
              <w:spacing w:line="400" w:lineRule="atLeast"/>
              <w:jc w:val="center"/>
              <w:outlineLvl w:val="9"/>
              <w:rPr>
                <w:rFonts w:hint="eastAsia" w:ascii="宋体" w:hAnsi="宋体" w:cs="宋体"/>
                <w:color w:val="auto"/>
                <w:sz w:val="24"/>
                <w:highlight w:val="none"/>
              </w:rPr>
            </w:pPr>
          </w:p>
        </w:tc>
      </w:tr>
      <w:tr w14:paraId="3C94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C2153B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C64DB7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473DAF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5E9E0FAB">
            <w:pPr>
              <w:spacing w:line="400" w:lineRule="atLeast"/>
              <w:jc w:val="center"/>
              <w:outlineLvl w:val="9"/>
              <w:rPr>
                <w:rFonts w:hint="eastAsia" w:ascii="宋体" w:hAnsi="宋体" w:cs="宋体"/>
                <w:color w:val="auto"/>
                <w:sz w:val="24"/>
                <w:highlight w:val="none"/>
              </w:rPr>
            </w:pPr>
          </w:p>
        </w:tc>
      </w:tr>
      <w:tr w14:paraId="6A9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97" w:type="dxa"/>
            <w:noWrap w:val="0"/>
            <w:vAlign w:val="top"/>
          </w:tcPr>
          <w:p w14:paraId="244480C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085CF1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32ABA04">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90FA42F">
            <w:pPr>
              <w:spacing w:line="400" w:lineRule="atLeast"/>
              <w:jc w:val="center"/>
              <w:outlineLvl w:val="9"/>
              <w:rPr>
                <w:rFonts w:hint="eastAsia" w:ascii="宋体" w:hAnsi="宋体" w:cs="宋体"/>
                <w:color w:val="auto"/>
                <w:sz w:val="24"/>
                <w:highlight w:val="none"/>
              </w:rPr>
            </w:pPr>
          </w:p>
        </w:tc>
      </w:tr>
    </w:tbl>
    <w:p w14:paraId="17C04FEF">
      <w:pPr>
        <w:spacing w:line="40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投标人对“第二部分”</w:t>
      </w:r>
      <w:r>
        <w:rPr>
          <w:rFonts w:hint="eastAsia" w:asciiTheme="minorEastAsia" w:hAnsiTheme="minorEastAsia" w:eastAsiaTheme="minorEastAsia" w:cstheme="minorEastAsia"/>
          <w:sz w:val="24"/>
          <w:lang w:val="en-US" w:eastAsia="zh-CN"/>
        </w:rPr>
        <w:t>投标人</w:t>
      </w:r>
      <w:r>
        <w:rPr>
          <w:rFonts w:hint="eastAsia" w:asciiTheme="minorEastAsia" w:hAnsiTheme="minorEastAsia" w:eastAsiaTheme="minorEastAsia" w:cstheme="minorEastAsia"/>
          <w:sz w:val="24"/>
        </w:rPr>
        <w:t>须知中的合同履约限期、服务地点、服务标准、付款方式、</w:t>
      </w:r>
      <w:r>
        <w:rPr>
          <w:rFonts w:hint="eastAsia" w:asciiTheme="minorEastAsia" w:hAnsiTheme="minorEastAsia" w:eastAsiaTheme="minorEastAsia" w:cstheme="minorEastAsia"/>
          <w:sz w:val="24"/>
          <w:lang w:val="en-US" w:eastAsia="zh-CN"/>
        </w:rPr>
        <w:t>投标</w:t>
      </w:r>
      <w:r>
        <w:rPr>
          <w:rFonts w:hint="eastAsia" w:asciiTheme="minorEastAsia" w:hAnsiTheme="minorEastAsia" w:eastAsiaTheme="minorEastAsia" w:cstheme="minorEastAsia"/>
          <w:sz w:val="24"/>
        </w:rPr>
        <w:t>有效期等相关在内的条款，进行响应，有任何偏离（正偏离/负偏离），请在本表中详细填写，“偏离情况”填写“正偏离”或“负偏离”或“无偏 离”。</w:t>
      </w:r>
    </w:p>
    <w:p w14:paraId="5052DE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08BE18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40F5DDC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3427D4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0C63681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ABEF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3987E3D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1B943A5">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bookmarkStart w:id="467" w:name="_Toc17737"/>
      <w:bookmarkStart w:id="468" w:name="_Toc27634"/>
      <w:r>
        <w:rPr>
          <w:rFonts w:hint="eastAsia" w:ascii="Times New Roman" w:hAnsi="Times New Roman" w:eastAsia="宋体" w:cs="Times New Roman"/>
          <w:color w:val="auto"/>
          <w:sz w:val="24"/>
          <w:szCs w:val="24"/>
          <w:highlight w:val="none"/>
          <w:lang w:eastAsia="zh-CN"/>
        </w:rPr>
        <w:br w:type="page"/>
      </w:r>
    </w:p>
    <w:p w14:paraId="0354760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69" w:name="_Toc2804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 w:val="24"/>
          <w:highlight w:val="none"/>
          <w:lang w:val="en-US" w:eastAsia="zh-CN"/>
        </w:rPr>
        <w:t>投标人</w:t>
      </w:r>
      <w:r>
        <w:rPr>
          <w:rFonts w:hint="eastAsia" w:ascii="Times New Roman" w:hAnsi="Times New Roman" w:eastAsia="宋体" w:cs="Times New Roman"/>
          <w:color w:val="auto"/>
          <w:sz w:val="24"/>
          <w:szCs w:val="24"/>
          <w:highlight w:val="none"/>
          <w:lang w:eastAsia="zh-CN"/>
        </w:rPr>
        <w:t>近三年类似</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eastAsia="zh-CN"/>
        </w:rPr>
        <w:t>业绩</w:t>
      </w:r>
      <w:bookmarkEnd w:id="467"/>
      <w:bookmarkEnd w:id="468"/>
      <w:bookmarkEnd w:id="469"/>
    </w:p>
    <w:p w14:paraId="224F6ECC">
      <w:pPr>
        <w:spacing w:line="400" w:lineRule="atLeast"/>
        <w:outlineLvl w:val="9"/>
        <w:rPr>
          <w:rFonts w:hint="eastAsia" w:ascii="宋体" w:hAnsi="宋体" w:cs="宋体"/>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619"/>
        <w:gridCol w:w="1485"/>
        <w:gridCol w:w="1306"/>
        <w:gridCol w:w="1429"/>
        <w:gridCol w:w="1546"/>
        <w:gridCol w:w="1546"/>
      </w:tblGrid>
      <w:tr w14:paraId="7690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top w:val="single" w:color="auto" w:sz="4" w:space="0"/>
            </w:tcBorders>
            <w:noWrap w:val="0"/>
            <w:vAlign w:val="center"/>
          </w:tcPr>
          <w:p w14:paraId="35C587F8">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9" w:type="dxa"/>
            <w:noWrap w:val="0"/>
            <w:vAlign w:val="center"/>
          </w:tcPr>
          <w:p w14:paraId="7411A0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485" w:type="dxa"/>
            <w:noWrap w:val="0"/>
            <w:vAlign w:val="center"/>
          </w:tcPr>
          <w:p w14:paraId="348E51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完成时间</w:t>
            </w:r>
          </w:p>
        </w:tc>
        <w:tc>
          <w:tcPr>
            <w:tcW w:w="1306" w:type="dxa"/>
            <w:noWrap w:val="0"/>
            <w:vAlign w:val="center"/>
          </w:tcPr>
          <w:p w14:paraId="2DACEEC3">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429" w:type="dxa"/>
            <w:noWrap w:val="0"/>
            <w:vAlign w:val="center"/>
          </w:tcPr>
          <w:p w14:paraId="3BC4C4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项目描述</w:t>
            </w:r>
          </w:p>
        </w:tc>
        <w:tc>
          <w:tcPr>
            <w:tcW w:w="1546" w:type="dxa"/>
            <w:tcBorders>
              <w:right w:val="single" w:color="auto" w:sz="4" w:space="0"/>
            </w:tcBorders>
            <w:noWrap w:val="0"/>
            <w:vAlign w:val="center"/>
          </w:tcPr>
          <w:p w14:paraId="785487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546" w:type="dxa"/>
            <w:tcBorders>
              <w:right w:val="single" w:color="auto" w:sz="4" w:space="0"/>
            </w:tcBorders>
            <w:noWrap w:val="0"/>
            <w:vAlign w:val="center"/>
          </w:tcPr>
          <w:p w14:paraId="5A59AA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79763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764198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619" w:type="dxa"/>
            <w:noWrap w:val="0"/>
            <w:vAlign w:val="center"/>
          </w:tcPr>
          <w:p w14:paraId="76255F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555691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3CE4F7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51588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7C5B7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171FC8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5A9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540CC0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619" w:type="dxa"/>
            <w:noWrap w:val="0"/>
            <w:vAlign w:val="center"/>
          </w:tcPr>
          <w:p w14:paraId="566FDB5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67A9E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6A4B7C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0B136E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1681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DE2C5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1500E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9F559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tc>
        <w:tc>
          <w:tcPr>
            <w:tcW w:w="1619" w:type="dxa"/>
            <w:noWrap w:val="0"/>
            <w:vAlign w:val="center"/>
          </w:tcPr>
          <w:p w14:paraId="6BDFD6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3FEB3C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4E8C5B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0232E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8BAF1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025E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236A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5F708D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right w:val="single" w:color="auto" w:sz="4" w:space="0"/>
            </w:tcBorders>
            <w:noWrap w:val="0"/>
            <w:vAlign w:val="center"/>
          </w:tcPr>
          <w:p w14:paraId="4B440B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tcBorders>
            <w:noWrap w:val="0"/>
            <w:vAlign w:val="center"/>
          </w:tcPr>
          <w:p w14:paraId="509CC7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1F360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4EEE78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5EDD71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C023D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70D3E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right w:val="single" w:color="auto" w:sz="4" w:space="0"/>
            </w:tcBorders>
            <w:noWrap w:val="0"/>
            <w:vAlign w:val="center"/>
          </w:tcPr>
          <w:p w14:paraId="291F5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left w:val="single" w:color="auto" w:sz="4" w:space="0"/>
              <w:right w:val="single" w:color="auto" w:sz="4" w:space="0"/>
            </w:tcBorders>
            <w:noWrap w:val="0"/>
            <w:vAlign w:val="center"/>
          </w:tcPr>
          <w:p w14:paraId="30751E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right w:val="single" w:color="auto" w:sz="4" w:space="0"/>
            </w:tcBorders>
            <w:noWrap w:val="0"/>
            <w:vAlign w:val="center"/>
          </w:tcPr>
          <w:p w14:paraId="1D4FB8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tcBorders>
              <w:left w:val="single" w:color="auto" w:sz="4" w:space="0"/>
              <w:right w:val="single" w:color="auto" w:sz="4" w:space="0"/>
            </w:tcBorders>
            <w:noWrap w:val="0"/>
            <w:vAlign w:val="center"/>
          </w:tcPr>
          <w:p w14:paraId="55FC7D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left w:val="single" w:color="auto" w:sz="4" w:space="0"/>
              <w:right w:val="single" w:color="auto" w:sz="4" w:space="0"/>
            </w:tcBorders>
            <w:noWrap w:val="0"/>
            <w:vAlign w:val="center"/>
          </w:tcPr>
          <w:p w14:paraId="5EABEC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24DB6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EC3A9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08137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10890C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66FE1C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4C6D3D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B9F1E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52A33D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EDCC4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7C538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6242B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DD780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15A61D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0A2689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3833D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0A4C56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4CC1E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634632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28525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AEFAF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74CB1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18D91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4AECC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3962FB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58EA8F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4AE9B4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bl>
    <w:p w14:paraId="691F488F">
      <w:pPr>
        <w:spacing w:line="400" w:lineRule="atLeast"/>
        <w:outlineLvl w:val="9"/>
        <w:rPr>
          <w:rFonts w:hint="eastAsia" w:ascii="宋体" w:hAnsi="宋体" w:cs="宋体"/>
          <w:color w:val="auto"/>
          <w:sz w:val="24"/>
          <w:highlight w:val="none"/>
        </w:rPr>
      </w:pPr>
    </w:p>
    <w:p w14:paraId="6AB2D689">
      <w:pPr>
        <w:outlineLvl w:val="9"/>
        <w:rPr>
          <w:rFonts w:hint="eastAsia" w:ascii="宋体" w:hAnsi="宋体" w:cs="宋体"/>
          <w:b/>
          <w:color w:val="auto"/>
          <w:szCs w:val="21"/>
          <w:highlight w:val="none"/>
          <w:lang w:eastAsia="zh-CN"/>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2023年1月1日至今</w:t>
      </w:r>
      <w:r>
        <w:rPr>
          <w:rFonts w:hint="eastAsia" w:ascii="宋体" w:hAnsi="宋体" w:cs="宋体"/>
          <w:b/>
          <w:color w:val="auto"/>
          <w:szCs w:val="21"/>
          <w:highlight w:val="none"/>
        </w:rPr>
        <w:t>类似项目的成功案例，</w:t>
      </w:r>
      <w:bookmarkStart w:id="470" w:name="_Toc361398097"/>
      <w:bookmarkStart w:id="471" w:name="_Toc7097287"/>
      <w:r>
        <w:rPr>
          <w:rFonts w:hint="eastAsia" w:ascii="宋体" w:hAnsi="宋体" w:cs="宋体"/>
          <w:b/>
          <w:color w:val="auto"/>
          <w:szCs w:val="21"/>
          <w:highlight w:val="none"/>
          <w:lang w:val="en-US" w:eastAsia="zh-CN"/>
        </w:rPr>
        <w:t>须提供中标通知书或有效合同复印件作为证明材料，合同至少包括合同首页、合同金额所在页、合同采购内容、签字盖章页及相关页复印件并加盖投标人公章。</w:t>
      </w:r>
      <w:r>
        <w:rPr>
          <w:rFonts w:hint="eastAsia" w:ascii="宋体" w:hAnsi="宋体" w:cs="宋体"/>
          <w:b/>
          <w:color w:val="auto"/>
          <w:szCs w:val="21"/>
          <w:highlight w:val="none"/>
          <w:lang w:eastAsia="zh-CN"/>
        </w:rPr>
        <w:t>相关证明材料如有虚假，</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lang w:eastAsia="zh-CN"/>
        </w:rPr>
        <w:t>自行承担相关法律责任。</w:t>
      </w:r>
    </w:p>
    <w:p w14:paraId="70AA2A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093E1E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B5D6D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782ECAF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8A63C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7C1F68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7EEB175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5897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49FB944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25413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1880764F">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2" w:name="_Toc7097293"/>
      <w:bookmarkStart w:id="473" w:name="_Toc27910"/>
      <w:bookmarkStart w:id="474" w:name="_Toc16259"/>
      <w:r>
        <w:rPr>
          <w:rFonts w:hint="eastAsia" w:ascii="Times New Roman" w:hAnsi="Times New Roman" w:eastAsia="宋体" w:cs="Times New Roman"/>
          <w:color w:val="auto"/>
          <w:sz w:val="24"/>
          <w:szCs w:val="24"/>
          <w:highlight w:val="none"/>
          <w:lang w:eastAsia="zh-CN"/>
        </w:rPr>
        <w:br w:type="page"/>
      </w:r>
      <w:bookmarkEnd w:id="472"/>
      <w:bookmarkEnd w:id="473"/>
      <w:bookmarkEnd w:id="474"/>
      <w:bookmarkStart w:id="475" w:name="_Toc26548"/>
      <w:bookmarkStart w:id="476" w:name="_Toc20518"/>
      <w:bookmarkStart w:id="477" w:name="_Toc11084"/>
      <w:bookmarkStart w:id="478" w:name="_Toc25751"/>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六</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拟投入设备仪器</w:t>
      </w:r>
      <w:bookmarkEnd w:id="475"/>
    </w:p>
    <w:p w14:paraId="29E15CA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（按照评分要求自行提供证明材料，格式自拟）</w:t>
      </w:r>
    </w:p>
    <w:p w14:paraId="4984DA88">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6B789873">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宋体" w:hAnsi="宋体" w:eastAsia="宋体" w:cs="宋体"/>
          <w:color w:val="auto"/>
          <w:sz w:val="24"/>
          <w:szCs w:val="24"/>
          <w:highlight w:val="none"/>
          <w:lang w:val="en-US" w:eastAsia="zh-CN"/>
        </w:rPr>
      </w:pPr>
      <w:bookmarkStart w:id="479" w:name="_Toc7349"/>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项目负责人基本情况表</w:t>
      </w:r>
      <w:bookmarkEnd w:id="476"/>
      <w:bookmarkEnd w:id="479"/>
    </w:p>
    <w:tbl>
      <w:tblPr>
        <w:tblStyle w:val="40"/>
        <w:tblW w:w="0" w:type="auto"/>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
        <w:gridCol w:w="520"/>
        <w:gridCol w:w="1274"/>
        <w:gridCol w:w="988"/>
        <w:gridCol w:w="830"/>
        <w:gridCol w:w="505"/>
        <w:gridCol w:w="1180"/>
        <w:gridCol w:w="693"/>
        <w:gridCol w:w="2495"/>
      </w:tblGrid>
      <w:tr w14:paraId="799C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0E43F01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96B1461">
            <w:pPr>
              <w:jc w:val="center"/>
              <w:rPr>
                <w:rFonts w:hint="default" w:ascii="Arial" w:hAnsi="Arial" w:cs="Arial"/>
                <w:i w:val="0"/>
                <w:iCs w:val="0"/>
                <w:color w:val="auto"/>
                <w:sz w:val="24"/>
                <w:szCs w:val="24"/>
                <w:highlight w:val="none"/>
                <w:u w:val="none"/>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339281">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年龄</w:t>
            </w:r>
          </w:p>
        </w:tc>
        <w:tc>
          <w:tcPr>
            <w:tcW w:w="709" w:type="pct"/>
            <w:gridSpan w:val="2"/>
            <w:tcBorders>
              <w:top w:val="single" w:color="000000" w:sz="4" w:space="0"/>
              <w:left w:val="single" w:color="000000" w:sz="4" w:space="0"/>
              <w:bottom w:val="single" w:color="000000" w:sz="4" w:space="0"/>
              <w:right w:val="single" w:color="000000" w:sz="4" w:space="0"/>
            </w:tcBorders>
            <w:noWrap w:val="0"/>
            <w:vAlign w:val="center"/>
          </w:tcPr>
          <w:p w14:paraId="0EF8EA25">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726F50B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学历</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760377D">
            <w:pPr>
              <w:jc w:val="center"/>
              <w:rPr>
                <w:rFonts w:hint="default" w:ascii="Arial" w:hAnsi="Arial" w:cs="Arial"/>
                <w:i w:val="0"/>
                <w:iCs w:val="0"/>
                <w:color w:val="auto"/>
                <w:sz w:val="24"/>
                <w:szCs w:val="24"/>
                <w:highlight w:val="none"/>
                <w:u w:val="none"/>
              </w:rPr>
            </w:pPr>
          </w:p>
        </w:tc>
      </w:tr>
      <w:tr w14:paraId="75C3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B2310CB">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毕业学校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68B14F7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年毕业于                学校         专业</w:t>
            </w:r>
          </w:p>
        </w:tc>
      </w:tr>
      <w:tr w14:paraId="37DC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2CD79B07">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从事本专业时间</w:t>
            </w:r>
          </w:p>
        </w:tc>
        <w:tc>
          <w:tcPr>
            <w:tcW w:w="1915" w:type="pct"/>
            <w:gridSpan w:val="4"/>
            <w:tcBorders>
              <w:top w:val="single" w:color="000000" w:sz="4" w:space="0"/>
              <w:left w:val="single" w:color="000000" w:sz="4" w:space="0"/>
              <w:bottom w:val="single" w:color="000000" w:sz="4" w:space="0"/>
              <w:right w:val="single" w:color="000000" w:sz="4" w:space="0"/>
            </w:tcBorders>
            <w:noWrap w:val="0"/>
            <w:vAlign w:val="center"/>
          </w:tcPr>
          <w:p w14:paraId="59BB7023">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10524334">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职称</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AC1499C">
            <w:pPr>
              <w:jc w:val="center"/>
              <w:rPr>
                <w:rFonts w:hint="default" w:ascii="Arial" w:hAnsi="Arial" w:cs="Arial"/>
                <w:i w:val="0"/>
                <w:iCs w:val="0"/>
                <w:color w:val="auto"/>
                <w:sz w:val="24"/>
                <w:szCs w:val="24"/>
                <w:highlight w:val="none"/>
                <w:u w:val="none"/>
              </w:rPr>
            </w:pPr>
          </w:p>
        </w:tc>
      </w:tr>
      <w:tr w14:paraId="33E1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E0D18DC">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在本项目中担任任务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7C161457">
            <w:pPr>
              <w:jc w:val="center"/>
              <w:rPr>
                <w:rFonts w:hint="default" w:ascii="Arial" w:hAnsi="Arial" w:cs="Arial"/>
                <w:i w:val="0"/>
                <w:iCs w:val="0"/>
                <w:color w:val="auto"/>
                <w:sz w:val="24"/>
                <w:szCs w:val="24"/>
                <w:highlight w:val="none"/>
                <w:u w:val="none"/>
              </w:rPr>
            </w:pPr>
          </w:p>
        </w:tc>
      </w:tr>
      <w:tr w14:paraId="595F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1B70FD6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本人主要成果</w:t>
            </w:r>
          </w:p>
        </w:tc>
      </w:tr>
      <w:tr w14:paraId="4DB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FF55335">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时间</w:t>
            </w: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479CD81">
            <w:pPr>
              <w:keepNext w:val="0"/>
              <w:keepLines w:val="0"/>
              <w:widowControl/>
              <w:suppressLineNumbers w:val="0"/>
              <w:jc w:val="center"/>
              <w:textAlignment w:val="center"/>
              <w:rPr>
                <w:rFonts w:hint="default" w:ascii="Arial" w:hAnsi="Arial" w:cs="Arial"/>
                <w:i w:val="0"/>
                <w:iCs w:val="0"/>
                <w:color w:val="auto"/>
                <w:sz w:val="24"/>
                <w:szCs w:val="24"/>
                <w:highlight w:val="none"/>
                <w:u w:val="none"/>
                <w:lang w:val="en-US"/>
              </w:rPr>
            </w:pPr>
            <w:r>
              <w:rPr>
                <w:rFonts w:ascii="宋体" w:hAnsi="宋体" w:eastAsia="宋体" w:cs="宋体"/>
                <w:i w:val="0"/>
                <w:iCs w:val="0"/>
                <w:color w:val="auto"/>
                <w:kern w:val="0"/>
                <w:sz w:val="24"/>
                <w:szCs w:val="24"/>
                <w:highlight w:val="none"/>
                <w:u w:val="none"/>
                <w:lang w:val="en-US" w:eastAsia="zh-CN" w:bidi="ar"/>
              </w:rPr>
              <w:t>项目</w:t>
            </w:r>
            <w:r>
              <w:rPr>
                <w:rFonts w:hint="eastAsia" w:ascii="宋体" w:hAnsi="宋体" w:cs="宋体"/>
                <w:i w:val="0"/>
                <w:iCs w:val="0"/>
                <w:color w:val="auto"/>
                <w:kern w:val="0"/>
                <w:sz w:val="24"/>
                <w:szCs w:val="24"/>
                <w:highlight w:val="none"/>
                <w:u w:val="none"/>
                <w:lang w:val="en-US" w:eastAsia="zh-CN" w:bidi="ar"/>
              </w:rPr>
              <w:t>业绩</w:t>
            </w: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22F6E97D">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担任职务</w:t>
            </w: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A4BFCC9">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采购人及联系电话</w:t>
            </w:r>
          </w:p>
        </w:tc>
      </w:tr>
      <w:tr w14:paraId="4DDD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E93600C">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2AFF388">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ABF0096">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2EB4B0D">
            <w:pPr>
              <w:jc w:val="center"/>
              <w:rPr>
                <w:rFonts w:hint="default" w:ascii="Arial" w:hAnsi="Arial" w:cs="Arial"/>
                <w:i w:val="0"/>
                <w:iCs w:val="0"/>
                <w:color w:val="auto"/>
                <w:sz w:val="24"/>
                <w:szCs w:val="24"/>
                <w:highlight w:val="none"/>
                <w:u w:val="none"/>
              </w:rPr>
            </w:pPr>
          </w:p>
        </w:tc>
      </w:tr>
      <w:tr w14:paraId="32C8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4E702E">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82BFBB9">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0A642155">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BACE055">
            <w:pPr>
              <w:jc w:val="center"/>
              <w:rPr>
                <w:rFonts w:hint="default" w:ascii="Arial" w:hAnsi="Arial" w:cs="Arial"/>
                <w:i w:val="0"/>
                <w:iCs w:val="0"/>
                <w:color w:val="auto"/>
                <w:sz w:val="24"/>
                <w:szCs w:val="24"/>
                <w:highlight w:val="none"/>
                <w:u w:val="none"/>
              </w:rPr>
            </w:pPr>
          </w:p>
        </w:tc>
      </w:tr>
      <w:tr w14:paraId="0C0D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A4DED3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E55C3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0B8DE99">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62AD256">
            <w:pPr>
              <w:jc w:val="center"/>
              <w:rPr>
                <w:rFonts w:hint="default" w:ascii="Arial" w:hAnsi="Arial" w:cs="Arial"/>
                <w:i w:val="0"/>
                <w:iCs w:val="0"/>
                <w:color w:val="auto"/>
                <w:sz w:val="24"/>
                <w:szCs w:val="24"/>
                <w:highlight w:val="none"/>
                <w:u w:val="none"/>
              </w:rPr>
            </w:pPr>
          </w:p>
        </w:tc>
      </w:tr>
      <w:tr w14:paraId="06A4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548AE0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6B7472C">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7BDB9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2CF0D20">
            <w:pPr>
              <w:jc w:val="center"/>
              <w:rPr>
                <w:rFonts w:hint="default" w:ascii="Arial" w:hAnsi="Arial" w:cs="Arial"/>
                <w:i w:val="0"/>
                <w:iCs w:val="0"/>
                <w:color w:val="auto"/>
                <w:sz w:val="24"/>
                <w:szCs w:val="24"/>
                <w:highlight w:val="none"/>
                <w:u w:val="none"/>
              </w:rPr>
            </w:pPr>
          </w:p>
        </w:tc>
      </w:tr>
      <w:tr w14:paraId="7E9E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FC09AF">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3282CFD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8EA2D7D">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5B6809B">
            <w:pPr>
              <w:jc w:val="center"/>
              <w:rPr>
                <w:rFonts w:hint="default" w:ascii="Arial" w:hAnsi="Arial" w:cs="Arial"/>
                <w:i w:val="0"/>
                <w:iCs w:val="0"/>
                <w:color w:val="auto"/>
                <w:sz w:val="24"/>
                <w:szCs w:val="24"/>
                <w:highlight w:val="none"/>
                <w:u w:val="none"/>
              </w:rPr>
            </w:pPr>
          </w:p>
        </w:tc>
      </w:tr>
      <w:tr w14:paraId="1D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DBC1329">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220E2A0">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C346E8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93BE03F">
            <w:pPr>
              <w:jc w:val="center"/>
              <w:rPr>
                <w:rFonts w:hint="default" w:ascii="Arial" w:hAnsi="Arial" w:cs="Arial"/>
                <w:i w:val="0"/>
                <w:iCs w:val="0"/>
                <w:color w:val="auto"/>
                <w:sz w:val="24"/>
                <w:szCs w:val="24"/>
                <w:highlight w:val="none"/>
                <w:u w:val="none"/>
              </w:rPr>
            </w:pPr>
          </w:p>
        </w:tc>
      </w:tr>
      <w:tr w14:paraId="551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8E643E1">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65BED18A">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4EB4890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97E9FF4">
            <w:pPr>
              <w:jc w:val="center"/>
              <w:rPr>
                <w:rFonts w:hint="default" w:ascii="Arial" w:hAnsi="Arial" w:cs="Arial"/>
                <w:i w:val="0"/>
                <w:iCs w:val="0"/>
                <w:color w:val="auto"/>
                <w:sz w:val="24"/>
                <w:szCs w:val="24"/>
                <w:highlight w:val="none"/>
                <w:u w:val="none"/>
              </w:rPr>
            </w:pPr>
          </w:p>
        </w:tc>
      </w:tr>
      <w:tr w14:paraId="145B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FD0283">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EDB4D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466A0CC">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08D4BFA">
            <w:pPr>
              <w:jc w:val="center"/>
              <w:rPr>
                <w:rFonts w:hint="default" w:ascii="Arial" w:hAnsi="Arial" w:cs="Arial"/>
                <w:i w:val="0"/>
                <w:iCs w:val="0"/>
                <w:color w:val="auto"/>
                <w:sz w:val="24"/>
                <w:szCs w:val="24"/>
                <w:highlight w:val="none"/>
                <w:u w:val="none"/>
              </w:rPr>
            </w:pPr>
          </w:p>
        </w:tc>
      </w:tr>
      <w:tr w14:paraId="6C9E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0CAB77B">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4019D9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442973">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3C0FA38">
            <w:pPr>
              <w:jc w:val="center"/>
              <w:rPr>
                <w:rFonts w:hint="default" w:ascii="Arial" w:hAnsi="Arial" w:cs="Arial"/>
                <w:i w:val="0"/>
                <w:iCs w:val="0"/>
                <w:color w:val="auto"/>
                <w:sz w:val="24"/>
                <w:szCs w:val="24"/>
                <w:highlight w:val="none"/>
                <w:u w:val="none"/>
              </w:rPr>
            </w:pPr>
          </w:p>
        </w:tc>
      </w:tr>
      <w:tr w14:paraId="451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DFCF625">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5F00741">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75E66F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417725B5">
            <w:pPr>
              <w:jc w:val="center"/>
              <w:rPr>
                <w:rFonts w:hint="default" w:ascii="Arial" w:hAnsi="Arial" w:cs="Arial"/>
                <w:i w:val="0"/>
                <w:iCs w:val="0"/>
                <w:color w:val="auto"/>
                <w:sz w:val="24"/>
                <w:szCs w:val="24"/>
                <w:highlight w:val="none"/>
                <w:u w:val="none"/>
              </w:rPr>
            </w:pPr>
          </w:p>
        </w:tc>
      </w:tr>
      <w:tr w14:paraId="66BA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noWrap w:val="0"/>
            <w:vAlign w:val="center"/>
          </w:tcPr>
          <w:p w14:paraId="7F077904">
            <w:pPr>
              <w:keepNext w:val="0"/>
              <w:keepLines w:val="0"/>
              <w:widowControl/>
              <w:suppressLineNumbers w:val="0"/>
              <w:jc w:val="both"/>
              <w:textAlignment w:val="center"/>
              <w:rPr>
                <w:rFonts w:ascii="宋体" w:hAnsi="宋体" w:eastAsia="宋体" w:cs="宋体"/>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说明：本表中的项目负责人应附</w:t>
            </w:r>
            <w:r>
              <w:rPr>
                <w:rFonts w:hint="eastAsia" w:ascii="宋体" w:hAnsi="宋体" w:cs="宋体"/>
                <w:color w:val="auto"/>
                <w:kern w:val="0"/>
                <w:sz w:val="24"/>
                <w:szCs w:val="24"/>
                <w:highlight w:val="none"/>
                <w:lang w:val="en-US" w:eastAsia="zh-CN" w:bidi="ar-SA"/>
              </w:rPr>
              <w:t>技术职称证书</w:t>
            </w:r>
            <w:r>
              <w:rPr>
                <w:rFonts w:hint="eastAsia" w:ascii="宋体" w:hAnsi="宋体" w:cs="宋体"/>
                <w:i w:val="0"/>
                <w:iCs w:val="0"/>
                <w:color w:val="auto"/>
                <w:kern w:val="0"/>
                <w:sz w:val="24"/>
                <w:szCs w:val="24"/>
                <w:highlight w:val="none"/>
                <w:u w:val="none"/>
                <w:lang w:val="en-US" w:eastAsia="zh-CN" w:bidi="ar"/>
              </w:rPr>
              <w:t>、</w:t>
            </w:r>
            <w:r>
              <w:rPr>
                <w:rFonts w:ascii="宋体" w:hAnsi="宋体" w:eastAsia="宋体" w:cs="宋体"/>
                <w:i w:val="0"/>
                <w:iCs w:val="0"/>
                <w:color w:val="auto"/>
                <w:kern w:val="0"/>
                <w:sz w:val="24"/>
                <w:szCs w:val="24"/>
                <w:highlight w:val="none"/>
                <w:u w:val="none"/>
                <w:lang w:val="en-US" w:eastAsia="zh-CN" w:bidi="ar"/>
              </w:rPr>
              <w:t>身份证复印件</w:t>
            </w:r>
            <w:r>
              <w:rPr>
                <w:rFonts w:hint="eastAsia" w:ascii="宋体" w:hAnsi="宋体" w:cs="宋体"/>
                <w:i w:val="0"/>
                <w:iCs w:val="0"/>
                <w:color w:val="auto"/>
                <w:kern w:val="0"/>
                <w:sz w:val="24"/>
                <w:szCs w:val="24"/>
                <w:highlight w:val="none"/>
                <w:u w:val="none"/>
                <w:lang w:val="en-US" w:eastAsia="zh-CN" w:bidi="ar"/>
              </w:rPr>
              <w:t>等相关证明材料</w:t>
            </w:r>
            <w:r>
              <w:rPr>
                <w:rFonts w:ascii="宋体" w:hAnsi="宋体" w:eastAsia="宋体" w:cs="宋体"/>
                <w:i w:val="0"/>
                <w:iCs w:val="0"/>
                <w:color w:val="auto"/>
                <w:kern w:val="0"/>
                <w:sz w:val="24"/>
                <w:szCs w:val="24"/>
                <w:highlight w:val="none"/>
                <w:u w:val="none"/>
                <w:lang w:val="en-US" w:eastAsia="zh-CN" w:bidi="ar"/>
              </w:rPr>
              <w:t>。</w:t>
            </w:r>
          </w:p>
        </w:tc>
      </w:tr>
    </w:tbl>
    <w:p w14:paraId="640A8A5A">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3E002C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80" w:name="_Toc2611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八</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拟投入项目人员配置表</w:t>
      </w:r>
      <w:bookmarkEnd w:id="480"/>
    </w:p>
    <w:p w14:paraId="70C3E225">
      <w:pPr>
        <w:tabs>
          <w:tab w:val="center" w:pos="4252"/>
        </w:tabs>
        <w:outlineLvl w:val="9"/>
        <w:rPr>
          <w:rFonts w:hint="eastAsia" w:ascii="宋体" w:hAnsi="宋体" w:cs="宋体"/>
          <w:color w:val="auto"/>
          <w:szCs w:val="21"/>
          <w:highlight w:val="none"/>
        </w:rPr>
      </w:pPr>
    </w:p>
    <w:p w14:paraId="3997C0AB">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新疆西昆仑地区地质勘查服务采购项目</w:t>
      </w:r>
      <w:r>
        <w:rPr>
          <w:rFonts w:hint="eastAsia" w:ascii="宋体" w:hAnsi="宋体" w:eastAsia="宋体" w:cs="宋体"/>
          <w:color w:val="auto"/>
          <w:sz w:val="24"/>
          <w:szCs w:val="24"/>
          <w:highlight w:val="none"/>
          <w:u w:val="single"/>
          <w:lang w:val="en-US" w:eastAsia="zh-CN"/>
        </w:rPr>
        <w:t xml:space="preserve"> </w:t>
      </w:r>
    </w:p>
    <w:p w14:paraId="744DE67F">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ZTQ-2026041</w:t>
      </w:r>
      <w:r>
        <w:rPr>
          <w:rFonts w:hint="eastAsia" w:ascii="宋体" w:hAnsi="宋体" w:cs="宋体"/>
          <w:color w:val="auto"/>
          <w:sz w:val="24"/>
          <w:szCs w:val="24"/>
          <w:highlight w:val="none"/>
          <w:u w:val="single"/>
        </w:rPr>
        <w:t xml:space="preserve">     </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367"/>
        <w:gridCol w:w="1810"/>
        <w:gridCol w:w="1137"/>
        <w:gridCol w:w="3331"/>
        <w:gridCol w:w="1077"/>
      </w:tblGrid>
      <w:tr w14:paraId="5FA5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846" w:type="dxa"/>
            <w:noWrap w:val="0"/>
            <w:vAlign w:val="center"/>
          </w:tcPr>
          <w:p w14:paraId="5FF6E133">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序号</w:t>
            </w:r>
          </w:p>
        </w:tc>
        <w:tc>
          <w:tcPr>
            <w:tcW w:w="1367" w:type="dxa"/>
            <w:noWrap w:val="0"/>
            <w:vAlign w:val="center"/>
          </w:tcPr>
          <w:p w14:paraId="31AD0B8B">
            <w:pPr>
              <w:jc w:val="center"/>
              <w:rPr>
                <w:rFonts w:hint="eastAsia" w:ascii="宋体" w:hAnsi="宋体"/>
                <w:color w:val="auto"/>
                <w:highlight w:val="none"/>
              </w:rPr>
            </w:pPr>
            <w:r>
              <w:rPr>
                <w:rFonts w:hint="eastAsia" w:ascii="宋体" w:hAnsi="宋体"/>
                <w:color w:val="auto"/>
                <w:highlight w:val="none"/>
              </w:rPr>
              <w:t>姓名</w:t>
            </w:r>
          </w:p>
        </w:tc>
        <w:tc>
          <w:tcPr>
            <w:tcW w:w="1810" w:type="dxa"/>
            <w:noWrap w:val="0"/>
            <w:vAlign w:val="center"/>
          </w:tcPr>
          <w:p w14:paraId="779D1635">
            <w:pPr>
              <w:jc w:val="center"/>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在本项目中担任的岗位</w:t>
            </w:r>
          </w:p>
        </w:tc>
        <w:tc>
          <w:tcPr>
            <w:tcW w:w="1137" w:type="dxa"/>
            <w:noWrap w:val="0"/>
            <w:vAlign w:val="center"/>
          </w:tcPr>
          <w:p w14:paraId="56BD257D">
            <w:pPr>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联系电话</w:t>
            </w:r>
          </w:p>
        </w:tc>
        <w:tc>
          <w:tcPr>
            <w:tcW w:w="3331" w:type="dxa"/>
            <w:noWrap w:val="0"/>
            <w:vAlign w:val="center"/>
          </w:tcPr>
          <w:p w14:paraId="7F83F2F1">
            <w:pPr>
              <w:ind w:firstLine="12"/>
              <w:jc w:val="center"/>
              <w:rPr>
                <w:rFonts w:hint="eastAsia" w:ascii="宋体" w:hAnsi="宋体" w:eastAsia="宋体"/>
                <w:color w:val="auto"/>
                <w:highlight w:val="none"/>
                <w:lang w:eastAsia="zh-CN"/>
              </w:rPr>
            </w:pPr>
            <w:r>
              <w:rPr>
                <w:rFonts w:hint="eastAsia" w:ascii="宋体" w:hAnsi="宋体"/>
                <w:color w:val="auto"/>
                <w:highlight w:val="none"/>
              </w:rPr>
              <w:t>主要资历、经验</w:t>
            </w:r>
          </w:p>
        </w:tc>
        <w:tc>
          <w:tcPr>
            <w:tcW w:w="1077" w:type="dxa"/>
            <w:noWrap w:val="0"/>
            <w:vAlign w:val="center"/>
          </w:tcPr>
          <w:p w14:paraId="6E154088">
            <w:pPr>
              <w:ind w:firstLine="12"/>
              <w:jc w:val="center"/>
              <w:rPr>
                <w:rFonts w:hint="eastAsia" w:ascii="宋体" w:hAnsi="宋体"/>
                <w:color w:val="auto"/>
                <w:highlight w:val="none"/>
              </w:rPr>
            </w:pPr>
            <w:r>
              <w:rPr>
                <w:rFonts w:hint="eastAsia" w:ascii="宋体" w:hAnsi="宋体"/>
                <w:color w:val="auto"/>
                <w:highlight w:val="none"/>
              </w:rPr>
              <w:t>备注</w:t>
            </w:r>
          </w:p>
        </w:tc>
      </w:tr>
      <w:tr w14:paraId="7248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AE2BEBE">
            <w:pPr>
              <w:jc w:val="center"/>
              <w:rPr>
                <w:rFonts w:hint="eastAsia" w:ascii="宋体" w:hAnsi="宋体"/>
                <w:color w:val="auto"/>
                <w:highlight w:val="none"/>
              </w:rPr>
            </w:pPr>
          </w:p>
        </w:tc>
        <w:tc>
          <w:tcPr>
            <w:tcW w:w="1367" w:type="dxa"/>
            <w:noWrap w:val="0"/>
            <w:vAlign w:val="center"/>
          </w:tcPr>
          <w:p w14:paraId="275210D5">
            <w:pPr>
              <w:jc w:val="center"/>
              <w:rPr>
                <w:rFonts w:hint="eastAsia" w:ascii="宋体" w:hAnsi="宋体"/>
                <w:color w:val="auto"/>
                <w:highlight w:val="none"/>
              </w:rPr>
            </w:pPr>
          </w:p>
        </w:tc>
        <w:tc>
          <w:tcPr>
            <w:tcW w:w="1810" w:type="dxa"/>
            <w:noWrap w:val="0"/>
            <w:vAlign w:val="center"/>
          </w:tcPr>
          <w:p w14:paraId="56538737">
            <w:pPr>
              <w:jc w:val="center"/>
              <w:rPr>
                <w:rFonts w:hint="eastAsia" w:ascii="宋体" w:hAnsi="宋体"/>
                <w:color w:val="auto"/>
                <w:highlight w:val="none"/>
              </w:rPr>
            </w:pPr>
          </w:p>
        </w:tc>
        <w:tc>
          <w:tcPr>
            <w:tcW w:w="1137" w:type="dxa"/>
            <w:noWrap w:val="0"/>
            <w:vAlign w:val="center"/>
          </w:tcPr>
          <w:p w14:paraId="1A915FC2">
            <w:pPr>
              <w:jc w:val="center"/>
              <w:rPr>
                <w:rFonts w:hint="eastAsia" w:ascii="宋体" w:hAnsi="宋体"/>
                <w:color w:val="auto"/>
                <w:highlight w:val="none"/>
              </w:rPr>
            </w:pPr>
          </w:p>
        </w:tc>
        <w:tc>
          <w:tcPr>
            <w:tcW w:w="3331" w:type="dxa"/>
            <w:noWrap w:val="0"/>
            <w:vAlign w:val="center"/>
          </w:tcPr>
          <w:p w14:paraId="5CAA1120">
            <w:pPr>
              <w:jc w:val="center"/>
              <w:rPr>
                <w:rFonts w:hint="eastAsia" w:ascii="宋体" w:hAnsi="宋体"/>
                <w:color w:val="auto"/>
                <w:highlight w:val="none"/>
              </w:rPr>
            </w:pPr>
          </w:p>
        </w:tc>
        <w:tc>
          <w:tcPr>
            <w:tcW w:w="1077" w:type="dxa"/>
            <w:noWrap w:val="0"/>
            <w:vAlign w:val="center"/>
          </w:tcPr>
          <w:p w14:paraId="0A100B97">
            <w:pPr>
              <w:jc w:val="center"/>
              <w:rPr>
                <w:rFonts w:hint="eastAsia" w:ascii="宋体" w:hAnsi="宋体"/>
                <w:color w:val="auto"/>
                <w:highlight w:val="none"/>
              </w:rPr>
            </w:pPr>
          </w:p>
        </w:tc>
      </w:tr>
      <w:tr w14:paraId="2098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92EAE7F">
            <w:pPr>
              <w:jc w:val="center"/>
              <w:rPr>
                <w:rFonts w:hint="eastAsia" w:ascii="宋体" w:hAnsi="宋体"/>
                <w:color w:val="auto"/>
                <w:highlight w:val="none"/>
              </w:rPr>
            </w:pPr>
          </w:p>
        </w:tc>
        <w:tc>
          <w:tcPr>
            <w:tcW w:w="1367" w:type="dxa"/>
            <w:noWrap w:val="0"/>
            <w:vAlign w:val="center"/>
          </w:tcPr>
          <w:p w14:paraId="271147F1">
            <w:pPr>
              <w:jc w:val="center"/>
              <w:rPr>
                <w:rFonts w:hint="eastAsia" w:ascii="宋体" w:hAnsi="宋体"/>
                <w:color w:val="auto"/>
                <w:highlight w:val="none"/>
              </w:rPr>
            </w:pPr>
          </w:p>
        </w:tc>
        <w:tc>
          <w:tcPr>
            <w:tcW w:w="1810" w:type="dxa"/>
            <w:noWrap w:val="0"/>
            <w:vAlign w:val="center"/>
          </w:tcPr>
          <w:p w14:paraId="165E0780">
            <w:pPr>
              <w:jc w:val="center"/>
              <w:rPr>
                <w:rFonts w:hint="eastAsia" w:ascii="宋体" w:hAnsi="宋体"/>
                <w:color w:val="auto"/>
                <w:highlight w:val="none"/>
              </w:rPr>
            </w:pPr>
          </w:p>
        </w:tc>
        <w:tc>
          <w:tcPr>
            <w:tcW w:w="1137" w:type="dxa"/>
            <w:noWrap w:val="0"/>
            <w:vAlign w:val="center"/>
          </w:tcPr>
          <w:p w14:paraId="303A8DEE">
            <w:pPr>
              <w:jc w:val="center"/>
              <w:rPr>
                <w:rFonts w:hint="eastAsia" w:ascii="宋体" w:hAnsi="宋体"/>
                <w:color w:val="auto"/>
                <w:highlight w:val="none"/>
              </w:rPr>
            </w:pPr>
          </w:p>
        </w:tc>
        <w:tc>
          <w:tcPr>
            <w:tcW w:w="3331" w:type="dxa"/>
            <w:noWrap w:val="0"/>
            <w:vAlign w:val="center"/>
          </w:tcPr>
          <w:p w14:paraId="461F9D79">
            <w:pPr>
              <w:jc w:val="center"/>
              <w:rPr>
                <w:rFonts w:hint="eastAsia" w:ascii="宋体" w:hAnsi="宋体"/>
                <w:color w:val="auto"/>
                <w:highlight w:val="none"/>
              </w:rPr>
            </w:pPr>
          </w:p>
        </w:tc>
        <w:tc>
          <w:tcPr>
            <w:tcW w:w="1077" w:type="dxa"/>
            <w:noWrap w:val="0"/>
            <w:vAlign w:val="center"/>
          </w:tcPr>
          <w:p w14:paraId="22B88FA4">
            <w:pPr>
              <w:jc w:val="center"/>
              <w:rPr>
                <w:rFonts w:hint="eastAsia" w:ascii="宋体" w:hAnsi="宋体"/>
                <w:color w:val="auto"/>
                <w:highlight w:val="none"/>
              </w:rPr>
            </w:pPr>
          </w:p>
        </w:tc>
      </w:tr>
      <w:tr w14:paraId="75A6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63AE572">
            <w:pPr>
              <w:jc w:val="center"/>
              <w:rPr>
                <w:rFonts w:hint="eastAsia" w:ascii="宋体" w:hAnsi="宋体"/>
                <w:color w:val="auto"/>
                <w:highlight w:val="none"/>
              </w:rPr>
            </w:pPr>
          </w:p>
        </w:tc>
        <w:tc>
          <w:tcPr>
            <w:tcW w:w="1367" w:type="dxa"/>
            <w:noWrap w:val="0"/>
            <w:vAlign w:val="center"/>
          </w:tcPr>
          <w:p w14:paraId="0723EAD6">
            <w:pPr>
              <w:jc w:val="center"/>
              <w:rPr>
                <w:rFonts w:hint="eastAsia" w:ascii="宋体" w:hAnsi="宋体"/>
                <w:color w:val="auto"/>
                <w:highlight w:val="none"/>
              </w:rPr>
            </w:pPr>
          </w:p>
        </w:tc>
        <w:tc>
          <w:tcPr>
            <w:tcW w:w="1810" w:type="dxa"/>
            <w:noWrap w:val="0"/>
            <w:vAlign w:val="center"/>
          </w:tcPr>
          <w:p w14:paraId="54D4D9AE">
            <w:pPr>
              <w:jc w:val="center"/>
              <w:rPr>
                <w:rFonts w:hint="eastAsia" w:ascii="宋体" w:hAnsi="宋体"/>
                <w:color w:val="auto"/>
                <w:highlight w:val="none"/>
              </w:rPr>
            </w:pPr>
          </w:p>
        </w:tc>
        <w:tc>
          <w:tcPr>
            <w:tcW w:w="1137" w:type="dxa"/>
            <w:noWrap w:val="0"/>
            <w:vAlign w:val="center"/>
          </w:tcPr>
          <w:p w14:paraId="1A5B64B3">
            <w:pPr>
              <w:jc w:val="center"/>
              <w:rPr>
                <w:rFonts w:hint="eastAsia" w:ascii="宋体" w:hAnsi="宋体"/>
                <w:color w:val="auto"/>
                <w:highlight w:val="none"/>
              </w:rPr>
            </w:pPr>
          </w:p>
        </w:tc>
        <w:tc>
          <w:tcPr>
            <w:tcW w:w="3331" w:type="dxa"/>
            <w:noWrap w:val="0"/>
            <w:vAlign w:val="center"/>
          </w:tcPr>
          <w:p w14:paraId="6D5CDBB7">
            <w:pPr>
              <w:jc w:val="center"/>
              <w:rPr>
                <w:rFonts w:hint="eastAsia" w:ascii="宋体" w:hAnsi="宋体"/>
                <w:color w:val="auto"/>
                <w:highlight w:val="none"/>
              </w:rPr>
            </w:pPr>
          </w:p>
        </w:tc>
        <w:tc>
          <w:tcPr>
            <w:tcW w:w="1077" w:type="dxa"/>
            <w:noWrap w:val="0"/>
            <w:vAlign w:val="center"/>
          </w:tcPr>
          <w:p w14:paraId="7C0EA0D2">
            <w:pPr>
              <w:jc w:val="center"/>
              <w:rPr>
                <w:rFonts w:hint="eastAsia" w:ascii="宋体" w:hAnsi="宋体"/>
                <w:color w:val="auto"/>
                <w:highlight w:val="none"/>
              </w:rPr>
            </w:pPr>
          </w:p>
        </w:tc>
      </w:tr>
      <w:tr w14:paraId="221C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D159D13">
            <w:pPr>
              <w:jc w:val="center"/>
              <w:rPr>
                <w:rFonts w:hint="eastAsia" w:ascii="宋体" w:hAnsi="宋体"/>
                <w:color w:val="auto"/>
                <w:highlight w:val="none"/>
              </w:rPr>
            </w:pPr>
          </w:p>
        </w:tc>
        <w:tc>
          <w:tcPr>
            <w:tcW w:w="1367" w:type="dxa"/>
            <w:noWrap w:val="0"/>
            <w:vAlign w:val="center"/>
          </w:tcPr>
          <w:p w14:paraId="152BD928">
            <w:pPr>
              <w:jc w:val="center"/>
              <w:rPr>
                <w:rFonts w:hint="eastAsia" w:ascii="宋体" w:hAnsi="宋体"/>
                <w:color w:val="auto"/>
                <w:highlight w:val="none"/>
              </w:rPr>
            </w:pPr>
          </w:p>
        </w:tc>
        <w:tc>
          <w:tcPr>
            <w:tcW w:w="1810" w:type="dxa"/>
            <w:noWrap w:val="0"/>
            <w:vAlign w:val="center"/>
          </w:tcPr>
          <w:p w14:paraId="0BF733B2">
            <w:pPr>
              <w:jc w:val="center"/>
              <w:rPr>
                <w:rFonts w:hint="eastAsia" w:ascii="宋体" w:hAnsi="宋体"/>
                <w:color w:val="auto"/>
                <w:highlight w:val="none"/>
              </w:rPr>
            </w:pPr>
          </w:p>
        </w:tc>
        <w:tc>
          <w:tcPr>
            <w:tcW w:w="1137" w:type="dxa"/>
            <w:noWrap w:val="0"/>
            <w:vAlign w:val="center"/>
          </w:tcPr>
          <w:p w14:paraId="6AF599DC">
            <w:pPr>
              <w:jc w:val="center"/>
              <w:rPr>
                <w:rFonts w:hint="eastAsia" w:ascii="宋体" w:hAnsi="宋体"/>
                <w:color w:val="auto"/>
                <w:highlight w:val="none"/>
              </w:rPr>
            </w:pPr>
          </w:p>
        </w:tc>
        <w:tc>
          <w:tcPr>
            <w:tcW w:w="3331" w:type="dxa"/>
            <w:noWrap w:val="0"/>
            <w:vAlign w:val="center"/>
          </w:tcPr>
          <w:p w14:paraId="09685235">
            <w:pPr>
              <w:jc w:val="center"/>
              <w:rPr>
                <w:rFonts w:hint="eastAsia" w:ascii="宋体" w:hAnsi="宋体"/>
                <w:color w:val="auto"/>
                <w:highlight w:val="none"/>
              </w:rPr>
            </w:pPr>
          </w:p>
        </w:tc>
        <w:tc>
          <w:tcPr>
            <w:tcW w:w="1077" w:type="dxa"/>
            <w:noWrap w:val="0"/>
            <w:vAlign w:val="center"/>
          </w:tcPr>
          <w:p w14:paraId="10D5E0AD">
            <w:pPr>
              <w:jc w:val="center"/>
              <w:rPr>
                <w:rFonts w:hint="eastAsia" w:ascii="宋体" w:hAnsi="宋体"/>
                <w:color w:val="auto"/>
                <w:highlight w:val="none"/>
              </w:rPr>
            </w:pPr>
          </w:p>
        </w:tc>
      </w:tr>
      <w:tr w14:paraId="738C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3926E733">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p>
        </w:tc>
        <w:tc>
          <w:tcPr>
            <w:tcW w:w="1367" w:type="dxa"/>
            <w:noWrap w:val="0"/>
            <w:vAlign w:val="center"/>
          </w:tcPr>
          <w:p w14:paraId="068A1FEF">
            <w:pPr>
              <w:jc w:val="center"/>
              <w:rPr>
                <w:rFonts w:hint="eastAsia" w:ascii="宋体" w:hAnsi="宋体"/>
                <w:color w:val="auto"/>
                <w:highlight w:val="none"/>
              </w:rPr>
            </w:pPr>
          </w:p>
        </w:tc>
        <w:tc>
          <w:tcPr>
            <w:tcW w:w="1810" w:type="dxa"/>
            <w:noWrap w:val="0"/>
            <w:vAlign w:val="center"/>
          </w:tcPr>
          <w:p w14:paraId="3E56C4DB">
            <w:pPr>
              <w:jc w:val="center"/>
              <w:rPr>
                <w:rFonts w:hint="eastAsia" w:ascii="宋体" w:hAnsi="宋体"/>
                <w:color w:val="auto"/>
                <w:highlight w:val="none"/>
              </w:rPr>
            </w:pPr>
          </w:p>
        </w:tc>
        <w:tc>
          <w:tcPr>
            <w:tcW w:w="1137" w:type="dxa"/>
            <w:noWrap w:val="0"/>
            <w:vAlign w:val="center"/>
          </w:tcPr>
          <w:p w14:paraId="048E7AE9">
            <w:pPr>
              <w:jc w:val="center"/>
              <w:rPr>
                <w:rFonts w:hint="eastAsia" w:ascii="宋体" w:hAnsi="宋体"/>
                <w:color w:val="auto"/>
                <w:highlight w:val="none"/>
              </w:rPr>
            </w:pPr>
          </w:p>
        </w:tc>
        <w:tc>
          <w:tcPr>
            <w:tcW w:w="3331" w:type="dxa"/>
            <w:noWrap w:val="0"/>
            <w:vAlign w:val="center"/>
          </w:tcPr>
          <w:p w14:paraId="42C0891C">
            <w:pPr>
              <w:jc w:val="center"/>
              <w:rPr>
                <w:rFonts w:hint="eastAsia" w:ascii="宋体" w:hAnsi="宋体"/>
                <w:color w:val="auto"/>
                <w:highlight w:val="none"/>
              </w:rPr>
            </w:pPr>
          </w:p>
        </w:tc>
        <w:tc>
          <w:tcPr>
            <w:tcW w:w="1077" w:type="dxa"/>
            <w:noWrap w:val="0"/>
            <w:vAlign w:val="center"/>
          </w:tcPr>
          <w:p w14:paraId="38CA28ED">
            <w:pPr>
              <w:jc w:val="center"/>
              <w:rPr>
                <w:rFonts w:hint="eastAsia" w:ascii="宋体" w:hAnsi="宋体"/>
                <w:color w:val="auto"/>
                <w:highlight w:val="none"/>
              </w:rPr>
            </w:pPr>
          </w:p>
        </w:tc>
      </w:tr>
    </w:tbl>
    <w:p w14:paraId="59CB0A61">
      <w:pPr>
        <w:keepNext w:val="0"/>
        <w:keepLines w:val="0"/>
        <w:pageBreakBefore w:val="0"/>
        <w:widowControl w:val="0"/>
        <w:tabs>
          <w:tab w:val="left" w:pos="9135"/>
        </w:tabs>
        <w:kinsoku/>
        <w:wordWrap/>
        <w:overflowPunct/>
        <w:topLinePunct w:val="0"/>
        <w:autoSpaceDE/>
        <w:autoSpaceDN/>
        <w:bidi w:val="0"/>
        <w:adjustRightInd w:val="0"/>
        <w:snapToGrid w:val="0"/>
        <w:spacing w:before="418" w:beforeLines="100" w:line="360" w:lineRule="auto"/>
        <w:ind w:firstLine="630" w:firstLineChars="300"/>
        <w:textAlignment w:val="auto"/>
        <w:outlineLvl w:val="9"/>
        <w:rPr>
          <w:rFonts w:hint="eastAsia" w:ascii="宋体" w:hAnsi="宋体" w:eastAsia="宋体" w:cs="宋体"/>
          <w:color w:val="auto"/>
          <w:sz w:val="24"/>
          <w:highlight w:val="none"/>
          <w:lang w:eastAsia="zh-CN"/>
        </w:rPr>
      </w:pPr>
      <w:r>
        <w:rPr>
          <w:rFonts w:hint="eastAsia" w:ascii="宋体" w:hAnsi="宋体"/>
          <w:color w:val="auto"/>
          <w:highlight w:val="none"/>
        </w:rPr>
        <w:t>注：提供本项目的相关人员技术职称（如有），特种作业证（如有），身份证正反面</w:t>
      </w:r>
      <w:r>
        <w:rPr>
          <w:rFonts w:hint="eastAsia" w:ascii="宋体" w:hAnsi="宋体"/>
          <w:color w:val="auto"/>
          <w:highlight w:val="none"/>
          <w:lang w:val="en-US" w:eastAsia="zh-CN"/>
        </w:rPr>
        <w:t>及评分表要求的</w:t>
      </w:r>
      <w:r>
        <w:rPr>
          <w:rFonts w:hint="eastAsia" w:ascii="宋体" w:hAnsi="宋体"/>
          <w:color w:val="auto"/>
          <w:highlight w:val="none"/>
        </w:rPr>
        <w:t>相关证明材料等。</w:t>
      </w:r>
    </w:p>
    <w:p w14:paraId="30B741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037094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51B9901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2EE060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15808D8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color w:val="auto"/>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495DF4E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17039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09F7F736">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5305F5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81" w:name="_Toc6421"/>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九</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实施方案</w:t>
      </w:r>
      <w:bookmarkEnd w:id="481"/>
    </w:p>
    <w:p w14:paraId="3B8EBFE1">
      <w:pPr>
        <w:jc w:val="center"/>
        <w:rPr>
          <w:rFonts w:hint="eastAsia"/>
          <w:color w:val="auto"/>
          <w:highlight w:val="none"/>
        </w:rPr>
      </w:pPr>
      <w:r>
        <w:rPr>
          <w:rFonts w:hint="eastAsia"/>
          <w:color w:val="auto"/>
          <w:highlight w:val="none"/>
        </w:rPr>
        <w:t>（格式自拟）</w:t>
      </w:r>
    </w:p>
    <w:p w14:paraId="5DE003CA">
      <w:pPr>
        <w:pStyle w:val="49"/>
        <w:rPr>
          <w:rFonts w:hint="eastAsia" w:eastAsia="宋体" w:cs="Times New Roman"/>
          <w:color w:val="auto"/>
          <w:highlight w:val="none"/>
          <w:lang w:eastAsia="zh-CN"/>
        </w:rPr>
      </w:pPr>
    </w:p>
    <w:p w14:paraId="1D21EDFF">
      <w:pPr>
        <w:pStyle w:val="49"/>
        <w:rPr>
          <w:rFonts w:hint="eastAsia" w:eastAsia="宋体" w:cs="Times New Roman"/>
          <w:color w:val="auto"/>
          <w:highlight w:val="none"/>
          <w:lang w:eastAsia="zh-CN"/>
        </w:rPr>
      </w:pPr>
    </w:p>
    <w:p w14:paraId="4FD17AF4">
      <w:pPr>
        <w:rPr>
          <w:rFonts w:hint="eastAsia"/>
          <w:color w:val="auto"/>
          <w:highlight w:val="none"/>
          <w:lang w:eastAsia="zh-CN"/>
        </w:rPr>
      </w:pPr>
    </w:p>
    <w:p w14:paraId="5A285584">
      <w:pPr>
        <w:pStyle w:val="21"/>
        <w:ind w:left="0" w:leftChars="0" w:firstLine="0" w:firstLineChars="0"/>
        <w:rPr>
          <w:rFonts w:hint="eastAsia"/>
          <w:color w:val="auto"/>
          <w:highlight w:val="none"/>
          <w:lang w:eastAsia="zh-CN"/>
        </w:rPr>
      </w:pPr>
    </w:p>
    <w:p w14:paraId="30DEB7C8">
      <w:pPr>
        <w:pStyle w:val="49"/>
        <w:rPr>
          <w:rFonts w:hint="eastAsia" w:eastAsia="宋体" w:cs="Times New Roman"/>
          <w:color w:val="auto"/>
          <w:highlight w:val="none"/>
          <w:lang w:eastAsia="zh-CN"/>
        </w:rPr>
      </w:pPr>
    </w:p>
    <w:p w14:paraId="590D737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2" w:name="_Toc15130"/>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十</w:t>
      </w:r>
      <w:r>
        <w:rPr>
          <w:rFonts w:hint="eastAsia" w:ascii="Times New Roman" w:hAnsi="Times New Roman" w:eastAsia="宋体" w:cs="Times New Roman"/>
          <w:color w:val="auto"/>
          <w:sz w:val="24"/>
          <w:szCs w:val="24"/>
          <w:highlight w:val="none"/>
          <w:lang w:eastAsia="zh-CN"/>
        </w:rPr>
        <w:t>）</w:t>
      </w:r>
      <w:r>
        <w:rPr>
          <w:rFonts w:hint="default" w:ascii="宋体" w:hAnsi="宋体" w:cs="宋体"/>
          <w:color w:val="auto"/>
          <w:kern w:val="0"/>
          <w:sz w:val="24"/>
          <w:szCs w:val="24"/>
          <w:highlight w:val="none"/>
          <w:lang w:val="en-US" w:eastAsia="zh-CN" w:bidi="ar-SA"/>
        </w:rPr>
        <w:t>进度计划保障措施</w:t>
      </w:r>
      <w:bookmarkEnd w:id="482"/>
    </w:p>
    <w:p w14:paraId="3189E24A">
      <w:pPr>
        <w:jc w:val="center"/>
        <w:rPr>
          <w:rFonts w:hint="eastAsia"/>
          <w:color w:val="auto"/>
          <w:highlight w:val="none"/>
        </w:rPr>
      </w:pPr>
      <w:r>
        <w:rPr>
          <w:rFonts w:hint="eastAsia"/>
          <w:color w:val="auto"/>
          <w:highlight w:val="none"/>
        </w:rPr>
        <w:t>（格式自拟）</w:t>
      </w:r>
    </w:p>
    <w:p w14:paraId="578DC968">
      <w:pPr>
        <w:pStyle w:val="49"/>
        <w:rPr>
          <w:rFonts w:hint="eastAsia" w:eastAsia="宋体" w:cs="Times New Roman"/>
          <w:color w:val="auto"/>
          <w:highlight w:val="none"/>
          <w:lang w:eastAsia="zh-CN"/>
        </w:rPr>
      </w:pPr>
    </w:p>
    <w:p w14:paraId="0F313DE8">
      <w:pPr>
        <w:pStyle w:val="49"/>
        <w:rPr>
          <w:rFonts w:hint="eastAsia" w:eastAsia="宋体" w:cs="Times New Roman"/>
          <w:color w:val="auto"/>
          <w:highlight w:val="none"/>
          <w:lang w:eastAsia="zh-CN"/>
        </w:rPr>
      </w:pPr>
    </w:p>
    <w:p w14:paraId="58930C5B">
      <w:pPr>
        <w:rPr>
          <w:rFonts w:hint="eastAsia"/>
          <w:color w:val="auto"/>
          <w:highlight w:val="none"/>
          <w:lang w:eastAsia="zh-CN"/>
        </w:rPr>
      </w:pPr>
    </w:p>
    <w:p w14:paraId="3C77CDBC">
      <w:pPr>
        <w:rPr>
          <w:rFonts w:hint="eastAsia"/>
          <w:color w:val="auto"/>
          <w:highlight w:val="none"/>
          <w:lang w:eastAsia="zh-CN"/>
        </w:rPr>
      </w:pPr>
    </w:p>
    <w:p w14:paraId="6541FA08">
      <w:pPr>
        <w:pStyle w:val="49"/>
        <w:rPr>
          <w:rFonts w:hint="eastAsia" w:eastAsia="宋体" w:cs="Times New Roman"/>
          <w:color w:val="auto"/>
          <w:highlight w:val="none"/>
          <w:lang w:eastAsia="zh-CN"/>
        </w:rPr>
      </w:pPr>
    </w:p>
    <w:p w14:paraId="60D434DC">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3" w:name="_Toc10954"/>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一</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应急预案</w:t>
      </w:r>
      <w:bookmarkEnd w:id="483"/>
    </w:p>
    <w:p w14:paraId="0831ED6B">
      <w:pPr>
        <w:jc w:val="center"/>
        <w:rPr>
          <w:rFonts w:hint="eastAsia"/>
          <w:color w:val="auto"/>
          <w:highlight w:val="none"/>
        </w:rPr>
      </w:pPr>
      <w:r>
        <w:rPr>
          <w:rFonts w:hint="eastAsia"/>
          <w:color w:val="auto"/>
          <w:highlight w:val="none"/>
        </w:rPr>
        <w:t>（格式自拟）</w:t>
      </w:r>
    </w:p>
    <w:p w14:paraId="30689B36">
      <w:pPr>
        <w:pStyle w:val="49"/>
        <w:rPr>
          <w:rFonts w:hint="eastAsia" w:eastAsia="宋体" w:cs="Times New Roman"/>
          <w:color w:val="auto"/>
          <w:highlight w:val="none"/>
          <w:lang w:eastAsia="zh-CN"/>
        </w:rPr>
      </w:pPr>
    </w:p>
    <w:p w14:paraId="21640067">
      <w:pPr>
        <w:pStyle w:val="49"/>
        <w:rPr>
          <w:rFonts w:hint="eastAsia" w:eastAsia="宋体" w:cs="Times New Roman"/>
          <w:color w:val="auto"/>
          <w:highlight w:val="none"/>
          <w:lang w:eastAsia="zh-CN"/>
        </w:rPr>
      </w:pPr>
    </w:p>
    <w:p w14:paraId="5AE4D764">
      <w:pPr>
        <w:rPr>
          <w:rFonts w:hint="eastAsia"/>
          <w:color w:val="auto"/>
          <w:highlight w:val="none"/>
          <w:lang w:eastAsia="zh-CN"/>
        </w:rPr>
      </w:pPr>
    </w:p>
    <w:p w14:paraId="188E6EEC">
      <w:pPr>
        <w:pStyle w:val="21"/>
        <w:ind w:left="0" w:leftChars="0" w:firstLine="0" w:firstLineChars="0"/>
        <w:rPr>
          <w:rFonts w:hint="eastAsia"/>
          <w:color w:val="auto"/>
          <w:highlight w:val="none"/>
          <w:lang w:eastAsia="zh-CN"/>
        </w:rPr>
      </w:pPr>
    </w:p>
    <w:p w14:paraId="4C7210F1">
      <w:pPr>
        <w:pStyle w:val="49"/>
        <w:rPr>
          <w:rFonts w:hint="eastAsia" w:eastAsia="宋体" w:cs="Times New Roman"/>
          <w:color w:val="auto"/>
          <w:highlight w:val="none"/>
          <w:lang w:eastAsia="zh-CN"/>
        </w:rPr>
      </w:pPr>
    </w:p>
    <w:p w14:paraId="73FAFF5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cs="Times New Roman"/>
          <w:color w:val="auto"/>
          <w:sz w:val="24"/>
          <w:szCs w:val="24"/>
          <w:highlight w:val="none"/>
          <w:lang w:val="en-US" w:eastAsia="zh-CN"/>
        </w:rPr>
      </w:pPr>
      <w:bookmarkStart w:id="484" w:name="_Toc1072"/>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二</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服务质量控制措施</w:t>
      </w:r>
      <w:bookmarkEnd w:id="484"/>
    </w:p>
    <w:p w14:paraId="5F8ECC70">
      <w:pPr>
        <w:jc w:val="center"/>
        <w:rPr>
          <w:rFonts w:hint="eastAsia"/>
          <w:color w:val="auto"/>
          <w:highlight w:val="none"/>
        </w:rPr>
      </w:pPr>
      <w:r>
        <w:rPr>
          <w:rFonts w:hint="eastAsia"/>
          <w:color w:val="auto"/>
          <w:highlight w:val="none"/>
        </w:rPr>
        <w:t>（格式自拟）</w:t>
      </w:r>
    </w:p>
    <w:p w14:paraId="5A77F85B">
      <w:pPr>
        <w:pStyle w:val="49"/>
        <w:rPr>
          <w:rFonts w:hint="eastAsia" w:eastAsia="宋体" w:cs="Times New Roman"/>
          <w:color w:val="auto"/>
          <w:highlight w:val="none"/>
          <w:lang w:val="en-US" w:eastAsia="zh-CN"/>
        </w:rPr>
      </w:pPr>
    </w:p>
    <w:p w14:paraId="52AE1E9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bookmarkEnd w:id="470"/>
    <w:bookmarkEnd w:id="471"/>
    <w:bookmarkEnd w:id="477"/>
    <w:bookmarkEnd w:id="478"/>
    <w:p w14:paraId="3F39934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5" w:name="_Toc16785"/>
      <w:r>
        <w:rPr>
          <w:rFonts w:hint="eastAsia" w:ascii="Times New Roman" w:hAnsi="Times New Roman" w:eastAsia="宋体" w:cs="Times New Roman"/>
          <w:color w:val="auto"/>
          <w:sz w:val="24"/>
          <w:szCs w:val="24"/>
          <w:highlight w:val="none"/>
          <w:lang w:eastAsia="zh-CN"/>
        </w:rPr>
        <w:t>（十</w:t>
      </w:r>
      <w:r>
        <w:rPr>
          <w:rFonts w:hint="eastAsia" w:cs="Times New Roman"/>
          <w:color w:val="auto"/>
          <w:sz w:val="24"/>
          <w:szCs w:val="24"/>
          <w:highlight w:val="none"/>
          <w:lang w:val="en-US" w:eastAsia="zh-CN"/>
        </w:rPr>
        <w:t>三</w:t>
      </w:r>
      <w:r>
        <w:rPr>
          <w:rFonts w:hint="eastAsia" w:ascii="Times New Roman" w:hAnsi="Times New Roman" w:eastAsia="宋体" w:cs="Times New Roman"/>
          <w:color w:val="auto"/>
          <w:sz w:val="24"/>
          <w:szCs w:val="24"/>
          <w:highlight w:val="none"/>
          <w:lang w:eastAsia="zh-CN"/>
        </w:rPr>
        <w:t>）其他有利于投标的资料及证明文件等</w:t>
      </w:r>
      <w:bookmarkEnd w:id="485"/>
    </w:p>
    <w:p w14:paraId="0D745884">
      <w:pPr>
        <w:jc w:val="center"/>
        <w:outlineLvl w:val="9"/>
        <w:rPr>
          <w:rFonts w:hint="eastAsia"/>
          <w:color w:val="auto"/>
          <w:highlight w:val="none"/>
        </w:rPr>
      </w:pPr>
      <w:r>
        <w:rPr>
          <w:rFonts w:hint="eastAsia"/>
          <w:color w:val="auto"/>
          <w:highlight w:val="none"/>
        </w:rPr>
        <w:t>（如有）</w:t>
      </w:r>
    </w:p>
    <w:p w14:paraId="7DB5AAFF">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rPr>
      </w:pPr>
      <w:bookmarkStart w:id="486" w:name="_Toc14960"/>
      <w:bookmarkStart w:id="487" w:name="_Toc25313"/>
      <w:bookmarkStart w:id="488" w:name="_Toc32300"/>
      <w:bookmarkStart w:id="489" w:name="_Toc23651"/>
      <w:r>
        <w:rPr>
          <w:rFonts w:hint="eastAsia" w:ascii="宋体" w:hAnsi="宋体" w:eastAsia="宋体" w:cs="宋体"/>
          <w:color w:val="auto"/>
          <w:sz w:val="32"/>
          <w:szCs w:val="32"/>
          <w:highlight w:val="none"/>
        </w:rPr>
        <w:br w:type="page"/>
      </w:r>
      <w:bookmarkStart w:id="490" w:name="_Toc918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部分 附件</w:t>
      </w:r>
      <w:bookmarkEnd w:id="486"/>
      <w:bookmarkEnd w:id="487"/>
      <w:bookmarkEnd w:id="488"/>
      <w:bookmarkEnd w:id="489"/>
      <w:bookmarkEnd w:id="490"/>
    </w:p>
    <w:p w14:paraId="1EBA16BD">
      <w:pPr>
        <w:jc w:val="left"/>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7DE7AC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eastAsia" w:ascii="宋体" w:hAnsi="宋体" w:eastAsia="宋体" w:cs="宋体"/>
          <w:b/>
          <w:bCs/>
          <w:color w:val="auto"/>
          <w:kern w:val="0"/>
          <w:sz w:val="28"/>
          <w:szCs w:val="28"/>
          <w:highlight w:val="none"/>
        </w:rPr>
      </w:pPr>
      <w:bookmarkStart w:id="491" w:name="_Toc32270"/>
      <w:bookmarkStart w:id="492" w:name="_Toc27300"/>
      <w:bookmarkStart w:id="493" w:name="_Toc24974"/>
      <w:bookmarkStart w:id="494" w:name="_Toc5355"/>
      <w:r>
        <w:rPr>
          <w:rFonts w:hint="eastAsia" w:ascii="宋体" w:hAnsi="宋体" w:eastAsia="宋体" w:cs="宋体"/>
          <w:b/>
          <w:bCs/>
          <w:color w:val="auto"/>
          <w:kern w:val="0"/>
          <w:sz w:val="28"/>
          <w:szCs w:val="28"/>
          <w:highlight w:val="none"/>
        </w:rPr>
        <w:t>中小企业划型标准规定</w:t>
      </w:r>
      <w:bookmarkEnd w:id="491"/>
      <w:bookmarkEnd w:id="492"/>
      <w:bookmarkEnd w:id="493"/>
      <w:bookmarkEnd w:id="494"/>
    </w:p>
    <w:p w14:paraId="764931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C2F8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一、根据《中华人民共和国中小企业促进法》和《国务院关于进一步促进中小企业发展的若干意见》（国发〔2009〕36号），制定本规定。</w:t>
      </w:r>
    </w:p>
    <w:p w14:paraId="0C292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17D35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670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5" w:name="_Toc25663"/>
      <w:bookmarkStart w:id="496" w:name="_Toc9986"/>
      <w:r>
        <w:rPr>
          <w:rFonts w:hint="eastAsia" w:ascii="宋体" w:hAnsi="宋体" w:eastAsia="宋体" w:cs="宋体"/>
          <w:color w:val="auto"/>
          <w:sz w:val="24"/>
          <w:szCs w:val="24"/>
          <w:highlight w:val="none"/>
          <w:lang w:eastAsia="zh-CN"/>
        </w:rPr>
        <w:t>四、各行业划型标准为：</w:t>
      </w:r>
      <w:bookmarkEnd w:id="495"/>
      <w:bookmarkEnd w:id="496"/>
    </w:p>
    <w:p w14:paraId="49881E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778990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6ED7D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D93D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BD5A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E91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6C57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3260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ADC1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3A1A5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6025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525FF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8A6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1C20B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F5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F10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BE43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7" w:name="_Toc2331"/>
      <w:bookmarkStart w:id="498" w:name="_Toc21537"/>
      <w:r>
        <w:rPr>
          <w:rFonts w:hint="eastAsia" w:ascii="宋体" w:hAnsi="宋体" w:eastAsia="宋体" w:cs="宋体"/>
          <w:color w:val="auto"/>
          <w:sz w:val="24"/>
          <w:szCs w:val="24"/>
          <w:highlight w:val="none"/>
          <w:lang w:eastAsia="zh-CN"/>
        </w:rPr>
        <w:t>五、企业类型的划分以统计部门的统计数据为依据。</w:t>
      </w:r>
      <w:bookmarkEnd w:id="497"/>
      <w:bookmarkEnd w:id="498"/>
    </w:p>
    <w:p w14:paraId="07B38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791D0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868A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2347AF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9" w:name="_Toc13903"/>
      <w:bookmarkStart w:id="500" w:name="_Toc21643"/>
      <w:r>
        <w:rPr>
          <w:rFonts w:hint="eastAsia" w:ascii="宋体" w:hAnsi="宋体" w:eastAsia="宋体" w:cs="宋体"/>
          <w:color w:val="auto"/>
          <w:sz w:val="24"/>
          <w:szCs w:val="24"/>
          <w:highlight w:val="none"/>
          <w:lang w:eastAsia="zh-CN"/>
        </w:rPr>
        <w:t>九、本规定由工业和信息化部、国家统计局会同有关部门负责解释。</w:t>
      </w:r>
      <w:bookmarkEnd w:id="499"/>
      <w:bookmarkEnd w:id="500"/>
    </w:p>
    <w:p w14:paraId="6341E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sectPr>
      <w:headerReference r:id="rId4" w:type="default"/>
      <w:footerReference r:id="rId5" w:type="default"/>
      <w:pgSz w:w="11906" w:h="16838"/>
      <w:pgMar w:top="1440" w:right="1080" w:bottom="1440" w:left="1080" w:header="850" w:footer="992" w:gutter="0"/>
      <w:pgBorders>
        <w:top w:val="none" w:sz="0" w:space="0"/>
        <w:left w:val="none" w:sz="0" w:space="0"/>
        <w:bottom w:val="none" w:sz="0" w:space="0"/>
        <w:right w:val="none" w:sz="0" w:space="0"/>
      </w:pgBorders>
      <w:pgNumType w:fmt="decimal" w:start="1"/>
      <w:cols w:space="720" w:num="1"/>
      <w:rtlGutter w:val="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00"/>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F801">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ACE27">
                          <w:pPr>
                            <w:pStyle w:val="29"/>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nWJr3gEAAL8DAAAOAAAAAAAA&#10;AAEAIAAAAB4BAABkcnMvZTJvRG9jLnhtbFBLBQYAAAAABgAGAFkBAABuBQAAAAA=&#10;">
              <v:fill on="f" focussize="0,0"/>
              <v:stroke on="f"/>
              <v:imagedata o:title=""/>
              <o:lock v:ext="edit" aspectratio="f"/>
              <v:textbox inset="0mm,0mm,0mm,0mm" style="mso-fit-shape-to-text:t;">
                <w:txbxContent>
                  <w:p w14:paraId="30DACE27">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1C98">
    <w:pPr>
      <w:jc w:val="center"/>
      <w:rPr>
        <w:rFonts w:hint="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680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106B0"/>
    <w:multiLevelType w:val="singleLevel"/>
    <w:tmpl w:val="BDB106B0"/>
    <w:lvl w:ilvl="0" w:tentative="0">
      <w:start w:val="1"/>
      <w:numFmt w:val="decimal"/>
      <w:lvlText w:val="%1."/>
      <w:lvlJc w:val="left"/>
      <w:pPr>
        <w:tabs>
          <w:tab w:val="left" w:pos="312"/>
        </w:tabs>
      </w:pPr>
    </w:lvl>
  </w:abstractNum>
  <w:abstractNum w:abstractNumId="1">
    <w:nsid w:val="FEF5FD58"/>
    <w:multiLevelType w:val="singleLevel"/>
    <w:tmpl w:val="FEF5FD58"/>
    <w:lvl w:ilvl="0" w:tentative="0">
      <w:start w:val="1"/>
      <w:numFmt w:val="decimal"/>
      <w:suff w:val="nothing"/>
      <w:lvlText w:val="（%1）"/>
      <w:lvlJc w:val="left"/>
    </w:lvl>
  </w:abstractNum>
  <w:abstractNum w:abstractNumId="2">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08"/>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TUwNTVjMjM3YzNkNTI2MDk5ODFhODc1YzA1NjkifQ=="/>
  </w:docVars>
  <w:rsids>
    <w:rsidRoot w:val="00172A27"/>
    <w:rsid w:val="003C468C"/>
    <w:rsid w:val="009C06DD"/>
    <w:rsid w:val="00D53A36"/>
    <w:rsid w:val="00F34D5A"/>
    <w:rsid w:val="00FE4037"/>
    <w:rsid w:val="015F6F09"/>
    <w:rsid w:val="02502671"/>
    <w:rsid w:val="02627AD5"/>
    <w:rsid w:val="02D459DA"/>
    <w:rsid w:val="02FF4DF8"/>
    <w:rsid w:val="032E370E"/>
    <w:rsid w:val="03B24CA9"/>
    <w:rsid w:val="03D42E2E"/>
    <w:rsid w:val="03F37758"/>
    <w:rsid w:val="0417248F"/>
    <w:rsid w:val="04883D0D"/>
    <w:rsid w:val="050C2932"/>
    <w:rsid w:val="053718C6"/>
    <w:rsid w:val="055B42DF"/>
    <w:rsid w:val="055F2BCB"/>
    <w:rsid w:val="059223A8"/>
    <w:rsid w:val="05A45BE0"/>
    <w:rsid w:val="05D2339D"/>
    <w:rsid w:val="05E05ABA"/>
    <w:rsid w:val="05F17CC7"/>
    <w:rsid w:val="05FE0636"/>
    <w:rsid w:val="06001F5B"/>
    <w:rsid w:val="06652463"/>
    <w:rsid w:val="0701218C"/>
    <w:rsid w:val="070501F1"/>
    <w:rsid w:val="071977C4"/>
    <w:rsid w:val="07317B7D"/>
    <w:rsid w:val="078801B7"/>
    <w:rsid w:val="080C490E"/>
    <w:rsid w:val="080C703A"/>
    <w:rsid w:val="08514A4D"/>
    <w:rsid w:val="085D7896"/>
    <w:rsid w:val="086B479E"/>
    <w:rsid w:val="088809B1"/>
    <w:rsid w:val="089B746D"/>
    <w:rsid w:val="08CE2541"/>
    <w:rsid w:val="08D31906"/>
    <w:rsid w:val="09000221"/>
    <w:rsid w:val="09063A89"/>
    <w:rsid w:val="09385C0D"/>
    <w:rsid w:val="095E1336"/>
    <w:rsid w:val="0A0124A3"/>
    <w:rsid w:val="0A0F4BBF"/>
    <w:rsid w:val="0A2166A1"/>
    <w:rsid w:val="0A682522"/>
    <w:rsid w:val="0AB2719C"/>
    <w:rsid w:val="0B3F3282"/>
    <w:rsid w:val="0BB772BD"/>
    <w:rsid w:val="0BE04A65"/>
    <w:rsid w:val="0BFA6646"/>
    <w:rsid w:val="0C0149DC"/>
    <w:rsid w:val="0C4112ED"/>
    <w:rsid w:val="0C811679"/>
    <w:rsid w:val="0C851169"/>
    <w:rsid w:val="0C880C59"/>
    <w:rsid w:val="0CD65E68"/>
    <w:rsid w:val="0CDD0FA5"/>
    <w:rsid w:val="0D466B4A"/>
    <w:rsid w:val="0DD82567"/>
    <w:rsid w:val="0DFA5EB4"/>
    <w:rsid w:val="0E4F12E3"/>
    <w:rsid w:val="0F4F4989"/>
    <w:rsid w:val="0F543075"/>
    <w:rsid w:val="0F933B9D"/>
    <w:rsid w:val="0FB81889"/>
    <w:rsid w:val="0FF509EA"/>
    <w:rsid w:val="10484987"/>
    <w:rsid w:val="106B1EF6"/>
    <w:rsid w:val="10861954"/>
    <w:rsid w:val="10B71B0D"/>
    <w:rsid w:val="11643A43"/>
    <w:rsid w:val="11B524F0"/>
    <w:rsid w:val="11F748B7"/>
    <w:rsid w:val="121A0B3B"/>
    <w:rsid w:val="123E24E6"/>
    <w:rsid w:val="124B69B1"/>
    <w:rsid w:val="12E666D9"/>
    <w:rsid w:val="13051255"/>
    <w:rsid w:val="1356560D"/>
    <w:rsid w:val="13ED41C3"/>
    <w:rsid w:val="13EF364E"/>
    <w:rsid w:val="141554C8"/>
    <w:rsid w:val="154C19E7"/>
    <w:rsid w:val="156A1844"/>
    <w:rsid w:val="15836462"/>
    <w:rsid w:val="159F6FD7"/>
    <w:rsid w:val="15AC3C0A"/>
    <w:rsid w:val="171F21BA"/>
    <w:rsid w:val="17255A22"/>
    <w:rsid w:val="17263548"/>
    <w:rsid w:val="17465999"/>
    <w:rsid w:val="17D44903"/>
    <w:rsid w:val="18555D1B"/>
    <w:rsid w:val="188A36AA"/>
    <w:rsid w:val="18D47700"/>
    <w:rsid w:val="18EA42D2"/>
    <w:rsid w:val="19762565"/>
    <w:rsid w:val="1A514D80"/>
    <w:rsid w:val="1B446693"/>
    <w:rsid w:val="1B46240B"/>
    <w:rsid w:val="1B8D1DE8"/>
    <w:rsid w:val="1B92397F"/>
    <w:rsid w:val="1BA709B7"/>
    <w:rsid w:val="1BD9502D"/>
    <w:rsid w:val="1BF61F6A"/>
    <w:rsid w:val="1C136791"/>
    <w:rsid w:val="1C177904"/>
    <w:rsid w:val="1C4E4AB2"/>
    <w:rsid w:val="1D44260C"/>
    <w:rsid w:val="1D9A259A"/>
    <w:rsid w:val="1D9E208B"/>
    <w:rsid w:val="1DDF07A3"/>
    <w:rsid w:val="1E0122EB"/>
    <w:rsid w:val="1E0A7720"/>
    <w:rsid w:val="1E592455"/>
    <w:rsid w:val="1E7D5ADD"/>
    <w:rsid w:val="1E9148E4"/>
    <w:rsid w:val="1E952AE0"/>
    <w:rsid w:val="1ED6022A"/>
    <w:rsid w:val="1EE241F9"/>
    <w:rsid w:val="1F6D0118"/>
    <w:rsid w:val="1FA12982"/>
    <w:rsid w:val="1FBE07C2"/>
    <w:rsid w:val="1FE16016"/>
    <w:rsid w:val="1FEA7809"/>
    <w:rsid w:val="1FF4058F"/>
    <w:rsid w:val="20256A93"/>
    <w:rsid w:val="2027280B"/>
    <w:rsid w:val="20382251"/>
    <w:rsid w:val="20BD316F"/>
    <w:rsid w:val="20C75D9C"/>
    <w:rsid w:val="21282395"/>
    <w:rsid w:val="212C3E51"/>
    <w:rsid w:val="215E2E47"/>
    <w:rsid w:val="218C669E"/>
    <w:rsid w:val="21920158"/>
    <w:rsid w:val="21E87AF3"/>
    <w:rsid w:val="2270095D"/>
    <w:rsid w:val="23B0363D"/>
    <w:rsid w:val="23B4085A"/>
    <w:rsid w:val="23F073B8"/>
    <w:rsid w:val="24AD5E59"/>
    <w:rsid w:val="24B77ED6"/>
    <w:rsid w:val="253D03DB"/>
    <w:rsid w:val="26FE1DEC"/>
    <w:rsid w:val="270843E4"/>
    <w:rsid w:val="275C0D8F"/>
    <w:rsid w:val="27677991"/>
    <w:rsid w:val="27C93585"/>
    <w:rsid w:val="27D019DA"/>
    <w:rsid w:val="280D6789"/>
    <w:rsid w:val="28B5297E"/>
    <w:rsid w:val="28C17575"/>
    <w:rsid w:val="295F5CE3"/>
    <w:rsid w:val="296E10DD"/>
    <w:rsid w:val="29A30A29"/>
    <w:rsid w:val="2A6428AE"/>
    <w:rsid w:val="2AAB228B"/>
    <w:rsid w:val="2AB32EED"/>
    <w:rsid w:val="2AF577E1"/>
    <w:rsid w:val="2B026F48"/>
    <w:rsid w:val="2B442D09"/>
    <w:rsid w:val="2B543EB8"/>
    <w:rsid w:val="2BC35FF1"/>
    <w:rsid w:val="2BD414DD"/>
    <w:rsid w:val="2C0766EB"/>
    <w:rsid w:val="2C40058E"/>
    <w:rsid w:val="2C554425"/>
    <w:rsid w:val="2C7F39CF"/>
    <w:rsid w:val="2CA64AB8"/>
    <w:rsid w:val="2D4A5D8B"/>
    <w:rsid w:val="2D7626DC"/>
    <w:rsid w:val="2D917516"/>
    <w:rsid w:val="2DC5241E"/>
    <w:rsid w:val="2DD83397"/>
    <w:rsid w:val="2DFF7E04"/>
    <w:rsid w:val="2E0B376C"/>
    <w:rsid w:val="2E526506"/>
    <w:rsid w:val="2E642E7C"/>
    <w:rsid w:val="2E6C1134"/>
    <w:rsid w:val="2ED51197"/>
    <w:rsid w:val="2EE43FBD"/>
    <w:rsid w:val="2F067A90"/>
    <w:rsid w:val="2F432730"/>
    <w:rsid w:val="2FD14541"/>
    <w:rsid w:val="2FDB009D"/>
    <w:rsid w:val="30165AB5"/>
    <w:rsid w:val="304F36B8"/>
    <w:rsid w:val="30D96B4E"/>
    <w:rsid w:val="30DC319E"/>
    <w:rsid w:val="30E75833"/>
    <w:rsid w:val="3110753A"/>
    <w:rsid w:val="31336B36"/>
    <w:rsid w:val="31927D00"/>
    <w:rsid w:val="31B934DF"/>
    <w:rsid w:val="31DA4F39"/>
    <w:rsid w:val="321150C9"/>
    <w:rsid w:val="32690A61"/>
    <w:rsid w:val="328533C1"/>
    <w:rsid w:val="32941177"/>
    <w:rsid w:val="32E93522"/>
    <w:rsid w:val="334119DE"/>
    <w:rsid w:val="33550FE6"/>
    <w:rsid w:val="339353FD"/>
    <w:rsid w:val="33C12703"/>
    <w:rsid w:val="33EF4F96"/>
    <w:rsid w:val="34A9783B"/>
    <w:rsid w:val="34EE34A0"/>
    <w:rsid w:val="34FF745B"/>
    <w:rsid w:val="352C5D76"/>
    <w:rsid w:val="3578720D"/>
    <w:rsid w:val="35B43348"/>
    <w:rsid w:val="35F53F30"/>
    <w:rsid w:val="363A5186"/>
    <w:rsid w:val="365612FD"/>
    <w:rsid w:val="3694521E"/>
    <w:rsid w:val="36DF1167"/>
    <w:rsid w:val="36F0585D"/>
    <w:rsid w:val="36F823B4"/>
    <w:rsid w:val="37B564F7"/>
    <w:rsid w:val="3820263F"/>
    <w:rsid w:val="3842422E"/>
    <w:rsid w:val="38726196"/>
    <w:rsid w:val="38C06F01"/>
    <w:rsid w:val="38F17A02"/>
    <w:rsid w:val="39930ABA"/>
    <w:rsid w:val="3A9B5E78"/>
    <w:rsid w:val="3BAF1162"/>
    <w:rsid w:val="3C2C7480"/>
    <w:rsid w:val="3C41317A"/>
    <w:rsid w:val="3C951AAB"/>
    <w:rsid w:val="3CE21E78"/>
    <w:rsid w:val="3E4800C5"/>
    <w:rsid w:val="3E5D51F2"/>
    <w:rsid w:val="3E611186"/>
    <w:rsid w:val="3F185CE9"/>
    <w:rsid w:val="3F4563B2"/>
    <w:rsid w:val="3F732F1F"/>
    <w:rsid w:val="3FBB6674"/>
    <w:rsid w:val="406D5BC1"/>
    <w:rsid w:val="408D0011"/>
    <w:rsid w:val="412133EB"/>
    <w:rsid w:val="41852523"/>
    <w:rsid w:val="418C0847"/>
    <w:rsid w:val="428C42F8"/>
    <w:rsid w:val="42CD2946"/>
    <w:rsid w:val="42D71A17"/>
    <w:rsid w:val="430F2A5C"/>
    <w:rsid w:val="43447317"/>
    <w:rsid w:val="43E96900"/>
    <w:rsid w:val="442347E8"/>
    <w:rsid w:val="44337121"/>
    <w:rsid w:val="445C6678"/>
    <w:rsid w:val="44922631"/>
    <w:rsid w:val="44AF4BBA"/>
    <w:rsid w:val="459B6062"/>
    <w:rsid w:val="45AB2CE7"/>
    <w:rsid w:val="45CA7B86"/>
    <w:rsid w:val="45E701C3"/>
    <w:rsid w:val="45E85145"/>
    <w:rsid w:val="4670130D"/>
    <w:rsid w:val="46845A12"/>
    <w:rsid w:val="46DC75FC"/>
    <w:rsid w:val="46E97F6B"/>
    <w:rsid w:val="46EB3CE3"/>
    <w:rsid w:val="46FB7DC6"/>
    <w:rsid w:val="47185450"/>
    <w:rsid w:val="478E57EB"/>
    <w:rsid w:val="485458B8"/>
    <w:rsid w:val="48F055E1"/>
    <w:rsid w:val="490966A2"/>
    <w:rsid w:val="49321B1E"/>
    <w:rsid w:val="49830203"/>
    <w:rsid w:val="49DC3DB7"/>
    <w:rsid w:val="49FE5ADB"/>
    <w:rsid w:val="4A7933B4"/>
    <w:rsid w:val="4B163B35"/>
    <w:rsid w:val="4B26353C"/>
    <w:rsid w:val="4C982217"/>
    <w:rsid w:val="4CF3744D"/>
    <w:rsid w:val="4CF85112"/>
    <w:rsid w:val="4D113D78"/>
    <w:rsid w:val="4D8D1626"/>
    <w:rsid w:val="4D9053D6"/>
    <w:rsid w:val="4DC41D28"/>
    <w:rsid w:val="4DDF214F"/>
    <w:rsid w:val="4E7E6867"/>
    <w:rsid w:val="4EB64BD7"/>
    <w:rsid w:val="4F327F56"/>
    <w:rsid w:val="4F3B50DC"/>
    <w:rsid w:val="4F696075"/>
    <w:rsid w:val="4F8D5534"/>
    <w:rsid w:val="4FC472C9"/>
    <w:rsid w:val="4FF57980"/>
    <w:rsid w:val="506C3F7C"/>
    <w:rsid w:val="50D8625D"/>
    <w:rsid w:val="50DE0415"/>
    <w:rsid w:val="51323F2C"/>
    <w:rsid w:val="51A127A5"/>
    <w:rsid w:val="51C25640"/>
    <w:rsid w:val="522A2E11"/>
    <w:rsid w:val="52AB07CA"/>
    <w:rsid w:val="52AF2069"/>
    <w:rsid w:val="52BC29D7"/>
    <w:rsid w:val="52E13F18"/>
    <w:rsid w:val="52F61A46"/>
    <w:rsid w:val="534D3630"/>
    <w:rsid w:val="54E35FFA"/>
    <w:rsid w:val="54F5777E"/>
    <w:rsid w:val="54F621D1"/>
    <w:rsid w:val="553B62BE"/>
    <w:rsid w:val="55456CB4"/>
    <w:rsid w:val="557430F6"/>
    <w:rsid w:val="55BB2AD2"/>
    <w:rsid w:val="55BD4A9D"/>
    <w:rsid w:val="561C5C67"/>
    <w:rsid w:val="56890E23"/>
    <w:rsid w:val="56BA722E"/>
    <w:rsid w:val="57004BF9"/>
    <w:rsid w:val="577B52CD"/>
    <w:rsid w:val="579637F7"/>
    <w:rsid w:val="57A557E8"/>
    <w:rsid w:val="57D8796C"/>
    <w:rsid w:val="585216EC"/>
    <w:rsid w:val="586D09FC"/>
    <w:rsid w:val="58C6010C"/>
    <w:rsid w:val="58D215CC"/>
    <w:rsid w:val="58E42340"/>
    <w:rsid w:val="59484FC5"/>
    <w:rsid w:val="59CA3C2C"/>
    <w:rsid w:val="5A4E2167"/>
    <w:rsid w:val="5AF2343A"/>
    <w:rsid w:val="5B305D11"/>
    <w:rsid w:val="5B37709F"/>
    <w:rsid w:val="5B991B08"/>
    <w:rsid w:val="5BA069F2"/>
    <w:rsid w:val="5BA26E73"/>
    <w:rsid w:val="5BC76675"/>
    <w:rsid w:val="5C2C64D8"/>
    <w:rsid w:val="5D11008D"/>
    <w:rsid w:val="5D6B1282"/>
    <w:rsid w:val="5DFA3BC0"/>
    <w:rsid w:val="5EC92704"/>
    <w:rsid w:val="5F0C439F"/>
    <w:rsid w:val="5F204C4E"/>
    <w:rsid w:val="5F5024DD"/>
    <w:rsid w:val="5FF05552"/>
    <w:rsid w:val="605536C8"/>
    <w:rsid w:val="607E12CC"/>
    <w:rsid w:val="609E54CA"/>
    <w:rsid w:val="60F01AF5"/>
    <w:rsid w:val="611C5F5F"/>
    <w:rsid w:val="619831E5"/>
    <w:rsid w:val="61AB4343"/>
    <w:rsid w:val="620128BF"/>
    <w:rsid w:val="62F21BC4"/>
    <w:rsid w:val="63574FB5"/>
    <w:rsid w:val="63C74D38"/>
    <w:rsid w:val="63C95F28"/>
    <w:rsid w:val="63F975E8"/>
    <w:rsid w:val="643E149E"/>
    <w:rsid w:val="6461518D"/>
    <w:rsid w:val="65A336D4"/>
    <w:rsid w:val="65B732B6"/>
    <w:rsid w:val="66134265"/>
    <w:rsid w:val="66BB0471"/>
    <w:rsid w:val="671464E6"/>
    <w:rsid w:val="6717678D"/>
    <w:rsid w:val="677B6565"/>
    <w:rsid w:val="67860E67"/>
    <w:rsid w:val="68E370D3"/>
    <w:rsid w:val="698A2A90"/>
    <w:rsid w:val="6A184540"/>
    <w:rsid w:val="6AF24D91"/>
    <w:rsid w:val="6B6C68F1"/>
    <w:rsid w:val="6B7A0EB2"/>
    <w:rsid w:val="6C054650"/>
    <w:rsid w:val="6C627CF4"/>
    <w:rsid w:val="6CE00A86"/>
    <w:rsid w:val="6D5B35A8"/>
    <w:rsid w:val="6D91263F"/>
    <w:rsid w:val="6DA00AD4"/>
    <w:rsid w:val="6DB4632D"/>
    <w:rsid w:val="6DDB599F"/>
    <w:rsid w:val="6E0948CB"/>
    <w:rsid w:val="6E6D20C6"/>
    <w:rsid w:val="6E9E2A32"/>
    <w:rsid w:val="6EA254B9"/>
    <w:rsid w:val="6EB32A89"/>
    <w:rsid w:val="6FF13F65"/>
    <w:rsid w:val="700D682A"/>
    <w:rsid w:val="701021F8"/>
    <w:rsid w:val="70E40830"/>
    <w:rsid w:val="70FA04FB"/>
    <w:rsid w:val="71494FDF"/>
    <w:rsid w:val="71573B9F"/>
    <w:rsid w:val="71597917"/>
    <w:rsid w:val="71B63E66"/>
    <w:rsid w:val="71F25676"/>
    <w:rsid w:val="7218332F"/>
    <w:rsid w:val="72457E9C"/>
    <w:rsid w:val="729E4247"/>
    <w:rsid w:val="72FB055A"/>
    <w:rsid w:val="74220495"/>
    <w:rsid w:val="743106D8"/>
    <w:rsid w:val="750951B1"/>
    <w:rsid w:val="751A116C"/>
    <w:rsid w:val="75267B11"/>
    <w:rsid w:val="75AB6268"/>
    <w:rsid w:val="76A96C4B"/>
    <w:rsid w:val="76C70E7F"/>
    <w:rsid w:val="7758332B"/>
    <w:rsid w:val="775A6197"/>
    <w:rsid w:val="7783428B"/>
    <w:rsid w:val="77935DDC"/>
    <w:rsid w:val="77B3567D"/>
    <w:rsid w:val="77B969BE"/>
    <w:rsid w:val="77C33D3D"/>
    <w:rsid w:val="77C71351"/>
    <w:rsid w:val="77E617D9"/>
    <w:rsid w:val="77F263D0"/>
    <w:rsid w:val="78547B29"/>
    <w:rsid w:val="78AE679B"/>
    <w:rsid w:val="78E201F2"/>
    <w:rsid w:val="7A3251AA"/>
    <w:rsid w:val="7A956CB9"/>
    <w:rsid w:val="7B4707E1"/>
    <w:rsid w:val="7B641393"/>
    <w:rsid w:val="7B767318"/>
    <w:rsid w:val="7BE2731E"/>
    <w:rsid w:val="7BEE3352"/>
    <w:rsid w:val="7C653614"/>
    <w:rsid w:val="7CDC31AB"/>
    <w:rsid w:val="7CE02C9B"/>
    <w:rsid w:val="7D0F532E"/>
    <w:rsid w:val="7D344D95"/>
    <w:rsid w:val="7DD56578"/>
    <w:rsid w:val="7E22523F"/>
    <w:rsid w:val="7E8D3214"/>
    <w:rsid w:val="7EED78F1"/>
    <w:rsid w:val="7F0945F7"/>
    <w:rsid w:val="7F1D01D6"/>
    <w:rsid w:val="7FEE56CF"/>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qFormat="1" w:unhideWhenUsed="0" w:uiPriority="99" w:semiHidden="0"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qFormat="1"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qFormat="1" w:unhideWhenUsed="0" w:uiPriority="99" w:semiHidden="0"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iPriority="0"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1"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qFormat="1" w:unhideWhenUsed="0" w:uiPriority="0" w:semiHidden="0"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6"/>
    <w:qFormat/>
    <w:uiPriority w:val="99"/>
    <w:pPr>
      <w:keepNext/>
      <w:numPr>
        <w:ilvl w:val="0"/>
        <w:numId w:val="1"/>
      </w:numPr>
      <w:outlineLvl w:val="0"/>
    </w:pPr>
    <w:rPr>
      <w:b/>
    </w:rPr>
  </w:style>
  <w:style w:type="paragraph" w:styleId="3">
    <w:name w:val="heading 2"/>
    <w:basedOn w:val="1"/>
    <w:next w:val="1"/>
    <w:link w:val="100"/>
    <w:qFormat/>
    <w:uiPriority w:val="99"/>
    <w:pPr>
      <w:keepNext/>
      <w:keepLines/>
      <w:spacing w:before="260" w:after="260" w:line="416" w:lineRule="auto"/>
      <w:outlineLvl w:val="1"/>
    </w:pPr>
    <w:rPr>
      <w:rFonts w:ascii="Arial" w:hAnsi="Arial" w:eastAsia="黑体"/>
      <w:b/>
      <w:sz w:val="32"/>
    </w:rPr>
  </w:style>
  <w:style w:type="paragraph" w:styleId="4">
    <w:name w:val="heading 3"/>
    <w:basedOn w:val="1"/>
    <w:next w:val="1"/>
    <w:link w:val="95"/>
    <w:qFormat/>
    <w:uiPriority w:val="99"/>
    <w:pPr>
      <w:keepNext/>
      <w:keepLines/>
      <w:spacing w:before="260" w:after="260" w:line="416" w:lineRule="auto"/>
      <w:outlineLvl w:val="2"/>
    </w:pPr>
    <w:rPr>
      <w:b/>
      <w:bCs/>
      <w:sz w:val="32"/>
      <w:szCs w:val="32"/>
    </w:rPr>
  </w:style>
  <w:style w:type="paragraph" w:styleId="5">
    <w:name w:val="heading 4"/>
    <w:basedOn w:val="1"/>
    <w:next w:val="1"/>
    <w:link w:val="102"/>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1"/>
    <w:qFormat/>
    <w:uiPriority w:val="99"/>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93"/>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91"/>
    <w:qFormat/>
    <w:uiPriority w:val="99"/>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104"/>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89"/>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99"/>
    <w:pPr>
      <w:ind w:firstLine="420" w:firstLineChars="200"/>
    </w:pPr>
    <w:rPr>
      <w:szCs w:val="24"/>
    </w:rPr>
  </w:style>
  <w:style w:type="paragraph" w:styleId="12">
    <w:name w:val="Document Map"/>
    <w:basedOn w:val="1"/>
    <w:link w:val="88"/>
    <w:qFormat/>
    <w:uiPriority w:val="99"/>
    <w:pPr>
      <w:shd w:val="clear" w:color="auto" w:fill="000080"/>
    </w:pPr>
  </w:style>
  <w:style w:type="paragraph" w:styleId="13">
    <w:name w:val="toa heading"/>
    <w:basedOn w:val="1"/>
    <w:next w:val="1"/>
    <w:qFormat/>
    <w:locked/>
    <w:uiPriority w:val="0"/>
    <w:pPr>
      <w:spacing w:before="120"/>
    </w:pPr>
    <w:rPr>
      <w:rFonts w:ascii="Arial" w:hAnsi="Arial"/>
      <w:sz w:val="24"/>
      <w:szCs w:val="21"/>
    </w:rPr>
  </w:style>
  <w:style w:type="paragraph" w:styleId="14">
    <w:name w:val="annotation text"/>
    <w:basedOn w:val="1"/>
    <w:semiHidden/>
    <w:unhideWhenUsed/>
    <w:qFormat/>
    <w:locked/>
    <w:uiPriority w:val="1"/>
    <w:pPr>
      <w:jc w:val="left"/>
    </w:pPr>
  </w:style>
  <w:style w:type="paragraph" w:styleId="15">
    <w:name w:val="index 6"/>
    <w:basedOn w:val="1"/>
    <w:next w:val="1"/>
    <w:qFormat/>
    <w:locked/>
    <w:uiPriority w:val="99"/>
    <w:pPr>
      <w:ind w:left="2100"/>
    </w:pPr>
  </w:style>
  <w:style w:type="paragraph" w:styleId="16">
    <w:name w:val="Salutation"/>
    <w:basedOn w:val="1"/>
    <w:next w:val="1"/>
    <w:link w:val="87"/>
    <w:qFormat/>
    <w:uiPriority w:val="99"/>
    <w:rPr>
      <w:rFonts w:ascii="宋体"/>
      <w:b/>
      <w:sz w:val="28"/>
    </w:rPr>
  </w:style>
  <w:style w:type="paragraph" w:styleId="17">
    <w:name w:val="Body Text"/>
    <w:basedOn w:val="1"/>
    <w:next w:val="18"/>
    <w:link w:val="85"/>
    <w:qFormat/>
    <w:uiPriority w:val="99"/>
    <w:rPr>
      <w:rFonts w:ascii="Arial" w:hAnsi="Arial"/>
      <w:sz w:val="24"/>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eastAsia="宋体" w:cs="Times New Roman"/>
      <w:b/>
      <w:sz w:val="28"/>
      <w:szCs w:val="24"/>
    </w:rPr>
  </w:style>
  <w:style w:type="paragraph" w:styleId="20">
    <w:name w:val="Body Text First Indent 2"/>
    <w:basedOn w:val="21"/>
    <w:next w:val="23"/>
    <w:qFormat/>
    <w:locked/>
    <w:uiPriority w:val="0"/>
    <w:pPr>
      <w:spacing w:after="120" w:line="240" w:lineRule="auto"/>
      <w:ind w:left="420" w:leftChars="200"/>
    </w:pPr>
    <w:rPr>
      <w:rFonts w:ascii="Times New Roman" w:hAnsi="Times New Roman"/>
      <w:szCs w:val="24"/>
    </w:rPr>
  </w:style>
  <w:style w:type="paragraph" w:styleId="21">
    <w:name w:val="Body Text Indent"/>
    <w:basedOn w:val="1"/>
    <w:next w:val="22"/>
    <w:link w:val="98"/>
    <w:qFormat/>
    <w:uiPriority w:val="99"/>
    <w:pPr>
      <w:ind w:firstLine="480"/>
    </w:pPr>
    <w:rPr>
      <w:rFonts w:ascii="宋体" w:hAnsi="宋体"/>
      <w:sz w:val="24"/>
    </w:rPr>
  </w:style>
  <w:style w:type="paragraph" w:styleId="22">
    <w:name w:val="Body Text Indent 2"/>
    <w:basedOn w:val="1"/>
    <w:link w:val="81"/>
    <w:qFormat/>
    <w:uiPriority w:val="99"/>
    <w:pPr>
      <w:ind w:firstLine="435"/>
    </w:pPr>
    <w:rPr>
      <w:rFonts w:ascii="宋体" w:hAnsi="宋体"/>
      <w:sz w:val="24"/>
    </w:rPr>
  </w:style>
  <w:style w:type="paragraph" w:styleId="23">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24">
    <w:name w:val="List 2"/>
    <w:basedOn w:val="1"/>
    <w:next w:val="25"/>
    <w:qFormat/>
    <w:locked/>
    <w:uiPriority w:val="0"/>
    <w:pPr>
      <w:ind w:left="100" w:leftChars="200" w:hanging="200" w:hangingChars="200"/>
    </w:pPr>
  </w:style>
  <w:style w:type="paragraph" w:styleId="25">
    <w:name w:val="Plain Text"/>
    <w:basedOn w:val="1"/>
    <w:link w:val="83"/>
    <w:qFormat/>
    <w:uiPriority w:val="99"/>
    <w:rPr>
      <w:rFonts w:ascii="宋体" w:hAnsi="Courier New"/>
    </w:rPr>
  </w:style>
  <w:style w:type="paragraph" w:styleId="26">
    <w:name w:val="toc 3"/>
    <w:basedOn w:val="1"/>
    <w:next w:val="1"/>
    <w:qFormat/>
    <w:uiPriority w:val="99"/>
    <w:pPr>
      <w:ind w:left="840" w:leftChars="400"/>
    </w:pPr>
  </w:style>
  <w:style w:type="paragraph" w:styleId="27">
    <w:name w:val="Date"/>
    <w:basedOn w:val="1"/>
    <w:next w:val="1"/>
    <w:link w:val="82"/>
    <w:qFormat/>
    <w:uiPriority w:val="99"/>
    <w:pPr>
      <w:ind w:left="100"/>
    </w:pPr>
    <w:rPr>
      <w:sz w:val="24"/>
    </w:rPr>
  </w:style>
  <w:style w:type="paragraph" w:styleId="28">
    <w:name w:val="Balloon Text"/>
    <w:basedOn w:val="1"/>
    <w:link w:val="94"/>
    <w:semiHidden/>
    <w:qFormat/>
    <w:uiPriority w:val="99"/>
    <w:rPr>
      <w:sz w:val="18"/>
      <w:szCs w:val="18"/>
    </w:rPr>
  </w:style>
  <w:style w:type="paragraph" w:styleId="29">
    <w:name w:val="footer"/>
    <w:basedOn w:val="1"/>
    <w:link w:val="80"/>
    <w:qFormat/>
    <w:uiPriority w:val="99"/>
    <w:pPr>
      <w:tabs>
        <w:tab w:val="center" w:pos="4153"/>
        <w:tab w:val="right" w:pos="8306"/>
      </w:tabs>
      <w:snapToGrid w:val="0"/>
      <w:jc w:val="left"/>
    </w:pPr>
    <w:rPr>
      <w:sz w:val="18"/>
    </w:rPr>
  </w:style>
  <w:style w:type="paragraph" w:styleId="30">
    <w:name w:val="envelope return"/>
    <w:basedOn w:val="1"/>
    <w:qFormat/>
    <w:locked/>
    <w:uiPriority w:val="99"/>
    <w:pPr>
      <w:snapToGrid w:val="0"/>
    </w:pPr>
    <w:rPr>
      <w:rFonts w:ascii="Arial" w:hAnsi="Arial" w:cs="Arial"/>
    </w:rPr>
  </w:style>
  <w:style w:type="paragraph" w:styleId="31">
    <w:name w:val="header"/>
    <w:basedOn w:val="1"/>
    <w:link w:val="112"/>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99"/>
  </w:style>
  <w:style w:type="paragraph" w:styleId="33">
    <w:name w:val="Subtitle"/>
    <w:basedOn w:val="1"/>
    <w:next w:val="1"/>
    <w:link w:val="90"/>
    <w:qFormat/>
    <w:uiPriority w:val="99"/>
    <w:pPr>
      <w:spacing w:before="240" w:after="60" w:line="312" w:lineRule="auto"/>
      <w:jc w:val="center"/>
      <w:outlineLvl w:val="1"/>
    </w:pPr>
    <w:rPr>
      <w:rFonts w:ascii="Cambria" w:hAnsi="Cambria"/>
      <w:b/>
      <w:bCs/>
      <w:kern w:val="28"/>
      <w:sz w:val="32"/>
      <w:szCs w:val="32"/>
    </w:rPr>
  </w:style>
  <w:style w:type="paragraph" w:styleId="34">
    <w:name w:val="List"/>
    <w:basedOn w:val="1"/>
    <w:unhideWhenUsed/>
    <w:qFormat/>
    <w:locked/>
    <w:uiPriority w:val="0"/>
    <w:pPr>
      <w:ind w:left="200" w:hanging="200" w:hangingChars="200"/>
    </w:pPr>
    <w:rPr>
      <w:rFonts w:ascii="Calibri" w:hAnsi="Calibri"/>
    </w:rPr>
  </w:style>
  <w:style w:type="paragraph" w:styleId="35">
    <w:name w:val="Body Text Indent 3"/>
    <w:basedOn w:val="1"/>
    <w:link w:val="79"/>
    <w:qFormat/>
    <w:uiPriority w:val="99"/>
    <w:pPr>
      <w:ind w:left="471" w:hanging="471" w:hangingChars="200"/>
    </w:pPr>
    <w:rPr>
      <w:rFonts w:ascii="Arial" w:hAnsi="Arial" w:cs="Arial"/>
      <w:b/>
      <w:bCs/>
      <w:sz w:val="24"/>
    </w:rPr>
  </w:style>
  <w:style w:type="paragraph" w:styleId="36">
    <w:name w:val="toc 2"/>
    <w:basedOn w:val="1"/>
    <w:next w:val="1"/>
    <w:qFormat/>
    <w:uiPriority w:val="99"/>
    <w:pPr>
      <w:ind w:left="420" w:leftChars="200"/>
    </w:pPr>
  </w:style>
  <w:style w:type="paragraph" w:styleId="37">
    <w:name w:val="Body Text 2"/>
    <w:basedOn w:val="1"/>
    <w:link w:val="115"/>
    <w:qFormat/>
    <w:uiPriority w:val="99"/>
    <w:pPr>
      <w:spacing w:line="360" w:lineRule="auto"/>
    </w:pPr>
    <w:rPr>
      <w:b/>
      <w:sz w:val="28"/>
      <w:szCs w:val="21"/>
    </w:rPr>
  </w:style>
  <w:style w:type="paragraph" w:styleId="38">
    <w:name w:val="Message Header"/>
    <w:basedOn w:val="1"/>
    <w:next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9">
    <w:name w:val="Body Text First Indent"/>
    <w:basedOn w:val="17"/>
    <w:next w:val="1"/>
    <w:link w:val="118"/>
    <w:qFormat/>
    <w:uiPriority w:val="99"/>
    <w:pPr>
      <w:spacing w:after="120"/>
      <w:ind w:firstLine="420" w:firstLineChars="100"/>
    </w:p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99"/>
    <w:rPr>
      <w:rFonts w:cs="Times New Roman"/>
      <w:b/>
    </w:rPr>
  </w:style>
  <w:style w:type="character" w:styleId="44">
    <w:name w:val="page number"/>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Emphasis"/>
    <w:basedOn w:val="42"/>
    <w:qFormat/>
    <w:uiPriority w:val="99"/>
    <w:rPr>
      <w:rFonts w:cs="Times New Roman"/>
      <w:color w:val="CC0033"/>
    </w:rPr>
  </w:style>
  <w:style w:type="character" w:styleId="47">
    <w:name w:val="Hyperlink"/>
    <w:qFormat/>
    <w:uiPriority w:val="99"/>
    <w:rPr>
      <w:rFonts w:cs="Times New Roman"/>
      <w:color w:val="0000FF"/>
      <w:u w:val="single"/>
    </w:rPr>
  </w:style>
  <w:style w:type="character" w:styleId="48">
    <w:name w:val="HTML Sample"/>
    <w:qFormat/>
    <w:locked/>
    <w:uiPriority w:val="0"/>
    <w:rPr>
      <w:rFonts w:ascii="Courier New" w:hAnsi="Courier New"/>
    </w:rPr>
  </w:style>
  <w:style w:type="paragraph" w:customStyle="1" w:styleId="49">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50">
    <w:name w:val="font51"/>
    <w:basedOn w:val="42"/>
    <w:qFormat/>
    <w:uiPriority w:val="0"/>
    <w:rPr>
      <w:rFonts w:hint="default" w:ascii="Arial" w:hAnsi="Arial" w:cs="Arial"/>
      <w:color w:val="000000"/>
      <w:sz w:val="18"/>
      <w:szCs w:val="18"/>
      <w:u w:val="none"/>
    </w:rPr>
  </w:style>
  <w:style w:type="character" w:customStyle="1" w:styleId="51">
    <w:name w:val="ca-4"/>
    <w:qFormat/>
    <w:uiPriority w:val="99"/>
    <w:rPr>
      <w:rFonts w:cs="Times New Roman"/>
    </w:rPr>
  </w:style>
  <w:style w:type="character" w:customStyle="1" w:styleId="52">
    <w:name w:val="marklong"/>
    <w:qFormat/>
    <w:uiPriority w:val="99"/>
    <w:rPr>
      <w:rFonts w:cs="Times New Roman"/>
    </w:rPr>
  </w:style>
  <w:style w:type="character" w:customStyle="1" w:styleId="53">
    <w:name w:val="Char Char"/>
    <w:qFormat/>
    <w:uiPriority w:val="99"/>
    <w:rPr>
      <w:kern w:val="2"/>
      <w:sz w:val="18"/>
    </w:rPr>
  </w:style>
  <w:style w:type="character" w:customStyle="1" w:styleId="54">
    <w:name w:val="纯文本 Char Char Char Char Char Char"/>
    <w:qFormat/>
    <w:locked/>
    <w:uiPriority w:val="99"/>
    <w:rPr>
      <w:rFonts w:ascii="宋体" w:hAnsi="Courier New" w:eastAsia="宋体"/>
      <w:kern w:val="2"/>
      <w:sz w:val="21"/>
      <w:lang w:val="en-US" w:eastAsia="zh-CN"/>
    </w:rPr>
  </w:style>
  <w:style w:type="character" w:customStyle="1" w:styleId="55">
    <w:name w:val="font21"/>
    <w:qFormat/>
    <w:uiPriority w:val="99"/>
    <w:rPr>
      <w:rFonts w:ascii="宋体" w:hAnsi="宋体" w:eastAsia="宋体"/>
      <w:color w:val="000000"/>
      <w:sz w:val="21"/>
      <w:u w:val="none"/>
    </w:rPr>
  </w:style>
  <w:style w:type="character" w:customStyle="1" w:styleId="56">
    <w:name w:val="Document Map Char"/>
    <w:qFormat/>
    <w:locked/>
    <w:uiPriority w:val="99"/>
    <w:rPr>
      <w:kern w:val="2"/>
      <w:sz w:val="21"/>
      <w:shd w:val="clear" w:color="auto" w:fill="000080"/>
    </w:rPr>
  </w:style>
  <w:style w:type="character" w:customStyle="1" w:styleId="57">
    <w:name w:val="无"/>
    <w:qFormat/>
    <w:uiPriority w:val="99"/>
  </w:style>
  <w:style w:type="character" w:customStyle="1" w:styleId="58">
    <w:name w:val="样式 仿宋"/>
    <w:qFormat/>
    <w:uiPriority w:val="99"/>
    <w:rPr>
      <w:rFonts w:ascii="仿宋" w:hAnsi="仿宋" w:eastAsia="仿宋"/>
      <w:kern w:val="1"/>
    </w:rPr>
  </w:style>
  <w:style w:type="character" w:customStyle="1" w:styleId="59">
    <w:name w:val="grame"/>
    <w:qFormat/>
    <w:uiPriority w:val="99"/>
    <w:rPr>
      <w:rFonts w:cs="Times New Roman"/>
    </w:rPr>
  </w:style>
  <w:style w:type="character" w:customStyle="1" w:styleId="60">
    <w:name w:val="NormalCharacter"/>
    <w:link w:val="61"/>
    <w:semiHidden/>
    <w:qFormat/>
    <w:uiPriority w:val="0"/>
  </w:style>
  <w:style w:type="paragraph" w:customStyle="1" w:styleId="61">
    <w:name w:val="UserStyle_5"/>
    <w:basedOn w:val="1"/>
    <w:link w:val="60"/>
    <w:qFormat/>
    <w:uiPriority w:val="0"/>
    <w:pPr>
      <w:widowControl/>
      <w:spacing w:after="160" w:line="240" w:lineRule="exact"/>
      <w:jc w:val="left"/>
      <w:textAlignment w:val="baseline"/>
    </w:pPr>
  </w:style>
  <w:style w:type="character" w:customStyle="1" w:styleId="62">
    <w:name w:val="样式 正文缩进 + 首行缩进:  2 字符 Char"/>
    <w:link w:val="63"/>
    <w:qFormat/>
    <w:locked/>
    <w:uiPriority w:val="99"/>
    <w:rPr>
      <w:sz w:val="24"/>
    </w:rPr>
  </w:style>
  <w:style w:type="paragraph" w:customStyle="1" w:styleId="63">
    <w:name w:val="样式 正文缩进 + 首行缩进:  2 字符"/>
    <w:basedOn w:val="11"/>
    <w:link w:val="62"/>
    <w:qFormat/>
    <w:uiPriority w:val="99"/>
    <w:pPr>
      <w:spacing w:line="360" w:lineRule="auto"/>
      <w:ind w:firstLine="200"/>
    </w:pPr>
    <w:rPr>
      <w:kern w:val="0"/>
      <w:sz w:val="24"/>
      <w:szCs w:val="20"/>
    </w:rPr>
  </w:style>
  <w:style w:type="character" w:customStyle="1" w:styleId="64">
    <w:name w:val="Body Text Char"/>
    <w:qFormat/>
    <w:locked/>
    <w:uiPriority w:val="99"/>
    <w:rPr>
      <w:rFonts w:ascii="Arial" w:hAnsi="Arial"/>
      <w:kern w:val="2"/>
      <w:sz w:val="24"/>
    </w:rPr>
  </w:style>
  <w:style w:type="character" w:customStyle="1" w:styleId="65">
    <w:name w:val="正文文字 Char1"/>
    <w:link w:val="66"/>
    <w:qFormat/>
    <w:locked/>
    <w:uiPriority w:val="99"/>
    <w:rPr>
      <w:rFonts w:ascii="宋体" w:eastAsia="宋体"/>
      <w:color w:val="000000"/>
      <w:sz w:val="28"/>
      <w:lang w:val="en-US" w:eastAsia="zh-CN"/>
    </w:rPr>
  </w:style>
  <w:style w:type="paragraph" w:customStyle="1" w:styleId="66">
    <w:name w:val="正文文字"/>
    <w:basedOn w:val="1"/>
    <w:link w:val="65"/>
    <w:qFormat/>
    <w:uiPriority w:val="99"/>
    <w:pPr>
      <w:widowControl/>
      <w:spacing w:line="2375" w:lineRule="atLeast"/>
      <w:ind w:firstLine="419"/>
      <w:textAlignment w:val="baseline"/>
    </w:pPr>
    <w:rPr>
      <w:rFonts w:ascii="宋体"/>
      <w:color w:val="000000"/>
      <w:kern w:val="0"/>
      <w:sz w:val="28"/>
    </w:rPr>
  </w:style>
  <w:style w:type="character" w:customStyle="1" w:styleId="67">
    <w:name w:val="正文文字 Char"/>
    <w:qFormat/>
    <w:uiPriority w:val="99"/>
    <w:rPr>
      <w:rFonts w:ascii="Arial" w:hAnsi="Arial" w:eastAsia="宋体"/>
      <w:kern w:val="2"/>
      <w:sz w:val="24"/>
      <w:lang w:val="en-US" w:eastAsia="zh-CN"/>
    </w:rPr>
  </w:style>
  <w:style w:type="character" w:customStyle="1" w:styleId="68">
    <w:name w:val="ca-12"/>
    <w:qFormat/>
    <w:uiPriority w:val="99"/>
  </w:style>
  <w:style w:type="character" w:customStyle="1" w:styleId="69">
    <w:name w:val="unnamed1"/>
    <w:qFormat/>
    <w:uiPriority w:val="99"/>
    <w:rPr>
      <w:rFonts w:cs="Times New Roman"/>
    </w:rPr>
  </w:style>
  <w:style w:type="character" w:customStyle="1" w:styleId="70">
    <w:name w:val="apple-converted-space"/>
    <w:qFormat/>
    <w:uiPriority w:val="99"/>
    <w:rPr>
      <w:rFonts w:cs="Times New Roman"/>
    </w:rPr>
  </w:style>
  <w:style w:type="character" w:customStyle="1" w:styleId="71">
    <w:name w:val="标题 1 Char Char"/>
    <w:qFormat/>
    <w:uiPriority w:val="0"/>
    <w:rPr>
      <w:rFonts w:hint="eastAsia" w:ascii="宋体" w:hAnsi="宋体" w:eastAsia="宋体"/>
      <w:b/>
      <w:spacing w:val="-2"/>
      <w:sz w:val="24"/>
      <w:lang w:val="en-US" w:eastAsia="zh-CN" w:bidi="ar-SA"/>
    </w:rPr>
  </w:style>
  <w:style w:type="character" w:customStyle="1" w:styleId="72">
    <w:name w:val="Char Char2"/>
    <w:qFormat/>
    <w:uiPriority w:val="99"/>
    <w:rPr>
      <w:kern w:val="2"/>
      <w:sz w:val="18"/>
    </w:rPr>
  </w:style>
  <w:style w:type="character" w:customStyle="1" w:styleId="73">
    <w:name w:val="css21"/>
    <w:qFormat/>
    <w:uiPriority w:val="99"/>
    <w:rPr>
      <w:sz w:val="18"/>
    </w:rPr>
  </w:style>
  <w:style w:type="character" w:customStyle="1" w:styleId="74">
    <w:name w:val="Footer Char"/>
    <w:qFormat/>
    <w:locked/>
    <w:uiPriority w:val="99"/>
    <w:rPr>
      <w:kern w:val="2"/>
      <w:sz w:val="18"/>
    </w:rPr>
  </w:style>
  <w:style w:type="character" w:customStyle="1" w:styleId="75">
    <w:name w:val="z-窗体顶端 Char"/>
    <w:link w:val="76"/>
    <w:semiHidden/>
    <w:qFormat/>
    <w:locked/>
    <w:uiPriority w:val="99"/>
    <w:rPr>
      <w:rFonts w:ascii="Arial" w:hAnsi="Arial" w:cs="Arial"/>
      <w:vanish/>
      <w:sz w:val="16"/>
      <w:szCs w:val="16"/>
    </w:rPr>
  </w:style>
  <w:style w:type="paragraph" w:customStyle="1" w:styleId="76">
    <w:name w:val="HTML Top of Form"/>
    <w:basedOn w:val="1"/>
    <w:link w:val="75"/>
    <w:qFormat/>
    <w:uiPriority w:val="99"/>
    <w:pPr>
      <w:ind w:firstLine="420" w:firstLineChars="200"/>
    </w:pPr>
  </w:style>
  <w:style w:type="character" w:customStyle="1" w:styleId="77">
    <w:name w:val="font11"/>
    <w:qFormat/>
    <w:uiPriority w:val="99"/>
    <w:rPr>
      <w:rFonts w:ascii="宋体" w:hAnsi="宋体" w:eastAsia="宋体"/>
      <w:color w:val="000000"/>
      <w:sz w:val="21"/>
      <w:u w:val="none"/>
    </w:rPr>
  </w:style>
  <w:style w:type="character" w:customStyle="1" w:styleId="78">
    <w:name w:val="15"/>
    <w:qFormat/>
    <w:uiPriority w:val="99"/>
    <w:rPr>
      <w:rFonts w:ascii="Times New Roman" w:hAnsi="Times New Roman" w:cs="Times New Roman"/>
      <w:b/>
      <w:bCs/>
    </w:rPr>
  </w:style>
  <w:style w:type="character" w:customStyle="1" w:styleId="79">
    <w:name w:val="正文文本缩进 3 字符"/>
    <w:link w:val="35"/>
    <w:semiHidden/>
    <w:qFormat/>
    <w:locked/>
    <w:uiPriority w:val="99"/>
    <w:rPr>
      <w:rFonts w:cs="Times New Roman"/>
      <w:sz w:val="16"/>
      <w:szCs w:val="16"/>
    </w:rPr>
  </w:style>
  <w:style w:type="character" w:customStyle="1" w:styleId="80">
    <w:name w:val="页脚 字符"/>
    <w:link w:val="29"/>
    <w:semiHidden/>
    <w:qFormat/>
    <w:locked/>
    <w:uiPriority w:val="99"/>
    <w:rPr>
      <w:rFonts w:cs="Times New Roman"/>
      <w:sz w:val="18"/>
      <w:szCs w:val="18"/>
    </w:rPr>
  </w:style>
  <w:style w:type="character" w:customStyle="1" w:styleId="81">
    <w:name w:val="正文文本缩进 2 字符"/>
    <w:link w:val="22"/>
    <w:semiHidden/>
    <w:qFormat/>
    <w:locked/>
    <w:uiPriority w:val="99"/>
    <w:rPr>
      <w:rFonts w:cs="Times New Roman"/>
      <w:sz w:val="20"/>
      <w:szCs w:val="20"/>
    </w:rPr>
  </w:style>
  <w:style w:type="character" w:customStyle="1" w:styleId="82">
    <w:name w:val="日期 字符"/>
    <w:link w:val="27"/>
    <w:semiHidden/>
    <w:qFormat/>
    <w:locked/>
    <w:uiPriority w:val="99"/>
    <w:rPr>
      <w:rFonts w:cs="Times New Roman"/>
      <w:sz w:val="20"/>
      <w:szCs w:val="20"/>
    </w:rPr>
  </w:style>
  <w:style w:type="character" w:customStyle="1" w:styleId="83">
    <w:name w:val="纯文本 字符"/>
    <w:link w:val="25"/>
    <w:semiHidden/>
    <w:qFormat/>
    <w:locked/>
    <w:uiPriority w:val="99"/>
    <w:rPr>
      <w:rFonts w:ascii="宋体" w:hAnsi="Courier New" w:cs="Courier New"/>
      <w:sz w:val="21"/>
      <w:szCs w:val="21"/>
    </w:rPr>
  </w:style>
  <w:style w:type="character" w:customStyle="1" w:styleId="84">
    <w:name w:val="ca-2"/>
    <w:qFormat/>
    <w:uiPriority w:val="99"/>
    <w:rPr>
      <w:rFonts w:cs="Times New Roman"/>
    </w:rPr>
  </w:style>
  <w:style w:type="character" w:customStyle="1" w:styleId="85">
    <w:name w:val="正文文本 字符"/>
    <w:link w:val="17"/>
    <w:semiHidden/>
    <w:qFormat/>
    <w:locked/>
    <w:uiPriority w:val="99"/>
    <w:rPr>
      <w:rFonts w:cs="Times New Roman"/>
      <w:sz w:val="20"/>
      <w:szCs w:val="20"/>
    </w:rPr>
  </w:style>
  <w:style w:type="character" w:customStyle="1" w:styleId="86">
    <w:name w:val="ca-1"/>
    <w:qFormat/>
    <w:uiPriority w:val="99"/>
    <w:rPr>
      <w:rFonts w:cs="Times New Roman"/>
    </w:rPr>
  </w:style>
  <w:style w:type="character" w:customStyle="1" w:styleId="87">
    <w:name w:val="称呼 字符"/>
    <w:link w:val="16"/>
    <w:semiHidden/>
    <w:qFormat/>
    <w:locked/>
    <w:uiPriority w:val="99"/>
    <w:rPr>
      <w:rFonts w:cs="Times New Roman"/>
      <w:sz w:val="20"/>
      <w:szCs w:val="20"/>
    </w:rPr>
  </w:style>
  <w:style w:type="character" w:customStyle="1" w:styleId="88">
    <w:name w:val="文档结构图 字符"/>
    <w:link w:val="12"/>
    <w:semiHidden/>
    <w:qFormat/>
    <w:locked/>
    <w:uiPriority w:val="99"/>
    <w:rPr>
      <w:rFonts w:cs="Times New Roman"/>
      <w:sz w:val="2"/>
    </w:rPr>
  </w:style>
  <w:style w:type="character" w:customStyle="1" w:styleId="89">
    <w:name w:val="标题 9 字符"/>
    <w:link w:val="10"/>
    <w:qFormat/>
    <w:locked/>
    <w:uiPriority w:val="99"/>
    <w:rPr>
      <w:rFonts w:ascii="Arial" w:hAnsi="Arial" w:eastAsia="黑体" w:cs="Times New Roman"/>
      <w:kern w:val="2"/>
      <w:sz w:val="21"/>
    </w:rPr>
  </w:style>
  <w:style w:type="character" w:customStyle="1" w:styleId="90">
    <w:name w:val="副标题 字符"/>
    <w:link w:val="33"/>
    <w:qFormat/>
    <w:locked/>
    <w:uiPriority w:val="99"/>
    <w:rPr>
      <w:rFonts w:ascii="Cambria" w:hAnsi="Cambria" w:eastAsia="宋体" w:cs="Times New Roman"/>
      <w:b/>
      <w:bCs/>
      <w:kern w:val="28"/>
      <w:sz w:val="32"/>
      <w:szCs w:val="32"/>
      <w:lang w:val="en-US" w:eastAsia="zh-CN" w:bidi="ar-SA"/>
    </w:rPr>
  </w:style>
  <w:style w:type="character" w:customStyle="1" w:styleId="91">
    <w:name w:val="标题 7 字符"/>
    <w:link w:val="8"/>
    <w:qFormat/>
    <w:locked/>
    <w:uiPriority w:val="99"/>
    <w:rPr>
      <w:rFonts w:cs="Times New Roman"/>
      <w:b/>
      <w:kern w:val="2"/>
      <w:sz w:val="24"/>
    </w:rPr>
  </w:style>
  <w:style w:type="character" w:customStyle="1" w:styleId="92">
    <w:name w:val="style25"/>
    <w:qFormat/>
    <w:uiPriority w:val="99"/>
  </w:style>
  <w:style w:type="character" w:customStyle="1" w:styleId="93">
    <w:name w:val="标题 6 字符"/>
    <w:link w:val="7"/>
    <w:qFormat/>
    <w:locked/>
    <w:uiPriority w:val="99"/>
    <w:rPr>
      <w:rFonts w:ascii="Arial" w:hAnsi="Arial" w:eastAsia="黑体" w:cs="Times New Roman"/>
      <w:b/>
      <w:kern w:val="2"/>
      <w:sz w:val="24"/>
    </w:rPr>
  </w:style>
  <w:style w:type="character" w:customStyle="1" w:styleId="94">
    <w:name w:val="批注框文本 字符"/>
    <w:link w:val="28"/>
    <w:semiHidden/>
    <w:qFormat/>
    <w:locked/>
    <w:uiPriority w:val="99"/>
    <w:rPr>
      <w:rFonts w:cs="Times New Roman"/>
      <w:sz w:val="2"/>
    </w:rPr>
  </w:style>
  <w:style w:type="character" w:customStyle="1" w:styleId="95">
    <w:name w:val="标题 3 字符"/>
    <w:link w:val="4"/>
    <w:semiHidden/>
    <w:qFormat/>
    <w:locked/>
    <w:uiPriority w:val="99"/>
    <w:rPr>
      <w:rFonts w:cs="Times New Roman"/>
      <w:b/>
      <w:bCs/>
      <w:sz w:val="32"/>
      <w:szCs w:val="32"/>
    </w:rPr>
  </w:style>
  <w:style w:type="character" w:customStyle="1" w:styleId="96">
    <w:name w:val="标题 1 字符"/>
    <w:link w:val="2"/>
    <w:qFormat/>
    <w:locked/>
    <w:uiPriority w:val="99"/>
    <w:rPr>
      <w:rFonts w:cs="Times New Roman"/>
      <w:b/>
      <w:kern w:val="2"/>
      <w:sz w:val="21"/>
    </w:rPr>
  </w:style>
  <w:style w:type="character" w:customStyle="1" w:styleId="97">
    <w:name w:val="ca-5"/>
    <w:qFormat/>
    <w:uiPriority w:val="99"/>
    <w:rPr>
      <w:rFonts w:cs="Times New Roman"/>
    </w:rPr>
  </w:style>
  <w:style w:type="character" w:customStyle="1" w:styleId="98">
    <w:name w:val="正文文本缩进 字符"/>
    <w:link w:val="21"/>
    <w:semiHidden/>
    <w:qFormat/>
    <w:locked/>
    <w:uiPriority w:val="99"/>
    <w:rPr>
      <w:rFonts w:cs="Times New Roman"/>
      <w:sz w:val="20"/>
      <w:szCs w:val="20"/>
    </w:rPr>
  </w:style>
  <w:style w:type="character" w:customStyle="1" w:styleId="99">
    <w:name w:val="Plain Text Char"/>
    <w:qFormat/>
    <w:locked/>
    <w:uiPriority w:val="99"/>
    <w:rPr>
      <w:rFonts w:ascii="宋体" w:hAnsi="Courier New" w:eastAsia="宋体"/>
      <w:kern w:val="2"/>
      <w:sz w:val="21"/>
      <w:lang w:val="en-US" w:eastAsia="zh-CN"/>
    </w:rPr>
  </w:style>
  <w:style w:type="character" w:customStyle="1" w:styleId="100">
    <w:name w:val="标题 2 字符"/>
    <w:link w:val="3"/>
    <w:qFormat/>
    <w:locked/>
    <w:uiPriority w:val="99"/>
    <w:rPr>
      <w:rFonts w:ascii="Arial" w:hAnsi="Arial" w:eastAsia="黑体" w:cs="Times New Roman"/>
      <w:b/>
      <w:kern w:val="2"/>
      <w:sz w:val="32"/>
    </w:rPr>
  </w:style>
  <w:style w:type="character" w:customStyle="1" w:styleId="101">
    <w:name w:val="标题 5 字符"/>
    <w:link w:val="6"/>
    <w:qFormat/>
    <w:locked/>
    <w:uiPriority w:val="99"/>
    <w:rPr>
      <w:rFonts w:cs="Times New Roman"/>
      <w:b/>
      <w:kern w:val="2"/>
      <w:sz w:val="28"/>
    </w:rPr>
  </w:style>
  <w:style w:type="character" w:customStyle="1" w:styleId="102">
    <w:name w:val="标题 4 字符"/>
    <w:link w:val="5"/>
    <w:semiHidden/>
    <w:qFormat/>
    <w:locked/>
    <w:uiPriority w:val="99"/>
    <w:rPr>
      <w:rFonts w:ascii="Cambria" w:hAnsi="Cambria" w:eastAsia="宋体" w:cs="Times New Roman"/>
      <w:b/>
      <w:bCs/>
      <w:sz w:val="28"/>
      <w:szCs w:val="28"/>
    </w:rPr>
  </w:style>
  <w:style w:type="character" w:customStyle="1" w:styleId="103">
    <w:name w:val="font01"/>
    <w:basedOn w:val="42"/>
    <w:qFormat/>
    <w:uiPriority w:val="0"/>
    <w:rPr>
      <w:rFonts w:hint="eastAsia" w:ascii="宋体" w:hAnsi="宋体" w:eastAsia="宋体" w:cs="宋体"/>
      <w:color w:val="000000"/>
      <w:sz w:val="22"/>
      <w:szCs w:val="22"/>
      <w:u w:val="none"/>
    </w:rPr>
  </w:style>
  <w:style w:type="character" w:customStyle="1" w:styleId="104">
    <w:name w:val="标题 8 字符"/>
    <w:link w:val="9"/>
    <w:qFormat/>
    <w:locked/>
    <w:uiPriority w:val="99"/>
    <w:rPr>
      <w:rFonts w:ascii="Arial" w:hAnsi="Arial" w:eastAsia="黑体" w:cs="Times New Roman"/>
      <w:kern w:val="2"/>
      <w:sz w:val="24"/>
    </w:rPr>
  </w:style>
  <w:style w:type="character" w:customStyle="1" w:styleId="105">
    <w:name w:val="p21"/>
    <w:qFormat/>
    <w:uiPriority w:val="99"/>
    <w:rPr>
      <w:rFonts w:ascii="Arial" w:hAnsi="Arial"/>
      <w:color w:val="333333"/>
      <w:sz w:val="18"/>
      <w:u w:val="none"/>
    </w:rPr>
  </w:style>
  <w:style w:type="character" w:customStyle="1" w:styleId="106">
    <w:name w:val="font31"/>
    <w:qFormat/>
    <w:uiPriority w:val="99"/>
    <w:rPr>
      <w:rFonts w:ascii="Arial" w:hAnsi="Arial"/>
      <w:color w:val="000000"/>
      <w:sz w:val="21"/>
      <w:u w:val="none"/>
    </w:rPr>
  </w:style>
  <w:style w:type="character" w:customStyle="1" w:styleId="107">
    <w:name w:val="ca-3"/>
    <w:qFormat/>
    <w:uiPriority w:val="99"/>
    <w:rPr>
      <w:rFonts w:cs="Times New Roman"/>
    </w:rPr>
  </w:style>
  <w:style w:type="character" w:customStyle="1" w:styleId="108">
    <w:name w:val="font41"/>
    <w:basedOn w:val="42"/>
    <w:qFormat/>
    <w:uiPriority w:val="0"/>
    <w:rPr>
      <w:rFonts w:hint="default" w:ascii="Arial" w:hAnsi="Arial" w:cs="Arial"/>
      <w:color w:val="000000"/>
      <w:sz w:val="16"/>
      <w:szCs w:val="16"/>
      <w:u w:val="none"/>
    </w:rPr>
  </w:style>
  <w:style w:type="character" w:customStyle="1" w:styleId="109">
    <w:name w:val="正文文本1"/>
    <w:qFormat/>
    <w:uiPriority w:val="0"/>
    <w:rPr>
      <w:rFonts w:hint="eastAsia" w:ascii="MingLiU" w:hAnsi="MingLiU" w:eastAsia="MingLiU" w:cs="MingLiU"/>
      <w:color w:val="000000"/>
      <w:spacing w:val="9"/>
      <w:w w:val="100"/>
      <w:position w:val="0"/>
      <w:sz w:val="18"/>
      <w:szCs w:val="18"/>
      <w:u w:val="none"/>
      <w:lang w:val="zh-CN"/>
    </w:rPr>
  </w:style>
  <w:style w:type="character" w:customStyle="1" w:styleId="110">
    <w:name w:val="Header Char"/>
    <w:qFormat/>
    <w:locked/>
    <w:uiPriority w:val="99"/>
    <w:rPr>
      <w:kern w:val="2"/>
      <w:sz w:val="18"/>
    </w:rPr>
  </w:style>
  <w:style w:type="character" w:customStyle="1" w:styleId="111">
    <w:name w:val="明显参考1"/>
    <w:qFormat/>
    <w:uiPriority w:val="99"/>
    <w:rPr>
      <w:b/>
      <w:smallCaps/>
      <w:color w:val="C0504D"/>
      <w:spacing w:val="5"/>
      <w:u w:val="single"/>
    </w:rPr>
  </w:style>
  <w:style w:type="character" w:customStyle="1" w:styleId="112">
    <w:name w:val="页眉 字符"/>
    <w:link w:val="31"/>
    <w:semiHidden/>
    <w:qFormat/>
    <w:locked/>
    <w:uiPriority w:val="99"/>
    <w:rPr>
      <w:rFonts w:cs="Times New Roman"/>
      <w:sz w:val="18"/>
      <w:szCs w:val="18"/>
    </w:rPr>
  </w:style>
  <w:style w:type="character" w:customStyle="1" w:styleId="113">
    <w:name w:val="Char Char1"/>
    <w:qFormat/>
    <w:uiPriority w:val="99"/>
    <w:rPr>
      <w:kern w:val="2"/>
      <w:sz w:val="18"/>
    </w:rPr>
  </w:style>
  <w:style w:type="character" w:customStyle="1" w:styleId="114">
    <w:name w:val="Body Text First Indent Char"/>
    <w:qFormat/>
    <w:locked/>
    <w:uiPriority w:val="99"/>
    <w:rPr>
      <w:rFonts w:ascii="Arial" w:hAnsi="Arial"/>
      <w:kern w:val="2"/>
      <w:sz w:val="24"/>
    </w:rPr>
  </w:style>
  <w:style w:type="character" w:customStyle="1" w:styleId="115">
    <w:name w:val="正文文本 2 字符"/>
    <w:link w:val="37"/>
    <w:semiHidden/>
    <w:qFormat/>
    <w:locked/>
    <w:uiPriority w:val="99"/>
    <w:rPr>
      <w:rFonts w:cs="Times New Roman"/>
      <w:sz w:val="20"/>
      <w:szCs w:val="20"/>
    </w:rPr>
  </w:style>
  <w:style w:type="character" w:customStyle="1" w:styleId="116">
    <w:name w:val="H3 Char1"/>
    <w:qFormat/>
    <w:uiPriority w:val="99"/>
    <w:rPr>
      <w:rFonts w:eastAsia="宋体" w:cs="Times New Roman"/>
      <w:b/>
      <w:bCs/>
      <w:kern w:val="2"/>
      <w:sz w:val="24"/>
      <w:szCs w:val="24"/>
      <w:lang w:val="en-US" w:eastAsia="zh-CN" w:bidi="ar-SA"/>
    </w:rPr>
  </w:style>
  <w:style w:type="character" w:customStyle="1" w:styleId="117">
    <w:name w:val="书籍标题1"/>
    <w:qFormat/>
    <w:uiPriority w:val="99"/>
    <w:rPr>
      <w:b/>
      <w:smallCaps/>
      <w:spacing w:val="5"/>
    </w:rPr>
  </w:style>
  <w:style w:type="character" w:customStyle="1" w:styleId="118">
    <w:name w:val="正文文本首行缩进 字符"/>
    <w:link w:val="39"/>
    <w:semiHidden/>
    <w:qFormat/>
    <w:locked/>
    <w:uiPriority w:val="99"/>
    <w:rPr>
      <w:rFonts w:cs="Times New Roman"/>
      <w:sz w:val="20"/>
      <w:szCs w:val="20"/>
    </w:rPr>
  </w:style>
  <w:style w:type="paragraph" w:customStyle="1" w:styleId="1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Body text|1"/>
    <w:basedOn w:val="1"/>
    <w:qFormat/>
    <w:uiPriority w:val="0"/>
    <w:pPr>
      <w:widowControl w:val="0"/>
      <w:shd w:val="clear" w:color="auto" w:fill="auto"/>
      <w:spacing w:line="290" w:lineRule="auto"/>
      <w:ind w:firstLine="400"/>
    </w:pPr>
    <w:rPr>
      <w:rFonts w:ascii="宋体" w:hAnsi="宋体" w:eastAsia="宋体" w:cs="宋体"/>
      <w:sz w:val="22"/>
      <w:szCs w:val="22"/>
      <w:u w:val="none"/>
      <w:shd w:val="clear" w:color="auto" w:fill="auto"/>
      <w:lang w:val="zh-CN" w:eastAsia="zh-CN" w:bidi="zh-CN"/>
    </w:rPr>
  </w:style>
  <w:style w:type="paragraph" w:customStyle="1" w:styleId="121">
    <w:name w:val="WPSOffice手动目录 1"/>
    <w:qFormat/>
    <w:uiPriority w:val="0"/>
    <w:pPr>
      <w:ind w:leftChars="0"/>
    </w:pPr>
    <w:rPr>
      <w:rFonts w:ascii="Times New Roman" w:hAnsi="Times New Roman" w:eastAsia="宋体" w:cs="Times New Roman"/>
      <w:sz w:val="20"/>
      <w:szCs w:val="20"/>
    </w:rPr>
  </w:style>
  <w:style w:type="paragraph" w:customStyle="1" w:styleId="122">
    <w:name w:val="答复表头"/>
    <w:basedOn w:val="123"/>
    <w:next w:val="1"/>
    <w:qFormat/>
    <w:uiPriority w:val="0"/>
    <w:pPr>
      <w:tabs>
        <w:tab w:val="left" w:pos="480"/>
      </w:tabs>
    </w:pPr>
    <w:rPr>
      <w:rFonts w:ascii="Calibri" w:hAnsi="Calibri" w:eastAsia="宋体" w:cs="Times New Roman"/>
      <w:b/>
    </w:rPr>
  </w:style>
  <w:style w:type="paragraph" w:customStyle="1" w:styleId="123">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24">
    <w:name w:val="正文文本3"/>
    <w:basedOn w:val="1"/>
    <w:qFormat/>
    <w:uiPriority w:val="0"/>
    <w:pPr>
      <w:shd w:val="clear" w:color="auto" w:fill="FFFFFF"/>
      <w:spacing w:after="120" w:line="0" w:lineRule="atLeast"/>
      <w:jc w:val="left"/>
    </w:pPr>
    <w:rPr>
      <w:rFonts w:ascii="MingLiU" w:hAnsi="MingLiU" w:eastAsia="MingLiU"/>
      <w:spacing w:val="9"/>
      <w:sz w:val="18"/>
      <w:szCs w:val="18"/>
      <w:lang w:bidi="ug-CN"/>
    </w:rPr>
  </w:style>
  <w:style w:type="paragraph" w:customStyle="1" w:styleId="125">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188"/>
    <w:basedOn w:val="1"/>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27">
    <w:name w:val="ecx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29">
    <w:name w:val="我们红色"/>
    <w:basedOn w:val="1"/>
    <w:qFormat/>
    <w:uiPriority w:val="99"/>
    <w:pPr>
      <w:spacing w:line="360" w:lineRule="auto"/>
    </w:pPr>
    <w:rPr>
      <w:rFonts w:ascii="宋体" w:hAnsi="宋体" w:cs="宋体"/>
      <w:color w:val="FF0000"/>
      <w:kern w:val="0"/>
      <w:szCs w:val="21"/>
    </w:rPr>
  </w:style>
  <w:style w:type="paragraph" w:customStyle="1" w:styleId="130">
    <w:name w:val="1 Char Char Char Char"/>
    <w:basedOn w:val="1"/>
    <w:qFormat/>
    <w:uiPriority w:val="99"/>
    <w:rPr>
      <w:rFonts w:ascii="Tahoma" w:hAnsi="Tahoma"/>
      <w:sz w:val="24"/>
    </w:rPr>
  </w:style>
  <w:style w:type="paragraph" w:customStyle="1" w:styleId="131">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2">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6">
    <w:name w:val="中等深浅网格 21"/>
    <w:qFormat/>
    <w:uiPriority w:val="1"/>
    <w:rPr>
      <w:rFonts w:ascii="Calibri" w:hAnsi="Calibri" w:eastAsia="宋体" w:cs="Times New Roman"/>
      <w:sz w:val="22"/>
      <w:szCs w:val="22"/>
      <w:lang w:val="en-US" w:eastAsia="zh-CN" w:bidi="ar-SA"/>
    </w:rPr>
  </w:style>
  <w:style w:type="paragraph" w:customStyle="1" w:styleId="137">
    <w:name w:val="正文缩进1"/>
    <w:basedOn w:val="1"/>
    <w:next w:val="21"/>
    <w:qFormat/>
    <w:uiPriority w:val="99"/>
    <w:pPr>
      <w:ind w:firstLine="420" w:firstLineChars="200"/>
    </w:pPr>
    <w:rPr>
      <w:rFonts w:ascii="Calibri" w:hAnsi="Calibri"/>
    </w:rPr>
  </w:style>
  <w:style w:type="paragraph" w:customStyle="1" w:styleId="138">
    <w:name w:val="列出段落1"/>
    <w:basedOn w:val="1"/>
    <w:qFormat/>
    <w:uiPriority w:val="99"/>
    <w:pPr>
      <w:ind w:firstLine="420" w:firstLineChars="200"/>
    </w:pPr>
  </w:style>
  <w:style w:type="paragraph" w:customStyle="1" w:styleId="139">
    <w:name w:val="_Style 70"/>
    <w:basedOn w:val="1"/>
    <w:next w:val="140"/>
    <w:qFormat/>
    <w:uiPriority w:val="99"/>
    <w:pPr>
      <w:ind w:firstLine="420" w:firstLineChars="200"/>
    </w:pPr>
    <w:rPr>
      <w:rFonts w:ascii="Calibri" w:hAnsi="Calibri"/>
      <w:szCs w:val="22"/>
    </w:rPr>
  </w:style>
  <w:style w:type="paragraph" w:styleId="140">
    <w:name w:val="List Paragraph"/>
    <w:basedOn w:val="1"/>
    <w:qFormat/>
    <w:uiPriority w:val="99"/>
    <w:pPr>
      <w:ind w:firstLine="420" w:firstLineChars="200"/>
    </w:pPr>
    <w:rPr>
      <w:rFonts w:ascii="Calibri" w:hAnsi="Calibri"/>
      <w:szCs w:val="22"/>
    </w:rPr>
  </w:style>
  <w:style w:type="paragraph" w:customStyle="1" w:styleId="141">
    <w:name w:val="List Paragraph1"/>
    <w:basedOn w:val="1"/>
    <w:qFormat/>
    <w:uiPriority w:val="99"/>
    <w:pPr>
      <w:ind w:firstLine="420" w:firstLineChars="200"/>
    </w:pPr>
    <w:rPr>
      <w:rFonts w:ascii="Calibri" w:hAnsi="Calibri" w:cs="Calibri"/>
      <w:szCs w:val="21"/>
    </w:rPr>
  </w:style>
  <w:style w:type="paragraph" w:customStyle="1" w:styleId="142">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文本_0"/>
    <w:basedOn w:val="143"/>
    <w:qFormat/>
    <w:uiPriority w:val="0"/>
    <w:pPr>
      <w:spacing w:after="120"/>
    </w:pPr>
    <w:rPr>
      <w:kern w:val="0"/>
      <w:sz w:val="20"/>
    </w:rPr>
  </w:style>
  <w:style w:type="paragraph" w:customStyle="1" w:styleId="145">
    <w:name w:val="ecx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6">
    <w:name w:val="我们蓝色"/>
    <w:basedOn w:val="1"/>
    <w:qFormat/>
    <w:uiPriority w:val="99"/>
    <w:pPr>
      <w:spacing w:line="360" w:lineRule="auto"/>
    </w:pPr>
    <w:rPr>
      <w:color w:val="00B0F0"/>
      <w:szCs w:val="24"/>
    </w:rPr>
  </w:style>
  <w:style w:type="paragraph" w:customStyle="1" w:styleId="147">
    <w:name w:val="WPSOffice手动目录 3"/>
    <w:qFormat/>
    <w:uiPriority w:val="0"/>
    <w:pPr>
      <w:ind w:leftChars="400"/>
    </w:pPr>
    <w:rPr>
      <w:rFonts w:ascii="Times New Roman" w:hAnsi="Times New Roman" w:eastAsia="宋体" w:cs="Times New Roman"/>
      <w:sz w:val="20"/>
      <w:szCs w:val="20"/>
    </w:rPr>
  </w:style>
  <w:style w:type="paragraph" w:customStyle="1" w:styleId="148">
    <w:name w:val="p0"/>
    <w:basedOn w:val="1"/>
    <w:qFormat/>
    <w:uiPriority w:val="99"/>
    <w:pPr>
      <w:widowControl/>
    </w:pPr>
    <w:rPr>
      <w:kern w:val="0"/>
      <w:szCs w:val="21"/>
    </w:rPr>
  </w:style>
  <w:style w:type="paragraph" w:customStyle="1" w:styleId="149">
    <w:name w:val="条目3"/>
    <w:basedOn w:val="25"/>
    <w:qFormat/>
    <w:uiPriority w:val="99"/>
    <w:pPr>
      <w:tabs>
        <w:tab w:val="left" w:pos="960"/>
        <w:tab w:val="left" w:pos="2940"/>
      </w:tabs>
      <w:spacing w:line="360" w:lineRule="auto"/>
      <w:ind w:left="2940" w:hanging="420"/>
    </w:pPr>
    <w:rPr>
      <w:color w:val="000000"/>
      <w:sz w:val="30"/>
    </w:rPr>
  </w:style>
  <w:style w:type="paragraph" w:customStyle="1" w:styleId="150">
    <w:name w:val="列出段落2"/>
    <w:basedOn w:val="1"/>
    <w:qFormat/>
    <w:uiPriority w:val="99"/>
    <w:pPr>
      <w:ind w:firstLine="420" w:firstLineChars="200"/>
    </w:pPr>
    <w:rPr>
      <w:rFonts w:ascii="宋体" w:hAnsi="Courier New"/>
    </w:rPr>
  </w:style>
  <w:style w:type="paragraph" w:customStyle="1" w:styleId="151">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52">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3">
    <w:name w:val="style9"/>
    <w:basedOn w:val="1"/>
    <w:qFormat/>
    <w:uiPriority w:val="99"/>
    <w:pPr>
      <w:widowControl/>
      <w:spacing w:line="300" w:lineRule="atLeast"/>
      <w:jc w:val="left"/>
    </w:pPr>
    <w:rPr>
      <w:rFonts w:ascii="宋体" w:hAnsi="宋体" w:cs="宋体"/>
      <w:kern w:val="0"/>
      <w:sz w:val="24"/>
      <w:szCs w:val="24"/>
    </w:rPr>
  </w:style>
  <w:style w:type="paragraph" w:customStyle="1" w:styleId="154">
    <w:name w:val="无间隔1"/>
    <w:qFormat/>
    <w:uiPriority w:val="99"/>
    <w:rPr>
      <w:rFonts w:ascii="Calibri" w:hAnsi="Calibri" w:eastAsia="宋体" w:cs="Times New Roman"/>
      <w:sz w:val="22"/>
      <w:szCs w:val="22"/>
      <w:lang w:val="en-US" w:eastAsia="zh-CN" w:bidi="ar-SA"/>
    </w:rPr>
  </w:style>
  <w:style w:type="paragraph" w:customStyle="1" w:styleId="155">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6">
    <w:name w:val="pa-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Body 1"/>
    <w:qFormat/>
    <w:uiPriority w:val="99"/>
    <w:pPr>
      <w:outlineLvl w:val="0"/>
    </w:pPr>
    <w:rPr>
      <w:rFonts w:ascii="Calibri" w:hAnsi="Calibri" w:eastAsia="宋体" w:cs="Times New Roman"/>
      <w:color w:val="000000"/>
      <w:sz w:val="24"/>
      <w:szCs w:val="22"/>
      <w:lang w:val="en-US" w:eastAsia="zh-CN" w:bidi="ar-SA"/>
    </w:rPr>
  </w:style>
  <w:style w:type="paragraph" w:customStyle="1" w:styleId="161">
    <w:name w:val="宋体加黑"/>
    <w:basedOn w:val="1"/>
    <w:qFormat/>
    <w:uiPriority w:val="99"/>
    <w:pPr>
      <w:spacing w:line="360" w:lineRule="auto"/>
      <w:jc w:val="center"/>
    </w:pPr>
    <w:rPr>
      <w:rFonts w:ascii="宋体" w:hAnsi="宋体"/>
      <w:b/>
      <w:szCs w:val="24"/>
    </w:rPr>
  </w:style>
  <w:style w:type="paragraph" w:customStyle="1" w:styleId="162">
    <w:name w:val="条目2"/>
    <w:basedOn w:val="25"/>
    <w:qFormat/>
    <w:uiPriority w:val="99"/>
    <w:pPr>
      <w:tabs>
        <w:tab w:val="left" w:pos="420"/>
      </w:tabs>
      <w:spacing w:line="360" w:lineRule="auto"/>
      <w:ind w:left="420" w:hanging="420"/>
    </w:pPr>
    <w:rPr>
      <w:color w:val="000000"/>
      <w:sz w:val="30"/>
    </w:rPr>
  </w:style>
  <w:style w:type="paragraph" w:customStyle="1" w:styleId="163">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66">
    <w:name w:val="_Style 2"/>
    <w:basedOn w:val="1"/>
    <w:qFormat/>
    <w:uiPriority w:val="99"/>
    <w:pPr>
      <w:ind w:firstLine="420" w:firstLineChars="200"/>
    </w:pPr>
  </w:style>
  <w:style w:type="paragraph" w:customStyle="1" w:styleId="167">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style6"/>
    <w:basedOn w:val="1"/>
    <w:qFormat/>
    <w:uiPriority w:val="99"/>
    <w:pPr>
      <w:widowControl/>
      <w:spacing w:line="300" w:lineRule="atLeast"/>
      <w:jc w:val="left"/>
    </w:pPr>
    <w:rPr>
      <w:rFonts w:ascii="宋体" w:hAnsi="宋体" w:cs="宋体"/>
      <w:kern w:val="0"/>
      <w:sz w:val="24"/>
      <w:szCs w:val="24"/>
    </w:rPr>
  </w:style>
  <w:style w:type="paragraph" w:customStyle="1" w:styleId="169">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0">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71">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2">
    <w:name w:val="Char"/>
    <w:basedOn w:val="1"/>
    <w:qFormat/>
    <w:uiPriority w:val="99"/>
    <w:rPr>
      <w:rFonts w:ascii="Tahoma" w:hAnsi="Tahoma" w:cs="仿宋_GB2312"/>
      <w:sz w:val="24"/>
      <w:szCs w:val="28"/>
    </w:rPr>
  </w:style>
  <w:style w:type="table" w:customStyle="1" w:styleId="173">
    <w:name w:val="Table Normal"/>
    <w:unhideWhenUsed/>
    <w:qFormat/>
    <w:uiPriority w:val="0"/>
    <w:tblPr>
      <w:tblCellMar>
        <w:top w:w="0" w:type="dxa"/>
        <w:left w:w="0" w:type="dxa"/>
        <w:bottom w:w="0" w:type="dxa"/>
        <w:right w:w="0" w:type="dxa"/>
      </w:tblCellMar>
    </w:tblPr>
  </w:style>
  <w:style w:type="paragraph" w:customStyle="1" w:styleId="174">
    <w:name w:val="BodyText"/>
    <w:basedOn w:val="1"/>
    <w:next w:val="175"/>
    <w:qFormat/>
    <w:uiPriority w:val="0"/>
    <w:pPr>
      <w:spacing w:line="600" w:lineRule="exact"/>
      <w:jc w:val="both"/>
      <w:textAlignment w:val="baseline"/>
    </w:pPr>
    <w:rPr>
      <w:rFonts w:ascii="Times New Roman" w:hAnsi="Times New Roman" w:eastAsia="方正仿宋_GBK"/>
      <w:kern w:val="2"/>
      <w:sz w:val="32"/>
      <w:szCs w:val="24"/>
      <w:lang w:val="en-US" w:eastAsia="zh-CN" w:bidi="ar-SA"/>
    </w:rPr>
  </w:style>
  <w:style w:type="paragraph" w:customStyle="1" w:styleId="175">
    <w:name w:val="180"/>
    <w:basedOn w:val="1"/>
    <w:next w:val="1"/>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customStyle="1" w:styleId="176">
    <w:name w:val="矿商正文"/>
    <w:basedOn w:val="177"/>
    <w:qFormat/>
    <w:uiPriority w:val="0"/>
    <w:pPr>
      <w:outlineLvl w:val="9"/>
    </w:pPr>
    <w:rPr>
      <w:b w:val="0"/>
      <w:kern w:val="0"/>
      <w:sz w:val="28"/>
    </w:rPr>
  </w:style>
  <w:style w:type="paragraph" w:customStyle="1" w:styleId="177">
    <w:name w:val="矿商3级"/>
    <w:basedOn w:val="1"/>
    <w:qFormat/>
    <w:uiPriority w:val="0"/>
    <w:pPr>
      <w:adjustRightInd/>
      <w:snapToGrid/>
      <w:outlineLvl w:val="2"/>
    </w:pPr>
    <w:rPr>
      <w:b/>
      <w:kern w:val="2"/>
      <w:sz w:val="30"/>
      <w:szCs w:val="30"/>
    </w:rPr>
  </w:style>
  <w:style w:type="paragraph" w:customStyle="1" w:styleId="178">
    <w:name w:val="索引 11"/>
    <w:basedOn w:val="1"/>
    <w:next w:val="1"/>
    <w:qFormat/>
    <w:uiPriority w:val="99"/>
    <w:pPr>
      <w:spacing w:line="360" w:lineRule="auto"/>
    </w:pPr>
    <w:rPr>
      <w:rFonts w:ascii="仿宋_GB2312" w:eastAsia="仿宋_GB2312"/>
      <w:sz w:val="24"/>
      <w:szCs w:val="20"/>
    </w:rPr>
  </w:style>
  <w:style w:type="paragraph" w:customStyle="1" w:styleId="179">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80">
    <w:name w:val="纯文本1"/>
    <w:basedOn w:val="1"/>
    <w:qFormat/>
    <w:uiPriority w:val="0"/>
    <w:rPr>
      <w:rFonts w:ascii="宋体" w:hAnsi="Courier New"/>
      <w:kern w:val="0"/>
      <w:sz w:val="20"/>
      <w:szCs w:val="20"/>
    </w:rPr>
  </w:style>
  <w:style w:type="paragraph" w:customStyle="1" w:styleId="181">
    <w:name w:val="正文报告"/>
    <w:basedOn w:val="1"/>
    <w:qFormat/>
    <w:uiPriority w:val="0"/>
    <w:pPr>
      <w:adjustRightInd w:val="0"/>
      <w:snapToGrid w:val="0"/>
      <w:spacing w:after="160" w:line="360" w:lineRule="auto"/>
      <w:ind w:firstLine="880" w:firstLineChars="200"/>
      <w:jc w:val="left"/>
    </w:pPr>
    <w:rPr>
      <w:rFonts w:eastAsia="仿宋_GB2312"/>
      <w:sz w:val="24"/>
      <w:szCs w:val="22"/>
    </w:rPr>
  </w:style>
  <w:style w:type="paragraph" w:customStyle="1" w:styleId="182">
    <w:name w:val="样式 正文文本首行缩进 + 小四 首行缩进:  1 字符 段后: 0 磅 行距: 固定值 24 磅"/>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98</Pages>
  <Words>14877</Words>
  <Characters>16956</Characters>
  <Lines>383</Lines>
  <Paragraphs>107</Paragraphs>
  <TotalTime>10</TotalTime>
  <ScaleCrop>false</ScaleCrop>
  <LinksUpToDate>false</LinksUpToDate>
  <CharactersWithSpaces>17080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2021-07-26T14:44:00Z</dcterms:created>
  <dc:creator>xt</dc:creator>
  <cp:lastModifiedBy>Echo-7s</cp:lastModifiedBy>
  <cp:lastPrinted>2026-04-03T03:26:00Z</cp:lastPrinted>
  <dcterms:modified xsi:type="dcterms:W3CDTF">2026-04-03T03:38:06Z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55342B5C965D440A9154006776064D11_13</vt:lpwstr>
  </property>
  <property fmtid="{D5CDD505-2E9C-101B-9397-08002B2CF9AE}" pid="4" name="KSOTemplateDocerSaveRecord">
    <vt:lpwstr>eyJoZGlkIjoiNGQ5MzRkNWEwNWQ3NzdiMGY5MmE4OWE2NjMxYzdjMjIiLCJ1c2VySWQiOiIxMjYzMzQ4OTY2In0=</vt:lpwstr>
  </property>
</Properties>
</file>