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F9477E">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900" w:lineRule="exact"/>
        <w:ind w:left="0" w:firstLine="0" w:firstLineChars="0"/>
        <w:jc w:val="center"/>
        <w:textAlignment w:val="auto"/>
        <w:rPr>
          <w:rFonts w:hint="eastAsia" w:ascii="宋体" w:hAnsi="宋体" w:eastAsia="宋体" w:cs="宋体"/>
          <w:b/>
          <w:bCs/>
          <w:color w:val="auto"/>
          <w:spacing w:val="20"/>
          <w:sz w:val="48"/>
          <w:szCs w:val="48"/>
          <w:lang w:val="en-US" w:eastAsia="zh-CN"/>
        </w:rPr>
      </w:pPr>
      <w:bookmarkStart w:id="0" w:name="_Toc278543496"/>
      <w:r>
        <w:rPr>
          <w:rFonts w:hint="eastAsia" w:ascii="宋体" w:hAnsi="宋体" w:eastAsia="宋体" w:cs="宋体"/>
          <w:sz w:val="48"/>
          <w:szCs w:val="48"/>
          <w:highlight w:val="none"/>
          <w:lang w:eastAsia="zh-CN"/>
        </w:rPr>
        <w:t>2026年省级财政残疾人事业转移支付残疾人居家托养服务项目</w:t>
      </w:r>
    </w:p>
    <w:p w14:paraId="7BF09812">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bCs/>
          <w:color w:val="auto"/>
          <w:spacing w:val="20"/>
          <w:sz w:val="44"/>
          <w:szCs w:val="44"/>
          <w:lang w:val="en-US" w:eastAsia="zh-CN"/>
        </w:rPr>
      </w:pPr>
    </w:p>
    <w:p w14:paraId="09190CAB">
      <w:pPr>
        <w:tabs>
          <w:tab w:val="left" w:pos="2070"/>
          <w:tab w:val="center" w:pos="4365"/>
        </w:tabs>
        <w:snapToGrid w:val="0"/>
        <w:rPr>
          <w:rFonts w:hint="eastAsia" w:ascii="宋体" w:hAnsi="宋体" w:eastAsia="宋体" w:cs="宋体"/>
          <w:color w:val="auto"/>
          <w:spacing w:val="20"/>
          <w:sz w:val="32"/>
          <w:szCs w:val="32"/>
        </w:rPr>
      </w:pPr>
    </w:p>
    <w:p w14:paraId="581EA794">
      <w:pPr>
        <w:tabs>
          <w:tab w:val="left" w:pos="2070"/>
          <w:tab w:val="center" w:pos="4365"/>
        </w:tabs>
        <w:snapToGrid w:val="0"/>
        <w:rPr>
          <w:rFonts w:hint="eastAsia" w:ascii="宋体" w:hAnsi="宋体" w:eastAsia="宋体" w:cs="宋体"/>
          <w:color w:val="auto"/>
          <w:spacing w:val="20"/>
          <w:sz w:val="44"/>
          <w:szCs w:val="44"/>
        </w:rPr>
      </w:pPr>
    </w:p>
    <w:p w14:paraId="55830D4B">
      <w:pPr>
        <w:tabs>
          <w:tab w:val="left" w:pos="2070"/>
          <w:tab w:val="center" w:pos="4365"/>
        </w:tabs>
        <w:snapToGrid w:val="0"/>
        <w:rPr>
          <w:rFonts w:hint="eastAsia" w:ascii="宋体" w:hAnsi="宋体" w:eastAsia="宋体" w:cs="宋体"/>
          <w:color w:val="auto"/>
          <w:spacing w:val="20"/>
          <w:sz w:val="44"/>
          <w:szCs w:val="44"/>
        </w:rPr>
      </w:pPr>
    </w:p>
    <w:p w14:paraId="4F7A2E08">
      <w:pPr>
        <w:tabs>
          <w:tab w:val="left" w:pos="2070"/>
          <w:tab w:val="center" w:pos="4365"/>
        </w:tabs>
        <w:snapToGrid w:val="0"/>
        <w:rPr>
          <w:rFonts w:hint="eastAsia" w:ascii="宋体" w:hAnsi="宋体" w:eastAsia="宋体" w:cs="宋体"/>
          <w:color w:val="auto"/>
          <w:spacing w:val="20"/>
          <w:sz w:val="44"/>
          <w:szCs w:val="44"/>
        </w:rPr>
      </w:pPr>
    </w:p>
    <w:p w14:paraId="0930C968">
      <w:pPr>
        <w:tabs>
          <w:tab w:val="left" w:pos="2070"/>
          <w:tab w:val="center" w:pos="4365"/>
        </w:tabs>
        <w:snapToGrid w:val="0"/>
        <w:jc w:val="center"/>
        <w:rPr>
          <w:rFonts w:hint="eastAsia" w:ascii="宋体" w:hAnsi="宋体" w:eastAsia="宋体" w:cs="宋体"/>
          <w:color w:val="auto"/>
          <w:spacing w:val="20"/>
          <w:sz w:val="96"/>
          <w:szCs w:val="96"/>
        </w:rPr>
      </w:pPr>
      <w:r>
        <w:rPr>
          <w:rFonts w:hint="eastAsia" w:ascii="宋体" w:hAnsi="宋体" w:eastAsia="宋体" w:cs="宋体"/>
          <w:b/>
          <w:bCs/>
          <w:color w:val="auto"/>
          <w:spacing w:val="20"/>
          <w:sz w:val="96"/>
          <w:szCs w:val="96"/>
        </w:rPr>
        <w:t>竞争性磋商文件</w:t>
      </w:r>
    </w:p>
    <w:p w14:paraId="15A2FC02">
      <w:pPr>
        <w:widowControl/>
        <w:jc w:val="center"/>
        <w:rPr>
          <w:rFonts w:hint="eastAsia" w:ascii="宋体" w:hAnsi="宋体" w:eastAsia="宋体" w:cs="宋体"/>
          <w:b/>
          <w:kern w:val="0"/>
          <w:sz w:val="32"/>
          <w:szCs w:val="48"/>
          <w:lang w:val="zh-CN" w:eastAsia="zh-CN"/>
        </w:rPr>
      </w:pPr>
    </w:p>
    <w:p w14:paraId="7A70FF24">
      <w:pPr>
        <w:widowControl/>
        <w:jc w:val="center"/>
        <w:rPr>
          <w:rFonts w:hint="eastAsia" w:ascii="宋体" w:hAnsi="宋体" w:eastAsia="宋体" w:cs="宋体"/>
          <w:b/>
          <w:kern w:val="0"/>
          <w:sz w:val="32"/>
          <w:szCs w:val="48"/>
          <w:highlight w:val="yellow"/>
          <w:lang w:val="zh-CN" w:eastAsia="zh-CN"/>
        </w:rPr>
      </w:pPr>
    </w:p>
    <w:p w14:paraId="4E3CC2E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eastAsia" w:ascii="宋体" w:hAnsi="宋体" w:eastAsia="宋体" w:cs="宋体"/>
          <w:b/>
          <w:kern w:val="0"/>
          <w:sz w:val="32"/>
          <w:szCs w:val="48"/>
          <w:highlight w:val="none"/>
          <w:lang w:val="zh-CN" w:eastAsia="zh-CN"/>
        </w:rPr>
      </w:pPr>
      <w:bookmarkStart w:id="170" w:name="_GoBack"/>
      <w:r>
        <w:rPr>
          <w:rFonts w:hint="eastAsia" w:ascii="宋体" w:hAnsi="宋体" w:eastAsia="宋体" w:cs="宋体"/>
          <w:b/>
          <w:kern w:val="0"/>
          <w:sz w:val="32"/>
          <w:szCs w:val="48"/>
          <w:highlight w:val="none"/>
          <w:lang w:val="zh-CN" w:eastAsia="zh-CN"/>
        </w:rPr>
        <w:t>项目编号</w:t>
      </w:r>
      <w:bookmarkEnd w:id="170"/>
      <w:r>
        <w:rPr>
          <w:rFonts w:hint="eastAsia" w:ascii="宋体" w:hAnsi="宋体" w:eastAsia="宋体" w:cs="宋体"/>
          <w:b/>
          <w:kern w:val="0"/>
          <w:sz w:val="32"/>
          <w:szCs w:val="48"/>
          <w:highlight w:val="none"/>
          <w:lang w:val="zh-CN" w:eastAsia="zh-CN"/>
        </w:rPr>
        <w:t>：1404282026CCS00018</w:t>
      </w:r>
    </w:p>
    <w:p w14:paraId="6B728C02">
      <w:pPr>
        <w:widowControl/>
        <w:jc w:val="center"/>
        <w:rPr>
          <w:rFonts w:hint="eastAsia" w:ascii="宋体" w:hAnsi="宋体" w:eastAsia="宋体" w:cs="宋体"/>
          <w:b/>
          <w:kern w:val="0"/>
          <w:sz w:val="32"/>
          <w:szCs w:val="48"/>
          <w:lang w:val="en-US"/>
        </w:rPr>
      </w:pPr>
    </w:p>
    <w:p w14:paraId="4A146538">
      <w:pPr>
        <w:tabs>
          <w:tab w:val="left" w:pos="2070"/>
          <w:tab w:val="center" w:pos="4365"/>
        </w:tabs>
        <w:snapToGrid w:val="0"/>
        <w:rPr>
          <w:rFonts w:hint="eastAsia" w:ascii="宋体" w:hAnsi="宋体" w:eastAsia="宋体" w:cs="宋体"/>
          <w:color w:val="auto"/>
          <w:spacing w:val="20"/>
          <w:sz w:val="44"/>
          <w:szCs w:val="44"/>
        </w:rPr>
      </w:pPr>
    </w:p>
    <w:p w14:paraId="463A4089">
      <w:pPr>
        <w:tabs>
          <w:tab w:val="left" w:pos="2070"/>
          <w:tab w:val="center" w:pos="4365"/>
        </w:tabs>
        <w:snapToGrid w:val="0"/>
        <w:rPr>
          <w:rFonts w:hint="eastAsia" w:ascii="宋体" w:hAnsi="宋体" w:eastAsia="宋体" w:cs="宋体"/>
          <w:color w:val="auto"/>
          <w:spacing w:val="20"/>
          <w:sz w:val="44"/>
          <w:szCs w:val="44"/>
        </w:rPr>
      </w:pPr>
    </w:p>
    <w:p w14:paraId="2936A55A">
      <w:pPr>
        <w:tabs>
          <w:tab w:val="left" w:pos="2070"/>
          <w:tab w:val="center" w:pos="4365"/>
        </w:tabs>
        <w:snapToGrid w:val="0"/>
        <w:rPr>
          <w:rFonts w:hint="eastAsia" w:ascii="宋体" w:hAnsi="宋体" w:eastAsia="宋体" w:cs="宋体"/>
          <w:color w:val="auto"/>
          <w:spacing w:val="20"/>
          <w:sz w:val="44"/>
          <w:szCs w:val="44"/>
        </w:rPr>
      </w:pPr>
    </w:p>
    <w:p w14:paraId="20CCCA40">
      <w:pPr>
        <w:tabs>
          <w:tab w:val="left" w:pos="2070"/>
          <w:tab w:val="center" w:pos="4365"/>
        </w:tabs>
        <w:snapToGrid w:val="0"/>
        <w:spacing w:line="360" w:lineRule="auto"/>
        <w:rPr>
          <w:rFonts w:hint="eastAsia" w:ascii="宋体" w:hAnsi="宋体" w:eastAsia="宋体" w:cs="宋体"/>
          <w:b/>
          <w:bCs/>
          <w:color w:val="auto"/>
          <w:spacing w:val="20"/>
          <w:sz w:val="32"/>
          <w:szCs w:val="32"/>
        </w:rPr>
      </w:pPr>
    </w:p>
    <w:p w14:paraId="5937E8C4">
      <w:pPr>
        <w:tabs>
          <w:tab w:val="left" w:pos="2070"/>
          <w:tab w:val="center" w:pos="4365"/>
        </w:tabs>
        <w:snapToGrid w:val="0"/>
        <w:spacing w:line="360" w:lineRule="auto"/>
        <w:rPr>
          <w:rFonts w:hint="eastAsia" w:ascii="宋体" w:hAnsi="宋体" w:eastAsia="宋体" w:cs="宋体"/>
          <w:b/>
          <w:bCs/>
          <w:color w:val="auto"/>
          <w:spacing w:val="20"/>
          <w:sz w:val="32"/>
          <w:szCs w:val="32"/>
          <w:lang w:eastAsia="zh-CN"/>
        </w:rPr>
      </w:pPr>
      <w:r>
        <w:rPr>
          <w:rFonts w:hint="eastAsia" w:ascii="宋体" w:hAnsi="宋体" w:eastAsia="宋体" w:cs="宋体"/>
          <w:b/>
          <w:bCs/>
          <w:color w:val="auto"/>
          <w:spacing w:val="20"/>
          <w:sz w:val="32"/>
          <w:szCs w:val="32"/>
        </w:rPr>
        <w:t>采购单位：</w:t>
      </w:r>
      <w:r>
        <w:rPr>
          <w:rFonts w:hint="eastAsia" w:ascii="宋体" w:hAnsi="宋体" w:eastAsia="宋体" w:cs="宋体"/>
          <w:b/>
          <w:bCs/>
          <w:color w:val="auto"/>
          <w:spacing w:val="20"/>
          <w:sz w:val="32"/>
          <w:szCs w:val="32"/>
          <w:lang w:eastAsia="zh-CN"/>
        </w:rPr>
        <w:t>长子县残疾人联合会</w:t>
      </w:r>
    </w:p>
    <w:p w14:paraId="2D6C8359">
      <w:pPr>
        <w:tabs>
          <w:tab w:val="left" w:pos="7976"/>
        </w:tabs>
        <w:adjustRightInd w:val="0"/>
        <w:snapToGrid w:val="0"/>
        <w:spacing w:line="600" w:lineRule="exact"/>
        <w:rPr>
          <w:rFonts w:hint="eastAsia" w:ascii="宋体" w:hAnsi="宋体" w:eastAsia="宋体" w:cs="宋体"/>
          <w:b/>
          <w:bCs/>
          <w:color w:val="auto"/>
          <w:spacing w:val="20"/>
          <w:sz w:val="32"/>
          <w:szCs w:val="32"/>
          <w:lang w:eastAsia="zh-CN"/>
        </w:rPr>
      </w:pPr>
      <w:r>
        <w:rPr>
          <w:rFonts w:hint="eastAsia" w:ascii="宋体" w:hAnsi="宋体" w:eastAsia="宋体" w:cs="宋体"/>
          <w:b/>
          <w:bCs/>
          <w:color w:val="auto"/>
          <w:spacing w:val="20"/>
          <w:sz w:val="32"/>
          <w:szCs w:val="32"/>
          <w:lang w:val="en-US" w:eastAsia="zh-CN"/>
        </w:rPr>
        <w:t>采购</w:t>
      </w:r>
      <w:r>
        <w:rPr>
          <w:rFonts w:hint="eastAsia" w:ascii="宋体" w:hAnsi="宋体" w:eastAsia="宋体" w:cs="宋体"/>
          <w:b/>
          <w:bCs/>
          <w:color w:val="auto"/>
          <w:spacing w:val="20"/>
          <w:sz w:val="32"/>
          <w:szCs w:val="32"/>
        </w:rPr>
        <w:t>代理机构：</w:t>
      </w:r>
      <w:r>
        <w:rPr>
          <w:rFonts w:hint="eastAsia" w:ascii="宋体" w:hAnsi="宋体" w:eastAsia="宋体" w:cs="宋体"/>
          <w:b/>
          <w:bCs/>
          <w:color w:val="auto"/>
          <w:spacing w:val="20"/>
          <w:sz w:val="32"/>
          <w:szCs w:val="32"/>
          <w:lang w:eastAsia="zh-CN"/>
        </w:rPr>
        <w:t>山西亿通工程项目管理有限公司</w:t>
      </w:r>
    </w:p>
    <w:p w14:paraId="07C892CF">
      <w:pPr>
        <w:tabs>
          <w:tab w:val="left" w:pos="2070"/>
          <w:tab w:val="center" w:pos="4365"/>
        </w:tabs>
        <w:snapToGrid w:val="0"/>
        <w:spacing w:line="360" w:lineRule="auto"/>
        <w:rPr>
          <w:rFonts w:hint="eastAsia" w:ascii="宋体" w:hAnsi="宋体" w:eastAsia="宋体" w:cs="宋体"/>
          <w:b w:val="0"/>
          <w:bCs w:val="0"/>
          <w:color w:val="auto"/>
          <w:spacing w:val="20"/>
          <w:sz w:val="32"/>
          <w:szCs w:val="32"/>
        </w:rPr>
      </w:pPr>
    </w:p>
    <w:p w14:paraId="78525BD9">
      <w:pPr>
        <w:keepNext/>
        <w:spacing w:line="48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kern w:val="2"/>
          <w:sz w:val="36"/>
          <w:szCs w:val="36"/>
          <w:lang w:val="en-US" w:eastAsia="zh-CN" w:bidi="ar-SA"/>
        </w:rPr>
        <w:t>二○</w:t>
      </w:r>
      <w:r>
        <w:rPr>
          <w:rFonts w:hint="eastAsia" w:ascii="宋体" w:hAnsi="宋体" w:eastAsia="宋体" w:cs="宋体"/>
          <w:b/>
          <w:bCs/>
          <w:color w:val="auto"/>
          <w:kern w:val="2"/>
          <w:sz w:val="36"/>
          <w:szCs w:val="36"/>
          <w:highlight w:val="none"/>
          <w:lang w:val="en-US" w:eastAsia="zh-CN" w:bidi="ar-SA"/>
        </w:rPr>
        <w:t>二六年四月</w:t>
      </w:r>
    </w:p>
    <w:p w14:paraId="0A79456A">
      <w:pPr>
        <w:keepNext/>
        <w:spacing w:line="480" w:lineRule="auto"/>
        <w:ind w:left="2445" w:leftChars="304" w:hanging="1807" w:hangingChars="500"/>
        <w:jc w:val="left"/>
        <w:rPr>
          <w:rFonts w:hint="eastAsia" w:ascii="宋体" w:hAnsi="宋体" w:eastAsia="宋体" w:cs="宋体"/>
          <w:b/>
          <w:bCs/>
          <w:color w:val="auto"/>
          <w:sz w:val="36"/>
          <w:szCs w:val="36"/>
          <w:highlight w:val="none"/>
        </w:rPr>
      </w:pPr>
    </w:p>
    <w:p w14:paraId="4716C48D">
      <w:pPr>
        <w:snapToGrid w:val="0"/>
        <w:spacing w:after="468" w:afterLines="150" w:line="360" w:lineRule="auto"/>
        <w:jc w:val="center"/>
        <w:outlineLvl w:val="2"/>
        <w:rPr>
          <w:rFonts w:hint="eastAsia" w:ascii="宋体" w:hAnsi="宋体" w:eastAsia="宋体" w:cs="宋体"/>
          <w:b/>
          <w:bCs/>
          <w:kern w:val="0"/>
          <w:sz w:val="36"/>
          <w:szCs w:val="36"/>
          <w:highlight w:val="none"/>
        </w:rPr>
        <w:sectPr>
          <w:headerReference r:id="rId4" w:type="first"/>
          <w:headerReference r:id="rId3" w:type="default"/>
          <w:pgSz w:w="11906" w:h="16838"/>
          <w:pgMar w:top="1440" w:right="1418" w:bottom="1440" w:left="1418" w:header="851" w:footer="992" w:gutter="0"/>
          <w:pgNumType w:start="1"/>
          <w:cols w:space="720" w:num="1"/>
          <w:titlePg/>
          <w:docGrid w:type="lines" w:linePitch="312" w:charSpace="0"/>
        </w:sectPr>
      </w:pPr>
      <w:bookmarkStart w:id="1" w:name="_Toc15105"/>
    </w:p>
    <w:p w14:paraId="70D797A0">
      <w:pPr>
        <w:spacing w:before="156" w:beforeLines="50" w:after="156" w:afterLines="50" w:line="360" w:lineRule="auto"/>
        <w:jc w:val="center"/>
        <w:rPr>
          <w:rFonts w:hint="eastAsia" w:ascii="宋体" w:hAnsi="宋体" w:eastAsia="宋体" w:cs="宋体"/>
          <w:snapToGrid w:val="0"/>
          <w:kern w:val="0"/>
          <w:sz w:val="24"/>
          <w:highlight w:val="none"/>
        </w:rPr>
      </w:pPr>
      <w:r>
        <w:rPr>
          <w:rFonts w:hint="eastAsia" w:ascii="宋体" w:hAnsi="宋体" w:eastAsia="宋体" w:cs="宋体"/>
          <w:b/>
          <w:bCs/>
          <w:kern w:val="0"/>
          <w:sz w:val="36"/>
          <w:szCs w:val="36"/>
          <w:highlight w:val="none"/>
        </w:rPr>
        <w:t>目    录</w:t>
      </w:r>
      <w:bookmarkEnd w:id="1"/>
    </w:p>
    <w:p w14:paraId="02BCB4B9">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TOC \o "1-2" \h \u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_Toc15260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第一部分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42191161">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_Toc5474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第二部分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_Toc5474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039857D9">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_Toc11340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第三部分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_Toc11340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6362D315">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_Toc3276 </w:instrText>
      </w:r>
      <w:r>
        <w:rPr>
          <w:rFonts w:hint="eastAsia" w:ascii="宋体" w:hAnsi="宋体" w:eastAsia="宋体" w:cs="宋体"/>
          <w:snapToGrid w:val="0"/>
          <w:kern w:val="0"/>
          <w:highlight w:val="none"/>
        </w:rPr>
        <w:fldChar w:fldCharType="separate"/>
      </w:r>
      <w:r>
        <w:rPr>
          <w:rFonts w:hint="eastAsia" w:ascii="宋体" w:hAnsi="宋体" w:eastAsia="宋体" w:cs="宋体"/>
          <w:kern w:val="0"/>
          <w:highlight w:val="none"/>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162264B0">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_Toc1478 </w:instrText>
      </w:r>
      <w:r>
        <w:rPr>
          <w:rFonts w:hint="eastAsia" w:ascii="宋体" w:hAnsi="宋体" w:eastAsia="宋体" w:cs="宋体"/>
          <w:snapToGrid w:val="0"/>
          <w:kern w:val="0"/>
          <w:highlight w:val="none"/>
        </w:rPr>
        <w:fldChar w:fldCharType="separate"/>
      </w:r>
      <w:r>
        <w:rPr>
          <w:rFonts w:hint="eastAsia" w:ascii="宋体" w:hAnsi="宋体" w:eastAsia="宋体" w:cs="宋体"/>
          <w:bCs/>
          <w:kern w:val="0"/>
          <w:highlight w:val="none"/>
        </w:rPr>
        <w:t>二、磋商文件组成、澄清和修改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3A63124E">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_Toc27866 </w:instrText>
      </w:r>
      <w:r>
        <w:rPr>
          <w:rFonts w:hint="eastAsia" w:ascii="宋体" w:hAnsi="宋体" w:eastAsia="宋体" w:cs="宋体"/>
          <w:snapToGrid w:val="0"/>
          <w:kern w:val="0"/>
          <w:highlight w:val="none"/>
        </w:rPr>
        <w:fldChar w:fldCharType="separate"/>
      </w:r>
      <w:r>
        <w:rPr>
          <w:rFonts w:hint="eastAsia" w:ascii="宋体" w:hAnsi="宋体" w:eastAsia="宋体" w:cs="宋体"/>
          <w:kern w:val="0"/>
          <w:highlight w:val="none"/>
        </w:rPr>
        <w:t>三、响应文件组成与要求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_Toc27866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4763ECE0">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_Toc7493 </w:instrText>
      </w:r>
      <w:r>
        <w:rPr>
          <w:rFonts w:hint="eastAsia" w:ascii="宋体" w:hAnsi="宋体" w:eastAsia="宋体" w:cs="宋体"/>
          <w:snapToGrid w:val="0"/>
          <w:kern w:val="0"/>
          <w:highlight w:val="none"/>
        </w:rPr>
        <w:fldChar w:fldCharType="separate"/>
      </w:r>
      <w:r>
        <w:rPr>
          <w:rFonts w:hint="eastAsia" w:ascii="宋体" w:hAnsi="宋体" w:eastAsia="宋体" w:cs="宋体"/>
          <w:bCs/>
          <w:szCs w:val="24"/>
          <w:highlight w:val="none"/>
        </w:rPr>
        <w:t>四、响应文件的上传截止时间、解密及其他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_Toc7493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09539C17">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_Toc2049 </w:instrText>
      </w:r>
      <w:r>
        <w:rPr>
          <w:rFonts w:hint="eastAsia" w:ascii="宋体" w:hAnsi="宋体" w:eastAsia="宋体" w:cs="宋体"/>
          <w:snapToGrid w:val="0"/>
          <w:kern w:val="0"/>
          <w:highlight w:val="none"/>
        </w:rPr>
        <w:fldChar w:fldCharType="separate"/>
      </w:r>
      <w:r>
        <w:rPr>
          <w:rFonts w:hint="eastAsia" w:ascii="宋体" w:hAnsi="宋体" w:eastAsia="宋体" w:cs="宋体"/>
          <w:kern w:val="0"/>
          <w:highlight w:val="none"/>
        </w:rPr>
        <w:t>五、磋商小组组成与要求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0BC5239F">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_Toc3335 </w:instrText>
      </w:r>
      <w:r>
        <w:rPr>
          <w:rFonts w:hint="eastAsia" w:ascii="宋体" w:hAnsi="宋体" w:eastAsia="宋体" w:cs="宋体"/>
          <w:snapToGrid w:val="0"/>
          <w:kern w:val="0"/>
          <w:highlight w:val="none"/>
        </w:rPr>
        <w:fldChar w:fldCharType="separate"/>
      </w:r>
      <w:r>
        <w:rPr>
          <w:rFonts w:hint="eastAsia" w:ascii="宋体" w:hAnsi="宋体" w:eastAsia="宋体" w:cs="宋体"/>
          <w:kern w:val="0"/>
          <w:highlight w:val="none"/>
        </w:rPr>
        <w:t>六、评审、磋商和评定程序与要求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_Toc3335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6AF9D4BA">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_Toc17077 </w:instrText>
      </w:r>
      <w:r>
        <w:rPr>
          <w:rFonts w:hint="eastAsia" w:ascii="宋体" w:hAnsi="宋体" w:eastAsia="宋体" w:cs="宋体"/>
          <w:snapToGrid w:val="0"/>
          <w:kern w:val="0"/>
          <w:highlight w:val="none"/>
        </w:rPr>
        <w:fldChar w:fldCharType="separate"/>
      </w:r>
      <w:r>
        <w:rPr>
          <w:rFonts w:hint="eastAsia" w:ascii="宋体" w:hAnsi="宋体" w:eastAsia="宋体" w:cs="宋体"/>
          <w:highlight w:val="none"/>
        </w:rPr>
        <w:t>七、签订合同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_Toc17077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18FD7D9B">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_Toc22042 </w:instrText>
      </w:r>
      <w:r>
        <w:rPr>
          <w:rFonts w:hint="eastAsia" w:ascii="宋体" w:hAnsi="宋体" w:eastAsia="宋体" w:cs="宋体"/>
          <w:snapToGrid w:val="0"/>
          <w:kern w:val="0"/>
          <w:highlight w:val="none"/>
        </w:rPr>
        <w:fldChar w:fldCharType="separate"/>
      </w:r>
      <w:r>
        <w:rPr>
          <w:rFonts w:hint="eastAsia" w:ascii="宋体" w:hAnsi="宋体" w:eastAsia="宋体" w:cs="宋体"/>
          <w:highlight w:val="none"/>
        </w:rPr>
        <w:t>八、保密和披露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_Toc22042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5D8C367E">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_Toc13971 </w:instrText>
      </w:r>
      <w:r>
        <w:rPr>
          <w:rFonts w:hint="eastAsia" w:ascii="宋体" w:hAnsi="宋体" w:eastAsia="宋体" w:cs="宋体"/>
          <w:snapToGrid w:val="0"/>
          <w:kern w:val="0"/>
          <w:highlight w:val="none"/>
        </w:rPr>
        <w:fldChar w:fldCharType="separate"/>
      </w:r>
      <w:r>
        <w:rPr>
          <w:rFonts w:hint="eastAsia" w:ascii="宋体" w:hAnsi="宋体" w:eastAsia="宋体" w:cs="宋体"/>
          <w:bCs/>
          <w:szCs w:val="24"/>
          <w:highlight w:val="none"/>
        </w:rPr>
        <w:t>九、询问和质疑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_Toc13971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0B192F4C">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_Toc23903 </w:instrText>
      </w:r>
      <w:r>
        <w:rPr>
          <w:rFonts w:hint="eastAsia" w:ascii="宋体" w:hAnsi="宋体" w:eastAsia="宋体" w:cs="宋体"/>
          <w:snapToGrid w:val="0"/>
          <w:kern w:val="0"/>
          <w:highlight w:val="none"/>
        </w:rPr>
        <w:fldChar w:fldCharType="separate"/>
      </w:r>
      <w:r>
        <w:rPr>
          <w:rFonts w:hint="eastAsia" w:ascii="宋体" w:hAnsi="宋体" w:eastAsia="宋体" w:cs="宋体"/>
          <w:kern w:val="0"/>
          <w:highlight w:val="none"/>
        </w:rPr>
        <w:t>十、违约处罚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_Toc23903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15582CE0">
      <w:pPr>
        <w:pStyle w:val="27"/>
        <w:tabs>
          <w:tab w:val="right" w:leader="dot" w:pos="9070"/>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_Toc1990 </w:instrText>
      </w:r>
      <w:r>
        <w:rPr>
          <w:rFonts w:hint="eastAsia" w:ascii="宋体" w:hAnsi="宋体" w:eastAsia="宋体" w:cs="宋体"/>
          <w:snapToGrid w:val="0"/>
          <w:kern w:val="0"/>
          <w:highlight w:val="none"/>
        </w:rPr>
        <w:fldChar w:fldCharType="separate"/>
      </w:r>
      <w:r>
        <w:rPr>
          <w:rFonts w:hint="eastAsia" w:ascii="宋体" w:hAnsi="宋体" w:eastAsia="宋体" w:cs="宋体"/>
          <w:kern w:val="0"/>
          <w:highlight w:val="none"/>
        </w:rPr>
        <w:t>十一、相关政策要求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_Toc1990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2EA85F98">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_Toc18062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第四部分  评审标准和评定方法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_Toc18062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1D186381">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_Toc31416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第五部分  商务、技术要求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_Toc31416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62036156">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_Toc17947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第六部分  采购合同范本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_Toc17947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2FDE1712">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_Toc3328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第七部分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_Toc3328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31F6999A">
      <w:pPr>
        <w:pStyle w:val="24"/>
        <w:tabs>
          <w:tab w:val="right" w:leader="dot" w:pos="9070"/>
          <w:tab w:val="clear" w:pos="9061"/>
        </w:tabs>
        <w:spacing w:line="360" w:lineRule="auto"/>
        <w:rPr>
          <w:rFonts w:hint="eastAsia" w:ascii="宋体" w:hAnsi="宋体" w:eastAsia="宋体" w:cs="宋体"/>
        </w:rPr>
      </w:pPr>
      <w:r>
        <w:rPr>
          <w:rFonts w:hint="eastAsia" w:ascii="宋体" w:hAnsi="宋体" w:eastAsia="宋体" w:cs="宋体"/>
          <w:snapToGrid w:val="0"/>
          <w:kern w:val="0"/>
          <w:highlight w:val="none"/>
        </w:rPr>
        <w:fldChar w:fldCharType="begin"/>
      </w:r>
      <w:r>
        <w:rPr>
          <w:rFonts w:hint="eastAsia" w:ascii="宋体" w:hAnsi="宋体" w:eastAsia="宋体" w:cs="宋体"/>
          <w:snapToGrid w:val="0"/>
          <w:kern w:val="0"/>
          <w:highlight w:val="none"/>
        </w:rPr>
        <w:instrText xml:space="preserve"> HYPERLINK \l _Toc23316 </w:instrText>
      </w:r>
      <w:r>
        <w:rPr>
          <w:rFonts w:hint="eastAsia" w:ascii="宋体" w:hAnsi="宋体" w:eastAsia="宋体" w:cs="宋体"/>
          <w:snapToGrid w:val="0"/>
          <w:kern w:val="0"/>
          <w:highlight w:val="none"/>
        </w:rPr>
        <w:fldChar w:fldCharType="separate"/>
      </w:r>
      <w:r>
        <w:rPr>
          <w:rFonts w:hint="eastAsia" w:ascii="宋体" w:hAnsi="宋体" w:eastAsia="宋体" w:cs="宋体"/>
          <w:snapToGrid w:val="0"/>
          <w:kern w:val="0"/>
          <w:szCs w:val="32"/>
          <w:highlight w:val="none"/>
        </w:rPr>
        <w:t>第八部分  相关附件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_Toc23316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snapToGrid w:val="0"/>
          <w:kern w:val="0"/>
          <w:highlight w:val="none"/>
        </w:rPr>
        <w:fldChar w:fldCharType="end"/>
      </w:r>
    </w:p>
    <w:p w14:paraId="2ED0B6C0">
      <w:pPr>
        <w:pStyle w:val="27"/>
        <w:keepLines w:val="0"/>
        <w:pageBreakBefore w:val="0"/>
        <w:widowControl w:val="0"/>
        <w:tabs>
          <w:tab w:val="right" w:leader="dot" w:pos="8620"/>
        </w:tabs>
        <w:kinsoku/>
        <w:wordWrap/>
        <w:overflowPunct/>
        <w:topLinePunct w:val="0"/>
        <w:autoSpaceDE/>
        <w:autoSpaceDN/>
        <w:bidi w:val="0"/>
        <w:spacing w:line="360" w:lineRule="auto"/>
        <w:ind w:left="0" w:leftChars="0"/>
        <w:jc w:val="left"/>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highlight w:val="none"/>
        </w:rPr>
        <w:fldChar w:fldCharType="end"/>
      </w:r>
    </w:p>
    <w:p w14:paraId="56826EEF">
      <w:pPr>
        <w:pStyle w:val="30"/>
        <w:widowControl w:val="0"/>
        <w:spacing w:line="360" w:lineRule="auto"/>
        <w:rPr>
          <w:rFonts w:hint="eastAsia" w:ascii="宋体" w:hAnsi="宋体" w:eastAsia="宋体" w:cs="宋体"/>
          <w:sz w:val="24"/>
          <w:szCs w:val="24"/>
          <w:highlight w:val="none"/>
        </w:rPr>
      </w:pPr>
    </w:p>
    <w:p w14:paraId="44EC432B">
      <w:pPr>
        <w:tabs>
          <w:tab w:val="left" w:pos="2070"/>
          <w:tab w:val="center" w:pos="4365"/>
        </w:tabs>
        <w:overflowPunct w:val="0"/>
        <w:topLinePunct/>
        <w:autoSpaceDN w:val="0"/>
        <w:spacing w:line="360" w:lineRule="auto"/>
        <w:rPr>
          <w:rFonts w:hint="eastAsia" w:ascii="宋体" w:hAnsi="宋体" w:eastAsia="宋体" w:cs="宋体"/>
          <w:snapToGrid w:val="0"/>
          <w:kern w:val="0"/>
          <w:sz w:val="24"/>
          <w:highlight w:val="none"/>
        </w:rPr>
      </w:pPr>
    </w:p>
    <w:p w14:paraId="26B662E0">
      <w:pPr>
        <w:tabs>
          <w:tab w:val="left" w:pos="2070"/>
          <w:tab w:val="center" w:pos="4365"/>
        </w:tabs>
        <w:overflowPunct w:val="0"/>
        <w:topLinePunct/>
        <w:autoSpaceDN w:val="0"/>
        <w:adjustRightInd w:val="0"/>
        <w:snapToGrid w:val="0"/>
        <w:spacing w:line="360" w:lineRule="auto"/>
        <w:jc w:val="center"/>
        <w:rPr>
          <w:rFonts w:hint="eastAsia" w:ascii="宋体" w:hAnsi="宋体" w:eastAsia="宋体" w:cs="宋体"/>
          <w:b/>
          <w:snapToGrid w:val="0"/>
          <w:kern w:val="0"/>
          <w:sz w:val="32"/>
          <w:szCs w:val="32"/>
          <w:highlight w:val="none"/>
        </w:rPr>
        <w:sectPr>
          <w:footerReference r:id="rId5" w:type="default"/>
          <w:pgSz w:w="11906" w:h="16838"/>
          <w:pgMar w:top="1440" w:right="1418" w:bottom="1440" w:left="1418" w:header="851" w:footer="992" w:gutter="0"/>
          <w:pgNumType w:start="1"/>
          <w:cols w:space="720" w:num="1"/>
          <w:docGrid w:type="lines" w:linePitch="312" w:charSpace="0"/>
        </w:sectPr>
      </w:pPr>
      <w:bookmarkStart w:id="2" w:name="_Toc10267"/>
    </w:p>
    <w:p w14:paraId="345929DE">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kern w:val="0"/>
          <w:sz w:val="32"/>
          <w:szCs w:val="32"/>
          <w:highlight w:val="none"/>
        </w:rPr>
      </w:pPr>
      <w:bookmarkStart w:id="3" w:name="_Toc15278"/>
      <w:bookmarkStart w:id="4" w:name="_Toc15981"/>
      <w:bookmarkStart w:id="5" w:name="_Toc20296"/>
      <w:bookmarkStart w:id="6" w:name="_Toc15260"/>
      <w:r>
        <w:rPr>
          <w:rFonts w:hint="eastAsia" w:ascii="宋体" w:hAnsi="宋体" w:eastAsia="宋体" w:cs="宋体"/>
          <w:b/>
          <w:snapToGrid w:val="0"/>
          <w:kern w:val="0"/>
          <w:sz w:val="32"/>
          <w:szCs w:val="32"/>
          <w:highlight w:val="none"/>
        </w:rPr>
        <w:t xml:space="preserve">第一部分  </w:t>
      </w:r>
      <w:bookmarkEnd w:id="3"/>
      <w:bookmarkEnd w:id="4"/>
      <w:bookmarkEnd w:id="5"/>
      <w:r>
        <w:rPr>
          <w:rFonts w:hint="eastAsia" w:ascii="宋体" w:hAnsi="宋体" w:eastAsia="宋体" w:cs="宋体"/>
          <w:b/>
          <w:snapToGrid w:val="0"/>
          <w:kern w:val="0"/>
          <w:sz w:val="32"/>
          <w:szCs w:val="32"/>
          <w:highlight w:val="none"/>
        </w:rPr>
        <w:t>竞争性磋商公告</w:t>
      </w:r>
      <w:bookmarkEnd w:id="6"/>
    </w:p>
    <w:p w14:paraId="5D7DD949">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bCs/>
          <w:sz w:val="24"/>
        </w:rPr>
      </w:pPr>
      <w:bookmarkStart w:id="7" w:name="_Toc35393629"/>
      <w:bookmarkStart w:id="8" w:name="_Toc28359089"/>
      <w:bookmarkStart w:id="9" w:name="_Toc28359012"/>
      <w:bookmarkStart w:id="10" w:name="_Toc35393798"/>
      <w:r>
        <w:rPr>
          <w:rFonts w:hint="eastAsia" w:ascii="宋体" w:hAnsi="宋体" w:eastAsia="宋体" w:cs="宋体"/>
          <w:b/>
          <w:bCs/>
          <w:sz w:val="24"/>
        </w:rPr>
        <w:t>项目概况</w:t>
      </w:r>
    </w:p>
    <w:p w14:paraId="37B00D1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yellow"/>
          <w:u w:val="none"/>
        </w:rPr>
      </w:pPr>
      <w:r>
        <w:rPr>
          <w:rFonts w:hint="eastAsia" w:ascii="宋体" w:hAnsi="宋体" w:eastAsia="宋体" w:cs="宋体"/>
          <w:sz w:val="24"/>
          <w:u w:val="none"/>
          <w:lang w:eastAsia="zh-CN"/>
        </w:rPr>
        <w:t>2026年省级财政残疾人事业转移支付残疾人居家托养服务项目</w:t>
      </w:r>
      <w:r>
        <w:rPr>
          <w:rFonts w:hint="eastAsia" w:ascii="宋体" w:hAnsi="宋体" w:eastAsia="宋体" w:cs="宋体"/>
          <w:sz w:val="24"/>
          <w:u w:val="none"/>
        </w:rPr>
        <w:t>采购项目的潜在供应商应在政采云平台线上获取采购文件，并于</w:t>
      </w:r>
      <w:r>
        <w:rPr>
          <w:rFonts w:hint="eastAsia" w:ascii="宋体" w:hAnsi="宋体" w:eastAsia="宋体" w:cs="宋体"/>
          <w:color w:val="auto"/>
          <w:sz w:val="24"/>
          <w:u w:val="none"/>
        </w:rPr>
        <w:t>2026年</w:t>
      </w:r>
      <w:r>
        <w:rPr>
          <w:rFonts w:hint="eastAsia" w:ascii="宋体" w:hAnsi="宋体" w:eastAsia="宋体" w:cs="宋体"/>
          <w:color w:val="auto"/>
          <w:sz w:val="24"/>
          <w:u w:val="none"/>
          <w:lang w:val="en-US" w:eastAsia="zh-CN"/>
        </w:rPr>
        <w:t>05</w:t>
      </w:r>
      <w:r>
        <w:rPr>
          <w:rFonts w:hint="eastAsia" w:ascii="宋体" w:hAnsi="宋体" w:eastAsia="宋体" w:cs="宋体"/>
          <w:color w:val="auto"/>
          <w:sz w:val="24"/>
          <w:u w:val="none"/>
        </w:rPr>
        <w:t>月</w:t>
      </w:r>
      <w:r>
        <w:rPr>
          <w:rFonts w:hint="eastAsia" w:ascii="宋体" w:hAnsi="宋体" w:eastAsia="宋体" w:cs="宋体"/>
          <w:color w:val="auto"/>
          <w:sz w:val="24"/>
          <w:u w:val="none"/>
          <w:lang w:val="en-US" w:eastAsia="zh-CN"/>
        </w:rPr>
        <w:t>0</w:t>
      </w:r>
      <w:r>
        <w:rPr>
          <w:rFonts w:hint="eastAsia" w:ascii="宋体" w:hAnsi="宋体" w:cs="宋体"/>
          <w:color w:val="auto"/>
          <w:sz w:val="24"/>
          <w:u w:val="none"/>
          <w:lang w:val="en-US" w:eastAsia="zh-CN"/>
        </w:rPr>
        <w:t>8</w:t>
      </w:r>
      <w:r>
        <w:rPr>
          <w:rFonts w:hint="eastAsia" w:ascii="宋体" w:hAnsi="宋体" w:eastAsia="宋体" w:cs="宋体"/>
          <w:color w:val="auto"/>
          <w:sz w:val="24"/>
          <w:u w:val="none"/>
        </w:rPr>
        <w:t xml:space="preserve">日 </w:t>
      </w:r>
      <w:r>
        <w:rPr>
          <w:rFonts w:hint="eastAsia" w:ascii="宋体" w:hAnsi="宋体" w:eastAsia="宋体" w:cs="宋体"/>
          <w:color w:val="auto"/>
          <w:sz w:val="24"/>
          <w:u w:val="none"/>
          <w:lang w:val="en-US" w:eastAsia="zh-CN"/>
        </w:rPr>
        <w:t>15</w:t>
      </w:r>
      <w:r>
        <w:rPr>
          <w:rFonts w:hint="eastAsia" w:ascii="宋体" w:hAnsi="宋体" w:eastAsia="宋体" w:cs="宋体"/>
          <w:color w:val="auto"/>
          <w:sz w:val="24"/>
          <w:u w:val="none"/>
        </w:rPr>
        <w:t>:00（</w:t>
      </w:r>
      <w:r>
        <w:rPr>
          <w:rFonts w:hint="eastAsia" w:ascii="宋体" w:hAnsi="宋体" w:eastAsia="宋体" w:cs="宋体"/>
          <w:sz w:val="24"/>
          <w:u w:val="none"/>
        </w:rPr>
        <w:t>北京时间）前提交响应文件。</w:t>
      </w:r>
    </w:p>
    <w:bookmarkEnd w:id="7"/>
    <w:bookmarkEnd w:id="8"/>
    <w:bookmarkEnd w:id="9"/>
    <w:bookmarkEnd w:id="10"/>
    <w:p w14:paraId="0816B0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一、项目基本情况</w:t>
      </w:r>
    </w:p>
    <w:p w14:paraId="7309726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项目编号：1404282026CCS00018</w:t>
      </w:r>
    </w:p>
    <w:p w14:paraId="149FB1ED">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2026年省级财政残疾人事业转移支付残疾人居家托养服务项目</w:t>
      </w:r>
    </w:p>
    <w:p w14:paraId="34A5684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采购方式：竞争性磋商</w:t>
      </w:r>
    </w:p>
    <w:p w14:paraId="1B3494DF">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预算金额（元）：</w:t>
      </w:r>
      <w:r>
        <w:rPr>
          <w:rFonts w:hint="eastAsia" w:ascii="宋体" w:hAnsi="宋体" w:eastAsia="宋体" w:cs="宋体"/>
          <w:sz w:val="24"/>
          <w:highlight w:val="none"/>
          <w:lang w:val="en-US" w:eastAsia="zh-CN"/>
        </w:rPr>
        <w:t>360000</w:t>
      </w:r>
    </w:p>
    <w:p w14:paraId="0D119D26">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最高限价（元）：</w:t>
      </w:r>
      <w:r>
        <w:rPr>
          <w:rFonts w:hint="eastAsia" w:ascii="宋体" w:hAnsi="宋体" w:eastAsia="宋体" w:cs="宋体"/>
          <w:sz w:val="24"/>
          <w:highlight w:val="none"/>
          <w:lang w:val="en-US" w:eastAsia="zh-CN"/>
        </w:rPr>
        <w:t>360000</w:t>
      </w:r>
    </w:p>
    <w:p w14:paraId="202CD4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采购需求：</w:t>
      </w:r>
    </w:p>
    <w:p w14:paraId="15812DA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标项名称：</w:t>
      </w:r>
      <w:r>
        <w:rPr>
          <w:rFonts w:hint="eastAsia" w:ascii="宋体" w:hAnsi="宋体" w:eastAsia="宋体" w:cs="宋体"/>
          <w:sz w:val="24"/>
          <w:highlight w:val="none"/>
          <w:lang w:eastAsia="zh-CN"/>
        </w:rPr>
        <w:t>2026年省级财政残疾人事业转移支付残疾人居家托养服务项目</w:t>
      </w:r>
    </w:p>
    <w:p w14:paraId="531AD39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预算金额（元）：360000</w:t>
      </w:r>
    </w:p>
    <w:p w14:paraId="3D7AE6F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合同</w:t>
      </w:r>
      <w:r>
        <w:rPr>
          <w:rFonts w:hint="eastAsia" w:ascii="宋体" w:hAnsi="宋体" w:cs="宋体"/>
          <w:sz w:val="24"/>
          <w:highlight w:val="none"/>
          <w:lang w:val="en-US" w:eastAsia="zh-CN"/>
        </w:rPr>
        <w:t>履行</w:t>
      </w:r>
      <w:r>
        <w:rPr>
          <w:rFonts w:hint="eastAsia" w:ascii="宋体" w:hAnsi="宋体" w:eastAsia="宋体" w:cs="宋体"/>
          <w:sz w:val="24"/>
          <w:highlight w:val="none"/>
        </w:rPr>
        <w:t>期限：</w:t>
      </w:r>
      <w:r>
        <w:rPr>
          <w:rFonts w:hint="eastAsia" w:ascii="宋体" w:hAnsi="宋体" w:cs="宋体"/>
          <w:sz w:val="24"/>
          <w:highlight w:val="none"/>
          <w:lang w:val="en-US" w:eastAsia="zh-CN"/>
        </w:rPr>
        <w:t>自签订合同之日起至2026年11月结束</w:t>
      </w:r>
    </w:p>
    <w:p w14:paraId="5CE634A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本项目（否）接受联合体投标。</w:t>
      </w:r>
    </w:p>
    <w:p w14:paraId="045062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二、申请人的资格要求：</w:t>
      </w:r>
    </w:p>
    <w:p w14:paraId="5179518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5FDDF075">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2.落实政府采购政策需满足的资格要求：本项目为专门面向中小企业采购项目</w:t>
      </w:r>
      <w:r>
        <w:rPr>
          <w:rFonts w:hint="eastAsia" w:ascii="宋体" w:hAnsi="宋体" w:eastAsia="宋体" w:cs="宋体"/>
          <w:sz w:val="24"/>
          <w:highlight w:val="none"/>
          <w:lang w:eastAsia="zh-CN"/>
        </w:rPr>
        <w:t>；</w:t>
      </w:r>
    </w:p>
    <w:p w14:paraId="1B034395">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3.本项目的特定资格要求：无</w:t>
      </w:r>
      <w:r>
        <w:rPr>
          <w:rFonts w:hint="eastAsia" w:ascii="宋体" w:hAnsi="宋体" w:cs="宋体"/>
          <w:sz w:val="24"/>
          <w:highlight w:val="none"/>
          <w:lang w:eastAsia="zh-CN"/>
        </w:rPr>
        <w:t>。</w:t>
      </w:r>
    </w:p>
    <w:p w14:paraId="2B8F8D7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三、获取采购文件</w:t>
      </w:r>
    </w:p>
    <w:p w14:paraId="5A8B642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w:t>
      </w:r>
      <w:r>
        <w:rPr>
          <w:rFonts w:hint="eastAsia" w:ascii="宋体" w:hAnsi="宋体" w:eastAsia="宋体" w:cs="宋体"/>
          <w:color w:val="auto"/>
          <w:sz w:val="24"/>
          <w:highlight w:val="none"/>
        </w:rPr>
        <w:t>间：2026年</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日至2026年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06</w:t>
      </w:r>
      <w:r>
        <w:rPr>
          <w:rFonts w:hint="eastAsia" w:ascii="宋体" w:hAnsi="宋体" w:eastAsia="宋体" w:cs="宋体"/>
          <w:color w:val="auto"/>
          <w:sz w:val="24"/>
          <w:highlight w:val="none"/>
        </w:rPr>
        <w:t>日，每天</w:t>
      </w:r>
      <w:r>
        <w:rPr>
          <w:rFonts w:hint="eastAsia" w:ascii="宋体" w:hAnsi="宋体" w:eastAsia="宋体" w:cs="宋体"/>
          <w:sz w:val="24"/>
          <w:highlight w:val="none"/>
        </w:rPr>
        <w:t>上午00:00至12:00，下午12:00至23:59（北京时间，法定节假日除外）</w:t>
      </w:r>
    </w:p>
    <w:p w14:paraId="75E527B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地点：政采云平台线上获取</w:t>
      </w:r>
    </w:p>
    <w:p w14:paraId="13225B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方式：在线获取</w:t>
      </w:r>
    </w:p>
    <w:p w14:paraId="1D99001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售价（元）：0</w:t>
      </w:r>
    </w:p>
    <w:p w14:paraId="40B2E08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四、响应文件提交</w:t>
      </w:r>
    </w:p>
    <w:p w14:paraId="5FAB0B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截止时</w:t>
      </w:r>
      <w:r>
        <w:rPr>
          <w:rFonts w:hint="eastAsia" w:ascii="宋体" w:hAnsi="宋体" w:eastAsia="宋体" w:cs="宋体"/>
          <w:color w:val="auto"/>
          <w:sz w:val="24"/>
          <w:highlight w:val="none"/>
        </w:rPr>
        <w:t>间：2026年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:00（北京时间）</w:t>
      </w:r>
    </w:p>
    <w:p w14:paraId="7DFD9C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地点：请登录政采云投标客户端投标</w:t>
      </w:r>
    </w:p>
    <w:p w14:paraId="73F8A3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五、响应文件开启</w:t>
      </w:r>
    </w:p>
    <w:p w14:paraId="777FC7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highlight w:val="none"/>
        </w:rPr>
        <w:t>开启时间：2026年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:00（北京时</w:t>
      </w:r>
      <w:r>
        <w:rPr>
          <w:rFonts w:hint="eastAsia" w:ascii="宋体" w:hAnsi="宋体" w:eastAsia="宋体" w:cs="宋体"/>
          <w:sz w:val="24"/>
          <w:highlight w:val="none"/>
        </w:rPr>
        <w:t>间）</w:t>
      </w:r>
    </w:p>
    <w:p w14:paraId="21D09C61">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地点：</w:t>
      </w:r>
      <w:r>
        <w:rPr>
          <w:rFonts w:hint="eastAsia" w:ascii="宋体" w:hAnsi="宋体" w:eastAsia="宋体" w:cs="宋体"/>
          <w:bCs/>
          <w:color w:val="auto"/>
          <w:kern w:val="0"/>
          <w:sz w:val="24"/>
          <w:lang w:eastAsia="zh-CN"/>
        </w:rPr>
        <w:t>长治市潞州区太行北路168号钜星创业大厦</w:t>
      </w:r>
      <w:r>
        <w:rPr>
          <w:rFonts w:hint="eastAsia" w:ascii="宋体" w:hAnsi="宋体" w:eastAsia="宋体" w:cs="宋体"/>
          <w:bCs/>
          <w:color w:val="auto"/>
          <w:kern w:val="0"/>
          <w:sz w:val="24"/>
          <w:lang w:val="en-US" w:eastAsia="zh-CN"/>
        </w:rPr>
        <w:t>北</w:t>
      </w:r>
      <w:r>
        <w:rPr>
          <w:rFonts w:hint="eastAsia" w:ascii="宋体" w:hAnsi="宋体" w:eastAsia="宋体" w:cs="宋体"/>
          <w:bCs/>
          <w:color w:val="auto"/>
          <w:kern w:val="0"/>
          <w:sz w:val="24"/>
          <w:lang w:eastAsia="zh-CN"/>
        </w:rPr>
        <w:t>7楼</w:t>
      </w:r>
      <w:r>
        <w:rPr>
          <w:rFonts w:hint="eastAsia" w:ascii="宋体" w:hAnsi="宋体" w:cs="宋体"/>
          <w:bCs/>
          <w:color w:val="auto"/>
          <w:kern w:val="0"/>
          <w:sz w:val="24"/>
          <w:lang w:val="en-US" w:eastAsia="zh-CN"/>
        </w:rPr>
        <w:t>会议室</w:t>
      </w:r>
    </w:p>
    <w:p w14:paraId="19D11C6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六、公告期限</w:t>
      </w:r>
    </w:p>
    <w:p w14:paraId="4AE7B51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自本公告发布之日起</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w:t>
      </w:r>
    </w:p>
    <w:p w14:paraId="614BBC6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七、其他补充事宜</w:t>
      </w:r>
    </w:p>
    <w:p w14:paraId="7864C8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150411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代理费支付方式：供应商支付</w:t>
      </w:r>
    </w:p>
    <w:p w14:paraId="33839C7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代理费收费标准：参照《招标代理服务收费管理暂行办法》（计价格[2002]1980号）文件的规定作为代理服务费收费标准。</w:t>
      </w:r>
    </w:p>
    <w:p w14:paraId="0693462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代理费收费金额（元）：/</w:t>
      </w:r>
    </w:p>
    <w:p w14:paraId="793ED8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八、凡对本次招标提出询问，请按以下方式联系</w:t>
      </w:r>
    </w:p>
    <w:p w14:paraId="5ADD9550">
      <w:pPr>
        <w:spacing w:line="360" w:lineRule="auto"/>
        <w:ind w:firstLine="480" w:firstLineChars="200"/>
        <w:rPr>
          <w:rFonts w:hint="eastAsia" w:ascii="宋体" w:hAnsi="宋体" w:eastAsia="宋体" w:cs="宋体"/>
          <w:bCs/>
          <w:color w:val="auto"/>
          <w:kern w:val="0"/>
          <w:sz w:val="24"/>
          <w:lang w:val="zh-CN"/>
        </w:rPr>
      </w:pPr>
      <w:bookmarkStart w:id="11" w:name="_Toc35393637"/>
      <w:bookmarkStart w:id="12" w:name="_Toc28359096"/>
      <w:bookmarkStart w:id="13" w:name="_Toc35393806"/>
      <w:bookmarkStart w:id="14" w:name="_Toc28359019"/>
      <w:r>
        <w:rPr>
          <w:rFonts w:hint="eastAsia" w:ascii="宋体" w:hAnsi="宋体" w:eastAsia="宋体" w:cs="宋体"/>
          <w:bCs/>
          <w:color w:val="auto"/>
          <w:kern w:val="0"/>
          <w:sz w:val="24"/>
          <w:lang w:val="zh-CN"/>
        </w:rPr>
        <w:t>1.采购人信息</w:t>
      </w:r>
      <w:bookmarkEnd w:id="11"/>
      <w:bookmarkEnd w:id="12"/>
      <w:bookmarkEnd w:id="13"/>
      <w:bookmarkEnd w:id="14"/>
    </w:p>
    <w:p w14:paraId="4FDD943E">
      <w:pPr>
        <w:spacing w:line="360" w:lineRule="auto"/>
        <w:ind w:firstLine="480" w:firstLineChars="200"/>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名    称：</w:t>
      </w:r>
      <w:r>
        <w:rPr>
          <w:rFonts w:hint="eastAsia" w:ascii="宋体" w:hAnsi="宋体" w:eastAsia="宋体" w:cs="宋体"/>
          <w:bCs/>
          <w:color w:val="auto"/>
          <w:kern w:val="0"/>
          <w:sz w:val="24"/>
          <w:lang w:val="zh-CN"/>
        </w:rPr>
        <w:t>长子县残疾人联合会</w:t>
      </w:r>
    </w:p>
    <w:p w14:paraId="4C060C19">
      <w:pPr>
        <w:spacing w:line="360" w:lineRule="auto"/>
        <w:ind w:firstLine="480" w:firstLineChars="200"/>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rPr>
        <w:t>地    址：</w:t>
      </w:r>
      <w:bookmarkStart w:id="15" w:name="OLE_LINK8"/>
      <w:r>
        <w:rPr>
          <w:rFonts w:hint="eastAsia" w:ascii="宋体" w:hAnsi="宋体" w:eastAsia="宋体" w:cs="宋体"/>
          <w:bCs/>
          <w:color w:val="auto"/>
          <w:kern w:val="0"/>
          <w:sz w:val="24"/>
          <w:lang w:val="en-US" w:eastAsia="zh-CN"/>
        </w:rPr>
        <w:t>长子县鹿谷西街长子县自来水公司西300米</w:t>
      </w:r>
    </w:p>
    <w:bookmarkEnd w:id="15"/>
    <w:p w14:paraId="164A331C">
      <w:pPr>
        <w:spacing w:line="360" w:lineRule="auto"/>
        <w:ind w:firstLine="480" w:firstLineChars="200"/>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rPr>
        <w:t>联系方式：</w:t>
      </w:r>
      <w:bookmarkStart w:id="16" w:name="OLE_LINK7"/>
      <w:r>
        <w:rPr>
          <w:rFonts w:hint="eastAsia" w:ascii="宋体" w:hAnsi="宋体" w:eastAsia="宋体" w:cs="宋体"/>
          <w:bCs/>
          <w:color w:val="auto"/>
          <w:kern w:val="0"/>
          <w:sz w:val="24"/>
          <w:lang w:val="en-US" w:eastAsia="zh-CN"/>
        </w:rPr>
        <w:t>0355-8332590</w:t>
      </w:r>
      <w:bookmarkEnd w:id="16"/>
    </w:p>
    <w:p w14:paraId="53C45797">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2</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采购代理机构信息</w:t>
      </w:r>
    </w:p>
    <w:p w14:paraId="580CA6A6">
      <w:pPr>
        <w:spacing w:line="360" w:lineRule="auto"/>
        <w:ind w:firstLine="480" w:firstLineChars="200"/>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名    称：</w:t>
      </w:r>
      <w:r>
        <w:rPr>
          <w:rFonts w:hint="eastAsia" w:ascii="宋体" w:hAnsi="宋体" w:eastAsia="宋体" w:cs="宋体"/>
          <w:bCs/>
          <w:color w:val="auto"/>
          <w:kern w:val="0"/>
          <w:sz w:val="24"/>
          <w:lang w:eastAsia="zh-CN"/>
        </w:rPr>
        <w:t>山西亿通工程项目管理有限公司</w:t>
      </w:r>
    </w:p>
    <w:p w14:paraId="15193BF4">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地    址：</w:t>
      </w:r>
      <w:r>
        <w:rPr>
          <w:rFonts w:hint="eastAsia" w:ascii="宋体" w:hAnsi="宋体" w:eastAsia="宋体" w:cs="宋体"/>
          <w:bCs/>
          <w:color w:val="auto"/>
          <w:kern w:val="0"/>
          <w:sz w:val="24"/>
          <w:lang w:eastAsia="zh-CN"/>
        </w:rPr>
        <w:t>长治市潞州区太行北路168号钜星创业大厦</w:t>
      </w:r>
      <w:r>
        <w:rPr>
          <w:rFonts w:hint="eastAsia" w:ascii="宋体" w:hAnsi="宋体" w:eastAsia="宋体" w:cs="宋体"/>
          <w:bCs/>
          <w:color w:val="auto"/>
          <w:kern w:val="0"/>
          <w:sz w:val="24"/>
          <w:lang w:val="en-US" w:eastAsia="zh-CN"/>
        </w:rPr>
        <w:t>北</w:t>
      </w:r>
      <w:r>
        <w:rPr>
          <w:rFonts w:hint="eastAsia" w:ascii="宋体" w:hAnsi="宋体" w:eastAsia="宋体" w:cs="宋体"/>
          <w:bCs/>
          <w:color w:val="auto"/>
          <w:kern w:val="0"/>
          <w:sz w:val="24"/>
          <w:lang w:eastAsia="zh-CN"/>
        </w:rPr>
        <w:t>7楼</w:t>
      </w:r>
    </w:p>
    <w:p w14:paraId="68AAE6A6">
      <w:pPr>
        <w:spacing w:line="360" w:lineRule="auto"/>
        <w:ind w:firstLine="480" w:firstLineChars="200"/>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联系方式：</w:t>
      </w:r>
      <w:r>
        <w:rPr>
          <w:rFonts w:hint="eastAsia" w:ascii="宋体" w:hAnsi="宋体" w:eastAsia="宋体" w:cs="宋体"/>
          <w:bCs/>
          <w:color w:val="auto"/>
          <w:kern w:val="0"/>
          <w:sz w:val="24"/>
          <w:lang w:eastAsia="zh-CN"/>
        </w:rPr>
        <w:t>13223650567</w:t>
      </w:r>
    </w:p>
    <w:p w14:paraId="584943D1">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3</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项目联系方式</w:t>
      </w:r>
    </w:p>
    <w:p w14:paraId="3485B619">
      <w:pPr>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项目联系人：</w:t>
      </w:r>
      <w:r>
        <w:rPr>
          <w:rFonts w:hint="eastAsia" w:ascii="宋体" w:hAnsi="宋体" w:eastAsia="宋体" w:cs="宋体"/>
          <w:bCs/>
          <w:color w:val="auto"/>
          <w:kern w:val="0"/>
          <w:sz w:val="24"/>
          <w:lang w:val="en-US" w:eastAsia="zh-CN"/>
        </w:rPr>
        <w:t>吕</w:t>
      </w:r>
      <w:r>
        <w:rPr>
          <w:rFonts w:hint="eastAsia" w:ascii="宋体" w:hAnsi="宋体" w:eastAsia="宋体" w:cs="宋体"/>
          <w:bCs/>
          <w:color w:val="auto"/>
          <w:kern w:val="0"/>
          <w:sz w:val="24"/>
        </w:rPr>
        <w:t>女士</w:t>
      </w:r>
    </w:p>
    <w:p w14:paraId="49EB81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color w:val="auto"/>
          <w:kern w:val="0"/>
          <w:sz w:val="24"/>
        </w:rPr>
        <w:t>电    话：</w:t>
      </w:r>
      <w:r>
        <w:rPr>
          <w:rFonts w:hint="eastAsia" w:ascii="宋体" w:hAnsi="宋体" w:eastAsia="宋体" w:cs="宋体"/>
          <w:bCs/>
          <w:color w:val="auto"/>
          <w:kern w:val="0"/>
          <w:sz w:val="24"/>
          <w:lang w:eastAsia="zh-CN"/>
        </w:rPr>
        <w:t>13223650567</w:t>
      </w:r>
    </w:p>
    <w:p w14:paraId="7E4CFD3B">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z w:val="32"/>
          <w:szCs w:val="32"/>
          <w:highlight w:val="none"/>
        </w:rPr>
      </w:pPr>
      <w:bookmarkStart w:id="17" w:name="_Toc7534"/>
      <w:bookmarkStart w:id="18" w:name="_Toc5955"/>
      <w:bookmarkStart w:id="19" w:name="_Toc6480"/>
      <w:r>
        <w:rPr>
          <w:rFonts w:hint="eastAsia" w:ascii="宋体" w:hAnsi="宋体" w:eastAsia="宋体" w:cs="宋体"/>
          <w:b/>
          <w:sz w:val="32"/>
          <w:szCs w:val="32"/>
          <w:highlight w:val="none"/>
        </w:rPr>
        <w:br w:type="page"/>
      </w:r>
      <w:bookmarkStart w:id="20" w:name="_Toc5474"/>
      <w:r>
        <w:rPr>
          <w:rFonts w:hint="eastAsia" w:ascii="宋体" w:hAnsi="宋体" w:eastAsia="宋体" w:cs="宋体"/>
          <w:b/>
          <w:snapToGrid w:val="0"/>
          <w:kern w:val="0"/>
          <w:sz w:val="32"/>
          <w:szCs w:val="32"/>
          <w:highlight w:val="none"/>
        </w:rPr>
        <w:t>第二部分  供应商须知前附表</w:t>
      </w:r>
      <w:bookmarkEnd w:id="17"/>
      <w:bookmarkEnd w:id="18"/>
      <w:bookmarkEnd w:id="19"/>
      <w:bookmarkEnd w:id="20"/>
    </w:p>
    <w:tbl>
      <w:tblPr>
        <w:tblStyle w:val="36"/>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02"/>
        <w:gridCol w:w="7400"/>
      </w:tblGrid>
      <w:tr w14:paraId="7E98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3" w:type="dxa"/>
            <w:noWrap w:val="0"/>
            <w:vAlign w:val="center"/>
          </w:tcPr>
          <w:p w14:paraId="061BE96A">
            <w:pPr>
              <w:spacing w:line="360" w:lineRule="auto"/>
              <w:ind w:left="-105" w:leftChars="-50" w:right="-105" w:rightChars="-50"/>
              <w:jc w:val="center"/>
              <w:rPr>
                <w:rFonts w:hint="eastAsia" w:ascii="宋体" w:hAnsi="宋体" w:eastAsia="宋体" w:cs="宋体"/>
                <w:b/>
                <w:bCs/>
                <w:sz w:val="24"/>
                <w:highlight w:val="none"/>
              </w:rPr>
            </w:pPr>
            <w:r>
              <w:rPr>
                <w:rFonts w:hint="eastAsia" w:ascii="宋体" w:hAnsi="宋体" w:eastAsia="宋体" w:cs="宋体"/>
                <w:sz w:val="24"/>
                <w:highlight w:val="none"/>
              </w:rPr>
              <w:t>序号</w:t>
            </w:r>
          </w:p>
        </w:tc>
        <w:tc>
          <w:tcPr>
            <w:tcW w:w="1502" w:type="dxa"/>
            <w:noWrap w:val="0"/>
            <w:vAlign w:val="center"/>
          </w:tcPr>
          <w:p w14:paraId="4A2138E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内容</w:t>
            </w:r>
          </w:p>
        </w:tc>
        <w:tc>
          <w:tcPr>
            <w:tcW w:w="7400" w:type="dxa"/>
            <w:noWrap w:val="0"/>
            <w:vAlign w:val="center"/>
          </w:tcPr>
          <w:p w14:paraId="4738497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说明与要求</w:t>
            </w:r>
          </w:p>
        </w:tc>
      </w:tr>
      <w:tr w14:paraId="6E5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3" w:type="dxa"/>
            <w:noWrap w:val="0"/>
            <w:vAlign w:val="center"/>
          </w:tcPr>
          <w:p w14:paraId="6C40FF8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502" w:type="dxa"/>
            <w:noWrap w:val="0"/>
            <w:vAlign w:val="center"/>
          </w:tcPr>
          <w:p w14:paraId="75BF4FEC">
            <w:pPr>
              <w:pStyle w:val="142"/>
              <w:keepNext w:val="0"/>
              <w:keepLines w:val="0"/>
              <w:spacing w:before="0" w:after="0"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预算金额</w:t>
            </w:r>
          </w:p>
          <w:p w14:paraId="56FF783C">
            <w:pPr>
              <w:pStyle w:val="142"/>
              <w:keepNext w:val="0"/>
              <w:keepLines w:val="0"/>
              <w:spacing w:before="0" w:after="0"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及最高限价</w:t>
            </w:r>
          </w:p>
        </w:tc>
        <w:tc>
          <w:tcPr>
            <w:tcW w:w="7400" w:type="dxa"/>
            <w:noWrap w:val="0"/>
            <w:vAlign w:val="center"/>
          </w:tcPr>
          <w:p w14:paraId="4B1CA567">
            <w:pPr>
              <w:topLinePunct/>
              <w:autoSpaceDE w:val="0"/>
              <w:autoSpaceDN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预算金额：</w:t>
            </w:r>
            <w:r>
              <w:rPr>
                <w:rFonts w:hint="eastAsia" w:ascii="宋体" w:hAnsi="宋体" w:eastAsia="宋体" w:cs="宋体"/>
                <w:sz w:val="24"/>
                <w:highlight w:val="none"/>
                <w:lang w:val="en-US" w:eastAsia="zh-CN"/>
              </w:rPr>
              <w:t>360000</w:t>
            </w:r>
            <w:r>
              <w:rPr>
                <w:rFonts w:hint="eastAsia" w:ascii="宋体" w:hAnsi="宋体" w:eastAsia="宋体" w:cs="宋体"/>
                <w:bCs/>
                <w:color w:val="auto"/>
                <w:sz w:val="24"/>
                <w:szCs w:val="24"/>
                <w:highlight w:val="none"/>
              </w:rPr>
              <w:t>.00</w:t>
            </w:r>
            <w:r>
              <w:rPr>
                <w:rFonts w:hint="eastAsia" w:ascii="宋体" w:hAnsi="宋体" w:eastAsia="宋体" w:cs="宋体"/>
                <w:bCs/>
                <w:color w:val="auto"/>
                <w:sz w:val="24"/>
                <w:szCs w:val="24"/>
                <w:highlight w:val="none"/>
                <w:lang w:val="en-US" w:eastAsia="zh-CN"/>
              </w:rPr>
              <w:t>元</w:t>
            </w:r>
          </w:p>
          <w:p w14:paraId="3317FBC5">
            <w:pPr>
              <w:topLinePunct/>
              <w:autoSpaceDE w:val="0"/>
              <w:autoSpaceDN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叁拾陆万元整</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小写）</w:t>
            </w:r>
            <w:r>
              <w:rPr>
                <w:rFonts w:hint="eastAsia" w:ascii="宋体" w:hAnsi="宋体" w:eastAsia="宋体" w:cs="宋体"/>
                <w:sz w:val="24"/>
                <w:highlight w:val="none"/>
                <w:lang w:val="en-US" w:eastAsia="zh-CN"/>
              </w:rPr>
              <w:t>360000</w:t>
            </w:r>
            <w:r>
              <w:rPr>
                <w:rFonts w:hint="eastAsia" w:ascii="宋体" w:hAnsi="宋体" w:eastAsia="宋体" w:cs="宋体"/>
                <w:bCs/>
                <w:color w:val="auto"/>
                <w:sz w:val="24"/>
                <w:szCs w:val="24"/>
                <w:highlight w:val="none"/>
              </w:rPr>
              <w:t>.00</w:t>
            </w:r>
            <w:r>
              <w:rPr>
                <w:rFonts w:hint="eastAsia" w:ascii="宋体" w:hAnsi="宋体" w:eastAsia="宋体" w:cs="宋体"/>
                <w:color w:val="auto"/>
                <w:sz w:val="24"/>
                <w:szCs w:val="24"/>
                <w:highlight w:val="none"/>
              </w:rPr>
              <w:t>元</w:t>
            </w:r>
          </w:p>
          <w:p w14:paraId="56FAF116">
            <w:pPr>
              <w:topLinePunct/>
              <w:autoSpaceDE w:val="0"/>
              <w:autoSpaceDN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最高限价：</w:t>
            </w:r>
            <w:r>
              <w:rPr>
                <w:rFonts w:hint="eastAsia" w:ascii="宋体" w:hAnsi="宋体" w:eastAsia="宋体" w:cs="宋体"/>
                <w:sz w:val="24"/>
                <w:highlight w:val="none"/>
                <w:lang w:val="en-US" w:eastAsia="zh-CN"/>
              </w:rPr>
              <w:t>360000</w:t>
            </w:r>
            <w:r>
              <w:rPr>
                <w:rFonts w:hint="eastAsia" w:ascii="宋体" w:hAnsi="宋体" w:eastAsia="宋体" w:cs="宋体"/>
                <w:bCs/>
                <w:color w:val="auto"/>
                <w:sz w:val="24"/>
                <w:szCs w:val="24"/>
                <w:highlight w:val="none"/>
              </w:rPr>
              <w:t>.00</w:t>
            </w:r>
            <w:r>
              <w:rPr>
                <w:rFonts w:hint="eastAsia" w:ascii="宋体" w:hAnsi="宋体" w:eastAsia="宋体" w:cs="宋体"/>
                <w:bCs/>
                <w:color w:val="auto"/>
                <w:sz w:val="24"/>
                <w:szCs w:val="24"/>
                <w:highlight w:val="none"/>
                <w:lang w:val="en-US" w:eastAsia="zh-CN"/>
              </w:rPr>
              <w:t>元</w:t>
            </w:r>
          </w:p>
          <w:p w14:paraId="10D0BA14">
            <w:pPr>
              <w:topLinePunct/>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叁拾陆万元整</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小写）</w:t>
            </w:r>
            <w:r>
              <w:rPr>
                <w:rFonts w:hint="eastAsia" w:ascii="宋体" w:hAnsi="宋体" w:eastAsia="宋体" w:cs="宋体"/>
                <w:sz w:val="24"/>
                <w:highlight w:val="none"/>
                <w:lang w:val="en-US" w:eastAsia="zh-CN"/>
              </w:rPr>
              <w:t>360000</w:t>
            </w:r>
            <w:r>
              <w:rPr>
                <w:rFonts w:hint="eastAsia" w:ascii="宋体" w:hAnsi="宋体" w:eastAsia="宋体" w:cs="宋体"/>
                <w:bCs/>
                <w:color w:val="auto"/>
                <w:sz w:val="24"/>
                <w:szCs w:val="24"/>
                <w:highlight w:val="none"/>
              </w:rPr>
              <w:t>.00</w:t>
            </w:r>
            <w:r>
              <w:rPr>
                <w:rFonts w:hint="eastAsia" w:ascii="宋体" w:hAnsi="宋体" w:eastAsia="宋体" w:cs="宋体"/>
                <w:bCs/>
                <w:color w:val="auto"/>
                <w:sz w:val="24"/>
                <w:szCs w:val="24"/>
                <w:highlight w:val="none"/>
                <w:lang w:val="en-US" w:eastAsia="zh-CN"/>
              </w:rPr>
              <w:t>元</w:t>
            </w:r>
          </w:p>
          <w:p w14:paraId="6C285DD4">
            <w:pPr>
              <w:bidi w:val="0"/>
              <w:spacing w:line="360" w:lineRule="auto"/>
              <w:rPr>
                <w:rFonts w:hint="eastAsia" w:ascii="宋体" w:hAnsi="宋体" w:eastAsia="宋体" w:cs="宋体"/>
              </w:rPr>
            </w:pPr>
            <w:r>
              <w:rPr>
                <w:rFonts w:hint="eastAsia" w:ascii="宋体" w:hAnsi="宋体" w:eastAsia="宋体" w:cs="宋体"/>
                <w:b/>
                <w:bCs/>
                <w:color w:val="auto"/>
                <w:sz w:val="24"/>
                <w:szCs w:val="24"/>
              </w:rPr>
              <w:t>注：供应商的首轮报价及最终报价不得超过其参与报价</w:t>
            </w:r>
            <w:r>
              <w:rPr>
                <w:rFonts w:hint="eastAsia" w:ascii="宋体" w:hAnsi="宋体" w:eastAsia="宋体" w:cs="宋体"/>
                <w:b/>
                <w:bCs/>
                <w:color w:val="auto"/>
                <w:sz w:val="24"/>
                <w:szCs w:val="24"/>
                <w:lang w:val="en-US" w:eastAsia="zh-CN"/>
              </w:rPr>
              <w:t>项目</w:t>
            </w:r>
            <w:r>
              <w:rPr>
                <w:rFonts w:hint="eastAsia" w:ascii="宋体" w:hAnsi="宋体" w:eastAsia="宋体" w:cs="宋体"/>
                <w:b/>
                <w:bCs/>
                <w:color w:val="auto"/>
                <w:sz w:val="24"/>
                <w:szCs w:val="24"/>
              </w:rPr>
              <w:t>的最高限价，否则响应无效。</w:t>
            </w:r>
          </w:p>
        </w:tc>
      </w:tr>
      <w:tr w14:paraId="1C89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83" w:type="dxa"/>
            <w:noWrap w:val="0"/>
            <w:vAlign w:val="center"/>
          </w:tcPr>
          <w:p w14:paraId="66029F91">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2</w:t>
            </w:r>
          </w:p>
        </w:tc>
        <w:tc>
          <w:tcPr>
            <w:tcW w:w="1502" w:type="dxa"/>
            <w:noWrap w:val="0"/>
            <w:vAlign w:val="center"/>
          </w:tcPr>
          <w:p w14:paraId="123157B5">
            <w:pPr>
              <w:jc w:val="center"/>
              <w:rPr>
                <w:rFonts w:hint="eastAsia" w:ascii="宋体" w:hAnsi="宋体" w:eastAsia="宋体" w:cs="宋体"/>
                <w:sz w:val="24"/>
                <w:highlight w:val="none"/>
              </w:rPr>
            </w:pPr>
            <w:r>
              <w:rPr>
                <w:rFonts w:hint="eastAsia" w:ascii="宋体" w:hAnsi="宋体" w:eastAsia="宋体" w:cs="宋体"/>
                <w:sz w:val="24"/>
                <w:highlight w:val="none"/>
              </w:rPr>
              <w:t>是否允许</w:t>
            </w:r>
          </w:p>
          <w:p w14:paraId="2A915FCB">
            <w:pPr>
              <w:jc w:val="center"/>
              <w:rPr>
                <w:rFonts w:hint="eastAsia" w:ascii="宋体" w:hAnsi="宋体" w:eastAsia="宋体" w:cs="宋体"/>
                <w:sz w:val="24"/>
                <w:highlight w:val="none"/>
              </w:rPr>
            </w:pPr>
            <w:r>
              <w:rPr>
                <w:rFonts w:hint="eastAsia" w:ascii="宋体" w:hAnsi="宋体" w:eastAsia="宋体" w:cs="宋体"/>
                <w:sz w:val="24"/>
                <w:highlight w:val="none"/>
              </w:rPr>
              <w:t>代理商参加</w:t>
            </w:r>
          </w:p>
        </w:tc>
        <w:tc>
          <w:tcPr>
            <w:tcW w:w="7400" w:type="dxa"/>
            <w:noWrap w:val="0"/>
            <w:vAlign w:val="center"/>
          </w:tcPr>
          <w:p w14:paraId="03593EAB">
            <w:pPr>
              <w:keepNext/>
              <w:topLinePunct/>
              <w:autoSpaceDE w:val="0"/>
              <w:autoSpaceDN w:val="0"/>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lang w:val="en-US" w:eastAsia="zh-CN"/>
              </w:rPr>
              <w:t>否</w:t>
            </w:r>
          </w:p>
        </w:tc>
      </w:tr>
      <w:tr w14:paraId="1131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83" w:type="dxa"/>
            <w:noWrap w:val="0"/>
            <w:vAlign w:val="center"/>
          </w:tcPr>
          <w:p w14:paraId="2DD7239E">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1502" w:type="dxa"/>
            <w:noWrap w:val="0"/>
            <w:vAlign w:val="center"/>
          </w:tcPr>
          <w:p w14:paraId="178044A6">
            <w:pPr>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是否允许</w:t>
            </w:r>
          </w:p>
          <w:p w14:paraId="4857C1DE">
            <w:pPr>
              <w:snapToGrid w:val="0"/>
              <w:jc w:val="center"/>
              <w:rPr>
                <w:rFonts w:hint="eastAsia" w:ascii="宋体" w:hAnsi="宋体" w:eastAsia="宋体" w:cs="宋体"/>
                <w:sz w:val="24"/>
                <w:highlight w:val="none"/>
              </w:rPr>
            </w:pPr>
            <w:r>
              <w:rPr>
                <w:rFonts w:hint="eastAsia" w:ascii="宋体" w:hAnsi="宋体" w:eastAsia="宋体" w:cs="宋体"/>
                <w:bCs/>
                <w:sz w:val="24"/>
                <w:highlight w:val="none"/>
              </w:rPr>
              <w:t>联合体参加</w:t>
            </w:r>
          </w:p>
        </w:tc>
        <w:tc>
          <w:tcPr>
            <w:tcW w:w="7400" w:type="dxa"/>
            <w:noWrap w:val="0"/>
            <w:vAlign w:val="center"/>
          </w:tcPr>
          <w:p w14:paraId="78AF5D10">
            <w:pPr>
              <w:keepNext/>
              <w:topLinePunct/>
              <w:autoSpaceDE w:val="0"/>
              <w:autoSpaceDN w:val="0"/>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lang w:val="en-US" w:eastAsia="zh-CN"/>
              </w:rPr>
              <w:t>否</w:t>
            </w:r>
          </w:p>
        </w:tc>
      </w:tr>
      <w:tr w14:paraId="1C8A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83" w:type="dxa"/>
            <w:noWrap w:val="0"/>
            <w:vAlign w:val="center"/>
          </w:tcPr>
          <w:p w14:paraId="1ED7DC07">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4</w:t>
            </w:r>
          </w:p>
        </w:tc>
        <w:tc>
          <w:tcPr>
            <w:tcW w:w="1502" w:type="dxa"/>
            <w:noWrap w:val="0"/>
            <w:vAlign w:val="center"/>
          </w:tcPr>
          <w:p w14:paraId="17D1E753">
            <w:pPr>
              <w:jc w:val="center"/>
              <w:rPr>
                <w:rFonts w:hint="eastAsia" w:ascii="宋体" w:hAnsi="宋体" w:eastAsia="宋体" w:cs="宋体"/>
                <w:bCs/>
                <w:sz w:val="24"/>
                <w:highlight w:val="none"/>
              </w:rPr>
            </w:pPr>
            <w:r>
              <w:rPr>
                <w:rFonts w:hint="eastAsia" w:ascii="宋体" w:hAnsi="宋体" w:eastAsia="宋体" w:cs="宋体"/>
                <w:bCs/>
                <w:sz w:val="24"/>
                <w:highlight w:val="none"/>
              </w:rPr>
              <w:t>响应文件</w:t>
            </w:r>
          </w:p>
          <w:p w14:paraId="5C9EC523">
            <w:pPr>
              <w:jc w:val="center"/>
              <w:rPr>
                <w:rFonts w:hint="eastAsia" w:ascii="宋体" w:hAnsi="宋体" w:eastAsia="宋体" w:cs="宋体"/>
                <w:sz w:val="24"/>
                <w:highlight w:val="none"/>
              </w:rPr>
            </w:pPr>
            <w:r>
              <w:rPr>
                <w:rFonts w:hint="eastAsia" w:ascii="宋体" w:hAnsi="宋体" w:eastAsia="宋体" w:cs="宋体"/>
                <w:bCs/>
                <w:sz w:val="24"/>
                <w:highlight w:val="none"/>
              </w:rPr>
              <w:t>份数、提交截止时间、解密时间</w:t>
            </w:r>
          </w:p>
        </w:tc>
        <w:tc>
          <w:tcPr>
            <w:tcW w:w="7400" w:type="dxa"/>
            <w:noWrap w:val="0"/>
            <w:vAlign w:val="center"/>
          </w:tcPr>
          <w:p w14:paraId="498E8227">
            <w:pPr>
              <w:topLinePunct/>
              <w:autoSpaceDE w:val="0"/>
              <w:autoSpaceDN w:val="0"/>
              <w:spacing w:line="460" w:lineRule="exact"/>
              <w:rPr>
                <w:rFonts w:hint="eastAsia" w:ascii="宋体" w:hAnsi="宋体" w:eastAsia="宋体" w:cs="宋体"/>
                <w:sz w:val="24"/>
                <w:highlight w:val="none"/>
              </w:rPr>
            </w:pPr>
            <w:r>
              <w:rPr>
                <w:rFonts w:hint="eastAsia" w:ascii="宋体" w:hAnsi="宋体" w:eastAsia="宋体" w:cs="宋体"/>
                <w:sz w:val="24"/>
                <w:highlight w:val="none"/>
              </w:rPr>
              <w:t>1.响应文件份数：</w:t>
            </w:r>
          </w:p>
          <w:p w14:paraId="1C3EB9C5">
            <w:pPr>
              <w:topLinePunct/>
              <w:autoSpaceDE w:val="0"/>
              <w:autoSpaceDN w:val="0"/>
              <w:spacing w:line="460" w:lineRule="exact"/>
              <w:rPr>
                <w:rFonts w:hint="eastAsia" w:ascii="宋体" w:hAnsi="宋体" w:eastAsia="宋体" w:cs="宋体"/>
                <w:sz w:val="24"/>
                <w:highlight w:val="none"/>
              </w:rPr>
            </w:pPr>
            <w:r>
              <w:rPr>
                <w:rFonts w:hint="eastAsia" w:ascii="宋体" w:hAnsi="宋体" w:eastAsia="宋体" w:cs="宋体"/>
                <w:sz w:val="24"/>
                <w:highlight w:val="none"/>
              </w:rPr>
              <w:t>供应商需在山西政府采购平台提交加密电子响应文件壹份；</w:t>
            </w:r>
          </w:p>
          <w:p w14:paraId="07AA2931">
            <w:pPr>
              <w:topLinePunct/>
              <w:autoSpaceDE w:val="0"/>
              <w:autoSpaceDN w:val="0"/>
              <w:spacing w:line="460" w:lineRule="exact"/>
              <w:rPr>
                <w:rFonts w:hint="eastAsia" w:ascii="宋体" w:hAnsi="宋体" w:eastAsia="宋体" w:cs="宋体"/>
                <w:sz w:val="24"/>
                <w:highlight w:val="none"/>
              </w:rPr>
            </w:pPr>
            <w:r>
              <w:rPr>
                <w:rFonts w:hint="eastAsia" w:ascii="宋体" w:hAnsi="宋体" w:eastAsia="宋体" w:cs="宋体"/>
                <w:sz w:val="24"/>
                <w:highlight w:val="none"/>
              </w:rPr>
              <w:t>2.提交截止时间：</w:t>
            </w:r>
          </w:p>
          <w:p w14:paraId="0CF436E7">
            <w:pPr>
              <w:topLinePunct/>
              <w:autoSpaceDE w:val="0"/>
              <w:autoSpaceDN w:val="0"/>
              <w:spacing w:line="460" w:lineRule="exact"/>
              <w:rPr>
                <w:rFonts w:hint="eastAsia" w:ascii="宋体" w:hAnsi="宋体" w:eastAsia="宋体" w:cs="宋体"/>
                <w:color w:val="auto"/>
                <w:sz w:val="24"/>
                <w:highlight w:val="none"/>
              </w:rPr>
            </w:pPr>
            <w:r>
              <w:rPr>
                <w:rFonts w:hint="eastAsia" w:ascii="宋体" w:hAnsi="宋体" w:eastAsia="宋体" w:cs="宋体"/>
                <w:sz w:val="24"/>
                <w:highlight w:val="none"/>
              </w:rPr>
              <w:t>截止时间：</w:t>
            </w:r>
            <w:r>
              <w:rPr>
                <w:rFonts w:hint="eastAsia" w:ascii="宋体" w:hAnsi="宋体" w:eastAsia="宋体" w:cs="宋体"/>
                <w:color w:val="auto"/>
                <w:sz w:val="24"/>
                <w:highlight w:val="none"/>
              </w:rPr>
              <w:t>2026年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:00（北京时间）</w:t>
            </w:r>
          </w:p>
          <w:p w14:paraId="540C978A">
            <w:pPr>
              <w:topLinePunct/>
              <w:autoSpaceDE w:val="0"/>
              <w:autoSpaceDN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3.解密时间：</w:t>
            </w:r>
          </w:p>
          <w:p w14:paraId="770B5B84">
            <w:pPr>
              <w:topLinePunct/>
              <w:autoSpaceDE w:val="0"/>
              <w:autoSpaceDN w:val="0"/>
              <w:spacing w:line="460" w:lineRule="exact"/>
              <w:rPr>
                <w:rFonts w:hint="eastAsia" w:ascii="宋体" w:hAnsi="宋体" w:eastAsia="宋体" w:cs="宋体"/>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bCs/>
                <w:color w:val="auto"/>
                <w:sz w:val="24"/>
                <w:highlight w:val="none"/>
                <w:lang w:val="en-US" w:eastAsia="zh-CN"/>
              </w:rPr>
              <w:t>15</w:t>
            </w:r>
            <w:r>
              <w:rPr>
                <w:rFonts w:hint="eastAsia" w:ascii="宋体" w:hAnsi="宋体" w:eastAsia="宋体" w:cs="宋体"/>
                <w:bCs/>
                <w:color w:val="auto"/>
                <w:sz w:val="24"/>
                <w:highlight w:val="none"/>
              </w:rPr>
              <w:t>点</w:t>
            </w:r>
            <w:r>
              <w:rPr>
                <w:rFonts w:hint="eastAsia" w:ascii="宋体" w:hAnsi="宋体" w:eastAsia="宋体" w:cs="宋体"/>
                <w:bCs/>
                <w:color w:val="auto"/>
                <w:sz w:val="24"/>
                <w:highlight w:val="none"/>
                <w:lang w:val="en-US" w:eastAsia="zh-CN"/>
              </w:rPr>
              <w:t>00</w:t>
            </w:r>
            <w:r>
              <w:rPr>
                <w:rFonts w:hint="eastAsia" w:ascii="宋体" w:hAnsi="宋体" w:eastAsia="宋体" w:cs="宋体"/>
                <w:bCs/>
                <w:color w:val="auto"/>
                <w:sz w:val="24"/>
                <w:highlight w:val="none"/>
              </w:rPr>
              <w:t>分</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bCs/>
                <w:color w:val="auto"/>
                <w:sz w:val="24"/>
                <w:highlight w:val="none"/>
                <w:lang w:val="en-US" w:eastAsia="zh-CN"/>
              </w:rPr>
              <w:t>15</w:t>
            </w:r>
            <w:r>
              <w:rPr>
                <w:rFonts w:hint="eastAsia" w:ascii="宋体" w:hAnsi="宋体" w:eastAsia="宋体" w:cs="宋体"/>
                <w:bCs/>
                <w:color w:val="auto"/>
                <w:sz w:val="24"/>
                <w:highlight w:val="none"/>
              </w:rPr>
              <w:t>点</w:t>
            </w:r>
            <w:r>
              <w:rPr>
                <w:rFonts w:hint="eastAsia" w:ascii="宋体" w:hAnsi="宋体" w:eastAsia="宋体" w:cs="宋体"/>
                <w:bCs/>
                <w:color w:val="auto"/>
                <w:sz w:val="24"/>
                <w:highlight w:val="none"/>
                <w:lang w:val="en-US" w:eastAsia="zh-CN"/>
              </w:rPr>
              <w:t>30</w:t>
            </w:r>
            <w:r>
              <w:rPr>
                <w:rFonts w:hint="eastAsia" w:ascii="宋体" w:hAnsi="宋体" w:eastAsia="宋体" w:cs="宋体"/>
                <w:bCs/>
                <w:color w:val="auto"/>
                <w:sz w:val="24"/>
                <w:highlight w:val="none"/>
              </w:rPr>
              <w:t>分</w:t>
            </w:r>
            <w:r>
              <w:rPr>
                <w:rFonts w:hint="eastAsia" w:ascii="宋体" w:hAnsi="宋体" w:eastAsia="宋体" w:cs="宋体"/>
                <w:sz w:val="24"/>
                <w:highlight w:val="none"/>
              </w:rPr>
              <w:t>（北京时间）。</w:t>
            </w:r>
          </w:p>
          <w:p w14:paraId="217C894D">
            <w:pPr>
              <w:topLinePunct/>
              <w:autoSpaceDE w:val="0"/>
              <w:autoSpaceDN w:val="0"/>
              <w:spacing w:line="460" w:lineRule="exact"/>
              <w:rPr>
                <w:rFonts w:hint="eastAsia" w:ascii="宋体" w:hAnsi="宋体" w:eastAsia="宋体" w:cs="宋体"/>
                <w:sz w:val="24"/>
                <w:highlight w:val="none"/>
              </w:rPr>
            </w:pPr>
            <w:r>
              <w:rPr>
                <w:rFonts w:hint="eastAsia" w:ascii="宋体" w:hAnsi="宋体" w:eastAsia="宋体" w:cs="宋体"/>
                <w:b/>
                <w:bCs/>
                <w:sz w:val="24"/>
                <w:highlight w:val="none"/>
                <w:lang w:val="en-US" w:eastAsia="zh-CN"/>
              </w:rPr>
              <w:t>注：</w:t>
            </w:r>
            <w:r>
              <w:rPr>
                <w:rFonts w:hint="eastAsia" w:ascii="宋体" w:hAnsi="宋体" w:eastAsia="宋体" w:cs="宋体"/>
                <w:b/>
                <w:bCs/>
                <w:sz w:val="24"/>
                <w:highlight w:val="none"/>
              </w:rPr>
              <w:t>未在规定时间内提交或解密响应文件的，视为未递交响应文件，由供应商自行承担责任。</w:t>
            </w:r>
          </w:p>
        </w:tc>
      </w:tr>
      <w:tr w14:paraId="5CFB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3" w:type="dxa"/>
            <w:noWrap w:val="0"/>
            <w:vAlign w:val="center"/>
          </w:tcPr>
          <w:p w14:paraId="7E2A5DE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502" w:type="dxa"/>
            <w:noWrap w:val="0"/>
            <w:vAlign w:val="center"/>
          </w:tcPr>
          <w:p w14:paraId="3DC003E2">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供应商</w:t>
            </w:r>
          </w:p>
          <w:p w14:paraId="7F4B0221">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应提交的资格证明文件</w:t>
            </w:r>
          </w:p>
        </w:tc>
        <w:tc>
          <w:tcPr>
            <w:tcW w:w="7400" w:type="dxa"/>
            <w:noWrap w:val="0"/>
            <w:vAlign w:val="center"/>
          </w:tcPr>
          <w:p w14:paraId="4940C69F">
            <w:pPr>
              <w:pStyle w:val="137"/>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1.长治市政府采购供应商信用承诺函（见‘响应文件格式’）</w:t>
            </w:r>
          </w:p>
          <w:p w14:paraId="5094E26E">
            <w:pPr>
              <w:pStyle w:val="137"/>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.供应商廉洁自律承诺书（见‘响应文件格式’）；</w:t>
            </w:r>
          </w:p>
          <w:p w14:paraId="04315826">
            <w:pPr>
              <w:pStyle w:val="137"/>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.落实政府采购政策资格要求的证明文件（见‘响应文件格式’）；</w:t>
            </w:r>
          </w:p>
          <w:p w14:paraId="2E4FDB0A">
            <w:pPr>
              <w:pStyle w:val="137"/>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.1参加本项目磋商的供应商需出具符合《财政部、工业和信息化部关于印发政府采购促进中小企业发展管理办法的通知》（财库〔2020〕46号）规定的《中小企业声明函》；</w:t>
            </w:r>
          </w:p>
          <w:p w14:paraId="37185194">
            <w:pPr>
              <w:pStyle w:val="137"/>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残疾人福利性单位视同小型、微型企业，残疾人企业参加本项目时，需提供符合《财政部、民政部、中国残疾人联合会关于促进残疾人就业政府采购政策的通知》（财库〔2017〕141号）规定的《残疾人福利性单位声明函》；</w:t>
            </w:r>
          </w:p>
          <w:p w14:paraId="3E30BF8F">
            <w:pPr>
              <w:pStyle w:val="137"/>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519471DD">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.本项目的特定资格要求：</w:t>
            </w:r>
            <w:r>
              <w:rPr>
                <w:rFonts w:hint="eastAsia" w:ascii="宋体" w:hAnsi="宋体" w:eastAsia="宋体" w:cs="宋体"/>
                <w:bCs/>
                <w:color w:val="auto"/>
                <w:sz w:val="24"/>
                <w:lang w:val="en-US" w:eastAsia="zh-CN"/>
              </w:rPr>
              <w:t>无。</w:t>
            </w:r>
          </w:p>
          <w:p w14:paraId="64C237B6">
            <w:pPr>
              <w:pStyle w:val="137"/>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.磋商保证金金额及提交要求：</w:t>
            </w:r>
          </w:p>
          <w:p w14:paraId="621B60B8">
            <w:pPr>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人民币（大写）</w:t>
            </w:r>
            <w:r>
              <w:rPr>
                <w:rFonts w:hint="eastAsia" w:ascii="宋体" w:hAnsi="宋体" w:eastAsia="宋体" w:cs="宋体"/>
                <w:bCs/>
                <w:color w:val="auto"/>
                <w:sz w:val="24"/>
                <w:highlight w:val="none"/>
                <w:lang w:val="en-US" w:eastAsia="zh-CN"/>
              </w:rPr>
              <w:t>叁仟陆佰元整</w:t>
            </w:r>
          </w:p>
          <w:p w14:paraId="332DEA87">
            <w:pPr>
              <w:spacing w:line="360" w:lineRule="auto"/>
              <w:ind w:firstLine="720" w:firstLineChars="300"/>
              <w:rPr>
                <w:rFonts w:hint="eastAsia" w:ascii="宋体" w:hAnsi="宋体" w:eastAsia="宋体" w:cs="宋体"/>
                <w:color w:val="auto"/>
                <w:highlight w:val="none"/>
              </w:rPr>
            </w:pP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lang w:val="en-US" w:eastAsia="zh-CN"/>
              </w:rPr>
              <w:t>3600</w:t>
            </w:r>
            <w:r>
              <w:rPr>
                <w:rFonts w:hint="eastAsia" w:ascii="宋体" w:hAnsi="宋体" w:eastAsia="宋体" w:cs="宋体"/>
                <w:bCs/>
                <w:color w:val="auto"/>
                <w:sz w:val="24"/>
                <w:highlight w:val="none"/>
              </w:rPr>
              <w:t>.00</w:t>
            </w:r>
          </w:p>
          <w:p w14:paraId="524AC51A">
            <w:pPr>
              <w:pStyle w:val="142"/>
              <w:keepNext w:val="0"/>
              <w:keepLines w:val="0"/>
              <w:spacing w:before="0" w:after="0" w:line="360" w:lineRule="auto"/>
              <w:ind w:right="-94" w:rightChars="-45"/>
              <w:jc w:val="left"/>
              <w:rPr>
                <w:rFonts w:hint="eastAsia" w:ascii="宋体" w:hAnsi="宋体" w:eastAsia="宋体" w:cs="宋体"/>
                <w:b w:val="0"/>
                <w:sz w:val="24"/>
                <w:szCs w:val="24"/>
                <w:highlight w:val="none"/>
              </w:rPr>
            </w:pPr>
            <w:r>
              <w:rPr>
                <w:rFonts w:hint="eastAsia" w:ascii="宋体" w:hAnsi="宋体" w:eastAsia="宋体" w:cs="宋体"/>
                <w:b w:val="0"/>
                <w:kern w:val="0"/>
                <w:sz w:val="24"/>
                <w:highlight w:val="none"/>
              </w:rPr>
              <w:t>供应商在响应文件开启前，须将磋商保证金采用支票、汇票、本票、网银转账或者金融机构、担保机构出具的保函等非现金形式提交给采购代理机构。采用支票、汇票、本票、转账方式提交的，付款账户应为供应商对公账户。</w:t>
            </w:r>
          </w:p>
          <w:p w14:paraId="4B657B48">
            <w:pPr>
              <w:pStyle w:val="142"/>
              <w:keepNext w:val="0"/>
              <w:keepLines w:val="0"/>
              <w:spacing w:before="0" w:after="0" w:line="360" w:lineRule="auto"/>
              <w:ind w:right="-94" w:rightChars="-45"/>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采购代理机构收款信息：</w:t>
            </w:r>
          </w:p>
          <w:p w14:paraId="0DB3108A">
            <w:pPr>
              <w:widowControl/>
              <w:shd w:val="clear"/>
              <w:spacing w:line="360" w:lineRule="auto"/>
              <w:jc w:val="left"/>
              <w:rPr>
                <w:rFonts w:hint="eastAsia" w:ascii="宋体" w:hAnsi="宋体" w:eastAsia="宋体" w:cs="Times New Roman"/>
                <w:b/>
                <w:bCs w:val="0"/>
                <w:color w:val="000000" w:themeColor="text1"/>
                <w:sz w:val="24"/>
                <w:highlight w:val="none"/>
                <w:lang w:val="zh-CN" w:eastAsia="zh-CN"/>
                <w14:textFill>
                  <w14:solidFill>
                    <w14:schemeClr w14:val="tx1"/>
                  </w14:solidFill>
                </w14:textFill>
              </w:rPr>
            </w:pPr>
            <w:r>
              <w:rPr>
                <w:rFonts w:hint="eastAsia" w:ascii="宋体" w:hAnsi="宋体" w:eastAsia="宋体" w:cs="Times New Roman"/>
                <w:b/>
                <w:bCs w:val="0"/>
                <w:color w:val="000000" w:themeColor="text1"/>
                <w:sz w:val="24"/>
                <w:highlight w:val="none"/>
                <w:lang w:val="zh-CN" w:eastAsia="zh-CN"/>
                <w14:textFill>
                  <w14:solidFill>
                    <w14:schemeClr w14:val="tx1"/>
                  </w14:solidFill>
                </w14:textFill>
              </w:rPr>
              <w:t>开户名称：</w:t>
            </w:r>
            <w:bookmarkStart w:id="21" w:name="OLE_LINK4"/>
            <w:r>
              <w:rPr>
                <w:rFonts w:hint="eastAsia" w:ascii="宋体" w:hAnsi="宋体" w:eastAsia="宋体" w:cs="Times New Roman"/>
                <w:b/>
                <w:bCs w:val="0"/>
                <w:color w:val="000000" w:themeColor="text1"/>
                <w:sz w:val="24"/>
                <w:highlight w:val="none"/>
                <w:lang w:val="zh-CN" w:eastAsia="zh-CN"/>
                <w14:textFill>
                  <w14:solidFill>
                    <w14:schemeClr w14:val="tx1"/>
                  </w14:solidFill>
                </w14:textFill>
              </w:rPr>
              <w:t>山西亿通工程项目管理有限公司</w:t>
            </w:r>
            <w:bookmarkEnd w:id="21"/>
          </w:p>
          <w:p w14:paraId="1BD1C7C1">
            <w:pPr>
              <w:widowControl/>
              <w:shd w:val="clear"/>
              <w:spacing w:line="360" w:lineRule="auto"/>
              <w:jc w:val="left"/>
              <w:rPr>
                <w:rFonts w:hint="eastAsia" w:ascii="宋体" w:hAnsi="宋体" w:eastAsia="宋体" w:cs="Times New Roman"/>
                <w:b/>
                <w:bCs w:val="0"/>
                <w:color w:val="000000" w:themeColor="text1"/>
                <w:sz w:val="24"/>
                <w:highlight w:val="none"/>
                <w:lang w:val="zh-CN" w:eastAsia="zh-CN"/>
                <w14:textFill>
                  <w14:solidFill>
                    <w14:schemeClr w14:val="tx1"/>
                  </w14:solidFill>
                </w14:textFill>
              </w:rPr>
            </w:pPr>
            <w:r>
              <w:rPr>
                <w:rFonts w:hint="eastAsia" w:ascii="宋体" w:hAnsi="宋体" w:eastAsia="宋体" w:cs="Times New Roman"/>
                <w:b/>
                <w:bCs w:val="0"/>
                <w:color w:val="000000" w:themeColor="text1"/>
                <w:sz w:val="24"/>
                <w:highlight w:val="none"/>
                <w:lang w:val="zh-CN" w:eastAsia="zh-CN"/>
                <w14:textFill>
                  <w14:solidFill>
                    <w14:schemeClr w14:val="tx1"/>
                  </w14:solidFill>
                </w14:textFill>
              </w:rPr>
              <w:t>银行账号：</w:t>
            </w:r>
            <w:bookmarkStart w:id="22" w:name="OLE_LINK5"/>
            <w:r>
              <w:rPr>
                <w:rFonts w:hint="eastAsia" w:ascii="宋体" w:hAnsi="宋体" w:eastAsia="宋体" w:cs="Times New Roman"/>
                <w:b/>
                <w:bCs w:val="0"/>
                <w:color w:val="000000" w:themeColor="text1"/>
                <w:sz w:val="24"/>
                <w:highlight w:val="none"/>
                <w:lang w:val="zh-CN" w:eastAsia="zh-CN"/>
                <w14:textFill>
                  <w14:solidFill>
                    <w14:schemeClr w14:val="tx1"/>
                  </w14:solidFill>
                </w14:textFill>
              </w:rPr>
              <w:t>2007600000005363</w:t>
            </w:r>
            <w:bookmarkEnd w:id="22"/>
          </w:p>
          <w:p w14:paraId="20F6E958">
            <w:pPr>
              <w:widowControl/>
              <w:shd w:val="clear"/>
              <w:spacing w:line="360" w:lineRule="auto"/>
              <w:jc w:val="left"/>
              <w:rPr>
                <w:rFonts w:hint="eastAsia" w:ascii="宋体" w:hAnsi="宋体" w:eastAsia="宋体" w:cs="Times New Roman"/>
                <w:b/>
                <w:bCs w:val="0"/>
                <w:color w:val="000000" w:themeColor="text1"/>
                <w:sz w:val="24"/>
                <w:highlight w:val="none"/>
                <w:lang w:val="zh-CN" w:eastAsia="zh-CN"/>
                <w14:textFill>
                  <w14:solidFill>
                    <w14:schemeClr w14:val="tx1"/>
                  </w14:solidFill>
                </w14:textFill>
              </w:rPr>
            </w:pPr>
            <w:r>
              <w:rPr>
                <w:rFonts w:hint="eastAsia" w:ascii="宋体" w:hAnsi="宋体" w:eastAsia="宋体" w:cs="Times New Roman"/>
                <w:b/>
                <w:bCs w:val="0"/>
                <w:color w:val="000000" w:themeColor="text1"/>
                <w:sz w:val="24"/>
                <w:highlight w:val="none"/>
                <w:lang w:val="zh-CN" w:eastAsia="zh-CN"/>
                <w14:textFill>
                  <w14:solidFill>
                    <w14:schemeClr w14:val="tx1"/>
                  </w14:solidFill>
                </w14:textFill>
              </w:rPr>
              <w:t>开户银行：</w:t>
            </w:r>
            <w:bookmarkStart w:id="23" w:name="OLE_LINK3"/>
            <w:r>
              <w:rPr>
                <w:rFonts w:hint="eastAsia" w:ascii="宋体" w:hAnsi="宋体" w:eastAsia="宋体" w:cs="Times New Roman"/>
                <w:b/>
                <w:bCs w:val="0"/>
                <w:color w:val="000000" w:themeColor="text1"/>
                <w:sz w:val="24"/>
                <w:highlight w:val="none"/>
                <w:lang w:val="zh-CN" w:eastAsia="zh-CN"/>
                <w14:textFill>
                  <w14:solidFill>
                    <w14:schemeClr w14:val="tx1"/>
                  </w14:solidFill>
                </w14:textFill>
              </w:rPr>
              <w:t>山西银行长治君汇华府支行</w:t>
            </w:r>
            <w:bookmarkEnd w:id="23"/>
          </w:p>
          <w:p w14:paraId="669E712F">
            <w:pPr>
              <w:widowControl/>
              <w:shd w:val="clear"/>
              <w:spacing w:line="360" w:lineRule="auto"/>
              <w:jc w:val="left"/>
              <w:rPr>
                <w:rFonts w:hint="eastAsia" w:ascii="宋体" w:hAnsi="宋体" w:eastAsia="宋体" w:cs="Times New Roman"/>
                <w:b/>
                <w:bCs w:val="0"/>
                <w:color w:val="000000" w:themeColor="text1"/>
                <w:sz w:val="24"/>
                <w:highlight w:val="none"/>
                <w14:textFill>
                  <w14:solidFill>
                    <w14:schemeClr w14:val="tx1"/>
                  </w14:solidFill>
                </w14:textFill>
              </w:rPr>
            </w:pPr>
            <w:r>
              <w:rPr>
                <w:rFonts w:hint="eastAsia" w:ascii="宋体" w:hAnsi="宋体" w:eastAsia="宋体" w:cs="Times New Roman"/>
                <w:b/>
                <w:bCs w:val="0"/>
                <w:color w:val="000000" w:themeColor="text1"/>
                <w:sz w:val="24"/>
                <w:highlight w:val="none"/>
                <w:lang w:val="en-US" w:eastAsia="zh-CN"/>
                <w14:textFill>
                  <w14:solidFill>
                    <w14:schemeClr w14:val="tx1"/>
                  </w14:solidFill>
                </w14:textFill>
              </w:rPr>
              <w:t>行    号：313164000014</w:t>
            </w:r>
          </w:p>
          <w:p w14:paraId="4522EE73">
            <w:pPr>
              <w:pStyle w:val="142"/>
              <w:keepNext w:val="0"/>
              <w:keepLines w:val="0"/>
              <w:spacing w:before="0" w:after="0" w:line="360" w:lineRule="auto"/>
              <w:ind w:right="-94" w:rightChars="-4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p>
          <w:p w14:paraId="7FB9ADE1">
            <w:pPr>
              <w:spacing w:line="360" w:lineRule="auto"/>
              <w:ind w:right="-94" w:rightChars="-45"/>
              <w:outlineLvl w:val="2"/>
              <w:rPr>
                <w:rFonts w:hint="eastAsia" w:ascii="宋体" w:hAnsi="宋体" w:eastAsia="宋体" w:cs="宋体"/>
                <w:sz w:val="24"/>
                <w:highlight w:val="none"/>
              </w:rPr>
            </w:pPr>
            <w:r>
              <w:rPr>
                <w:rFonts w:hint="eastAsia" w:ascii="宋体" w:hAnsi="宋体" w:eastAsia="宋体" w:cs="宋体"/>
                <w:sz w:val="24"/>
                <w:highlight w:val="none"/>
              </w:rPr>
              <w:t>（1）以上第1-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条资格证明文件，除中小企业声明函中存在明显笔误、同一内容前后填写不一致、将企业类型填写错误，磋商小组应通过“山西政府采购平台”要求供应商作出必要的澄清外，若有一项未提供或无效，均不允许在响应文件解密后补正，将导致其不具备磋商资格。</w:t>
            </w:r>
          </w:p>
          <w:p w14:paraId="21AA51E7">
            <w:pPr>
              <w:spacing w:line="360" w:lineRule="auto"/>
              <w:ind w:right="-94" w:rightChars="-45"/>
              <w:outlineLvl w:val="2"/>
              <w:rPr>
                <w:rFonts w:hint="eastAsia" w:ascii="宋体" w:hAnsi="宋体" w:eastAsia="宋体" w:cs="宋体"/>
                <w:sz w:val="24"/>
                <w:highlight w:val="none"/>
              </w:rPr>
            </w:pPr>
            <w:r>
              <w:rPr>
                <w:rFonts w:hint="eastAsia" w:ascii="宋体" w:hAnsi="宋体" w:eastAsia="宋体" w:cs="宋体"/>
                <w:sz w:val="24"/>
                <w:highlight w:val="none"/>
              </w:rPr>
              <w:t>（2）未按第</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条要求或未足额提交磋商保证金的，将导致其不具备磋商资格。</w:t>
            </w:r>
          </w:p>
          <w:p w14:paraId="2AE2E35E">
            <w:pPr>
              <w:spacing w:line="360" w:lineRule="auto"/>
              <w:rPr>
                <w:rFonts w:hint="eastAsia" w:ascii="宋体" w:hAnsi="宋体" w:eastAsia="宋体" w:cs="宋体"/>
                <w:sz w:val="24"/>
                <w:highlight w:val="none"/>
              </w:rPr>
            </w:pPr>
            <w:r>
              <w:rPr>
                <w:rFonts w:hint="eastAsia" w:ascii="宋体" w:hAnsi="宋体" w:eastAsia="宋体" w:cs="宋体"/>
                <w:sz w:val="24"/>
                <w:highlight w:val="none"/>
              </w:rPr>
              <w:t>（3）为方便采购代理机构确认，供应商采用支票、汇票、本票、网银转账方式提交磋商保证金的，应在凭单用途栏中注明项目编号及包号（可简写）。</w:t>
            </w:r>
          </w:p>
          <w:p w14:paraId="795BC7E8">
            <w:pPr>
              <w:spacing w:line="360" w:lineRule="auto"/>
              <w:rPr>
                <w:rFonts w:hint="eastAsia" w:ascii="宋体" w:hAnsi="宋体" w:eastAsia="宋体" w:cs="宋体"/>
                <w:sz w:val="24"/>
                <w:highlight w:val="none"/>
              </w:rPr>
            </w:pPr>
            <w:r>
              <w:rPr>
                <w:rFonts w:hint="eastAsia" w:ascii="宋体" w:hAnsi="宋体" w:eastAsia="宋体" w:cs="宋体"/>
                <w:sz w:val="24"/>
                <w:highlight w:val="none"/>
              </w:rPr>
              <w:t>（4）以保函形式提交的，需提交见索即付保函。</w:t>
            </w:r>
            <w:r>
              <w:rPr>
                <w:rFonts w:hint="eastAsia" w:ascii="宋体" w:hAnsi="宋体" w:eastAsia="宋体" w:cs="宋体"/>
                <w:bCs/>
                <w:color w:val="auto"/>
                <w:sz w:val="24"/>
                <w:highlight w:val="none"/>
              </w:rPr>
              <w:t>（可以通过电子保函的形式替代投标保证金等相关内容）</w:t>
            </w:r>
          </w:p>
          <w:p w14:paraId="148E4442">
            <w:pPr>
              <w:spacing w:line="360" w:lineRule="auto"/>
              <w:rPr>
                <w:rFonts w:hint="eastAsia" w:ascii="宋体" w:hAnsi="宋体" w:eastAsia="宋体" w:cs="宋体"/>
                <w:sz w:val="24"/>
                <w:highlight w:val="none"/>
              </w:rPr>
            </w:pPr>
            <w:r>
              <w:rPr>
                <w:rFonts w:hint="eastAsia" w:ascii="宋体" w:hAnsi="宋体" w:eastAsia="宋体" w:cs="宋体"/>
                <w:sz w:val="24"/>
                <w:highlight w:val="none"/>
              </w:rPr>
              <w:t>（5）供应商为联合体的，应由联合体的主体方提交磋商保证金，其提交的磋商保证金对联合体各方均具有约束力。</w:t>
            </w:r>
          </w:p>
          <w:p w14:paraId="5AD5889E">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.响应文件解密完成后，采购代理机构对供应商的相关主体信用记录、违规处罚等信用信息进行查询。（此项资格证明文件无需供应商提供）。</w:t>
            </w:r>
          </w:p>
          <w:p w14:paraId="5F228381">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（1）查询渠道：</w:t>
            </w:r>
          </w:p>
          <w:p w14:paraId="2B958B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通过“信用中国”网站（</w:t>
            </w:r>
            <w:r>
              <w:rPr>
                <w:rFonts w:hint="eastAsia" w:ascii="宋体" w:hAnsi="宋体" w:eastAsia="宋体" w:cs="宋体"/>
                <w:spacing w:val="-20"/>
                <w:sz w:val="24"/>
                <w:highlight w:val="none"/>
              </w:rPr>
              <w:t>http://www.creditchina.gov.cn</w:t>
            </w:r>
            <w:r>
              <w:rPr>
                <w:rFonts w:hint="eastAsia" w:ascii="宋体" w:hAnsi="宋体" w:eastAsia="宋体" w:cs="宋体"/>
                <w:sz w:val="24"/>
                <w:highlight w:val="none"/>
              </w:rPr>
              <w:t>）、</w:t>
            </w:r>
          </w:p>
          <w:p w14:paraId="1F0E0D3B">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中国政府采购网（http://www.ccgp.gov.cn）等渠道；</w:t>
            </w:r>
          </w:p>
          <w:p w14:paraId="69FBEFD9">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（2）查询截止时点：提交响应文件截止时间；</w:t>
            </w:r>
          </w:p>
          <w:p w14:paraId="47709752">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（3）查询主要内容：“信用中国”（</w:t>
            </w:r>
            <w:r>
              <w:rPr>
                <w:rFonts w:hint="eastAsia" w:ascii="宋体" w:hAnsi="宋体" w:eastAsia="宋体" w:cs="宋体"/>
                <w:spacing w:val="-20"/>
                <w:sz w:val="24"/>
                <w:highlight w:val="none"/>
              </w:rPr>
              <w:t>http://</w:t>
            </w:r>
            <w:r>
              <w:rPr>
                <w:rFonts w:hint="eastAsia" w:ascii="宋体" w:hAnsi="宋体" w:eastAsia="宋体" w:cs="宋体"/>
                <w:sz w:val="24"/>
                <w:highlight w:val="none"/>
              </w:rPr>
              <w:t>www.creditchina.gov.cn）查询供应商是否被列入失信被执行人、重大税收违法失信主体名单；“中国政府采购网”（</w:t>
            </w:r>
            <w:r>
              <w:rPr>
                <w:rFonts w:hint="eastAsia" w:ascii="宋体" w:hAnsi="宋体" w:eastAsia="宋体" w:cs="宋体"/>
                <w:spacing w:val="-20"/>
                <w:sz w:val="24"/>
                <w:highlight w:val="none"/>
              </w:rPr>
              <w:t>http://</w:t>
            </w:r>
            <w:r>
              <w:rPr>
                <w:rFonts w:hint="eastAsia" w:ascii="宋体" w:hAnsi="宋体" w:eastAsia="宋体" w:cs="宋体"/>
                <w:sz w:val="24"/>
                <w:highlight w:val="none"/>
              </w:rPr>
              <w:t>www.ccgp.gov.cn）查询供应商是否被列入政府采购严重违法失信行为记录名单</w:t>
            </w:r>
            <w:r>
              <w:rPr>
                <w:rFonts w:hint="eastAsia" w:ascii="宋体" w:hAnsi="宋体" w:eastAsia="宋体" w:cs="宋体"/>
                <w:sz w:val="24"/>
                <w:highlight w:val="none"/>
                <w:lang w:eastAsia="zh-CN"/>
              </w:rPr>
              <w:t>；</w:t>
            </w:r>
          </w:p>
          <w:p w14:paraId="21909F77">
            <w:pPr>
              <w:spacing w:line="360" w:lineRule="auto"/>
              <w:rPr>
                <w:rFonts w:hint="eastAsia" w:ascii="宋体" w:hAnsi="宋体" w:eastAsia="宋体" w:cs="宋体"/>
                <w:sz w:val="24"/>
                <w:highlight w:val="none"/>
              </w:rPr>
            </w:pPr>
            <w:r>
              <w:rPr>
                <w:rFonts w:hint="eastAsia" w:ascii="宋体" w:hAnsi="宋体" w:eastAsia="宋体" w:cs="宋体"/>
                <w:sz w:val="24"/>
                <w:highlight w:val="none"/>
              </w:rPr>
              <w:t>（4）查询内容中供应商存在第</w:t>
            </w:r>
            <w:r>
              <w:rPr>
                <w:rFonts w:hint="eastAsia" w:ascii="宋体" w:hAnsi="宋体" w:cs="宋体"/>
                <w:sz w:val="24"/>
                <w:highlight w:val="none"/>
                <w:lang w:val="en-US" w:eastAsia="zh-CN"/>
              </w:rPr>
              <w:t>6</w:t>
            </w:r>
            <w:r>
              <w:rPr>
                <w:rFonts w:hint="eastAsia" w:ascii="宋体" w:hAnsi="宋体" w:eastAsia="宋体" w:cs="宋体"/>
                <w:sz w:val="24"/>
                <w:highlight w:val="none"/>
              </w:rPr>
              <w:t>条第3款情形的，其响应文件按无效响应处理。</w:t>
            </w:r>
          </w:p>
          <w:p w14:paraId="748CB066">
            <w:pPr>
              <w:topLinePunct/>
              <w:autoSpaceDE w:val="0"/>
              <w:autoSpaceDN w:val="0"/>
              <w:spacing w:line="460" w:lineRule="exact"/>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bCs/>
                <w:sz w:val="24"/>
              </w:rPr>
              <w:t>查询记录与采购文件</w:t>
            </w:r>
            <w:r>
              <w:rPr>
                <w:rFonts w:hint="eastAsia" w:ascii="宋体" w:hAnsi="宋体" w:eastAsia="宋体" w:cs="宋体"/>
                <w:bCs/>
                <w:sz w:val="24"/>
                <w:lang w:val="en-US" w:eastAsia="zh-CN"/>
              </w:rPr>
              <w:t>等其他材料</w:t>
            </w:r>
            <w:r>
              <w:rPr>
                <w:rFonts w:hint="eastAsia" w:ascii="宋体" w:hAnsi="宋体" w:eastAsia="宋体" w:cs="宋体"/>
                <w:bCs/>
                <w:sz w:val="24"/>
              </w:rPr>
              <w:t>一并保存</w:t>
            </w:r>
            <w:r>
              <w:rPr>
                <w:rFonts w:hint="eastAsia" w:ascii="宋体" w:hAnsi="宋体" w:eastAsia="宋体" w:cs="宋体"/>
                <w:sz w:val="24"/>
                <w:highlight w:val="none"/>
              </w:rPr>
              <w:t>。</w:t>
            </w:r>
          </w:p>
        </w:tc>
      </w:tr>
      <w:tr w14:paraId="6EC4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66B28D9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502" w:type="dxa"/>
            <w:noWrap w:val="0"/>
            <w:vAlign w:val="center"/>
          </w:tcPr>
          <w:p w14:paraId="2EDB6F24">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供应商</w:t>
            </w:r>
          </w:p>
          <w:p w14:paraId="7E05AC12">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应提交的商务、技术文件</w:t>
            </w:r>
          </w:p>
        </w:tc>
        <w:tc>
          <w:tcPr>
            <w:tcW w:w="7400" w:type="dxa"/>
            <w:noWrap w:val="0"/>
            <w:vAlign w:val="center"/>
          </w:tcPr>
          <w:p w14:paraId="63615373">
            <w:pPr>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rPr>
              <w:t>1.法定代表人（负责人）身份证明书（见‘响应文件格式’）；</w:t>
            </w:r>
          </w:p>
          <w:p w14:paraId="73F8323C">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.法定代表人（负责人）授权委托书（见‘响应文件格式’）；</w:t>
            </w:r>
          </w:p>
          <w:p w14:paraId="7E7F7C46">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若授权代表为法定代表人（负责人）的可不提供；</w:t>
            </w:r>
          </w:p>
          <w:p w14:paraId="73ABC371">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.报价函（见‘响应文件格式’）；</w:t>
            </w:r>
          </w:p>
          <w:p w14:paraId="6484EC97">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.报价一览表（见‘响应文件格式’）；</w:t>
            </w:r>
          </w:p>
          <w:p w14:paraId="415894D8">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.商务条款响应表（见‘响应文件格式’）；</w:t>
            </w:r>
          </w:p>
          <w:p w14:paraId="0734F087">
            <w:pPr>
              <w:tabs>
                <w:tab w:val="left" w:pos="567"/>
              </w:tabs>
              <w:topLinePunct/>
              <w:autoSpaceDE w:val="0"/>
              <w:autoSpaceDN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bCs/>
                <w:color w:val="auto"/>
                <w:sz w:val="24"/>
              </w:rPr>
              <w:t>采购服务</w:t>
            </w:r>
            <w:r>
              <w:rPr>
                <w:rFonts w:hint="eastAsia" w:ascii="宋体" w:hAnsi="宋体" w:eastAsia="宋体" w:cs="宋体"/>
                <w:color w:val="auto"/>
                <w:kern w:val="0"/>
                <w:sz w:val="24"/>
                <w:highlight w:val="none"/>
              </w:rPr>
              <w:t>技术规范响应及偏离表（见‘响应文件格式’）；</w:t>
            </w:r>
          </w:p>
          <w:p w14:paraId="2C19DFA8">
            <w:pPr>
              <w:tabs>
                <w:tab w:val="left" w:pos="567"/>
              </w:tabs>
              <w:topLinePunct/>
              <w:autoSpaceDE w:val="0"/>
              <w:autoSpaceDN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.近</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年（自20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月至响应文件递交截止日）完成的同类项目合同案例列表及相关证明资料（见‘响应文件格式’）；</w:t>
            </w:r>
          </w:p>
          <w:p w14:paraId="56EFC2DE">
            <w:pPr>
              <w:keepNext/>
              <w:topLinePunct/>
              <w:adjustRightInd w:val="0"/>
              <w:snapToGrid w:val="0"/>
              <w:spacing w:line="360" w:lineRule="auto"/>
              <w:jc w:val="left"/>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8</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服务方案</w:t>
            </w:r>
            <w:r>
              <w:rPr>
                <w:rFonts w:hint="eastAsia" w:ascii="宋体" w:hAnsi="宋体" w:eastAsia="宋体" w:cs="宋体"/>
                <w:color w:val="auto"/>
                <w:sz w:val="24"/>
                <w:szCs w:val="32"/>
                <w:lang w:eastAsia="zh-CN"/>
              </w:rPr>
              <w:t>；</w:t>
            </w:r>
          </w:p>
          <w:p w14:paraId="7DD17D83">
            <w:pPr>
              <w:keepNext/>
              <w:topLinePunct/>
              <w:adjustRightInd w:val="0"/>
              <w:snapToGrid w:val="0"/>
              <w:spacing w:line="360" w:lineRule="auto"/>
              <w:jc w:val="left"/>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9</w:t>
            </w:r>
            <w:r>
              <w:rPr>
                <w:rFonts w:hint="eastAsia" w:ascii="宋体" w:hAnsi="宋体" w:eastAsia="宋体" w:cs="宋体"/>
                <w:color w:val="auto"/>
                <w:sz w:val="24"/>
                <w:szCs w:val="32"/>
              </w:rPr>
              <w:t>.</w:t>
            </w:r>
            <w:r>
              <w:rPr>
                <w:rFonts w:hint="eastAsia" w:ascii="宋体" w:hAnsi="宋体" w:eastAsia="宋体" w:cs="宋体"/>
                <w:color w:val="auto"/>
                <w:sz w:val="24"/>
                <w:szCs w:val="32"/>
                <w:highlight w:val="none"/>
              </w:rPr>
              <w:t>人员配置</w:t>
            </w:r>
            <w:r>
              <w:rPr>
                <w:rFonts w:hint="eastAsia" w:ascii="宋体" w:hAnsi="宋体" w:eastAsia="宋体" w:cs="宋体"/>
                <w:color w:val="auto"/>
                <w:sz w:val="24"/>
                <w:szCs w:val="32"/>
                <w:highlight w:val="none"/>
                <w:lang w:val="en-US" w:eastAsia="zh-CN"/>
              </w:rPr>
              <w:t>等</w:t>
            </w:r>
            <w:r>
              <w:rPr>
                <w:rFonts w:hint="eastAsia" w:ascii="宋体" w:hAnsi="宋体" w:eastAsia="宋体" w:cs="宋体"/>
                <w:color w:val="auto"/>
                <w:sz w:val="24"/>
                <w:szCs w:val="32"/>
                <w:highlight w:val="none"/>
              </w:rPr>
              <w:t>证明材料</w:t>
            </w:r>
            <w:r>
              <w:rPr>
                <w:rFonts w:hint="eastAsia" w:ascii="宋体" w:hAnsi="宋体" w:eastAsia="宋体" w:cs="宋体"/>
                <w:color w:val="auto"/>
                <w:sz w:val="24"/>
                <w:szCs w:val="32"/>
              </w:rPr>
              <w:t>；</w:t>
            </w:r>
          </w:p>
          <w:p w14:paraId="008938F6">
            <w:pPr>
              <w:keepNext/>
              <w:topLinePunct/>
              <w:adjustRightInd w:val="0"/>
              <w:snapToGrid w:val="0"/>
              <w:spacing w:line="360" w:lineRule="auto"/>
              <w:jc w:val="left"/>
              <w:rPr>
                <w:rFonts w:hint="eastAsia" w:ascii="宋体" w:hAnsi="宋体" w:eastAsia="宋体" w:cs="宋体"/>
                <w:color w:val="auto"/>
                <w:sz w:val="24"/>
                <w:szCs w:val="32"/>
              </w:rPr>
            </w:pPr>
            <w:r>
              <w:rPr>
                <w:rFonts w:hint="eastAsia" w:ascii="宋体" w:hAnsi="宋体" w:eastAsia="宋体" w:cs="宋体"/>
                <w:color w:val="auto"/>
                <w:sz w:val="24"/>
                <w:szCs w:val="32"/>
              </w:rPr>
              <w:t>1</w:t>
            </w:r>
            <w:r>
              <w:rPr>
                <w:rFonts w:hint="eastAsia" w:ascii="宋体" w:hAnsi="宋体" w:eastAsia="宋体" w:cs="宋体"/>
                <w:color w:val="auto"/>
                <w:sz w:val="24"/>
                <w:szCs w:val="32"/>
                <w:lang w:val="en-US" w:eastAsia="zh-CN"/>
              </w:rPr>
              <w:t>0</w:t>
            </w:r>
            <w:r>
              <w:rPr>
                <w:rFonts w:hint="eastAsia" w:ascii="宋体" w:hAnsi="宋体" w:eastAsia="宋体" w:cs="宋体"/>
                <w:color w:val="auto"/>
                <w:sz w:val="24"/>
                <w:szCs w:val="32"/>
              </w:rPr>
              <w:t>.供应商认为需要提供的其他商务、技术材料。</w:t>
            </w:r>
          </w:p>
          <w:p w14:paraId="559CC13B">
            <w:pPr>
              <w:tabs>
                <w:tab w:val="left" w:pos="567"/>
              </w:tabs>
              <w:topLinePunct/>
              <w:autoSpaceDE w:val="0"/>
              <w:autoSpaceDN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7517C1E9">
            <w:pPr>
              <w:tabs>
                <w:tab w:val="left" w:pos="567"/>
              </w:tabs>
              <w:topLinePunct/>
              <w:autoSpaceDE w:val="0"/>
              <w:autoSpaceDN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加★的商务、技术文件供应商应作出实质性响应。除对含义不明确、同类问题表述不一致或者有明显的文字和计算错误，磋商小组成员应通过“山西政府采购平台”要求供应商作出必要的澄清、说明或者补正外，若有一项未实质性响应，不允许在响应文件解密后补正或修正，将导致其响应无效。</w:t>
            </w:r>
          </w:p>
        </w:tc>
      </w:tr>
      <w:tr w14:paraId="0132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83" w:type="dxa"/>
            <w:noWrap w:val="0"/>
            <w:vAlign w:val="center"/>
          </w:tcPr>
          <w:p w14:paraId="5BC00549">
            <w:pPr>
              <w:spacing w:line="360" w:lineRule="auto"/>
              <w:jc w:val="center"/>
              <w:rPr>
                <w:rFonts w:hint="eastAsia" w:ascii="宋体" w:hAnsi="宋体" w:eastAsia="宋体" w:cs="宋体"/>
                <w:sz w:val="24"/>
                <w:highlight w:val="none"/>
              </w:rPr>
            </w:pPr>
            <w:bookmarkStart w:id="24" w:name="_Hlk171420776"/>
            <w:r>
              <w:rPr>
                <w:rFonts w:hint="eastAsia" w:ascii="宋体" w:hAnsi="宋体" w:eastAsia="宋体" w:cs="宋体"/>
                <w:sz w:val="24"/>
                <w:highlight w:val="none"/>
              </w:rPr>
              <w:t>7</w:t>
            </w:r>
          </w:p>
        </w:tc>
        <w:tc>
          <w:tcPr>
            <w:tcW w:w="1502" w:type="dxa"/>
            <w:noWrap w:val="0"/>
            <w:vAlign w:val="center"/>
          </w:tcPr>
          <w:p w14:paraId="5127195E">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政府采购相关政策要求</w:t>
            </w:r>
          </w:p>
        </w:tc>
        <w:tc>
          <w:tcPr>
            <w:tcW w:w="7400" w:type="dxa"/>
            <w:noWrap w:val="0"/>
            <w:vAlign w:val="center"/>
          </w:tcPr>
          <w:p w14:paraId="6FBFB311">
            <w:pPr>
              <w:spacing w:line="360" w:lineRule="auto"/>
              <w:rPr>
                <w:rFonts w:hint="eastAsia" w:ascii="宋体" w:hAnsi="宋体" w:eastAsia="宋体" w:cs="宋体"/>
                <w:sz w:val="24"/>
                <w:highlight w:val="none"/>
              </w:rPr>
            </w:pPr>
            <w:r>
              <w:rPr>
                <w:rFonts w:hint="eastAsia" w:ascii="宋体" w:hAnsi="宋体" w:eastAsia="宋体" w:cs="宋体"/>
                <w:sz w:val="24"/>
                <w:highlight w:val="none"/>
              </w:rPr>
              <w:t>1.采购货物未特别注明“进口产品”字样的，均必须采购国产产品，即非“通过中国海关报关验放进入中国境内且产自关境外的产品”，且投报产品各项技术标准必须符合国家强制性标准。</w:t>
            </w:r>
          </w:p>
          <w:p w14:paraId="3FB34124">
            <w:pPr>
              <w:spacing w:line="360" w:lineRule="auto"/>
              <w:rPr>
                <w:rFonts w:hint="eastAsia" w:ascii="宋体" w:hAnsi="宋体" w:eastAsia="宋体" w:cs="宋体"/>
                <w:sz w:val="24"/>
                <w:highlight w:val="none"/>
              </w:rPr>
            </w:pPr>
            <w:r>
              <w:rPr>
                <w:rFonts w:hint="eastAsia" w:ascii="宋体" w:hAnsi="宋体" w:eastAsia="宋体" w:cs="宋体"/>
                <w:sz w:val="24"/>
                <w:highlight w:val="none"/>
              </w:rPr>
              <w:t>特别注明“进口产品”字样的，优先采购向我国企业转让技术、与我国企业签订消化吸收再创新方案的供应商的进口产品，如果有能够满足采购需求的国产产品参与，应当按照公平竞争的原则进行评审。</w:t>
            </w:r>
          </w:p>
          <w:p w14:paraId="74C19B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采购货物中如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在响应文件中填写《强制节能产品明细表》，并提供所投产品获得国家确定的认证机构出具的、处于有效期之内的节能产品认证证书。</w:t>
            </w:r>
          </w:p>
          <w:p w14:paraId="6C7713E3">
            <w:pPr>
              <w:spacing w:line="360" w:lineRule="auto"/>
              <w:rPr>
                <w:rFonts w:hint="eastAsia" w:ascii="宋体" w:hAnsi="宋体" w:eastAsia="宋体" w:cs="宋体"/>
                <w:sz w:val="24"/>
                <w:highlight w:val="none"/>
              </w:rPr>
            </w:pPr>
            <w:r>
              <w:rPr>
                <w:rFonts w:hint="eastAsia" w:ascii="宋体" w:hAnsi="宋体" w:eastAsia="宋体" w:cs="宋体"/>
                <w:sz w:val="24"/>
                <w:highlight w:val="none"/>
              </w:rPr>
              <w:t>3.采购货物中如含有计算机，必须预装正版操作系统软件产品；项目中所采购的其它软件必须为正版软件。供应商须提供《正版软件承诺》。</w:t>
            </w:r>
          </w:p>
          <w:p w14:paraId="16625AC6">
            <w:pPr>
              <w:spacing w:line="360" w:lineRule="auto"/>
              <w:rPr>
                <w:rFonts w:hint="eastAsia" w:ascii="宋体" w:hAnsi="宋体" w:eastAsia="宋体" w:cs="宋体"/>
                <w:sz w:val="24"/>
                <w:highlight w:val="none"/>
              </w:rPr>
            </w:pPr>
            <w:r>
              <w:rPr>
                <w:rFonts w:hint="eastAsia" w:ascii="宋体" w:hAnsi="宋体" w:eastAsia="宋体" w:cs="宋体"/>
                <w:sz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网络安全专用产品安全技术要求》等相关国家标准强制性要求检测的安全认证合格或者安全检测符合要求的证明材料或对此前已经获得有效的《计算机信息系统安全专用产品销售许可证》扫描件或影印件。</w:t>
            </w:r>
          </w:p>
          <w:p w14:paraId="13AAD8D1">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注：供应商参加本次采购活动，如涉及上述1-4项要求，均应作出实质性响应，否则将导致响应无效。如项目不涉及，可不提供。</w:t>
            </w:r>
          </w:p>
          <w:p w14:paraId="691727DC">
            <w:pPr>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5.中小微企业参加本项目：</w:t>
            </w:r>
          </w:p>
          <w:p w14:paraId="4CE1D1CF">
            <w:pPr>
              <w:keepNext/>
              <w:topLinePunct/>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bCs/>
                <w:color w:val="auto"/>
                <w:sz w:val="24"/>
              </w:rPr>
              <w:t>参加本项目</w:t>
            </w:r>
            <w:r>
              <w:rPr>
                <w:rFonts w:hint="eastAsia" w:ascii="宋体" w:hAnsi="宋体" w:eastAsia="宋体" w:cs="宋体"/>
                <w:bCs/>
                <w:color w:val="auto"/>
                <w:sz w:val="24"/>
                <w:lang w:val="en-US" w:eastAsia="zh-CN"/>
              </w:rPr>
              <w:t>的</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需出具符合《政府采购促进中小企业发展管理办法》财库【2020】46号规定的《中小企业声明函》</w:t>
            </w:r>
            <w:r>
              <w:rPr>
                <w:rFonts w:hint="eastAsia" w:ascii="宋体" w:hAnsi="宋体" w:eastAsia="宋体" w:cs="宋体"/>
                <w:bCs/>
                <w:color w:val="auto"/>
                <w:sz w:val="24"/>
                <w:lang w:eastAsia="zh-CN"/>
              </w:rPr>
              <w:t>。</w:t>
            </w:r>
          </w:p>
          <w:p w14:paraId="1CE74E57">
            <w:pPr>
              <w:spacing w:line="360" w:lineRule="auto"/>
              <w:rPr>
                <w:rFonts w:hint="eastAsia" w:ascii="宋体" w:hAnsi="宋体" w:eastAsia="宋体" w:cs="宋体"/>
                <w:sz w:val="24"/>
                <w:highlight w:val="none"/>
              </w:rPr>
            </w:pPr>
            <w:r>
              <w:rPr>
                <w:rFonts w:hint="eastAsia" w:ascii="宋体" w:hAnsi="宋体" w:eastAsia="宋体" w:cs="宋体"/>
                <w:sz w:val="24"/>
                <w:highlight w:val="none"/>
              </w:rPr>
              <w:t>6.残疾人企业参加本项目：</w:t>
            </w:r>
          </w:p>
          <w:p w14:paraId="25041E5C">
            <w:pPr>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4309D490">
            <w:pPr>
              <w:spacing w:line="360" w:lineRule="auto"/>
              <w:rPr>
                <w:rFonts w:hint="eastAsia" w:ascii="宋体" w:hAnsi="宋体" w:eastAsia="宋体" w:cs="宋体"/>
                <w:sz w:val="24"/>
                <w:highlight w:val="none"/>
              </w:rPr>
            </w:pPr>
            <w:r>
              <w:rPr>
                <w:rFonts w:hint="eastAsia" w:ascii="宋体" w:hAnsi="宋体" w:eastAsia="宋体" w:cs="宋体"/>
                <w:sz w:val="24"/>
                <w:highlight w:val="none"/>
              </w:rPr>
              <w:t>7.监狱企业参加本项目：</w:t>
            </w:r>
          </w:p>
          <w:p w14:paraId="35D2B794">
            <w:pPr>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61FE7837">
            <w:pPr>
              <w:spacing w:line="360" w:lineRule="auto"/>
              <w:rPr>
                <w:rFonts w:hint="eastAsia" w:ascii="宋体" w:hAnsi="宋体" w:eastAsia="宋体" w:cs="宋体"/>
                <w:sz w:val="24"/>
                <w:highlight w:val="none"/>
              </w:rPr>
            </w:pPr>
            <w:r>
              <w:rPr>
                <w:rFonts w:hint="eastAsia" w:ascii="宋体" w:hAnsi="宋体" w:eastAsia="宋体" w:cs="宋体"/>
                <w:sz w:val="24"/>
                <w:highlight w:val="none"/>
              </w:rPr>
              <w:t>8.联合体参加本项目：</w:t>
            </w:r>
          </w:p>
          <w:p w14:paraId="668812AE">
            <w:pPr>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如本项目为接受大中型企业与小微企业组成联合体或者允许大中型企业向一家或者多家小微企业分包的采购项目，需附《联合体磋商协议书》。</w:t>
            </w:r>
          </w:p>
          <w:p w14:paraId="3F893DE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w:t>
            </w:r>
            <w:r>
              <w:rPr>
                <w:rFonts w:hint="eastAsia" w:ascii="宋体" w:hAnsi="宋体" w:eastAsia="宋体" w:cs="宋体"/>
                <w:b/>
                <w:bCs w:val="0"/>
                <w:sz w:val="24"/>
              </w:rPr>
              <w:t>以上第</w:t>
            </w:r>
            <w:r>
              <w:rPr>
                <w:rFonts w:hint="eastAsia" w:ascii="宋体" w:hAnsi="宋体" w:eastAsia="宋体" w:cs="宋体"/>
                <w:b/>
                <w:bCs/>
                <w:sz w:val="24"/>
                <w:highlight w:val="none"/>
              </w:rPr>
              <w:t>5-8项适用于非专门面向中小微企业的采购项目。</w:t>
            </w:r>
          </w:p>
          <w:p w14:paraId="093F8503">
            <w:pPr>
              <w:spacing w:line="360" w:lineRule="auto"/>
              <w:rPr>
                <w:rFonts w:hint="eastAsia" w:ascii="宋体" w:hAnsi="宋体" w:eastAsia="宋体" w:cs="宋体"/>
                <w:sz w:val="24"/>
                <w:highlight w:val="none"/>
              </w:rPr>
            </w:pPr>
            <w:r>
              <w:rPr>
                <w:rFonts w:hint="eastAsia" w:ascii="宋体" w:hAnsi="宋体" w:eastAsia="宋体" w:cs="宋体"/>
                <w:sz w:val="24"/>
                <w:highlight w:val="none"/>
              </w:rPr>
              <w:t>9.项目</w:t>
            </w:r>
            <w:r>
              <w:rPr>
                <w:rFonts w:hint="eastAsia" w:ascii="宋体" w:hAnsi="宋体" w:eastAsia="宋体" w:cs="宋体"/>
                <w:sz w:val="24"/>
                <w:highlight w:val="none"/>
                <w:lang w:val="en-US" w:eastAsia="zh-CN"/>
              </w:rPr>
              <w:t>涉及</w:t>
            </w:r>
            <w:r>
              <w:rPr>
                <w:rFonts w:hint="eastAsia" w:ascii="宋体" w:hAnsi="宋体" w:eastAsia="宋体" w:cs="宋体"/>
                <w:sz w:val="24"/>
                <w:highlight w:val="none"/>
              </w:rPr>
              <w:t>节能环保产品的：</w:t>
            </w:r>
          </w:p>
          <w:p w14:paraId="554958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9.1投报产品属于《节能产品政府采购品目清单》中强制性采购产品以外的其它节能产品，需在响应文件中填写《非强制节能产品明细表》，并提供所投产品获得国家确定的认证机构出具的、处于有效期之内的节能产品认证证书。</w:t>
            </w:r>
          </w:p>
          <w:p w14:paraId="1DA231EF">
            <w:pPr>
              <w:spacing w:line="360" w:lineRule="auto"/>
              <w:rPr>
                <w:rFonts w:hint="eastAsia" w:ascii="宋体" w:hAnsi="宋体" w:eastAsia="宋体" w:cs="宋体"/>
                <w:sz w:val="24"/>
                <w:highlight w:val="none"/>
              </w:rPr>
            </w:pPr>
            <w:r>
              <w:rPr>
                <w:rFonts w:hint="eastAsia" w:ascii="宋体" w:hAnsi="宋体" w:eastAsia="宋体" w:cs="宋体"/>
                <w:sz w:val="24"/>
                <w:highlight w:val="none"/>
              </w:rPr>
              <w:t>9.2投报产品属于《环境标志产品政府采购品目清单》中的产品，需在响应文件中填写《环境标志产品明细表》，并提供所投产品获得国家确定的认证机构出具的、处于有效期之内的环境标志产品认证证书。</w:t>
            </w:r>
          </w:p>
          <w:p w14:paraId="628AA3CA">
            <w:pPr>
              <w:spacing w:line="360" w:lineRule="auto"/>
              <w:rPr>
                <w:rFonts w:hint="eastAsia" w:ascii="宋体" w:hAnsi="宋体" w:eastAsia="宋体" w:cs="宋体"/>
                <w:sz w:val="24"/>
                <w:highlight w:val="none"/>
              </w:rPr>
            </w:pPr>
            <w:r>
              <w:rPr>
                <w:rFonts w:hint="eastAsia" w:ascii="宋体" w:hAnsi="宋体" w:eastAsia="宋体" w:cs="宋体"/>
                <w:sz w:val="24"/>
                <w:highlight w:val="none"/>
              </w:rPr>
              <w:t>10.</w:t>
            </w:r>
            <w:r>
              <w:rPr>
                <w:rFonts w:hint="eastAsia" w:ascii="宋体" w:hAnsi="宋体" w:eastAsia="宋体" w:cs="宋体"/>
                <w:bCs/>
                <w:sz w:val="24"/>
              </w:rPr>
              <w:t>项目</w:t>
            </w:r>
            <w:r>
              <w:rPr>
                <w:rFonts w:hint="eastAsia" w:ascii="宋体" w:hAnsi="宋体" w:eastAsia="宋体" w:cs="宋体"/>
                <w:bCs/>
                <w:sz w:val="24"/>
                <w:lang w:val="en-US" w:eastAsia="zh-CN"/>
              </w:rPr>
              <w:t>涉及</w:t>
            </w:r>
            <w:r>
              <w:rPr>
                <w:rFonts w:hint="eastAsia" w:ascii="宋体" w:hAnsi="宋体" w:eastAsia="宋体" w:cs="宋体"/>
                <w:bCs/>
                <w:sz w:val="24"/>
              </w:rPr>
              <w:t>创新产品的</w:t>
            </w:r>
          </w:p>
          <w:p w14:paraId="065129C6">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报产品（或者：服务）属于《山西省发展和改革委员会、山西省科学技术厅、山西省工业和信息化厅、山西省财政厅、山西转型综改示范区管委会关于发布山西省创新产品和服务推荐清单的通知》中的产品（或者：服务），需在响应文件中填写《创新产品（或者：服务）明细表》，并提供《山西省创新产品和服务推荐清单》。</w:t>
            </w:r>
          </w:p>
          <w:p w14:paraId="3C1A9BB4">
            <w:pPr>
              <w:spacing w:line="360" w:lineRule="auto"/>
              <w:rPr>
                <w:rFonts w:hint="eastAsia" w:ascii="宋体" w:hAnsi="宋体" w:eastAsia="宋体" w:cs="宋体"/>
                <w:sz w:val="24"/>
                <w:highlight w:val="none"/>
              </w:rPr>
            </w:pPr>
            <w:r>
              <w:rPr>
                <w:rFonts w:hint="eastAsia" w:ascii="宋体" w:hAnsi="宋体" w:eastAsia="宋体" w:cs="宋体"/>
                <w:sz w:val="24"/>
                <w:highlight w:val="none"/>
              </w:rPr>
              <w:t>11.商品包装和快递包装</w:t>
            </w:r>
          </w:p>
          <w:p w14:paraId="1858DA7B">
            <w:pPr>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如投报货物均需按《商品包装政府采购需求标准（试行）》、《快递包装政府采购需求标准（试行）》（财办库〔2020〕123号）包装标准与保护措施进行包装，须出具《商品包装和快递包装承诺》。</w:t>
            </w:r>
          </w:p>
          <w:p w14:paraId="195D58D5">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1958FA23">
            <w:pPr>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13.对于优先采购的绿色产品，给予4%的价格扣除，用扣除后的价格参与评审。对中小微企业，严格落实政府采购优惠政策，同时享受绿色采购政策的价格扣除等评审优惠措施，分别计算，叠加执行。</w:t>
            </w:r>
          </w:p>
          <w:p w14:paraId="7E0774DA">
            <w:pPr>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14.前述建筑材料，投标人应在材料进场时提供建材产品符合需求标准的证明性文件，包括国家统一推行的绿色建材产品认证证书，或符合需求标准的有效检测报告等。投标人应在投标文件中提供承诺书。</w:t>
            </w:r>
          </w:p>
          <w:p w14:paraId="7C0E27F2">
            <w:pPr>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15.绿色建筑和绿色建材政府采购需求标准（2025年版）原文链接（https://www.gov.cn/zhengce/zhengceku/202501/P020250111596858618141.docx）</w:t>
            </w:r>
          </w:p>
          <w:p w14:paraId="7BB1B33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16.关于本国产品报价扣除比例说明</w:t>
            </w:r>
          </w:p>
          <w:p w14:paraId="24F34759">
            <w:pPr>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6F51D3E">
            <w:pPr>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提供符合本国产品标准的产品，投标人应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F858C74">
            <w:pPr>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lang w:val="en-US" w:eastAsia="zh-CN"/>
              </w:rPr>
              <w:t>当采购项目或者采购包中含有多种产品的，投标人还应当提供《关于本国产品比例的声明函》。</w:t>
            </w:r>
          </w:p>
        </w:tc>
      </w:tr>
      <w:bookmarkEnd w:id="24"/>
      <w:tr w14:paraId="392C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83" w:type="dxa"/>
            <w:noWrap w:val="0"/>
            <w:vAlign w:val="center"/>
          </w:tcPr>
          <w:p w14:paraId="6DDABB0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1502" w:type="dxa"/>
            <w:noWrap w:val="0"/>
            <w:vAlign w:val="center"/>
          </w:tcPr>
          <w:p w14:paraId="352AA2C6">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响应文件</w:t>
            </w:r>
          </w:p>
          <w:p w14:paraId="50439253">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有效期</w:t>
            </w:r>
          </w:p>
        </w:tc>
        <w:tc>
          <w:tcPr>
            <w:tcW w:w="7400" w:type="dxa"/>
            <w:noWrap w:val="0"/>
            <w:vAlign w:val="center"/>
          </w:tcPr>
          <w:p w14:paraId="212AFF19">
            <w:pPr>
              <w:spacing w:line="360" w:lineRule="auto"/>
              <w:rPr>
                <w:rFonts w:hint="eastAsia" w:ascii="宋体" w:hAnsi="宋体" w:eastAsia="宋体" w:cs="宋体"/>
                <w:sz w:val="24"/>
                <w:highlight w:val="none"/>
              </w:rPr>
            </w:pPr>
            <w:r>
              <w:rPr>
                <w:rFonts w:hint="eastAsia" w:ascii="宋体" w:hAnsi="宋体" w:eastAsia="宋体" w:cs="宋体"/>
                <w:bCs/>
                <w:sz w:val="24"/>
                <w:highlight w:val="none"/>
              </w:rPr>
              <w:t>90日历天（从提交响应文件截止之日起计算）</w:t>
            </w:r>
          </w:p>
        </w:tc>
      </w:tr>
      <w:tr w14:paraId="741B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57A371D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1502" w:type="dxa"/>
            <w:noWrap w:val="0"/>
            <w:vAlign w:val="center"/>
          </w:tcPr>
          <w:p w14:paraId="4C85D94A">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磋商小组</w:t>
            </w:r>
          </w:p>
          <w:p w14:paraId="2D55BE6A">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构成</w:t>
            </w:r>
          </w:p>
        </w:tc>
        <w:tc>
          <w:tcPr>
            <w:tcW w:w="7400" w:type="dxa"/>
            <w:noWrap w:val="0"/>
            <w:vAlign w:val="center"/>
          </w:tcPr>
          <w:p w14:paraId="32B6F0F9">
            <w:pPr>
              <w:spacing w:line="360" w:lineRule="auto"/>
              <w:rPr>
                <w:rFonts w:hint="eastAsia" w:ascii="宋体" w:hAnsi="宋体" w:eastAsia="宋体" w:cs="宋体"/>
                <w:bCs/>
                <w:sz w:val="24"/>
                <w:highlight w:val="none"/>
              </w:rPr>
            </w:pPr>
            <w:r>
              <w:rPr>
                <w:rFonts w:hint="eastAsia" w:ascii="宋体" w:hAnsi="宋体" w:eastAsia="宋体" w:cs="宋体"/>
                <w:bCs/>
                <w:color w:val="auto"/>
                <w:sz w:val="24"/>
                <w:highlight w:val="none"/>
              </w:rPr>
              <w:t>本项目的磋商小组成员由</w:t>
            </w:r>
            <w:r>
              <w:rPr>
                <w:rFonts w:hint="eastAsia" w:ascii="宋体" w:hAnsi="宋体" w:eastAsia="宋体" w:cs="宋体"/>
                <w:bCs/>
                <w:color w:val="auto"/>
                <w:sz w:val="24"/>
                <w:highlight w:val="none"/>
                <w:u w:val="single"/>
              </w:rPr>
              <w:t>3</w:t>
            </w:r>
            <w:r>
              <w:rPr>
                <w:rFonts w:hint="eastAsia" w:ascii="宋体" w:hAnsi="宋体" w:eastAsia="宋体" w:cs="宋体"/>
                <w:bCs/>
                <w:color w:val="auto"/>
                <w:sz w:val="24"/>
                <w:highlight w:val="none"/>
              </w:rPr>
              <w:t>人组成，其中评审专家</w:t>
            </w:r>
            <w:r>
              <w:rPr>
                <w:rFonts w:hint="eastAsia" w:ascii="宋体" w:hAnsi="宋体" w:eastAsia="宋体" w:cs="宋体"/>
                <w:bCs/>
                <w:color w:val="auto"/>
                <w:sz w:val="24"/>
                <w:highlight w:val="none"/>
                <w:u w:val="single"/>
                <w:lang w:val="en-US" w:eastAsia="zh-CN"/>
              </w:rPr>
              <w:t>3</w:t>
            </w:r>
            <w:r>
              <w:rPr>
                <w:rFonts w:hint="eastAsia" w:ascii="宋体" w:hAnsi="宋体" w:eastAsia="宋体" w:cs="宋体"/>
                <w:bCs/>
                <w:color w:val="auto"/>
                <w:sz w:val="24"/>
                <w:highlight w:val="none"/>
              </w:rPr>
              <w:t>人，采购人代表</w:t>
            </w:r>
            <w:r>
              <w:rPr>
                <w:rFonts w:hint="eastAsia" w:ascii="宋体" w:hAnsi="宋体" w:eastAsia="宋体" w:cs="宋体"/>
                <w:bCs/>
                <w:color w:val="auto"/>
                <w:sz w:val="24"/>
                <w:highlight w:val="none"/>
                <w:u w:val="single"/>
                <w:lang w:val="en-US" w:eastAsia="zh-CN"/>
              </w:rPr>
              <w:t>0</w:t>
            </w:r>
            <w:r>
              <w:rPr>
                <w:rFonts w:hint="eastAsia" w:ascii="宋体" w:hAnsi="宋体" w:eastAsia="宋体" w:cs="宋体"/>
                <w:bCs/>
                <w:color w:val="auto"/>
                <w:sz w:val="24"/>
                <w:highlight w:val="none"/>
              </w:rPr>
              <w:t>人。</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山西政府采购网专家库随机抽取</w:t>
            </w:r>
            <w:r>
              <w:rPr>
                <w:rFonts w:hint="eastAsia" w:ascii="宋体" w:hAnsi="宋体" w:eastAsia="宋体" w:cs="宋体"/>
                <w:color w:val="000000" w:themeColor="text1"/>
                <w:sz w:val="24"/>
                <w:highlight w:val="none"/>
                <w:lang w:val="zh-CN"/>
                <w14:textFill>
                  <w14:solidFill>
                    <w14:schemeClr w14:val="tx1"/>
                  </w14:solidFill>
                </w14:textFill>
              </w:rPr>
              <w:t>）</w:t>
            </w:r>
          </w:p>
        </w:tc>
      </w:tr>
      <w:tr w14:paraId="773A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noWrap w:val="0"/>
            <w:vAlign w:val="center"/>
          </w:tcPr>
          <w:p w14:paraId="4D86E25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502" w:type="dxa"/>
            <w:noWrap w:val="0"/>
            <w:vAlign w:val="center"/>
          </w:tcPr>
          <w:p w14:paraId="70A7AE73">
            <w:pPr>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磋商过程中可能实质性变动内容</w:t>
            </w:r>
          </w:p>
        </w:tc>
        <w:tc>
          <w:tcPr>
            <w:tcW w:w="7400" w:type="dxa"/>
            <w:noWrap w:val="0"/>
            <w:vAlign w:val="center"/>
          </w:tcPr>
          <w:p w14:paraId="6C4982B8">
            <w:pPr>
              <w:spacing w:line="360" w:lineRule="auto"/>
              <w:rPr>
                <w:rFonts w:hint="eastAsia" w:ascii="宋体" w:hAnsi="宋体" w:eastAsia="宋体" w:cs="宋体"/>
                <w:bCs/>
                <w:sz w:val="24"/>
                <w:highlight w:val="none"/>
              </w:rPr>
            </w:pPr>
            <w:bookmarkStart w:id="25" w:name="_Toc32204"/>
            <w:bookmarkStart w:id="26" w:name="_Toc1247"/>
            <w:bookmarkStart w:id="27" w:name="_Toc5522"/>
            <w:bookmarkStart w:id="28" w:name="_Toc26809"/>
            <w:r>
              <w:rPr>
                <w:rFonts w:hint="eastAsia" w:ascii="宋体" w:hAnsi="宋体" w:eastAsia="宋体" w:cs="宋体"/>
                <w:sz w:val="24"/>
                <w:highlight w:val="none"/>
              </w:rPr>
              <w:t>根据磋商情况，可能对磋商文件实质性变动的内容包括：第五部分中的技术、服务要求以及第六部分采购合同范本中相关内容，实质性变动的内容，须经采购人代表签字确认。</w:t>
            </w:r>
            <w:bookmarkEnd w:id="25"/>
            <w:bookmarkEnd w:id="26"/>
            <w:bookmarkEnd w:id="27"/>
            <w:bookmarkEnd w:id="28"/>
          </w:p>
        </w:tc>
      </w:tr>
      <w:tr w14:paraId="52B2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 w:type="dxa"/>
            <w:noWrap w:val="0"/>
            <w:vAlign w:val="center"/>
          </w:tcPr>
          <w:p w14:paraId="1DDEC27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1502" w:type="dxa"/>
            <w:noWrap w:val="0"/>
            <w:vAlign w:val="center"/>
          </w:tcPr>
          <w:p w14:paraId="33F99FB3">
            <w:pPr>
              <w:spacing w:line="360" w:lineRule="auto"/>
              <w:ind w:left="-103" w:leftChars="-49" w:right="-94" w:rightChars="-45"/>
              <w:jc w:val="center"/>
              <w:rPr>
                <w:rFonts w:hint="eastAsia" w:ascii="宋体" w:hAnsi="宋体" w:eastAsia="宋体" w:cs="宋体"/>
                <w:sz w:val="24"/>
                <w:highlight w:val="none"/>
              </w:rPr>
            </w:pPr>
            <w:r>
              <w:rPr>
                <w:rFonts w:hint="eastAsia" w:ascii="宋体" w:hAnsi="宋体" w:eastAsia="宋体" w:cs="宋体"/>
                <w:sz w:val="24"/>
                <w:highlight w:val="none"/>
              </w:rPr>
              <w:t>确定成交供应商</w:t>
            </w:r>
          </w:p>
        </w:tc>
        <w:tc>
          <w:tcPr>
            <w:tcW w:w="7400" w:type="dxa"/>
            <w:noWrap w:val="0"/>
            <w:vAlign w:val="center"/>
          </w:tcPr>
          <w:p w14:paraId="0BAC3D6E">
            <w:pPr>
              <w:pStyle w:val="124"/>
              <w:keepNext w:val="0"/>
              <w:keepLines w:val="0"/>
              <w:snapToGrid w:val="0"/>
              <w:spacing w:before="0" w:after="0" w:line="420" w:lineRule="exac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本项目采用综合评分法，并授权磋商小组按照成交供应商确定原则，直接确定成交供应商。</w:t>
            </w:r>
          </w:p>
        </w:tc>
      </w:tr>
      <w:tr w14:paraId="1661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3" w:type="dxa"/>
            <w:noWrap w:val="0"/>
            <w:vAlign w:val="center"/>
          </w:tcPr>
          <w:p w14:paraId="1E3B821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502" w:type="dxa"/>
            <w:noWrap w:val="0"/>
            <w:vAlign w:val="center"/>
          </w:tcPr>
          <w:p w14:paraId="4A2A7E93">
            <w:pPr>
              <w:topLinePunct/>
              <w:autoSpaceDE w:val="0"/>
              <w:autoSpaceDN w:val="0"/>
              <w:spacing w:line="460" w:lineRule="exact"/>
              <w:ind w:left="-105" w:leftChars="-50"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现场勘查</w:t>
            </w:r>
          </w:p>
        </w:tc>
        <w:tc>
          <w:tcPr>
            <w:tcW w:w="7400" w:type="dxa"/>
            <w:noWrap w:val="0"/>
            <w:vAlign w:val="center"/>
          </w:tcPr>
          <w:p w14:paraId="62031346">
            <w:pPr>
              <w:pStyle w:val="124"/>
              <w:keepNext w:val="0"/>
              <w:keepLines w:val="0"/>
              <w:topLinePunct/>
              <w:autoSpaceDE w:val="0"/>
              <w:autoSpaceDN w:val="0"/>
              <w:snapToGrid w:val="0"/>
              <w:spacing w:before="0" w:after="0" w:line="460" w:lineRule="exact"/>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 xml:space="preserve">是   </w:t>
            </w:r>
            <w:r>
              <w:rPr>
                <w:rFonts w:hint="eastAsia" w:ascii="宋体" w:hAnsi="宋体" w:eastAsia="宋体" w:cs="宋体"/>
                <w:bCs/>
                <w:color w:val="auto"/>
                <w:sz w:val="24"/>
                <w:highlight w:val="none"/>
              </w:rPr>
              <w:sym w:font="Wingdings 2" w:char="0052"/>
            </w:r>
            <w:r>
              <w:rPr>
                <w:rFonts w:hint="eastAsia" w:ascii="宋体" w:hAnsi="宋体" w:eastAsia="宋体" w:cs="宋体"/>
                <w:bCs/>
                <w:color w:val="auto"/>
                <w:sz w:val="24"/>
                <w:highlight w:val="none"/>
              </w:rPr>
              <w:t>否</w:t>
            </w:r>
          </w:p>
        </w:tc>
      </w:tr>
      <w:tr w14:paraId="282C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3" w:type="dxa"/>
            <w:noWrap w:val="0"/>
            <w:vAlign w:val="center"/>
          </w:tcPr>
          <w:p w14:paraId="4614186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1502" w:type="dxa"/>
            <w:noWrap w:val="0"/>
            <w:vAlign w:val="center"/>
          </w:tcPr>
          <w:p w14:paraId="7EE6E203">
            <w:pPr>
              <w:topLinePunct/>
              <w:autoSpaceDE w:val="0"/>
              <w:autoSpaceDN w:val="0"/>
              <w:spacing w:line="460" w:lineRule="exact"/>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标前答疑</w:t>
            </w:r>
          </w:p>
        </w:tc>
        <w:tc>
          <w:tcPr>
            <w:tcW w:w="7400" w:type="dxa"/>
            <w:noWrap w:val="0"/>
            <w:vAlign w:val="center"/>
          </w:tcPr>
          <w:p w14:paraId="52B4D186">
            <w:pPr>
              <w:pStyle w:val="124"/>
              <w:keepNext w:val="0"/>
              <w:keepLines w:val="0"/>
              <w:topLinePunct/>
              <w:autoSpaceDE w:val="0"/>
              <w:autoSpaceDN w:val="0"/>
              <w:snapToGrid w:val="0"/>
              <w:spacing w:before="0" w:after="0" w:line="460" w:lineRule="exact"/>
              <w:outlineLvl w:val="9"/>
              <w:rPr>
                <w:rFonts w:hint="eastAsia" w:ascii="宋体" w:hAnsi="宋体" w:eastAsia="宋体" w:cs="宋体"/>
                <w:bCs/>
                <w:color w:val="auto"/>
                <w:sz w:val="24"/>
                <w:szCs w:val="24"/>
                <w:highlight w:val="none"/>
              </w:rPr>
            </w:pPr>
            <w:bookmarkStart w:id="29" w:name="_Toc14034"/>
            <w:bookmarkStart w:id="30" w:name="_Toc11465"/>
            <w:bookmarkStart w:id="31" w:name="_Toc27407"/>
            <w:bookmarkStart w:id="32" w:name="_Toc30297"/>
            <w:r>
              <w:rPr>
                <w:rFonts w:hint="eastAsia" w:ascii="宋体" w:hAnsi="宋体" w:eastAsia="宋体" w:cs="宋体"/>
                <w:color w:val="auto"/>
                <w:kern w:val="0"/>
                <w:sz w:val="24"/>
                <w:szCs w:val="24"/>
                <w:highlight w:val="none"/>
              </w:rPr>
              <w:t>磋商文件提供期限截止后，如需要，书面通知</w:t>
            </w:r>
            <w:bookmarkEnd w:id="29"/>
            <w:bookmarkEnd w:id="30"/>
            <w:bookmarkEnd w:id="31"/>
            <w:bookmarkEnd w:id="32"/>
          </w:p>
        </w:tc>
      </w:tr>
      <w:tr w14:paraId="5F96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3" w:type="dxa"/>
            <w:noWrap w:val="0"/>
            <w:vAlign w:val="center"/>
          </w:tcPr>
          <w:p w14:paraId="67E8A97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1502" w:type="dxa"/>
            <w:noWrap w:val="0"/>
            <w:vAlign w:val="center"/>
          </w:tcPr>
          <w:p w14:paraId="64002979">
            <w:pPr>
              <w:spacing w:line="420" w:lineRule="exact"/>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本项目所属</w:t>
            </w:r>
          </w:p>
          <w:p w14:paraId="472C9751">
            <w:pPr>
              <w:spacing w:line="420" w:lineRule="exact"/>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行业</w:t>
            </w:r>
          </w:p>
        </w:tc>
        <w:tc>
          <w:tcPr>
            <w:tcW w:w="7400" w:type="dxa"/>
            <w:noWrap w:val="0"/>
            <w:vAlign w:val="center"/>
          </w:tcPr>
          <w:p w14:paraId="6A002302">
            <w:pPr>
              <w:pStyle w:val="124"/>
              <w:keepNext w:val="0"/>
              <w:keepLines w:val="0"/>
              <w:snapToGrid w:val="0"/>
              <w:spacing w:before="0" w:after="0" w:line="420" w:lineRule="exact"/>
              <w:outlineLvl w:val="9"/>
              <w:rPr>
                <w:rFonts w:hint="eastAsia" w:ascii="宋体" w:hAnsi="宋体" w:eastAsia="宋体" w:cs="宋体"/>
                <w:b/>
                <w:bCs/>
                <w:color w:val="auto"/>
                <w:sz w:val="24"/>
                <w:szCs w:val="24"/>
                <w:highlight w:val="none"/>
                <w:lang w:eastAsia="zh-CN"/>
              </w:rPr>
            </w:pPr>
            <w:bookmarkStart w:id="33" w:name="_Toc16291"/>
            <w:bookmarkStart w:id="34" w:name="_Toc24651"/>
            <w:bookmarkStart w:id="35" w:name="_Toc28011"/>
            <w:bookmarkStart w:id="36" w:name="_Toc25638"/>
            <w:r>
              <w:rPr>
                <w:rFonts w:hint="eastAsia" w:ascii="宋体" w:hAnsi="宋体" w:eastAsia="宋体" w:cs="宋体"/>
                <w:b/>
                <w:bCs/>
                <w:color w:val="auto"/>
                <w:sz w:val="24"/>
                <w:szCs w:val="24"/>
                <w:highlight w:val="none"/>
              </w:rPr>
              <w:t>根据中小企业划型标准，本项目属</w:t>
            </w:r>
            <w:bookmarkEnd w:id="33"/>
            <w:bookmarkEnd w:id="34"/>
            <w:bookmarkEnd w:id="35"/>
            <w:bookmarkEnd w:id="36"/>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rPr>
              <w:t>其他未列明</w:t>
            </w:r>
            <w:r>
              <w:rPr>
                <w:rFonts w:hint="eastAsia" w:ascii="宋体" w:hAnsi="宋体" w:eastAsia="宋体" w:cs="宋体"/>
                <w:b/>
                <w:bCs/>
                <w:color w:val="auto"/>
                <w:sz w:val="24"/>
                <w:szCs w:val="24"/>
                <w:highlight w:val="none"/>
                <w:u w:val="single"/>
                <w:lang w:val="en-US" w:eastAsia="zh-CN"/>
              </w:rPr>
              <w:t>行业</w:t>
            </w:r>
            <w:r>
              <w:rPr>
                <w:rFonts w:hint="eastAsia" w:ascii="宋体" w:hAnsi="宋体" w:eastAsia="宋体" w:cs="宋体"/>
                <w:b/>
                <w:bCs/>
                <w:color w:val="auto"/>
                <w:sz w:val="24"/>
                <w:highlight w:val="none"/>
                <w:u w:val="single"/>
                <w:lang w:eastAsia="zh-CN"/>
              </w:rPr>
              <w:t>。</w:t>
            </w:r>
            <w:r>
              <w:rPr>
                <w:rFonts w:hint="eastAsia" w:ascii="宋体" w:hAnsi="宋体" w:eastAsia="宋体" w:cs="宋体"/>
                <w:color w:val="auto"/>
                <w:sz w:val="24"/>
                <w:lang w:val="en-US" w:eastAsia="zh-CN"/>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tc>
      </w:tr>
      <w:tr w14:paraId="7527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683" w:type="dxa"/>
            <w:noWrap w:val="0"/>
            <w:vAlign w:val="center"/>
          </w:tcPr>
          <w:p w14:paraId="307F3AB1">
            <w:pPr>
              <w:keepNext/>
              <w:topLinePunct/>
              <w:autoSpaceDE w:val="0"/>
              <w:autoSpaceDN w:val="0"/>
              <w:adjustRightInd w:val="0"/>
              <w:snapToGrid w:val="0"/>
              <w:jc w:val="center"/>
              <w:rPr>
                <w:rFonts w:hint="eastAsia" w:ascii="宋体" w:hAnsi="宋体" w:eastAsia="宋体" w:cs="宋体"/>
                <w:sz w:val="24"/>
                <w:highlight w:val="none"/>
                <w:lang w:eastAsia="zh-CN"/>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5</w:t>
            </w:r>
          </w:p>
        </w:tc>
        <w:tc>
          <w:tcPr>
            <w:tcW w:w="1502" w:type="dxa"/>
            <w:noWrap w:val="0"/>
            <w:vAlign w:val="center"/>
          </w:tcPr>
          <w:p w14:paraId="62E81CF9">
            <w:pPr>
              <w:keepNext/>
              <w:topLinePunct/>
              <w:autoSpaceDE w:val="0"/>
              <w:autoSpaceDN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color w:val="000000" w:themeColor="text1"/>
                <w:sz w:val="24"/>
                <w14:textFill>
                  <w14:solidFill>
                    <w14:schemeClr w14:val="tx1"/>
                  </w14:solidFill>
                </w14:textFill>
              </w:rPr>
              <w:t>电子化招标项目视为串通情形的认定</w:t>
            </w:r>
          </w:p>
        </w:tc>
        <w:tc>
          <w:tcPr>
            <w:tcW w:w="7400" w:type="dxa"/>
            <w:noWrap w:val="0"/>
            <w:vAlign w:val="center"/>
          </w:tcPr>
          <w:p w14:paraId="1B2C6CBB">
            <w:pPr>
              <w:keepNext/>
              <w:topLinePunct/>
              <w:autoSpaceDE w:val="0"/>
              <w:autoSpaceDN w:val="0"/>
              <w:adjustRightInd w:val="0"/>
              <w:snapToGrid w:val="0"/>
              <w:spacing w:line="360" w:lineRule="auto"/>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1、系统记录的参加同一项目的不同</w:t>
            </w: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编制电子</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使用的计算机或上传电子</w:t>
            </w:r>
            <w:r>
              <w:rPr>
                <w:rFonts w:hint="eastAsia" w:ascii="宋体" w:hAnsi="宋体" w:eastAsia="宋体" w:cs="宋体"/>
                <w:color w:val="000000" w:themeColor="text1"/>
                <w:sz w:val="24"/>
                <w:lang w:val="en-US" w:eastAsia="zh-CN"/>
                <w14:textFill>
                  <w14:solidFill>
                    <w14:schemeClr w14:val="tx1"/>
                  </w14:solidFill>
                </w14:textFill>
              </w:rPr>
              <w:t>响应</w:t>
            </w:r>
            <w:r>
              <w:rPr>
                <w:rFonts w:hint="eastAsia" w:ascii="宋体" w:hAnsi="宋体" w:eastAsia="宋体" w:cs="宋体"/>
                <w:color w:val="000000" w:themeColor="text1"/>
                <w:sz w:val="24"/>
                <w14:textFill>
                  <w14:solidFill>
                    <w14:schemeClr w14:val="tx1"/>
                  </w14:solidFill>
                </w14:textFill>
              </w:rPr>
              <w:t>文件使用的计算机网卡MAC地址、IP地址一致的</w:t>
            </w:r>
            <w:r>
              <w:rPr>
                <w:rFonts w:hint="eastAsia" w:ascii="宋体" w:hAnsi="宋体" w:eastAsia="宋体" w:cs="宋体"/>
                <w:color w:val="000000" w:themeColor="text1"/>
                <w:sz w:val="24"/>
                <w:lang w:eastAsia="zh-CN"/>
                <w14:textFill>
                  <w14:solidFill>
                    <w14:schemeClr w14:val="tx1"/>
                  </w14:solidFill>
                </w14:textFill>
              </w:rPr>
              <w:t>；</w:t>
            </w:r>
          </w:p>
          <w:p w14:paraId="5CAC8F01">
            <w:pPr>
              <w:keepNext/>
              <w:topLinePunct/>
              <w:autoSpaceDE w:val="0"/>
              <w:autoSpaceDN w:val="0"/>
              <w:adjustRightInd w:val="0"/>
              <w:snapToGrid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上传的电子</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若出现使用本项目其他</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的数字证书加密的或加盖本项目的其他</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的电子印章的。</w:t>
            </w:r>
          </w:p>
          <w:p w14:paraId="453CD428">
            <w:pPr>
              <w:keepNext/>
              <w:topLinePunct/>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lang w:val="en-US" w:eastAsia="zh-CN"/>
                <w14:textFill>
                  <w14:solidFill>
                    <w14:schemeClr w14:val="tx1"/>
                  </w14:solidFill>
                </w14:textFill>
              </w:rPr>
              <w:t>注：</w:t>
            </w:r>
            <w:r>
              <w:rPr>
                <w:rFonts w:hint="eastAsia" w:ascii="宋体" w:hAnsi="宋体" w:eastAsia="宋体" w:cs="宋体"/>
                <w:b/>
                <w:bCs/>
                <w:color w:val="000000" w:themeColor="text1"/>
                <w:sz w:val="24"/>
                <w14:textFill>
                  <w14:solidFill>
                    <w14:schemeClr w14:val="tx1"/>
                  </w14:solidFill>
                </w14:textFill>
              </w:rPr>
              <w:t>在评审过程中如发现</w:t>
            </w:r>
            <w:r>
              <w:rPr>
                <w:rFonts w:hint="eastAsia" w:ascii="宋体" w:hAnsi="宋体" w:eastAsia="宋体" w:cs="宋体"/>
                <w:b/>
                <w:bCs/>
                <w:color w:val="000000" w:themeColor="text1"/>
                <w:sz w:val="24"/>
                <w:lang w:eastAsia="zh-CN"/>
                <w14:textFill>
                  <w14:solidFill>
                    <w14:schemeClr w14:val="tx1"/>
                  </w14:solidFill>
                </w14:textFill>
              </w:rPr>
              <w:t>供应商</w:t>
            </w:r>
            <w:r>
              <w:rPr>
                <w:rFonts w:hint="eastAsia" w:ascii="宋体" w:hAnsi="宋体" w:eastAsia="宋体" w:cs="宋体"/>
                <w:b/>
                <w:bCs/>
                <w:color w:val="000000" w:themeColor="text1"/>
                <w:sz w:val="24"/>
                <w14:textFill>
                  <w14:solidFill>
                    <w14:schemeClr w14:val="tx1"/>
                  </w14:solidFill>
                </w14:textFill>
              </w:rPr>
              <w:t>有上述情形的，</w:t>
            </w:r>
            <w:r>
              <w:rPr>
                <w:rFonts w:hint="eastAsia" w:ascii="宋体" w:hAnsi="宋体" w:eastAsia="宋体" w:cs="宋体"/>
                <w:b/>
                <w:bCs/>
                <w:color w:val="000000" w:themeColor="text1"/>
                <w:sz w:val="24"/>
                <w:lang w:eastAsia="zh-CN"/>
                <w14:textFill>
                  <w14:solidFill>
                    <w14:schemeClr w14:val="tx1"/>
                  </w14:solidFill>
                </w14:textFill>
              </w:rPr>
              <w:t>磋商小组</w:t>
            </w:r>
            <w:r>
              <w:rPr>
                <w:rFonts w:hint="eastAsia" w:ascii="宋体" w:hAnsi="宋体" w:eastAsia="宋体" w:cs="宋体"/>
                <w:b/>
                <w:bCs/>
                <w:color w:val="000000" w:themeColor="text1"/>
                <w:sz w:val="24"/>
                <w14:textFill>
                  <w14:solidFill>
                    <w14:schemeClr w14:val="tx1"/>
                  </w14:solidFill>
                </w14:textFill>
              </w:rPr>
              <w:t>应当根据采购文件认定串通行为，认定其投标无效，评标报告详细记录相关情况，并由采购代理机构书面报告本级财政部门。</w:t>
            </w:r>
          </w:p>
        </w:tc>
      </w:tr>
    </w:tbl>
    <w:p w14:paraId="076DFA91">
      <w:pPr>
        <w:spacing w:line="360" w:lineRule="auto"/>
        <w:rPr>
          <w:rFonts w:hint="eastAsia" w:ascii="宋体" w:hAnsi="宋体" w:eastAsia="宋体" w:cs="宋体"/>
          <w:highlight w:val="none"/>
        </w:rPr>
      </w:pPr>
      <w:r>
        <w:rPr>
          <w:rFonts w:hint="eastAsia" w:ascii="宋体" w:hAnsi="宋体" w:eastAsia="宋体" w:cs="宋体"/>
          <w:sz w:val="24"/>
          <w:highlight w:val="none"/>
        </w:rPr>
        <w:t>注：本表内容与供应商须知内容不一致的，以本表内容为准。</w:t>
      </w:r>
    </w:p>
    <w:p w14:paraId="00D34F30">
      <w:pPr>
        <w:snapToGrid w:val="0"/>
        <w:jc w:val="center"/>
        <w:rPr>
          <w:rFonts w:hint="eastAsia" w:ascii="宋体" w:hAnsi="宋体" w:eastAsia="宋体" w:cs="宋体"/>
          <w:b/>
          <w:bCs/>
          <w:spacing w:val="20"/>
          <w:kern w:val="0"/>
          <w:sz w:val="32"/>
          <w:szCs w:val="32"/>
          <w:highlight w:val="none"/>
        </w:rPr>
      </w:pPr>
      <w:bookmarkStart w:id="37" w:name="_Toc9017"/>
      <w:bookmarkStart w:id="38" w:name="_Toc24898"/>
      <w:bookmarkStart w:id="39" w:name="_Toc29139"/>
      <w:r>
        <w:rPr>
          <w:rFonts w:hint="eastAsia" w:ascii="宋体" w:hAnsi="宋体" w:eastAsia="宋体" w:cs="宋体"/>
          <w:b/>
          <w:bCs/>
          <w:spacing w:val="20"/>
          <w:kern w:val="0"/>
          <w:sz w:val="32"/>
          <w:szCs w:val="32"/>
          <w:highlight w:val="none"/>
        </w:rPr>
        <w:br w:type="page"/>
      </w:r>
      <w:r>
        <w:rPr>
          <w:rFonts w:hint="eastAsia" w:ascii="宋体" w:hAnsi="宋体" w:eastAsia="宋体" w:cs="宋体"/>
          <w:b/>
          <w:bCs/>
          <w:spacing w:val="20"/>
          <w:kern w:val="0"/>
          <w:sz w:val="32"/>
          <w:szCs w:val="32"/>
          <w:highlight w:val="none"/>
        </w:rPr>
        <w:t>电子响应须知附表</w:t>
      </w:r>
      <w:bookmarkEnd w:id="37"/>
      <w:bookmarkEnd w:id="38"/>
      <w:bookmarkEnd w:id="39"/>
    </w:p>
    <w:tbl>
      <w:tblPr>
        <w:tblStyle w:val="36"/>
        <w:tblW w:w="5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18"/>
        <w:gridCol w:w="7417"/>
      </w:tblGrid>
      <w:tr w14:paraId="61B2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5" w:type="dxa"/>
            <w:noWrap w:val="0"/>
            <w:vAlign w:val="center"/>
          </w:tcPr>
          <w:p w14:paraId="2A105F8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311" w:type="dxa"/>
            <w:noWrap w:val="0"/>
            <w:vAlign w:val="center"/>
          </w:tcPr>
          <w:p w14:paraId="161DFAA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条款名称</w:t>
            </w:r>
          </w:p>
        </w:tc>
        <w:tc>
          <w:tcPr>
            <w:tcW w:w="7378" w:type="dxa"/>
            <w:noWrap w:val="0"/>
            <w:vAlign w:val="center"/>
          </w:tcPr>
          <w:p w14:paraId="4389573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7B11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5" w:type="dxa"/>
            <w:noWrap w:val="0"/>
            <w:vAlign w:val="center"/>
          </w:tcPr>
          <w:p w14:paraId="464FFDF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311" w:type="dxa"/>
            <w:noWrap w:val="0"/>
            <w:vAlign w:val="center"/>
          </w:tcPr>
          <w:p w14:paraId="5EC6D99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响应文件编制</w:t>
            </w:r>
          </w:p>
        </w:tc>
        <w:tc>
          <w:tcPr>
            <w:tcW w:w="7378" w:type="dxa"/>
            <w:noWrap w:val="0"/>
            <w:vAlign w:val="center"/>
          </w:tcPr>
          <w:p w14:paraId="0C2193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1.1供应商应使用山西政府采购平台系统的响应文件编制工具，按照操作手册编制电子响应文件，并使用数字证书（CA）按照磋商文件规定签字、盖章。同时使用数字证书（CA）对响应文件进行加密。</w:t>
            </w:r>
          </w:p>
          <w:p w14:paraId="7696E4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1.2在上传电子响应文件时，需对应系统中每个模块要求，形成独立的PDF格式文件，按照指定对应模块，逐条完成上传，保存后提交。</w:t>
            </w:r>
          </w:p>
          <w:p w14:paraId="507831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1.3电子响应文件所附各类证件、证书、证明，均随响应文件统一编排页码进行上传。</w:t>
            </w:r>
          </w:p>
        </w:tc>
      </w:tr>
      <w:tr w14:paraId="6C05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5" w:type="dxa"/>
            <w:noWrap w:val="0"/>
            <w:vAlign w:val="center"/>
          </w:tcPr>
          <w:p w14:paraId="265F019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311" w:type="dxa"/>
            <w:noWrap w:val="0"/>
            <w:vAlign w:val="center"/>
          </w:tcPr>
          <w:p w14:paraId="07C4943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电子响应文件解密</w:t>
            </w:r>
          </w:p>
        </w:tc>
        <w:tc>
          <w:tcPr>
            <w:tcW w:w="7378" w:type="dxa"/>
            <w:noWrap w:val="0"/>
            <w:vAlign w:val="center"/>
          </w:tcPr>
          <w:p w14:paraId="157DED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2.1在磋商文件规定的响应文件开启时间后，采购代理机构会在山西政府采购平台系统发出解密指令，供应商在收到解密指令后，须使用加密响应文件时所使用的数字证书（CA）对已递交（上传）的电子响应文件进行解密（可远程解密）。</w:t>
            </w:r>
          </w:p>
          <w:p w14:paraId="23C2F8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电子响应文件解密流程：使用用户名密码或电子CA登录山西政府采购平台系统→项目采购→开标评标→找到对应项目→解密→输入CA密码→开始下载→解密完成。</w:t>
            </w:r>
          </w:p>
          <w:p w14:paraId="0E7646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因供应商原因造成响应文件未解密的，视为撤销其响应文件，包括以下情形：</w:t>
            </w:r>
          </w:p>
          <w:p w14:paraId="42EAED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（1）供应商未在规定时间内解密响应文件的；</w:t>
            </w:r>
          </w:p>
          <w:p w14:paraId="602490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（2）供应商使用非本次磋商加密用CA数字证书解密的；</w:t>
            </w:r>
          </w:p>
          <w:p w14:paraId="3F722B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（3）供应商使用的CA数字证书属于注销或无效或损坏的。</w:t>
            </w:r>
          </w:p>
        </w:tc>
      </w:tr>
      <w:tr w14:paraId="00F3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5" w:type="dxa"/>
            <w:noWrap w:val="0"/>
            <w:vAlign w:val="center"/>
          </w:tcPr>
          <w:p w14:paraId="7FFBC452">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311" w:type="dxa"/>
            <w:noWrap w:val="0"/>
            <w:vAlign w:val="center"/>
          </w:tcPr>
          <w:p w14:paraId="7C38DF1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其他</w:t>
            </w:r>
          </w:p>
        </w:tc>
        <w:tc>
          <w:tcPr>
            <w:tcW w:w="7378" w:type="dxa"/>
            <w:noWrap w:val="0"/>
            <w:vAlign w:val="center"/>
          </w:tcPr>
          <w:p w14:paraId="1A711469">
            <w:pPr>
              <w:keepNext/>
              <w:topLinePunct/>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3.1本项目采购活动实行全流程电子化。</w:t>
            </w:r>
            <w:r>
              <w:rPr>
                <w:rFonts w:hint="eastAsia" w:ascii="宋体" w:hAnsi="宋体" w:eastAsia="宋体" w:cs="宋体"/>
                <w:sz w:val="24"/>
                <w:lang w:eastAsia="zh-CN"/>
              </w:rPr>
              <w:t>磋商小组</w:t>
            </w:r>
            <w:r>
              <w:rPr>
                <w:rFonts w:hint="eastAsia" w:ascii="宋体" w:hAnsi="宋体" w:eastAsia="宋体" w:cs="宋体"/>
                <w:sz w:val="24"/>
              </w:rPr>
              <w:t>以经</w:t>
            </w:r>
            <w:r>
              <w:rPr>
                <w:rFonts w:hint="eastAsia" w:ascii="宋体" w:hAnsi="宋体" w:eastAsia="宋体" w:cs="宋体"/>
                <w:sz w:val="24"/>
                <w:lang w:eastAsia="zh-CN"/>
              </w:rPr>
              <w:t>供应商</w:t>
            </w:r>
            <w:r>
              <w:rPr>
                <w:rFonts w:hint="eastAsia" w:ascii="宋体" w:hAnsi="宋体" w:eastAsia="宋体" w:cs="宋体"/>
                <w:sz w:val="24"/>
              </w:rPr>
              <w:t>CA加密的电子文件为评审依据（特殊情况下，启用备份文件的除外），</w:t>
            </w:r>
            <w:r>
              <w:rPr>
                <w:rFonts w:hint="eastAsia" w:ascii="宋体" w:hAnsi="宋体" w:eastAsia="宋体" w:cs="宋体"/>
                <w:sz w:val="24"/>
                <w:lang w:eastAsia="zh-CN"/>
              </w:rPr>
              <w:t>供应商</w:t>
            </w:r>
            <w:r>
              <w:rPr>
                <w:rFonts w:hint="eastAsia" w:ascii="宋体" w:hAnsi="宋体" w:eastAsia="宋体" w:cs="宋体"/>
                <w:sz w:val="24"/>
              </w:rPr>
              <w:t>对所提供材料的真实性和一致性负责。</w:t>
            </w:r>
          </w:p>
          <w:p w14:paraId="10E061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rPr>
              <w:t>3.2项目</w:t>
            </w:r>
            <w:r>
              <w:rPr>
                <w:rFonts w:hint="eastAsia" w:ascii="宋体" w:hAnsi="宋体" w:eastAsia="宋体" w:cs="宋体"/>
                <w:sz w:val="24"/>
                <w:lang w:val="en-US" w:eastAsia="zh-CN"/>
              </w:rPr>
              <w:t>成交</w:t>
            </w:r>
            <w:r>
              <w:rPr>
                <w:rFonts w:hint="eastAsia" w:ascii="宋体" w:hAnsi="宋体" w:eastAsia="宋体" w:cs="宋体"/>
                <w:sz w:val="24"/>
              </w:rPr>
              <w:t>后，代理机构使用CA签章直接以电子文档形式在线向</w:t>
            </w:r>
            <w:r>
              <w:rPr>
                <w:rFonts w:hint="eastAsia" w:ascii="宋体" w:hAnsi="宋体" w:eastAsia="宋体" w:cs="宋体"/>
                <w:sz w:val="24"/>
                <w:lang w:val="en-US" w:eastAsia="zh-CN"/>
              </w:rPr>
              <w:t>成交</w:t>
            </w:r>
            <w:r>
              <w:rPr>
                <w:rFonts w:hint="eastAsia" w:ascii="宋体" w:hAnsi="宋体" w:eastAsia="宋体" w:cs="宋体"/>
                <w:sz w:val="24"/>
              </w:rPr>
              <w:t>人发送</w:t>
            </w:r>
            <w:r>
              <w:rPr>
                <w:rFonts w:hint="eastAsia" w:ascii="宋体" w:hAnsi="宋体" w:eastAsia="宋体" w:cs="宋体"/>
                <w:sz w:val="24"/>
                <w:lang w:val="en-US" w:eastAsia="zh-CN"/>
              </w:rPr>
              <w:t>成交</w:t>
            </w:r>
            <w:r>
              <w:rPr>
                <w:rFonts w:hint="eastAsia" w:ascii="宋体" w:hAnsi="宋体" w:eastAsia="宋体" w:cs="宋体"/>
                <w:sz w:val="24"/>
              </w:rPr>
              <w:t>通知书，不再发送纸质</w:t>
            </w:r>
            <w:r>
              <w:rPr>
                <w:rFonts w:hint="eastAsia" w:ascii="宋体" w:hAnsi="宋体" w:eastAsia="宋体" w:cs="宋体"/>
                <w:sz w:val="24"/>
                <w:lang w:val="en-US" w:eastAsia="zh-CN"/>
              </w:rPr>
              <w:t>成交</w:t>
            </w:r>
            <w:r>
              <w:rPr>
                <w:rFonts w:hint="eastAsia" w:ascii="宋体" w:hAnsi="宋体" w:eastAsia="宋体" w:cs="宋体"/>
                <w:sz w:val="24"/>
              </w:rPr>
              <w:t>通知书</w:t>
            </w:r>
            <w:r>
              <w:rPr>
                <w:rFonts w:hint="eastAsia" w:ascii="宋体" w:hAnsi="宋体" w:eastAsia="宋体" w:cs="宋体"/>
                <w:sz w:val="24"/>
                <w:highlight w:val="none"/>
              </w:rPr>
              <w:t>。</w:t>
            </w:r>
          </w:p>
        </w:tc>
      </w:tr>
    </w:tbl>
    <w:p w14:paraId="61D70D27">
      <w:pPr>
        <w:overflowPunct w:val="0"/>
        <w:topLinePunct/>
        <w:autoSpaceDN w:val="0"/>
        <w:adjustRightInd w:val="0"/>
        <w:snapToGrid w:val="0"/>
        <w:spacing w:line="360" w:lineRule="auto"/>
        <w:rPr>
          <w:rFonts w:hint="eastAsia" w:ascii="宋体" w:hAnsi="宋体" w:eastAsia="宋体" w:cs="宋体"/>
          <w:sz w:val="24"/>
          <w:highlight w:val="none"/>
        </w:rPr>
      </w:pPr>
      <w:bookmarkStart w:id="40" w:name="_Toc21360"/>
      <w:bookmarkStart w:id="41" w:name="_Toc20141"/>
      <w:bookmarkStart w:id="42" w:name="_Toc2961"/>
      <w:r>
        <w:rPr>
          <w:rFonts w:hint="eastAsia" w:ascii="宋体" w:hAnsi="宋体" w:eastAsia="宋体" w:cs="宋体"/>
          <w:sz w:val="24"/>
          <w:highlight w:val="none"/>
        </w:rPr>
        <w:t>注：本表内容与供应商须知内容不一致的，以本表内容为准。</w:t>
      </w:r>
      <w:bookmarkEnd w:id="40"/>
      <w:bookmarkEnd w:id="41"/>
      <w:bookmarkEnd w:id="42"/>
      <w:r>
        <w:rPr>
          <w:rFonts w:hint="eastAsia" w:ascii="宋体" w:hAnsi="宋体" w:eastAsia="宋体" w:cs="宋体"/>
          <w:sz w:val="24"/>
          <w:highlight w:val="none"/>
        </w:rPr>
        <w:t>解密流程与本表不一致的，以政采云解密流程为准。</w:t>
      </w:r>
    </w:p>
    <w:p w14:paraId="604305C4">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kern w:val="0"/>
          <w:sz w:val="32"/>
          <w:szCs w:val="32"/>
          <w:highlight w:val="none"/>
        </w:rPr>
      </w:pPr>
      <w:r>
        <w:rPr>
          <w:rFonts w:hint="eastAsia" w:ascii="宋体" w:hAnsi="宋体" w:eastAsia="宋体" w:cs="宋体"/>
          <w:highlight w:val="none"/>
        </w:rPr>
        <w:br w:type="page"/>
      </w:r>
      <w:bookmarkStart w:id="43" w:name="_Toc6967"/>
      <w:bookmarkStart w:id="44" w:name="_Toc27589"/>
      <w:bookmarkStart w:id="45" w:name="_Toc17935"/>
      <w:bookmarkStart w:id="46" w:name="_Toc11340"/>
      <w:r>
        <w:rPr>
          <w:rFonts w:hint="eastAsia" w:ascii="宋体" w:hAnsi="宋体" w:eastAsia="宋体" w:cs="宋体"/>
          <w:b/>
          <w:snapToGrid w:val="0"/>
          <w:kern w:val="0"/>
          <w:sz w:val="32"/>
          <w:szCs w:val="32"/>
          <w:highlight w:val="none"/>
        </w:rPr>
        <w:t>第三部分  供应商须知</w:t>
      </w:r>
      <w:bookmarkEnd w:id="43"/>
      <w:bookmarkEnd w:id="44"/>
      <w:bookmarkEnd w:id="45"/>
      <w:bookmarkEnd w:id="46"/>
    </w:p>
    <w:p w14:paraId="412A6D6E">
      <w:pPr>
        <w:snapToGrid w:val="0"/>
        <w:spacing w:line="360" w:lineRule="auto"/>
        <w:ind w:firstLine="482" w:firstLineChars="200"/>
        <w:outlineLvl w:val="1"/>
        <w:rPr>
          <w:rFonts w:hint="eastAsia" w:ascii="宋体" w:hAnsi="宋体" w:eastAsia="宋体" w:cs="宋体"/>
          <w:bCs/>
          <w:kern w:val="0"/>
          <w:sz w:val="24"/>
          <w:highlight w:val="none"/>
        </w:rPr>
      </w:pPr>
      <w:bookmarkStart w:id="47" w:name="_Toc30089"/>
      <w:bookmarkStart w:id="48" w:name="_Toc3635"/>
      <w:bookmarkStart w:id="49" w:name="_Toc28179"/>
      <w:bookmarkStart w:id="50" w:name="_Toc3276"/>
      <w:r>
        <w:rPr>
          <w:rFonts w:hint="eastAsia" w:ascii="宋体" w:hAnsi="宋体" w:eastAsia="宋体" w:cs="宋体"/>
          <w:b/>
          <w:kern w:val="0"/>
          <w:sz w:val="24"/>
          <w:highlight w:val="none"/>
        </w:rPr>
        <w:t>一、总则</w:t>
      </w:r>
      <w:bookmarkEnd w:id="47"/>
      <w:bookmarkEnd w:id="48"/>
      <w:bookmarkEnd w:id="49"/>
      <w:bookmarkEnd w:id="50"/>
    </w:p>
    <w:p w14:paraId="6F5BF20F">
      <w:pPr>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1. 适用范围</w:t>
      </w:r>
    </w:p>
    <w:p w14:paraId="550F21DF">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本磋商文件适用于本次磋商活动的全过程。</w:t>
      </w:r>
    </w:p>
    <w:p w14:paraId="062950C3">
      <w:pPr>
        <w:tabs>
          <w:tab w:val="left" w:pos="962"/>
        </w:tabs>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 定义</w:t>
      </w:r>
    </w:p>
    <w:p w14:paraId="4413036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2.1采购人：指进行本次磋商活动的单位。</w:t>
      </w:r>
    </w:p>
    <w:p w14:paraId="4883B1D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2.2采购</w:t>
      </w:r>
      <w:r>
        <w:rPr>
          <w:rFonts w:hint="eastAsia" w:ascii="宋体" w:hAnsi="宋体" w:eastAsia="宋体" w:cs="宋体"/>
          <w:kern w:val="0"/>
          <w:sz w:val="24"/>
          <w:highlight w:val="none"/>
        </w:rPr>
        <w:t>代理机构：指在采购人委托的范围内依法开展磋商活动，组织本次磋商活动的执行机构，即“</w:t>
      </w:r>
      <w:r>
        <w:rPr>
          <w:rFonts w:hint="eastAsia" w:ascii="宋体" w:hAnsi="宋体" w:eastAsia="宋体" w:cs="宋体"/>
          <w:kern w:val="0"/>
          <w:sz w:val="24"/>
          <w:highlight w:val="none"/>
          <w:lang w:eastAsia="zh-CN"/>
        </w:rPr>
        <w:t>山西亿通工程项目管理有限公司</w:t>
      </w:r>
      <w:r>
        <w:rPr>
          <w:rFonts w:hint="eastAsia" w:ascii="宋体" w:hAnsi="宋体" w:eastAsia="宋体" w:cs="宋体"/>
          <w:kern w:val="0"/>
          <w:sz w:val="24"/>
          <w:highlight w:val="none"/>
        </w:rPr>
        <w:t>”。</w:t>
      </w:r>
    </w:p>
    <w:p w14:paraId="0E33DA1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2.3潜在供应商：指符合本</w:t>
      </w:r>
      <w:r>
        <w:rPr>
          <w:rFonts w:hint="eastAsia" w:ascii="宋体" w:hAnsi="宋体" w:eastAsia="宋体" w:cs="宋体"/>
          <w:kern w:val="0"/>
          <w:sz w:val="24"/>
          <w:highlight w:val="none"/>
          <w:lang w:eastAsia="zh-CN"/>
        </w:rPr>
        <w:t>项目</w:t>
      </w:r>
      <w:r>
        <w:rPr>
          <w:rFonts w:hint="eastAsia" w:ascii="宋体" w:hAnsi="宋体" w:eastAsia="宋体" w:cs="宋体"/>
          <w:kern w:val="0"/>
          <w:sz w:val="24"/>
          <w:highlight w:val="none"/>
        </w:rPr>
        <w:t>的有关条件和要求，有意愿参加本次竞争性磋商活动的法人、其他组织或者自然人。</w:t>
      </w:r>
    </w:p>
    <w:p w14:paraId="20485D2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2.4供应商：指符合本磋商文件规定向采购代理机构提供响应文件且参加本次竞争性磋商活动的潜在供应商。</w:t>
      </w:r>
    </w:p>
    <w:p w14:paraId="59FDE03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2.5货物：指供应商按磋商文件的规定，须向采购人有偿提供符合采购需求的各种形态和种类的物品及其他有关技术资料和材料。</w:t>
      </w:r>
    </w:p>
    <w:p w14:paraId="4BD6FF1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2.6服务：指供应商按磋商文件的规定，向采购人不以实物形式而以劳动的形式有偿提供符合采购需求的需要和应当履行的承诺和义务。</w:t>
      </w:r>
    </w:p>
    <w:p w14:paraId="600B282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磋商文件：是采购代理机构根据国家相关法律法规政策和采购人采购需求制定的向潜在供应商发出并告知项目需求、磋商活动规则和合同条件等信息的要约文件，是本次磋商活动的主要依据，对本次磋商活动各方均具有法律约束力。</w:t>
      </w:r>
    </w:p>
    <w:p w14:paraId="73701B5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2.8响应文件：是指供应商应按本磋商文件的条件、要求和规定，编制并按时递交的文件。</w:t>
      </w:r>
    </w:p>
    <w:p w14:paraId="72EEC1D3">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 合格供应商的条件</w:t>
      </w:r>
    </w:p>
    <w:p w14:paraId="684C412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14:paraId="63EB35B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关于是否允许代理商参加磋商（见供应商须知前附表第2项）。</w:t>
      </w:r>
    </w:p>
    <w:p w14:paraId="7D410E2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关于是否允许联合体磋商（见供应商须知前附表第3项）。</w:t>
      </w:r>
    </w:p>
    <w:p w14:paraId="742325D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若《竞争性磋商公告》接受联合体参加的：</w:t>
      </w:r>
    </w:p>
    <w:p w14:paraId="7F2B8DD5">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（1）两个以上的法人或者其他组织或自然人可以组成一个联合体，以一个供应商的身份共同参加。</w:t>
      </w:r>
    </w:p>
    <w:p w14:paraId="3AA8CC0D">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（2）联合体各方均应当符合《政府采购法》第二十二条第一款规定的条件，根据采购项目的特殊要求规定供应商特定条件的，联合体各方中至少应当有一方符合《竞争性磋商公告》规定的供应商</w:t>
      </w:r>
      <w:r>
        <w:rPr>
          <w:rFonts w:hint="eastAsia" w:ascii="宋体" w:hAnsi="宋体" w:eastAsia="宋体" w:cs="宋体"/>
          <w:kern w:val="0"/>
          <w:sz w:val="24"/>
          <w:highlight w:val="none"/>
          <w:lang w:val="en-US" w:eastAsia="zh-CN"/>
        </w:rPr>
        <w:t>特定</w:t>
      </w:r>
      <w:r>
        <w:rPr>
          <w:rFonts w:hint="eastAsia" w:ascii="宋体" w:hAnsi="宋体" w:eastAsia="宋体" w:cs="宋体"/>
          <w:kern w:val="0"/>
          <w:sz w:val="24"/>
          <w:highlight w:val="none"/>
        </w:rPr>
        <w:t>资格条件（实质性要求）。</w:t>
      </w:r>
    </w:p>
    <w:p w14:paraId="61A53B2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（3）联合体各方均应当提供供应商须知前附表第5项中1-</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项要求的有效的资格证明文件。</w:t>
      </w:r>
    </w:p>
    <w:p w14:paraId="1383540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7970C2B3">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（5）下载磋商文件时，应以联合体协议中确定的主体方名义下载。</w:t>
      </w:r>
    </w:p>
    <w:p w14:paraId="57762810">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（6）联合体参加的，应以主体方名义提交磋商保证金（如有），对联合体各方均具有约束力。</w:t>
      </w:r>
    </w:p>
    <w:p w14:paraId="7E48993E">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2F0F7C0E">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w:t>
      </w:r>
      <w:r>
        <w:rPr>
          <w:rFonts w:hint="eastAsia" w:ascii="宋体" w:hAnsi="宋体" w:eastAsia="宋体" w:cs="宋体"/>
          <w:color w:val="auto"/>
          <w:kern w:val="0"/>
          <w:sz w:val="24"/>
          <w:szCs w:val="24"/>
          <w:highlight w:val="none"/>
        </w:rPr>
        <w:t>如本项目不是专门面向中小企业的采购项目，</w:t>
      </w:r>
      <w:r>
        <w:rPr>
          <w:rFonts w:hint="eastAsia" w:ascii="宋体" w:hAnsi="宋体" w:eastAsia="宋体" w:cs="宋体"/>
          <w:kern w:val="0"/>
          <w:sz w:val="24"/>
          <w:highlight w:val="none"/>
        </w:rPr>
        <w:t>联合体中任意一方为中小企业的，该方应提供《中小企业声明函》。</w:t>
      </w:r>
    </w:p>
    <w:p w14:paraId="6F10963C">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（9）联合体各方应当共同与采购人签订采购合同，就采购合同约定的事项对采购人承担连带责任。</w:t>
      </w:r>
    </w:p>
    <w:p w14:paraId="55107588">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3.5关于关联企业</w:t>
      </w:r>
    </w:p>
    <w:p w14:paraId="0955FAC2">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除联合体外，法定代表人或单位负责人为同一个人或者存在直接控股、管理关系的不同供应商，不得同时参加同一项目或同一子项目的磋商活动。如同时参加，则评审时将同时被拒绝。</w:t>
      </w:r>
    </w:p>
    <w:p w14:paraId="3E19242E">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3.6关于中小微企业参与磋商</w:t>
      </w:r>
    </w:p>
    <w:p w14:paraId="43F959D4">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中小微企业是指符合《政府采购促进中小企业发展管理办法》（财库[2020]46号）规定的供应商。中小微企业参与磋商应提供《中小企业声明函》。</w:t>
      </w:r>
    </w:p>
    <w:p w14:paraId="1D12A302">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监狱企业参加时，提供由省级以上监狱管理局、戒毒管理局（含新疆生产建设兵团）出具的属于监狱企业的证明文件，不再提供《中小企业声明函》。</w:t>
      </w:r>
    </w:p>
    <w:p w14:paraId="35010968">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残疾人福利性单位视同为小型、微型企业。</w:t>
      </w:r>
    </w:p>
    <w:p w14:paraId="7D2B139A">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3.7关于分公司参加磋商</w:t>
      </w:r>
    </w:p>
    <w:p w14:paraId="6D996845">
      <w:pPr>
        <w:keepNext/>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lang w:val="en-US" w:eastAsia="zh-CN"/>
        </w:rPr>
        <w:t>供应商</w:t>
      </w:r>
      <w:r>
        <w:rPr>
          <w:rFonts w:hint="eastAsia" w:ascii="宋体" w:hAnsi="宋体" w:eastAsia="宋体" w:cs="宋体"/>
          <w:bCs/>
          <w:kern w:val="0"/>
          <w:sz w:val="24"/>
        </w:rPr>
        <w:t>属于石油石化、电力、通信、银行、金融、保险等行业特殊情况的，取得营业执照的分支机构可以以分公司名义参与本项目</w:t>
      </w:r>
      <w:r>
        <w:rPr>
          <w:rFonts w:hint="eastAsia" w:ascii="宋体" w:hAnsi="宋体" w:eastAsia="宋体" w:cs="宋体"/>
          <w:bCs/>
          <w:kern w:val="0"/>
          <w:sz w:val="24"/>
          <w:lang w:val="en-US" w:eastAsia="zh-CN"/>
        </w:rPr>
        <w:t>磋商</w:t>
      </w:r>
      <w:r>
        <w:rPr>
          <w:rFonts w:hint="eastAsia" w:ascii="宋体" w:hAnsi="宋体" w:eastAsia="宋体" w:cs="宋体"/>
          <w:bCs/>
          <w:kern w:val="0"/>
          <w:sz w:val="24"/>
        </w:rPr>
        <w:t>，分支机构应提供总公司出具的参与</w:t>
      </w:r>
      <w:r>
        <w:rPr>
          <w:rFonts w:hint="eastAsia" w:ascii="宋体" w:hAnsi="宋体" w:eastAsia="宋体" w:cs="宋体"/>
          <w:bCs/>
          <w:kern w:val="0"/>
          <w:sz w:val="24"/>
          <w:lang w:val="en-US" w:eastAsia="zh-CN"/>
        </w:rPr>
        <w:t>磋商</w:t>
      </w:r>
      <w:r>
        <w:rPr>
          <w:rFonts w:hint="eastAsia" w:ascii="宋体" w:hAnsi="宋体" w:eastAsia="宋体" w:cs="宋体"/>
          <w:bCs/>
          <w:kern w:val="0"/>
          <w:sz w:val="24"/>
        </w:rPr>
        <w:t>授权委托书或承诺函，但总公司和分支机构不能参加同一合同项下的采购活动。</w:t>
      </w:r>
    </w:p>
    <w:p w14:paraId="28F86EAD">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34000BF">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4.合格的</w:t>
      </w:r>
      <w:r>
        <w:rPr>
          <w:rFonts w:hint="eastAsia" w:ascii="宋体" w:hAnsi="宋体" w:eastAsia="宋体" w:cs="宋体"/>
          <w:kern w:val="0"/>
          <w:sz w:val="24"/>
          <w:highlight w:val="none"/>
          <w:lang w:val="en-US" w:eastAsia="zh-CN"/>
        </w:rPr>
        <w:t>服务</w:t>
      </w:r>
    </w:p>
    <w:p w14:paraId="659D6CCF">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4.1供应商所提供的</w:t>
      </w:r>
      <w:r>
        <w:rPr>
          <w:rFonts w:hint="eastAsia" w:ascii="宋体" w:hAnsi="宋体" w:eastAsia="宋体" w:cs="宋体"/>
          <w:color w:val="000000" w:themeColor="text1"/>
          <w:kern w:val="0"/>
          <w:sz w:val="24"/>
          <w:highlight w:val="none"/>
          <w:lang w:val="en-US" w:eastAsia="zh-CN"/>
          <w14:textFill>
            <w14:solidFill>
              <w14:schemeClr w14:val="tx1"/>
            </w14:solidFill>
          </w14:textFill>
        </w:rPr>
        <w:t>服务</w:t>
      </w:r>
      <w:r>
        <w:rPr>
          <w:rFonts w:hint="eastAsia" w:ascii="宋体" w:hAnsi="宋体" w:eastAsia="宋体" w:cs="宋体"/>
          <w:kern w:val="0"/>
          <w:sz w:val="24"/>
          <w:highlight w:val="none"/>
        </w:rPr>
        <w:t>应当没有侵犯任何第三方的知识产权、技术秘密等合法权利。</w:t>
      </w:r>
    </w:p>
    <w:p w14:paraId="15947B80">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4.2供应商提供的</w:t>
      </w:r>
      <w:r>
        <w:rPr>
          <w:rFonts w:hint="eastAsia" w:ascii="宋体" w:hAnsi="宋体" w:eastAsia="宋体" w:cs="宋体"/>
          <w:color w:val="000000" w:themeColor="text1"/>
          <w:kern w:val="0"/>
          <w:sz w:val="24"/>
          <w:highlight w:val="none"/>
          <w:lang w:val="en-US" w:eastAsia="zh-CN"/>
          <w14:textFill>
            <w14:solidFill>
              <w14:schemeClr w14:val="tx1"/>
            </w14:solidFill>
          </w14:textFill>
        </w:rPr>
        <w:t>服务</w:t>
      </w:r>
      <w:r>
        <w:rPr>
          <w:rFonts w:hint="eastAsia" w:ascii="宋体" w:hAnsi="宋体" w:eastAsia="宋体" w:cs="宋体"/>
          <w:kern w:val="0"/>
          <w:sz w:val="24"/>
          <w:highlight w:val="none"/>
        </w:rPr>
        <w:t>应当符合磋商文件的要求，并且其质量完全符合国家标准、行业标准或地方标准。</w:t>
      </w:r>
    </w:p>
    <w:p w14:paraId="47D17E5A">
      <w:pPr>
        <w:autoSpaceDE w:val="0"/>
        <w:autoSpaceDN w:val="0"/>
        <w:adjustRightIn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4.3系统软件、通用软件必须是具有在中国境内的合法使用权或版权的正版软件，涉及到第三方提出侵权或知识产权的起诉及支付版税等费用由供应商承担所有责任及费用。</w:t>
      </w:r>
    </w:p>
    <w:p w14:paraId="407DB9D4">
      <w:pPr>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5. 磋商费用</w:t>
      </w:r>
    </w:p>
    <w:p w14:paraId="30D4930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5.1供应商应承担准备和参与磋商有关的所有费用，采购代理机构或采购人在任何情况下均无义务和责任承担这些费用。</w:t>
      </w:r>
    </w:p>
    <w:p w14:paraId="14CA638A">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6 磋商要求</w:t>
      </w:r>
    </w:p>
    <w:p w14:paraId="53A1422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6.1供应商所提供的服务方案与技术方案被采购人采用时，成交供应商所提供的服务及相关内容必须符合本《磋商文件》的要求并按要求实施，并认真履行合同规定的相关条款。</w:t>
      </w:r>
    </w:p>
    <w:p w14:paraId="09070F74">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6.2采购代理机构或者采购人可以在磋商文件提供期限截止后，组织已获取磋商文件的潜在供应商现场勘查或者召开标前答疑会。是否组织现场勘查或者召开答疑会的，详见供应商须知前附表第12、13项。而无论采购代理机构是否安排踏勘现场，潜在供应商均应当将相关的因素作为磋商响应所应当考虑或依据的因素。</w:t>
      </w:r>
    </w:p>
    <w:p w14:paraId="15244F9A">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7. 通知</w:t>
      </w:r>
    </w:p>
    <w:p w14:paraId="7DB2415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7.1对与本项目有关的通知，代理机构将通过</w:t>
      </w:r>
      <w:r>
        <w:rPr>
          <w:rFonts w:hint="eastAsia" w:ascii="宋体" w:hAnsi="宋体" w:eastAsia="宋体" w:cs="宋体"/>
          <w:kern w:val="0"/>
          <w:sz w:val="24"/>
          <w:highlight w:val="none"/>
          <w:u w:val="single"/>
        </w:rPr>
        <w:t>山西政府采购平台系统中</w:t>
      </w:r>
      <w:r>
        <w:rPr>
          <w:rFonts w:hint="eastAsia" w:ascii="宋体" w:hAnsi="宋体" w:eastAsia="宋体" w:cs="宋体"/>
          <w:kern w:val="0"/>
          <w:sz w:val="24"/>
          <w:highlight w:val="none"/>
        </w:rPr>
        <w:t>发出（视同书面通知），因线路故障导致通知延迟或无法查看，采购代理机构或采购人将不承担任何责任，有关的磋商活动可以继续有效地进行。</w:t>
      </w:r>
    </w:p>
    <w:p w14:paraId="7772E07C">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8.解释权</w:t>
      </w:r>
    </w:p>
    <w:p w14:paraId="0A6E69A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8.1本次磋商活动的最终解释权归为采购人、采购代理机构。</w:t>
      </w:r>
    </w:p>
    <w:p w14:paraId="7B2252E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8.2当对一个问题有多种解释时以采购人、采购代理机构的解释为准。</w:t>
      </w:r>
    </w:p>
    <w:p w14:paraId="6A2CD0B7">
      <w:pPr>
        <w:snapToGrid w:val="0"/>
        <w:spacing w:line="360" w:lineRule="auto"/>
        <w:ind w:firstLine="480" w:firstLineChars="200"/>
        <w:rPr>
          <w:rFonts w:hint="eastAsia" w:ascii="宋体" w:hAnsi="宋体" w:eastAsia="宋体" w:cs="宋体"/>
          <w:kern w:val="0"/>
          <w:sz w:val="24"/>
          <w:highlight w:val="none"/>
        </w:rPr>
      </w:pPr>
      <w:bookmarkStart w:id="51" w:name="_Toc26795"/>
      <w:bookmarkStart w:id="52" w:name="_Toc15319"/>
      <w:bookmarkStart w:id="53" w:name="_Toc7299"/>
      <w:bookmarkStart w:id="54" w:name="_Toc2848"/>
      <w:r>
        <w:rPr>
          <w:rFonts w:hint="eastAsia" w:ascii="宋体" w:hAnsi="宋体" w:eastAsia="宋体" w:cs="宋体"/>
          <w:kern w:val="0"/>
          <w:sz w:val="24"/>
          <w:highlight w:val="none"/>
        </w:rPr>
        <w:t>8.3本文件未作须知明示，而又有相关法律、法规规定的，采购人、采购代理机构将依据相关法律法规的规定进行解释。</w:t>
      </w:r>
      <w:bookmarkEnd w:id="51"/>
      <w:bookmarkEnd w:id="52"/>
      <w:bookmarkEnd w:id="53"/>
      <w:bookmarkEnd w:id="54"/>
    </w:p>
    <w:p w14:paraId="36096004">
      <w:pPr>
        <w:tabs>
          <w:tab w:val="left" w:pos="567"/>
        </w:tabs>
        <w:snapToGrid w:val="0"/>
        <w:spacing w:line="360" w:lineRule="auto"/>
        <w:ind w:firstLine="482" w:firstLineChars="200"/>
        <w:outlineLvl w:val="1"/>
        <w:rPr>
          <w:rFonts w:hint="eastAsia" w:ascii="宋体" w:hAnsi="宋体" w:eastAsia="宋体" w:cs="宋体"/>
          <w:b/>
          <w:bCs/>
          <w:kern w:val="0"/>
          <w:sz w:val="24"/>
          <w:highlight w:val="none"/>
        </w:rPr>
      </w:pPr>
      <w:bookmarkStart w:id="55" w:name="_Toc27353"/>
      <w:bookmarkStart w:id="56" w:name="_Toc11926"/>
      <w:bookmarkStart w:id="57" w:name="_Toc1478"/>
      <w:bookmarkStart w:id="58" w:name="_Toc28481"/>
      <w:r>
        <w:rPr>
          <w:rFonts w:hint="eastAsia" w:ascii="宋体" w:hAnsi="宋体" w:eastAsia="宋体" w:cs="宋体"/>
          <w:b/>
          <w:bCs/>
          <w:kern w:val="0"/>
          <w:sz w:val="24"/>
          <w:highlight w:val="none"/>
        </w:rPr>
        <w:t>二、磋商文件组成、澄清和修改</w:t>
      </w:r>
      <w:bookmarkEnd w:id="55"/>
      <w:bookmarkEnd w:id="56"/>
      <w:bookmarkEnd w:id="57"/>
      <w:bookmarkEnd w:id="58"/>
    </w:p>
    <w:p w14:paraId="27D81401">
      <w:pPr>
        <w:snapToGrid w:val="0"/>
        <w:spacing w:line="360" w:lineRule="auto"/>
        <w:ind w:firstLine="477" w:firstLineChars="198"/>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9.磋商文件的组成</w:t>
      </w:r>
    </w:p>
    <w:p w14:paraId="55453916">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9.1磋商文件由下列</w:t>
      </w:r>
      <w:r>
        <w:rPr>
          <w:rFonts w:hint="eastAsia" w:ascii="宋体" w:hAnsi="宋体" w:eastAsia="宋体" w:cs="宋体"/>
          <w:kern w:val="0"/>
          <w:sz w:val="24"/>
          <w:highlight w:val="none"/>
          <w:lang w:val="en-US" w:eastAsia="zh-CN"/>
        </w:rPr>
        <w:t>八</w:t>
      </w:r>
      <w:r>
        <w:rPr>
          <w:rFonts w:hint="eastAsia" w:ascii="宋体" w:hAnsi="宋体" w:eastAsia="宋体" w:cs="宋体"/>
          <w:kern w:val="0"/>
          <w:sz w:val="24"/>
          <w:highlight w:val="none"/>
        </w:rPr>
        <w:t>部分内容组成：</w:t>
      </w:r>
    </w:p>
    <w:p w14:paraId="53867A24">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第一部分 竞争性磋商公告；</w:t>
      </w:r>
    </w:p>
    <w:p w14:paraId="7540E5AE">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第二部分 供应商须知前附表；</w:t>
      </w:r>
    </w:p>
    <w:p w14:paraId="78F2CD65">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第三部分 供应商须知</w:t>
      </w:r>
    </w:p>
    <w:p w14:paraId="6E8CD754">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评审标准和评定方法；</w:t>
      </w:r>
    </w:p>
    <w:p w14:paraId="04644D53">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14:paraId="470BC24A">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第六部分 </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rPr>
        <w:t>合同范本；</w:t>
      </w:r>
    </w:p>
    <w:p w14:paraId="4FA9C090">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第七部分 响应文件格式；</w:t>
      </w:r>
    </w:p>
    <w:p w14:paraId="094A7F97">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第八部分 相关附件</w:t>
      </w:r>
    </w:p>
    <w:p w14:paraId="6B1471A9">
      <w:pPr>
        <w:pStyle w:val="104"/>
        <w:spacing w:line="360" w:lineRule="auto"/>
        <w:ind w:lef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9.2供应商应详细阅读磋商文件的全部内容。如果没有按照磋商文件要求提交全部资料或者没有对磋商文件在各方面都做出实质性响应，有可能被确定为响应无效。</w:t>
      </w:r>
    </w:p>
    <w:p w14:paraId="3386EEC2">
      <w:pPr>
        <w:pStyle w:val="104"/>
        <w:spacing w:line="360" w:lineRule="auto"/>
        <w:ind w:lef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除非特殊要求，磋商文件不单独提供本磋商项目使用地的自然环境、气候条件、公用设施等情况，供应商被视为熟悉上述与履行合同有关的一切情况。</w:t>
      </w:r>
    </w:p>
    <w:p w14:paraId="66E2FB84">
      <w:pPr>
        <w:pStyle w:val="104"/>
        <w:spacing w:line="360" w:lineRule="auto"/>
        <w:ind w:left="0"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磋商文件的澄清和修改</w:t>
      </w:r>
    </w:p>
    <w:p w14:paraId="4E0EA2AC">
      <w:pPr>
        <w:pStyle w:val="104"/>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10.1澄清或修改时间及处理：上传响应文件截止日之前，代理机构或采购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可以对已发出的磋商文件进行必要的澄清或修改，其内容作为磋商文件的组成部分。所澄清或修改内容可能影响响应文件编制的，代理机构或</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应当在上传响应文件截止时间至少5日前，以公告形式在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发布变更公告。不足5日的，应当顺延提交首次响应文件截止时间。</w:t>
      </w:r>
    </w:p>
    <w:p w14:paraId="35028959">
      <w:pPr>
        <w:pStyle w:val="104"/>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10.2澄清修改的补充文件中包括原提出的问题及问题的说明意见，但不包括问题的来源。</w:t>
      </w:r>
    </w:p>
    <w:p w14:paraId="0A5A502D">
      <w:pPr>
        <w:pStyle w:val="104"/>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10.3供应商澄清要求的提交：任何已下载了磋商文件的供应商，均可以在上传响应文件截止时间5日前对磋商文件进行澄清、询问，并以书面形式（包括书面材料、信函、传真，下同）送达代理机构。</w:t>
      </w:r>
    </w:p>
    <w:p w14:paraId="5DF7751F">
      <w:pPr>
        <w:pStyle w:val="104"/>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10.4澄清、修改及其它答复的效力：代理机构或</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一旦对磋商文件做出澄清或修改，即发生效力，代理机构或</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有关的补充文件，应当作为磋商文件的组成部分，对所有供应商均具有约束力。</w:t>
      </w:r>
    </w:p>
    <w:p w14:paraId="7A41F2C8">
      <w:pPr>
        <w:snapToGrid w:val="0"/>
        <w:spacing w:line="360" w:lineRule="auto"/>
        <w:ind w:firstLine="482" w:firstLineChars="200"/>
        <w:outlineLvl w:val="1"/>
        <w:rPr>
          <w:rFonts w:hint="eastAsia" w:ascii="宋体" w:hAnsi="宋体" w:eastAsia="宋体" w:cs="宋体"/>
          <w:b/>
          <w:kern w:val="0"/>
          <w:sz w:val="24"/>
          <w:highlight w:val="none"/>
        </w:rPr>
      </w:pPr>
      <w:bookmarkStart w:id="59" w:name="_Toc18137"/>
      <w:bookmarkStart w:id="60" w:name="_Toc19836"/>
      <w:bookmarkStart w:id="61" w:name="_Toc27866"/>
      <w:bookmarkStart w:id="62" w:name="_Toc29698"/>
      <w:r>
        <w:rPr>
          <w:rFonts w:hint="eastAsia" w:ascii="宋体" w:hAnsi="宋体" w:eastAsia="宋体" w:cs="宋体"/>
          <w:b/>
          <w:kern w:val="0"/>
          <w:sz w:val="24"/>
          <w:highlight w:val="none"/>
        </w:rPr>
        <w:t>三、响应文件组成与要求</w:t>
      </w:r>
      <w:bookmarkEnd w:id="59"/>
      <w:bookmarkEnd w:id="60"/>
      <w:bookmarkEnd w:id="61"/>
      <w:bookmarkEnd w:id="62"/>
    </w:p>
    <w:p w14:paraId="6A1373EE">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11.响应文件的组成及相关要求</w:t>
      </w:r>
    </w:p>
    <w:p w14:paraId="371C14E7">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11.1响应文件分为资格证明文件和商务技术文件两部分组成。</w:t>
      </w:r>
    </w:p>
    <w:p w14:paraId="5AD66A1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资格证明文件：指供应商提交的证明其有资格参加磋商的文件。</w:t>
      </w:r>
    </w:p>
    <w:p w14:paraId="030BD89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商务、技术文件：指供应商提交的能够证明其成交后有能力履行合同的文件和提供的服务符合本磋商文件规定和政策性要求的文件。</w:t>
      </w:r>
    </w:p>
    <w:p w14:paraId="285F102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磋商，供应商应按磋商文件供应商须知前附表要求，提交资格证明文件和商务、技术文件及供应商自行编写的其他文件。供应商须知前附表第5项资格证明文件、第6项商务技术文件中的加“★”项、本文件第五部分商务、技术要求中加“★”项、政策性要求中国家强制性因素等若有缺失或无效或商务技术文件未实质上响应磋商文件要求，将作无效响应处理。</w:t>
      </w:r>
    </w:p>
    <w:p w14:paraId="4D437D5B">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12.响应文件的其他要求</w:t>
      </w:r>
    </w:p>
    <w:p w14:paraId="4E1D303F">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12.1响应文件的语言和计量单位</w:t>
      </w:r>
    </w:p>
    <w:p w14:paraId="3D5D0E1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12.1.1供应商提交的响应文件（包括商务、技术文件和资料中的说明等）以及供应商与代理机构就有关磋商的所有往来函均应使用中文简体字。</w:t>
      </w:r>
    </w:p>
    <w:p w14:paraId="60C3E2A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12.1.2 响应文件所使用的计量单位，应使用中华人民共</w:t>
      </w:r>
      <w:r>
        <w:rPr>
          <w:rFonts w:hint="eastAsia" w:ascii="宋体" w:hAnsi="宋体" w:eastAsia="宋体" w:cs="宋体"/>
          <w:kern w:val="0"/>
          <w:sz w:val="24"/>
          <w:highlight w:val="none"/>
          <w:lang w:val="en-US" w:eastAsia="zh-CN"/>
        </w:rPr>
        <w:t>和</w:t>
      </w:r>
      <w:r>
        <w:rPr>
          <w:rFonts w:hint="eastAsia" w:ascii="宋体" w:hAnsi="宋体" w:eastAsia="宋体" w:cs="宋体"/>
          <w:kern w:val="0"/>
          <w:sz w:val="24"/>
          <w:highlight w:val="none"/>
        </w:rPr>
        <w:t>国法定计量单位。</w:t>
      </w:r>
    </w:p>
    <w:p w14:paraId="5A9FFFA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717EB1B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原版为外文的证书类、证明类文件，与供应商名称或其它实际情况不符的，供应商应当提供相关证明</w:t>
      </w:r>
      <w:r>
        <w:rPr>
          <w:rFonts w:hint="eastAsia" w:ascii="宋体" w:hAnsi="宋体" w:eastAsia="宋体" w:cs="宋体"/>
          <w:kern w:val="0"/>
          <w:sz w:val="24"/>
          <w:highlight w:val="none"/>
          <w:lang w:val="en-US" w:eastAsia="zh-CN"/>
        </w:rPr>
        <w:t>材料</w:t>
      </w:r>
      <w:r>
        <w:rPr>
          <w:rFonts w:hint="eastAsia" w:ascii="宋体" w:hAnsi="宋体" w:eastAsia="宋体" w:cs="宋体"/>
          <w:kern w:val="0"/>
          <w:sz w:val="24"/>
          <w:highlight w:val="none"/>
        </w:rPr>
        <w:t>。</w:t>
      </w:r>
    </w:p>
    <w:p w14:paraId="3705460D">
      <w:pPr>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12.2</w:t>
      </w:r>
      <w:r>
        <w:rPr>
          <w:rFonts w:hint="eastAsia" w:ascii="宋体" w:hAnsi="宋体" w:eastAsia="宋体" w:cs="宋体"/>
          <w:kern w:val="0"/>
          <w:sz w:val="24"/>
          <w:highlight w:val="none"/>
        </w:rPr>
        <w:t>编排要求</w:t>
      </w:r>
    </w:p>
    <w:p w14:paraId="2F9335D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18C576A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12.3格式要求</w:t>
      </w:r>
    </w:p>
    <w:p w14:paraId="59A7638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本磋商文件第七部分已提供“响应文件格式”的，需按照格式要求编制和上传（供应商可以对所提供的格式进行扩展，但不得更改格式内容），没有提供格式的，供应商自拟。</w:t>
      </w:r>
    </w:p>
    <w:p w14:paraId="5BAD1379">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如供应商参加多包磋商的，要求按包分别独立制作响应文件。</w:t>
      </w:r>
    </w:p>
    <w:p w14:paraId="4826D9F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12.4响应文件的份数、加密</w:t>
      </w:r>
    </w:p>
    <w:p w14:paraId="46C5827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12.4.1响应文件的份数</w:t>
      </w:r>
    </w:p>
    <w:p w14:paraId="7F5937D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本次磋商须提交的响应文件份数详见供应商须知前附表。</w:t>
      </w:r>
    </w:p>
    <w:p w14:paraId="119B51D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12.4.2响应文件加密</w:t>
      </w:r>
    </w:p>
    <w:p w14:paraId="5C1CFE7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系统中上传的电子响应文件须使用数字电子CA（单位、法人或个人）进行加密。</w:t>
      </w:r>
    </w:p>
    <w:p w14:paraId="7CFBF6E6">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12.5磋商保证金</w:t>
      </w:r>
    </w:p>
    <w:p w14:paraId="6AEA36F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12.5.1供应商应提交的磋商保证金金额和提交方式详见供应商须知前附表第5项。未按要求提交磋商保证金的，响应无效。</w:t>
      </w:r>
    </w:p>
    <w:p w14:paraId="7F82374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12.5.2供应商在响应文件开启时间前撤回已提交的响应文件的，代理机构应当自收到供应商书面撤回通知之日起5个工作日内，退还已收取的磋商保证金，但因供应商自身原因导致无法及时退还的除外。</w:t>
      </w:r>
    </w:p>
    <w:p w14:paraId="429D82D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12.5.3代理机构应当自成交通知书发出之日起5个工作日内退还未成交供应商的磋商保证金，自采购合同签订之日起5个工作日内退还成交供应商的磋商保证金。但因供应商自身原因导致无法及时退还的除外。</w:t>
      </w:r>
    </w:p>
    <w:p w14:paraId="0D4CFA3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12.5.4有下列情形之一的，磋商保证金不予退还：</w:t>
      </w:r>
    </w:p>
    <w:p w14:paraId="0006553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12.5.4.1供应商在响应文件中提供虚假材料的；</w:t>
      </w:r>
    </w:p>
    <w:p w14:paraId="115E510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12.5.4.2除因不可抗力或磋商文件认可的情形外，成交供应商不与采购人签订合同的；</w:t>
      </w:r>
    </w:p>
    <w:p w14:paraId="6FA41BA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12.5.4.3供应商与采购人、其他供应商或者代理机构恶意串通的；</w:t>
      </w:r>
    </w:p>
    <w:p w14:paraId="2687BF8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12.5.4.4磋商有效期内撤回响应文件的</w:t>
      </w:r>
    </w:p>
    <w:p w14:paraId="0EDBBF6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12.5.4.5磋商文件规定的其他情形。</w:t>
      </w:r>
    </w:p>
    <w:p w14:paraId="4568E11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12.5.5已提交响应文件的供应商，在提交最后报价之前，可以根据磋商情况退出报价。代理机构应当退还退出磋商的供应商的磋商保证金。</w:t>
      </w:r>
    </w:p>
    <w:p w14:paraId="41A23B55">
      <w:pPr>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sz w:val="24"/>
          <w:highlight w:val="none"/>
        </w:rPr>
        <w:t>12.6磋商报价</w:t>
      </w:r>
    </w:p>
    <w:p w14:paraId="20EE4991">
      <w:pPr>
        <w:snapToGrid w:val="0"/>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kern w:val="0"/>
          <w:sz w:val="24"/>
          <w:highlight w:val="none"/>
        </w:rPr>
        <w:t>12.6.1所有磋商报价均以</w:t>
      </w:r>
      <w:r>
        <w:rPr>
          <w:rFonts w:hint="eastAsia" w:ascii="宋体" w:hAnsi="宋体" w:eastAsia="宋体" w:cs="宋体"/>
          <w:b/>
          <w:kern w:val="0"/>
          <w:sz w:val="24"/>
          <w:highlight w:val="none"/>
        </w:rPr>
        <w:t>人民币</w:t>
      </w:r>
      <w:r>
        <w:rPr>
          <w:rFonts w:hint="eastAsia" w:ascii="宋体" w:hAnsi="宋体" w:eastAsia="宋体" w:cs="宋体"/>
          <w:kern w:val="0"/>
          <w:sz w:val="24"/>
          <w:highlight w:val="none"/>
        </w:rPr>
        <w:t>“元”为计算单位</w:t>
      </w:r>
      <w:r>
        <w:rPr>
          <w:rFonts w:hint="eastAsia" w:ascii="宋体" w:hAnsi="宋体" w:eastAsia="宋体" w:cs="宋体"/>
          <w:sz w:val="24"/>
          <w:highlight w:val="none"/>
        </w:rPr>
        <w:t>。</w:t>
      </w:r>
      <w:r>
        <w:rPr>
          <w:rFonts w:hint="eastAsia" w:ascii="宋体" w:hAnsi="宋体" w:eastAsia="宋体" w:cs="宋体"/>
          <w:sz w:val="24"/>
          <w:highlight w:val="none"/>
        </w:rPr>
        <w:br w:type="textWrapping"/>
      </w:r>
      <w:r>
        <w:rPr>
          <w:rFonts w:hint="eastAsia" w:ascii="宋体" w:hAnsi="宋体" w:eastAsia="宋体" w:cs="宋体"/>
          <w:color w:val="auto"/>
          <w:sz w:val="24"/>
          <w:highlight w:val="none"/>
          <w:lang w:val="en-US" w:eastAsia="zh-CN"/>
        </w:rPr>
        <w:t>12.6.2</w:t>
      </w:r>
      <w:r>
        <w:rPr>
          <w:rFonts w:hint="eastAsia" w:ascii="宋体" w:hAnsi="宋体" w:eastAsia="宋体" w:cs="宋体"/>
          <w:snapToGrid w:val="0"/>
          <w:color w:val="auto"/>
          <w:kern w:val="0"/>
          <w:sz w:val="24"/>
          <w:highlight w:val="none"/>
          <w:lang w:val="en-US" w:eastAsia="zh-CN"/>
        </w:rPr>
        <w:t>服务报价</w:t>
      </w:r>
    </w:p>
    <w:p w14:paraId="555454F6">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本项目的报价采用人民币进行报价，供应商的报价应包含本项目所有内容的全部费用，并列出分项明细。如未提供明细，采购人将认为包含了所有费用。</w:t>
      </w:r>
    </w:p>
    <w:p w14:paraId="2DC5D05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12.6.</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供应商应按报价要求的内容认真填报“报价一览表”。</w:t>
      </w:r>
    </w:p>
    <w:p w14:paraId="1AAEC9A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12.6.</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 xml:space="preserve">供应商投报多包的，应对每包整包内容分别填报，不得拆包分项报价。 </w:t>
      </w:r>
    </w:p>
    <w:p w14:paraId="73DA588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12.6.</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本次磋商不接受可选择方案的报价。</w:t>
      </w:r>
    </w:p>
    <w:p w14:paraId="3F0BCEB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12.6.</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本项目采用综合评分法，最低报价不能作为成交的保证。</w:t>
      </w:r>
    </w:p>
    <w:p w14:paraId="1F376422">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包含的货物若属于中华人民共和国海关总署公告2021年第44号《“十四五”期间进口科学研究、科技开发和教学用品免税清单》（第一批）第一项中的货物，采购人可享受免税政策。</w:t>
      </w:r>
    </w:p>
    <w:p w14:paraId="12C7840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12.6.</w:t>
      </w:r>
      <w:r>
        <w:rPr>
          <w:rFonts w:hint="eastAsia" w:ascii="宋体" w:hAnsi="宋体" w:eastAsia="宋体" w:cs="宋体"/>
          <w:kern w:val="0"/>
          <w:sz w:val="24"/>
          <w:highlight w:val="none"/>
          <w:lang w:val="en-US" w:eastAsia="zh-CN"/>
        </w:rPr>
        <w:t>8</w:t>
      </w:r>
      <w:r>
        <w:rPr>
          <w:rFonts w:hint="eastAsia" w:ascii="宋体" w:hAnsi="宋体" w:eastAsia="宋体" w:cs="宋体"/>
          <w:kern w:val="0"/>
          <w:sz w:val="24"/>
          <w:highlight w:val="none"/>
        </w:rPr>
        <w:t>供应商对磋商报价若有说明应在报价一览表显著处注明。</w:t>
      </w:r>
    </w:p>
    <w:p w14:paraId="2BDFCC4A">
      <w:pPr>
        <w:pStyle w:val="112"/>
        <w:snapToGrid w:val="0"/>
        <w:spacing w:line="360" w:lineRule="auto"/>
        <w:ind w:firstLine="477" w:firstLineChars="198"/>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13.响应文件填写说明</w:t>
      </w:r>
    </w:p>
    <w:p w14:paraId="6C14F86D">
      <w:pPr>
        <w:pStyle w:val="112"/>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13.1供应商应详细阅读本磋商文件的全部内容。响应文件应对本磋商文件中的内容做出实质性和完整性的响应。</w:t>
      </w:r>
    </w:p>
    <w:p w14:paraId="1393D097">
      <w:pPr>
        <w:pStyle w:val="112"/>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13.2响应文件应严格按照磋商文件第七部分的要求填写，并按规定的统一格式</w:t>
      </w:r>
      <w:r>
        <w:rPr>
          <w:rFonts w:hint="eastAsia" w:ascii="宋体" w:hAnsi="宋体" w:eastAsia="宋体" w:cs="宋体"/>
          <w:sz w:val="24"/>
          <w:szCs w:val="24"/>
          <w:highlight w:val="none"/>
        </w:rPr>
        <w:t>逐项填写，不准有空项、缺项；无相应内容可填的项，应填写“无”、“未测试”、“没有相应指标”、“/”等明确的回答。响应文件未按规定提交或留有空项，将被视为不完整响应的响应文件，其响应文件有可能被拒绝。</w:t>
      </w:r>
    </w:p>
    <w:p w14:paraId="52F0E2B2">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13.3供应商必须对响应文件所提供的全部资料的真实性可靠性负责，并接受磋商小组对其中任何资料进一步审查的要求，</w:t>
      </w:r>
      <w:r>
        <w:rPr>
          <w:rFonts w:hint="eastAsia" w:ascii="宋体" w:hAnsi="宋体" w:eastAsia="宋体" w:cs="宋体"/>
          <w:kern w:val="0"/>
          <w:sz w:val="24"/>
          <w:szCs w:val="24"/>
          <w:highlight w:val="none"/>
        </w:rPr>
        <w:t>且承担相应的法律责任。</w:t>
      </w:r>
    </w:p>
    <w:p w14:paraId="51F15B36">
      <w:pPr>
        <w:pStyle w:val="112"/>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kern w:val="0"/>
          <w:sz w:val="24"/>
          <w:szCs w:val="24"/>
          <w:highlight w:val="none"/>
        </w:rPr>
        <w:t>因响应文件字迹潦草、提交资料不清晰或表达不清楚所引起的不利后果由供应商自行承担。</w:t>
      </w:r>
    </w:p>
    <w:p w14:paraId="4E33A4BB">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13.5</w:t>
      </w:r>
      <w:r>
        <w:rPr>
          <w:rFonts w:hint="eastAsia" w:ascii="宋体" w:hAnsi="宋体" w:eastAsia="宋体" w:cs="宋体"/>
          <w:sz w:val="24"/>
          <w:szCs w:val="24"/>
          <w:highlight w:val="none"/>
        </w:rPr>
        <w:t>为提倡诚实信用的磋商行为，特别要求供应商应本着诚信原则，在本次响应文件的偏离表中按照磋商文件要求</w:t>
      </w:r>
      <w:r>
        <w:rPr>
          <w:rFonts w:hint="eastAsia" w:ascii="宋体" w:hAnsi="宋体" w:eastAsia="宋体" w:cs="宋体"/>
          <w:kern w:val="0"/>
          <w:sz w:val="24"/>
          <w:szCs w:val="24"/>
          <w:highlight w:val="none"/>
        </w:rPr>
        <w:t>（若本次磋商文件中没有提供偏离表或其它偏离文件样本，供应商亦应当自制偏离表并附于本次响应文件中，并应当在总目录及分目录上清楚</w:t>
      </w:r>
      <w:r>
        <w:rPr>
          <w:rFonts w:hint="eastAsia" w:ascii="宋体" w:hAnsi="宋体" w:eastAsia="宋体" w:cs="宋体"/>
          <w:kern w:val="0"/>
          <w:sz w:val="24"/>
          <w:szCs w:val="24"/>
          <w:highlight w:val="none"/>
          <w:lang w:val="en-US" w:eastAsia="zh-CN"/>
        </w:rPr>
        <w:t>标明</w:t>
      </w:r>
      <w:r>
        <w:rPr>
          <w:rFonts w:hint="eastAsia" w:ascii="宋体" w:hAnsi="宋体" w:eastAsia="宋体" w:cs="宋体"/>
          <w:kern w:val="0"/>
          <w:sz w:val="24"/>
          <w:szCs w:val="24"/>
          <w:highlight w:val="none"/>
        </w:rPr>
        <w:t>所在页数）</w:t>
      </w:r>
      <w:r>
        <w:rPr>
          <w:rFonts w:hint="eastAsia" w:ascii="宋体" w:hAnsi="宋体" w:eastAsia="宋体" w:cs="宋体"/>
          <w:sz w:val="24"/>
          <w:szCs w:val="24"/>
          <w:highlight w:val="none"/>
        </w:rPr>
        <w:t>，以审慎的态度明确、清楚地披露各项偏离。</w:t>
      </w:r>
      <w:r>
        <w:rPr>
          <w:rFonts w:hint="eastAsia" w:ascii="宋体" w:hAnsi="宋体" w:eastAsia="宋体" w:cs="宋体"/>
          <w:kern w:val="0"/>
          <w:sz w:val="24"/>
          <w:szCs w:val="24"/>
          <w:highlight w:val="none"/>
        </w:rPr>
        <w:t>一旦在评审中被发现存在重大偏离或被认定为属于重大偏离，则磋商小组有权决定对该响应予以拒绝。</w:t>
      </w:r>
    </w:p>
    <w:p w14:paraId="42876465">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13.6供应商之间不得相互串通报价，不得妨碍其他供应商的公平竞争，不得损害采购单位或者其他供应商的权益。</w:t>
      </w:r>
    </w:p>
    <w:p w14:paraId="2406C6A3">
      <w:pPr>
        <w:pStyle w:val="112"/>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响应文件的有效期</w:t>
      </w:r>
    </w:p>
    <w:p w14:paraId="4A08105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14.1本项目响应文件的有效期详见供应商须知前附表第8项。</w:t>
      </w:r>
      <w:r>
        <w:rPr>
          <w:rFonts w:hint="eastAsia" w:ascii="宋体" w:hAnsi="宋体" w:eastAsia="宋体" w:cs="宋体"/>
          <w:kern w:val="0"/>
          <w:sz w:val="24"/>
          <w:highlight w:val="none"/>
        </w:rPr>
        <w:t>有效期短于该规定期限的响应无效。</w:t>
      </w:r>
    </w:p>
    <w:p w14:paraId="4B66C834">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14.2磋商有效期从提交响应文件的截止之日起算。</w:t>
      </w:r>
    </w:p>
    <w:p w14:paraId="6F00AC60">
      <w:pPr>
        <w:pStyle w:val="112"/>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响应文件的签署及其他规定</w:t>
      </w:r>
    </w:p>
    <w:p w14:paraId="5FC7027E">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15.1组成响应文件的各种文件的签署均应遵守本款规定。</w:t>
      </w:r>
    </w:p>
    <w:p w14:paraId="50617927">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15.2供应商在响应文件及相关文件的签订、履行、通知等事项的文件中的“单位盖章”、“印章”、“公章”等处均仅指与</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名称全称相一致的电子CA章，不得使用其它（如带有“专用章”等字样）印章，否则将按响应无效处理。</w:t>
      </w:r>
    </w:p>
    <w:p w14:paraId="05DEEE62">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15.3供应商应在响应文件中按照磋商文件要求，在指定的位置签署，否则将按响应无效处理。</w:t>
      </w:r>
    </w:p>
    <w:p w14:paraId="774AC7E3">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15.4响应文件应字迹清楚、内容齐全、不得涂改或增删。如有修改和增删，必须加盖供应商电子CA章或法定代表人或其授权的供应商授权代表签署。</w:t>
      </w:r>
    </w:p>
    <w:p w14:paraId="725D7B6C">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15.5因响应文件字迹潦草或表达不清所引起的不利后果由供应商承担。</w:t>
      </w:r>
    </w:p>
    <w:p w14:paraId="6611697E">
      <w:pPr>
        <w:pStyle w:val="112"/>
        <w:snapToGrid w:val="0"/>
        <w:spacing w:line="360" w:lineRule="auto"/>
        <w:ind w:firstLine="482" w:firstLineChars="200"/>
        <w:jc w:val="left"/>
        <w:outlineLvl w:val="1"/>
        <w:rPr>
          <w:rFonts w:hint="eastAsia" w:ascii="宋体" w:hAnsi="宋体" w:eastAsia="宋体" w:cs="宋体"/>
          <w:b/>
          <w:bCs/>
          <w:sz w:val="24"/>
          <w:szCs w:val="24"/>
          <w:highlight w:val="none"/>
        </w:rPr>
      </w:pPr>
      <w:bookmarkStart w:id="63" w:name="_Toc22702"/>
      <w:bookmarkStart w:id="64" w:name="_Toc8703"/>
      <w:bookmarkStart w:id="65" w:name="_Toc7493"/>
      <w:bookmarkStart w:id="66" w:name="_Toc26372"/>
      <w:r>
        <w:rPr>
          <w:rFonts w:hint="eastAsia" w:ascii="宋体" w:hAnsi="宋体" w:eastAsia="宋体" w:cs="宋体"/>
          <w:b/>
          <w:bCs/>
          <w:sz w:val="24"/>
          <w:szCs w:val="24"/>
          <w:highlight w:val="none"/>
        </w:rPr>
        <w:t>四、响应文件的上传截止时间、解密及其他</w:t>
      </w:r>
      <w:bookmarkEnd w:id="63"/>
      <w:bookmarkEnd w:id="64"/>
      <w:bookmarkEnd w:id="65"/>
      <w:bookmarkEnd w:id="66"/>
    </w:p>
    <w:p w14:paraId="11F807FB">
      <w:pPr>
        <w:pStyle w:val="11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16.响应文件的上传截止时间</w:t>
      </w:r>
    </w:p>
    <w:p w14:paraId="1CAB255E">
      <w:pPr>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bCs/>
          <w:sz w:val="24"/>
          <w:highlight w:val="none"/>
        </w:rPr>
        <w:t>16.1</w:t>
      </w:r>
      <w:r>
        <w:rPr>
          <w:rFonts w:hint="eastAsia" w:ascii="宋体" w:hAnsi="宋体" w:eastAsia="宋体" w:cs="宋体"/>
          <w:kern w:val="0"/>
          <w:sz w:val="24"/>
          <w:highlight w:val="none"/>
        </w:rPr>
        <w:t>供应商应当在磋商文件要求的响应文件上传截止时间前（详见供应商须知前附表），将加密电子响应文件及补充修改文件（如有的话）在“山西政府采购平台”完成上传。任何单位和个人不得在响应文件上传截止时间前解密响应文件。</w:t>
      </w:r>
    </w:p>
    <w:p w14:paraId="6B88961E">
      <w:pPr>
        <w:pStyle w:val="112"/>
        <w:snapToGrid w:val="0"/>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sz w:val="24"/>
          <w:szCs w:val="24"/>
          <w:highlight w:val="none"/>
        </w:rPr>
        <w:t>17.响应文件</w:t>
      </w:r>
      <w:r>
        <w:rPr>
          <w:rFonts w:hint="eastAsia" w:ascii="宋体" w:hAnsi="宋体" w:eastAsia="宋体" w:cs="宋体"/>
          <w:b/>
          <w:bCs/>
          <w:kern w:val="0"/>
          <w:sz w:val="24"/>
          <w:szCs w:val="24"/>
          <w:highlight w:val="none"/>
        </w:rPr>
        <w:t>解密</w:t>
      </w:r>
      <w:r>
        <w:rPr>
          <w:rFonts w:hint="eastAsia" w:ascii="宋体" w:hAnsi="宋体" w:eastAsia="宋体" w:cs="宋体"/>
          <w:b/>
          <w:bCs/>
          <w:sz w:val="24"/>
          <w:szCs w:val="24"/>
          <w:highlight w:val="none"/>
        </w:rPr>
        <w:t>及其他</w:t>
      </w:r>
    </w:p>
    <w:p w14:paraId="6E15E094">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17.1采购代理机构在解密开始时间发出解密指令，供应商接到解密信息后，在规定的解密时间内使用加密电子文件时的电子CA进行</w:t>
      </w:r>
      <w:r>
        <w:rPr>
          <w:rFonts w:hint="eastAsia" w:ascii="宋体" w:hAnsi="宋体" w:eastAsia="宋体" w:cs="宋体"/>
          <w:bCs/>
          <w:kern w:val="0"/>
          <w:sz w:val="24"/>
          <w:highlight w:val="none"/>
        </w:rPr>
        <w:t>解密（可远程解密）。</w:t>
      </w:r>
    </w:p>
    <w:p w14:paraId="2E45ECD0">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17.2由于供应商原因，未在规定时间内完成电子响应文件解密的，视为未递交响应文件，响应无效。</w:t>
      </w:r>
    </w:p>
    <w:p w14:paraId="69477C5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17.3解密截止时间后，除特殊情形需请示财政部门采用其他方式外，采购代理机构不得延长解密时间，使未完成解密的供应商进行解密。</w:t>
      </w:r>
    </w:p>
    <w:p w14:paraId="4F2F8A00">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bCs/>
          <w:kern w:val="0"/>
          <w:sz w:val="24"/>
          <w:highlight w:val="none"/>
        </w:rPr>
        <w:t>17.4</w:t>
      </w:r>
      <w:r>
        <w:rPr>
          <w:rFonts w:hint="eastAsia" w:ascii="宋体" w:hAnsi="宋体" w:eastAsia="宋体" w:cs="宋体"/>
          <w:kern w:val="0"/>
          <w:sz w:val="24"/>
          <w:highlight w:val="none"/>
        </w:rPr>
        <w:t>在响应文件解密截止时间，</w:t>
      </w:r>
      <w:r>
        <w:rPr>
          <w:rFonts w:hint="eastAsia" w:ascii="宋体" w:hAnsi="宋体" w:eastAsia="宋体" w:cs="宋体"/>
          <w:bCs/>
          <w:kern w:val="0"/>
          <w:sz w:val="24"/>
          <w:highlight w:val="none"/>
        </w:rPr>
        <w:t>完成解密的</w:t>
      </w:r>
      <w:r>
        <w:rPr>
          <w:rFonts w:hint="eastAsia" w:ascii="宋体" w:hAnsi="宋体" w:eastAsia="宋体" w:cs="宋体"/>
          <w:kern w:val="0"/>
          <w:sz w:val="24"/>
          <w:highlight w:val="none"/>
        </w:rPr>
        <w:t>供应商不足法定磋商家数时，不得进行下一步评审程序。</w:t>
      </w:r>
    </w:p>
    <w:p w14:paraId="11D87A87">
      <w:pPr>
        <w:tabs>
          <w:tab w:val="left" w:pos="0"/>
        </w:tabs>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sz w:val="24"/>
          <w:highlight w:val="none"/>
        </w:rPr>
        <w:t>18.</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响应文件的补充、修改和撤回</w:t>
      </w:r>
    </w:p>
    <w:p w14:paraId="262AC19E">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18.1供应商在响应文件上传截止时间前，可以对响应文件进行补充、修改，补充、修改的内容作为响应文件的组成部分。补充、修改内容需在“山西政府采购平台”中加密上传，未进行上传的补充、修改内容无效。</w:t>
      </w:r>
    </w:p>
    <w:p w14:paraId="2053F1A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18.2补充、修改的内容应当按照磋商文件要求签署、盖章，否则，按无效处理。</w:t>
      </w:r>
    </w:p>
    <w:p w14:paraId="16611EED">
      <w:pPr>
        <w:tabs>
          <w:tab w:val="left" w:pos="567"/>
        </w:tabs>
        <w:snapToGrid w:val="0"/>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18.3在响应文件上传截止时间之后，供应商不得对其已上传的响应文件（含补充、修改）进行撤回。</w:t>
      </w:r>
    </w:p>
    <w:p w14:paraId="4EEAA663">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19.响应文件开启及其有关事项</w:t>
      </w:r>
    </w:p>
    <w:p w14:paraId="2EA467BE">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bCs/>
          <w:kern w:val="0"/>
          <w:sz w:val="24"/>
          <w:highlight w:val="none"/>
        </w:rPr>
        <w:t>19.1上传响应文件截止时间后，由采购代理机构发出解密指令。并对响应文件开启（解密）活动现场进行全程录音录像，录音录像应当清晰可辨，音像资料作为采购资料一并存档。</w:t>
      </w:r>
    </w:p>
    <w:p w14:paraId="30D892B5">
      <w:pPr>
        <w:tabs>
          <w:tab w:val="left" w:pos="567"/>
        </w:tabs>
        <w:snapToGrid w:val="0"/>
        <w:spacing w:line="360" w:lineRule="auto"/>
        <w:ind w:firstLine="480" w:firstLineChars="200"/>
        <w:jc w:val="left"/>
        <w:rPr>
          <w:rFonts w:hint="eastAsia" w:ascii="宋体" w:hAnsi="宋体" w:eastAsia="宋体" w:cs="宋体"/>
          <w:b/>
          <w:sz w:val="24"/>
          <w:highlight w:val="none"/>
        </w:rPr>
      </w:pPr>
      <w:r>
        <w:rPr>
          <w:rFonts w:hint="eastAsia" w:ascii="宋体" w:hAnsi="宋体" w:eastAsia="宋体" w:cs="宋体"/>
          <w:kern w:val="0"/>
          <w:sz w:val="24"/>
          <w:highlight w:val="none"/>
        </w:rPr>
        <w:t>19.2参加磋商的供应商法定代表人或授权代表必须在供应商签到表上签到以证明其出席（如有）。</w:t>
      </w:r>
    </w:p>
    <w:p w14:paraId="34CCC07A">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19.3磋商小组成员和参与评审的采购人代表不得参加响应文件开启（解密）活动。</w:t>
      </w:r>
    </w:p>
    <w:p w14:paraId="388D21E7">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19.4本项目实行密封报价，不进行公开唱标。</w:t>
      </w:r>
    </w:p>
    <w:p w14:paraId="7BA5F38D">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19.5解密结束后，供应商各自在“政采云”系统中对其报价进行确认，采购代理机构打印报价结果。</w:t>
      </w:r>
    </w:p>
    <w:p w14:paraId="13B926FF">
      <w:pPr>
        <w:pStyle w:val="134"/>
        <w:keepNext w:val="0"/>
        <w:keepLines w:val="0"/>
        <w:snapToGrid w:val="0"/>
        <w:spacing w:before="0" w:after="0" w:line="360" w:lineRule="auto"/>
        <w:ind w:firstLine="453" w:firstLineChars="189"/>
        <w:jc w:val="left"/>
        <w:outlineLvl w:val="9"/>
        <w:rPr>
          <w:rFonts w:hint="eastAsia" w:ascii="宋体" w:hAnsi="宋体" w:eastAsia="宋体" w:cs="宋体"/>
          <w:b w:val="0"/>
          <w:bCs w:val="0"/>
          <w:sz w:val="24"/>
          <w:szCs w:val="24"/>
          <w:highlight w:val="none"/>
        </w:rPr>
      </w:pPr>
      <w:bookmarkStart w:id="67" w:name="_Toc13962"/>
      <w:bookmarkStart w:id="68" w:name="_Toc7983"/>
      <w:bookmarkStart w:id="69" w:name="_Toc1875"/>
      <w:bookmarkStart w:id="70" w:name="_Toc8716"/>
      <w:r>
        <w:rPr>
          <w:rFonts w:hint="eastAsia" w:ascii="宋体" w:hAnsi="宋体" w:eastAsia="宋体" w:cs="宋体"/>
          <w:b w:val="0"/>
          <w:bCs w:val="0"/>
          <w:sz w:val="24"/>
          <w:szCs w:val="24"/>
          <w:highlight w:val="none"/>
        </w:rPr>
        <w:t>19.6开启（解密）过程，采购人、采购代理机构相关工作人员有需要回避的情形的，应主动提出回避。</w:t>
      </w:r>
      <w:bookmarkEnd w:id="67"/>
      <w:bookmarkEnd w:id="68"/>
      <w:bookmarkEnd w:id="69"/>
      <w:bookmarkEnd w:id="70"/>
    </w:p>
    <w:p w14:paraId="3228CDAE">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19.7供应商未对报价进行确认的，视同认可开启结果。</w:t>
      </w:r>
    </w:p>
    <w:p w14:paraId="6ED5707F">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19.8“报价结果”随采购资料一并存档</w:t>
      </w:r>
      <w:r>
        <w:rPr>
          <w:rFonts w:hint="eastAsia" w:ascii="宋体" w:hAnsi="宋体" w:eastAsia="宋体" w:cs="宋体"/>
          <w:kern w:val="0"/>
          <w:sz w:val="24"/>
          <w:highlight w:val="none"/>
          <w:lang w:eastAsia="zh-CN"/>
        </w:rPr>
        <w:t>，</w:t>
      </w:r>
      <w:r>
        <w:rPr>
          <w:rFonts w:hint="eastAsia" w:ascii="宋体" w:hAnsi="宋体" w:eastAsia="宋体" w:cs="宋体"/>
          <w:kern w:val="0"/>
          <w:sz w:val="24"/>
        </w:rPr>
        <w:t>随采购文件</w:t>
      </w:r>
      <w:r>
        <w:rPr>
          <w:rFonts w:hint="eastAsia" w:ascii="宋体" w:hAnsi="宋体" w:eastAsia="宋体" w:cs="宋体"/>
          <w:kern w:val="0"/>
          <w:sz w:val="24"/>
          <w:lang w:val="en-US" w:eastAsia="zh-CN"/>
        </w:rPr>
        <w:t>等材料</w:t>
      </w:r>
      <w:r>
        <w:rPr>
          <w:rFonts w:hint="eastAsia" w:ascii="宋体" w:hAnsi="宋体" w:eastAsia="宋体" w:cs="宋体"/>
          <w:kern w:val="0"/>
          <w:sz w:val="24"/>
        </w:rPr>
        <w:t>一并存档</w:t>
      </w:r>
      <w:r>
        <w:rPr>
          <w:rFonts w:hint="eastAsia" w:ascii="宋体" w:hAnsi="宋体" w:eastAsia="宋体" w:cs="宋体"/>
          <w:kern w:val="0"/>
          <w:sz w:val="24"/>
          <w:highlight w:val="none"/>
        </w:rPr>
        <w:t>。</w:t>
      </w:r>
    </w:p>
    <w:p w14:paraId="507923AD">
      <w:pPr>
        <w:snapToGrid w:val="0"/>
        <w:spacing w:line="360" w:lineRule="auto"/>
        <w:ind w:firstLine="482" w:firstLineChars="200"/>
        <w:outlineLvl w:val="1"/>
        <w:rPr>
          <w:rFonts w:hint="eastAsia" w:ascii="宋体" w:hAnsi="宋体" w:eastAsia="宋体" w:cs="宋体"/>
          <w:b/>
          <w:kern w:val="0"/>
          <w:sz w:val="24"/>
          <w:highlight w:val="none"/>
        </w:rPr>
      </w:pPr>
      <w:bookmarkStart w:id="71" w:name="_Toc27808"/>
      <w:bookmarkStart w:id="72" w:name="_Toc23874"/>
      <w:bookmarkStart w:id="73" w:name="_Toc2049"/>
      <w:bookmarkStart w:id="74" w:name="_Toc17429"/>
      <w:r>
        <w:rPr>
          <w:rFonts w:hint="eastAsia" w:ascii="宋体" w:hAnsi="宋体" w:eastAsia="宋体" w:cs="宋体"/>
          <w:b/>
          <w:kern w:val="0"/>
          <w:sz w:val="24"/>
          <w:highlight w:val="none"/>
        </w:rPr>
        <w:t>五、磋商小组组成与要求</w:t>
      </w:r>
      <w:bookmarkEnd w:id="71"/>
      <w:bookmarkEnd w:id="72"/>
      <w:bookmarkEnd w:id="73"/>
      <w:bookmarkEnd w:id="74"/>
    </w:p>
    <w:p w14:paraId="522CD3B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20.1</w:t>
      </w:r>
      <w:r>
        <w:rPr>
          <w:rFonts w:hint="eastAsia" w:ascii="宋体" w:hAnsi="宋体" w:eastAsia="宋体" w:cs="宋体"/>
          <w:kern w:val="0"/>
          <w:sz w:val="24"/>
          <w:highlight w:val="none"/>
        </w:rPr>
        <w:t>采购代理机构根据相关法律法规和本磋商文件的规定，结合本项目特点组建磋商小组，磋商小组由采购人代表和评审专家共3人及以上单数组成，其中评审专家不得少于成员总数的2/3。</w:t>
      </w:r>
    </w:p>
    <w:p w14:paraId="11E3DBD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w:t>
      </w:r>
      <w:r>
        <w:rPr>
          <w:rFonts w:hint="eastAsia" w:ascii="宋体" w:hAnsi="宋体" w:eastAsia="宋体" w:cs="宋体"/>
          <w:sz w:val="24"/>
          <w:highlight w:val="none"/>
        </w:rPr>
        <w:t>采购人代表不得以评审专家身份参加本部门或本单位采购项目的评审，采购代理机构人员不得参加本机构代理的采购项目的评审。</w:t>
      </w:r>
      <w:r>
        <w:rPr>
          <w:rFonts w:hint="eastAsia" w:ascii="宋体" w:hAnsi="宋体" w:eastAsia="宋体" w:cs="宋体"/>
          <w:kern w:val="0"/>
          <w:sz w:val="24"/>
          <w:highlight w:val="none"/>
        </w:rPr>
        <w:t>法律规定的情形除外。</w:t>
      </w:r>
    </w:p>
    <w:p w14:paraId="377FC34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20.3磋商小组成员名单在评审结果公告前应当保密。</w:t>
      </w:r>
    </w:p>
    <w:p w14:paraId="3D33EA9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20.4评审专家由采购代理机构从</w:t>
      </w:r>
      <w:r>
        <w:rPr>
          <w:rFonts w:hint="eastAsia" w:ascii="宋体" w:hAnsi="宋体" w:eastAsia="宋体" w:cs="宋体"/>
          <w:kern w:val="0"/>
          <w:sz w:val="24"/>
          <w:highlight w:val="none"/>
          <w:u w:val="single"/>
        </w:rPr>
        <w:t>山西省政府采购评审专家库</w:t>
      </w:r>
      <w:r>
        <w:rPr>
          <w:rFonts w:hint="eastAsia" w:ascii="宋体" w:hAnsi="宋体" w:eastAsia="宋体" w:cs="宋体"/>
          <w:kern w:val="0"/>
          <w:sz w:val="24"/>
          <w:highlight w:val="none"/>
        </w:rPr>
        <w:t>中，通过随机抽取方式产生。对技术复杂、专业性强的采购项目，通过随机方式难以确定合适评审专家的，</w:t>
      </w:r>
      <w:r>
        <w:rPr>
          <w:rFonts w:hint="eastAsia" w:ascii="宋体" w:hAnsi="宋体" w:eastAsia="宋体" w:cs="宋体"/>
          <w:bCs/>
          <w:kern w:val="0"/>
          <w:sz w:val="24"/>
          <w:highlight w:val="none"/>
        </w:rPr>
        <w:t>经主管预算单位同意，采购人可以自行选定相应专业领域的评审专家。</w:t>
      </w:r>
    </w:p>
    <w:p w14:paraId="4580A88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20.5磋商中因评审专家缺席、回避或者健康等特殊原因，导致磋商小组成员组成不符合相关规定的，代理机构应当补足后继续磋商。被更换的磋商小组成员所做出的磋商意见无效。</w:t>
      </w:r>
    </w:p>
    <w:p w14:paraId="11384A2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20.6无法及时补足磋商小组成员时，代理机构应当停止磋商活动，封存所有响应文件及评审资料，重新组建磋商小组进行磋商。原磋商小组所做出的磋商意见无效。</w:t>
      </w:r>
    </w:p>
    <w:p w14:paraId="0C5E8155">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20.7代理机构应当将变更、重新组建磋商小组的情况予以记录，并随采购资料一并存档。</w:t>
      </w:r>
    </w:p>
    <w:p w14:paraId="2504A006">
      <w:pPr>
        <w:snapToGrid w:val="0"/>
        <w:spacing w:line="360" w:lineRule="auto"/>
        <w:ind w:firstLine="482" w:firstLineChars="200"/>
        <w:outlineLvl w:val="1"/>
        <w:rPr>
          <w:rFonts w:hint="eastAsia" w:ascii="宋体" w:hAnsi="宋体" w:eastAsia="宋体" w:cs="宋体"/>
          <w:b/>
          <w:kern w:val="0"/>
          <w:sz w:val="24"/>
          <w:highlight w:val="none"/>
        </w:rPr>
      </w:pPr>
      <w:bookmarkStart w:id="75" w:name="_Toc11620"/>
      <w:bookmarkStart w:id="76" w:name="_Toc32298"/>
      <w:bookmarkStart w:id="77" w:name="_Toc6688"/>
      <w:bookmarkStart w:id="78" w:name="_Toc3335"/>
      <w:r>
        <w:rPr>
          <w:rFonts w:hint="eastAsia" w:ascii="宋体" w:hAnsi="宋体" w:eastAsia="宋体" w:cs="宋体"/>
          <w:b/>
          <w:kern w:val="0"/>
          <w:sz w:val="24"/>
          <w:highlight w:val="none"/>
        </w:rPr>
        <w:t>六、评审、磋商和评定程序与要求</w:t>
      </w:r>
      <w:bookmarkEnd w:id="75"/>
      <w:bookmarkEnd w:id="76"/>
      <w:bookmarkEnd w:id="77"/>
      <w:bookmarkEnd w:id="78"/>
    </w:p>
    <w:p w14:paraId="150308D1">
      <w:pPr>
        <w:tabs>
          <w:tab w:val="left" w:pos="567"/>
        </w:tabs>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21.评审程序和要求</w:t>
      </w:r>
    </w:p>
    <w:p w14:paraId="5A7DF6EC">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21.1磋商小组成员首先对磋商文件进行符合性、合理性、合法性审查，如磋商文件内容中存在违反国家有关强制性规定的或歧视性等条款，应当向采购代理机构说明，并停止本项目评审。</w:t>
      </w:r>
    </w:p>
    <w:p w14:paraId="748E98E5">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21.2解密结束后，</w:t>
      </w:r>
      <w:r>
        <w:rPr>
          <w:rFonts w:hint="eastAsia" w:ascii="宋体" w:hAnsi="宋体" w:eastAsia="宋体" w:cs="宋体"/>
          <w:kern w:val="0"/>
          <w:sz w:val="24"/>
          <w:highlight w:val="none"/>
        </w:rPr>
        <w:t>依据磋商文件中规定“评审方法和评审标准”，磋商小组成员按分包顺序</w:t>
      </w:r>
      <w:r>
        <w:rPr>
          <w:rFonts w:hint="eastAsia" w:ascii="宋体" w:hAnsi="宋体" w:eastAsia="宋体" w:cs="宋体"/>
          <w:sz w:val="24"/>
          <w:highlight w:val="none"/>
        </w:rPr>
        <w:t>对每包所有参加磋商的供应商的响应文件中</w:t>
      </w:r>
      <w:r>
        <w:rPr>
          <w:rFonts w:hint="eastAsia" w:ascii="宋体" w:hAnsi="宋体" w:eastAsia="宋体" w:cs="宋体"/>
          <w:kern w:val="0"/>
          <w:sz w:val="24"/>
          <w:highlight w:val="none"/>
        </w:rPr>
        <w:t>的资格证明文件和商务技术文件的有效性、完整性、符合性进行独立审查。</w:t>
      </w:r>
    </w:p>
    <w:p w14:paraId="212E42E5">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21.3根据资格证明文件审查结果（评审意见不一致时，遵循少数服从多数的原则），确定各供应商是否具备磋商资格。</w:t>
      </w:r>
    </w:p>
    <w:p w14:paraId="35BB28F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21.4对资格性审查合格的3家及以上供应商的响应文件中商务技术文件进行审查，根据审查结果（评审意见不一致时，遵循少数服从多数的原则），以确定其是否对磋商文件的商务技术要求做出了实质性响应。</w:t>
      </w:r>
    </w:p>
    <w:p w14:paraId="61384A3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09EC916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21.6报价出现前后不一致的，按照下列规定修正：</w:t>
      </w:r>
    </w:p>
    <w:p w14:paraId="10910FC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（1）报价一览表内容与响应文件中相应内容不一致的，以报价一览表为准；</w:t>
      </w:r>
    </w:p>
    <w:p w14:paraId="0F74CCB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14:paraId="217A979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（3）单价金额小数点或者百分比有明显错位的，以报价一览表的总价为准，并修改单价；</w:t>
      </w:r>
    </w:p>
    <w:p w14:paraId="275A1B9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14:paraId="5B901E65">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同时出现两种以上不一致的，按照前款规定的顺序修正。修正后的报价经供应商确认后产生约束力，供应商不确认的，其响应无效。</w:t>
      </w:r>
    </w:p>
    <w:p w14:paraId="684800A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21.7磋商小组要求供应商澄清、说明或者更正的内容应当在“山西政府采购平台”中提出。供应商的澄清、说明或者更正应当由法定代表人或其授权代表签字或者加盖电子CA章，并在山西政府采购平台中进行回复。磋商小组成员根据回复内容，判断其是否实质上响应磋商文件要求。</w:t>
      </w:r>
    </w:p>
    <w:p w14:paraId="677B6E1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21.8实质性响应的响应文件：是指与磋商文件的主要商务技术条款、条件和要求相符，经磋商小组成员认定完全符合磋商文件要求的响应文件。</w:t>
      </w:r>
    </w:p>
    <w:p w14:paraId="7E8C56D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21.9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2AD275F5">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A．未对“供应商须知前附表”第6条中带★号的商务技术文件及采购需求中的商务技术指标要求作出实质性响应的；</w:t>
      </w:r>
    </w:p>
    <w:p w14:paraId="134ABB81">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B．未按磋商文件的规定签署、盖章的；</w:t>
      </w:r>
    </w:p>
    <w:p w14:paraId="05EB3ED7">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C．响应文件有效期不足的；</w:t>
      </w:r>
    </w:p>
    <w:p w14:paraId="4064212C">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D．未按照磋商文件规定报价的，报价超过磋商文件预算金额或最高限价的；</w:t>
      </w:r>
    </w:p>
    <w:p w14:paraId="218AB22A">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E．未对执行标准、服务期限、服务地点、付款方式、履约保证金及验收标准等作出实质性响应的或技术指标超出采购人可接受的负偏差范围的；</w:t>
      </w:r>
    </w:p>
    <w:p w14:paraId="064AD4B1">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F. 不符合磋商文件中有关分包、转包规定的；</w:t>
      </w:r>
    </w:p>
    <w:p w14:paraId="3DE9E920">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G．响应文件附有采购人不能接受的条件的；</w:t>
      </w:r>
    </w:p>
    <w:p w14:paraId="435A9041">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H．不符合磋商文件中规定的其他实质性要求的。</w:t>
      </w:r>
    </w:p>
    <w:p w14:paraId="123FCDC3">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21.10政策性因素评审要求见第四部分第三条规定。</w:t>
      </w:r>
    </w:p>
    <w:p w14:paraId="2BA9C9C1">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21.11如果未对磋商文件商务技术要求做出实质性响应，磋商将予以拒绝，供应商不得再对响应文件进行任何澄清、说明或者更正，从而使其成为实质性响应的响应文件。 </w:t>
      </w:r>
    </w:p>
    <w:p w14:paraId="5C2DA5BC">
      <w:pPr>
        <w:tabs>
          <w:tab w:val="left" w:pos="737"/>
          <w:tab w:val="left" w:pos="120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21.12磋商小组对响应文件的判定，除项目需对文件中无法用文字表述的其他特殊要求（如需对样品、演示内容等）作为实质性审查内容外，只依据供应商在“山西政府采购平台”中提交的电子响应文件。</w:t>
      </w:r>
    </w:p>
    <w:p w14:paraId="10CC800E">
      <w:pPr>
        <w:pStyle w:val="112"/>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21.13响应文件评审结束，审查结果意见不一致时，遵循少数服从多数的原则，确定各供应商是否具备磋商资格。对未实质上响应磋商文件的响应文件按无效响应处理。</w:t>
      </w:r>
      <w:r>
        <w:rPr>
          <w:rFonts w:hint="eastAsia" w:ascii="宋体" w:hAnsi="宋体" w:eastAsia="宋体" w:cs="宋体"/>
          <w:sz w:val="24"/>
          <w:szCs w:val="24"/>
          <w:highlight w:val="none"/>
        </w:rPr>
        <w:t>磋商小组应当告知有关供应商。</w:t>
      </w:r>
    </w:p>
    <w:p w14:paraId="5ABA7B8C">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21.14磋商小组各评审专家在资格性、符合性审查之后，应做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评审记录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27896313">
      <w:pPr>
        <w:pStyle w:val="11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22．磋商程序和要求</w:t>
      </w:r>
    </w:p>
    <w:p w14:paraId="79E19B98">
      <w:pPr>
        <w:tabs>
          <w:tab w:val="left" w:pos="737"/>
          <w:tab w:val="left" w:pos="1200"/>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22.1磋商程序通过“政采云”系统中的“磋商”环节进行，磋商小组各评审专家在资格性、符合性审查之后，</w:t>
      </w:r>
      <w:r>
        <w:rPr>
          <w:rFonts w:hint="eastAsia" w:ascii="宋体" w:hAnsi="宋体" w:eastAsia="宋体" w:cs="宋体"/>
          <w:sz w:val="24"/>
          <w:highlight w:val="none"/>
        </w:rPr>
        <w:t>磋商小组成员与3家及以上实质性响应磋商文件要求的供应商就本次采购需求中的技术、服务要求以及合同草案通过“山西政府采购平台”分别进行磋商。</w:t>
      </w:r>
    </w:p>
    <w:p w14:paraId="6F7D2FBC">
      <w:pPr>
        <w:tabs>
          <w:tab w:val="left" w:pos="737"/>
          <w:tab w:val="left" w:pos="120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22.2供应商对磋商的答复应当通过“</w:t>
      </w:r>
      <w:r>
        <w:rPr>
          <w:rFonts w:hint="eastAsia" w:ascii="宋体" w:hAnsi="宋体" w:eastAsia="宋体" w:cs="宋体"/>
          <w:kern w:val="0"/>
          <w:sz w:val="24"/>
          <w:highlight w:val="none"/>
          <w:lang w:val="en-US" w:eastAsia="zh-CN"/>
        </w:rPr>
        <w:t>山西政府采购平台</w:t>
      </w:r>
      <w:r>
        <w:rPr>
          <w:rFonts w:hint="eastAsia" w:ascii="宋体" w:hAnsi="宋体" w:eastAsia="宋体" w:cs="宋体"/>
          <w:kern w:val="0"/>
          <w:sz w:val="24"/>
          <w:highlight w:val="none"/>
        </w:rPr>
        <w:t>”做出回复，并加盖电子CA章。</w:t>
      </w:r>
    </w:p>
    <w:p w14:paraId="3E61B8D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22.3在磋商过程中，磋商小组可以根据磋商文件和磋商情况实质性变动采购需求中的技术、服务要求以及合同草案条款，但不得变动磋商文件中的其他内容。实质性变动的内容，需经采购人代表签字确认。</w:t>
      </w:r>
    </w:p>
    <w:p w14:paraId="631D886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22.4在磋商过程中做出的实质性变动内容，是磋商文件的有效组成部分。磋商小组组长将实质性变动情况和磋商小组的要求通过“山西政府采购平台”向各供应商发出磋商函。各供应商在接到磋商函通知后，须在规定时间内通过“山西政府采购平台”提交加盖供应商电子CA章的对磋商函所有内容作出的磋商回复函。</w:t>
      </w:r>
    </w:p>
    <w:p w14:paraId="7F8602B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若在磋商过程中，磋商小组需供应商进行澄清的，磋商小组组长通过“山西政府采购平台”向供应商发出询标函。供应商在接到询标函通知后，须在规定时间内通过“山西政府采购平台”提交加盖供应商电子CA章的对询标函所有内容作出的询标回复函。</w:t>
      </w:r>
    </w:p>
    <w:p w14:paraId="24DC05B2">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22.5存在下列情况之一者将视为响应无效：</w:t>
      </w:r>
    </w:p>
    <w:p w14:paraId="3D85B9C6">
      <w:pPr>
        <w:snapToGrid w:val="0"/>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（1）未在规定时间内提交对磋商函所有内容做出答复函的</w:t>
      </w:r>
      <w:r>
        <w:rPr>
          <w:rFonts w:hint="eastAsia" w:ascii="宋体" w:hAnsi="宋体" w:eastAsia="宋体" w:cs="宋体"/>
          <w:sz w:val="24"/>
          <w:highlight w:val="none"/>
          <w:lang w:eastAsia="zh-CN"/>
        </w:rPr>
        <w:t>；</w:t>
      </w:r>
    </w:p>
    <w:p w14:paraId="0286BCD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（2）未在答复函中由法定代表人或其授权代表签字或加盖电子CA章的；</w:t>
      </w:r>
    </w:p>
    <w:p w14:paraId="3C7C3B0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（3）未按磋商小组要求对响应文件进行澄清（说明或者更正）的；</w:t>
      </w:r>
    </w:p>
    <w:p w14:paraId="62A3510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（4）磋商小组对答复内容经过评审后认为其没有对磋商内容作出实质性响应的；</w:t>
      </w:r>
    </w:p>
    <w:p w14:paraId="7B024DCA">
      <w:pPr>
        <w:snapToGrid w:val="0"/>
        <w:spacing w:line="360" w:lineRule="auto"/>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（5）存在采购人不能接受内容的情形。</w:t>
      </w:r>
    </w:p>
    <w:p w14:paraId="13BFDB37">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23.最终报价与要求</w:t>
      </w:r>
    </w:p>
    <w:p w14:paraId="2BA90A23">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23.1报价原则</w:t>
      </w:r>
    </w:p>
    <w:p w14:paraId="141EF3E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sz w:val="24"/>
          <w:highlight w:val="none"/>
        </w:rPr>
        <w:t>23.1.1磋商文件能够详细列明采购标的的技术要求、服务要求等的，磋商结束后，磋商小组应当向所有</w:t>
      </w:r>
      <w:r>
        <w:rPr>
          <w:rFonts w:hint="eastAsia" w:ascii="宋体" w:hAnsi="宋体" w:eastAsia="宋体" w:cs="宋体"/>
          <w:color w:val="auto"/>
          <w:sz w:val="24"/>
          <w:highlight w:val="none"/>
        </w:rPr>
        <w:t>实质性响应磋商文件要求的供应商开启第二次报价通知，并要求其在规定时间内在“</w:t>
      </w:r>
      <w:r>
        <w:rPr>
          <w:rFonts w:hint="eastAsia" w:ascii="宋体" w:hAnsi="宋体" w:eastAsia="宋体" w:cs="宋体"/>
          <w:color w:val="auto"/>
          <w:sz w:val="24"/>
          <w:highlight w:val="none"/>
          <w:lang w:val="en-US" w:eastAsia="zh-CN"/>
        </w:rPr>
        <w:t>山西政府采购平台</w:t>
      </w:r>
      <w:r>
        <w:rPr>
          <w:rFonts w:hint="eastAsia" w:ascii="宋体" w:hAnsi="宋体" w:eastAsia="宋体" w:cs="宋体"/>
          <w:color w:val="auto"/>
          <w:sz w:val="24"/>
          <w:highlight w:val="none"/>
        </w:rPr>
        <w:t>”中提交最终报价函。提交最终报价的供应商不得少于3家。</w:t>
      </w:r>
    </w:p>
    <w:p w14:paraId="37D65E8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w:t>
      </w:r>
      <w:r>
        <w:rPr>
          <w:rFonts w:hint="eastAsia" w:ascii="宋体" w:hAnsi="宋体" w:eastAsia="宋体" w:cs="宋体"/>
          <w:color w:val="auto"/>
          <w:sz w:val="24"/>
          <w:highlight w:val="none"/>
          <w:lang w:val="en-US" w:eastAsia="zh-CN"/>
        </w:rPr>
        <w:t>山西政府采购平台</w:t>
      </w:r>
      <w:r>
        <w:rPr>
          <w:rFonts w:hint="eastAsia" w:ascii="宋体" w:hAnsi="宋体" w:eastAsia="宋体" w:cs="宋体"/>
          <w:color w:val="auto"/>
          <w:sz w:val="24"/>
          <w:highlight w:val="none"/>
        </w:rPr>
        <w:t>”中提交最终报价函。</w:t>
      </w:r>
    </w:p>
    <w:p w14:paraId="6EFE569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23.1.3供应商在提交最终报价函之前，可以根据磋商情况退出磋商，采购人、采购代理机构应当退还退出磋商的供应商的磋商保证金。</w:t>
      </w:r>
    </w:p>
    <w:p w14:paraId="3845777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auto"/>
          <w:sz w:val="24"/>
          <w:highlight w:val="none"/>
        </w:rPr>
        <w:t>23.1.4供应商在规定时间内未在“</w:t>
      </w:r>
      <w:r>
        <w:rPr>
          <w:rFonts w:hint="eastAsia" w:ascii="宋体" w:hAnsi="宋体" w:eastAsia="宋体" w:cs="宋体"/>
          <w:color w:val="auto"/>
          <w:sz w:val="24"/>
          <w:highlight w:val="none"/>
          <w:lang w:val="en-US" w:eastAsia="zh-CN"/>
        </w:rPr>
        <w:t>山西政府采购平台</w:t>
      </w:r>
      <w:r>
        <w:rPr>
          <w:rFonts w:hint="eastAsia" w:ascii="宋体" w:hAnsi="宋体" w:eastAsia="宋体" w:cs="宋体"/>
          <w:color w:val="auto"/>
          <w:sz w:val="24"/>
          <w:highlight w:val="none"/>
        </w:rPr>
        <w:t>”中提</w:t>
      </w:r>
      <w:r>
        <w:rPr>
          <w:rFonts w:hint="eastAsia" w:ascii="宋体" w:hAnsi="宋体" w:eastAsia="宋体" w:cs="宋体"/>
          <w:sz w:val="24"/>
          <w:highlight w:val="none"/>
        </w:rPr>
        <w:t>交最终报价的，视为退出最终报价。</w:t>
      </w:r>
    </w:p>
    <w:p w14:paraId="5C665AB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sz w:val="24"/>
          <w:highlight w:val="none"/>
        </w:rPr>
        <w:t>23.1.5提交的最终报价函须加盖电子CA章</w:t>
      </w:r>
      <w:r>
        <w:rPr>
          <w:rFonts w:hint="eastAsia" w:ascii="宋体" w:hAnsi="宋体" w:eastAsia="宋体" w:cs="宋体"/>
          <w:color w:val="auto"/>
          <w:sz w:val="24"/>
          <w:highlight w:val="none"/>
        </w:rPr>
        <w:t>，并在</w:t>
      </w:r>
      <w:r>
        <w:rPr>
          <w:rFonts w:hint="eastAsia" w:ascii="宋体" w:hAnsi="宋体" w:eastAsia="宋体" w:cs="宋体"/>
          <w:color w:val="auto"/>
          <w:sz w:val="24"/>
          <w:highlight w:val="none"/>
          <w:lang w:val="en-US" w:eastAsia="zh-CN"/>
        </w:rPr>
        <w:t>山西政府采购平台</w:t>
      </w:r>
      <w:r>
        <w:rPr>
          <w:rFonts w:hint="eastAsia" w:ascii="宋体" w:hAnsi="宋体" w:eastAsia="宋体" w:cs="宋体"/>
          <w:color w:val="auto"/>
          <w:sz w:val="24"/>
          <w:highlight w:val="none"/>
        </w:rPr>
        <w:t>系统上传。</w:t>
      </w:r>
    </w:p>
    <w:p w14:paraId="057C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23.2报价审核</w:t>
      </w:r>
    </w:p>
    <w:p w14:paraId="636C9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color w:val="auto"/>
          <w:kern w:val="0"/>
          <w:sz w:val="24"/>
          <w:highlight w:val="none"/>
        </w:rPr>
        <w:t>23.2.1根据本文件第四部分“评审方法和评审标准”对最终报价函进行</w:t>
      </w:r>
      <w:r>
        <w:rPr>
          <w:rFonts w:hint="eastAsia" w:ascii="宋体" w:hAnsi="宋体" w:eastAsia="宋体" w:cs="宋体"/>
          <w:kern w:val="0"/>
          <w:sz w:val="24"/>
          <w:highlight w:val="none"/>
        </w:rPr>
        <w:t>符合性审查。</w:t>
      </w:r>
    </w:p>
    <w:p w14:paraId="581A5756">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23.2.2最终报价出现前后不一致的，按照21.6规定进行修正。</w:t>
      </w:r>
    </w:p>
    <w:p w14:paraId="4498A963">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23.2.3提交最终报价的供应商家数不足法定供应商数量的，需依法重新组织磋商活动或终止磋商活动。</w:t>
      </w:r>
    </w:p>
    <w:p w14:paraId="609A869A">
      <w:pPr>
        <w:pStyle w:val="30"/>
        <w:widowControl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23.2.5经审查，合格供应商数量符合法定供应商家数时，对符合政策性要求优惠的各供应商的最终报价，按照23.3进行政策性因素价格扣除后，形成各供应商最终评审价格。</w:t>
      </w:r>
    </w:p>
    <w:p w14:paraId="12CD0AF1">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23.2.6政府采购异常低价审查</w:t>
      </w:r>
    </w:p>
    <w:p w14:paraId="341B82D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（一）评审中出现下列情形之一的，</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应当启动异常低价响应审查程序：</w:t>
      </w:r>
    </w:p>
    <w:p w14:paraId="29E75F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1.响应报价低于全部通过符合性审查供应商响应报价平均值50%的，即响应报价&lt;全部通过符合性审查供应商响应报价平均值×50%；</w:t>
      </w:r>
    </w:p>
    <w:p w14:paraId="6617FB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2.响应报价低于通过符合性审查的次低报价供应商响应报价50%的，即响应报价&lt;通过符合性审查的次低报价供应商响应报价×50%；</w:t>
      </w:r>
    </w:p>
    <w:p w14:paraId="7031961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3.响应报价低于采购项目最高限价45%的，即响应报价&lt;采购项目最高限价×45%；</w:t>
      </w:r>
    </w:p>
    <w:p w14:paraId="25AA07F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基于专业判断，认为供应商报价过低，有可能影响产品质量或者不能诚信履约的其他情形。</w:t>
      </w:r>
    </w:p>
    <w:p w14:paraId="11E2C1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采购人可以结合具体项目实际情况，提高上述第1项至第3项中启动异常低价响应审查的数值标准，但是最高不得超过65%。</w:t>
      </w:r>
    </w:p>
    <w:p w14:paraId="77C196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相关法律法规对供应商报价有规定的，从其规定。</w:t>
      </w:r>
    </w:p>
    <w:p w14:paraId="004B9F7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（二）</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7E69D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应当将其作为无效响应处理。</w:t>
      </w:r>
    </w:p>
    <w:p w14:paraId="22031A2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采购人、采购代理机构应当为</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借助互联网等渠道查询相关信息的，应当严格遵守评审工作纪律，不得实施影响评审公正的行为。</w:t>
      </w:r>
    </w:p>
    <w:p w14:paraId="4E8A331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异常低价响应审查的启动原因、审查意见和审查结果应当在评审报告中记录，并随供应商提供的相关书面说明及证明材料，以及</w:t>
      </w:r>
      <w:r>
        <w:rPr>
          <w:rFonts w:hint="eastAsia" w:ascii="宋体" w:hAnsi="宋体" w:eastAsia="宋体" w:cs="宋体"/>
          <w:kern w:val="0"/>
          <w:sz w:val="24"/>
          <w:highlight w:val="none"/>
        </w:rPr>
        <w:t>磋商小组</w:t>
      </w:r>
      <w:r>
        <w:rPr>
          <w:rFonts w:hint="eastAsia" w:ascii="宋体" w:hAnsi="宋体" w:eastAsia="宋体" w:cs="宋体"/>
          <w:sz w:val="24"/>
          <w:highlight w:val="none"/>
          <w:lang w:val="en-US" w:eastAsia="zh-CN"/>
        </w:rPr>
        <w:t>有关互联网浏览、查询历史一并归档。</w:t>
      </w:r>
    </w:p>
    <w:p w14:paraId="673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23.3政策性因素价格扣除</w:t>
      </w:r>
    </w:p>
    <w:p w14:paraId="60948E7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23.3.1中小微企业参加本项目：</w:t>
      </w:r>
    </w:p>
    <w:p w14:paraId="0C0B43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32B9118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w:t>
      </w:r>
      <w:r>
        <w:rPr>
          <w:rFonts w:hint="eastAsia" w:ascii="宋体" w:hAnsi="宋体" w:eastAsia="宋体" w:cs="宋体"/>
          <w:highlight w:val="none"/>
        </w:rPr>
        <w:t>、《</w:t>
      </w:r>
      <w:r>
        <w:rPr>
          <w:rFonts w:hint="eastAsia" w:ascii="宋体" w:hAnsi="宋体" w:eastAsia="宋体" w:cs="宋体"/>
          <w:sz w:val="24"/>
          <w:highlight w:val="none"/>
        </w:rPr>
        <w:t>关于进一步加大政府采购支持中小企业力度的通知》(财库〔2022〕19号）及《山西省财政厅关于进一步加大政府采购支持中小企业力度助力扎实稳住经济的通知》（晋财购〔2022〕6号）规定的小微企业，报价给予15%的扣除，用扣除后的价格参加评审。</w:t>
      </w:r>
    </w:p>
    <w:p w14:paraId="73438B1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23.3.2残疾人福利单位参加本项目：</w:t>
      </w:r>
    </w:p>
    <w:p w14:paraId="5644636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符合《财政部、民政部、中国残疾人联合会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680FFFF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23.3.3监狱企业参加本项目：</w:t>
      </w:r>
    </w:p>
    <w:p w14:paraId="56C6748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符合《财政部司法部关于政府采购支持监狱企业发展有关问题的通知》(财库〔2014〕68号)的规定，监狱企业视同小型、微型企业，享受预留份额、评审中价格扣除等政府采购促进中小企业发展的政府采购政策。报价给予15%的扣除，用扣除后的价格参加评审。</w:t>
      </w:r>
    </w:p>
    <w:p w14:paraId="63AEC01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23.3.4联合体参加本项目：</w:t>
      </w:r>
    </w:p>
    <w:p w14:paraId="1BB96A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1F23521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23.3.5创新产品参加的项目</w:t>
      </w:r>
    </w:p>
    <w:p w14:paraId="7D964B7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w:t>
      </w:r>
    </w:p>
    <w:p w14:paraId="361FA8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政府绿色采购产品参加的项目</w:t>
      </w:r>
    </w:p>
    <w:p w14:paraId="5FC75DB1">
      <w:pPr>
        <w:numPr>
          <w:ilvl w:val="0"/>
          <w:numId w:val="3"/>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依据《山西省财政厅关于进一步加强政府绿色采购有关事项的通知》，对实施强制采购或执行强制性绿色采购标准的品目，不接受非强制采购产品。</w:t>
      </w:r>
    </w:p>
    <w:p w14:paraId="0352CB10">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（2）对于优先采购的绿色产品，给予4%的价格扣除，用扣除后的价格参与评审。对中小微企业，严格落实政府采购优惠政策，同时享受绿色采购政策的价格扣除等评审优惠措施，分别计算，叠加执行。</w:t>
      </w:r>
    </w:p>
    <w:p w14:paraId="6127490F">
      <w:pPr>
        <w:keepNext/>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关于绿色建材：本项目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否则，不予认可。</w:t>
      </w:r>
    </w:p>
    <w:p w14:paraId="7F9E7E6E">
      <w:pPr>
        <w:keepNext/>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（4）前述建筑材料，投标人应在材料进场时提供建材产品符合需求标准的证明性文件，包括国家统一推行的绿色建材产品认证证书，或符合需求标准的有效检测报告等。投标人应在投标文件中提供承诺书。</w:t>
      </w:r>
    </w:p>
    <w:p w14:paraId="1D2485BA">
      <w:pPr>
        <w:keepNext/>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（5）绿色建筑和绿色建材政府采购需求标准（2025年版）原文链接（https://www.gov.cn/zhengce/zhengceku/202501/P020250111596858618141.docx）</w:t>
      </w:r>
    </w:p>
    <w:p w14:paraId="6666590B">
      <w:pPr>
        <w:keepNext/>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23.3.</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对本国产品的支持政策</w:t>
      </w:r>
    </w:p>
    <w:p w14:paraId="30B4E6DC">
      <w:pPr>
        <w:keepNext/>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政府采购活动中既有本国产品又有非本国产品参与竞争的，依法对本国产品给予价格评审优惠，对本国产品的报价给予20%的价格扣除，用扣除后的价格参与评审。</w:t>
      </w:r>
    </w:p>
    <w:p w14:paraId="100EBC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939FDA">
      <w:pPr>
        <w:pStyle w:val="12"/>
        <w:spacing w:line="360" w:lineRule="auto"/>
        <w:ind w:firstLine="482" w:firstLineChars="200"/>
        <w:rPr>
          <w:rFonts w:hint="eastAsia" w:ascii="宋体" w:hAnsi="宋体" w:eastAsia="宋体" w:cs="宋体"/>
          <w:highlight w:val="none"/>
        </w:rPr>
      </w:pPr>
      <w:r>
        <w:rPr>
          <w:rFonts w:hint="eastAsia" w:ascii="宋体" w:hAnsi="宋体" w:eastAsia="宋体" w:cs="宋体"/>
          <w:b/>
          <w:bCs/>
          <w:sz w:val="24"/>
          <w:highlight w:val="none"/>
        </w:rPr>
        <w:t>注：本项目（包）如属于专门面向中小企业采购的采购包，不再执行价格评审优惠的扶持政策。</w:t>
      </w:r>
    </w:p>
    <w:p w14:paraId="6B708ABA">
      <w:pPr>
        <w:tabs>
          <w:tab w:val="left" w:pos="567"/>
        </w:tabs>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24.最终报价为无效报价的情形</w:t>
      </w:r>
    </w:p>
    <w:p w14:paraId="21C9D845">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24.1磋商小组成员对各供应商的最终报价进行合理性审核过程中，如磋商小组成员一致认为某个供应商的最后报价明显不合理，有降低质量、不能诚信履行的可能时，</w:t>
      </w:r>
      <w:r>
        <w:rPr>
          <w:rFonts w:hint="eastAsia" w:ascii="宋体" w:hAnsi="宋体" w:eastAsia="宋体" w:cs="宋体"/>
          <w:kern w:val="0"/>
          <w:sz w:val="24"/>
          <w:highlight w:val="none"/>
        </w:rPr>
        <w:t>磋商小组</w:t>
      </w:r>
      <w:r>
        <w:rPr>
          <w:rFonts w:hint="eastAsia" w:ascii="宋体" w:hAnsi="宋体" w:eastAsia="宋体" w:cs="宋体"/>
          <w:sz w:val="24"/>
          <w:highlight w:val="none"/>
        </w:rPr>
        <w:t>有权决定是否</w:t>
      </w:r>
      <w:r>
        <w:rPr>
          <w:rFonts w:hint="eastAsia" w:ascii="宋体" w:hAnsi="宋体" w:eastAsia="宋体" w:cs="宋体"/>
          <w:kern w:val="0"/>
          <w:sz w:val="24"/>
          <w:highlight w:val="none"/>
        </w:rPr>
        <w:t>通过“山西政府采购平台”要求供应商在规定时间内在山西政府采购平台系统上传相关证明材料。</w:t>
      </w:r>
      <w:r>
        <w:rPr>
          <w:rFonts w:hint="eastAsia" w:ascii="宋体" w:hAnsi="宋体" w:eastAsia="宋体" w:cs="宋体"/>
          <w:sz w:val="24"/>
          <w:highlight w:val="none"/>
        </w:rPr>
        <w:t>若已要求，而该供应商在规定期限内未做出解释、做出的解释不合理或不能提供证明材料的，磋商小组成员有权拒绝该响应。</w:t>
      </w:r>
    </w:p>
    <w:p w14:paraId="3DBCBB48">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24.2重新提交的响应文件有存在下列情况之一的，将视为响应无效：</w:t>
      </w:r>
    </w:p>
    <w:p w14:paraId="2A99161D">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（1）未在规定时间内提交最终报价的；</w:t>
      </w:r>
    </w:p>
    <w:p w14:paraId="0671B72A">
      <w:pPr>
        <w:tabs>
          <w:tab w:val="left" w:pos="567"/>
        </w:tab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（2）未在最终报价函中加盖电子CA章的；</w:t>
      </w:r>
    </w:p>
    <w:p w14:paraId="7F79A12B">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（3）未按最终报价函要求进行填报或最终报价函填报不完整</w:t>
      </w:r>
      <w:r>
        <w:rPr>
          <w:rFonts w:hint="eastAsia" w:ascii="宋体" w:hAnsi="宋体" w:eastAsia="宋体" w:cs="宋体"/>
          <w:sz w:val="24"/>
          <w:highlight w:val="none"/>
        </w:rPr>
        <w:t>，存在可空项、漏项、缺项的；</w:t>
      </w:r>
    </w:p>
    <w:p w14:paraId="507D8FA0">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sz w:val="24"/>
          <w:szCs w:val="24"/>
          <w:highlight w:val="none"/>
        </w:rPr>
        <w:t>未按磋商小组要求对响应文件进行澄清（说明或者更正）的；</w:t>
      </w:r>
    </w:p>
    <w:p w14:paraId="57878568">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（5）磋商小组对重新提交的响应文件评审后，认为在有效性、完整性和响应程度方面没有实质性响应磋商文件的。</w:t>
      </w:r>
    </w:p>
    <w:p w14:paraId="4F217DC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w:t>
      </w:r>
      <w:r>
        <w:rPr>
          <w:rFonts w:hint="eastAsia" w:ascii="宋体" w:hAnsi="宋体" w:eastAsia="宋体" w:cs="宋体"/>
          <w:b/>
          <w:bCs/>
          <w:kern w:val="0"/>
          <w:sz w:val="24"/>
          <w:highlight w:val="none"/>
        </w:rPr>
        <w:t>比较和评价</w:t>
      </w:r>
    </w:p>
    <w:p w14:paraId="61D6AE7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25.1本项目采用综合评分法，磋商小组应当按照磋商文件中规定的“评分细则”，对3家及以上符合性审查合格供应商的响应文件中的商务和技术文件进行综合比较与评价。</w:t>
      </w:r>
    </w:p>
    <w:p w14:paraId="6A2EC59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25.2磋商小组对响应文件的比较和评价，除项目需对响应文件中无法用文字表述须采用提交的样品或演示等内容进行比较和评判的特殊情形外，只依据供应商的商务技术文件内容本身，不依据任何外来证明。</w:t>
      </w:r>
    </w:p>
    <w:p w14:paraId="56B7903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25.3</w:t>
      </w:r>
      <w:r>
        <w:rPr>
          <w:rFonts w:hint="eastAsia" w:ascii="宋体" w:hAnsi="宋体" w:eastAsia="宋体" w:cs="宋体"/>
          <w:sz w:val="24"/>
          <w:highlight w:val="none"/>
        </w:rPr>
        <w:t>磋商小组按照磋商文件第四部分确定的“评分细则”</w:t>
      </w:r>
      <w:r>
        <w:rPr>
          <w:rFonts w:hint="eastAsia" w:ascii="宋体" w:hAnsi="宋体" w:eastAsia="宋体" w:cs="宋体"/>
          <w:b/>
          <w:sz w:val="24"/>
          <w:highlight w:val="none"/>
        </w:rPr>
        <w:t>按包顺序依次</w:t>
      </w:r>
      <w:r>
        <w:rPr>
          <w:rFonts w:hint="eastAsia" w:ascii="宋体" w:hAnsi="宋体" w:eastAsia="宋体" w:cs="宋体"/>
          <w:b/>
          <w:bCs/>
          <w:sz w:val="24"/>
          <w:highlight w:val="none"/>
        </w:rPr>
        <w:t>对提交最后报价的每个供应商的响应文件和最后报价进行独立评审、打分。</w:t>
      </w:r>
    </w:p>
    <w:p w14:paraId="6076FE38">
      <w:pPr>
        <w:pStyle w:val="112"/>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25.4汇总每个供应商商务、技术每项评分因素得分。</w:t>
      </w:r>
    </w:p>
    <w:p w14:paraId="69DF678D">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25.5价格评分采用低价优先法计算，即满足磋商文件要求且评审价格最低的供应商的价格为磋商基准价，其价格分为满分。价格评审中，不得去掉最后报价的最高报价和最低报价。</w:t>
      </w:r>
    </w:p>
    <w:p w14:paraId="1A5E7190">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25.6各供应商的评分因素得分加其报价得分，为各供应商的最终综合得分。</w:t>
      </w:r>
    </w:p>
    <w:p w14:paraId="396E775C">
      <w:pPr>
        <w:pStyle w:val="11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26.推荐成交候选供应商</w:t>
      </w:r>
    </w:p>
    <w:p w14:paraId="15694669">
      <w:pPr>
        <w:pStyle w:val="112"/>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szCs w:val="24"/>
          <w:highlight w:val="none"/>
        </w:rPr>
        <w:t>26.1推荐成交候选供应商顺序</w:t>
      </w:r>
      <w:r>
        <w:rPr>
          <w:rFonts w:hint="eastAsia" w:ascii="宋体" w:hAnsi="宋体" w:eastAsia="宋体" w:cs="宋体"/>
          <w:kern w:val="0"/>
          <w:sz w:val="24"/>
          <w:highlight w:val="none"/>
        </w:rPr>
        <w:t>遵循下列原则：</w:t>
      </w:r>
    </w:p>
    <w:p w14:paraId="118D9049">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26.1.1按评审后供应商的综合得分由高到低顺序排列。</w:t>
      </w:r>
    </w:p>
    <w:p w14:paraId="3C3F22E3">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26.1.2综合得分相同的，按磋商最终报价由低到高顺序排列。</w:t>
      </w:r>
    </w:p>
    <w:p w14:paraId="14D782A8">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26.1.3综合得分且最终报价相同的按照技术及服务方案因素得分较高顺序排列。</w:t>
      </w:r>
    </w:p>
    <w:p w14:paraId="61DD8058">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26.1.4磋商小组成员对推荐顺序有异议的，按照少数服从多数的原则推荐成交候选供应商，磋商活动继续进行。</w:t>
      </w:r>
    </w:p>
    <w:p w14:paraId="21FFC6F6">
      <w:pPr>
        <w:pStyle w:val="112"/>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27.确定成交供应商</w:t>
      </w:r>
    </w:p>
    <w:p w14:paraId="7FA4AE1E">
      <w:pPr>
        <w:pStyle w:val="30"/>
        <w:widowControl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27.1本次磋商项目，授权磋商小组按照成交候选供应商排序，优先直接确定排名第一的供应商为成交供应商。</w:t>
      </w:r>
    </w:p>
    <w:p w14:paraId="29168E8F">
      <w:pPr>
        <w:pStyle w:val="11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28.编写评审报告</w:t>
      </w:r>
    </w:p>
    <w:p w14:paraId="5695CEAF">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28.1磋商小组根据磋商记录和磋商情况及评审结果编写评审报告。</w:t>
      </w:r>
    </w:p>
    <w:p w14:paraId="11D519F1">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评审报告应当包括以下主要内容：</w:t>
      </w:r>
    </w:p>
    <w:p w14:paraId="296E739E">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（一）邀请供应商参加磋商活动的具体方法和相关情况；</w:t>
      </w:r>
    </w:p>
    <w:p w14:paraId="7805C6D9">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（二）响应文件开启日期和地点及响应文件解密情况；</w:t>
      </w:r>
    </w:p>
    <w:p w14:paraId="4F02B731">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（三）获取磋商文件的供应商名单和磋商小组成员名单；</w:t>
      </w:r>
    </w:p>
    <w:p w14:paraId="326BDC2D">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（四）评审情况记录和说明，包括各供应商的资格性、符合性审查情况、供应商响应文件评审情况、磋商情况、报价情况等；</w:t>
      </w:r>
    </w:p>
    <w:p w14:paraId="57663B0F">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（五）提出成交供应商的排序名单和理由；经采购人委托磋商小组直接确定成交供应商。</w:t>
      </w:r>
    </w:p>
    <w:p w14:paraId="30856847">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28.2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794572C9">
      <w:pPr>
        <w:pStyle w:val="11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29.评审复核</w:t>
      </w:r>
    </w:p>
    <w:p w14:paraId="79D3C8AA">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29.1磋商小组要对评审数据进行校对、核对。</w:t>
      </w:r>
    </w:p>
    <w:p w14:paraId="745AB998">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29.2除资格性审查认定错误、分值汇总计算错误、分项评分超出评分范围、客观分评分不一致、经磋商小组一致认定畸高、畸低的情形外，代理机构或者</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不得以任何理由组织重新评审。</w:t>
      </w:r>
    </w:p>
    <w:p w14:paraId="4AFA46EB">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29.3</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、代理机构发现磋商小组未按磋商文件规定的评审标准进行评审的，应当重新开展磋商活动，并同时书面报告相关部门。</w:t>
      </w:r>
    </w:p>
    <w:p w14:paraId="2E27A47E">
      <w:pPr>
        <w:pStyle w:val="112"/>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30.磋商过程保密</w:t>
      </w:r>
    </w:p>
    <w:p w14:paraId="5714A2BD">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30.1在磋商期间，任何人不得透露与磋商有关的其他供应商的响应内容及服务方案和其他信息。</w:t>
      </w:r>
    </w:p>
    <w:p w14:paraId="695BB82F">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30.2</w:t>
      </w:r>
      <w:r>
        <w:rPr>
          <w:rFonts w:hint="eastAsia" w:ascii="宋体" w:hAnsi="宋体" w:eastAsia="宋体" w:cs="宋体"/>
          <w:kern w:val="0"/>
          <w:sz w:val="24"/>
          <w:highlight w:val="none"/>
        </w:rPr>
        <w:t>采购人、代理机构应当采取必要措施，保证磋商在严格保密的情况下进行。除</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代表、磋商现场组织人员外，</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的其他工作人员以及与磋商工作无关的人员不得进入磋商现场。</w:t>
      </w:r>
    </w:p>
    <w:p w14:paraId="5F3D84BD">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30.3磋商开始，直到授予成交供应商合同止，凡是属于审查、澄清、评价和比较磋商的有关资料等，均不得向供应商或其他与磋商无关的人员透露。</w:t>
      </w:r>
    </w:p>
    <w:p w14:paraId="6BCF4C4C">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30.4在磋商期间，供应商企图影响代理机构或磋商小组的任何活动，将导致磋商被拒绝，并承担相应的责任。</w:t>
      </w:r>
    </w:p>
    <w:p w14:paraId="1A0DF787">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30.5磋商结束后，参与评审的所有人员不得带走与相关规定要求违背的任何资料。</w:t>
      </w:r>
    </w:p>
    <w:p w14:paraId="6AEBBA4F">
      <w:pPr>
        <w:pStyle w:val="112"/>
        <w:snapToGrid w:val="0"/>
        <w:spacing w:line="360" w:lineRule="auto"/>
        <w:ind w:firstLine="477" w:firstLineChars="19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31.关于供应商瑕疵滞后发现的处理规则</w:t>
      </w:r>
    </w:p>
    <w:p w14:paraId="37116E46">
      <w:pPr>
        <w:pStyle w:val="11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5B201A52">
      <w:pPr>
        <w:tabs>
          <w:tab w:val="left" w:pos="0"/>
        </w:tabs>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32.磋商项目终止</w:t>
      </w:r>
    </w:p>
    <w:p w14:paraId="1549392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32.1出现下列情形之一的，代理机构或</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应当终止磋商活动，发布项目终止公告并说明原因，重新开展磋商活动：</w:t>
      </w:r>
    </w:p>
    <w:p w14:paraId="60E05092">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（一）因情况变化，不再符合规定的磋商方式适用情形的；</w:t>
      </w:r>
    </w:p>
    <w:p w14:paraId="59A5E81F">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（二）出现影响磋商公正、公平行为的；</w:t>
      </w:r>
    </w:p>
    <w:p w14:paraId="2DCE4335">
      <w:pPr>
        <w:snapToGrid w:val="0"/>
        <w:spacing w:line="360" w:lineRule="auto"/>
        <w:ind w:firstLine="48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（三）在磋商过程中符合磋商文件资格性符合性要求的供应商不足3家的，</w:t>
      </w:r>
      <w:r>
        <w:rPr>
          <w:rFonts w:hint="eastAsia" w:ascii="宋体" w:hAnsi="宋体" w:eastAsia="宋体" w:cs="宋体"/>
          <w:sz w:val="24"/>
          <w:highlight w:val="none"/>
          <w:lang w:val="en-US" w:eastAsia="zh-CN"/>
        </w:rPr>
        <w:t>符合市场竞争不充分的科研项目，以及需要扶持的科技成果转化项目</w:t>
      </w:r>
      <w:r>
        <w:rPr>
          <w:rFonts w:hint="eastAsia" w:ascii="宋体" w:hAnsi="宋体" w:eastAsia="宋体" w:cs="宋体"/>
          <w:sz w:val="24"/>
          <w:highlight w:val="none"/>
        </w:rPr>
        <w:t>情形</w:t>
      </w:r>
      <w:r>
        <w:rPr>
          <w:rFonts w:hint="eastAsia" w:ascii="宋体" w:hAnsi="宋体" w:eastAsia="宋体" w:cs="宋体"/>
          <w:sz w:val="24"/>
          <w:highlight w:val="none"/>
          <w:lang w:val="en-US" w:eastAsia="zh-CN"/>
        </w:rPr>
        <w:t>的，提交最后报价的供应商可以为2家。</w:t>
      </w:r>
    </w:p>
    <w:p w14:paraId="7F99C87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32.2在磋商活动中因重大变故，磋商任务取消的，代理机构或</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应当终止磋商活动，通过发布终止项目公告的方式通知所有参加磋商活动的供应商，并将项目实施情况和磋商任务取消原因报送上级主管部门。</w:t>
      </w:r>
    </w:p>
    <w:p w14:paraId="0BF5C941">
      <w:pPr>
        <w:pStyle w:val="112"/>
        <w:snapToGrid w:val="0"/>
        <w:spacing w:line="360" w:lineRule="auto"/>
        <w:ind w:firstLine="477" w:firstLineChars="198"/>
        <w:jc w:val="left"/>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33</w:t>
      </w:r>
      <w:r>
        <w:rPr>
          <w:rFonts w:hint="eastAsia" w:ascii="宋体" w:hAnsi="宋体" w:eastAsia="宋体" w:cs="宋体"/>
          <w:b/>
          <w:sz w:val="24"/>
          <w:szCs w:val="24"/>
          <w:highlight w:val="none"/>
        </w:rPr>
        <w:t>.成交公告与成交通知</w:t>
      </w:r>
    </w:p>
    <w:p w14:paraId="0F219518">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33.1代理机构或</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应当在成交供应商确定后2个工作日内，在</w:t>
      </w:r>
      <w:r>
        <w:rPr>
          <w:rFonts w:hint="eastAsia" w:ascii="宋体" w:hAnsi="宋体" w:eastAsia="宋体" w:cs="宋体"/>
          <w:sz w:val="24"/>
          <w:szCs w:val="24"/>
          <w:highlight w:val="none"/>
          <w:u w:val="single"/>
        </w:rPr>
        <w:t>中国政府采购网山西分网</w:t>
      </w:r>
      <w:r>
        <w:rPr>
          <w:rFonts w:hint="eastAsia" w:ascii="宋体" w:hAnsi="宋体" w:eastAsia="宋体" w:cs="宋体"/>
          <w:sz w:val="24"/>
          <w:szCs w:val="24"/>
          <w:highlight w:val="none"/>
        </w:rPr>
        <w:t>发布成交结果</w:t>
      </w:r>
      <w:r>
        <w:rPr>
          <w:rFonts w:hint="eastAsia" w:ascii="宋体" w:hAnsi="宋体" w:eastAsia="宋体" w:cs="宋体"/>
          <w:kern w:val="0"/>
          <w:sz w:val="24"/>
          <w:szCs w:val="24"/>
          <w:highlight w:val="none"/>
        </w:rPr>
        <w:t>，同时向成交供应商发出成交通知书，并将磋商文件随成交结果同时公告。成交结果公告应当包括：</w:t>
      </w:r>
    </w:p>
    <w:p w14:paraId="5D95CC07">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和代理机构的名称、地址和联系方式；</w:t>
      </w:r>
    </w:p>
    <w:p w14:paraId="659216CF">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（二）项目名称和项目编号；</w:t>
      </w:r>
    </w:p>
    <w:p w14:paraId="75B02B7D">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（三）成交供应商名称、地址和成交金额；</w:t>
      </w:r>
    </w:p>
    <w:p w14:paraId="153E7ED8">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（四）主要成交标的的名称、服务范围、服务要求、服务期限、服务标准等；</w:t>
      </w:r>
    </w:p>
    <w:p w14:paraId="5299C203">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（五）磋商小组成员名单；</w:t>
      </w:r>
    </w:p>
    <w:p w14:paraId="6C9F8AE7">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（六）成交服务费收取标准及金额。</w:t>
      </w:r>
    </w:p>
    <w:p w14:paraId="7E87A23F">
      <w:pPr>
        <w:pStyle w:val="112"/>
        <w:snapToGrid w:val="0"/>
        <w:spacing w:line="360" w:lineRule="auto"/>
        <w:ind w:firstLine="477" w:firstLineChars="198"/>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如本项目成交供应商为中小企业，须同时上传中小企业声明函。</w:t>
      </w:r>
    </w:p>
    <w:p w14:paraId="1F5F08C4">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33.2代理机构对未成交的供应商不做未成交原因的解释。</w:t>
      </w:r>
    </w:p>
    <w:p w14:paraId="4ED53D8C">
      <w:pPr>
        <w:pStyle w:val="112"/>
        <w:snapToGrid w:val="0"/>
        <w:spacing w:line="360" w:lineRule="auto"/>
        <w:ind w:firstLine="475" w:firstLineChars="198"/>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33.3成交通知书对</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和成交供应商具有同等法律效力，是合同的组成部分。</w:t>
      </w:r>
    </w:p>
    <w:p w14:paraId="7596611C">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33.4除不可抗力等因素外，成交通知书发出后，</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改变成交结果，或者成交供应商拒绝签订合同的，应当承担相应的责任。</w:t>
      </w:r>
    </w:p>
    <w:p w14:paraId="55020A6D">
      <w:pPr>
        <w:tabs>
          <w:tab w:val="left" w:pos="567"/>
        </w:tab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33.5成交供应商拒绝签订合同的，</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可以确定其他供应商作为成交供应商，并签订合同；也可以重新开展磋商活动。拒绝签订合同的成交供应商不得参加对该项目重新开展的磋商活动。</w:t>
      </w:r>
    </w:p>
    <w:p w14:paraId="07DC1D24">
      <w:pPr>
        <w:pStyle w:val="112"/>
        <w:snapToGrid w:val="0"/>
        <w:spacing w:line="360" w:lineRule="auto"/>
        <w:ind w:firstLine="477" w:firstLineChars="19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34.成交服务费</w:t>
      </w:r>
    </w:p>
    <w:p w14:paraId="74C59106">
      <w:pPr>
        <w:pStyle w:val="108"/>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kern w:val="0"/>
          <w:sz w:val="24"/>
          <w:highlight w:val="none"/>
        </w:rPr>
        <w:t>3</w:t>
      </w:r>
      <w:r>
        <w:rPr>
          <w:rFonts w:hint="eastAsia" w:ascii="宋体" w:hAnsi="宋体" w:eastAsia="宋体" w:cs="宋体"/>
          <w:color w:val="auto"/>
          <w:kern w:val="0"/>
          <w:sz w:val="24"/>
          <w:highlight w:val="none"/>
        </w:rPr>
        <w:t>4.1</w:t>
      </w:r>
      <w:r>
        <w:rPr>
          <w:rFonts w:hint="eastAsia" w:ascii="宋体" w:hAnsi="宋体" w:eastAsia="宋体" w:cs="宋体"/>
          <w:color w:val="auto"/>
          <w:kern w:val="0"/>
          <w:sz w:val="24"/>
          <w:szCs w:val="24"/>
          <w:highlight w:val="none"/>
        </w:rPr>
        <w:t>以本项目成交金额为计费依据，采购代理服务费参照《招标代理服务收费管理暂行办法》（计价格[2002]1980号）文件的规定作为代理服务费收费标准</w:t>
      </w:r>
      <w:r>
        <w:rPr>
          <w:rFonts w:hint="eastAsia" w:ascii="宋体" w:hAnsi="宋体" w:eastAsia="宋体" w:cs="宋体"/>
          <w:color w:val="auto"/>
          <w:kern w:val="0"/>
          <w:sz w:val="24"/>
          <w:highlight w:val="none"/>
        </w:rPr>
        <w:t>。</w:t>
      </w:r>
    </w:p>
    <w:p w14:paraId="794DF5E4">
      <w:pPr>
        <w:pStyle w:val="108"/>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34.2成交供应商在收到成交通知书时，向采购代理机构一次性付清成交服务费。</w:t>
      </w:r>
    </w:p>
    <w:p w14:paraId="60DC7EDA">
      <w:pPr>
        <w:pStyle w:val="108"/>
        <w:spacing w:line="360" w:lineRule="auto"/>
        <w:ind w:firstLine="482"/>
        <w:jc w:val="left"/>
        <w:rPr>
          <w:rFonts w:hint="eastAsia" w:ascii="宋体" w:hAnsi="宋体" w:eastAsia="宋体" w:cs="宋体"/>
          <w:b/>
          <w:bCs/>
          <w:kern w:val="0"/>
          <w:sz w:val="24"/>
          <w:highlight w:val="none"/>
        </w:rPr>
      </w:pPr>
      <w:bookmarkStart w:id="79" w:name="_Toc8349"/>
      <w:bookmarkStart w:id="80" w:name="_Toc16730"/>
      <w:bookmarkStart w:id="81" w:name="_Toc763"/>
      <w:r>
        <w:rPr>
          <w:rFonts w:hint="eastAsia" w:ascii="宋体" w:hAnsi="宋体" w:eastAsia="宋体" w:cs="宋体"/>
          <w:b/>
          <w:bCs/>
          <w:kern w:val="0"/>
          <w:sz w:val="24"/>
          <w:highlight w:val="none"/>
        </w:rPr>
        <w:t>34.3采购代理机构收款信息：</w:t>
      </w:r>
    </w:p>
    <w:p w14:paraId="152146A0">
      <w:pPr>
        <w:widowControl/>
        <w:shd w:val="clear"/>
        <w:spacing w:line="360" w:lineRule="auto"/>
        <w:ind w:firstLine="482" w:firstLineChars="200"/>
        <w:jc w:val="left"/>
        <w:rPr>
          <w:rFonts w:hint="eastAsia" w:ascii="宋体" w:hAnsi="宋体" w:eastAsia="宋体" w:cs="宋体"/>
          <w:b/>
          <w:bCs/>
          <w:kern w:val="0"/>
          <w:sz w:val="24"/>
          <w:szCs w:val="24"/>
          <w:highlight w:val="none"/>
          <w:lang w:val="zh-CN" w:eastAsia="zh-CN" w:bidi="ar-SA"/>
        </w:rPr>
      </w:pPr>
      <w:bookmarkStart w:id="82" w:name="_Toc17077"/>
      <w:r>
        <w:rPr>
          <w:rFonts w:hint="eastAsia" w:ascii="宋体" w:hAnsi="宋体" w:eastAsia="宋体" w:cs="宋体"/>
          <w:b/>
          <w:bCs/>
          <w:kern w:val="0"/>
          <w:sz w:val="24"/>
          <w:szCs w:val="24"/>
          <w:highlight w:val="none"/>
          <w:lang w:val="zh-CN" w:eastAsia="zh-CN" w:bidi="ar-SA"/>
        </w:rPr>
        <w:t>开户名称：山西亿通工程项目管理有限公司</w:t>
      </w:r>
    </w:p>
    <w:p w14:paraId="068A5825">
      <w:pPr>
        <w:widowControl/>
        <w:shd w:val="clear"/>
        <w:spacing w:line="360" w:lineRule="auto"/>
        <w:ind w:firstLine="482" w:firstLineChars="200"/>
        <w:jc w:val="left"/>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银行账号：2007600000005363</w:t>
      </w:r>
    </w:p>
    <w:p w14:paraId="5CDE8D31">
      <w:pPr>
        <w:widowControl/>
        <w:shd w:val="clear"/>
        <w:spacing w:line="360" w:lineRule="auto"/>
        <w:ind w:firstLine="482" w:firstLineChars="200"/>
        <w:jc w:val="left"/>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开户银行：山西银行长治君汇华府支行</w:t>
      </w:r>
    </w:p>
    <w:p w14:paraId="702ABC0D">
      <w:pPr>
        <w:widowControl/>
        <w:shd w:val="clear"/>
        <w:spacing w:line="360" w:lineRule="auto"/>
        <w:ind w:firstLine="482" w:firstLineChars="20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行    号：313164000014</w:t>
      </w:r>
    </w:p>
    <w:p w14:paraId="09BE5B31">
      <w:pPr>
        <w:spacing w:line="360" w:lineRule="auto"/>
        <w:ind w:firstLine="482" w:firstLineChars="200"/>
        <w:jc w:val="left"/>
        <w:outlineLvl w:val="1"/>
        <w:rPr>
          <w:rFonts w:hint="eastAsia" w:ascii="宋体" w:hAnsi="宋体" w:eastAsia="宋体" w:cs="宋体"/>
          <w:b/>
          <w:sz w:val="24"/>
          <w:highlight w:val="none"/>
        </w:rPr>
      </w:pPr>
      <w:r>
        <w:rPr>
          <w:rFonts w:hint="eastAsia" w:ascii="宋体" w:hAnsi="宋体" w:eastAsia="宋体" w:cs="宋体"/>
          <w:b/>
          <w:sz w:val="24"/>
          <w:highlight w:val="none"/>
        </w:rPr>
        <w:t>七、签订合同</w:t>
      </w:r>
      <w:bookmarkEnd w:id="79"/>
      <w:bookmarkEnd w:id="80"/>
      <w:bookmarkEnd w:id="81"/>
      <w:bookmarkEnd w:id="82"/>
    </w:p>
    <w:p w14:paraId="3FE8C553">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35.1</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与成交供应商应当在</w:t>
      </w:r>
      <w:r>
        <w:rPr>
          <w:rFonts w:hint="eastAsia" w:ascii="宋体" w:hAnsi="宋体" w:eastAsia="宋体" w:cs="宋体"/>
          <w:sz w:val="24"/>
          <w:highlight w:val="none"/>
        </w:rPr>
        <w:t>成交通知书发出之日起30日内，按照磋商文件确定的合同文本以及磋商内容、服务、技术要求等事项签订采购合同。</w:t>
      </w:r>
    </w:p>
    <w:p w14:paraId="27E169B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35.2</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754687C7">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35.3除磋商文件要求可以转包、分包情形外，成交供应商不得转包、分包，亦不得将合同全部及任何权利、义务向第三方转让。代理机构或</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有权决定按照成交供应商成交后毁标、终止或解除合同等依约处理。</w:t>
      </w:r>
    </w:p>
    <w:p w14:paraId="68A63627">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35.4</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与成交供应商应当根据合同约定依法履行合同义务，</w:t>
      </w:r>
      <w:r>
        <w:rPr>
          <w:rFonts w:hint="eastAsia" w:ascii="宋体" w:hAnsi="宋体" w:eastAsia="宋体" w:cs="宋体"/>
          <w:kern w:val="0"/>
          <w:sz w:val="24"/>
          <w:highlight w:val="none"/>
        </w:rPr>
        <w:t>并按合同约定完成验收。</w:t>
      </w:r>
      <w:r>
        <w:rPr>
          <w:rFonts w:hint="eastAsia" w:ascii="宋体" w:hAnsi="宋体" w:eastAsia="宋体" w:cs="宋体"/>
          <w:sz w:val="24"/>
          <w:highlight w:val="none"/>
        </w:rPr>
        <w:t>否则，应承担违约责任。</w:t>
      </w:r>
    </w:p>
    <w:p w14:paraId="5E2A832D">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35.5成交供应商应当自合同或补充合同签订之日起五个工作日内将合同报代理机构备案。</w:t>
      </w:r>
    </w:p>
    <w:p w14:paraId="6CA72933">
      <w:pPr>
        <w:spacing w:line="360" w:lineRule="auto"/>
        <w:ind w:firstLine="482" w:firstLineChars="200"/>
        <w:jc w:val="left"/>
        <w:outlineLvl w:val="1"/>
        <w:rPr>
          <w:rFonts w:hint="eastAsia" w:ascii="宋体" w:hAnsi="宋体" w:eastAsia="宋体" w:cs="宋体"/>
          <w:b/>
          <w:sz w:val="24"/>
          <w:highlight w:val="none"/>
        </w:rPr>
      </w:pPr>
      <w:bookmarkStart w:id="83" w:name="_Toc8517"/>
      <w:bookmarkStart w:id="84" w:name="_Toc5839"/>
      <w:bookmarkStart w:id="85" w:name="_Toc22042"/>
      <w:bookmarkStart w:id="86" w:name="_Toc7146"/>
      <w:r>
        <w:rPr>
          <w:rFonts w:hint="eastAsia" w:ascii="宋体" w:hAnsi="宋体" w:eastAsia="宋体" w:cs="宋体"/>
          <w:b/>
          <w:sz w:val="24"/>
          <w:highlight w:val="none"/>
        </w:rPr>
        <w:t>八、保密和披露</w:t>
      </w:r>
      <w:bookmarkEnd w:id="83"/>
      <w:bookmarkEnd w:id="84"/>
      <w:bookmarkEnd w:id="85"/>
      <w:bookmarkEnd w:id="86"/>
    </w:p>
    <w:p w14:paraId="45852255">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36.1供应商自获取磋商文件之日起，须承诺承担对本磋商项目的保密义务，不得将因本次磋商获得的信息向第三方外传。</w:t>
      </w:r>
    </w:p>
    <w:p w14:paraId="31B09F6E">
      <w:pPr>
        <w:pStyle w:val="112"/>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36.2参加磋商过程的有关人员对磋商情况以及在磋商过程中获悉的国家秘密、商业秘密负有保密责任。</w:t>
      </w:r>
    </w:p>
    <w:p w14:paraId="0233775F">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36.3代理机构有权将供应商提供的所有资料向有关部门或评审的有关人员披露。</w:t>
      </w:r>
    </w:p>
    <w:p w14:paraId="57BCBCF8">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36.4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27124D90">
      <w:pPr>
        <w:pStyle w:val="112"/>
        <w:spacing w:line="360" w:lineRule="auto"/>
        <w:ind w:firstLine="482" w:firstLineChars="200"/>
        <w:jc w:val="left"/>
        <w:outlineLvl w:val="1"/>
        <w:rPr>
          <w:rFonts w:hint="eastAsia" w:ascii="宋体" w:hAnsi="宋体" w:eastAsia="宋体" w:cs="宋体"/>
          <w:b/>
          <w:bCs/>
          <w:sz w:val="24"/>
          <w:szCs w:val="24"/>
          <w:highlight w:val="none"/>
        </w:rPr>
      </w:pPr>
      <w:bookmarkStart w:id="87" w:name="_Toc16584"/>
      <w:bookmarkStart w:id="88" w:name="_Toc26132"/>
      <w:bookmarkStart w:id="89" w:name="_Toc22857"/>
      <w:bookmarkStart w:id="90" w:name="_Toc13971"/>
      <w:r>
        <w:rPr>
          <w:rFonts w:hint="eastAsia" w:ascii="宋体" w:hAnsi="宋体" w:eastAsia="宋体" w:cs="宋体"/>
          <w:b/>
          <w:bCs/>
          <w:sz w:val="24"/>
          <w:szCs w:val="24"/>
          <w:highlight w:val="none"/>
        </w:rPr>
        <w:t>九、询问和质疑</w:t>
      </w:r>
      <w:bookmarkEnd w:id="87"/>
      <w:bookmarkEnd w:id="88"/>
      <w:bookmarkEnd w:id="89"/>
      <w:bookmarkEnd w:id="90"/>
    </w:p>
    <w:p w14:paraId="5D3A56B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37.磋商程序受本文件及相关法律法规的约束，并受到上级主管部门严格的监督，为确保授予合同过程的公平公正，供应商有权就本磋商项目事宜按以下要求提出询问或质疑。</w:t>
      </w:r>
    </w:p>
    <w:p w14:paraId="4416A27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37.1供应商对本磋商文件、磋商活动事项有疑问的，应通过山西省政府采购平台中的“项目质疑管理”程序在线向采购人或采购代理机构提出询问或质疑。</w:t>
      </w:r>
    </w:p>
    <w:p w14:paraId="4C39DAA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37.2供应商在质疑期内，应当一次性提出针对同一磋商程序环节的质疑；</w:t>
      </w:r>
    </w:p>
    <w:p w14:paraId="7E0E5EB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37.3供应商认为本磋商文件、磋商过程、中标或者成交结果使自己的合法权益受到损害的，可以在知道或者应知其权益受到损害之日起7个工作日内提出；</w:t>
      </w:r>
    </w:p>
    <w:p w14:paraId="2DB1E3C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37.4提出质疑的供应商应当是参与本项目磋商活动的供应商；</w:t>
      </w:r>
    </w:p>
    <w:p w14:paraId="0735C9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潜在供应商已依法获取其可质疑的磋商文件的，可以对该文件提出质疑。对磋商文件提出质疑的，应当在获取磋商文件或者磋商公告期限届满之日起7个工作日内提出；</w:t>
      </w:r>
    </w:p>
    <w:p w14:paraId="5688852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37.5提出质疑的供应商为自然人的，应当由本人签字；为法人或者其他组织的，应当由法定代表人、主要负责人或者参加本磋商项目的授权代表或授权委托代理人签字或者盖章，并加盖公章；</w:t>
      </w:r>
    </w:p>
    <w:p w14:paraId="3C1BD7A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 供应商提出质疑应当提交质疑函和必要的证明材料。质疑函应当包括以下主要内容：</w:t>
      </w:r>
    </w:p>
    <w:p w14:paraId="222E356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37.6.1供应商的姓名或者名称、地址、邮编、联系人及联系电话；</w:t>
      </w:r>
    </w:p>
    <w:p w14:paraId="124F4E2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37.6.2质疑项目名称、编号、包号；</w:t>
      </w:r>
    </w:p>
    <w:p w14:paraId="1EC5D4A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37.6.3具体、明确的质疑事项和与质疑事项相关的请求；</w:t>
      </w:r>
    </w:p>
    <w:p w14:paraId="3314D42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37.6.4事实依据；</w:t>
      </w:r>
    </w:p>
    <w:p w14:paraId="34DA41D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37.6.5必要的法律依据；</w:t>
      </w:r>
    </w:p>
    <w:p w14:paraId="6BE5B18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37.6.6提出质疑的日期。</w:t>
      </w:r>
    </w:p>
    <w:p w14:paraId="0FC14D9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47F53EE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37.8有下列情形之一的，采购代理机构或采购人应当在山西省政府采购平台的“项目质疑管理”程序中的“受理内容”处标明“退回补正”，并说明“原因”：</w:t>
      </w:r>
    </w:p>
    <w:p w14:paraId="26FFAE3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37.8.1质疑未按37.6、37.7的要求提出的；</w:t>
      </w:r>
    </w:p>
    <w:p w14:paraId="3E8D05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37.8.2质疑未按37.5要求签字或盖章的；</w:t>
      </w:r>
    </w:p>
    <w:p w14:paraId="7700F49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37.8.3其它不符合要求的质疑情形。</w:t>
      </w:r>
    </w:p>
    <w:p w14:paraId="2D8F89E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37.9存在以下情形的，供应商的质疑采购代理机构或采购人不予受理：</w:t>
      </w:r>
    </w:p>
    <w:p w14:paraId="5875326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37.9.1潜在供应商未依法获取其可质疑的磋商文件，对磋商文件进行质疑的；</w:t>
      </w:r>
    </w:p>
    <w:p w14:paraId="6076A4C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37.9.2供应商在法定质疑期内针对同一磋商程序环节重复提出的质疑；</w:t>
      </w:r>
    </w:p>
    <w:p w14:paraId="6EE0E2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37.9.3未参加本项目磋商活动的供应商针对磋商过程、中标或者成交结果提出质疑的；</w:t>
      </w:r>
    </w:p>
    <w:p w14:paraId="4DE106F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37.9.4超过37.3、37.4规定质疑期发出的质疑。</w:t>
      </w:r>
    </w:p>
    <w:p w14:paraId="13789D0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37.10代理机构或</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不得拒收质疑供应商在法定质疑期内发出的质疑函，应当在收到质疑函后7个工作日内做出答复，并以书面形式通知质疑供应商和其他有关供应商。</w:t>
      </w:r>
    </w:p>
    <w:p w14:paraId="1D02D08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37.11供应商对磋商过程、成交结果提出质疑的，代理机构或</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可以组织原磋商小组协助答复质疑。</w:t>
      </w:r>
    </w:p>
    <w:p w14:paraId="4C381D7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37.12质疑答复应当包含以下内容：</w:t>
      </w:r>
    </w:p>
    <w:p w14:paraId="5ED2B03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3693DEB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37.13</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、代理机构认为供应商质疑不成立，或者成立但未对成交结果构成影响的，继续开展磋商活动；认为供应商质疑成立且影响或者可能影响成交结果的，按照下列情况处理：</w:t>
      </w:r>
    </w:p>
    <w:p w14:paraId="247BC7D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37.13.1对磋商文件提出的质疑，通过澄清或者修改可以继续开展磋商活动；否则应当修改磋商文件后重新开展活动。</w:t>
      </w:r>
    </w:p>
    <w:p w14:paraId="71E2286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37.13.2对磋商过程、成交结果提出的质疑，合格供应商符合规定数量时，可以从合格的成交候选人中另行确定成交供应商的，应当另行确定成交供应商；否则应当重新开展磋商活动。</w:t>
      </w:r>
    </w:p>
    <w:p w14:paraId="07FE209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质疑答复导致成交结果改变的，代理机构应当将有关情况书面报告相关部门。</w:t>
      </w:r>
    </w:p>
    <w:p w14:paraId="126EBE1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37.14质疑供应商对</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、代理机构的答复不满意，或者代理机构未在规定的时间内做出答复的，可以在答复期满后15个工作日内向相关部门投诉。</w:t>
      </w:r>
    </w:p>
    <w:p w14:paraId="6F2AB07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37.15接收质疑函的联系方式</w:t>
      </w:r>
    </w:p>
    <w:p w14:paraId="13F45D18">
      <w:pPr>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联系单位：</w:t>
      </w:r>
      <w:r>
        <w:rPr>
          <w:rFonts w:hint="eastAsia" w:ascii="宋体" w:hAnsi="宋体" w:eastAsia="宋体" w:cs="宋体"/>
          <w:bCs/>
          <w:color w:val="auto"/>
          <w:kern w:val="0"/>
          <w:sz w:val="24"/>
          <w:lang w:eastAsia="zh-CN"/>
        </w:rPr>
        <w:t>山西亿通工程项目管理有限公司</w:t>
      </w:r>
    </w:p>
    <w:p w14:paraId="2FD218EC">
      <w:pPr>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单位地址：</w:t>
      </w:r>
      <w:r>
        <w:rPr>
          <w:rFonts w:hint="eastAsia" w:ascii="宋体" w:hAnsi="宋体" w:eastAsia="宋体" w:cs="宋体"/>
          <w:bCs/>
          <w:color w:val="auto"/>
          <w:kern w:val="0"/>
          <w:sz w:val="24"/>
          <w:lang w:eastAsia="zh-CN"/>
        </w:rPr>
        <w:t>长治市潞州区太行北路168号钜星创业大厦</w:t>
      </w:r>
      <w:r>
        <w:rPr>
          <w:rFonts w:hint="eastAsia" w:ascii="宋体" w:hAnsi="宋体" w:eastAsia="宋体" w:cs="宋体"/>
          <w:bCs/>
          <w:color w:val="auto"/>
          <w:kern w:val="0"/>
          <w:sz w:val="24"/>
          <w:lang w:val="en-US" w:eastAsia="zh-CN"/>
        </w:rPr>
        <w:t>北</w:t>
      </w:r>
      <w:r>
        <w:rPr>
          <w:rFonts w:hint="eastAsia" w:ascii="宋体" w:hAnsi="宋体" w:eastAsia="宋体" w:cs="宋体"/>
          <w:bCs/>
          <w:color w:val="auto"/>
          <w:kern w:val="0"/>
          <w:sz w:val="24"/>
          <w:lang w:eastAsia="zh-CN"/>
        </w:rPr>
        <w:t>7楼</w:t>
      </w:r>
    </w:p>
    <w:p w14:paraId="3F92D171">
      <w:pPr>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 系 人：</w:t>
      </w:r>
      <w:r>
        <w:rPr>
          <w:rFonts w:hint="eastAsia" w:ascii="宋体" w:hAnsi="宋体" w:eastAsia="宋体" w:cs="宋体"/>
          <w:color w:val="auto"/>
          <w:kern w:val="0"/>
          <w:sz w:val="24"/>
          <w:highlight w:val="none"/>
          <w:lang w:val="en-US" w:eastAsia="zh-CN"/>
        </w:rPr>
        <w:t>吕女士</w:t>
      </w:r>
    </w:p>
    <w:p w14:paraId="0CA7820D">
      <w:pPr>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联系电话：</w:t>
      </w:r>
      <w:r>
        <w:rPr>
          <w:rFonts w:hint="eastAsia" w:ascii="宋体" w:hAnsi="宋体" w:eastAsia="宋体" w:cs="宋体"/>
          <w:bCs/>
          <w:color w:val="auto"/>
          <w:kern w:val="0"/>
          <w:sz w:val="24"/>
          <w:lang w:eastAsia="zh-CN"/>
        </w:rPr>
        <w:t>13223650567</w:t>
      </w:r>
    </w:p>
    <w:p w14:paraId="511681F4">
      <w:pPr>
        <w:snapToGrid w:val="0"/>
        <w:spacing w:line="360" w:lineRule="auto"/>
        <w:ind w:firstLine="482" w:firstLineChars="200"/>
        <w:outlineLvl w:val="1"/>
        <w:rPr>
          <w:rFonts w:hint="eastAsia" w:ascii="宋体" w:hAnsi="宋体" w:eastAsia="宋体" w:cs="宋体"/>
          <w:b/>
          <w:kern w:val="0"/>
          <w:sz w:val="24"/>
          <w:highlight w:val="none"/>
        </w:rPr>
      </w:pPr>
      <w:bookmarkStart w:id="91" w:name="_Toc17222"/>
      <w:bookmarkStart w:id="92" w:name="_Toc16532"/>
      <w:bookmarkStart w:id="93" w:name="_Toc23903"/>
      <w:bookmarkStart w:id="94" w:name="_Toc11388"/>
      <w:r>
        <w:rPr>
          <w:rFonts w:hint="eastAsia" w:ascii="宋体" w:hAnsi="宋体" w:eastAsia="宋体" w:cs="宋体"/>
          <w:b/>
          <w:kern w:val="0"/>
          <w:sz w:val="24"/>
          <w:highlight w:val="none"/>
        </w:rPr>
        <w:t>十、违约处罚</w:t>
      </w:r>
      <w:bookmarkEnd w:id="91"/>
      <w:bookmarkEnd w:id="92"/>
      <w:bookmarkEnd w:id="93"/>
      <w:bookmarkEnd w:id="94"/>
    </w:p>
    <w:p w14:paraId="030EA77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38. 供应商发生下列情况之一的，磋商保证金将被没收，并可能被列入不良记录名单，同时代理机构将提请相关监管部门，依据相关规定作出处理。 </w:t>
      </w:r>
    </w:p>
    <w:p w14:paraId="349C976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38.1开启后在响应文件有效期内，供应商撤回其响应文件；</w:t>
      </w:r>
    </w:p>
    <w:p w14:paraId="0274EAC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38.2在磋商期间，供应商企图影响代理机构或磋商小组的任何活动，将导致报价被拒绝，并由其承担相应的法律责任；</w:t>
      </w:r>
    </w:p>
    <w:p w14:paraId="3882863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38.3成交供应商未按本磋商文件规定签约； </w:t>
      </w:r>
    </w:p>
    <w:p w14:paraId="1D9EB03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38.4成交供应商与</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 xml:space="preserve">订立背离合同实质性内容的其它协议； </w:t>
      </w:r>
    </w:p>
    <w:p w14:paraId="6B41AF3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38.5成交供应商未按磋商文件规定和合同约定履行义务的。</w:t>
      </w:r>
    </w:p>
    <w:p w14:paraId="1922ED8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39.</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有下列情形之一的，由有关部门责令限期改正；情节严重的，给予警告：</w:t>
      </w:r>
    </w:p>
    <w:p w14:paraId="5A4F68C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（一）未按照本办法的规定编制磋商需求的；</w:t>
      </w:r>
    </w:p>
    <w:p w14:paraId="48434F7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向供应商索要或者接受其给予的赠品、回扣或者与磋商无关的其他商品、服务的；</w:t>
      </w:r>
    </w:p>
    <w:p w14:paraId="2D811FF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40.磋商小组及其成员不得有下列行为：</w:t>
      </w:r>
    </w:p>
    <w:p w14:paraId="36EFBC8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（一）确定参与评审至评审结束前私自接触供应商；</w:t>
      </w:r>
    </w:p>
    <w:p w14:paraId="0664A5D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（二）接受供应商提出的与响应文件不一致的澄清或者说明，对于响应文件中含义不明确、同类问题表述不一致或者有明显文字和计算错误的内容的情形除外；</w:t>
      </w:r>
    </w:p>
    <w:p w14:paraId="0C31FE6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（三）违反评审纪律发表倾向性意见或者征询</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的倾向性意见；</w:t>
      </w:r>
    </w:p>
    <w:p w14:paraId="18AAFCB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（四）对需要专业判断的主观评审因素协商评分；</w:t>
      </w:r>
    </w:p>
    <w:p w14:paraId="11EEA1C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（五）在评审过程中擅离职守，影响评审程序正常进行的；</w:t>
      </w:r>
    </w:p>
    <w:p w14:paraId="1FC9632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（六）记录、复制或者带走任何评标资料；</w:t>
      </w:r>
    </w:p>
    <w:p w14:paraId="0C4B9A3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（七）其他不遵守评标纪律的行为。</w:t>
      </w:r>
    </w:p>
    <w:p w14:paraId="58CE410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磋商小组成员有前款第一至五项行为之一的，其评审意见无效，并不得获取评审劳务报酬和报销异地评审差旅费。</w:t>
      </w:r>
    </w:p>
    <w:p w14:paraId="5ADB518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41.代理机构或</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有下列情形之一的，由相关部门责令限期改正，情节严重的，给予警告：</w:t>
      </w:r>
    </w:p>
    <w:p w14:paraId="6385AE9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（一）代理机构及其分支机构在所代理的磋商项目中参与磋商活动的，为所代理的磋商项目的供应商参加本项目提供咨询的；</w:t>
      </w:r>
    </w:p>
    <w:p w14:paraId="475BF38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（二）设定最低限价的；</w:t>
      </w:r>
    </w:p>
    <w:p w14:paraId="2CF582B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（三）未按照规定进行失信记录查询的；</w:t>
      </w:r>
    </w:p>
    <w:p w14:paraId="113C124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（四）违反规定确定磋商文件售价的；</w:t>
      </w:r>
    </w:p>
    <w:p w14:paraId="6B7A92E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（五）未按规定对磋商文件、评审活动进行全程录音录像的；</w:t>
      </w:r>
    </w:p>
    <w:p w14:paraId="1DBEBFF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（六）擅自终止磋商活动的；</w:t>
      </w:r>
    </w:p>
    <w:p w14:paraId="0881403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（七）未按照规定对响应文件进行解密和组织评审的；</w:t>
      </w:r>
    </w:p>
    <w:p w14:paraId="05B50CE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（八）未按照规定退还磋商保证金的；</w:t>
      </w:r>
    </w:p>
    <w:p w14:paraId="3049F06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（九）违反本办法规定进行重新评审或者重新组建磋商小组进行评审的；</w:t>
      </w:r>
    </w:p>
    <w:p w14:paraId="4D69D2A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（十）开启前泄露已获取磋商文件的潜在供应商的名称、数量或者其他可能影响公平竞争的有关磋商活动情况的；</w:t>
      </w:r>
    </w:p>
    <w:p w14:paraId="43801EE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（十一）未妥善保存磋商采购文件的；</w:t>
      </w:r>
    </w:p>
    <w:p w14:paraId="2F637F9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（十二）其他违反本办法规定的情形。</w:t>
      </w:r>
    </w:p>
    <w:p w14:paraId="7C66ED7F">
      <w:pPr>
        <w:tabs>
          <w:tab w:val="left" w:pos="0"/>
        </w:tabs>
        <w:snapToGrid w:val="0"/>
        <w:spacing w:line="360" w:lineRule="auto"/>
        <w:ind w:firstLine="482" w:firstLineChars="200"/>
        <w:outlineLvl w:val="1"/>
        <w:rPr>
          <w:rFonts w:hint="eastAsia" w:ascii="宋体" w:hAnsi="宋体" w:eastAsia="宋体" w:cs="宋体"/>
          <w:b/>
          <w:bCs/>
          <w:kern w:val="0"/>
          <w:sz w:val="24"/>
          <w:highlight w:val="none"/>
        </w:rPr>
      </w:pPr>
      <w:bookmarkStart w:id="95" w:name="_Toc16026"/>
      <w:bookmarkStart w:id="96" w:name="_Toc17580"/>
      <w:bookmarkStart w:id="97" w:name="_Toc1990"/>
      <w:bookmarkStart w:id="98" w:name="_Toc23779"/>
      <w:r>
        <w:rPr>
          <w:rFonts w:hint="eastAsia" w:ascii="宋体" w:hAnsi="宋体" w:eastAsia="宋体" w:cs="宋体"/>
          <w:b/>
          <w:kern w:val="0"/>
          <w:sz w:val="24"/>
          <w:highlight w:val="none"/>
        </w:rPr>
        <w:t>十一、相关政策要求</w:t>
      </w:r>
      <w:bookmarkEnd w:id="95"/>
      <w:bookmarkEnd w:id="96"/>
      <w:bookmarkEnd w:id="97"/>
      <w:bookmarkEnd w:id="98"/>
    </w:p>
    <w:p w14:paraId="4BD23102">
      <w:pPr>
        <w:snapToGrid w:val="0"/>
        <w:spacing w:line="360" w:lineRule="auto"/>
        <w:ind w:firstLine="480" w:firstLineChars="200"/>
        <w:rPr>
          <w:rFonts w:hint="eastAsia" w:ascii="宋体" w:hAnsi="宋体" w:eastAsia="宋体" w:cs="宋体"/>
          <w:color w:val="000000"/>
          <w:kern w:val="0"/>
          <w:sz w:val="24"/>
          <w:highlight w:val="none"/>
        </w:rPr>
      </w:pPr>
      <w:bookmarkStart w:id="99" w:name="_Toc1505"/>
      <w:bookmarkStart w:id="100" w:name="_Toc11455"/>
      <w:bookmarkStart w:id="101" w:name="_Toc495"/>
      <w:r>
        <w:rPr>
          <w:rFonts w:hint="eastAsia" w:ascii="宋体" w:hAnsi="宋体" w:eastAsia="宋体" w:cs="宋体"/>
          <w:color w:val="000000"/>
          <w:kern w:val="0"/>
          <w:sz w:val="24"/>
          <w:highlight w:val="none"/>
        </w:rPr>
        <w:t>42.进口货物</w:t>
      </w:r>
      <w:r>
        <w:rPr>
          <w:rFonts w:hint="eastAsia" w:ascii="宋体" w:hAnsi="宋体" w:eastAsia="宋体" w:cs="宋体"/>
          <w:kern w:val="0"/>
          <w:sz w:val="24"/>
          <w:highlight w:val="none"/>
        </w:rPr>
        <w:t>及政策要求</w:t>
      </w:r>
    </w:p>
    <w:p w14:paraId="7D7524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本磋商文件涉及的采购货物及软件服务，</w:t>
      </w:r>
      <w:r>
        <w:rPr>
          <w:rFonts w:hint="eastAsia" w:ascii="宋体" w:hAnsi="宋体" w:eastAsia="宋体" w:cs="宋体"/>
          <w:sz w:val="24"/>
          <w:highlight w:val="none"/>
        </w:rPr>
        <w:t>未特别注明“进口产品”字样的，均必须采购国产产品，即非“通过中国海关报关验放进入中国境内且产自关境外的产品”，采购产品各项技术标准必须符合国家强制性标准。</w:t>
      </w:r>
    </w:p>
    <w:p w14:paraId="343A0F7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特别注明“进口产品”字样的，优先采购向我国企业转让技术、与我国企业签订消化吸收再创新方案的供应商的进口产品，如果有能够满足采购需求的国产产品参与，应当按照公平竞争的原则进行评审。</w:t>
      </w:r>
    </w:p>
    <w:p w14:paraId="115526D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43.国家强制产品</w:t>
      </w:r>
    </w:p>
    <w:p w14:paraId="3C8740F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购货物中如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在响应文件中填写《强制节能产品明细表》，并提供所投产品获得国家确定的认证机构出具的、处于有效期之内的节能产品认证证书。</w:t>
      </w:r>
    </w:p>
    <w:p w14:paraId="46CD28A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44.采购货物中如含有计算机，必须预装正版操作系统软件产品；项目中所采购的其它软件必须为正版软件。供应商须提供《正版软件承诺》。</w:t>
      </w:r>
    </w:p>
    <w:p w14:paraId="595BB0F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45.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网络安全专用产品安全技术要求》等相关国家标准强制性要求检测的安全认证合格或者安全检测符合要求的证明材料或对此前已经获得有效的《计算机信息系统安全专用产品销售许可证》扫描件或影印件。</w:t>
      </w:r>
    </w:p>
    <w:p w14:paraId="70BD68A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46.中小微企业参加本项目：</w:t>
      </w:r>
    </w:p>
    <w:p w14:paraId="3319C43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参加本项目磋商的供应商需出具投报产品的制造商符合《工业和信息化部、国家统计局、国家发展和改革委员会、财政部关于印发中小企业划型标准规定的通知》（工信部联企业〔2011〕300号）及《财政部、工业和信息化部关于印发政府采购促进中小企业发展管理办法的通知》（财库〔2020〕46号）规定的《中小企业声明函》。</w:t>
      </w:r>
    </w:p>
    <w:p w14:paraId="1EAD85D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47.残疾人企业参加本项目：</w:t>
      </w:r>
    </w:p>
    <w:p w14:paraId="0762A93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36EBCF9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48.监狱企业参加本项目：</w:t>
      </w:r>
    </w:p>
    <w:p w14:paraId="0A4638B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5C08CE4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49..联合体参加本项目：</w:t>
      </w:r>
    </w:p>
    <w:p w14:paraId="07EBB39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如本项目为接受大中型企业与小微企业组成联合体或者允许大中型企业向一家或者多家小微企业分包的采购项目，需附《联合体磋商协议书》。</w:t>
      </w:r>
    </w:p>
    <w:p w14:paraId="69D963A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50.</w:t>
      </w:r>
      <w:r>
        <w:rPr>
          <w:rFonts w:hint="eastAsia" w:ascii="宋体" w:hAnsi="宋体" w:eastAsia="宋体" w:cs="宋体"/>
          <w:sz w:val="24"/>
          <w:highlight w:val="none"/>
        </w:rPr>
        <w:t>项目</w:t>
      </w:r>
      <w:r>
        <w:rPr>
          <w:rFonts w:hint="eastAsia" w:ascii="宋体" w:hAnsi="宋体" w:eastAsia="宋体" w:cs="宋体"/>
          <w:sz w:val="24"/>
          <w:highlight w:val="none"/>
          <w:lang w:val="en-US" w:eastAsia="zh-CN"/>
        </w:rPr>
        <w:t>涉及</w:t>
      </w:r>
      <w:r>
        <w:rPr>
          <w:rFonts w:hint="eastAsia" w:ascii="宋体" w:hAnsi="宋体" w:eastAsia="宋体" w:cs="宋体"/>
          <w:sz w:val="24"/>
          <w:highlight w:val="none"/>
        </w:rPr>
        <w:t>节能环保产品的</w:t>
      </w:r>
      <w:r>
        <w:rPr>
          <w:rFonts w:hint="eastAsia" w:ascii="宋体" w:hAnsi="宋体" w:eastAsia="宋体" w:cs="宋体"/>
          <w:kern w:val="0"/>
          <w:sz w:val="24"/>
          <w:highlight w:val="none"/>
        </w:rPr>
        <w:t>：</w:t>
      </w:r>
    </w:p>
    <w:p w14:paraId="7F8D8C2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50.1投报产品属于《节能产品政府采购品目清单》中强制性采购产品以外的其它节能产品，需在响应文件中填写《非强制节能产品明细表》，并提供所投产品获得国家确定的认证机构出具的、处于有效期之内的节能产品认证证书。</w:t>
      </w:r>
    </w:p>
    <w:p w14:paraId="27D4F2C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50.2投报产品属于《环境标志产品政府采购品目清单》中的产品，需在响应文件中填写《环境标志产品明细表》，并提供所投产品获得国家确定的认证机构出具的、处于有效期之内的环境标志产品认证证书。</w:t>
      </w:r>
    </w:p>
    <w:p w14:paraId="062BBF70">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51.</w:t>
      </w:r>
      <w:r>
        <w:rPr>
          <w:rFonts w:hint="eastAsia" w:ascii="宋体" w:hAnsi="宋体" w:eastAsia="宋体" w:cs="宋体"/>
          <w:bCs/>
          <w:sz w:val="24"/>
        </w:rPr>
        <w:t>项目</w:t>
      </w:r>
      <w:r>
        <w:rPr>
          <w:rFonts w:hint="eastAsia" w:ascii="宋体" w:hAnsi="宋体" w:eastAsia="宋体" w:cs="宋体"/>
          <w:bCs/>
          <w:sz w:val="24"/>
          <w:lang w:val="en-US" w:eastAsia="zh-CN"/>
        </w:rPr>
        <w:t>涉及</w:t>
      </w:r>
      <w:r>
        <w:rPr>
          <w:rFonts w:hint="eastAsia" w:ascii="宋体" w:hAnsi="宋体" w:eastAsia="宋体" w:cs="宋体"/>
          <w:bCs/>
          <w:sz w:val="24"/>
        </w:rPr>
        <w:t>创新产品的</w:t>
      </w:r>
      <w:r>
        <w:rPr>
          <w:rFonts w:hint="eastAsia" w:ascii="宋体" w:hAnsi="宋体" w:eastAsia="宋体" w:cs="宋体"/>
          <w:bCs/>
          <w:sz w:val="24"/>
          <w:lang w:eastAsia="zh-CN"/>
        </w:rPr>
        <w:t>：</w:t>
      </w:r>
    </w:p>
    <w:p w14:paraId="7C4F1D9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报产品（或者：服务）属于《山西省发展和改革委员会、山西省科学技术厅、山西省工业和信息化厅、山西省财政厅、山西转型综改示范区管委会关于发布山西省创新产品和服务推荐清单的通知》中的产品（或者：服务），需在响应文件中填写《创新产品（或者：服务）明细表》，并提供《山西省创新产品和服务推荐清单》。</w:t>
      </w:r>
    </w:p>
    <w:p w14:paraId="4C14995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52.商品包装和快递包装</w:t>
      </w:r>
    </w:p>
    <w:p w14:paraId="56FFECE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如投报货物均需按《商品包装政府采购需求标准（试行）》、《快递包装政府采购需求标准（试行）》（财办库〔2020〕123号）包装标准与保护措施进行包装，须出具《商品包装和快递包装承诺》。</w:t>
      </w:r>
    </w:p>
    <w:p w14:paraId="62BC29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.政府绿色采购有关事项</w:t>
      </w:r>
    </w:p>
    <w:p w14:paraId="12EEEA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（1）依据《山西省财政厅关于进一步加强政府绿色采购有关事项的通知》，对实施强制采购或执行强制性绿色采购标准的品目，不接受非强制采购产品。</w:t>
      </w:r>
    </w:p>
    <w:p w14:paraId="1B82C84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1B744A1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（3）对于优先采购的绿色产品，给予4%的价格扣除，用扣除后的价格参与评审。对中小微企业，严格落实政府采购优惠政策，同时享受绿色采购政策的价格扣除等评审优惠措施，分别计算，叠加执行。</w:t>
      </w:r>
    </w:p>
    <w:p w14:paraId="267661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（4）前述建筑材料，投标人应在材料进场时提供建材产品符合需求标准的证明性文件，包括国家统一推行的绿色建材产品认证证书，或符合需求标准的有效检测报告等。投标人应在投标文件中提供承诺书。</w:t>
      </w:r>
    </w:p>
    <w:p w14:paraId="5E02622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（5）绿色建筑和绿色建材政府采购需求标准（2025年版）原文链接（https://www.gov.cn/zhengce/zhengceku/202501/P020250111596858618141.docx）</w:t>
      </w:r>
    </w:p>
    <w:p w14:paraId="635F09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政府采购中实施本国产品标准及相关政策</w:t>
      </w:r>
    </w:p>
    <w:p w14:paraId="343C280C">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lang w:val="en-US" w:eastAsia="zh-CN"/>
        </w:rPr>
        <w:t>所提供产品符合《国务院办公厅关于在政府采购中实施本国产品标准及相关政策的通知》（国办发〔2025〕34号）要求。</w:t>
      </w:r>
    </w:p>
    <w:p w14:paraId="14D36808">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kern w:val="0"/>
          <w:sz w:val="32"/>
          <w:szCs w:val="32"/>
          <w:highlight w:val="none"/>
        </w:rPr>
      </w:pPr>
      <w:r>
        <w:rPr>
          <w:rFonts w:hint="eastAsia" w:ascii="宋体" w:hAnsi="宋体" w:eastAsia="宋体" w:cs="宋体"/>
          <w:b/>
          <w:kern w:val="0"/>
          <w:sz w:val="36"/>
          <w:szCs w:val="36"/>
          <w:highlight w:val="none"/>
        </w:rPr>
        <w:br w:type="page"/>
      </w:r>
      <w:bookmarkStart w:id="102" w:name="_Toc18062"/>
      <w:r>
        <w:rPr>
          <w:rFonts w:hint="eastAsia" w:ascii="宋体" w:hAnsi="宋体" w:eastAsia="宋体" w:cs="宋体"/>
          <w:b/>
          <w:snapToGrid w:val="0"/>
          <w:kern w:val="0"/>
          <w:sz w:val="32"/>
          <w:szCs w:val="32"/>
          <w:highlight w:val="none"/>
        </w:rPr>
        <w:t>第四部分  评审标准和评定方法</w:t>
      </w:r>
      <w:bookmarkEnd w:id="99"/>
      <w:bookmarkEnd w:id="100"/>
      <w:bookmarkEnd w:id="101"/>
      <w:bookmarkEnd w:id="102"/>
    </w:p>
    <w:p w14:paraId="63041711">
      <w:pPr>
        <w:snapToGrid w:val="0"/>
        <w:spacing w:line="360" w:lineRule="auto"/>
        <w:ind w:firstLine="241" w:firstLineChars="100"/>
        <w:jc w:val="left"/>
        <w:rPr>
          <w:rFonts w:hint="eastAsia" w:ascii="宋体" w:hAnsi="宋体" w:eastAsia="宋体" w:cs="宋体"/>
          <w:b/>
          <w:sz w:val="24"/>
          <w:highlight w:val="none"/>
        </w:rPr>
      </w:pPr>
      <w:r>
        <w:rPr>
          <w:rFonts w:hint="eastAsia" w:ascii="宋体" w:hAnsi="宋体" w:eastAsia="宋体" w:cs="宋体"/>
          <w:b/>
          <w:sz w:val="24"/>
          <w:highlight w:val="none"/>
        </w:rPr>
        <w:t>一、资格性审查</w:t>
      </w:r>
    </w:p>
    <w:tbl>
      <w:tblPr>
        <w:tblStyle w:val="3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14"/>
        <w:gridCol w:w="3092"/>
        <w:gridCol w:w="4335"/>
      </w:tblGrid>
      <w:tr w14:paraId="7EFD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58FCBD5F">
            <w:pPr>
              <w:ind w:left="-63" w:leftChars="-30" w:right="-63" w:rightChars="-30"/>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514" w:type="dxa"/>
            <w:noWrap w:val="0"/>
            <w:vAlign w:val="center"/>
          </w:tcPr>
          <w:p w14:paraId="654E1566">
            <w:pPr>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3092" w:type="dxa"/>
            <w:noWrap w:val="0"/>
            <w:vAlign w:val="center"/>
          </w:tcPr>
          <w:p w14:paraId="51B10AE5">
            <w:pPr>
              <w:jc w:val="center"/>
              <w:rPr>
                <w:rFonts w:hint="eastAsia" w:ascii="宋体" w:hAnsi="宋体" w:eastAsia="宋体" w:cs="宋体"/>
                <w:b/>
                <w:bCs/>
                <w:sz w:val="24"/>
                <w:highlight w:val="none"/>
              </w:rPr>
            </w:pPr>
            <w:r>
              <w:rPr>
                <w:rFonts w:hint="eastAsia" w:ascii="宋体" w:hAnsi="宋体" w:eastAsia="宋体" w:cs="宋体"/>
                <w:b/>
                <w:bCs/>
                <w:sz w:val="24"/>
                <w:highlight w:val="none"/>
              </w:rPr>
              <w:t>审查要求</w:t>
            </w:r>
          </w:p>
        </w:tc>
        <w:tc>
          <w:tcPr>
            <w:tcW w:w="4335" w:type="dxa"/>
            <w:noWrap w:val="0"/>
            <w:vAlign w:val="center"/>
          </w:tcPr>
          <w:p w14:paraId="1C727314">
            <w:pPr>
              <w:spacing w:line="44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w:t>
            </w:r>
          </w:p>
        </w:tc>
      </w:tr>
      <w:tr w14:paraId="459B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5ABA638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514" w:type="dxa"/>
            <w:noWrap w:val="0"/>
            <w:vAlign w:val="center"/>
          </w:tcPr>
          <w:p w14:paraId="14E3237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营业执照</w:t>
            </w:r>
          </w:p>
        </w:tc>
        <w:tc>
          <w:tcPr>
            <w:tcW w:w="3092" w:type="dxa"/>
            <w:noWrap w:val="0"/>
            <w:vAlign w:val="center"/>
          </w:tcPr>
          <w:p w14:paraId="5D956C8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具有独立承担民事责任的能力</w:t>
            </w:r>
          </w:p>
        </w:tc>
        <w:tc>
          <w:tcPr>
            <w:tcW w:w="4335" w:type="dxa"/>
            <w:noWrap w:val="0"/>
            <w:vAlign w:val="center"/>
          </w:tcPr>
          <w:p w14:paraId="5194F878">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提供政府采购供应商信用承诺函。</w:t>
            </w:r>
          </w:p>
          <w:p w14:paraId="2175D508">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以上证明材料须符合要求、有效、完整。否则响应无效。</w:t>
            </w:r>
          </w:p>
        </w:tc>
      </w:tr>
      <w:tr w14:paraId="0B24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710DD92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514" w:type="dxa"/>
            <w:noWrap w:val="0"/>
            <w:vAlign w:val="center"/>
          </w:tcPr>
          <w:p w14:paraId="63F56E2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财务报告</w:t>
            </w:r>
          </w:p>
        </w:tc>
        <w:tc>
          <w:tcPr>
            <w:tcW w:w="3092" w:type="dxa"/>
            <w:noWrap w:val="0"/>
            <w:vAlign w:val="center"/>
          </w:tcPr>
          <w:p w14:paraId="0E6FAB1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具有良好的商业信誉和健全的财务会计制度</w:t>
            </w:r>
          </w:p>
        </w:tc>
        <w:tc>
          <w:tcPr>
            <w:tcW w:w="4335" w:type="dxa"/>
            <w:noWrap w:val="0"/>
            <w:vAlign w:val="center"/>
          </w:tcPr>
          <w:p w14:paraId="17F25118">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提供政府采购供应商信用承诺函。</w:t>
            </w:r>
          </w:p>
          <w:p w14:paraId="4843F5EF">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以上证明材料须符合要求、有效、完整。否则响应无效。</w:t>
            </w:r>
          </w:p>
        </w:tc>
      </w:tr>
      <w:tr w14:paraId="409B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34124D4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514" w:type="dxa"/>
            <w:noWrap w:val="0"/>
            <w:vAlign w:val="center"/>
          </w:tcPr>
          <w:p w14:paraId="7001AC1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基本资质</w:t>
            </w:r>
          </w:p>
        </w:tc>
        <w:tc>
          <w:tcPr>
            <w:tcW w:w="3092" w:type="dxa"/>
            <w:noWrap w:val="0"/>
            <w:vAlign w:val="center"/>
          </w:tcPr>
          <w:p w14:paraId="6FCF6983">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具有履行合同所必需的设备和专业技术能力</w:t>
            </w:r>
          </w:p>
        </w:tc>
        <w:tc>
          <w:tcPr>
            <w:tcW w:w="4335" w:type="dxa"/>
            <w:noWrap w:val="0"/>
            <w:vAlign w:val="center"/>
          </w:tcPr>
          <w:p w14:paraId="267BA04F">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提供政府采购供应商信用承诺函。</w:t>
            </w:r>
          </w:p>
          <w:p w14:paraId="11307E1C">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以上证明材料须符合要求、有效、完整。否则响应无效。</w:t>
            </w:r>
          </w:p>
        </w:tc>
      </w:tr>
      <w:tr w14:paraId="7AE5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481B271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514" w:type="dxa"/>
            <w:noWrap w:val="0"/>
            <w:vAlign w:val="center"/>
          </w:tcPr>
          <w:p w14:paraId="5A27308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基本资质</w:t>
            </w:r>
          </w:p>
        </w:tc>
        <w:tc>
          <w:tcPr>
            <w:tcW w:w="3092" w:type="dxa"/>
            <w:noWrap w:val="0"/>
            <w:vAlign w:val="center"/>
          </w:tcPr>
          <w:p w14:paraId="1F27F84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有依法缴纳税收和社会保障资金的良好记录</w:t>
            </w:r>
          </w:p>
        </w:tc>
        <w:tc>
          <w:tcPr>
            <w:tcW w:w="4335" w:type="dxa"/>
            <w:noWrap w:val="0"/>
            <w:vAlign w:val="center"/>
          </w:tcPr>
          <w:p w14:paraId="29399467">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提供政府采购供应商信用承诺函。</w:t>
            </w:r>
          </w:p>
          <w:p w14:paraId="13322C83">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以上证明材料须符合要求、有效、完整。否则响应无效。</w:t>
            </w:r>
          </w:p>
        </w:tc>
      </w:tr>
      <w:tr w14:paraId="513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5E48B75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514" w:type="dxa"/>
            <w:noWrap w:val="0"/>
            <w:vAlign w:val="center"/>
          </w:tcPr>
          <w:p w14:paraId="490FE2F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基本资质</w:t>
            </w:r>
          </w:p>
        </w:tc>
        <w:tc>
          <w:tcPr>
            <w:tcW w:w="3092" w:type="dxa"/>
            <w:noWrap w:val="0"/>
            <w:vAlign w:val="center"/>
          </w:tcPr>
          <w:p w14:paraId="4FF0545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参加政府采购活动前三年内，在经营活动中没有重大违法记录</w:t>
            </w:r>
          </w:p>
        </w:tc>
        <w:tc>
          <w:tcPr>
            <w:tcW w:w="4335" w:type="dxa"/>
            <w:noWrap w:val="0"/>
            <w:vAlign w:val="center"/>
          </w:tcPr>
          <w:p w14:paraId="73849199">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提供政府采购供应商信用承诺函。</w:t>
            </w:r>
          </w:p>
          <w:p w14:paraId="7A3A6D7F">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以上证明材料须符合要求、有效、完整。否则响应无效。</w:t>
            </w:r>
          </w:p>
        </w:tc>
      </w:tr>
      <w:tr w14:paraId="0662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7D23DF73">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1514" w:type="dxa"/>
            <w:noWrap w:val="0"/>
            <w:vAlign w:val="center"/>
          </w:tcPr>
          <w:p w14:paraId="73DB3FC5">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基本资质</w:t>
            </w:r>
          </w:p>
        </w:tc>
        <w:tc>
          <w:tcPr>
            <w:tcW w:w="3092" w:type="dxa"/>
            <w:noWrap w:val="0"/>
            <w:vAlign w:val="center"/>
          </w:tcPr>
          <w:p w14:paraId="5E7ABE0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供应商廉洁自律承诺书</w:t>
            </w:r>
          </w:p>
        </w:tc>
        <w:tc>
          <w:tcPr>
            <w:tcW w:w="4335" w:type="dxa"/>
            <w:noWrap w:val="0"/>
            <w:vAlign w:val="center"/>
          </w:tcPr>
          <w:p w14:paraId="6DC36D9A">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提供供应商廉洁自律承诺书。</w:t>
            </w:r>
          </w:p>
          <w:p w14:paraId="204F68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以上证明材料须符合要求、有效、完整。否则响应无效。</w:t>
            </w:r>
          </w:p>
        </w:tc>
      </w:tr>
      <w:tr w14:paraId="1367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04043224">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1514" w:type="dxa"/>
            <w:noWrap w:val="0"/>
            <w:vAlign w:val="center"/>
          </w:tcPr>
          <w:p w14:paraId="029D5365">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采购政策</w:t>
            </w:r>
          </w:p>
        </w:tc>
        <w:tc>
          <w:tcPr>
            <w:tcW w:w="3092" w:type="dxa"/>
            <w:noWrap w:val="0"/>
            <w:vAlign w:val="center"/>
          </w:tcPr>
          <w:p w14:paraId="08F11D76">
            <w:pPr>
              <w:spacing w:line="360" w:lineRule="auto"/>
              <w:jc w:val="left"/>
              <w:rPr>
                <w:rFonts w:hint="eastAsia" w:ascii="宋体" w:hAnsi="宋体" w:eastAsia="宋体" w:cs="宋体"/>
                <w:color w:val="auto"/>
                <w:sz w:val="24"/>
                <w:highlight w:val="none"/>
              </w:rPr>
            </w:pPr>
            <w:r>
              <w:rPr>
                <w:rFonts w:hint="eastAsia" w:ascii="宋体" w:hAnsi="宋体" w:eastAsia="宋体" w:cs="宋体"/>
                <w:snapToGrid w:val="0"/>
                <w:color w:val="auto"/>
                <w:kern w:val="0"/>
                <w:sz w:val="24"/>
              </w:rPr>
              <w:t>供应商应为</w:t>
            </w:r>
            <w:r>
              <w:rPr>
                <w:rFonts w:hint="eastAsia" w:ascii="宋体" w:hAnsi="宋体" w:eastAsia="宋体" w:cs="宋体"/>
                <w:snapToGrid w:val="0"/>
                <w:color w:val="auto"/>
                <w:kern w:val="0"/>
                <w:sz w:val="24"/>
                <w:lang w:val="en-US" w:eastAsia="zh-CN"/>
              </w:rPr>
              <w:t>中</w:t>
            </w:r>
            <w:r>
              <w:rPr>
                <w:rFonts w:hint="eastAsia" w:ascii="宋体" w:hAnsi="宋体" w:eastAsia="宋体" w:cs="宋体"/>
                <w:color w:val="auto"/>
                <w:sz w:val="24"/>
                <w:lang w:val="en-US" w:eastAsia="zh-CN"/>
              </w:rPr>
              <w:t>小企业</w:t>
            </w:r>
          </w:p>
        </w:tc>
        <w:tc>
          <w:tcPr>
            <w:tcW w:w="4335" w:type="dxa"/>
            <w:noWrap w:val="0"/>
            <w:vAlign w:val="center"/>
          </w:tcPr>
          <w:p w14:paraId="655174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w:t>
            </w:r>
            <w:r>
              <w:rPr>
                <w:rFonts w:hint="eastAsia" w:ascii="宋体" w:hAnsi="宋体" w:eastAsia="宋体" w:cs="宋体"/>
                <w:color w:val="auto"/>
                <w:sz w:val="24"/>
                <w:highlight w:val="none"/>
                <w:lang w:val="en-US" w:eastAsia="zh-CN"/>
              </w:rPr>
              <w:t>微</w:t>
            </w:r>
            <w:r>
              <w:rPr>
                <w:rFonts w:hint="eastAsia" w:ascii="宋体" w:hAnsi="宋体" w:eastAsia="宋体" w:cs="宋体"/>
                <w:color w:val="auto"/>
                <w:sz w:val="24"/>
                <w:highlight w:val="none"/>
              </w:rPr>
              <w:t>企业参加时，请根据要求单独上传《中小企业声明函》；</w:t>
            </w:r>
          </w:p>
          <w:p w14:paraId="43C3A8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残疾人福利性单位视同为小型、微型企业，残疾人福利性单位参加时，需提供《残疾人福利性单位声明函》；</w:t>
            </w:r>
          </w:p>
          <w:p w14:paraId="6489CB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监狱企业参加时，提供由省级以上监狱管理局、戒毒管理局（含新疆生产建设兵团）出具的属于监狱企业的证明文件与《监狱企业声明函》。</w:t>
            </w:r>
          </w:p>
          <w:p w14:paraId="63634DC7">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以上证明材料须符合要求、有效、完整。否则响应无效。</w:t>
            </w:r>
          </w:p>
        </w:tc>
      </w:tr>
      <w:tr w14:paraId="3E7A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00BADBBB">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514" w:type="dxa"/>
            <w:shd w:val="clear" w:color="auto" w:fill="auto"/>
            <w:noWrap w:val="0"/>
            <w:vAlign w:val="center"/>
          </w:tcPr>
          <w:p w14:paraId="20DBE8F7">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基本资质</w:t>
            </w:r>
          </w:p>
        </w:tc>
        <w:tc>
          <w:tcPr>
            <w:tcW w:w="3092" w:type="dxa"/>
            <w:shd w:val="clear" w:color="auto" w:fill="auto"/>
            <w:noWrap w:val="0"/>
            <w:vAlign w:val="center"/>
          </w:tcPr>
          <w:p w14:paraId="5D5922B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磋商保证金</w:t>
            </w:r>
          </w:p>
        </w:tc>
        <w:tc>
          <w:tcPr>
            <w:tcW w:w="4335" w:type="dxa"/>
            <w:shd w:val="clear" w:color="auto" w:fill="auto"/>
            <w:noWrap w:val="0"/>
            <w:vAlign w:val="center"/>
          </w:tcPr>
          <w:p w14:paraId="59C54541">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提供磋商保证金凭</w:t>
            </w:r>
            <w:r>
              <w:rPr>
                <w:rFonts w:hint="eastAsia" w:ascii="宋体" w:hAnsi="宋体" w:eastAsia="宋体" w:cs="宋体"/>
                <w:color w:val="auto"/>
                <w:sz w:val="24"/>
                <w:highlight w:val="none"/>
                <w:lang w:val="en-US" w:eastAsia="zh-CN"/>
              </w:rPr>
              <w:t>证</w:t>
            </w:r>
          </w:p>
          <w:p w14:paraId="08BE576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以上证明材料须符合要求、完整。否则响应无效。</w:t>
            </w:r>
          </w:p>
        </w:tc>
      </w:tr>
    </w:tbl>
    <w:p w14:paraId="420F56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1A75753F">
      <w:pPr>
        <w:keepNext/>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1.</w:t>
      </w:r>
      <w:r>
        <w:rPr>
          <w:rFonts w:hint="eastAsia" w:ascii="宋体" w:hAnsi="宋体" w:eastAsia="宋体" w:cs="宋体"/>
          <w:snapToGrid w:val="0"/>
          <w:kern w:val="0"/>
          <w:sz w:val="24"/>
        </w:rPr>
        <w:t xml:space="preserve"> 资格检查的内容若有一项未提供或达不到</w:t>
      </w:r>
      <w:r>
        <w:rPr>
          <w:rFonts w:hint="eastAsia" w:ascii="宋体" w:hAnsi="宋体" w:eastAsia="宋体" w:cs="宋体"/>
          <w:snapToGrid w:val="0"/>
          <w:kern w:val="0"/>
          <w:sz w:val="24"/>
          <w:lang w:val="en-US" w:eastAsia="zh-CN"/>
        </w:rPr>
        <w:t>审</w:t>
      </w:r>
      <w:r>
        <w:rPr>
          <w:rFonts w:hint="eastAsia" w:ascii="宋体" w:hAnsi="宋体" w:eastAsia="宋体" w:cs="宋体"/>
          <w:snapToGrid w:val="0"/>
          <w:kern w:val="0"/>
          <w:sz w:val="24"/>
        </w:rPr>
        <w:t>查标准，将导致其不具备</w:t>
      </w:r>
      <w:r>
        <w:rPr>
          <w:rFonts w:hint="eastAsia" w:ascii="宋体" w:hAnsi="宋体" w:eastAsia="宋体" w:cs="宋体"/>
          <w:snapToGrid w:val="0"/>
          <w:kern w:val="0"/>
          <w:sz w:val="24"/>
          <w:lang w:val="en-US" w:eastAsia="zh-CN"/>
        </w:rPr>
        <w:t>响应</w:t>
      </w:r>
      <w:r>
        <w:rPr>
          <w:rFonts w:hint="eastAsia" w:ascii="宋体" w:hAnsi="宋体" w:eastAsia="宋体" w:cs="宋体"/>
          <w:snapToGrid w:val="0"/>
          <w:kern w:val="0"/>
          <w:sz w:val="24"/>
        </w:rPr>
        <w:t>资格，且不允许在</w:t>
      </w:r>
      <w:r>
        <w:rPr>
          <w:rFonts w:hint="eastAsia" w:ascii="宋体" w:hAnsi="宋体" w:eastAsia="宋体" w:cs="宋体"/>
          <w:snapToGrid w:val="0"/>
          <w:kern w:val="0"/>
          <w:sz w:val="24"/>
          <w:lang w:val="en-US" w:eastAsia="zh-CN"/>
        </w:rPr>
        <w:t>响应</w:t>
      </w:r>
      <w:r>
        <w:rPr>
          <w:rFonts w:hint="eastAsia" w:ascii="宋体" w:hAnsi="宋体" w:eastAsia="宋体" w:cs="宋体"/>
          <w:snapToGrid w:val="0"/>
          <w:kern w:val="0"/>
          <w:sz w:val="24"/>
          <w:lang w:eastAsia="zh-CN"/>
        </w:rPr>
        <w:t>文件</w:t>
      </w:r>
      <w:r>
        <w:rPr>
          <w:rFonts w:hint="eastAsia" w:ascii="宋体" w:hAnsi="宋体" w:eastAsia="宋体" w:cs="宋体"/>
          <w:snapToGrid w:val="0"/>
          <w:kern w:val="0"/>
          <w:sz w:val="24"/>
        </w:rPr>
        <w:t>提交截止时间后补正。</w:t>
      </w:r>
    </w:p>
    <w:p w14:paraId="592D503C">
      <w:pPr>
        <w:adjustRightInd w:val="0"/>
        <w:snapToGrid w:val="0"/>
        <w:spacing w:line="360" w:lineRule="auto"/>
        <w:ind w:firstLine="480" w:firstLineChars="200"/>
        <w:jc w:val="left"/>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2.</w:t>
      </w:r>
      <w:r>
        <w:rPr>
          <w:rFonts w:hint="eastAsia" w:ascii="宋体" w:hAnsi="宋体" w:eastAsia="宋体" w:cs="宋体"/>
          <w:snapToGrid w:val="0"/>
          <w:kern w:val="0"/>
          <w:sz w:val="24"/>
        </w:rPr>
        <w:t>依据《山西省财政厅关于进一步加大政府采购支持中小企业力度助力扎实稳住经济的通知》晋财购[2022]6号通知，大力促进政府采购公平竞争，本次</w:t>
      </w:r>
      <w:r>
        <w:rPr>
          <w:rFonts w:hint="eastAsia" w:ascii="宋体" w:hAnsi="宋体" w:eastAsia="宋体" w:cs="宋体"/>
          <w:snapToGrid w:val="0"/>
          <w:kern w:val="0"/>
          <w:sz w:val="24"/>
          <w:lang w:val="en-US" w:eastAsia="zh-CN"/>
        </w:rPr>
        <w:t>采购</w:t>
      </w:r>
      <w:r>
        <w:rPr>
          <w:rFonts w:hint="eastAsia" w:ascii="宋体" w:hAnsi="宋体" w:eastAsia="宋体" w:cs="宋体"/>
          <w:snapToGrid w:val="0"/>
          <w:kern w:val="0"/>
          <w:sz w:val="24"/>
        </w:rPr>
        <w:t>采用“承诺＋信用管理”的政府采购准入管理制度，简化政府采购资格性审查，</w:t>
      </w:r>
      <w:r>
        <w:rPr>
          <w:rFonts w:hint="eastAsia" w:ascii="宋体" w:hAnsi="宋体" w:eastAsia="宋体" w:cs="宋体"/>
          <w:snapToGrid w:val="0"/>
          <w:kern w:val="0"/>
          <w:sz w:val="24"/>
          <w:lang w:val="en-US" w:eastAsia="zh-CN"/>
        </w:rPr>
        <w:t>供应商</w:t>
      </w:r>
      <w:r>
        <w:rPr>
          <w:rFonts w:hint="eastAsia" w:ascii="宋体" w:hAnsi="宋体" w:eastAsia="宋体" w:cs="宋体"/>
          <w:snapToGrid w:val="0"/>
          <w:kern w:val="0"/>
          <w:sz w:val="24"/>
        </w:rPr>
        <w:t>在线承诺符合政府采购法第二十二条第一、二、三、四、五项的规定要求后参与采购活动，不再按项目提供证明材料。</w:t>
      </w:r>
    </w:p>
    <w:p w14:paraId="3B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napToGrid w:val="0"/>
          <w:kern w:val="0"/>
          <w:sz w:val="24"/>
          <w:lang w:val="en-US" w:eastAsia="zh-CN"/>
        </w:rPr>
        <w:t>3.</w:t>
      </w:r>
      <w:r>
        <w:rPr>
          <w:rFonts w:hint="eastAsia" w:ascii="宋体" w:hAnsi="宋体" w:eastAsia="宋体" w:cs="宋体"/>
          <w:snapToGrid w:val="0"/>
          <w:color w:val="auto"/>
          <w:kern w:val="0"/>
          <w:sz w:val="24"/>
          <w:szCs w:val="24"/>
          <w:highlight w:val="none"/>
        </w:rPr>
        <w:t>除上述内容外，供应商提供的其他材料，不作为资格审查的内容</w:t>
      </w:r>
      <w:r>
        <w:rPr>
          <w:rFonts w:hint="eastAsia" w:ascii="宋体" w:hAnsi="宋体" w:eastAsia="宋体" w:cs="宋体"/>
          <w:sz w:val="24"/>
          <w:highlight w:val="none"/>
        </w:rPr>
        <w:t>。</w:t>
      </w:r>
    </w:p>
    <w:p w14:paraId="5B106171">
      <w:pPr>
        <w:snapToGrid w:val="0"/>
        <w:spacing w:line="360" w:lineRule="auto"/>
        <w:ind w:firstLine="241" w:firstLineChars="100"/>
        <w:jc w:val="left"/>
        <w:rPr>
          <w:rFonts w:hint="eastAsia" w:ascii="宋体" w:hAnsi="宋体" w:eastAsia="宋体" w:cs="宋体"/>
          <w:b/>
          <w:sz w:val="24"/>
          <w:highlight w:val="none"/>
        </w:rPr>
      </w:pPr>
      <w:r>
        <w:rPr>
          <w:rFonts w:hint="eastAsia" w:ascii="宋体" w:hAnsi="宋体" w:eastAsia="宋体" w:cs="宋体"/>
          <w:b/>
          <w:sz w:val="24"/>
          <w:highlight w:val="none"/>
        </w:rPr>
        <w:t>二、符合性审查</w:t>
      </w:r>
    </w:p>
    <w:tbl>
      <w:tblPr>
        <w:tblStyle w:val="3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132"/>
        <w:gridCol w:w="2487"/>
        <w:gridCol w:w="5170"/>
      </w:tblGrid>
      <w:tr w14:paraId="4E71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39" w:type="dxa"/>
            <w:noWrap w:val="0"/>
            <w:vAlign w:val="center"/>
          </w:tcPr>
          <w:p w14:paraId="7D2C24A7">
            <w:pPr>
              <w:adjustRightInd w:val="0"/>
              <w:snapToGrid w:val="0"/>
              <w:ind w:left="-42" w:leftChars="-20" w:right="-42" w:rightChars="-2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序号</w:t>
            </w:r>
          </w:p>
        </w:tc>
        <w:tc>
          <w:tcPr>
            <w:tcW w:w="1132" w:type="dxa"/>
            <w:noWrap w:val="0"/>
            <w:vAlign w:val="center"/>
          </w:tcPr>
          <w:p w14:paraId="7B83928A">
            <w:pPr>
              <w:adjustRightInd w:val="0"/>
              <w:snapToGrid w:val="0"/>
              <w:ind w:left="-42" w:leftChars="-20" w:right="-42" w:rightChars="-2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类型</w:t>
            </w:r>
          </w:p>
        </w:tc>
        <w:tc>
          <w:tcPr>
            <w:tcW w:w="2487" w:type="dxa"/>
            <w:noWrap w:val="0"/>
            <w:vAlign w:val="center"/>
          </w:tcPr>
          <w:p w14:paraId="47E3953D">
            <w:pPr>
              <w:adjustRightInd w:val="0"/>
              <w:snapToGrid w:val="0"/>
              <w:ind w:left="-42" w:leftChars="-20" w:right="-42" w:rightChars="-2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审查要求</w:t>
            </w:r>
          </w:p>
        </w:tc>
        <w:tc>
          <w:tcPr>
            <w:tcW w:w="5170" w:type="dxa"/>
            <w:noWrap w:val="0"/>
            <w:vAlign w:val="center"/>
          </w:tcPr>
          <w:p w14:paraId="7C067456">
            <w:pPr>
              <w:adjustRightInd w:val="0"/>
              <w:snapToGrid w:val="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要求说明</w:t>
            </w:r>
          </w:p>
        </w:tc>
      </w:tr>
      <w:tr w14:paraId="41A8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7DC99EB8">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132" w:type="dxa"/>
            <w:noWrap w:val="0"/>
            <w:vAlign w:val="center"/>
          </w:tcPr>
          <w:p w14:paraId="5F1173AD">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87" w:type="dxa"/>
            <w:noWrap w:val="0"/>
            <w:vAlign w:val="center"/>
          </w:tcPr>
          <w:p w14:paraId="32CC012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法定代表人（负责人）身份证明书</w:t>
            </w:r>
          </w:p>
        </w:tc>
        <w:tc>
          <w:tcPr>
            <w:tcW w:w="5170" w:type="dxa"/>
            <w:noWrap w:val="0"/>
            <w:vAlign w:val="center"/>
          </w:tcPr>
          <w:p w14:paraId="6FFE8286">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提供《法定代表人（负责人）身份证明书》</w:t>
            </w:r>
          </w:p>
          <w:p w14:paraId="642FBD3F">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以上证明书须根据磋商文件中的格式提供，内容须符合要求、完整、准确、真实、有效。否则响应无效。</w:t>
            </w:r>
          </w:p>
        </w:tc>
      </w:tr>
      <w:tr w14:paraId="2811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5615076D">
            <w:pPr>
              <w:ind w:left="-63" w:leftChars="-30" w:right="-63" w:rightChars="-3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132" w:type="dxa"/>
            <w:noWrap w:val="0"/>
            <w:vAlign w:val="center"/>
          </w:tcPr>
          <w:p w14:paraId="01BAC882">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87" w:type="dxa"/>
            <w:noWrap w:val="0"/>
            <w:vAlign w:val="center"/>
          </w:tcPr>
          <w:p w14:paraId="7C160B5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法定代表人（负责人）授权委托书</w:t>
            </w:r>
          </w:p>
        </w:tc>
        <w:tc>
          <w:tcPr>
            <w:tcW w:w="5170" w:type="dxa"/>
            <w:noWrap w:val="0"/>
            <w:vAlign w:val="center"/>
          </w:tcPr>
          <w:p w14:paraId="0E948EFA">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提供《法定代表人（负责人）授权委托书》</w:t>
            </w:r>
          </w:p>
          <w:p w14:paraId="7EE90E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以上委托书须根据磋商文件中的格式提供，内容须符合要求、完整、准确、真实、有效。否则响应无效。</w:t>
            </w:r>
          </w:p>
        </w:tc>
      </w:tr>
      <w:tr w14:paraId="33F3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6821091E">
            <w:pPr>
              <w:ind w:left="-63" w:leftChars="-30" w:right="-63" w:rightChars="-3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132" w:type="dxa"/>
            <w:noWrap w:val="0"/>
            <w:vAlign w:val="center"/>
          </w:tcPr>
          <w:p w14:paraId="04B68435">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87" w:type="dxa"/>
            <w:noWrap w:val="0"/>
            <w:vAlign w:val="center"/>
          </w:tcPr>
          <w:p w14:paraId="112ADA9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报价函</w:t>
            </w:r>
          </w:p>
        </w:tc>
        <w:tc>
          <w:tcPr>
            <w:tcW w:w="5170" w:type="dxa"/>
            <w:noWrap w:val="0"/>
            <w:vAlign w:val="center"/>
          </w:tcPr>
          <w:p w14:paraId="6C82BE53">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提供《报价函》</w:t>
            </w:r>
          </w:p>
          <w:p w14:paraId="7E8880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报价函须根据磋商文件中的格式提供，内容须符合要求、完整、准确、真实、有效。否则响应无效。</w:t>
            </w:r>
          </w:p>
        </w:tc>
      </w:tr>
      <w:tr w14:paraId="1787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1CB57428">
            <w:pPr>
              <w:ind w:left="-63" w:leftChars="-30" w:right="-63" w:rightChars="-3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132" w:type="dxa"/>
            <w:noWrap w:val="0"/>
            <w:vAlign w:val="center"/>
          </w:tcPr>
          <w:p w14:paraId="75EB2737">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487" w:type="dxa"/>
            <w:noWrap w:val="0"/>
            <w:vAlign w:val="center"/>
          </w:tcPr>
          <w:p w14:paraId="0D01B51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报价一览表</w:t>
            </w:r>
          </w:p>
        </w:tc>
        <w:tc>
          <w:tcPr>
            <w:tcW w:w="5170" w:type="dxa"/>
            <w:noWrap w:val="0"/>
            <w:vAlign w:val="center"/>
          </w:tcPr>
          <w:p w14:paraId="496B5D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提供《报价一览表》</w:t>
            </w:r>
          </w:p>
          <w:p w14:paraId="749CB42D">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以上材料须根据磋商文件中的格式提供，内容须符合要求、完整、准确、无漏项、无缺项、无可选择或可调整报价。否则响应无效。</w:t>
            </w:r>
          </w:p>
        </w:tc>
      </w:tr>
      <w:tr w14:paraId="4993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269E9859">
            <w:pPr>
              <w:ind w:left="-63" w:leftChars="-30" w:right="-63" w:rightChars="-3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132" w:type="dxa"/>
            <w:noWrap w:val="0"/>
            <w:vAlign w:val="center"/>
          </w:tcPr>
          <w:p w14:paraId="1F317F5A">
            <w:pPr>
              <w:ind w:left="-63" w:leftChars="-30" w:right="-63" w:rightChars="-30"/>
              <w:jc w:val="center"/>
              <w:rPr>
                <w:rFonts w:hint="eastAsia" w:ascii="宋体" w:hAnsi="宋体" w:eastAsia="宋体" w:cs="宋体"/>
                <w:sz w:val="24"/>
                <w:highlight w:val="none"/>
              </w:rPr>
            </w:pPr>
            <w:r>
              <w:rPr>
                <w:rFonts w:hint="eastAsia" w:ascii="宋体" w:hAnsi="宋体" w:eastAsia="宋体" w:cs="宋体"/>
                <w:sz w:val="24"/>
                <w:highlight w:val="none"/>
              </w:rPr>
              <w:t>商务</w:t>
            </w:r>
          </w:p>
        </w:tc>
        <w:tc>
          <w:tcPr>
            <w:tcW w:w="2487" w:type="dxa"/>
            <w:noWrap w:val="0"/>
            <w:vAlign w:val="center"/>
          </w:tcPr>
          <w:p w14:paraId="7B5990A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商务条款响应表</w:t>
            </w:r>
          </w:p>
        </w:tc>
        <w:tc>
          <w:tcPr>
            <w:tcW w:w="5170" w:type="dxa"/>
            <w:noWrap w:val="0"/>
            <w:vAlign w:val="center"/>
          </w:tcPr>
          <w:p w14:paraId="2E41A6BC">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提供《商务条款响应表》</w:t>
            </w:r>
          </w:p>
          <w:p w14:paraId="148E0C29">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以上材料须根据磋商文件中的格式提供，内容须符合要求、完整、准确、真实、无漏项、无缺项。否则响应无效。</w:t>
            </w:r>
          </w:p>
        </w:tc>
      </w:tr>
      <w:tr w14:paraId="08A3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3961D2DE">
            <w:pPr>
              <w:ind w:left="-63" w:leftChars="-30" w:right="-63" w:rightChars="-3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132" w:type="dxa"/>
            <w:noWrap w:val="0"/>
            <w:vAlign w:val="center"/>
          </w:tcPr>
          <w:p w14:paraId="33B7315D">
            <w:pPr>
              <w:ind w:left="-63" w:leftChars="-30" w:right="-63" w:rightChars="-3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w:t>
            </w:r>
          </w:p>
        </w:tc>
        <w:tc>
          <w:tcPr>
            <w:tcW w:w="2487" w:type="dxa"/>
            <w:noWrap w:val="0"/>
            <w:vAlign w:val="center"/>
          </w:tcPr>
          <w:p w14:paraId="51A02E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采购服务</w:t>
            </w:r>
            <w:r>
              <w:rPr>
                <w:rFonts w:hint="eastAsia" w:ascii="宋体" w:hAnsi="宋体" w:eastAsia="宋体" w:cs="宋体"/>
                <w:color w:val="auto"/>
                <w:sz w:val="24"/>
                <w:highlight w:val="none"/>
              </w:rPr>
              <w:t>技术规范响应及偏离表</w:t>
            </w:r>
          </w:p>
        </w:tc>
        <w:tc>
          <w:tcPr>
            <w:tcW w:w="5170" w:type="dxa"/>
            <w:noWrap w:val="0"/>
            <w:vAlign w:val="center"/>
          </w:tcPr>
          <w:p w14:paraId="4051A4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采购服务</w:t>
            </w:r>
            <w:r>
              <w:rPr>
                <w:rFonts w:hint="eastAsia" w:ascii="宋体" w:hAnsi="宋体" w:eastAsia="宋体" w:cs="宋体"/>
                <w:color w:val="auto"/>
                <w:sz w:val="24"/>
                <w:highlight w:val="none"/>
              </w:rPr>
              <w:t>技术规范响应及偏离表》</w:t>
            </w:r>
          </w:p>
          <w:p w14:paraId="39BCBC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以上材料须根据磋商文件中的格式提供，内容须符合要求、完整、准确、真实、无漏项、无缺项。否则响应无效。</w:t>
            </w:r>
          </w:p>
        </w:tc>
      </w:tr>
    </w:tbl>
    <w:p w14:paraId="39DBF7EC">
      <w:pPr>
        <w:snapToGrid w:val="0"/>
        <w:spacing w:line="360" w:lineRule="auto"/>
        <w:ind w:left="1080" w:hanging="1080" w:hangingChars="450"/>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7727CA58">
      <w:pPr>
        <w:snapToGrid w:val="0"/>
        <w:spacing w:line="360" w:lineRule="auto"/>
        <w:ind w:left="2" w:firstLine="420" w:firstLineChars="175"/>
        <w:jc w:val="left"/>
        <w:rPr>
          <w:rFonts w:hint="eastAsia" w:ascii="宋体" w:hAnsi="宋体" w:eastAsia="宋体" w:cs="宋体"/>
          <w:sz w:val="24"/>
          <w:highlight w:val="none"/>
        </w:rPr>
      </w:pPr>
      <w:r>
        <w:rPr>
          <w:rFonts w:hint="eastAsia" w:ascii="宋体" w:hAnsi="宋体" w:eastAsia="宋体" w:cs="宋体"/>
          <w:sz w:val="24"/>
          <w:highlight w:val="none"/>
        </w:rPr>
        <w:t>1.符合性审查的内容，经磋商小组成员按照少数服从多数的原则，确定其没有做出实质性、符合性响应的，将导致响应无效。</w:t>
      </w:r>
    </w:p>
    <w:p w14:paraId="6E3F0F1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2.响应文件中项目名称、项目编号等存在前后不一致情形的，可按照磋商文件要求做出澄清；如响应文件中所涉及内容全部与磋商文件不一致，按无效响应处理。</w:t>
      </w:r>
    </w:p>
    <w:p w14:paraId="7096C52D">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三、落实政府采购政策性要求的评审内容及标准</w:t>
      </w:r>
    </w:p>
    <w:p w14:paraId="4706886D">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1.进口货物评审标准</w:t>
      </w:r>
    </w:p>
    <w:p w14:paraId="13430B5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r>
        <w:rPr>
          <w:rFonts w:hint="eastAsia" w:ascii="宋体" w:hAnsi="宋体" w:eastAsia="宋体" w:cs="宋体"/>
          <w:b/>
          <w:bCs/>
          <w:sz w:val="24"/>
          <w:highlight w:val="none"/>
        </w:rPr>
        <w:t>如未特别标明“进口产品”字样，供应商投报了进口产品的，按无效响应处理。</w:t>
      </w:r>
    </w:p>
    <w:p w14:paraId="641FAC85">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2.强制节能产品</w:t>
      </w:r>
    </w:p>
    <w:p w14:paraId="4DE297E9">
      <w:pPr>
        <w:adjustRightInd w:val="0"/>
        <w:snapToGrid w:val="0"/>
        <w:spacing w:line="360" w:lineRule="auto"/>
        <w:ind w:firstLine="480" w:firstLineChars="200"/>
        <w:rPr>
          <w:rFonts w:hint="eastAsia" w:ascii="宋体" w:hAnsi="宋体" w:eastAsia="宋体" w:cs="宋体"/>
          <w:b/>
          <w:bCs/>
          <w:kern w:val="0"/>
          <w:sz w:val="24"/>
          <w:highlight w:val="none"/>
        </w:rPr>
      </w:pPr>
      <w:r>
        <w:rPr>
          <w:rFonts w:hint="eastAsia" w:ascii="宋体" w:hAnsi="宋体" w:eastAsia="宋体" w:cs="宋体"/>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w:t>
      </w:r>
      <w:r>
        <w:rPr>
          <w:rFonts w:hint="eastAsia" w:ascii="宋体" w:hAnsi="宋体" w:eastAsia="宋体" w:cs="宋体"/>
          <w:b/>
          <w:bCs/>
          <w:sz w:val="24"/>
          <w:highlight w:val="none"/>
        </w:rPr>
        <w:t>否则响应无效。</w:t>
      </w:r>
    </w:p>
    <w:p w14:paraId="5231E251">
      <w:pPr>
        <w:adjustRightInd w:val="0"/>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3.本项目所采购的货物中如包含计算机，必须预装正版操作系统软件产品；项目中所采购的其它软件必须为正版软件，否则响应无效。</w:t>
      </w:r>
    </w:p>
    <w:p w14:paraId="4378A175">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w:t>
      </w:r>
      <w:r>
        <w:rPr>
          <w:rFonts w:hint="eastAsia" w:ascii="宋体" w:hAnsi="宋体" w:eastAsia="宋体" w:cs="宋体"/>
          <w:kern w:val="0"/>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响应无效。</w:t>
      </w:r>
    </w:p>
    <w:p w14:paraId="2B52D86C">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5.中小微企业参加本项目</w:t>
      </w:r>
    </w:p>
    <w:p w14:paraId="77EE404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5.1如本项目是专门面向中小企业的采购项目，须如实填写《中小企业声明函》。且声明函内容须符合要求、完整、准确（</w:t>
      </w:r>
      <w:r>
        <w:rPr>
          <w:rFonts w:hint="eastAsia" w:ascii="宋体" w:hAnsi="宋体" w:eastAsia="宋体" w:cs="宋体"/>
          <w:snapToGrid w:val="0"/>
          <w:kern w:val="0"/>
          <w:sz w:val="24"/>
          <w:highlight w:val="none"/>
        </w:rPr>
        <w:t>除评审专家可要求其澄清的内容外</w:t>
      </w:r>
      <w:r>
        <w:rPr>
          <w:rFonts w:hint="eastAsia" w:ascii="宋体" w:hAnsi="宋体" w:eastAsia="宋体" w:cs="宋体"/>
          <w:sz w:val="24"/>
          <w:highlight w:val="none"/>
        </w:rPr>
        <w:t>），否则响应无效。</w:t>
      </w:r>
    </w:p>
    <w:p w14:paraId="6BC77ADF">
      <w:pPr>
        <w:adjustRightInd w:val="0"/>
        <w:snapToGrid w:val="0"/>
        <w:spacing w:line="360" w:lineRule="auto"/>
        <w:ind w:firstLine="480" w:firstLineChars="200"/>
        <w:rPr>
          <w:rFonts w:hint="eastAsia" w:ascii="宋体" w:hAnsi="宋体" w:eastAsia="宋体" w:cs="宋体"/>
          <w:b/>
          <w:bCs/>
          <w:kern w:val="0"/>
          <w:sz w:val="24"/>
          <w:highlight w:val="none"/>
        </w:rPr>
      </w:pPr>
      <w:r>
        <w:rPr>
          <w:rFonts w:hint="eastAsia" w:ascii="宋体" w:hAnsi="宋体" w:eastAsia="宋体" w:cs="宋体"/>
          <w:kern w:val="0"/>
          <w:sz w:val="24"/>
          <w:highlight w:val="none"/>
        </w:rPr>
        <w:t>5.2如本项目是非</w:t>
      </w:r>
      <w:r>
        <w:rPr>
          <w:rFonts w:hint="eastAsia" w:ascii="宋体" w:hAnsi="宋体" w:eastAsia="宋体" w:cs="宋体"/>
          <w:sz w:val="24"/>
          <w:highlight w:val="none"/>
        </w:rPr>
        <w:t>专门面向中小企业的采购项目，需如实填写《中小企业声明函》。且声明函内容须符合要求、完整、准确（</w:t>
      </w:r>
      <w:r>
        <w:rPr>
          <w:rFonts w:hint="eastAsia" w:ascii="宋体" w:hAnsi="宋体" w:eastAsia="宋体" w:cs="宋体"/>
          <w:snapToGrid w:val="0"/>
          <w:kern w:val="0"/>
          <w:sz w:val="24"/>
          <w:highlight w:val="none"/>
        </w:rPr>
        <w:t>除评审专家可要求其澄清的内容外</w:t>
      </w:r>
      <w:r>
        <w:rPr>
          <w:rFonts w:hint="eastAsia" w:ascii="宋体" w:hAnsi="宋体" w:eastAsia="宋体" w:cs="宋体"/>
          <w:sz w:val="24"/>
          <w:highlight w:val="none"/>
        </w:rPr>
        <w:t>），否则不予认可。</w:t>
      </w:r>
    </w:p>
    <w:p w14:paraId="4CDAC109">
      <w:pPr>
        <w:adjustRightInd w:val="0"/>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kern w:val="0"/>
          <w:sz w:val="24"/>
          <w:highlight w:val="none"/>
        </w:rPr>
        <w:t>6.监狱企业参加本项目</w:t>
      </w:r>
    </w:p>
    <w:p w14:paraId="0D9C4B8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响应无效。</w:t>
      </w:r>
    </w:p>
    <w:p w14:paraId="0B6E5AAA">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6.2</w:t>
      </w:r>
      <w:r>
        <w:rPr>
          <w:rFonts w:hint="eastAsia" w:ascii="宋体" w:hAnsi="宋体" w:eastAsia="宋体" w:cs="宋体"/>
          <w:sz w:val="24"/>
          <w:highlight w:val="none"/>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76572635">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7.残疾人福利性单位参加本项目</w:t>
      </w:r>
    </w:p>
    <w:p w14:paraId="08A9761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残疾人福利性单位视同小型、微型企业，如本项目是专门面向中小企业的采购项目，须提供《残疾人福利性单位声明函》（除评审专家可要求其澄清的内容外），且声明函须符合要求、完整、准确，否则响应无效。</w:t>
      </w:r>
    </w:p>
    <w:p w14:paraId="18FA144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2E39AA17">
      <w:pPr>
        <w:adjustRightInd w:val="0"/>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8.联合体企业参加本项目</w:t>
      </w:r>
    </w:p>
    <w:p w14:paraId="4FFB90A2">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8.1如本项目是专门面向中小企业且允许两个中小企业组成联合体参加的采购项目，须提供《联合体谈判协议书》和其中报价产品为中小企业制造的《中小企业声明函》，协议书和声明函均需符合要求、完整、准确，否则响应无效。</w:t>
      </w:r>
    </w:p>
    <w:p w14:paraId="2D18F6FC">
      <w:pPr>
        <w:adjustRightInd w:val="0"/>
        <w:snapToGrid w:val="0"/>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kern w:val="0"/>
          <w:sz w:val="24"/>
          <w:highlight w:val="none"/>
        </w:rPr>
        <w:t>8.2如本项目是非专门面向中小企业，</w:t>
      </w:r>
      <w:r>
        <w:rPr>
          <w:rFonts w:hint="eastAsia" w:ascii="宋体" w:hAnsi="宋体" w:eastAsia="宋体" w:cs="宋体"/>
          <w:snapToGrid w:val="0"/>
          <w:kern w:val="0"/>
          <w:sz w:val="24"/>
          <w:highlight w:val="none"/>
        </w:rPr>
        <w:t>接受大中型企业与小微企业组成联合体或者允许大中型企业向一家或者多家小微企业分包的采购项目，对于联合协议或者分包意向协议约定小微企业的合同份额占到合同总金额30%以上的，且提供了《联合体谈判协议书》，协议书均需符合要求、完整、准确，否则不予认可。</w:t>
      </w:r>
    </w:p>
    <w:p w14:paraId="79DB29DC">
      <w:pPr>
        <w:numPr>
          <w:ilvl w:val="0"/>
          <w:numId w:val="4"/>
        </w:num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项目</w:t>
      </w:r>
      <w:r>
        <w:rPr>
          <w:rFonts w:hint="eastAsia" w:ascii="宋体" w:hAnsi="宋体" w:eastAsia="宋体" w:cs="宋体"/>
          <w:b/>
          <w:bCs/>
          <w:sz w:val="24"/>
          <w:lang w:val="en-US" w:eastAsia="zh-CN"/>
        </w:rPr>
        <w:t>涉及</w:t>
      </w:r>
      <w:r>
        <w:rPr>
          <w:rFonts w:hint="eastAsia" w:ascii="宋体" w:hAnsi="宋体" w:eastAsia="宋体" w:cs="宋体"/>
          <w:b/>
          <w:bCs/>
          <w:sz w:val="24"/>
        </w:rPr>
        <w:t>创新产品的</w:t>
      </w:r>
    </w:p>
    <w:p w14:paraId="78CCB236">
      <w:pPr>
        <w:numPr>
          <w:ilvl w:val="0"/>
          <w:numId w:val="0"/>
        </w:num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根据《政府采购支持创新产品和服务实施细则》（晋财购【2019】19号），需在响应文件中提供《山西省创新产品和服务推荐清单》产品截图，并填写《创新产品或创新服务明细表》，否则不予认可。</w:t>
      </w:r>
    </w:p>
    <w:p w14:paraId="69C61C02">
      <w:pPr>
        <w:numPr>
          <w:ilvl w:val="0"/>
          <w:numId w:val="4"/>
        </w:numPr>
        <w:adjustRightInd w:val="0"/>
        <w:snapToGrid w:val="0"/>
        <w:spacing w:line="360" w:lineRule="auto"/>
        <w:ind w:left="0" w:leftChars="0"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政府绿色采购有关事项</w:t>
      </w:r>
    </w:p>
    <w:p w14:paraId="5E174C0C">
      <w:pPr>
        <w:numPr>
          <w:ilvl w:val="0"/>
          <w:numId w:val="5"/>
        </w:numPr>
        <w:adjustRightInd w:val="0"/>
        <w:snapToGrid w:val="0"/>
        <w:spacing w:line="360" w:lineRule="auto"/>
        <w:ind w:leftChars="200"/>
        <w:rPr>
          <w:rFonts w:hint="eastAsia" w:ascii="宋体" w:hAnsi="宋体" w:eastAsia="宋体" w:cs="宋体"/>
          <w:sz w:val="24"/>
          <w:highlight w:val="none"/>
        </w:rPr>
      </w:pPr>
      <w:r>
        <w:rPr>
          <w:rFonts w:hint="eastAsia" w:ascii="宋体" w:hAnsi="宋体" w:eastAsia="宋体" w:cs="宋体"/>
          <w:sz w:val="24"/>
          <w:highlight w:val="none"/>
        </w:rPr>
        <w:t>依据《山西省财政厅关于进一步加强政府绿色采购有关事项的通知》，对实施强制采购或执行强制性绿色采购标准的品目，不接受非强制采购产品。</w:t>
      </w:r>
    </w:p>
    <w:p w14:paraId="2009C62F">
      <w:pPr>
        <w:numPr>
          <w:ilvl w:val="0"/>
          <w:numId w:val="0"/>
        </w:num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5D3F0E7D">
      <w:pPr>
        <w:keepNext/>
        <w:topLinePunct/>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（3）对于优先采购的绿色产品，给予4%的价格扣除，用扣除后的价格参与评审。对中小微企业，严格落实政府采购优惠政策，同时享受绿色采购政策的价格扣除等评审优惠措施，分别计算，叠加执行。</w:t>
      </w:r>
    </w:p>
    <w:p w14:paraId="6EE03268">
      <w:pPr>
        <w:keepNext/>
        <w:topLinePunct/>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（4）前述建筑材料，投标人应在材料进场时提供建材产品符合需求标准的证明性文件，包括国家统一推行的绿色建材产品认证证书，或符合需求标准的有效检测报告等。投标人应在投标文件中提供承诺书。</w:t>
      </w:r>
    </w:p>
    <w:p w14:paraId="1A315651">
      <w:pPr>
        <w:keepNext/>
        <w:topLinePunct/>
        <w:adjustRightInd w:val="0"/>
        <w:snapToGrid w:val="0"/>
        <w:spacing w:line="360" w:lineRule="auto"/>
        <w:ind w:firstLine="480" w:firstLineChars="200"/>
        <w:rPr>
          <w:rFonts w:hint="eastAsia" w:ascii="宋体" w:hAnsi="宋体" w:eastAsia="宋体" w:cs="宋体"/>
          <w:b/>
          <w:bCs/>
          <w:sz w:val="24"/>
          <w:highlight w:val="none"/>
          <w:lang w:val="en-US" w:eastAsia="zh-CN"/>
        </w:rPr>
      </w:pPr>
      <w:r>
        <w:rPr>
          <w:rFonts w:hint="eastAsia" w:ascii="宋体" w:hAnsi="宋体" w:eastAsia="宋体" w:cs="宋体"/>
          <w:sz w:val="24"/>
          <w:highlight w:val="none"/>
        </w:rPr>
        <w:t>（5）绿色建筑和绿色建材政府采购需求标准（2025年版）原文链接（https://www.gov.cn/zhengce/zhengceku/202501/P020250111596858618141.docx）</w:t>
      </w:r>
    </w:p>
    <w:p w14:paraId="424322BE">
      <w:pPr>
        <w:keepNext/>
        <w:topLinePunct/>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11.</w:t>
      </w:r>
      <w:r>
        <w:rPr>
          <w:rFonts w:hint="eastAsia" w:ascii="宋体" w:hAnsi="宋体" w:eastAsia="宋体" w:cs="宋体"/>
          <w:b/>
          <w:bCs/>
          <w:sz w:val="24"/>
          <w:highlight w:val="none"/>
        </w:rPr>
        <w:t>关于本国产品报价扣除比例说明</w:t>
      </w:r>
    </w:p>
    <w:p w14:paraId="166BE8DE">
      <w:pPr>
        <w:keepNext/>
        <w:topLinePunct/>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政府采购活动中既有本国产品又有非本国产品参与竞争的，依法对本国产品给予价格评审优惠，对本国产品的报价给予20%的价格扣除，用扣除后的价格参与评审。</w:t>
      </w:r>
    </w:p>
    <w:p w14:paraId="51219D3C">
      <w:pPr>
        <w:keepNext/>
        <w:topLinePunct/>
        <w:adjustRightInd w:val="0"/>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当采购项目或者采购包中含有多种产品，</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为该采购项目或者采购包提供的符合本国产品标准的产品成本之和占该</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提供的全部产品成本之和的比例达到80%以上时，依法对该</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提供的全部产品给予价格评审优惠，即对该</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提供的全部产品的总报价给予20%的价格扣除，用扣除后的价格参与评审。</w:t>
      </w:r>
      <w:r>
        <w:rPr>
          <w:rFonts w:hint="eastAsia" w:ascii="宋体" w:hAnsi="宋体" w:eastAsia="宋体" w:cs="宋体"/>
          <w:kern w:val="0"/>
          <w:sz w:val="24"/>
          <w:highlight w:val="none"/>
          <w:lang w:eastAsia="zh-CN"/>
        </w:rPr>
        <w:t>提供符合本国产品标准的产品，投标人应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8D5131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eastAsia="zh-CN"/>
        </w:rPr>
        <w:t>当采购项目或者采购包中含有多种产品的，投标人还应当提供《关于本国产品比例的声明函》。</w:t>
      </w:r>
      <w:r>
        <w:rPr>
          <w:rFonts w:hint="eastAsia" w:ascii="宋体" w:hAnsi="宋体" w:eastAsia="宋体" w:cs="宋体"/>
          <w:kern w:val="0"/>
          <w:sz w:val="24"/>
          <w:highlight w:val="none"/>
        </w:rPr>
        <w:t>否则不予认可。</w:t>
      </w:r>
    </w:p>
    <w:p w14:paraId="61E29C74">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四、无效响应</w:t>
      </w:r>
    </w:p>
    <w:p w14:paraId="7925B5B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未通过资格性、符合性审查的响应文件为无效响应。</w:t>
      </w:r>
    </w:p>
    <w:p w14:paraId="45977387">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rPr>
        <w:t>、</w:t>
      </w:r>
      <w:r>
        <w:rPr>
          <w:rFonts w:hint="eastAsia" w:ascii="宋体" w:hAnsi="宋体" w:eastAsia="宋体" w:cs="宋体"/>
          <w:b/>
          <w:bCs/>
          <w:kern w:val="0"/>
          <w:sz w:val="24"/>
          <w:highlight w:val="none"/>
        </w:rPr>
        <w:t>评分细则</w:t>
      </w:r>
    </w:p>
    <w:p w14:paraId="0D06596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本项目采用综合评分法，响应文件满足磋商文件实质性要求，且按照评分细则的量化指标进行评审（具体评分见综合评分法评分细则）</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得分最高的供应商为</w:t>
      </w:r>
      <w:r>
        <w:rPr>
          <w:rFonts w:hint="eastAsia" w:ascii="宋体" w:hAnsi="宋体" w:eastAsia="宋体" w:cs="宋体"/>
          <w:kern w:val="0"/>
          <w:sz w:val="24"/>
          <w:highlight w:val="none"/>
          <w:lang w:val="en-US" w:eastAsia="zh-CN"/>
        </w:rPr>
        <w:t>成交</w:t>
      </w:r>
      <w:r>
        <w:rPr>
          <w:rFonts w:hint="eastAsia" w:ascii="宋体" w:hAnsi="宋体" w:eastAsia="宋体" w:cs="宋体"/>
          <w:kern w:val="0"/>
          <w:sz w:val="24"/>
          <w:highlight w:val="none"/>
        </w:rPr>
        <w:t>人或</w:t>
      </w:r>
      <w:r>
        <w:rPr>
          <w:rFonts w:hint="eastAsia" w:ascii="宋体" w:hAnsi="宋体" w:eastAsia="宋体" w:cs="宋体"/>
          <w:kern w:val="0"/>
          <w:sz w:val="24"/>
          <w:highlight w:val="none"/>
          <w:lang w:val="en-US" w:eastAsia="zh-CN"/>
        </w:rPr>
        <w:t>成交</w:t>
      </w:r>
      <w:r>
        <w:rPr>
          <w:rFonts w:hint="eastAsia" w:ascii="宋体" w:hAnsi="宋体" w:eastAsia="宋体" w:cs="宋体"/>
          <w:kern w:val="0"/>
          <w:sz w:val="24"/>
          <w:highlight w:val="none"/>
        </w:rPr>
        <w:t>第一候选人。</w:t>
      </w:r>
    </w:p>
    <w:p w14:paraId="6D529978">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1.综合评分法评分细则</w:t>
      </w:r>
    </w:p>
    <w:p w14:paraId="21FC502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（1）报价</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分</w:t>
      </w:r>
    </w:p>
    <w:p w14:paraId="5103D6F1">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（2）商务</w:t>
      </w:r>
      <w:r>
        <w:rPr>
          <w:rFonts w:hint="eastAsia" w:ascii="宋体" w:hAnsi="宋体" w:eastAsia="宋体" w:cs="宋体"/>
          <w:color w:val="auto"/>
          <w:kern w:val="0"/>
          <w:sz w:val="24"/>
          <w:highlight w:val="none"/>
          <w:lang w:val="en-US" w:eastAsia="zh-CN"/>
        </w:rPr>
        <w:t>21</w:t>
      </w:r>
      <w:r>
        <w:rPr>
          <w:rFonts w:hint="eastAsia" w:ascii="宋体" w:hAnsi="宋体" w:eastAsia="宋体" w:cs="宋体"/>
          <w:color w:val="auto"/>
          <w:kern w:val="0"/>
          <w:sz w:val="24"/>
          <w:highlight w:val="none"/>
        </w:rPr>
        <w:t>分</w:t>
      </w:r>
    </w:p>
    <w:p w14:paraId="3EDDA00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（3）技术</w:t>
      </w:r>
      <w:r>
        <w:rPr>
          <w:rFonts w:hint="eastAsia" w:ascii="宋体" w:hAnsi="宋体" w:eastAsia="宋体" w:cs="宋体"/>
          <w:color w:val="auto"/>
          <w:kern w:val="0"/>
          <w:sz w:val="24"/>
          <w:highlight w:val="none"/>
          <w:lang w:val="en-US" w:eastAsia="zh-CN"/>
        </w:rPr>
        <w:t>49</w:t>
      </w:r>
      <w:r>
        <w:rPr>
          <w:rFonts w:hint="eastAsia" w:ascii="宋体" w:hAnsi="宋体" w:eastAsia="宋体" w:cs="宋体"/>
          <w:color w:val="auto"/>
          <w:kern w:val="0"/>
          <w:sz w:val="24"/>
          <w:highlight w:val="none"/>
        </w:rPr>
        <w:t>分</w:t>
      </w:r>
    </w:p>
    <w:p w14:paraId="52A3F514">
      <w:pPr>
        <w:snapToGrid w:val="0"/>
        <w:spacing w:line="360" w:lineRule="auto"/>
        <w:ind w:firstLine="480" w:firstLineChars="200"/>
        <w:rPr>
          <w:rFonts w:hint="eastAsia" w:ascii="宋体" w:hAnsi="宋体" w:eastAsia="宋体" w:cs="宋体"/>
          <w:color w:val="auto"/>
          <w:kern w:val="0"/>
          <w:sz w:val="24"/>
          <w:highlight w:val="none"/>
        </w:rPr>
      </w:pPr>
    </w:p>
    <w:p w14:paraId="0443C6C2">
      <w:pPr>
        <w:snapToGrid w:val="0"/>
        <w:spacing w:line="360" w:lineRule="auto"/>
        <w:ind w:firstLine="480" w:firstLineChars="200"/>
        <w:rPr>
          <w:rFonts w:hint="eastAsia" w:ascii="宋体" w:hAnsi="宋体" w:eastAsia="宋体" w:cs="宋体"/>
          <w:color w:val="auto"/>
          <w:kern w:val="0"/>
          <w:sz w:val="24"/>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6044"/>
        <w:gridCol w:w="876"/>
        <w:gridCol w:w="1031"/>
        <w:gridCol w:w="501"/>
      </w:tblGrid>
      <w:tr w14:paraId="0330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AAEECF0">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6044" w:type="dxa"/>
            <w:noWrap w:val="0"/>
            <w:vAlign w:val="center"/>
          </w:tcPr>
          <w:p w14:paraId="4729D39D">
            <w:pPr>
              <w:adjustRightInd w:val="0"/>
              <w:snapToGrid w:val="0"/>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c>
          <w:tcPr>
            <w:tcW w:w="876" w:type="dxa"/>
            <w:noWrap w:val="0"/>
            <w:vAlign w:val="top"/>
          </w:tcPr>
          <w:p w14:paraId="08DA65F8">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分值</w:t>
            </w:r>
          </w:p>
          <w:p w14:paraId="22415CC5">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1031" w:type="dxa"/>
            <w:noWrap w:val="0"/>
            <w:vAlign w:val="top"/>
          </w:tcPr>
          <w:p w14:paraId="493FE9AB">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打分</w:t>
            </w:r>
          </w:p>
          <w:p w14:paraId="49C27F34">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方法</w:t>
            </w:r>
          </w:p>
        </w:tc>
        <w:tc>
          <w:tcPr>
            <w:tcW w:w="501" w:type="dxa"/>
            <w:noWrap w:val="0"/>
            <w:vAlign w:val="center"/>
          </w:tcPr>
          <w:p w14:paraId="11264CAB">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07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noWrap w:val="0"/>
            <w:vAlign w:val="center"/>
          </w:tcPr>
          <w:p w14:paraId="023DBD4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w:t>
            </w:r>
          </w:p>
          <w:p w14:paraId="3A5A1A1A">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部分</w:t>
            </w:r>
          </w:p>
          <w:p w14:paraId="4311AB57">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分）</w:t>
            </w:r>
          </w:p>
        </w:tc>
        <w:tc>
          <w:tcPr>
            <w:tcW w:w="6044" w:type="dxa"/>
            <w:noWrap w:val="0"/>
            <w:vAlign w:val="center"/>
          </w:tcPr>
          <w:p w14:paraId="5D58F579">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1、近三年业绩（15分）</w:t>
            </w:r>
          </w:p>
          <w:p w14:paraId="38A76B5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供应商提供同类型业绩，业绩要求必须提供与最终用户签订的合同，包括合同首页、合同金额所在页、签字盖章页。</w:t>
            </w:r>
          </w:p>
          <w:p w14:paraId="0C043EC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在提交响应文件截止日前三年内，每签署一份合同得 5 分，最高得 15 分。</w:t>
            </w:r>
          </w:p>
          <w:p w14:paraId="125C06D1">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供应商提供的资料不清晰，不得分。</w:t>
            </w:r>
          </w:p>
          <w:p w14:paraId="31B5CF5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注：本款可作为加分的合同案例仅指供应商自身的合同案例，即合同案例中合同的乙方必须与供应商的名称完全一致，如公司名称发生变更，须提供工商部门的证明文件。</w:t>
            </w:r>
          </w:p>
        </w:tc>
        <w:tc>
          <w:tcPr>
            <w:tcW w:w="876" w:type="dxa"/>
            <w:noWrap w:val="0"/>
            <w:vAlign w:val="center"/>
          </w:tcPr>
          <w:p w14:paraId="7534902C">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15分</w:t>
            </w:r>
          </w:p>
        </w:tc>
        <w:tc>
          <w:tcPr>
            <w:tcW w:w="1031" w:type="dxa"/>
            <w:noWrap w:val="0"/>
            <w:vAlign w:val="center"/>
          </w:tcPr>
          <w:p w14:paraId="5AE8FAA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c>
          <w:tcPr>
            <w:tcW w:w="501" w:type="dxa"/>
            <w:noWrap w:val="0"/>
            <w:vAlign w:val="top"/>
          </w:tcPr>
          <w:p w14:paraId="62E30E65">
            <w:pPr>
              <w:adjustRightInd w:val="0"/>
              <w:snapToGrid w:val="0"/>
              <w:spacing w:line="360" w:lineRule="auto"/>
              <w:ind w:firstLine="480" w:firstLineChars="200"/>
              <w:rPr>
                <w:rFonts w:hint="eastAsia" w:ascii="宋体" w:hAnsi="宋体" w:eastAsia="宋体" w:cs="宋体"/>
                <w:color w:val="auto"/>
                <w:sz w:val="24"/>
                <w:highlight w:val="none"/>
              </w:rPr>
            </w:pPr>
          </w:p>
        </w:tc>
      </w:tr>
      <w:tr w14:paraId="48C9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noWrap w:val="0"/>
            <w:vAlign w:val="center"/>
          </w:tcPr>
          <w:p w14:paraId="64049E2B">
            <w:pPr>
              <w:adjustRightInd w:val="0"/>
              <w:snapToGrid w:val="0"/>
              <w:spacing w:line="360" w:lineRule="auto"/>
              <w:rPr>
                <w:rFonts w:hint="eastAsia" w:ascii="宋体" w:hAnsi="宋体" w:eastAsia="宋体" w:cs="宋体"/>
                <w:color w:val="auto"/>
                <w:sz w:val="24"/>
                <w:highlight w:val="none"/>
              </w:rPr>
            </w:pPr>
          </w:p>
        </w:tc>
        <w:tc>
          <w:tcPr>
            <w:tcW w:w="6044" w:type="dxa"/>
            <w:noWrap w:val="0"/>
            <w:vAlign w:val="center"/>
          </w:tcPr>
          <w:p w14:paraId="08E0B4CE">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kern w:val="2"/>
                <w:sz w:val="24"/>
                <w:szCs w:val="24"/>
                <w:highlight w:val="none"/>
                <w:lang w:val="en-US" w:eastAsia="zh-CN" w:bidi="ar-SA"/>
              </w:rPr>
              <w:t>人员配置（6分）</w:t>
            </w:r>
          </w:p>
          <w:p w14:paraId="63A5310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配备齐全，包含心理咨询师、护理员、康复理疗师等专业人员，每配备一项专业人员得 2分，最高6 分。（提供相关证件，不提供不得分）。</w:t>
            </w:r>
          </w:p>
        </w:tc>
        <w:tc>
          <w:tcPr>
            <w:tcW w:w="876" w:type="dxa"/>
            <w:noWrap w:val="0"/>
            <w:vAlign w:val="center"/>
          </w:tcPr>
          <w:p w14:paraId="2E00BBD6">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6分</w:t>
            </w:r>
          </w:p>
        </w:tc>
        <w:tc>
          <w:tcPr>
            <w:tcW w:w="1031" w:type="dxa"/>
            <w:noWrap w:val="0"/>
            <w:vAlign w:val="center"/>
          </w:tcPr>
          <w:p w14:paraId="4F50F47A">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c>
          <w:tcPr>
            <w:tcW w:w="501" w:type="dxa"/>
            <w:noWrap w:val="0"/>
            <w:vAlign w:val="top"/>
          </w:tcPr>
          <w:p w14:paraId="618EB241">
            <w:pPr>
              <w:adjustRightInd w:val="0"/>
              <w:snapToGrid w:val="0"/>
              <w:spacing w:line="360" w:lineRule="auto"/>
              <w:ind w:firstLine="480" w:firstLineChars="200"/>
              <w:rPr>
                <w:rFonts w:hint="eastAsia" w:ascii="宋体" w:hAnsi="宋体" w:eastAsia="宋体" w:cs="宋体"/>
                <w:color w:val="auto"/>
                <w:sz w:val="24"/>
                <w:highlight w:val="none"/>
              </w:rPr>
            </w:pPr>
          </w:p>
        </w:tc>
      </w:tr>
      <w:tr w14:paraId="5B47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58" w:type="dxa"/>
            <w:vMerge w:val="restart"/>
            <w:noWrap w:val="0"/>
            <w:vAlign w:val="center"/>
          </w:tcPr>
          <w:p w14:paraId="26FE2DC4">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部分</w:t>
            </w:r>
          </w:p>
          <w:p w14:paraId="566A1321">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分）</w:t>
            </w:r>
          </w:p>
        </w:tc>
        <w:tc>
          <w:tcPr>
            <w:tcW w:w="6044" w:type="dxa"/>
            <w:noWrap w:val="0"/>
            <w:vAlign w:val="center"/>
          </w:tcPr>
          <w:p w14:paraId="2562523F">
            <w:pPr>
              <w:autoSpaceDE/>
              <w:autoSpaceDN/>
              <w:spacing w:before="0" w:after="0" w:line="400" w:lineRule="exact"/>
              <w:ind w:left="0" w:leftChars="0" w:firstLine="482" w:firstLineChars="200"/>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整体实施方案（20分）</w:t>
            </w:r>
          </w:p>
          <w:p w14:paraId="70040F78">
            <w:pPr>
              <w:autoSpaceDE/>
              <w:autoSpaceDN/>
              <w:spacing w:before="0" w:after="0" w:line="400" w:lineRule="exact"/>
              <w:ind w:left="0" w:leftChars="0"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托养服务实施方案包括：①健康咨询②基本康复③残疾预防服务④针对本项目提供的各项技能训练方案⑤针对本项目提供的照料和管护、基本生活照料和护理方案。</w:t>
            </w:r>
          </w:p>
          <w:p w14:paraId="5DA122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bidi="ar"/>
              </w:rPr>
              <w:t>以上 5项共计20分，每有一项缺失的扣4分，每项中每有1处存在内容缺陷（缺陷是指以下情形中的任意一项：内容前后不一致；前后逻辑错误；项目及工作的理解片面主观；方案内容不清晰或交叉混乱；方案内容与项目内在需求有漏项；衔接时效性差无法及时解决问题等）扣1分，扣完为止，无方案不得分。</w:t>
            </w:r>
          </w:p>
        </w:tc>
        <w:tc>
          <w:tcPr>
            <w:tcW w:w="876" w:type="dxa"/>
            <w:noWrap w:val="0"/>
            <w:vAlign w:val="center"/>
          </w:tcPr>
          <w:p w14:paraId="6445971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20分</w:t>
            </w:r>
          </w:p>
        </w:tc>
        <w:tc>
          <w:tcPr>
            <w:tcW w:w="1031" w:type="dxa"/>
            <w:noWrap w:val="0"/>
            <w:vAlign w:val="center"/>
          </w:tcPr>
          <w:p w14:paraId="3E5042B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c>
          <w:tcPr>
            <w:tcW w:w="501" w:type="dxa"/>
            <w:noWrap w:val="0"/>
            <w:vAlign w:val="top"/>
          </w:tcPr>
          <w:p w14:paraId="485ABD09">
            <w:pPr>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6B41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758" w:type="dxa"/>
            <w:vMerge w:val="continue"/>
            <w:noWrap w:val="0"/>
            <w:vAlign w:val="center"/>
          </w:tcPr>
          <w:p w14:paraId="00015380">
            <w:pPr>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6044" w:type="dxa"/>
            <w:noWrap w:val="0"/>
            <w:vAlign w:val="center"/>
          </w:tcPr>
          <w:p w14:paraId="168283DD">
            <w:pPr>
              <w:autoSpaceDE/>
              <w:autoSpaceDN/>
              <w:spacing w:before="0" w:after="0" w:line="40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项目管理组织架构及制度（9分）</w:t>
            </w:r>
          </w:p>
          <w:p w14:paraId="10090294">
            <w:pPr>
              <w:autoSpaceDE/>
              <w:autoSpaceDN/>
              <w:spacing w:before="0" w:after="0" w:line="400" w:lineRule="exact"/>
              <w:ind w:left="0" w:leftChars="0" w:firstLine="480" w:firstLineChars="200"/>
              <w:rPr>
                <w:rFonts w:hint="eastAsia" w:ascii="宋体" w:hAnsi="宋体" w:eastAsia="宋体" w:cs="宋体"/>
                <w:sz w:val="24"/>
                <w:szCs w:val="24"/>
                <w:lang w:val="en-US" w:eastAsia="zh-CN" w:bidi="ar"/>
              </w:rPr>
            </w:pPr>
            <w:r>
              <w:rPr>
                <w:rFonts w:hint="eastAsia" w:ascii="宋体" w:hAnsi="宋体" w:eastAsia="宋体" w:cs="宋体"/>
                <w:color w:val="auto"/>
                <w:sz w:val="24"/>
                <w:szCs w:val="24"/>
                <w:highlight w:val="none"/>
                <w:lang w:val="en-US" w:eastAsia="zh-CN"/>
              </w:rPr>
              <w:t>①项目管理机构、运作方法、流程②各项管理制度③服务质量检查、验收方法和标准等。</w:t>
            </w:r>
            <w:r>
              <w:rPr>
                <w:rFonts w:hint="eastAsia" w:ascii="宋体" w:hAnsi="宋体" w:eastAsia="宋体" w:cs="宋体"/>
                <w:sz w:val="24"/>
                <w:szCs w:val="24"/>
                <w:lang w:val="en-US" w:eastAsia="zh-CN" w:bidi="ar"/>
              </w:rPr>
              <w:t xml:space="preserve"> </w:t>
            </w:r>
          </w:p>
          <w:p w14:paraId="542CFF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bidi="ar"/>
              </w:rPr>
              <w:t>以上3项共计9分，每有一项缺失的扣3分，每项中每有1处存在内容缺陷（缺陷是指以下情形中的任意一项：内容前后不一致；前后逻辑错误；项目及工作的理解片面主观；方案内容不清晰或交叉混乱；方案内容与项目内在需求有漏项；衔接时效性差无法及时解决问题等）扣0.5分，扣完为止，无方案不得分。</w:t>
            </w:r>
          </w:p>
        </w:tc>
        <w:tc>
          <w:tcPr>
            <w:tcW w:w="876" w:type="dxa"/>
            <w:noWrap w:val="0"/>
            <w:vAlign w:val="center"/>
          </w:tcPr>
          <w:p w14:paraId="750A9F5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9分</w:t>
            </w:r>
          </w:p>
        </w:tc>
        <w:tc>
          <w:tcPr>
            <w:tcW w:w="1031" w:type="dxa"/>
            <w:noWrap w:val="0"/>
            <w:vAlign w:val="center"/>
          </w:tcPr>
          <w:p w14:paraId="7D277D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501" w:type="dxa"/>
            <w:noWrap w:val="0"/>
            <w:vAlign w:val="top"/>
          </w:tcPr>
          <w:p w14:paraId="1AADBDFE">
            <w:pPr>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7ACC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758" w:type="dxa"/>
            <w:vMerge w:val="continue"/>
            <w:noWrap w:val="0"/>
            <w:vAlign w:val="center"/>
          </w:tcPr>
          <w:p w14:paraId="02998510">
            <w:pPr>
              <w:adjustRightInd w:val="0"/>
              <w:snapToGrid w:val="0"/>
              <w:spacing w:line="360" w:lineRule="auto"/>
              <w:rPr>
                <w:rFonts w:hint="eastAsia" w:ascii="宋体" w:hAnsi="宋体" w:eastAsia="宋体" w:cs="宋体"/>
                <w:color w:val="auto"/>
                <w:sz w:val="24"/>
                <w:szCs w:val="24"/>
                <w:highlight w:val="none"/>
              </w:rPr>
            </w:pPr>
          </w:p>
        </w:tc>
        <w:tc>
          <w:tcPr>
            <w:tcW w:w="6044" w:type="dxa"/>
            <w:noWrap w:val="0"/>
            <w:vAlign w:val="center"/>
          </w:tcPr>
          <w:p w14:paraId="1BCC32B9">
            <w:pPr>
              <w:autoSpaceDE/>
              <w:autoSpaceDN/>
              <w:spacing w:before="0" w:after="0" w:line="400" w:lineRule="exact"/>
              <w:ind w:left="0" w:leftChars="0" w:firstLine="482" w:firstLineChars="200"/>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 xml:space="preserve">应急处理方案（8分） </w:t>
            </w:r>
          </w:p>
          <w:p w14:paraId="43798483">
            <w:pPr>
              <w:autoSpaceDE/>
              <w:autoSpaceDN/>
              <w:spacing w:before="0" w:after="0" w:line="40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①对可能出现的突发情况有完善的应急方案②有制止事态的应急措施等。</w:t>
            </w:r>
          </w:p>
          <w:p w14:paraId="157585E1">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bidi="ar"/>
              </w:rPr>
              <w:t>以上2项共计8分，每有一项缺失的扣4分，每项中每有1处存在内容缺陷（缺陷是指以下情形中的任意一项：内容前后不一致；前后逻辑错误；项目及工作的理解片面主观；方案内容不清晰或交叉混乱；方案内容与项目内在需求有漏项；衔接时效性差无法及时解决问题等）扣0.5分，扣完为止，无方案不得分。</w:t>
            </w:r>
          </w:p>
        </w:tc>
        <w:tc>
          <w:tcPr>
            <w:tcW w:w="876" w:type="dxa"/>
            <w:noWrap w:val="0"/>
            <w:vAlign w:val="center"/>
          </w:tcPr>
          <w:p w14:paraId="45291BA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8分</w:t>
            </w:r>
          </w:p>
        </w:tc>
        <w:tc>
          <w:tcPr>
            <w:tcW w:w="1031" w:type="dxa"/>
            <w:noWrap w:val="0"/>
            <w:vAlign w:val="center"/>
          </w:tcPr>
          <w:p w14:paraId="68C48F5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501" w:type="dxa"/>
            <w:noWrap w:val="0"/>
            <w:vAlign w:val="top"/>
          </w:tcPr>
          <w:p w14:paraId="09D69D5A">
            <w:pPr>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1E59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noWrap w:val="0"/>
            <w:vAlign w:val="center"/>
          </w:tcPr>
          <w:p w14:paraId="2B91A009">
            <w:pPr>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6044" w:type="dxa"/>
            <w:noWrap w:val="0"/>
            <w:vAlign w:val="center"/>
          </w:tcPr>
          <w:p w14:paraId="2289E318">
            <w:pPr>
              <w:autoSpaceDE/>
              <w:autoSpaceDN/>
              <w:spacing w:before="0" w:after="0" w:line="400" w:lineRule="exact"/>
              <w:ind w:left="0" w:leftChars="0" w:firstLine="482" w:firstLineChars="200"/>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项目实施计划安排（6分）</w:t>
            </w:r>
          </w:p>
          <w:p w14:paraId="186EEBF2">
            <w:pPr>
              <w:autoSpaceDE/>
              <w:autoSpaceDN/>
              <w:spacing w:before="0" w:after="0" w:line="40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项目实施计划包括①各工种之间的合作部署②服务时间等</w:t>
            </w:r>
          </w:p>
          <w:p w14:paraId="7D25243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bidi="ar"/>
              </w:rPr>
              <w:t>以上2项共计6分，每有一项缺失的扣3分，每项中每有1处存在内容缺陷（缺陷是指以下情形中的任意一项：内容前后不一致；前后逻辑错误；项目及工作的理解片面主观；方案内容不清晰或交叉混乱；方案内容与项目内在需求有漏项；衔接时效性差无法及时解决问题等）扣0.5分，扣完为止，无方案不得分。</w:t>
            </w:r>
          </w:p>
        </w:tc>
        <w:tc>
          <w:tcPr>
            <w:tcW w:w="876" w:type="dxa"/>
            <w:noWrap w:val="0"/>
            <w:vAlign w:val="center"/>
          </w:tcPr>
          <w:p w14:paraId="6DE0885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6分</w:t>
            </w:r>
          </w:p>
        </w:tc>
        <w:tc>
          <w:tcPr>
            <w:tcW w:w="1031" w:type="dxa"/>
            <w:noWrap w:val="0"/>
            <w:vAlign w:val="center"/>
          </w:tcPr>
          <w:p w14:paraId="53EA468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501" w:type="dxa"/>
            <w:noWrap w:val="0"/>
            <w:vAlign w:val="top"/>
          </w:tcPr>
          <w:p w14:paraId="52C612C3">
            <w:pPr>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291B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noWrap w:val="0"/>
            <w:vAlign w:val="center"/>
          </w:tcPr>
          <w:p w14:paraId="5ABA5E46">
            <w:pPr>
              <w:adjustRightInd w:val="0"/>
              <w:snapToGrid w:val="0"/>
              <w:spacing w:line="360" w:lineRule="auto"/>
              <w:ind w:firstLine="480" w:firstLineChars="200"/>
              <w:rPr>
                <w:rFonts w:hint="eastAsia" w:ascii="宋体" w:hAnsi="宋体" w:eastAsia="宋体" w:cs="宋体"/>
                <w:color w:val="auto"/>
                <w:sz w:val="24"/>
                <w:szCs w:val="24"/>
                <w:highlight w:val="none"/>
              </w:rPr>
            </w:pPr>
          </w:p>
        </w:tc>
        <w:tc>
          <w:tcPr>
            <w:tcW w:w="6044" w:type="dxa"/>
            <w:noWrap w:val="0"/>
            <w:vAlign w:val="center"/>
          </w:tcPr>
          <w:p w14:paraId="59128D48">
            <w:pPr>
              <w:autoSpaceDE/>
              <w:autoSpaceDN/>
              <w:spacing w:before="0" w:after="0" w:line="40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售后跟踪服务方案（6分）</w:t>
            </w:r>
          </w:p>
          <w:p w14:paraId="2053AF9E">
            <w:pPr>
              <w:autoSpaceDE/>
              <w:autoSpaceDN/>
              <w:spacing w:before="0" w:after="0" w:line="40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①信息反馈渠道及处理②服务质量检查、投诉处理③及时整改方案</w:t>
            </w:r>
          </w:p>
          <w:p w14:paraId="67510A84">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bidi="ar"/>
              </w:rPr>
              <w:t>以上3项共计6分，每有一项缺失的扣2分，每项中每有1处存在内容缺陷（缺陷是指以下情形中的任意一项：内容前后不一致；前后逻辑错误；项目及工作的理解片面主观；方案内容不清晰或交叉混乱；方案内容与项目内在需求有漏项；衔接时效性差无法及时解决问题等）扣0.5分，扣完为止，无方案不得分。</w:t>
            </w:r>
          </w:p>
        </w:tc>
        <w:tc>
          <w:tcPr>
            <w:tcW w:w="876" w:type="dxa"/>
            <w:noWrap w:val="0"/>
            <w:vAlign w:val="center"/>
          </w:tcPr>
          <w:p w14:paraId="6A366A3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6分</w:t>
            </w:r>
          </w:p>
        </w:tc>
        <w:tc>
          <w:tcPr>
            <w:tcW w:w="1031" w:type="dxa"/>
            <w:noWrap w:val="0"/>
            <w:vAlign w:val="center"/>
          </w:tcPr>
          <w:p w14:paraId="25CA9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501" w:type="dxa"/>
            <w:noWrap w:val="0"/>
            <w:vAlign w:val="top"/>
          </w:tcPr>
          <w:p w14:paraId="30B1C496">
            <w:pPr>
              <w:adjustRightInd w:val="0"/>
              <w:snapToGrid w:val="0"/>
              <w:spacing w:line="360" w:lineRule="auto"/>
              <w:ind w:firstLine="480" w:firstLineChars="200"/>
              <w:rPr>
                <w:rFonts w:hint="eastAsia" w:ascii="宋体" w:hAnsi="宋体" w:eastAsia="宋体" w:cs="宋体"/>
                <w:color w:val="auto"/>
                <w:sz w:val="24"/>
                <w:szCs w:val="24"/>
                <w:highlight w:val="none"/>
              </w:rPr>
            </w:pPr>
          </w:p>
        </w:tc>
      </w:tr>
      <w:tr w14:paraId="38C8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02195C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044" w:type="dxa"/>
            <w:noWrap w:val="0"/>
            <w:vAlign w:val="center"/>
          </w:tcPr>
          <w:p w14:paraId="249732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综合评分法中的价格分统一采用低价优先法计算，即满足磋商文件要求且最后报价最低的供应商的价格为投标基准价，其价格分为满分。其他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的价格分统一按照下列公式计算：</w:t>
            </w:r>
          </w:p>
          <w:p w14:paraId="2CD33E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报价得分=(评标基准价／最终报价)×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%×100</w:t>
            </w:r>
          </w:p>
          <w:p w14:paraId="1DE2C1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注：经评审小组统一认定为符合价格分折扣的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报价，可根据本文件的相关规定做投标价格折算后进行价格打分。</w:t>
            </w:r>
          </w:p>
        </w:tc>
        <w:tc>
          <w:tcPr>
            <w:tcW w:w="876" w:type="dxa"/>
            <w:noWrap w:val="0"/>
            <w:vAlign w:val="center"/>
          </w:tcPr>
          <w:p w14:paraId="1FDF5EE8">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1031" w:type="dxa"/>
            <w:noWrap w:val="0"/>
            <w:vAlign w:val="center"/>
          </w:tcPr>
          <w:p w14:paraId="72B8FE2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c>
          <w:tcPr>
            <w:tcW w:w="501" w:type="dxa"/>
            <w:noWrap w:val="0"/>
            <w:vAlign w:val="top"/>
          </w:tcPr>
          <w:p w14:paraId="75BD168E">
            <w:pPr>
              <w:adjustRightInd w:val="0"/>
              <w:snapToGrid w:val="0"/>
              <w:spacing w:line="360" w:lineRule="auto"/>
              <w:ind w:firstLine="480" w:firstLineChars="200"/>
              <w:rPr>
                <w:rFonts w:hint="eastAsia" w:ascii="宋体" w:hAnsi="宋体" w:eastAsia="宋体" w:cs="宋体"/>
                <w:color w:val="auto"/>
                <w:sz w:val="24"/>
                <w:szCs w:val="24"/>
                <w:highlight w:val="none"/>
              </w:rPr>
            </w:pPr>
          </w:p>
        </w:tc>
      </w:tr>
    </w:tbl>
    <w:p w14:paraId="0521E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outlineLvl w:val="9"/>
        <w:rPr>
          <w:rFonts w:hint="eastAsia" w:ascii="宋体" w:hAnsi="宋体" w:eastAsia="宋体" w:cs="宋体"/>
        </w:rPr>
      </w:pPr>
      <w:r>
        <w:rPr>
          <w:rFonts w:hint="eastAsia" w:ascii="宋体" w:hAnsi="宋体" w:eastAsia="宋体" w:cs="宋体"/>
          <w:sz w:val="24"/>
          <w:highlight w:val="none"/>
        </w:rPr>
        <w:t>注：磋商文件没有规定的评审标准不得作为评审依据。</w:t>
      </w:r>
      <w:r>
        <w:rPr>
          <w:rFonts w:hint="eastAsia" w:ascii="宋体" w:hAnsi="宋体" w:eastAsia="宋体" w:cs="宋体"/>
          <w:sz w:val="24"/>
          <w:highlight w:val="none"/>
        </w:rPr>
        <w:br w:type="page"/>
      </w:r>
    </w:p>
    <w:p w14:paraId="0AB69B13">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b/>
          <w:snapToGrid w:val="0"/>
          <w:kern w:val="0"/>
          <w:sz w:val="32"/>
          <w:szCs w:val="32"/>
          <w:highlight w:val="none"/>
        </w:rPr>
      </w:pPr>
      <w:bookmarkStart w:id="103" w:name="_Toc18500"/>
      <w:bookmarkStart w:id="104" w:name="_Toc18228"/>
      <w:bookmarkStart w:id="105" w:name="_Toc19737"/>
      <w:bookmarkStart w:id="106" w:name="_Toc31416"/>
      <w:r>
        <w:rPr>
          <w:rFonts w:hint="eastAsia" w:ascii="宋体" w:hAnsi="宋体" w:eastAsia="宋体" w:cs="宋体"/>
          <w:b/>
          <w:snapToGrid w:val="0"/>
          <w:kern w:val="0"/>
          <w:sz w:val="32"/>
          <w:szCs w:val="32"/>
          <w:highlight w:val="none"/>
        </w:rPr>
        <w:t>第五部分  商务、技术要求</w:t>
      </w:r>
      <w:bookmarkEnd w:id="103"/>
      <w:bookmarkEnd w:id="104"/>
      <w:bookmarkEnd w:id="105"/>
      <w:bookmarkEnd w:id="106"/>
    </w:p>
    <w:p w14:paraId="4B61E59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eastAsia="zh-CN"/>
        </w:rPr>
      </w:pPr>
      <w:bookmarkStart w:id="107" w:name="_Toc25410"/>
      <w:bookmarkStart w:id="108" w:name="_Toc31043"/>
      <w:bookmarkStart w:id="109" w:name="_Toc29120"/>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项目名称：</w:t>
      </w:r>
      <w:r>
        <w:rPr>
          <w:rFonts w:hint="eastAsia" w:ascii="宋体" w:hAnsi="宋体" w:eastAsia="宋体" w:cs="宋体"/>
          <w:sz w:val="24"/>
          <w:highlight w:val="none"/>
          <w:lang w:eastAsia="zh-CN"/>
        </w:rPr>
        <w:t>2026年省级财政残疾人事业转移支付残疾人居家托养服务项目</w:t>
      </w:r>
    </w:p>
    <w:p w14:paraId="704980C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2.合同履行期限：自签订合同之日起至2026年11月结束</w:t>
      </w:r>
    </w:p>
    <w:p w14:paraId="67B3668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3.项目编号：1404282026CCS00018</w:t>
      </w:r>
    </w:p>
    <w:p w14:paraId="22D5682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4.预算金额：</w:t>
      </w:r>
      <w:r>
        <w:rPr>
          <w:rFonts w:hint="eastAsia" w:ascii="宋体" w:hAnsi="宋体" w:eastAsia="宋体" w:cs="宋体"/>
          <w:color w:val="000000"/>
          <w:sz w:val="24"/>
          <w:szCs w:val="24"/>
          <w:lang w:val="en-US" w:eastAsia="zh-CN"/>
        </w:rPr>
        <w:t>360000元</w:t>
      </w:r>
    </w:p>
    <w:p w14:paraId="7EB8691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5.服务内容：</w:t>
      </w:r>
    </w:p>
    <w:p w14:paraId="506239E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w:t>
      </w:r>
      <w:r>
        <w:rPr>
          <w:rFonts w:hint="eastAsia" w:ascii="宋体" w:hAnsi="宋体" w:cs="宋体"/>
          <w:color w:val="000000"/>
          <w:sz w:val="24"/>
          <w:szCs w:val="24"/>
          <w:lang w:val="en-US" w:eastAsia="zh-CN"/>
        </w:rPr>
        <w:t>服务对象</w:t>
      </w:r>
    </w:p>
    <w:p w14:paraId="3AECAEB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(一)托养服务对象范围</w:t>
      </w:r>
    </w:p>
    <w:p w14:paraId="3115706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山西省户籍，就业年龄段内(16一59周岁)，且持有《中华人民共和国残疾人证》的智力、精神和重度肢体残疾人(包括同时存在智力或精神残疾的多重残疾人)。有条件的市、县(市、区)，可自筹资金扩大服务对象覆盖范围。</w:t>
      </w:r>
    </w:p>
    <w:p w14:paraId="3AEC70E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(二)不得纳入的托养服务对象</w:t>
      </w:r>
    </w:p>
    <w:p w14:paraId="560AD7A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有下列情形之一的不得纳入托养服务对象:</w:t>
      </w:r>
    </w:p>
    <w:p w14:paraId="46790DD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1.由国家供养在敬老院、福利院等及其它福利性机构的。</w:t>
      </w:r>
    </w:p>
    <w:p w14:paraId="64F68C3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2.纳入城乡特困范围内的。</w:t>
      </w:r>
    </w:p>
    <w:p w14:paraId="159B865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3.正在医疗、康复机构接受治疗和康复训练的。</w:t>
      </w:r>
    </w:p>
    <w:p w14:paraId="34867FC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(三)优先享受托养服务对象:</w:t>
      </w:r>
    </w:p>
    <w:p w14:paraId="725FCAB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在托养服务对象范围内且具备以下条件的，优先享受托养服务:</w:t>
      </w:r>
    </w:p>
    <w:p w14:paraId="27B9D99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1.登记在全国残疾人基本服务状况和需求信息动态更新数据库中有需求的残疾人。</w:t>
      </w:r>
    </w:p>
    <w:p w14:paraId="77DEF9C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2.城乡低保户、防返贫监测对象、低收入家庭中的残疾人及同时存在智力或精神残疾的多重残疾人。</w:t>
      </w:r>
    </w:p>
    <w:p w14:paraId="78516BC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3.没有接受过托养服务的残疾人。</w:t>
      </w:r>
    </w:p>
    <w:p w14:paraId="1CDC100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二、补助标准</w:t>
      </w:r>
    </w:p>
    <w:p w14:paraId="223BA5A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残疾人托养服务项目补助标准为4000元/人/年，通过政府购买确定的承接服务机构，要坚持“爱心价+市场价”的原则，项目实施单项服务价格不得高于当地政府标定价格、市场价格。</w:t>
      </w:r>
    </w:p>
    <w:p w14:paraId="5074C7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三、承接服务机构</w:t>
      </w:r>
    </w:p>
    <w:p w14:paraId="51051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承接服务机构必须具备相应的服务能力，依法在民政部门登记成立或经国务院批准免予登记的社会组织，以及依法在工商管理及其他部门登记成立的企业、机构等社会力量，包括各级残联所属的服务残疾人机构(包括残疾人辅助性就业机构、残疾人职业技能培训机构、残疾人就业孵化基地等)社会组织等。</w:t>
      </w:r>
    </w:p>
    <w:p w14:paraId="0C8834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各级残联要按照当地有关规定，采取政府购买服务方式，确定承接服务机构。鼓励各地探索一次购买，连续服务的模式，避免每年政府购买服务程序繁琐，影响项目实施进度和资源浪费等问题，不断提升残疾人托养服务效率和稳定性。</w:t>
      </w:r>
    </w:p>
    <w:p w14:paraId="400DE5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(三)承接服务机构要在确保服务标准(4000元/人/年)不降低的前提下，对服务次数、服务质量、服务效果等进行综合评价，优中选优，不得采用低价中标的方式确定承接服务机构。</w:t>
      </w:r>
    </w:p>
    <w:p w14:paraId="5A0F94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四、建立服务档案</w:t>
      </w:r>
    </w:p>
    <w:p w14:paraId="0207CF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承接服务机构要按照“一人一档”原则，根据不同服务形式要求，为受助对象建立服务档案。服务期间档案由服务机构保存使用，服务结束后将服务对象档案统一移交至县级残联长久留存。鼓励各地使用电子服务档案，通过智能化平台实现服务需求精准化、服务供给专业化、服务监管可视化、服务评价闭环化，实现服务机构与监管部门实时监控、齐抓共管的新模式。</w:t>
      </w:r>
    </w:p>
    <w:p w14:paraId="7CF66F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五、资金使用管理</w:t>
      </w:r>
    </w:p>
    <w:p w14:paraId="5263D9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资金拨付流程。双方签订服务协议后20个工作日内支付项目总价的50%作为项目启动经费;服务进行到中期(按照合同规定的服务时间)，支付实际服务人数总价30%;托养服务结束后，县级残联、县级残联联合财政部门或聘请第三方进行绩效评价，评价过程中，需对50%以上服务对象或其监护人进行随机满意度测评，综合评分达到80分(含)以上。绩效评价合格且资金清算完成后，按实际服务人数据实拨付剩余资</w:t>
      </w:r>
    </w:p>
    <w:p w14:paraId="761D04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资金使用标准。服务项目单项补贴标准以政府采购服务签订的合同(协议)为准，坚持“按质按量、据实结算”，确保服务内容、实施标准与资金使用方向、金额精准匹配，严禁擅自调整资金用途、扩大开支范围或改变资金使用标准。(三)监督检查与风险防控。建立常态化资金监督检查机制，强化全过程风险防控。各级残联应定期对资金使用情况进行指导检查或专项督导，及时发现并纠正苗头性、倾向性问题。对检查中发现的一般性问题，要求相关单位限期整改并提交整改报告，形成闭环管理;对情节严重或拒不整改的，依法依规采取暂停资金拨付、追回违规资金等措施，并严肃追究相关责任，确保项目资金专款专用。</w:t>
      </w:r>
    </w:p>
    <w:p w14:paraId="3667D8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承接服务机构:购买服务相关资料、托养服务合同(协议)、跟踪随访记录及服务过程监督、服务评价、政策宣传、回访记录、机构服务人员培训档案等资料。</w:t>
      </w:r>
    </w:p>
    <w:p w14:paraId="0942C2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bookmarkStart w:id="110" w:name="_Toc17947"/>
      <w:r>
        <w:rPr>
          <w:rFonts w:hint="eastAsia" w:ascii="宋体" w:hAnsi="宋体" w:cs="宋体"/>
          <w:sz w:val="24"/>
          <w:szCs w:val="24"/>
          <w:lang w:val="en-US" w:eastAsia="zh-CN"/>
        </w:rPr>
        <w:t>六、有关要求</w:t>
      </w:r>
    </w:p>
    <w:p w14:paraId="1A6C26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健全工作机制，构建服务网络。坚持“政府主导、部门负责、社会参与、共同监督”的原则，有效整合民间资本、社会力量与政府公共资源，着力构建经办主体多元化、服务形式多样化、运行机制公益化的残疾人托养服务体系。各级残联主动与当地财政部门沟通协作，确保项目资金按时足额拨付到位。</w:t>
      </w:r>
    </w:p>
    <w:p w14:paraId="417304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规范项目标识，强化品牌宣传。所有项目执行机构均须在服务场所、宣传材料等显著位置标明中央资金或者省级资金项目标识。各级残联应充分利用各类媒体平台，广泛宣传项目的服务内容、申请条件、申请程序及资助标准，全面提升社会知晓度和影响力。</w:t>
      </w:r>
    </w:p>
    <w:p w14:paraId="0188D3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(三)严格对象筛选，规范服务流程。各级残联须严格按</w:t>
      </w:r>
    </w:p>
    <w:p w14:paraId="6A349C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照受助对象条件与流程进行筛选，确保公平公正。要指导并监督服务机构落实规范化建设、标准化服务和专业人员培训。建立定期回访制度，完善工作记录，对发现的问题及时督导整改，确保服务质量。</w:t>
      </w:r>
    </w:p>
    <w:p w14:paraId="669903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(四)结合本地情况，细化实施方案。各市、县(市、区)残联应结合本地实际情况，制定具体的实施细则，明确服务内容、服务价格、质量标准和考核指标，确保方案的可操作性和实效性。</w:t>
      </w:r>
    </w:p>
    <w:p w14:paraId="4D31F4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加强人员培训，确保项目规范实施。市级残联每年针对承接托养服务机构的管理人员、县级残联项目负责人举办一次专业化培训，深入学习相关政策精神、研究解决项目实施中的难题，不断提升服务残疾人的能力和水平。</w:t>
      </w:r>
    </w:p>
    <w:p w14:paraId="62BF7B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snapToGrid w:val="0"/>
          <w:kern w:val="0"/>
          <w:sz w:val="32"/>
          <w:szCs w:val="32"/>
          <w:highlight w:val="none"/>
        </w:rPr>
      </w:pPr>
    </w:p>
    <w:p w14:paraId="3C7978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snapToGrid w:val="0"/>
          <w:kern w:val="0"/>
          <w:sz w:val="32"/>
          <w:szCs w:val="32"/>
          <w:highlight w:val="none"/>
        </w:rPr>
      </w:pPr>
    </w:p>
    <w:p w14:paraId="27BBF5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snapToGrid w:val="0"/>
          <w:kern w:val="0"/>
          <w:sz w:val="32"/>
          <w:szCs w:val="32"/>
          <w:highlight w:val="none"/>
        </w:rPr>
      </w:pPr>
    </w:p>
    <w:p w14:paraId="4F678F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pacing w:val="20"/>
          <w:sz w:val="36"/>
          <w:szCs w:val="36"/>
          <w:highlight w:val="none"/>
        </w:rPr>
      </w:pPr>
      <w:r>
        <w:rPr>
          <w:rFonts w:hint="eastAsia" w:ascii="宋体" w:hAnsi="宋体" w:eastAsia="宋体" w:cs="宋体"/>
          <w:b/>
          <w:snapToGrid w:val="0"/>
          <w:kern w:val="0"/>
          <w:sz w:val="32"/>
          <w:szCs w:val="32"/>
          <w:highlight w:val="none"/>
        </w:rPr>
        <w:t>第六部分  采购合同范本</w:t>
      </w:r>
      <w:bookmarkEnd w:id="107"/>
      <w:bookmarkEnd w:id="108"/>
      <w:bookmarkEnd w:id="109"/>
      <w:bookmarkEnd w:id="110"/>
    </w:p>
    <w:p w14:paraId="30CB1414">
      <w:pPr>
        <w:widowControl/>
        <w:snapToGrid w:val="0"/>
        <w:spacing w:line="360" w:lineRule="auto"/>
        <w:rPr>
          <w:rFonts w:hint="eastAsia" w:ascii="宋体" w:hAnsi="宋体" w:eastAsia="宋体" w:cs="宋体"/>
          <w:b/>
          <w:bCs/>
          <w:kern w:val="0"/>
          <w:szCs w:val="21"/>
          <w:highlight w:val="none"/>
        </w:rPr>
      </w:pPr>
      <w:bookmarkStart w:id="111" w:name="_Toc15226"/>
      <w:bookmarkStart w:id="112" w:name="_Toc17118"/>
      <w:bookmarkStart w:id="113" w:name="_Toc8473"/>
    </w:p>
    <w:p w14:paraId="2B9404E0">
      <w:pPr>
        <w:spacing w:line="360" w:lineRule="auto"/>
        <w:rPr>
          <w:rFonts w:hint="eastAsia" w:ascii="宋体" w:hAnsi="宋体" w:eastAsia="宋体" w:cs="宋体"/>
          <w:b/>
          <w:bCs/>
          <w:color w:val="auto"/>
          <w:sz w:val="24"/>
          <w:szCs w:val="24"/>
          <w:highlight w:val="none"/>
        </w:rPr>
      </w:pPr>
    </w:p>
    <w:p w14:paraId="01479B6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甲方： </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 xml:space="preserve"> </w:t>
      </w:r>
    </w:p>
    <w:p w14:paraId="0059C167">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地址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 xml:space="preserve"> </w:t>
      </w:r>
    </w:p>
    <w:p w14:paraId="4054861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乙方: </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 xml:space="preserve"> </w:t>
      </w:r>
    </w:p>
    <w:p w14:paraId="3DAB6987">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地址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75F455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根据《中华人民共和国民法典》《中华人民共和国政府采购法》等相关规定，明确双方的权利义务，甲乙双方在平等、自愿、协商一致的基础上，现就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（项目名称）达成如下合同，以兹共同遵守：</w:t>
      </w:r>
    </w:p>
    <w:p w14:paraId="1861FA6F">
      <w:pPr>
        <w:spacing w:line="360" w:lineRule="auto"/>
        <w:ind w:firstLine="482" w:firstLineChars="200"/>
        <w:rPr>
          <w:rFonts w:hint="eastAsia" w:ascii="宋体" w:hAnsi="宋体" w:eastAsia="宋体" w:cs="宋体"/>
          <w:b/>
          <w:bCs/>
          <w:color w:val="auto"/>
          <w:sz w:val="24"/>
          <w:szCs w:val="24"/>
          <w:highlight w:val="none"/>
        </w:rPr>
      </w:pPr>
      <w:bookmarkStart w:id="114" w:name="bookmark16"/>
      <w:r>
        <w:rPr>
          <w:rFonts w:hint="eastAsia" w:ascii="宋体" w:hAnsi="宋体" w:eastAsia="宋体" w:cs="宋体"/>
          <w:b/>
          <w:bCs/>
          <w:color w:val="auto"/>
          <w:sz w:val="24"/>
          <w:szCs w:val="24"/>
          <w:highlight w:val="none"/>
        </w:rPr>
        <w:t>—、项目名称及内容</w:t>
      </w:r>
    </w:p>
    <w:p w14:paraId="549BF64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sz w:val="24"/>
          <w:szCs w:val="24"/>
          <w:highlight w:val="none"/>
          <w:lang w:val="en-US" w:eastAsia="zh-CN"/>
        </w:rPr>
        <w:t xml:space="preserve">                                         。</w:t>
      </w:r>
    </w:p>
    <w:p w14:paraId="2F087C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（二）项目内容：</w:t>
      </w:r>
      <w:r>
        <w:rPr>
          <w:rFonts w:hint="eastAsia" w:ascii="宋体" w:hAnsi="宋体" w:eastAsia="宋体" w:cs="宋体"/>
          <w:color w:val="auto"/>
          <w:sz w:val="24"/>
          <w:szCs w:val="24"/>
          <w:highlight w:val="none"/>
          <w:lang w:val="en-US" w:eastAsia="zh-CN"/>
        </w:rPr>
        <w:t xml:space="preserve">                                 。</w:t>
      </w:r>
    </w:p>
    <w:p w14:paraId="770BDFC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二、服务项目及要求</w:t>
      </w:r>
    </w:p>
    <w:p w14:paraId="1E15B9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（一）服务对象：</w:t>
      </w:r>
      <w:r>
        <w:rPr>
          <w:rFonts w:hint="eastAsia" w:ascii="宋体" w:hAnsi="宋体" w:eastAsia="宋体" w:cs="宋体"/>
          <w:color w:val="auto"/>
          <w:sz w:val="24"/>
          <w:szCs w:val="24"/>
          <w:highlight w:val="none"/>
          <w:lang w:val="en-US" w:eastAsia="zh-CN"/>
        </w:rPr>
        <w:t xml:space="preserve">                                          。</w:t>
      </w:r>
    </w:p>
    <w:p w14:paraId="2722B1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（二）合同期限：</w:t>
      </w:r>
    </w:p>
    <w:p w14:paraId="212371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合同期限</w:t>
      </w:r>
      <w:r>
        <w:rPr>
          <w:rFonts w:hint="eastAsia" w:ascii="宋体" w:hAnsi="宋体" w:eastAsia="宋体" w:cs="宋体"/>
          <w:color w:val="auto"/>
          <w:sz w:val="24"/>
          <w:szCs w:val="24"/>
          <w:highlight w:val="none"/>
          <w:lang w:val="en-US" w:eastAsia="zh-CN"/>
        </w:rPr>
        <w:t>为     年（月/日），</w:t>
      </w:r>
      <w:r>
        <w:rPr>
          <w:rFonts w:hint="eastAsia" w:ascii="宋体" w:hAnsi="宋体" w:eastAsia="宋体" w:cs="宋体"/>
          <w:color w:val="auto"/>
          <w:sz w:val="24"/>
          <w:szCs w:val="24"/>
          <w:highlight w:val="none"/>
        </w:rPr>
        <w:t xml:space="preserve">自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日起至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日止。</w:t>
      </w:r>
    </w:p>
    <w:p w14:paraId="3A5841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服务时间：</w:t>
      </w:r>
    </w:p>
    <w:p w14:paraId="2575B8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日起至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日止。</w:t>
      </w:r>
    </w:p>
    <w:bookmarkEnd w:id="114"/>
    <w:p w14:paraId="74A06F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数量：</w:t>
      </w:r>
    </w:p>
    <w:p w14:paraId="116740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（五）服务</w:t>
      </w:r>
      <w:r>
        <w:rPr>
          <w:rFonts w:hint="eastAsia" w:ascii="宋体" w:hAnsi="宋体" w:eastAsia="宋体" w:cs="宋体"/>
          <w:color w:val="auto"/>
          <w:sz w:val="24"/>
          <w:szCs w:val="24"/>
          <w:highlight w:val="none"/>
        </w:rPr>
        <w:t>标准：</w:t>
      </w:r>
      <w:bookmarkStart w:id="115" w:name="bookmark17"/>
    </w:p>
    <w:bookmarkEnd w:id="115"/>
    <w:p w14:paraId="6BDEF2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提供服务的地点：</w:t>
      </w:r>
      <w:bookmarkStart w:id="116" w:name="bookmark18"/>
    </w:p>
    <w:bookmarkEnd w:id="116"/>
    <w:p w14:paraId="3B8D64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提供服务的形式：</w:t>
      </w:r>
    </w:p>
    <w:p w14:paraId="638D2061">
      <w:pPr>
        <w:spacing w:line="360" w:lineRule="auto"/>
        <w:ind w:firstLine="482" w:firstLineChars="200"/>
        <w:rPr>
          <w:rFonts w:hint="eastAsia" w:ascii="宋体" w:hAnsi="宋体" w:eastAsia="宋体" w:cs="宋体"/>
          <w:b/>
          <w:bCs/>
          <w:color w:val="auto"/>
          <w:sz w:val="24"/>
          <w:szCs w:val="24"/>
          <w:highlight w:val="none"/>
        </w:rPr>
      </w:pPr>
      <w:bookmarkStart w:id="117" w:name="bookmark21"/>
      <w:bookmarkStart w:id="118" w:name="bookmark20"/>
      <w:bookmarkStart w:id="119" w:name="bookmark19"/>
      <w:bookmarkStart w:id="120" w:name="bookmark22"/>
      <w:r>
        <w:rPr>
          <w:rFonts w:hint="eastAsia" w:ascii="宋体" w:hAnsi="宋体" w:eastAsia="宋体" w:cs="宋体"/>
          <w:b/>
          <w:bCs/>
          <w:color w:val="auto"/>
          <w:sz w:val="24"/>
          <w:szCs w:val="24"/>
          <w:highlight w:val="none"/>
        </w:rPr>
        <w:t>三</w:t>
      </w:r>
      <w:bookmarkEnd w:id="117"/>
      <w:r>
        <w:rPr>
          <w:rFonts w:hint="eastAsia" w:ascii="宋体" w:hAnsi="宋体" w:eastAsia="宋体" w:cs="宋体"/>
          <w:b/>
          <w:bCs/>
          <w:color w:val="auto"/>
          <w:sz w:val="24"/>
          <w:szCs w:val="24"/>
          <w:highlight w:val="none"/>
        </w:rPr>
        <w:t>、合同金额</w:t>
      </w:r>
      <w:bookmarkEnd w:id="118"/>
      <w:bookmarkEnd w:id="119"/>
      <w:bookmarkEnd w:id="120"/>
    </w:p>
    <w:p w14:paraId="25E284D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本合同服务费总金额为人民币（大写）: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6838BEB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付款方式</w:t>
      </w:r>
    </w:p>
    <w:p w14:paraId="4588C03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甲乙双方协商一致，采取以下第（  ）种付款方式：</w:t>
      </w:r>
    </w:p>
    <w:p w14:paraId="34088151">
      <w:pPr>
        <w:spacing w:line="360" w:lineRule="auto"/>
        <w:ind w:firstLine="480" w:firstLineChars="200"/>
        <w:rPr>
          <w:rFonts w:hint="eastAsia" w:ascii="宋体" w:hAnsi="宋体" w:eastAsia="宋体" w:cs="宋体"/>
          <w:color w:val="auto"/>
          <w:sz w:val="24"/>
          <w:szCs w:val="24"/>
          <w:highlight w:val="none"/>
          <w:lang w:val="en-US" w:eastAsia="zh-CN"/>
        </w:rPr>
      </w:pPr>
      <w:bookmarkStart w:id="121" w:name="bookmark24"/>
      <w:r>
        <w:rPr>
          <w:rFonts w:hint="eastAsia" w:ascii="宋体" w:hAnsi="宋体" w:eastAsia="宋体" w:cs="宋体"/>
          <w:color w:val="auto"/>
          <w:sz w:val="24"/>
          <w:szCs w:val="24"/>
          <w:highlight w:val="none"/>
          <w:lang w:val="en-US" w:eastAsia="zh-CN"/>
        </w:rPr>
        <w:t>1、一次性付款：</w:t>
      </w:r>
    </w:p>
    <w:p w14:paraId="0135A1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乙方履约完毕经甲方验收合格后    日内，一次性支付全部服务费。</w:t>
      </w:r>
    </w:p>
    <w:p w14:paraId="59CE58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2、分期支付：</w:t>
      </w:r>
      <w:bookmarkEnd w:id="121"/>
    </w:p>
    <w:p w14:paraId="344DB81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（1）按年/按季度/按月支付等额的服务费；</w:t>
      </w:r>
    </w:p>
    <w:p w14:paraId="44E899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（2）合同签订后      日内，甲方向乙方支付      元（或合同总额的    %）；在交成果后     日内，支付服务费总额的       %；</w:t>
      </w:r>
    </w:p>
    <w:p w14:paraId="5CBBF5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（3）按进度支付服务费；</w:t>
      </w:r>
    </w:p>
    <w:p w14:paraId="697E24E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（本条款内容可根据服务内容予以细化）</w:t>
      </w:r>
    </w:p>
    <w:p w14:paraId="7B68343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（二）支付方式：</w:t>
      </w:r>
    </w:p>
    <w:p w14:paraId="49B766B7">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1.支付方式：银行转账。</w:t>
      </w:r>
    </w:p>
    <w:p w14:paraId="2D5DB30C">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2.乙方账户信息如下：</w:t>
      </w:r>
    </w:p>
    <w:p w14:paraId="144EBA37">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收款人名称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2A579251">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66F210ED">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147535AC">
      <w:pPr>
        <w:spacing w:line="360" w:lineRule="auto"/>
        <w:ind w:firstLine="482" w:firstLineChars="200"/>
        <w:rPr>
          <w:rFonts w:hint="eastAsia" w:ascii="宋体" w:hAnsi="宋体" w:eastAsia="宋体" w:cs="宋体"/>
          <w:b/>
          <w:bCs/>
          <w:color w:val="auto"/>
          <w:sz w:val="24"/>
          <w:szCs w:val="24"/>
          <w:highlight w:val="none"/>
        </w:rPr>
      </w:pPr>
      <w:bookmarkStart w:id="122" w:name="bookmark34"/>
      <w:bookmarkStart w:id="123" w:name="bookmark35"/>
      <w:bookmarkStart w:id="124" w:name="bookmark32"/>
      <w:bookmarkStart w:id="125" w:name="bookmark33"/>
      <w:r>
        <w:rPr>
          <w:rFonts w:hint="eastAsia" w:ascii="宋体" w:hAnsi="宋体" w:eastAsia="宋体" w:cs="宋体"/>
          <w:b/>
          <w:bCs/>
          <w:color w:val="auto"/>
          <w:sz w:val="24"/>
          <w:szCs w:val="24"/>
          <w:highlight w:val="none"/>
        </w:rPr>
        <w:t>五</w:t>
      </w:r>
      <w:bookmarkEnd w:id="122"/>
      <w:r>
        <w:rPr>
          <w:rFonts w:hint="eastAsia" w:ascii="宋体" w:hAnsi="宋体" w:eastAsia="宋体" w:cs="宋体"/>
          <w:b/>
          <w:bCs/>
          <w:color w:val="auto"/>
          <w:sz w:val="24"/>
          <w:szCs w:val="24"/>
          <w:highlight w:val="none"/>
        </w:rPr>
        <w:t>、绩效评价</w:t>
      </w:r>
      <w:bookmarkEnd w:id="123"/>
    </w:p>
    <w:p w14:paraId="17CAB353">
      <w:pPr>
        <w:spacing w:line="360" w:lineRule="auto"/>
        <w:ind w:firstLine="482" w:firstLineChars="200"/>
        <w:rPr>
          <w:rFonts w:hint="eastAsia" w:ascii="宋体" w:hAnsi="宋体" w:eastAsia="宋体" w:cs="宋体"/>
          <w:b/>
          <w:bCs/>
          <w:color w:val="auto"/>
          <w:sz w:val="24"/>
          <w:szCs w:val="24"/>
          <w:highlight w:val="none"/>
        </w:rPr>
      </w:pPr>
      <w:bookmarkStart w:id="126" w:name="bookmark36"/>
      <w:bookmarkStart w:id="127" w:name="bookmark37"/>
      <w:r>
        <w:rPr>
          <w:rFonts w:hint="eastAsia" w:ascii="宋体" w:hAnsi="宋体" w:eastAsia="宋体" w:cs="宋体"/>
          <w:b/>
          <w:bCs/>
          <w:color w:val="auto"/>
          <w:sz w:val="24"/>
          <w:szCs w:val="24"/>
          <w:highlight w:val="none"/>
        </w:rPr>
        <w:t>（</w:t>
      </w:r>
      <w:bookmarkEnd w:id="126"/>
      <w:r>
        <w:rPr>
          <w:rFonts w:hint="eastAsia" w:ascii="宋体" w:hAnsi="宋体" w:eastAsia="宋体" w:cs="宋体"/>
          <w:b/>
          <w:bCs/>
          <w:color w:val="auto"/>
          <w:sz w:val="24"/>
          <w:szCs w:val="24"/>
          <w:highlight w:val="none"/>
        </w:rPr>
        <w:t>一）服务质量绩效目标</w:t>
      </w:r>
      <w:bookmarkEnd w:id="124"/>
      <w:bookmarkEnd w:id="125"/>
      <w:bookmarkEnd w:id="127"/>
    </w:p>
    <w:p w14:paraId="24D1C060">
      <w:pPr>
        <w:spacing w:line="360" w:lineRule="auto"/>
        <w:ind w:firstLine="482" w:firstLineChars="200"/>
        <w:rPr>
          <w:rFonts w:hint="eastAsia" w:ascii="宋体" w:hAnsi="宋体" w:eastAsia="宋体" w:cs="宋体"/>
          <w:b/>
          <w:bCs/>
          <w:color w:val="auto"/>
          <w:sz w:val="24"/>
          <w:szCs w:val="24"/>
          <w:highlight w:val="none"/>
          <w:lang w:eastAsia="zh-CN"/>
        </w:rPr>
      </w:pPr>
      <w:bookmarkStart w:id="128" w:name="bookmark38"/>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总体目标</w:t>
      </w:r>
      <w:r>
        <w:rPr>
          <w:rFonts w:hint="eastAsia" w:ascii="宋体" w:hAnsi="宋体" w:eastAsia="宋体" w:cs="宋体"/>
          <w:b/>
          <w:bCs/>
          <w:color w:val="auto"/>
          <w:sz w:val="24"/>
          <w:szCs w:val="24"/>
          <w:highlight w:val="none"/>
          <w:lang w:eastAsia="zh-CN"/>
        </w:rPr>
        <w:t>）</w:t>
      </w:r>
    </w:p>
    <w:p w14:paraId="275B783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bookmarkEnd w:id="128"/>
      <w:r>
        <w:rPr>
          <w:rFonts w:hint="eastAsia" w:ascii="宋体" w:hAnsi="宋体" w:eastAsia="宋体" w:cs="宋体"/>
          <w:b/>
          <w:bCs/>
          <w:color w:val="auto"/>
          <w:sz w:val="24"/>
          <w:szCs w:val="24"/>
          <w:highlight w:val="none"/>
        </w:rPr>
        <w:t>二）服务质量评价指标</w:t>
      </w:r>
    </w:p>
    <w:p w14:paraId="7EFA21BC">
      <w:pPr>
        <w:spacing w:line="360" w:lineRule="auto"/>
        <w:ind w:firstLine="480" w:firstLineChars="200"/>
        <w:rPr>
          <w:rFonts w:hint="eastAsia" w:ascii="宋体" w:hAnsi="宋体" w:eastAsia="宋体" w:cs="宋体"/>
          <w:color w:val="auto"/>
          <w:sz w:val="24"/>
          <w:szCs w:val="24"/>
          <w:highlight w:val="none"/>
        </w:rPr>
      </w:pPr>
      <w:bookmarkStart w:id="129" w:name="bookmark39"/>
      <w:bookmarkEnd w:id="12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数量指标</w:t>
      </w:r>
    </w:p>
    <w:p w14:paraId="1A030C3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（具体指标）</w:t>
      </w:r>
    </w:p>
    <w:p w14:paraId="3E8B52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质量指标</w:t>
      </w:r>
    </w:p>
    <w:p w14:paraId="54EC9A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（具体指标）</w:t>
      </w:r>
    </w:p>
    <w:p w14:paraId="38105D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时效指标</w:t>
      </w:r>
    </w:p>
    <w:p w14:paraId="00D20E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（具体指标）</w:t>
      </w:r>
    </w:p>
    <w:p w14:paraId="31B93C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成本指标</w:t>
      </w:r>
    </w:p>
    <w:p w14:paraId="03BD7F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（具体指标）</w:t>
      </w:r>
    </w:p>
    <w:p w14:paraId="6BB22C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满意度指标</w:t>
      </w:r>
    </w:p>
    <w:p w14:paraId="42358DB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具体指标</w:t>
      </w:r>
      <w:r>
        <w:rPr>
          <w:rFonts w:hint="eastAsia" w:ascii="宋体" w:hAnsi="宋体" w:eastAsia="宋体" w:cs="宋体"/>
          <w:color w:val="auto"/>
          <w:sz w:val="24"/>
          <w:szCs w:val="24"/>
          <w:highlight w:val="none"/>
          <w:lang w:eastAsia="zh-CN"/>
        </w:rPr>
        <w:t>）</w:t>
      </w:r>
    </w:p>
    <w:p w14:paraId="51A717C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项目验收</w:t>
      </w:r>
      <w:bookmarkStart w:id="130" w:name="bookmark45"/>
    </w:p>
    <w:bookmarkEnd w:id="130"/>
    <w:p w14:paraId="1061009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验收内容</w:t>
      </w:r>
    </w:p>
    <w:p w14:paraId="752F01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结果应用</w:t>
      </w:r>
    </w:p>
    <w:p w14:paraId="119BD1F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具体载明评价指标验收结果与合同资金挂钩的约定等</w:t>
      </w:r>
      <w:r>
        <w:rPr>
          <w:rFonts w:hint="eastAsia" w:ascii="宋体" w:hAnsi="宋体" w:eastAsia="宋体" w:cs="宋体"/>
          <w:color w:val="auto"/>
          <w:sz w:val="24"/>
          <w:szCs w:val="24"/>
          <w:highlight w:val="none"/>
          <w:lang w:eastAsia="zh-CN"/>
        </w:rPr>
        <w:t>）</w:t>
      </w:r>
    </w:p>
    <w:p w14:paraId="631DE82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甲乙双方权责</w:t>
      </w:r>
    </w:p>
    <w:p w14:paraId="2BF39319">
      <w:pPr>
        <w:spacing w:line="360" w:lineRule="auto"/>
        <w:ind w:firstLine="480" w:firstLineChars="200"/>
        <w:rPr>
          <w:rFonts w:hint="eastAsia" w:ascii="宋体" w:hAnsi="宋体" w:eastAsia="宋体" w:cs="宋体"/>
          <w:color w:val="auto"/>
          <w:sz w:val="24"/>
          <w:szCs w:val="24"/>
          <w:highlight w:val="none"/>
          <w:lang w:val="en-US" w:eastAsia="zh-CN"/>
        </w:rPr>
      </w:pPr>
      <w:bookmarkStart w:id="131" w:name="bookmark13"/>
      <w:r>
        <w:rPr>
          <w:rFonts w:hint="eastAsia" w:ascii="宋体" w:hAnsi="宋体" w:eastAsia="宋体" w:cs="宋体"/>
          <w:color w:val="auto"/>
          <w:sz w:val="24"/>
          <w:szCs w:val="24"/>
          <w:highlight w:val="none"/>
          <w:lang w:val="en-US" w:eastAsia="zh-CN"/>
        </w:rPr>
        <w:t>（具体约定甲乙双方有关权责）</w:t>
      </w:r>
    </w:p>
    <w:bookmarkEnd w:id="131"/>
    <w:p w14:paraId="3CF4E70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合同的变更、终止和解除</w:t>
      </w:r>
      <w:bookmarkStart w:id="132" w:name="bookmark49"/>
    </w:p>
    <w:p w14:paraId="5EDF4F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End w:id="132"/>
      <w:r>
        <w:rPr>
          <w:rFonts w:hint="eastAsia" w:ascii="宋体" w:hAnsi="宋体" w:eastAsia="宋体" w:cs="宋体"/>
          <w:color w:val="auto"/>
          <w:sz w:val="24"/>
          <w:szCs w:val="24"/>
          <w:highlight w:val="none"/>
        </w:rPr>
        <w:t>一）本合同未尽事宜，经双方协商可签订补充协议，补充协议与本合同具有同等法律效力，约定不同的，以补充协议为准。</w:t>
      </w:r>
      <w:bookmarkStart w:id="133" w:name="bookmark50"/>
    </w:p>
    <w:p w14:paraId="582772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End w:id="133"/>
      <w:r>
        <w:rPr>
          <w:rFonts w:hint="eastAsia" w:ascii="宋体" w:hAnsi="宋体" w:eastAsia="宋体" w:cs="宋体"/>
          <w:color w:val="auto"/>
          <w:sz w:val="24"/>
          <w:szCs w:val="24"/>
          <w:highlight w:val="none"/>
        </w:rPr>
        <w:t>二）因发生不可抗力等原因导致本合同无法履行或</w:t>
      </w:r>
      <w:r>
        <w:rPr>
          <w:rFonts w:hint="eastAsia" w:ascii="宋体" w:hAnsi="宋体" w:eastAsia="宋体" w:cs="宋体"/>
          <w:color w:val="auto"/>
          <w:sz w:val="24"/>
          <w:szCs w:val="24"/>
          <w:highlight w:val="none"/>
          <w:lang w:eastAsia="zh-CN"/>
        </w:rPr>
        <w:t>无法</w:t>
      </w:r>
      <w:r>
        <w:rPr>
          <w:rFonts w:hint="eastAsia" w:ascii="宋体" w:hAnsi="宋体" w:eastAsia="宋体" w:cs="宋体"/>
          <w:color w:val="auto"/>
          <w:sz w:val="24"/>
          <w:szCs w:val="24"/>
          <w:highlight w:val="none"/>
        </w:rPr>
        <w:t>继续履行的必要的，双方可协商解除合同且互不承担违约责任。除上述约定外，任何一方不得擅自解除本合同。</w:t>
      </w:r>
    </w:p>
    <w:p w14:paraId="772D6CA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若合同存在附条件生效的条款，应予以载明</w:t>
      </w:r>
      <w:r>
        <w:rPr>
          <w:rFonts w:hint="eastAsia" w:ascii="宋体" w:hAnsi="宋体" w:eastAsia="宋体" w:cs="宋体"/>
          <w:color w:val="auto"/>
          <w:sz w:val="24"/>
          <w:szCs w:val="24"/>
          <w:highlight w:val="none"/>
          <w:lang w:eastAsia="zh-CN"/>
        </w:rPr>
        <w:t>）</w:t>
      </w:r>
    </w:p>
    <w:p w14:paraId="584EFA5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p>
    <w:p w14:paraId="09B17E37">
      <w:pPr>
        <w:spacing w:line="360" w:lineRule="auto"/>
        <w:ind w:firstLine="482" w:firstLineChars="200"/>
        <w:rPr>
          <w:rFonts w:hint="eastAsia" w:ascii="宋体" w:hAnsi="宋体" w:eastAsia="宋体" w:cs="宋体"/>
          <w:b/>
          <w:bCs/>
          <w:color w:val="auto"/>
          <w:sz w:val="24"/>
          <w:szCs w:val="24"/>
          <w:highlight w:val="none"/>
        </w:rPr>
      </w:pPr>
      <w:bookmarkStart w:id="134" w:name="bookmark55"/>
      <w:bookmarkStart w:id="135" w:name="bookmark53"/>
      <w:bookmarkStart w:id="136" w:name="bookmark54"/>
      <w:bookmarkStart w:id="137" w:name="bookmark56"/>
      <w:r>
        <w:rPr>
          <w:rFonts w:hint="eastAsia" w:ascii="宋体" w:hAnsi="宋体" w:eastAsia="宋体" w:cs="宋体"/>
          <w:b/>
          <w:bCs/>
          <w:color w:val="auto"/>
          <w:sz w:val="24"/>
          <w:szCs w:val="24"/>
          <w:highlight w:val="none"/>
        </w:rPr>
        <w:t>九</w:t>
      </w:r>
      <w:bookmarkEnd w:id="134"/>
      <w:r>
        <w:rPr>
          <w:rFonts w:hint="eastAsia" w:ascii="宋体" w:hAnsi="宋体" w:eastAsia="宋体" w:cs="宋体"/>
          <w:b/>
          <w:bCs/>
          <w:color w:val="auto"/>
          <w:sz w:val="24"/>
          <w:szCs w:val="24"/>
          <w:highlight w:val="none"/>
        </w:rPr>
        <w:t>、知识产权</w:t>
      </w:r>
      <w:bookmarkEnd w:id="135"/>
      <w:bookmarkEnd w:id="136"/>
      <w:bookmarkEnd w:id="137"/>
    </w:p>
    <w:p w14:paraId="35199B43">
      <w:pPr>
        <w:spacing w:line="360" w:lineRule="auto"/>
        <w:ind w:firstLine="480" w:firstLineChars="200"/>
        <w:rPr>
          <w:rFonts w:hint="eastAsia" w:ascii="宋体" w:hAnsi="宋体" w:eastAsia="宋体" w:cs="宋体"/>
          <w:color w:val="auto"/>
          <w:sz w:val="24"/>
          <w:szCs w:val="24"/>
          <w:highlight w:val="none"/>
        </w:rPr>
      </w:pPr>
      <w:bookmarkStart w:id="138" w:name="bookmark57"/>
      <w:r>
        <w:rPr>
          <w:rFonts w:hint="eastAsia" w:ascii="宋体" w:hAnsi="宋体" w:eastAsia="宋体" w:cs="宋体"/>
          <w:color w:val="auto"/>
          <w:sz w:val="24"/>
          <w:szCs w:val="24"/>
          <w:highlight w:val="none"/>
        </w:rPr>
        <w:t>（</w:t>
      </w:r>
      <w:bookmarkEnd w:id="138"/>
      <w:r>
        <w:rPr>
          <w:rFonts w:hint="eastAsia" w:ascii="宋体" w:hAnsi="宋体" w:eastAsia="宋体" w:cs="宋体"/>
          <w:color w:val="auto"/>
          <w:sz w:val="24"/>
          <w:szCs w:val="24"/>
          <w:highlight w:val="none"/>
        </w:rPr>
        <w:t>一）乙方保证甲方在使用成交服务时，不承担任何涉及知识产权法律诉讼的责任。</w:t>
      </w:r>
    </w:p>
    <w:p w14:paraId="0AB9C841">
      <w:pPr>
        <w:spacing w:line="360" w:lineRule="auto"/>
        <w:ind w:firstLine="480" w:firstLineChars="200"/>
        <w:rPr>
          <w:rFonts w:hint="eastAsia" w:ascii="宋体" w:hAnsi="宋体" w:eastAsia="宋体" w:cs="宋体"/>
          <w:color w:val="auto"/>
          <w:sz w:val="24"/>
          <w:szCs w:val="24"/>
          <w:highlight w:val="none"/>
        </w:rPr>
      </w:pPr>
      <w:bookmarkStart w:id="139" w:name="bookmark58"/>
      <w:r>
        <w:rPr>
          <w:rFonts w:hint="eastAsia" w:ascii="宋体" w:hAnsi="宋体" w:eastAsia="宋体" w:cs="宋体"/>
          <w:color w:val="auto"/>
          <w:sz w:val="24"/>
          <w:szCs w:val="24"/>
          <w:highlight w:val="none"/>
        </w:rPr>
        <w:t>（</w:t>
      </w:r>
      <w:bookmarkEnd w:id="139"/>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 损失，乙方应负法律责任，甲方有权依法向乙方索赔并追究责任。</w:t>
      </w:r>
    </w:p>
    <w:p w14:paraId="21C966C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p>
    <w:p w14:paraId="52F04159">
      <w:pPr>
        <w:spacing w:line="360" w:lineRule="auto"/>
        <w:ind w:firstLine="482" w:firstLineChars="200"/>
        <w:rPr>
          <w:rFonts w:hint="eastAsia" w:ascii="宋体" w:hAnsi="宋体" w:eastAsia="宋体" w:cs="宋体"/>
          <w:b/>
          <w:bCs/>
          <w:color w:val="auto"/>
          <w:sz w:val="24"/>
          <w:szCs w:val="24"/>
          <w:highlight w:val="none"/>
        </w:rPr>
      </w:pPr>
      <w:bookmarkStart w:id="140" w:name="bookmark60"/>
      <w:bookmarkStart w:id="141" w:name="bookmark62"/>
      <w:bookmarkStart w:id="142" w:name="bookmark61"/>
      <w:r>
        <w:rPr>
          <w:rFonts w:hint="eastAsia" w:ascii="宋体" w:hAnsi="宋体" w:eastAsia="宋体" w:cs="宋体"/>
          <w:b/>
          <w:bCs/>
          <w:color w:val="auto"/>
          <w:sz w:val="24"/>
          <w:szCs w:val="24"/>
          <w:highlight w:val="none"/>
        </w:rPr>
        <w:t>十、违约责任</w:t>
      </w:r>
      <w:bookmarkEnd w:id="140"/>
      <w:bookmarkEnd w:id="141"/>
      <w:bookmarkEnd w:id="142"/>
    </w:p>
    <w:p w14:paraId="3363B2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18C16A2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r>
        <w:rPr>
          <w:rFonts w:hint="eastAsia" w:ascii="宋体" w:hAnsi="宋体" w:eastAsia="宋体" w:cs="宋体"/>
          <w:color w:val="auto"/>
          <w:sz w:val="24"/>
          <w:szCs w:val="24"/>
          <w:highlight w:val="none"/>
          <w:lang w:eastAsia="zh-CN"/>
        </w:rPr>
        <w:t>）</w:t>
      </w:r>
    </w:p>
    <w:p w14:paraId="4E22E64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十一、保密条款</w:t>
      </w:r>
    </w:p>
    <w:p w14:paraId="5B8A08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乙方及其项目参加人员应就合同履行过程中了解到、涉及 到、搜集到甲方技术信息、经验信息以及其他尚未公开的有关信 息、资料负有保密义务，并采取相应的保密措施，如发生以上情况，甲方有权索赔。乙方应承担的保密义务包括但不限于：</w:t>
      </w:r>
    </w:p>
    <w:p w14:paraId="3151D8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未经甲方书面同意，不得将上述信息、资料披露给任何第三人；</w:t>
      </w:r>
      <w:bookmarkStart w:id="143" w:name="bookmark65"/>
    </w:p>
    <w:bookmarkEnd w:id="143"/>
    <w:p w14:paraId="2883FD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不得将上述信息、资料用于本合同以外的其他目的；</w:t>
      </w:r>
    </w:p>
    <w:p w14:paraId="65F9A8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在本合同终止或解除后或按甲方要求，及时将上述信 息、资料返还甲方，或按甲方要求作适当处理。</w:t>
      </w:r>
    </w:p>
    <w:p w14:paraId="3EB1A3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本合同项下的保密义务约定至相关信息、资料正式向社会公开之日或甲方书面解除乙方本合同项下保密义务之日起终止</w:t>
      </w:r>
      <w:bookmarkStart w:id="144" w:name="bookmark68"/>
      <w:r>
        <w:rPr>
          <w:rFonts w:hint="eastAsia" w:ascii="宋体" w:hAnsi="宋体" w:eastAsia="宋体" w:cs="宋体"/>
          <w:color w:val="auto"/>
          <w:sz w:val="24"/>
          <w:szCs w:val="24"/>
          <w:highlight w:val="none"/>
          <w:lang w:eastAsia="zh-CN"/>
        </w:rPr>
        <w:t>。</w:t>
      </w:r>
    </w:p>
    <w:bookmarkEnd w:id="144"/>
    <w:p w14:paraId="6F7C93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本条约定在本合同终止后仍然继续有效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且不受合同解除、终止或无效的影响。</w:t>
      </w:r>
    </w:p>
    <w:p w14:paraId="0ABCFEE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r>
        <w:rPr>
          <w:rFonts w:hint="eastAsia" w:ascii="宋体" w:hAnsi="宋体" w:eastAsia="宋体" w:cs="宋体"/>
          <w:color w:val="auto"/>
          <w:sz w:val="24"/>
          <w:szCs w:val="24"/>
          <w:highlight w:val="none"/>
          <w:lang w:eastAsia="zh-CN"/>
        </w:rPr>
        <w:t>）</w:t>
      </w:r>
    </w:p>
    <w:p w14:paraId="67170435">
      <w:pPr>
        <w:spacing w:line="360" w:lineRule="auto"/>
        <w:ind w:firstLine="482" w:firstLineChars="200"/>
        <w:rPr>
          <w:rFonts w:hint="eastAsia" w:ascii="宋体" w:hAnsi="宋体" w:eastAsia="宋体" w:cs="宋体"/>
          <w:b/>
          <w:bCs/>
          <w:color w:val="auto"/>
          <w:sz w:val="24"/>
          <w:szCs w:val="24"/>
          <w:highlight w:val="none"/>
        </w:rPr>
      </w:pPr>
      <w:bookmarkStart w:id="145" w:name="bookmark72"/>
      <w:bookmarkStart w:id="146" w:name="bookmark70"/>
      <w:bookmarkStart w:id="147" w:name="bookmark71"/>
      <w:r>
        <w:rPr>
          <w:rFonts w:hint="eastAsia" w:ascii="宋体" w:hAnsi="宋体" w:eastAsia="宋体" w:cs="宋体"/>
          <w:b/>
          <w:bCs/>
          <w:color w:val="auto"/>
          <w:sz w:val="24"/>
          <w:szCs w:val="24"/>
          <w:highlight w:val="none"/>
        </w:rPr>
        <w:t>十二、不可抗力</w:t>
      </w:r>
      <w:bookmarkEnd w:id="145"/>
      <w:bookmarkEnd w:id="146"/>
      <w:bookmarkEnd w:id="147"/>
    </w:p>
    <w:p w14:paraId="4A6606CF">
      <w:pPr>
        <w:spacing w:line="360" w:lineRule="auto"/>
        <w:ind w:firstLine="480" w:firstLineChars="200"/>
        <w:rPr>
          <w:rFonts w:hint="eastAsia" w:ascii="宋体" w:hAnsi="宋体" w:eastAsia="宋体" w:cs="宋体"/>
          <w:color w:val="auto"/>
          <w:sz w:val="24"/>
          <w:szCs w:val="24"/>
          <w:highlight w:val="none"/>
        </w:rPr>
      </w:pPr>
      <w:bookmarkStart w:id="148" w:name="bookmark73"/>
      <w:r>
        <w:rPr>
          <w:rFonts w:hint="eastAsia" w:ascii="宋体" w:hAnsi="宋体" w:eastAsia="宋体" w:cs="宋体"/>
          <w:color w:val="auto"/>
          <w:sz w:val="24"/>
          <w:szCs w:val="24"/>
          <w:highlight w:val="none"/>
        </w:rPr>
        <w:t>（</w:t>
      </w:r>
      <w:bookmarkEnd w:id="148"/>
      <w:r>
        <w:rPr>
          <w:rFonts w:hint="eastAsia" w:ascii="宋体" w:hAnsi="宋体" w:eastAsia="宋体" w:cs="宋体"/>
          <w:color w:val="auto"/>
          <w:sz w:val="24"/>
          <w:szCs w:val="24"/>
          <w:highlight w:val="none"/>
        </w:rPr>
        <w:t>一）当发生不可抗力事件而导致其中一方不能履行合同时， 应依据不可抗力对其造成的影响部分或全部免除责任，但因</w:t>
      </w:r>
      <w:r>
        <w:rPr>
          <w:rFonts w:hint="eastAsia" w:ascii="宋体" w:hAnsi="宋体" w:eastAsia="宋体" w:cs="宋体"/>
          <w:color w:val="auto"/>
          <w:sz w:val="24"/>
          <w:szCs w:val="24"/>
          <w:highlight w:val="none"/>
          <w:lang w:eastAsia="zh-CN"/>
        </w:rPr>
        <w:t>迟延</w:t>
      </w:r>
      <w:r>
        <w:rPr>
          <w:rFonts w:hint="eastAsia" w:ascii="宋体" w:hAnsi="宋体" w:eastAsia="宋体" w:cs="宋体"/>
          <w:color w:val="auto"/>
          <w:sz w:val="24"/>
          <w:szCs w:val="24"/>
          <w:highlight w:val="none"/>
        </w:rPr>
        <w:t xml:space="preserve"> 履行后发生不可抗力的除外；</w:t>
      </w:r>
    </w:p>
    <w:p w14:paraId="05C3EC2C">
      <w:pPr>
        <w:spacing w:line="360" w:lineRule="auto"/>
        <w:ind w:firstLine="480" w:firstLineChars="200"/>
        <w:rPr>
          <w:rFonts w:hint="eastAsia" w:ascii="宋体" w:hAnsi="宋体" w:eastAsia="宋体" w:cs="宋体"/>
          <w:color w:val="auto"/>
          <w:sz w:val="24"/>
          <w:szCs w:val="24"/>
          <w:highlight w:val="none"/>
        </w:rPr>
      </w:pPr>
      <w:bookmarkStart w:id="149" w:name="bookmark74"/>
      <w:r>
        <w:rPr>
          <w:rFonts w:hint="eastAsia" w:ascii="宋体" w:hAnsi="宋体" w:eastAsia="宋体" w:cs="宋体"/>
          <w:color w:val="auto"/>
          <w:sz w:val="24"/>
          <w:szCs w:val="24"/>
          <w:highlight w:val="none"/>
        </w:rPr>
        <w:t>（</w:t>
      </w:r>
      <w:bookmarkEnd w:id="149"/>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任何一方由于不可抗力不能履行合同的，应及时通知对方并采取有效措施防止损失扩大。遭受不可抗力的一方应在事件发生后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日内向对方提供该不可抗力事件的详细情况，在取得有关机构的不可抗力证明或双方谅解确认后，允许延期履行或修订合同。</w:t>
      </w:r>
      <w:bookmarkStart w:id="150" w:name="bookmark75"/>
    </w:p>
    <w:p w14:paraId="20226D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End w:id="150"/>
      <w:r>
        <w:rPr>
          <w:rFonts w:hint="eastAsia" w:ascii="宋体" w:hAnsi="宋体" w:eastAsia="宋体" w:cs="宋体"/>
          <w:color w:val="auto"/>
          <w:sz w:val="24"/>
          <w:szCs w:val="24"/>
          <w:highlight w:val="none"/>
        </w:rPr>
        <w:t>三）因不可抗力导致双方均发生损失的，双方各自承担损 失；不可抗力结束后，经甲乙双方协商确认合同仍有继续履行的 必要的，双方均应积极履行合同。</w:t>
      </w:r>
    </w:p>
    <w:p w14:paraId="4A46140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r>
        <w:rPr>
          <w:rFonts w:hint="eastAsia" w:ascii="宋体" w:hAnsi="宋体" w:eastAsia="宋体" w:cs="宋体"/>
          <w:color w:val="auto"/>
          <w:sz w:val="24"/>
          <w:szCs w:val="24"/>
          <w:highlight w:val="none"/>
          <w:lang w:eastAsia="zh-CN"/>
        </w:rPr>
        <w:t>）</w:t>
      </w:r>
    </w:p>
    <w:p w14:paraId="1ADF546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十三、争议解决</w:t>
      </w:r>
    </w:p>
    <w:p w14:paraId="6A7998C1">
      <w:pPr>
        <w:spacing w:line="360" w:lineRule="auto"/>
        <w:ind w:firstLine="480" w:firstLineChars="200"/>
        <w:rPr>
          <w:rFonts w:hint="eastAsia" w:ascii="宋体" w:hAnsi="宋体" w:eastAsia="宋体" w:cs="宋体"/>
          <w:color w:val="auto"/>
          <w:sz w:val="24"/>
          <w:szCs w:val="24"/>
          <w:highlight w:val="none"/>
        </w:rPr>
      </w:pPr>
      <w:bookmarkStart w:id="151" w:name="bookmark77"/>
      <w:r>
        <w:rPr>
          <w:rFonts w:hint="eastAsia" w:ascii="宋体" w:hAnsi="宋体" w:eastAsia="宋体" w:cs="宋体"/>
          <w:color w:val="auto"/>
          <w:sz w:val="24"/>
          <w:szCs w:val="24"/>
          <w:highlight w:val="none"/>
        </w:rPr>
        <w:t>（</w:t>
      </w:r>
      <w:bookmarkEnd w:id="151"/>
      <w:r>
        <w:rPr>
          <w:rFonts w:hint="eastAsia" w:ascii="宋体" w:hAnsi="宋体" w:eastAsia="宋体" w:cs="宋体"/>
          <w:color w:val="auto"/>
          <w:sz w:val="24"/>
          <w:szCs w:val="24"/>
          <w:highlight w:val="none"/>
        </w:rPr>
        <w:t>一）当履行本合同发生争议时，双方应友好协商解决。无法协商达成一致的，任何一方均可向</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人民法院提起诉讼。</w:t>
      </w:r>
    </w:p>
    <w:p w14:paraId="7ED47870">
      <w:pPr>
        <w:spacing w:line="360" w:lineRule="auto"/>
        <w:ind w:firstLine="480" w:firstLineChars="200"/>
        <w:rPr>
          <w:rFonts w:hint="eastAsia" w:ascii="宋体" w:hAnsi="宋体" w:eastAsia="宋体" w:cs="宋体"/>
          <w:color w:val="auto"/>
          <w:sz w:val="24"/>
          <w:szCs w:val="24"/>
          <w:highlight w:val="none"/>
        </w:rPr>
      </w:pPr>
      <w:bookmarkStart w:id="152" w:name="bookmark78"/>
      <w:r>
        <w:rPr>
          <w:rFonts w:hint="eastAsia" w:ascii="宋体" w:hAnsi="宋体" w:eastAsia="宋体" w:cs="宋体"/>
          <w:color w:val="auto"/>
          <w:sz w:val="24"/>
          <w:szCs w:val="24"/>
          <w:highlight w:val="none"/>
        </w:rPr>
        <w:t>（</w:t>
      </w:r>
      <w:bookmarkEnd w:id="152"/>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221F22A">
      <w:pPr>
        <w:spacing w:line="360" w:lineRule="auto"/>
        <w:ind w:firstLine="482" w:firstLineChars="200"/>
        <w:rPr>
          <w:rFonts w:hint="eastAsia" w:ascii="宋体" w:hAnsi="宋体" w:eastAsia="宋体" w:cs="宋体"/>
          <w:b/>
          <w:bCs/>
          <w:color w:val="auto"/>
          <w:sz w:val="24"/>
          <w:szCs w:val="24"/>
          <w:highlight w:val="none"/>
        </w:rPr>
      </w:pPr>
      <w:bookmarkStart w:id="153" w:name="bookmark80"/>
      <w:bookmarkStart w:id="154" w:name="bookmark79"/>
      <w:bookmarkStart w:id="155" w:name="bookmark81"/>
      <w:r>
        <w:rPr>
          <w:rFonts w:hint="eastAsia" w:ascii="宋体" w:hAnsi="宋体" w:eastAsia="宋体" w:cs="宋体"/>
          <w:b/>
          <w:bCs/>
          <w:color w:val="auto"/>
          <w:sz w:val="24"/>
          <w:szCs w:val="24"/>
          <w:highlight w:val="none"/>
        </w:rPr>
        <w:t>十四、其他</w:t>
      </w:r>
      <w:bookmarkEnd w:id="153"/>
      <w:bookmarkEnd w:id="154"/>
      <w:bookmarkEnd w:id="155"/>
    </w:p>
    <w:p w14:paraId="3F37DB1E">
      <w:pPr>
        <w:spacing w:line="360" w:lineRule="auto"/>
        <w:ind w:firstLine="480" w:firstLineChars="200"/>
        <w:rPr>
          <w:rFonts w:hint="eastAsia" w:ascii="宋体" w:hAnsi="宋体" w:eastAsia="宋体" w:cs="宋体"/>
          <w:color w:val="auto"/>
          <w:sz w:val="24"/>
          <w:szCs w:val="24"/>
          <w:highlight w:val="none"/>
        </w:rPr>
      </w:pPr>
      <w:bookmarkStart w:id="156" w:name="bookmark82"/>
      <w:r>
        <w:rPr>
          <w:rFonts w:hint="eastAsia" w:ascii="宋体" w:hAnsi="宋体" w:eastAsia="宋体" w:cs="宋体"/>
          <w:color w:val="auto"/>
          <w:sz w:val="24"/>
          <w:szCs w:val="24"/>
          <w:highlight w:val="none"/>
        </w:rPr>
        <w:t>（</w:t>
      </w:r>
      <w:bookmarkEnd w:id="156"/>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本合同中的保密条款、知识产权条款、争议解决条款长期有效，不随本合同的终止、无效、被撤销而失效。</w:t>
      </w:r>
    </w:p>
    <w:p w14:paraId="3591E863">
      <w:pPr>
        <w:spacing w:line="360" w:lineRule="auto"/>
        <w:ind w:firstLine="480" w:firstLineChars="200"/>
        <w:rPr>
          <w:rFonts w:hint="eastAsia" w:ascii="宋体" w:hAnsi="宋体" w:eastAsia="宋体" w:cs="宋体"/>
          <w:color w:val="auto"/>
          <w:sz w:val="24"/>
          <w:szCs w:val="24"/>
          <w:highlight w:val="none"/>
        </w:rPr>
      </w:pPr>
      <w:bookmarkStart w:id="157" w:name="bookmark83"/>
      <w:r>
        <w:rPr>
          <w:rFonts w:hint="eastAsia" w:ascii="宋体" w:hAnsi="宋体" w:eastAsia="宋体" w:cs="宋体"/>
          <w:color w:val="auto"/>
          <w:sz w:val="24"/>
          <w:szCs w:val="24"/>
          <w:highlight w:val="none"/>
        </w:rPr>
        <w:t>（</w:t>
      </w:r>
      <w:bookmarkEnd w:id="157"/>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本合同所有附件及政府采购文件均为合同的有效组成部分，与本合同具有同等法律效力。</w:t>
      </w:r>
    </w:p>
    <w:p w14:paraId="407C0ABC">
      <w:pPr>
        <w:spacing w:line="360" w:lineRule="auto"/>
        <w:ind w:firstLine="480" w:firstLineChars="200"/>
        <w:rPr>
          <w:rFonts w:hint="eastAsia" w:ascii="宋体" w:hAnsi="宋体" w:eastAsia="宋体" w:cs="宋体"/>
          <w:color w:val="auto"/>
          <w:sz w:val="24"/>
          <w:szCs w:val="24"/>
          <w:highlight w:val="none"/>
          <w:lang w:val="en-US" w:eastAsia="zh-CN"/>
        </w:rPr>
      </w:pPr>
      <w:bookmarkStart w:id="158" w:name="bookmark84"/>
      <w:r>
        <w:rPr>
          <w:rFonts w:hint="eastAsia" w:ascii="宋体" w:hAnsi="宋体" w:eastAsia="宋体" w:cs="宋体"/>
          <w:color w:val="auto"/>
          <w:sz w:val="24"/>
          <w:szCs w:val="24"/>
          <w:highlight w:val="none"/>
        </w:rPr>
        <w:t>（</w:t>
      </w:r>
      <w:bookmarkEnd w:id="158"/>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本合同自甲乙双方法人代表或其授权代表签字盖章后</w:t>
      </w:r>
      <w:r>
        <w:rPr>
          <w:rFonts w:hint="eastAsia" w:ascii="宋体" w:hAnsi="宋体" w:eastAsia="宋体" w:cs="宋体"/>
          <w:color w:val="auto"/>
          <w:sz w:val="24"/>
          <w:szCs w:val="24"/>
          <w:highlight w:val="none"/>
          <w:lang w:val="en-US" w:eastAsia="zh-CN"/>
        </w:rPr>
        <w:t>生效。</w:t>
      </w:r>
    </w:p>
    <w:p w14:paraId="6BEB654F">
      <w:pPr>
        <w:spacing w:line="360" w:lineRule="auto"/>
        <w:ind w:firstLine="480" w:firstLineChars="200"/>
        <w:rPr>
          <w:rFonts w:hint="eastAsia" w:ascii="宋体" w:hAnsi="宋体" w:eastAsia="宋体" w:cs="宋体"/>
          <w:color w:val="auto"/>
          <w:sz w:val="24"/>
          <w:szCs w:val="24"/>
          <w:highlight w:val="none"/>
        </w:rPr>
      </w:pPr>
      <w:bookmarkStart w:id="159" w:name="bookmark85"/>
      <w:r>
        <w:rPr>
          <w:rFonts w:hint="eastAsia" w:ascii="宋体" w:hAnsi="宋体" w:eastAsia="宋体" w:cs="宋体"/>
          <w:color w:val="auto"/>
          <w:sz w:val="24"/>
          <w:szCs w:val="24"/>
          <w:highlight w:val="none"/>
        </w:rPr>
        <w:t>（</w:t>
      </w:r>
      <w:bookmarkEnd w:id="159"/>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其中，甲方执    份，乙方执    份，具有同等法律效力</w:t>
      </w:r>
      <w:r>
        <w:rPr>
          <w:rFonts w:hint="eastAsia" w:ascii="宋体" w:hAnsi="宋体" w:eastAsia="宋体" w:cs="宋体"/>
          <w:color w:val="auto"/>
          <w:sz w:val="24"/>
          <w:szCs w:val="24"/>
          <w:highlight w:val="none"/>
        </w:rPr>
        <w:t>。</w:t>
      </w:r>
    </w:p>
    <w:p w14:paraId="3549E83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其他需要约定的事项</w:t>
      </w:r>
      <w:r>
        <w:rPr>
          <w:rFonts w:hint="eastAsia" w:ascii="宋体" w:hAnsi="宋体" w:eastAsia="宋体" w:cs="宋体"/>
          <w:color w:val="auto"/>
          <w:sz w:val="24"/>
          <w:szCs w:val="24"/>
          <w:highlight w:val="none"/>
          <w:lang w:eastAsia="zh-CN"/>
        </w:rPr>
        <w:t>）</w:t>
      </w:r>
    </w:p>
    <w:p w14:paraId="3A194B55">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十五、合同附件（若有附件应注明，并注明附件名称）</w:t>
      </w:r>
    </w:p>
    <w:p w14:paraId="635C5E3F">
      <w:pPr>
        <w:spacing w:line="360" w:lineRule="auto"/>
        <w:ind w:firstLine="480" w:firstLineChars="200"/>
        <w:rPr>
          <w:rFonts w:hint="eastAsia" w:ascii="宋体" w:hAnsi="宋体" w:eastAsia="宋体" w:cs="宋体"/>
          <w:color w:val="auto"/>
          <w:sz w:val="24"/>
          <w:szCs w:val="24"/>
          <w:highlight w:val="none"/>
        </w:rPr>
      </w:pPr>
    </w:p>
    <w:p w14:paraId="4ADC85E1">
      <w:pPr>
        <w:spacing w:line="360" w:lineRule="auto"/>
        <w:ind w:firstLine="480" w:firstLineChars="200"/>
        <w:rPr>
          <w:rFonts w:hint="eastAsia" w:ascii="宋体" w:hAnsi="宋体" w:eastAsia="宋体" w:cs="宋体"/>
          <w:color w:val="auto"/>
          <w:sz w:val="24"/>
          <w:szCs w:val="24"/>
          <w:highlight w:val="none"/>
        </w:rPr>
      </w:pPr>
    </w:p>
    <w:p w14:paraId="400978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p>
    <w:p w14:paraId="7384C1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72316A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1D8437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14:paraId="6E36E169">
      <w:pPr>
        <w:spacing w:line="360" w:lineRule="auto"/>
        <w:rPr>
          <w:rFonts w:hint="eastAsia" w:ascii="宋体" w:hAnsi="宋体" w:eastAsia="宋体" w:cs="宋体"/>
          <w:color w:val="auto"/>
          <w:sz w:val="24"/>
          <w:szCs w:val="24"/>
          <w:highlight w:val="none"/>
        </w:rPr>
      </w:pPr>
    </w:p>
    <w:p w14:paraId="145283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乙方（公章）：</w:t>
      </w:r>
    </w:p>
    <w:p w14:paraId="3D634A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7B72E9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4842171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p>
    <w:p w14:paraId="6F59CC8F">
      <w:pPr>
        <w:pStyle w:val="30"/>
        <w:rPr>
          <w:rFonts w:hint="eastAsia" w:ascii="宋体" w:hAnsi="宋体" w:eastAsia="宋体" w:cs="宋体"/>
          <w:color w:val="auto"/>
          <w:sz w:val="24"/>
          <w:szCs w:val="24"/>
          <w:highlight w:val="none"/>
          <w:lang w:eastAsia="zh-CN"/>
        </w:rPr>
      </w:pPr>
    </w:p>
    <w:p w14:paraId="4B77F678">
      <w:pPr>
        <w:widowControl/>
        <w:snapToGrid w:val="0"/>
        <w:spacing w:line="360" w:lineRule="auto"/>
        <w:ind w:firstLine="480" w:firstLineChars="200"/>
        <w:rPr>
          <w:rFonts w:hint="eastAsia" w:ascii="宋体" w:hAnsi="宋体" w:eastAsia="宋体" w:cs="宋体"/>
          <w:b/>
          <w:bCs/>
          <w:kern w:val="0"/>
          <w:szCs w:val="21"/>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日</w:t>
      </w:r>
    </w:p>
    <w:p w14:paraId="4891169D">
      <w:pPr>
        <w:widowControl/>
        <w:snapToGrid w:val="0"/>
        <w:spacing w:line="360" w:lineRule="auto"/>
        <w:rPr>
          <w:rFonts w:hint="eastAsia" w:ascii="宋体" w:hAnsi="宋体" w:eastAsia="宋体" w:cs="宋体"/>
          <w:b/>
          <w:bCs/>
          <w:kern w:val="0"/>
          <w:szCs w:val="21"/>
          <w:highlight w:val="none"/>
        </w:rPr>
      </w:pPr>
    </w:p>
    <w:p w14:paraId="2D735E7C">
      <w:pPr>
        <w:widowControl/>
        <w:snapToGrid w:val="0"/>
        <w:spacing w:line="360" w:lineRule="auto"/>
        <w:rPr>
          <w:rFonts w:hint="eastAsia" w:ascii="宋体" w:hAnsi="宋体" w:eastAsia="宋体" w:cs="宋体"/>
          <w:b/>
          <w:bCs/>
          <w:kern w:val="0"/>
          <w:szCs w:val="21"/>
          <w:highlight w:val="none"/>
        </w:rPr>
      </w:pPr>
    </w:p>
    <w:p w14:paraId="57FE962B">
      <w:pPr>
        <w:tabs>
          <w:tab w:val="left" w:pos="2070"/>
          <w:tab w:val="center" w:pos="4365"/>
        </w:tabs>
        <w:overflowPunct w:val="0"/>
        <w:topLinePunct/>
        <w:autoSpaceDN w:val="0"/>
        <w:adjustRightInd w:val="0"/>
        <w:snapToGrid w:val="0"/>
        <w:spacing w:line="360" w:lineRule="auto"/>
        <w:jc w:val="center"/>
        <w:outlineLvl w:val="0"/>
        <w:rPr>
          <w:rFonts w:hint="eastAsia" w:ascii="宋体" w:hAnsi="宋体" w:eastAsia="宋体" w:cs="宋体"/>
          <w:kern w:val="0"/>
          <w:sz w:val="28"/>
          <w:highlight w:val="none"/>
        </w:rPr>
      </w:pPr>
      <w:r>
        <w:rPr>
          <w:rFonts w:hint="eastAsia" w:ascii="宋体" w:hAnsi="宋体" w:eastAsia="宋体" w:cs="宋体"/>
          <w:b/>
          <w:snapToGrid w:val="0"/>
          <w:kern w:val="0"/>
          <w:sz w:val="32"/>
          <w:szCs w:val="32"/>
          <w:highlight w:val="none"/>
        </w:rPr>
        <w:br w:type="page"/>
      </w:r>
      <w:bookmarkStart w:id="160" w:name="_Toc3328"/>
      <w:r>
        <w:rPr>
          <w:rFonts w:hint="eastAsia" w:ascii="宋体" w:hAnsi="宋体" w:eastAsia="宋体" w:cs="宋体"/>
          <w:b/>
          <w:snapToGrid w:val="0"/>
          <w:kern w:val="0"/>
          <w:sz w:val="32"/>
          <w:szCs w:val="32"/>
          <w:highlight w:val="none"/>
        </w:rPr>
        <w:t>第七部分  响应文件格式</w:t>
      </w:r>
      <w:bookmarkEnd w:id="111"/>
      <w:bookmarkEnd w:id="112"/>
      <w:bookmarkEnd w:id="113"/>
      <w:bookmarkEnd w:id="160"/>
    </w:p>
    <w:p w14:paraId="5E17B382">
      <w:pPr>
        <w:spacing w:after="312" w:afterLines="100" w:line="360" w:lineRule="auto"/>
        <w:jc w:val="center"/>
        <w:rPr>
          <w:rFonts w:hint="eastAsia" w:ascii="宋体" w:hAnsi="宋体" w:eastAsia="宋体" w:cs="宋体"/>
          <w:bCs/>
          <w:sz w:val="24"/>
          <w:highlight w:val="none"/>
        </w:rPr>
      </w:pPr>
      <w:r>
        <w:rPr>
          <w:rFonts w:hint="eastAsia" w:ascii="宋体" w:hAnsi="宋体" w:eastAsia="宋体" w:cs="宋体"/>
          <w:b/>
          <w:sz w:val="30"/>
          <w:szCs w:val="30"/>
          <w:highlight w:val="none"/>
        </w:rPr>
        <w:t>供应商编制响应文件注意事项</w:t>
      </w:r>
    </w:p>
    <w:p w14:paraId="1BE36B73">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1.拟参加本项目磋商的供应商应认真阅读本磋商文件，严格按照“山西政府采购平台”要求的顺序编制和提交响应文件。本文件中提供的顺序与平台不一致时，以平台顺序为准。</w:t>
      </w:r>
    </w:p>
    <w:p w14:paraId="0F273AAE">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2.磋商文件中给定格式的，应认真、准确填写格式中需填写和完善的内容。未给定格式的，格式自拟。</w:t>
      </w:r>
    </w:p>
    <w:p w14:paraId="221631A7">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响应文件应按磋商文件中的编制要求，将所有材料逐页编写页码，并按“山西政府采购平台”要求完成上传。因编排混乱、未按规定要求、顺序上传等原因导致响应文件被误读或查找不到，后果由供应商自行承担。</w:t>
      </w:r>
    </w:p>
    <w:p w14:paraId="7B8976A4">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4.对响应文件中作出响应的内容、不应照抄照搬，应作出正面、完整、真实、准确的回答。</w:t>
      </w:r>
    </w:p>
    <w:p w14:paraId="2895C864">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5.应按磋商文件中响应文件的签字、盖章要求，对响应文件进行签字、盖章。</w:t>
      </w:r>
    </w:p>
    <w:p w14:paraId="24B5BA1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项目未进行分包采购的，包号填写为“1”或“一”或“/”。</w:t>
      </w:r>
    </w:p>
    <w:p w14:paraId="62E7DA6E">
      <w:pPr>
        <w:spacing w:line="360" w:lineRule="auto"/>
        <w:ind w:firstLine="480" w:firstLineChars="200"/>
        <w:rPr>
          <w:rFonts w:hint="eastAsia" w:ascii="宋体" w:hAnsi="宋体" w:eastAsia="宋体" w:cs="宋体"/>
          <w:bCs/>
          <w:sz w:val="24"/>
          <w:highlight w:val="none"/>
        </w:rPr>
      </w:pPr>
    </w:p>
    <w:p w14:paraId="2E0DED0B">
      <w:pPr>
        <w:snapToGrid w:val="0"/>
        <w:spacing w:line="360" w:lineRule="auto"/>
        <w:rPr>
          <w:rFonts w:hint="eastAsia" w:ascii="宋体" w:hAnsi="宋体" w:eastAsia="宋体" w:cs="宋体"/>
          <w:kern w:val="0"/>
          <w:sz w:val="28"/>
          <w:szCs w:val="28"/>
          <w:highlight w:val="none"/>
        </w:rPr>
      </w:pPr>
    </w:p>
    <w:p w14:paraId="501CB41A">
      <w:pPr>
        <w:tabs>
          <w:tab w:val="left" w:pos="4000"/>
        </w:tabs>
        <w:snapToGrid w:val="0"/>
        <w:spacing w:line="360" w:lineRule="auto"/>
        <w:jc w:val="left"/>
        <w:rPr>
          <w:rFonts w:hint="eastAsia" w:ascii="宋体" w:hAnsi="宋体" w:eastAsia="宋体" w:cs="宋体"/>
          <w:kern w:val="0"/>
          <w:sz w:val="28"/>
          <w:highlight w:val="none"/>
        </w:rPr>
      </w:pPr>
    </w:p>
    <w:p w14:paraId="3DF8A38F">
      <w:pPr>
        <w:tabs>
          <w:tab w:val="left" w:pos="4000"/>
        </w:tabs>
        <w:snapToGrid w:val="0"/>
        <w:spacing w:line="360" w:lineRule="auto"/>
        <w:jc w:val="left"/>
        <w:rPr>
          <w:rFonts w:hint="eastAsia" w:ascii="宋体" w:hAnsi="宋体" w:eastAsia="宋体" w:cs="宋体"/>
          <w:kern w:val="0"/>
          <w:sz w:val="28"/>
          <w:highlight w:val="none"/>
        </w:rPr>
      </w:pPr>
    </w:p>
    <w:p w14:paraId="0AFF7DEC">
      <w:pPr>
        <w:tabs>
          <w:tab w:val="left" w:pos="4000"/>
        </w:tabs>
        <w:snapToGrid w:val="0"/>
        <w:spacing w:line="360" w:lineRule="auto"/>
        <w:jc w:val="left"/>
        <w:rPr>
          <w:rFonts w:hint="eastAsia" w:ascii="宋体" w:hAnsi="宋体" w:eastAsia="宋体" w:cs="宋体"/>
          <w:kern w:val="0"/>
          <w:sz w:val="28"/>
          <w:highlight w:val="none"/>
        </w:rPr>
      </w:pPr>
    </w:p>
    <w:p w14:paraId="67B638B3">
      <w:pPr>
        <w:tabs>
          <w:tab w:val="left" w:pos="4000"/>
        </w:tabs>
        <w:snapToGrid w:val="0"/>
        <w:spacing w:line="360" w:lineRule="auto"/>
        <w:jc w:val="left"/>
        <w:rPr>
          <w:rFonts w:hint="eastAsia" w:ascii="宋体" w:hAnsi="宋体" w:eastAsia="宋体" w:cs="宋体"/>
          <w:kern w:val="0"/>
          <w:sz w:val="28"/>
          <w:highlight w:val="none"/>
        </w:rPr>
      </w:pPr>
      <w:r>
        <w:rPr>
          <w:rFonts w:hint="eastAsia" w:ascii="宋体" w:hAnsi="宋体" w:eastAsia="宋体" w:cs="宋体"/>
          <w:kern w:val="0"/>
          <w:sz w:val="28"/>
          <w:highlight w:val="none"/>
        </w:rPr>
        <w:br w:type="page"/>
      </w:r>
      <w:r>
        <w:rPr>
          <w:rFonts w:hint="eastAsia" w:ascii="宋体" w:hAnsi="宋体" w:eastAsia="宋体" w:cs="宋体"/>
          <w:kern w:val="0"/>
          <w:sz w:val="28"/>
          <w:highlight w:val="none"/>
        </w:rPr>
        <w:t>响应文件封面格式</w:t>
      </w:r>
    </w:p>
    <w:p w14:paraId="49925240">
      <w:pPr>
        <w:snapToGrid w:val="0"/>
        <w:spacing w:line="360" w:lineRule="auto"/>
        <w:jc w:val="right"/>
        <w:rPr>
          <w:rFonts w:hint="eastAsia" w:ascii="宋体" w:hAnsi="宋体" w:eastAsia="宋体" w:cs="宋体"/>
          <w:kern w:val="0"/>
          <w:sz w:val="28"/>
          <w:szCs w:val="32"/>
          <w:highlight w:val="none"/>
        </w:rPr>
      </w:pPr>
    </w:p>
    <w:p w14:paraId="4891A721">
      <w:pPr>
        <w:snapToGrid w:val="0"/>
        <w:spacing w:line="360" w:lineRule="auto"/>
        <w:jc w:val="right"/>
        <w:rPr>
          <w:rFonts w:hint="eastAsia" w:ascii="宋体" w:hAnsi="宋体" w:eastAsia="宋体" w:cs="宋体"/>
          <w:kern w:val="0"/>
          <w:sz w:val="28"/>
          <w:szCs w:val="32"/>
          <w:highlight w:val="none"/>
        </w:rPr>
      </w:pPr>
    </w:p>
    <w:p w14:paraId="476806F1">
      <w:pPr>
        <w:snapToGrid w:val="0"/>
        <w:spacing w:line="360" w:lineRule="auto"/>
        <w:jc w:val="right"/>
        <w:rPr>
          <w:rFonts w:hint="eastAsia" w:ascii="宋体" w:hAnsi="宋体" w:eastAsia="宋体" w:cs="宋体"/>
          <w:kern w:val="0"/>
          <w:sz w:val="28"/>
          <w:szCs w:val="32"/>
          <w:highlight w:val="none"/>
        </w:rPr>
      </w:pPr>
    </w:p>
    <w:p w14:paraId="448E0BEB">
      <w:pPr>
        <w:snapToGrid w:val="0"/>
        <w:spacing w:line="360" w:lineRule="auto"/>
        <w:jc w:val="center"/>
        <w:rPr>
          <w:rFonts w:hint="eastAsia" w:ascii="宋体" w:hAnsi="宋体" w:eastAsia="宋体" w:cs="宋体"/>
          <w:b/>
          <w:kern w:val="0"/>
          <w:sz w:val="72"/>
          <w:szCs w:val="72"/>
          <w:highlight w:val="none"/>
        </w:rPr>
      </w:pPr>
      <w:r>
        <w:rPr>
          <w:rFonts w:hint="eastAsia" w:ascii="宋体" w:hAnsi="宋体" w:eastAsia="宋体" w:cs="宋体"/>
          <w:b/>
          <w:kern w:val="0"/>
          <w:sz w:val="72"/>
          <w:szCs w:val="72"/>
          <w:highlight w:val="none"/>
        </w:rPr>
        <w:t>响  应  文  件</w:t>
      </w:r>
    </w:p>
    <w:p w14:paraId="3E805E26">
      <w:pPr>
        <w:snapToGrid w:val="0"/>
        <w:spacing w:line="360" w:lineRule="auto"/>
        <w:jc w:val="center"/>
        <w:rPr>
          <w:rFonts w:hint="eastAsia" w:ascii="宋体" w:hAnsi="宋体" w:eastAsia="宋体" w:cs="宋体"/>
          <w:b/>
          <w:kern w:val="0"/>
          <w:sz w:val="44"/>
          <w:szCs w:val="44"/>
          <w:highlight w:val="none"/>
        </w:rPr>
      </w:pPr>
    </w:p>
    <w:p w14:paraId="4698B2B1">
      <w:pPr>
        <w:snapToGrid w:val="0"/>
        <w:spacing w:line="360" w:lineRule="auto"/>
        <w:ind w:firstLine="560" w:firstLineChars="200"/>
        <w:jc w:val="left"/>
        <w:rPr>
          <w:rFonts w:hint="eastAsia" w:ascii="宋体" w:hAnsi="宋体" w:eastAsia="宋体" w:cs="宋体"/>
          <w:kern w:val="0"/>
          <w:sz w:val="28"/>
          <w:szCs w:val="30"/>
          <w:highlight w:val="none"/>
        </w:rPr>
      </w:pPr>
    </w:p>
    <w:p w14:paraId="2DEF335C">
      <w:pPr>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项目名称：</w:t>
      </w:r>
    </w:p>
    <w:p w14:paraId="3281DA48">
      <w:pPr>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项目编号：</w:t>
      </w:r>
    </w:p>
    <w:p w14:paraId="489607DF">
      <w:pPr>
        <w:snapToGrid w:val="0"/>
        <w:spacing w:line="360" w:lineRule="auto"/>
        <w:ind w:firstLine="560" w:firstLineChars="200"/>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包    号：</w:t>
      </w:r>
    </w:p>
    <w:p w14:paraId="5DE3A235">
      <w:pPr>
        <w:pStyle w:val="30"/>
        <w:widowControl w:val="0"/>
        <w:rPr>
          <w:rFonts w:hint="eastAsia" w:ascii="宋体" w:hAnsi="宋体" w:eastAsia="宋体" w:cs="宋体"/>
          <w:highlight w:val="none"/>
        </w:rPr>
      </w:pPr>
    </w:p>
    <w:p w14:paraId="330D8E28">
      <w:pPr>
        <w:pStyle w:val="30"/>
        <w:widowControl w:val="0"/>
        <w:rPr>
          <w:rFonts w:hint="eastAsia" w:ascii="宋体" w:hAnsi="宋体" w:eastAsia="宋体" w:cs="宋体"/>
          <w:highlight w:val="none"/>
        </w:rPr>
      </w:pPr>
    </w:p>
    <w:p w14:paraId="6D44EFBE">
      <w:pPr>
        <w:snapToGrid w:val="0"/>
        <w:spacing w:line="360" w:lineRule="auto"/>
        <w:jc w:val="center"/>
        <w:rPr>
          <w:rFonts w:hint="eastAsia" w:ascii="宋体" w:hAnsi="宋体" w:eastAsia="宋体" w:cs="宋体"/>
          <w:b/>
          <w:kern w:val="0"/>
          <w:sz w:val="28"/>
          <w:szCs w:val="44"/>
          <w:highlight w:val="none"/>
        </w:rPr>
      </w:pPr>
    </w:p>
    <w:p w14:paraId="26DDC7C2">
      <w:pPr>
        <w:snapToGrid w:val="0"/>
        <w:spacing w:line="360" w:lineRule="auto"/>
        <w:jc w:val="left"/>
        <w:rPr>
          <w:rFonts w:hint="eastAsia" w:ascii="宋体" w:hAnsi="宋体" w:eastAsia="宋体" w:cs="宋体"/>
          <w:kern w:val="0"/>
          <w:sz w:val="28"/>
          <w:highlight w:val="none"/>
        </w:rPr>
      </w:pPr>
    </w:p>
    <w:p w14:paraId="7345F055">
      <w:pPr>
        <w:snapToGrid w:val="0"/>
        <w:spacing w:line="360" w:lineRule="auto"/>
        <w:jc w:val="left"/>
        <w:rPr>
          <w:rFonts w:hint="eastAsia" w:ascii="宋体" w:hAnsi="宋体" w:eastAsia="宋体" w:cs="宋体"/>
          <w:kern w:val="0"/>
          <w:sz w:val="28"/>
          <w:highlight w:val="none"/>
        </w:rPr>
      </w:pPr>
    </w:p>
    <w:p w14:paraId="3C887AAD">
      <w:pPr>
        <w:snapToGrid w:val="0"/>
        <w:spacing w:line="360" w:lineRule="auto"/>
        <w:jc w:val="left"/>
        <w:rPr>
          <w:rFonts w:hint="eastAsia" w:ascii="宋体" w:hAnsi="宋体" w:eastAsia="宋体" w:cs="宋体"/>
          <w:kern w:val="0"/>
          <w:sz w:val="28"/>
          <w:highlight w:val="none"/>
        </w:rPr>
      </w:pPr>
    </w:p>
    <w:p w14:paraId="7EBD4227">
      <w:pPr>
        <w:snapToGrid w:val="0"/>
        <w:spacing w:line="360" w:lineRule="auto"/>
        <w:jc w:val="left"/>
        <w:rPr>
          <w:rFonts w:hint="eastAsia" w:ascii="宋体" w:hAnsi="宋体" w:eastAsia="宋体" w:cs="宋体"/>
          <w:kern w:val="0"/>
          <w:sz w:val="28"/>
          <w:highlight w:val="none"/>
        </w:rPr>
      </w:pPr>
    </w:p>
    <w:p w14:paraId="4EDEA4E7">
      <w:pPr>
        <w:snapToGrid w:val="0"/>
        <w:spacing w:line="360" w:lineRule="auto"/>
        <w:jc w:val="left"/>
        <w:rPr>
          <w:rFonts w:hint="eastAsia" w:ascii="宋体" w:hAnsi="宋体" w:eastAsia="宋体" w:cs="宋体"/>
          <w:kern w:val="0"/>
          <w:sz w:val="28"/>
          <w:highlight w:val="none"/>
        </w:rPr>
      </w:pPr>
    </w:p>
    <w:p w14:paraId="1470077E">
      <w:pPr>
        <w:snapToGrid w:val="0"/>
        <w:spacing w:line="360" w:lineRule="auto"/>
        <w:jc w:val="left"/>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rPr>
        <w:t xml:space="preserve">供应商全称： </w:t>
      </w: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rPr>
        <w:t>（盖章）</w:t>
      </w:r>
    </w:p>
    <w:p w14:paraId="16377CFF">
      <w:pPr>
        <w:snapToGrid w:val="0"/>
        <w:spacing w:line="360" w:lineRule="auto"/>
        <w:jc w:val="left"/>
        <w:rPr>
          <w:rFonts w:hint="eastAsia" w:ascii="宋体" w:hAnsi="宋体" w:eastAsia="宋体" w:cs="宋体"/>
          <w:sz w:val="30"/>
          <w:szCs w:val="30"/>
          <w:highlight w:val="none"/>
          <w:u w:val="single"/>
        </w:rPr>
      </w:pPr>
      <w:r>
        <w:rPr>
          <w:rFonts w:hint="eastAsia" w:ascii="宋体" w:hAnsi="宋体" w:eastAsia="宋体" w:cs="宋体"/>
          <w:kern w:val="0"/>
          <w:sz w:val="30"/>
          <w:szCs w:val="30"/>
          <w:highlight w:val="none"/>
        </w:rPr>
        <w:t>法定代表人或授权代表：</w:t>
      </w: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rPr>
        <w:t>（签字或盖章）</w:t>
      </w:r>
    </w:p>
    <w:p w14:paraId="5A09F7B6">
      <w:pPr>
        <w:snapToGrid w:val="0"/>
        <w:spacing w:line="360" w:lineRule="auto"/>
        <w:jc w:val="left"/>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rPr>
        <w:t>日      期：</w:t>
      </w:r>
      <w:r>
        <w:rPr>
          <w:rFonts w:hint="eastAsia" w:ascii="宋体" w:hAnsi="宋体" w:eastAsia="宋体" w:cs="宋体"/>
          <w:kern w:val="0"/>
          <w:sz w:val="30"/>
          <w:szCs w:val="30"/>
          <w:highlight w:val="none"/>
        </w:rPr>
        <w:t>二〇二</w:t>
      </w:r>
      <w:r>
        <w:rPr>
          <w:rFonts w:hint="eastAsia" w:ascii="宋体" w:hAnsi="宋体" w:eastAsia="宋体" w:cs="宋体"/>
          <w:kern w:val="0"/>
          <w:sz w:val="30"/>
          <w:szCs w:val="30"/>
          <w:highlight w:val="none"/>
          <w:lang w:val="en-US" w:eastAsia="zh-CN"/>
        </w:rPr>
        <w:t>六</w:t>
      </w:r>
      <w:r>
        <w:rPr>
          <w:rFonts w:hint="eastAsia" w:ascii="宋体" w:hAnsi="宋体" w:eastAsia="宋体" w:cs="宋体"/>
          <w:kern w:val="0"/>
          <w:sz w:val="30"/>
          <w:szCs w:val="30"/>
          <w:highlight w:val="none"/>
        </w:rPr>
        <w:t>年  月  日</w:t>
      </w:r>
    </w:p>
    <w:p w14:paraId="339BDAE7">
      <w:pPr>
        <w:spacing w:line="420" w:lineRule="exact"/>
        <w:rPr>
          <w:rFonts w:hint="eastAsia" w:ascii="宋体" w:hAnsi="宋体" w:eastAsia="宋体" w:cs="宋体"/>
          <w:bCs/>
          <w:sz w:val="28"/>
          <w:szCs w:val="28"/>
          <w:highlight w:val="none"/>
        </w:rPr>
      </w:pPr>
      <w:r>
        <w:rPr>
          <w:rFonts w:hint="eastAsia" w:ascii="宋体" w:hAnsi="宋体" w:eastAsia="宋体" w:cs="宋体"/>
          <w:bCs/>
          <w:sz w:val="24"/>
          <w:highlight w:val="none"/>
        </w:rPr>
        <w:br w:type="page"/>
      </w:r>
      <w:r>
        <w:rPr>
          <w:rFonts w:hint="eastAsia" w:ascii="宋体" w:hAnsi="宋体" w:eastAsia="宋体" w:cs="宋体"/>
          <w:bCs/>
          <w:sz w:val="28"/>
          <w:szCs w:val="28"/>
          <w:highlight w:val="none"/>
        </w:rPr>
        <w:t>响应文件目录</w:t>
      </w:r>
    </w:p>
    <w:p w14:paraId="72CDA79A">
      <w:pPr>
        <w:spacing w:line="42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w:t>
      </w:r>
    </w:p>
    <w:p w14:paraId="24EA6904">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长治市政府采购供应商信用承诺函</w:t>
      </w:r>
      <w:r>
        <w:rPr>
          <w:rFonts w:hint="eastAsia" w:ascii="宋体" w:hAnsi="宋体" w:eastAsia="宋体" w:cs="宋体"/>
          <w:sz w:val="24"/>
          <w:szCs w:val="24"/>
          <w:highlight w:val="none"/>
        </w:rPr>
        <w:t>……………………………………………………</w:t>
      </w:r>
    </w:p>
    <w:p w14:paraId="0D38FD9C">
      <w:pPr>
        <w:pStyle w:val="18"/>
        <w:snapToGrid w:val="0"/>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2.供应商廉洁自律承诺书</w:t>
      </w:r>
      <w:r>
        <w:rPr>
          <w:rFonts w:hint="eastAsia" w:ascii="宋体" w:hAnsi="宋体" w:eastAsia="宋体" w:cs="宋体"/>
          <w:sz w:val="24"/>
          <w:szCs w:val="24"/>
          <w:highlight w:val="none"/>
        </w:rPr>
        <w:t>……………………………………………………………………</w:t>
      </w:r>
    </w:p>
    <w:p w14:paraId="74063041">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.落实政府采购政策资格要求的证明文件（适用于专门面向中小企业的采购项目）……</w:t>
      </w:r>
    </w:p>
    <w:p w14:paraId="52AC74E4">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.本项目的特定资格要求……………………………………………………………………</w:t>
      </w:r>
    </w:p>
    <w:p w14:paraId="1B80A375">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bookmarkStart w:id="161" w:name="_Hlk171449076"/>
      <w:r>
        <w:rPr>
          <w:rFonts w:hint="eastAsia" w:ascii="宋体" w:hAnsi="宋体" w:eastAsia="宋体" w:cs="宋体"/>
          <w:sz w:val="24"/>
          <w:szCs w:val="24"/>
          <w:highlight w:val="none"/>
        </w:rPr>
        <w:t>磋商保证金提交凭单</w:t>
      </w:r>
      <w:bookmarkEnd w:id="161"/>
      <w:r>
        <w:rPr>
          <w:rFonts w:hint="eastAsia" w:ascii="宋体" w:hAnsi="宋体" w:eastAsia="宋体" w:cs="宋体"/>
          <w:sz w:val="24"/>
          <w:szCs w:val="24"/>
          <w:highlight w:val="none"/>
        </w:rPr>
        <w:t>……………………………………………………………………</w:t>
      </w:r>
    </w:p>
    <w:p w14:paraId="7C1BCF06">
      <w:pPr>
        <w:pStyle w:val="18"/>
        <w:snapToGrid w:val="0"/>
        <w:spacing w:line="420" w:lineRule="exact"/>
        <w:rPr>
          <w:rFonts w:hint="eastAsia" w:ascii="宋体" w:hAnsi="宋体" w:eastAsia="宋体" w:cs="宋体"/>
          <w:sz w:val="24"/>
          <w:szCs w:val="24"/>
          <w:highlight w:val="none"/>
        </w:rPr>
      </w:pPr>
    </w:p>
    <w:p w14:paraId="1125F58E">
      <w:pPr>
        <w:spacing w:line="42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w:t>
      </w:r>
    </w:p>
    <w:p w14:paraId="4E0964D8">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1.法定代表人（负责人）身份证明书………………………………………………………</w:t>
      </w:r>
    </w:p>
    <w:p w14:paraId="7718E1EB">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.法定代表人（负责人）授权委托书………………………………………………………</w:t>
      </w:r>
    </w:p>
    <w:p w14:paraId="2ED43D00">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.报价函………………………………………………………………………………………</w:t>
      </w:r>
    </w:p>
    <w:p w14:paraId="4DAAB004">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.报价一览表…………………………………………………………………………………</w:t>
      </w:r>
    </w:p>
    <w:p w14:paraId="0B644B56">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.商务条款响应表……………………………………………………………………………</w:t>
      </w:r>
    </w:p>
    <w:p w14:paraId="0A3D9292">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bCs/>
          <w:color w:val="auto"/>
          <w:sz w:val="24"/>
        </w:rPr>
        <w:t>采购服务</w:t>
      </w:r>
      <w:r>
        <w:rPr>
          <w:rFonts w:hint="eastAsia" w:ascii="宋体" w:hAnsi="宋体" w:eastAsia="宋体" w:cs="宋体"/>
          <w:color w:val="auto"/>
          <w:kern w:val="0"/>
          <w:sz w:val="24"/>
          <w:highlight w:val="none"/>
        </w:rPr>
        <w:t>技术规范响应及偏离表</w:t>
      </w:r>
      <w:r>
        <w:rPr>
          <w:rFonts w:hint="eastAsia" w:ascii="宋体" w:hAnsi="宋体" w:eastAsia="宋体" w:cs="宋体"/>
          <w:sz w:val="24"/>
          <w:szCs w:val="24"/>
          <w:highlight w:val="none"/>
        </w:rPr>
        <w:t>…………………………………………………………</w:t>
      </w:r>
    </w:p>
    <w:p w14:paraId="19644CD2">
      <w:pPr>
        <w:snapToGrid w:val="0"/>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w:t>
      </w:r>
      <w:r>
        <w:rPr>
          <w:rFonts w:hint="eastAsia" w:ascii="宋体" w:hAnsi="宋体" w:eastAsia="宋体" w:cs="宋体"/>
          <w:color w:val="auto"/>
          <w:sz w:val="24"/>
          <w:highlight w:val="none"/>
        </w:rPr>
        <w:t>近</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年（自20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月至响应文件递交截止日）完成的同类项目合同案例列表及相关证明资料</w:t>
      </w:r>
      <w:r>
        <w:rPr>
          <w:rFonts w:hint="eastAsia" w:ascii="宋体" w:hAnsi="宋体" w:eastAsia="宋体" w:cs="宋体"/>
          <w:sz w:val="24"/>
          <w:highlight w:val="none"/>
        </w:rPr>
        <w:t>………………………………………………………………………………</w:t>
      </w:r>
    </w:p>
    <w:p w14:paraId="78FFD90F">
      <w:pPr>
        <w:snapToGrid w:val="0"/>
        <w:spacing w:line="42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w:t>
      </w:r>
      <w:r>
        <w:rPr>
          <w:rFonts w:hint="eastAsia" w:ascii="宋体" w:hAnsi="宋体" w:eastAsia="宋体" w:cs="宋体"/>
          <w:color w:val="auto"/>
          <w:sz w:val="24"/>
          <w:szCs w:val="32"/>
          <w:lang w:val="en-US" w:eastAsia="zh-CN"/>
        </w:rPr>
        <w:t>服务方案</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054E37D8">
      <w:pPr>
        <w:snapToGrid w:val="0"/>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w:t>
      </w:r>
      <w:r>
        <w:rPr>
          <w:rFonts w:hint="eastAsia" w:ascii="宋体" w:hAnsi="宋体" w:eastAsia="宋体" w:cs="宋体"/>
          <w:color w:val="auto"/>
          <w:sz w:val="24"/>
          <w:szCs w:val="32"/>
          <w:highlight w:val="none"/>
        </w:rPr>
        <w:t>人员配置</w:t>
      </w:r>
      <w:r>
        <w:rPr>
          <w:rFonts w:hint="eastAsia" w:ascii="宋体" w:hAnsi="宋体" w:eastAsia="宋体" w:cs="宋体"/>
          <w:color w:val="auto"/>
          <w:sz w:val="24"/>
          <w:szCs w:val="32"/>
          <w:highlight w:val="none"/>
          <w:lang w:val="en-US" w:eastAsia="zh-CN"/>
        </w:rPr>
        <w:t>等</w:t>
      </w:r>
      <w:r>
        <w:rPr>
          <w:rFonts w:hint="eastAsia" w:ascii="宋体" w:hAnsi="宋体" w:eastAsia="宋体" w:cs="宋体"/>
          <w:color w:val="auto"/>
          <w:sz w:val="24"/>
          <w:szCs w:val="32"/>
          <w:highlight w:val="none"/>
        </w:rPr>
        <w:t>证明材料</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14:paraId="35BF8840">
      <w:pPr>
        <w:tabs>
          <w:tab w:val="left" w:pos="567"/>
        </w:tabs>
        <w:topLinePunct/>
        <w:autoSpaceDE w:val="0"/>
        <w:autoSpaceDN w:val="0"/>
        <w:snapToGrid w:val="0"/>
        <w:spacing w:line="460" w:lineRule="exact"/>
        <w:rPr>
          <w:rFonts w:hint="eastAsia" w:ascii="宋体" w:hAnsi="宋体" w:eastAsia="宋体" w:cs="宋体"/>
          <w:sz w:val="24"/>
          <w:szCs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.供应商认为需要提供的其他商务、技术材料。</w:t>
      </w:r>
      <w:r>
        <w:rPr>
          <w:rFonts w:hint="eastAsia" w:ascii="宋体" w:hAnsi="宋体" w:eastAsia="宋体" w:cs="宋体"/>
          <w:sz w:val="24"/>
          <w:szCs w:val="24"/>
          <w:highlight w:val="none"/>
        </w:rPr>
        <w:t>……………………………………………</w:t>
      </w:r>
    </w:p>
    <w:p w14:paraId="0A59573F">
      <w:pPr>
        <w:pStyle w:val="18"/>
        <w:snapToGrid w:val="0"/>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.政策性要求…………………………………………………………………………………</w:t>
      </w:r>
    </w:p>
    <w:p w14:paraId="70B92FA1">
      <w:pPr>
        <w:snapToGrid w:val="0"/>
        <w:spacing w:line="420" w:lineRule="exact"/>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资格证明文件</w:t>
      </w:r>
    </w:p>
    <w:p w14:paraId="29822C77">
      <w:pPr>
        <w:bidi w:val="0"/>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1.长治市政府采购供应商信用承诺函</w:t>
      </w:r>
    </w:p>
    <w:p w14:paraId="44170059">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3CAA064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07F84664">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23AC545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063036D9">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617EBF30">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12BD7C2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23C1647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3B0265C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6E907D3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515CC03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68B9B81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39ED4FF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75391DC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79F7756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0BBD149A">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72B9369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1724A0D9">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法定代表人或授权代表、负责人、本人 (签字或电子印章)：</w:t>
      </w:r>
    </w:p>
    <w:p w14:paraId="01D9B09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7C685727">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注：1.供应商须在投标（响应）文件中按此模板提供承诺函，既未提供上述承诺函，又未提供对应事项证明材料的，视为未实质性响应采购文件要求，按无效投标（响应）处理。</w:t>
      </w:r>
    </w:p>
    <w:p w14:paraId="66826559">
      <w:pPr>
        <w:spacing w:line="360" w:lineRule="auto"/>
        <w:ind w:firstLine="2880" w:firstLineChars="1200"/>
        <w:rPr>
          <w:rFonts w:hint="eastAsia" w:ascii="宋体" w:hAnsi="宋体" w:eastAsia="宋体" w:cs="宋体"/>
          <w:sz w:val="24"/>
          <w:highlight w:val="none"/>
        </w:rPr>
      </w:pPr>
      <w:r>
        <w:rPr>
          <w:rFonts w:hint="eastAsia" w:ascii="宋体" w:hAnsi="宋体" w:eastAsia="宋体" w:cs="宋体"/>
          <w:color w:val="auto"/>
          <w:sz w:val="24"/>
          <w:szCs w:val="24"/>
          <w:lang w:eastAsia="zh-CN"/>
        </w:rPr>
        <w:t>2.供应商的法定代表人或者授权代表的签字或盖章应真实、有效，如由授权代表签字或盖章的，应提供“法定代表人授权书”。</w:t>
      </w:r>
    </w:p>
    <w:p w14:paraId="0C3B84F4">
      <w:pPr>
        <w:spacing w:line="360" w:lineRule="auto"/>
        <w:ind w:firstLine="480" w:firstLineChars="200"/>
        <w:rPr>
          <w:rFonts w:hint="eastAsia" w:ascii="宋体" w:hAnsi="宋体" w:eastAsia="宋体" w:cs="宋体"/>
          <w:sz w:val="24"/>
          <w:highlight w:val="none"/>
        </w:rPr>
      </w:pPr>
    </w:p>
    <w:p w14:paraId="63A001D9">
      <w:pPr>
        <w:spacing w:line="360" w:lineRule="auto"/>
        <w:rPr>
          <w:rFonts w:hint="eastAsia" w:ascii="宋体" w:hAnsi="宋体" w:eastAsia="宋体" w:cs="宋体"/>
          <w:kern w:val="0"/>
          <w:sz w:val="24"/>
          <w:szCs w:val="21"/>
          <w:highlight w:val="none"/>
        </w:rPr>
      </w:pPr>
      <w:r>
        <w:rPr>
          <w:rFonts w:hint="eastAsia" w:ascii="宋体" w:hAnsi="宋体" w:eastAsia="宋体" w:cs="宋体"/>
          <w:b/>
          <w:kern w:val="0"/>
          <w:sz w:val="24"/>
          <w:highlight w:val="none"/>
        </w:rPr>
        <w:br w:type="page"/>
      </w:r>
      <w:r>
        <w:rPr>
          <w:rFonts w:hint="eastAsia" w:ascii="Times New Roman" w:hAnsi="Times New Roman" w:eastAsia="宋体" w:cs="Times New Roman"/>
          <w:b/>
          <w:bCs/>
          <w:sz w:val="28"/>
          <w:szCs w:val="28"/>
          <w:lang w:val="en-US" w:eastAsia="zh-CN"/>
        </w:rPr>
        <w:t>2.供应商廉洁自律承诺书</w:t>
      </w:r>
    </w:p>
    <w:p w14:paraId="60C01AA6">
      <w:pPr>
        <w:spacing w:line="360" w:lineRule="auto"/>
        <w:rPr>
          <w:rFonts w:hint="eastAsia" w:ascii="宋体" w:hAnsi="宋体" w:eastAsia="宋体" w:cs="宋体"/>
          <w:b/>
          <w:spacing w:val="20"/>
          <w:sz w:val="24"/>
          <w:highlight w:val="none"/>
        </w:rPr>
      </w:pPr>
    </w:p>
    <w:p w14:paraId="02BEA6EC">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供应商廉洁自律承诺书</w:t>
      </w:r>
    </w:p>
    <w:p w14:paraId="62D167A6">
      <w:pPr>
        <w:spacing w:line="360" w:lineRule="auto"/>
        <w:rPr>
          <w:rFonts w:hint="eastAsia" w:ascii="宋体" w:hAnsi="宋体" w:eastAsia="宋体" w:cs="宋体"/>
          <w:b/>
          <w:spacing w:val="20"/>
          <w:sz w:val="24"/>
          <w:highlight w:val="none"/>
        </w:rPr>
      </w:pPr>
    </w:p>
    <w:p w14:paraId="5F3A97A8">
      <w:pPr>
        <w:spacing w:line="360" w:lineRule="auto"/>
        <w:rPr>
          <w:rFonts w:hint="eastAsia" w:ascii="宋体" w:hAnsi="宋体" w:eastAsia="宋体" w:cs="宋体"/>
          <w:sz w:val="24"/>
          <w:highlight w:val="none"/>
          <w:u w:val="single"/>
        </w:rPr>
      </w:pPr>
      <w:r>
        <w:rPr>
          <w:rFonts w:hint="eastAsia" w:ascii="宋体" w:hAnsi="宋体" w:eastAsia="宋体" w:cs="宋体"/>
          <w:sz w:val="24"/>
          <w:u w:val="single"/>
        </w:rPr>
        <w:t>采购代理机构名称</w:t>
      </w:r>
      <w:r>
        <w:rPr>
          <w:rFonts w:hint="eastAsia" w:ascii="宋体" w:hAnsi="宋体" w:eastAsia="宋体" w:cs="宋体"/>
          <w:sz w:val="24"/>
          <w:highlight w:val="none"/>
          <w:u w:val="single"/>
        </w:rPr>
        <w:t xml:space="preserve"> ：</w:t>
      </w:r>
    </w:p>
    <w:p w14:paraId="294CE09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为维护本磋商项目的正常工作秩序，本公司特郑重承诺：</w:t>
      </w:r>
    </w:p>
    <w:p w14:paraId="4F9AF42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一、保证严格按照相关法律法规规定及本磋商文件的相关规定，规范本公司的行为，做到合法、合规参与本次采购活动，正当、公平参与竞争。</w:t>
      </w:r>
    </w:p>
    <w:p w14:paraId="069717E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二、本公司保证在竞争性磋商活动中做到：</w:t>
      </w:r>
    </w:p>
    <w:p w14:paraId="0CEB73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1.不与其他供应商相互串通报价或恶意低价竞争谋取成交，损害采购人的合法权益；</w:t>
      </w:r>
    </w:p>
    <w:p w14:paraId="13038D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2.不与采购人、采购代理机构串通，围标、串标参与本采购项目，损害采购人利益或他人的合法权益；</w:t>
      </w:r>
    </w:p>
    <w:p w14:paraId="5023A1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以向采购人、采购代理机构或者磋商小组成员通过行贿（包括送礼金礼品、有价证券、购物券、回扣、佣金、咨询费、劳务费、赞助费、宣传费、支付旅游费用、报销各种消费凭证、宴请、娱乐等）手段谋取成交；</w:t>
      </w:r>
    </w:p>
    <w:p w14:paraId="14FDE03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4.不通过提供虚假材料，谋取成交；</w:t>
      </w:r>
    </w:p>
    <w:p w14:paraId="7651EC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5.保证成交后严格按照本次采购文件及我公司在磋商中的相关承诺，在规定时间内与采购人签订政府采购合同；</w:t>
      </w:r>
    </w:p>
    <w:p w14:paraId="274F367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6.不以其他任何方式扰乱本次采购工作；</w:t>
      </w:r>
    </w:p>
    <w:p w14:paraId="4626A3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7.保证严格遵守会议纪律；</w:t>
      </w:r>
    </w:p>
    <w:p w14:paraId="35A6A9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8.不存在本磋商文件第十条供应商违法违规行为。</w:t>
      </w:r>
    </w:p>
    <w:p w14:paraId="79FF15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在本次采购活动中，如有违反以上第二条中的任何一款行为，除承担扣除磋商保证金的惩罚外，同意贵方上报上级主管部门，按相关法律规定给予处罚，我公司及项目参与人员完全接受。</w:t>
      </w:r>
    </w:p>
    <w:p w14:paraId="1F1CAFA9">
      <w:pPr>
        <w:spacing w:line="360" w:lineRule="auto"/>
        <w:ind w:firstLine="480" w:firstLineChars="200"/>
        <w:rPr>
          <w:rFonts w:hint="eastAsia" w:ascii="宋体" w:hAnsi="宋体" w:eastAsia="宋体" w:cs="宋体"/>
          <w:sz w:val="24"/>
          <w:highlight w:val="none"/>
        </w:rPr>
      </w:pPr>
    </w:p>
    <w:p w14:paraId="7933FD67">
      <w:pPr>
        <w:spacing w:line="360" w:lineRule="auto"/>
        <w:ind w:firstLine="480" w:firstLineChars="200"/>
        <w:rPr>
          <w:rFonts w:hint="eastAsia" w:ascii="宋体" w:hAnsi="宋体" w:eastAsia="宋体" w:cs="宋体"/>
          <w:sz w:val="24"/>
          <w:highlight w:val="none"/>
        </w:rPr>
      </w:pPr>
    </w:p>
    <w:p w14:paraId="18EF11BC">
      <w:pPr>
        <w:spacing w:line="360" w:lineRule="auto"/>
        <w:ind w:firstLine="2880" w:firstLineChars="1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421FD1BD">
      <w:pPr>
        <w:spacing w:line="360" w:lineRule="auto"/>
        <w:ind w:firstLine="2880" w:firstLineChars="1200"/>
        <w:rPr>
          <w:rFonts w:hint="eastAsia" w:ascii="宋体" w:hAnsi="宋体" w:eastAsia="宋体" w:cs="宋体"/>
          <w:sz w:val="24"/>
          <w:highlight w:val="none"/>
        </w:rPr>
      </w:pPr>
      <w:r>
        <w:rPr>
          <w:rFonts w:hint="eastAsia" w:ascii="宋体" w:hAnsi="宋体" w:eastAsia="宋体" w:cs="宋体"/>
          <w:sz w:val="24"/>
          <w:highlight w:val="none"/>
        </w:rPr>
        <w:t>日      期：</w:t>
      </w:r>
    </w:p>
    <w:p w14:paraId="0BDD190E">
      <w:pPr>
        <w:spacing w:line="360" w:lineRule="auto"/>
        <w:jc w:val="center"/>
        <w:rPr>
          <w:rFonts w:hint="eastAsia" w:ascii="宋体" w:hAnsi="宋体" w:eastAsia="宋体" w:cs="宋体"/>
          <w:b/>
          <w:kern w:val="0"/>
          <w:sz w:val="24"/>
          <w:highlight w:val="none"/>
        </w:rPr>
      </w:pPr>
      <w:r>
        <w:rPr>
          <w:rFonts w:hint="eastAsia" w:ascii="宋体" w:hAnsi="宋体" w:eastAsia="宋体" w:cs="宋体"/>
          <w:kern w:val="0"/>
          <w:sz w:val="24"/>
          <w:szCs w:val="21"/>
          <w:highlight w:val="none"/>
        </w:rPr>
        <w:br w:type="page"/>
      </w:r>
      <w:r>
        <w:rPr>
          <w:rFonts w:hint="eastAsia" w:ascii="Times New Roman" w:hAnsi="Times New Roman" w:eastAsia="宋体" w:cs="Times New Roman"/>
          <w:b/>
          <w:bCs/>
          <w:sz w:val="28"/>
          <w:szCs w:val="28"/>
          <w:lang w:val="en-US" w:eastAsia="zh-CN"/>
        </w:rPr>
        <w:t>3.落实政府采购政策资格要求的证明文件（适用于专门面向中小企业的采购项目）中小企业声明</w:t>
      </w:r>
    </w:p>
    <w:p w14:paraId="14401628">
      <w:pPr>
        <w:spacing w:line="360" w:lineRule="auto"/>
        <w:jc w:val="center"/>
        <w:rPr>
          <w:rFonts w:hint="eastAsia" w:ascii="宋体" w:hAnsi="宋体" w:eastAsia="宋体" w:cs="宋体"/>
          <w:b/>
          <w:bCs/>
          <w:spacing w:val="0"/>
          <w:sz w:val="24"/>
          <w:highlight w:val="none"/>
          <w:shd w:val="clear" w:color="auto" w:fill="FFFFFF"/>
        </w:rPr>
      </w:pPr>
      <w:r>
        <w:rPr>
          <w:rFonts w:hint="eastAsia" w:ascii="宋体" w:hAnsi="宋体" w:eastAsia="宋体" w:cs="宋体"/>
          <w:b/>
          <w:bCs/>
          <w:spacing w:val="0"/>
          <w:sz w:val="24"/>
          <w:highlight w:val="none"/>
          <w:shd w:val="clear" w:color="auto" w:fill="FFFFFF"/>
        </w:rPr>
        <w:t>中小企业声明函（服务</w:t>
      </w:r>
      <w:r>
        <w:rPr>
          <w:rFonts w:hint="eastAsia" w:ascii="宋体" w:hAnsi="宋体" w:eastAsia="宋体" w:cs="宋体"/>
          <w:b/>
          <w:bCs/>
          <w:spacing w:val="0"/>
          <w:sz w:val="24"/>
          <w:highlight w:val="none"/>
          <w:shd w:val="clear" w:color="auto" w:fill="FFFFFF"/>
          <w:lang w:eastAsia="zh-CN"/>
        </w:rPr>
        <w:t>、</w:t>
      </w:r>
      <w:r>
        <w:rPr>
          <w:rFonts w:hint="eastAsia" w:ascii="宋体" w:hAnsi="宋体" w:eastAsia="宋体" w:cs="宋体"/>
          <w:b/>
          <w:bCs/>
          <w:spacing w:val="0"/>
          <w:sz w:val="24"/>
          <w:highlight w:val="none"/>
          <w:shd w:val="clear" w:color="auto" w:fill="FFFFFF"/>
          <w:lang w:val="en-US" w:eastAsia="zh-CN"/>
        </w:rPr>
        <w:t>工程</w:t>
      </w:r>
      <w:r>
        <w:rPr>
          <w:rFonts w:hint="eastAsia" w:ascii="宋体" w:hAnsi="宋体" w:eastAsia="宋体" w:cs="宋体"/>
          <w:b/>
          <w:bCs/>
          <w:spacing w:val="0"/>
          <w:sz w:val="24"/>
          <w:highlight w:val="none"/>
          <w:shd w:val="clear" w:color="auto" w:fill="FFFFFF"/>
        </w:rPr>
        <w:t>）</w:t>
      </w:r>
    </w:p>
    <w:p w14:paraId="4F6C140A">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pacing w:val="0"/>
          <w:sz w:val="21"/>
          <w:szCs w:val="21"/>
          <w:highlight w:val="none"/>
          <w:u w:val="single"/>
          <w:shd w:val="clear" w:color="auto" w:fill="FFFFFF"/>
        </w:rPr>
        <w:t xml:space="preserve">  （单位名称）  </w:t>
      </w:r>
      <w:r>
        <w:rPr>
          <w:rFonts w:hint="eastAsia" w:ascii="宋体" w:hAnsi="宋体" w:eastAsia="宋体" w:cs="宋体"/>
          <w:spacing w:val="0"/>
          <w:sz w:val="21"/>
          <w:szCs w:val="21"/>
          <w:highlight w:val="none"/>
          <w:shd w:val="clear" w:color="auto" w:fill="FFFFFF"/>
        </w:rPr>
        <w:t>的</w:t>
      </w:r>
      <w:r>
        <w:rPr>
          <w:rFonts w:hint="eastAsia" w:ascii="宋体" w:hAnsi="宋体" w:eastAsia="宋体" w:cs="宋体"/>
          <w:spacing w:val="0"/>
          <w:sz w:val="21"/>
          <w:szCs w:val="21"/>
          <w:highlight w:val="none"/>
          <w:u w:val="single"/>
          <w:shd w:val="clear" w:color="auto" w:fill="FFFFFF"/>
        </w:rPr>
        <w:t xml:space="preserve">  （项目名称）  </w:t>
      </w:r>
      <w:r>
        <w:rPr>
          <w:rFonts w:hint="eastAsia" w:ascii="宋体" w:hAnsi="宋体" w:eastAsia="宋体" w:cs="宋体"/>
          <w:spacing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46E9B5C2">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1.</w:t>
      </w:r>
      <w:r>
        <w:rPr>
          <w:rFonts w:hint="eastAsia" w:ascii="宋体" w:hAnsi="宋体" w:eastAsia="宋体" w:cs="宋体"/>
          <w:spacing w:val="0"/>
          <w:sz w:val="21"/>
          <w:szCs w:val="21"/>
          <w:highlight w:val="none"/>
          <w:u w:val="single"/>
          <w:shd w:val="clear" w:color="auto" w:fill="FFFFFF"/>
        </w:rPr>
        <w:t xml:space="preserve">  （标的名称）  </w:t>
      </w:r>
      <w:r>
        <w:rPr>
          <w:rFonts w:hint="eastAsia" w:ascii="宋体" w:hAnsi="宋体" w:eastAsia="宋体" w:cs="宋体"/>
          <w:spacing w:val="0"/>
          <w:sz w:val="21"/>
          <w:szCs w:val="21"/>
          <w:highlight w:val="none"/>
          <w:shd w:val="clear" w:color="auto" w:fill="FFFFFF"/>
        </w:rPr>
        <w:t>，属于</w:t>
      </w:r>
      <w:r>
        <w:rPr>
          <w:rFonts w:hint="eastAsia" w:ascii="宋体" w:hAnsi="宋体" w:eastAsia="宋体" w:cs="宋体"/>
          <w:spacing w:val="0"/>
          <w:sz w:val="21"/>
          <w:szCs w:val="21"/>
          <w:highlight w:val="none"/>
          <w:u w:val="single"/>
          <w:shd w:val="clear" w:color="auto" w:fill="FFFFFF"/>
        </w:rPr>
        <w:t xml:space="preserve">  （采购文件中明确的所属行业）  </w:t>
      </w:r>
      <w:r>
        <w:rPr>
          <w:rFonts w:hint="eastAsia" w:ascii="宋体" w:hAnsi="宋体" w:eastAsia="宋体" w:cs="宋体"/>
          <w:spacing w:val="0"/>
          <w:sz w:val="21"/>
          <w:szCs w:val="21"/>
          <w:highlight w:val="none"/>
          <w:shd w:val="clear" w:color="auto" w:fill="FFFFFF"/>
        </w:rPr>
        <w:t>；承接企业为</w:t>
      </w:r>
      <w:r>
        <w:rPr>
          <w:rFonts w:hint="eastAsia" w:ascii="宋体" w:hAnsi="宋体" w:eastAsia="宋体" w:cs="宋体"/>
          <w:spacing w:val="0"/>
          <w:sz w:val="21"/>
          <w:szCs w:val="21"/>
          <w:highlight w:val="none"/>
          <w:u w:val="single"/>
          <w:shd w:val="clear" w:color="auto" w:fill="FFFFFF"/>
        </w:rPr>
        <w:t xml:space="preserve">  （企业名称）  </w:t>
      </w:r>
      <w:r>
        <w:rPr>
          <w:rFonts w:hint="eastAsia" w:ascii="宋体" w:hAnsi="宋体" w:eastAsia="宋体" w:cs="宋体"/>
          <w:spacing w:val="0"/>
          <w:sz w:val="21"/>
          <w:szCs w:val="21"/>
          <w:highlight w:val="none"/>
          <w:shd w:val="clear" w:color="auto" w:fill="FFFFFF"/>
        </w:rPr>
        <w:t>，从业人员</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人，营业收入为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万元，资产总额为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万元，属于（</w:t>
      </w:r>
      <w:r>
        <w:rPr>
          <w:rFonts w:hint="eastAsia" w:ascii="宋体" w:hAnsi="宋体" w:eastAsia="宋体" w:cs="宋体"/>
          <w:spacing w:val="0"/>
          <w:sz w:val="21"/>
          <w:szCs w:val="21"/>
          <w:highlight w:val="none"/>
          <w:u w:val="single"/>
          <w:shd w:val="clear" w:color="auto" w:fill="FFFFFF"/>
        </w:rPr>
        <w:t>中型企业、小型企业、微型企业</w:t>
      </w:r>
      <w:r>
        <w:rPr>
          <w:rFonts w:hint="eastAsia" w:ascii="宋体" w:hAnsi="宋体" w:eastAsia="宋体" w:cs="宋体"/>
          <w:spacing w:val="0"/>
          <w:sz w:val="21"/>
          <w:szCs w:val="21"/>
          <w:highlight w:val="none"/>
          <w:shd w:val="clear" w:color="auto" w:fill="FFFFFF"/>
        </w:rPr>
        <w:t>）；</w:t>
      </w:r>
    </w:p>
    <w:p w14:paraId="64FA17AE">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2.</w:t>
      </w:r>
      <w:r>
        <w:rPr>
          <w:rFonts w:hint="eastAsia" w:ascii="宋体" w:hAnsi="宋体" w:eastAsia="宋体" w:cs="宋体"/>
          <w:spacing w:val="0"/>
          <w:sz w:val="21"/>
          <w:szCs w:val="21"/>
          <w:highlight w:val="none"/>
          <w:u w:val="single"/>
          <w:shd w:val="clear" w:color="auto" w:fill="FFFFFF"/>
        </w:rPr>
        <w:t xml:space="preserve">  （标的名称）  </w:t>
      </w:r>
      <w:r>
        <w:rPr>
          <w:rFonts w:hint="eastAsia" w:ascii="宋体" w:hAnsi="宋体" w:eastAsia="宋体" w:cs="宋体"/>
          <w:spacing w:val="0"/>
          <w:sz w:val="21"/>
          <w:szCs w:val="21"/>
          <w:highlight w:val="none"/>
          <w:shd w:val="clear" w:color="auto" w:fill="FFFFFF"/>
        </w:rPr>
        <w:t>，属于</w:t>
      </w:r>
      <w:r>
        <w:rPr>
          <w:rFonts w:hint="eastAsia" w:ascii="宋体" w:hAnsi="宋体" w:eastAsia="宋体" w:cs="宋体"/>
          <w:spacing w:val="0"/>
          <w:sz w:val="21"/>
          <w:szCs w:val="21"/>
          <w:highlight w:val="none"/>
          <w:u w:val="single"/>
          <w:shd w:val="clear" w:color="auto" w:fill="FFFFFF"/>
        </w:rPr>
        <w:t xml:space="preserve">  （采购文件中明确的所属行业）  </w:t>
      </w:r>
      <w:r>
        <w:rPr>
          <w:rFonts w:hint="eastAsia" w:ascii="宋体" w:hAnsi="宋体" w:eastAsia="宋体" w:cs="宋体"/>
          <w:spacing w:val="0"/>
          <w:sz w:val="21"/>
          <w:szCs w:val="21"/>
          <w:highlight w:val="none"/>
          <w:shd w:val="clear" w:color="auto" w:fill="FFFFFF"/>
        </w:rPr>
        <w:t>；承接企业为</w:t>
      </w:r>
      <w:r>
        <w:rPr>
          <w:rFonts w:hint="eastAsia" w:ascii="宋体" w:hAnsi="宋体" w:eastAsia="宋体" w:cs="宋体"/>
          <w:spacing w:val="0"/>
          <w:sz w:val="21"/>
          <w:szCs w:val="21"/>
          <w:highlight w:val="none"/>
          <w:u w:val="single"/>
          <w:shd w:val="clear" w:color="auto" w:fill="FFFFFF"/>
        </w:rPr>
        <w:t xml:space="preserve">  （企业名称）  </w:t>
      </w:r>
      <w:r>
        <w:rPr>
          <w:rFonts w:hint="eastAsia" w:ascii="宋体" w:hAnsi="宋体" w:eastAsia="宋体" w:cs="宋体"/>
          <w:spacing w:val="0"/>
          <w:sz w:val="21"/>
          <w:szCs w:val="21"/>
          <w:highlight w:val="none"/>
          <w:shd w:val="clear" w:color="auto" w:fill="FFFFFF"/>
        </w:rPr>
        <w:t>，从业人员</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人，营业收入为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万元，资产总额为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万元，属于（</w:t>
      </w:r>
      <w:r>
        <w:rPr>
          <w:rFonts w:hint="eastAsia" w:ascii="宋体" w:hAnsi="宋体" w:eastAsia="宋体" w:cs="宋体"/>
          <w:spacing w:val="0"/>
          <w:sz w:val="21"/>
          <w:szCs w:val="21"/>
          <w:highlight w:val="none"/>
          <w:u w:val="single"/>
          <w:shd w:val="clear" w:color="auto" w:fill="FFFFFF"/>
        </w:rPr>
        <w:t>中型企业、小型企业、微型企业</w:t>
      </w:r>
      <w:r>
        <w:rPr>
          <w:rFonts w:hint="eastAsia" w:ascii="宋体" w:hAnsi="宋体" w:eastAsia="宋体" w:cs="宋体"/>
          <w:spacing w:val="0"/>
          <w:sz w:val="21"/>
          <w:szCs w:val="21"/>
          <w:highlight w:val="none"/>
          <w:shd w:val="clear" w:color="auto" w:fill="FFFFFF"/>
        </w:rPr>
        <w:t>）；</w:t>
      </w:r>
    </w:p>
    <w:p w14:paraId="6E6C892D">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w:t>
      </w:r>
    </w:p>
    <w:p w14:paraId="055FC9D3">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以上企业，不属于大企业的分支机构，不存在控股股东为大企业的情形，也不存在与大企业的负责人为同一人的情形。</w:t>
      </w:r>
    </w:p>
    <w:p w14:paraId="1D82E2CC">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本企业对上述声明内容的真实性负责。如有虚假，将依法承担相应责任。</w:t>
      </w:r>
    </w:p>
    <w:p w14:paraId="5913F499">
      <w:pPr>
        <w:spacing w:line="360" w:lineRule="auto"/>
        <w:rPr>
          <w:rFonts w:hint="eastAsia" w:ascii="宋体" w:hAnsi="宋体" w:eastAsia="宋体" w:cs="宋体"/>
          <w:spacing w:val="0"/>
          <w:sz w:val="24"/>
          <w:highlight w:val="none"/>
        </w:rPr>
      </w:pPr>
    </w:p>
    <w:p w14:paraId="5D43AB67">
      <w:pPr>
        <w:spacing w:line="360" w:lineRule="auto"/>
        <w:rPr>
          <w:rFonts w:hint="eastAsia" w:ascii="宋体" w:hAnsi="宋体" w:eastAsia="宋体" w:cs="宋体"/>
          <w:spacing w:val="0"/>
          <w:sz w:val="24"/>
          <w:highlight w:val="none"/>
        </w:rPr>
      </w:pPr>
    </w:p>
    <w:p w14:paraId="0B50C5B5">
      <w:pPr>
        <w:spacing w:line="360" w:lineRule="auto"/>
        <w:ind w:firstLine="4560" w:firstLineChars="1900"/>
        <w:rPr>
          <w:rFonts w:hint="eastAsia" w:ascii="宋体" w:hAnsi="宋体" w:eastAsia="宋体" w:cs="宋体"/>
          <w:spacing w:val="0"/>
          <w:sz w:val="24"/>
          <w:highlight w:val="none"/>
        </w:rPr>
      </w:pPr>
      <w:r>
        <w:rPr>
          <w:rFonts w:hint="eastAsia" w:ascii="宋体" w:hAnsi="宋体" w:eastAsia="宋体" w:cs="宋体"/>
          <w:spacing w:val="0"/>
          <w:sz w:val="24"/>
          <w:highlight w:val="none"/>
        </w:rPr>
        <w:t>供应商名称：           （盖章）</w:t>
      </w:r>
    </w:p>
    <w:p w14:paraId="746DF6EC">
      <w:pPr>
        <w:spacing w:line="360" w:lineRule="auto"/>
        <w:ind w:firstLine="4560" w:firstLineChars="1900"/>
        <w:rPr>
          <w:rFonts w:hint="eastAsia" w:ascii="宋体" w:hAnsi="宋体" w:eastAsia="宋体" w:cs="宋体"/>
          <w:b/>
          <w:spacing w:val="0"/>
          <w:kern w:val="0"/>
          <w:sz w:val="24"/>
          <w:highlight w:val="none"/>
        </w:rPr>
      </w:pPr>
      <w:r>
        <w:rPr>
          <w:rFonts w:hint="eastAsia" w:ascii="宋体" w:hAnsi="宋体" w:eastAsia="宋体" w:cs="宋体"/>
          <w:spacing w:val="0"/>
          <w:sz w:val="24"/>
          <w:highlight w:val="none"/>
        </w:rPr>
        <w:t>日      期：</w:t>
      </w:r>
    </w:p>
    <w:p w14:paraId="3796B0AB">
      <w:pPr>
        <w:spacing w:line="360" w:lineRule="auto"/>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注：</w:t>
      </w:r>
    </w:p>
    <w:p w14:paraId="37C7A675">
      <w:pPr>
        <w:spacing w:line="360" w:lineRule="auto"/>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1.从业人员、营业收入、资产总额填报上一年度年报数据，无上一年度数据的新成立企业可不填报。</w:t>
      </w:r>
    </w:p>
    <w:p w14:paraId="41DD09FE">
      <w:pPr>
        <w:spacing w:line="360" w:lineRule="auto"/>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2.专门面向中小企业的采购项目，此项内容作为资格条件，应在供应商资格证明文件部分上传。</w:t>
      </w:r>
    </w:p>
    <w:p w14:paraId="3D88714A">
      <w:pPr>
        <w:spacing w:line="360" w:lineRule="auto"/>
        <w:jc w:val="left"/>
        <w:rPr>
          <w:rFonts w:hint="eastAsia" w:ascii="宋体" w:hAnsi="宋体" w:eastAsia="宋体" w:cs="宋体"/>
          <w:b/>
          <w:bCs/>
          <w:szCs w:val="21"/>
          <w:highlight w:val="none"/>
        </w:rPr>
      </w:pPr>
      <w:r>
        <w:rPr>
          <w:rFonts w:hint="eastAsia" w:ascii="宋体" w:hAnsi="宋体" w:eastAsia="宋体" w:cs="宋体"/>
          <w:b/>
          <w:bCs/>
          <w:spacing w:val="0"/>
          <w:szCs w:val="21"/>
          <w:highlight w:val="none"/>
        </w:rPr>
        <w:t>3.非专门面向中小企业的采购项目，如未提供，不予认可。</w:t>
      </w:r>
    </w:p>
    <w:p w14:paraId="3680945E">
      <w:pPr>
        <w:spacing w:line="360" w:lineRule="auto"/>
        <w:rPr>
          <w:rFonts w:hint="eastAsia" w:ascii="宋体" w:hAnsi="宋体" w:eastAsia="宋体" w:cs="宋体"/>
          <w:b/>
          <w:bCs/>
          <w:sz w:val="24"/>
          <w:highlight w:val="none"/>
        </w:rPr>
      </w:pPr>
    </w:p>
    <w:p w14:paraId="2FEE04E7">
      <w:pPr>
        <w:spacing w:line="360" w:lineRule="auto"/>
        <w:rPr>
          <w:rFonts w:hint="eastAsia" w:ascii="宋体" w:hAnsi="宋体" w:eastAsia="宋体" w:cs="宋体"/>
          <w:b/>
          <w:bCs/>
          <w:kern w:val="0"/>
          <w:sz w:val="24"/>
          <w:highlight w:val="none"/>
        </w:rPr>
      </w:pPr>
    </w:p>
    <w:p w14:paraId="59FC8C25">
      <w:pPr>
        <w:spacing w:line="360" w:lineRule="auto"/>
        <w:rPr>
          <w:rFonts w:hint="eastAsia" w:ascii="宋体" w:hAnsi="宋体" w:eastAsia="宋体" w:cs="宋体"/>
          <w:b/>
          <w:kern w:val="0"/>
          <w:sz w:val="24"/>
          <w:highlight w:val="none"/>
        </w:rPr>
      </w:pPr>
    </w:p>
    <w:p w14:paraId="6E739F90">
      <w:pPr>
        <w:spacing w:line="360" w:lineRule="auto"/>
        <w:rPr>
          <w:rFonts w:hint="eastAsia" w:ascii="宋体" w:hAnsi="宋体" w:eastAsia="宋体" w:cs="宋体"/>
          <w:b/>
          <w:kern w:val="0"/>
          <w:sz w:val="24"/>
          <w:highlight w:val="none"/>
        </w:rPr>
      </w:pPr>
    </w:p>
    <w:p w14:paraId="1CE2D65E">
      <w:pPr>
        <w:spacing w:line="360" w:lineRule="auto"/>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4</w:t>
      </w:r>
      <w:r>
        <w:rPr>
          <w:rFonts w:hint="eastAsia" w:ascii="宋体" w:hAnsi="宋体" w:eastAsia="宋体" w:cs="宋体"/>
          <w:b/>
          <w:kern w:val="0"/>
          <w:sz w:val="24"/>
          <w:highlight w:val="none"/>
        </w:rPr>
        <w:t>.本项目的特定资格要求：</w:t>
      </w:r>
      <w:r>
        <w:rPr>
          <w:rFonts w:hint="eastAsia" w:ascii="宋体" w:hAnsi="宋体" w:eastAsia="宋体" w:cs="宋体"/>
          <w:b/>
          <w:kern w:val="0"/>
          <w:sz w:val="24"/>
          <w:highlight w:val="none"/>
          <w:lang w:val="en-US" w:eastAsia="zh-CN"/>
        </w:rPr>
        <w:t>无</w:t>
      </w:r>
    </w:p>
    <w:p w14:paraId="3ED9F7CA">
      <w:pPr>
        <w:spacing w:line="360" w:lineRule="auto"/>
        <w:rPr>
          <w:rFonts w:hint="eastAsia" w:ascii="宋体" w:hAnsi="宋体" w:eastAsia="宋体" w:cs="宋体"/>
          <w:b/>
          <w:bCs/>
          <w:kern w:val="0"/>
          <w:sz w:val="24"/>
          <w:highlight w:val="none"/>
        </w:rPr>
      </w:pPr>
    </w:p>
    <w:p w14:paraId="4E720CF5">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5</w:t>
      </w:r>
      <w:r>
        <w:rPr>
          <w:rFonts w:hint="eastAsia" w:ascii="宋体" w:hAnsi="宋体" w:eastAsia="宋体" w:cs="宋体"/>
          <w:b/>
          <w:kern w:val="0"/>
          <w:sz w:val="24"/>
          <w:highlight w:val="none"/>
        </w:rPr>
        <w:t>.磋商保证金提交凭单。</w:t>
      </w:r>
    </w:p>
    <w:p w14:paraId="43E283A1">
      <w:p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扫描件或影印件须加盖供应商公章</w:t>
      </w:r>
    </w:p>
    <w:p w14:paraId="3798B9A2">
      <w:pPr>
        <w:spacing w:line="360" w:lineRule="auto"/>
        <w:rPr>
          <w:rFonts w:hint="eastAsia" w:ascii="宋体" w:hAnsi="宋体" w:eastAsia="宋体" w:cs="宋体"/>
          <w:b/>
          <w:bCs/>
          <w:sz w:val="24"/>
          <w:highlight w:val="none"/>
        </w:rPr>
      </w:pPr>
    </w:p>
    <w:p w14:paraId="513A156C">
      <w:pPr>
        <w:spacing w:line="360" w:lineRule="auto"/>
        <w:rPr>
          <w:rFonts w:hint="eastAsia" w:ascii="宋体" w:hAnsi="宋体" w:eastAsia="宋体" w:cs="宋体"/>
          <w:b/>
          <w:bCs/>
          <w:kern w:val="0"/>
          <w:sz w:val="24"/>
          <w:highlight w:val="none"/>
        </w:rPr>
      </w:pPr>
    </w:p>
    <w:p w14:paraId="1AB78EAD">
      <w:pPr>
        <w:spacing w:line="360" w:lineRule="auto"/>
        <w:rPr>
          <w:rFonts w:hint="eastAsia" w:ascii="宋体" w:hAnsi="宋体" w:eastAsia="宋体" w:cs="宋体"/>
          <w:b/>
          <w:bCs/>
          <w:kern w:val="0"/>
          <w:sz w:val="24"/>
          <w:highlight w:val="none"/>
        </w:rPr>
      </w:pPr>
    </w:p>
    <w:p w14:paraId="1737A172">
      <w:pPr>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商务、技术文件</w:t>
      </w:r>
    </w:p>
    <w:p w14:paraId="400FB59C">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1.法定代表人（负责人）身份证明书</w:t>
      </w:r>
    </w:p>
    <w:p w14:paraId="0B8BE564">
      <w:pPr>
        <w:snapToGrid w:val="0"/>
        <w:spacing w:line="360" w:lineRule="auto"/>
        <w:ind w:left="562" w:hanging="562" w:hangingChars="200"/>
        <w:rPr>
          <w:rFonts w:hint="eastAsia" w:ascii="宋体" w:hAnsi="宋体" w:eastAsia="宋体" w:cs="宋体"/>
          <w:b/>
          <w:kern w:val="0"/>
          <w:sz w:val="28"/>
          <w:szCs w:val="28"/>
          <w:highlight w:val="none"/>
        </w:rPr>
      </w:pPr>
    </w:p>
    <w:p w14:paraId="6E8D0050">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法定代表人（负责人）身份证明书</w:t>
      </w:r>
    </w:p>
    <w:p w14:paraId="41DF46D1">
      <w:pPr>
        <w:snapToGrid w:val="0"/>
        <w:spacing w:line="360" w:lineRule="auto"/>
        <w:ind w:firstLine="480" w:firstLineChars="200"/>
        <w:jc w:val="left"/>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单位名称：</w:t>
      </w:r>
    </w:p>
    <w:p w14:paraId="4AE2E220">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单位性质：</w:t>
      </w:r>
    </w:p>
    <w:p w14:paraId="35E9092D">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w:t>
      </w:r>
    </w:p>
    <w:p w14:paraId="79704E38">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日</w:t>
      </w:r>
    </w:p>
    <w:p w14:paraId="41C02B49">
      <w:pPr>
        <w:snapToGrid w:val="0"/>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p>
    <w:p w14:paraId="5CD64686">
      <w:pPr>
        <w:snapToGrid w:val="0"/>
        <w:spacing w:line="360" w:lineRule="auto"/>
        <w:ind w:firstLine="424" w:firstLineChars="177"/>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    名：</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u w:val="none"/>
        </w:rPr>
        <w:t>性  别：</w:t>
      </w:r>
    </w:p>
    <w:p w14:paraId="6F7348CC">
      <w:pPr>
        <w:snapToGrid w:val="0"/>
        <w:spacing w:line="360" w:lineRule="auto"/>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年    龄：</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职  务：</w:t>
      </w:r>
    </w:p>
    <w:p w14:paraId="27F135F3">
      <w:pPr>
        <w:snapToGrid w:val="0"/>
        <w:spacing w:line="360" w:lineRule="auto"/>
        <w:ind w:firstLine="420" w:firstLineChars="200"/>
        <w:jc w:val="left"/>
        <w:rPr>
          <w:rFonts w:hint="eastAsia" w:ascii="宋体" w:hAnsi="宋体" w:eastAsia="宋体" w:cs="宋体"/>
          <w:kern w:val="0"/>
          <w:sz w:val="24"/>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62336;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系       （供应商名称）         的法定代表人。</w:t>
      </w:r>
    </w:p>
    <w:p w14:paraId="039AE922">
      <w:pPr>
        <w:snapToGrid w:val="0"/>
        <w:spacing w:line="360" w:lineRule="auto"/>
        <w:ind w:firstLine="960" w:firstLine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14:paraId="59DC4053">
      <w:pPr>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7AF01249">
      <w:pPr>
        <w:snapToGrid w:val="0"/>
        <w:spacing w:line="480" w:lineRule="exact"/>
        <w:ind w:firstLine="2880" w:firstLineChars="1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7511846D">
      <w:pPr>
        <w:snapToGrid w:val="0"/>
        <w:spacing w:line="480" w:lineRule="exact"/>
        <w:ind w:firstLine="2880" w:firstLineChars="1200"/>
        <w:rPr>
          <w:rFonts w:hint="eastAsia" w:ascii="宋体" w:hAnsi="宋体" w:eastAsia="宋体" w:cs="宋体"/>
          <w:sz w:val="24"/>
          <w:highlight w:val="none"/>
        </w:rPr>
      </w:pPr>
      <w:r>
        <w:rPr>
          <w:rFonts w:hint="eastAsia" w:ascii="宋体" w:hAnsi="宋体" w:eastAsia="宋体" w:cs="宋体"/>
          <w:sz w:val="24"/>
          <w:highlight w:val="none"/>
        </w:rPr>
        <w:t>法定代表人（负责人）：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（签字或盖章）</w:t>
      </w:r>
    </w:p>
    <w:p w14:paraId="76076FE8">
      <w:pPr>
        <w:snapToGrid w:val="0"/>
        <w:spacing w:line="480" w:lineRule="exact"/>
        <w:ind w:firstLine="2880" w:firstLineChars="1200"/>
        <w:rPr>
          <w:rFonts w:hint="eastAsia" w:ascii="宋体" w:hAnsi="宋体" w:eastAsia="宋体" w:cs="宋体"/>
          <w:sz w:val="24"/>
          <w:highlight w:val="none"/>
        </w:rPr>
      </w:pPr>
      <w:r>
        <w:rPr>
          <w:rFonts w:hint="eastAsia" w:ascii="宋体" w:hAnsi="宋体" w:eastAsia="宋体" w:cs="宋体"/>
          <w:sz w:val="24"/>
          <w:highlight w:val="none"/>
        </w:rPr>
        <w:t>日      期：</w:t>
      </w:r>
    </w:p>
    <w:p w14:paraId="15E027E3">
      <w:pPr>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附法定代表人（负责人）身份证明正反面扫描件或影印件。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B1E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6B1C90B8">
            <w:pPr>
              <w:spacing w:line="360" w:lineRule="auto"/>
              <w:rPr>
                <w:rFonts w:hint="eastAsia" w:ascii="宋体" w:hAnsi="宋体" w:eastAsia="宋体" w:cs="宋体"/>
                <w:sz w:val="24"/>
                <w:highlight w:val="none"/>
              </w:rPr>
            </w:pPr>
          </w:p>
        </w:tc>
        <w:tc>
          <w:tcPr>
            <w:tcW w:w="4615" w:type="dxa"/>
            <w:noWrap w:val="0"/>
            <w:vAlign w:val="top"/>
          </w:tcPr>
          <w:p w14:paraId="02FB753D">
            <w:pPr>
              <w:spacing w:line="360" w:lineRule="auto"/>
              <w:rPr>
                <w:rFonts w:hint="eastAsia" w:ascii="宋体" w:hAnsi="宋体" w:eastAsia="宋体" w:cs="宋体"/>
                <w:sz w:val="24"/>
                <w:highlight w:val="none"/>
              </w:rPr>
            </w:pPr>
          </w:p>
        </w:tc>
      </w:tr>
    </w:tbl>
    <w:p w14:paraId="4F816487">
      <w:pPr>
        <w:snapToGrid w:val="0"/>
        <w:spacing w:line="360" w:lineRule="auto"/>
        <w:rPr>
          <w:rFonts w:hint="eastAsia" w:ascii="宋体" w:hAnsi="宋体" w:eastAsia="宋体" w:cs="宋体"/>
          <w:sz w:val="24"/>
          <w:highlight w:val="none"/>
        </w:rPr>
      </w:pPr>
    </w:p>
    <w:p w14:paraId="2D04C2B7">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kern w:val="0"/>
          <w:sz w:val="24"/>
          <w:highlight w:val="none"/>
          <w:lang w:val="en-US" w:eastAsia="zh-CN"/>
        </w:rPr>
        <w:t>2</w:t>
      </w:r>
      <w:r>
        <w:rPr>
          <w:rFonts w:hint="eastAsia" w:ascii="宋体" w:hAnsi="宋体" w:eastAsia="宋体" w:cs="宋体"/>
          <w:b/>
          <w:kern w:val="0"/>
          <w:sz w:val="24"/>
          <w:highlight w:val="none"/>
        </w:rPr>
        <w:t>.法定代表人（负责人）授权委托书</w:t>
      </w:r>
    </w:p>
    <w:p w14:paraId="3B65352E">
      <w:pPr>
        <w:spacing w:line="360" w:lineRule="auto"/>
        <w:ind w:left="562" w:hanging="562" w:hangingChars="200"/>
        <w:rPr>
          <w:rFonts w:hint="eastAsia" w:ascii="宋体" w:hAnsi="宋体" w:eastAsia="宋体" w:cs="宋体"/>
          <w:b/>
          <w:kern w:val="0"/>
          <w:sz w:val="28"/>
          <w:szCs w:val="28"/>
          <w:highlight w:val="none"/>
        </w:rPr>
      </w:pPr>
    </w:p>
    <w:p w14:paraId="2CF24635">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法定代表人（负责人）授权委托书</w:t>
      </w:r>
    </w:p>
    <w:p w14:paraId="46E1CB81">
      <w:pPr>
        <w:spacing w:line="360" w:lineRule="auto"/>
        <w:rPr>
          <w:rFonts w:hint="eastAsia" w:ascii="宋体" w:hAnsi="宋体" w:eastAsia="宋体" w:cs="宋体"/>
          <w:sz w:val="24"/>
          <w:highlight w:val="none"/>
          <w:u w:val="single"/>
        </w:rPr>
      </w:pPr>
      <w:r>
        <w:rPr>
          <w:rFonts w:hint="eastAsia" w:ascii="宋体" w:hAnsi="宋体" w:eastAsia="宋体" w:cs="宋体"/>
          <w:sz w:val="24"/>
          <w:u w:val="single"/>
        </w:rPr>
        <w:t>采购代理机构名称</w:t>
      </w:r>
      <w:r>
        <w:rPr>
          <w:rFonts w:hint="eastAsia" w:ascii="宋体" w:hAnsi="宋体" w:eastAsia="宋体" w:cs="宋体"/>
          <w:sz w:val="24"/>
          <w:highlight w:val="none"/>
          <w:u w:val="single"/>
        </w:rPr>
        <w:t xml:space="preserve"> ：</w:t>
      </w:r>
    </w:p>
    <w:p w14:paraId="2984F50B">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本授权书声明：注册于</w:t>
      </w:r>
      <w:r>
        <w:rPr>
          <w:rFonts w:hint="eastAsia" w:ascii="宋体" w:hAnsi="宋体" w:eastAsia="宋体" w:cs="宋体"/>
          <w:kern w:val="0"/>
          <w:sz w:val="24"/>
          <w:highlight w:val="none"/>
          <w:u w:val="single"/>
        </w:rPr>
        <w:t xml:space="preserve">             （供应商住址）</w:t>
      </w:r>
      <w:r>
        <w:rPr>
          <w:rFonts w:hint="eastAsia" w:ascii="宋体" w:hAnsi="宋体" w:eastAsia="宋体" w:cs="宋体"/>
          <w:kern w:val="0"/>
          <w:sz w:val="24"/>
          <w:highlight w:val="none"/>
        </w:rPr>
        <w:t>的</w:t>
      </w:r>
      <w:r>
        <w:rPr>
          <w:rFonts w:hint="eastAsia" w:ascii="宋体" w:hAnsi="宋体" w:eastAsia="宋体" w:cs="宋体"/>
          <w:kern w:val="0"/>
          <w:sz w:val="24"/>
          <w:highlight w:val="none"/>
          <w:u w:val="single"/>
        </w:rPr>
        <w:t xml:space="preserve">               （供应商名称）</w:t>
      </w: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u w:val="single"/>
        </w:rPr>
        <w:t xml:space="preserve">        （法定代表人或负责人姓名、职务）</w:t>
      </w:r>
      <w:r>
        <w:rPr>
          <w:rFonts w:hint="eastAsia" w:ascii="宋体" w:hAnsi="宋体" w:eastAsia="宋体" w:cs="宋体"/>
          <w:kern w:val="0"/>
          <w:sz w:val="24"/>
          <w:highlight w:val="none"/>
        </w:rPr>
        <w:t>代表本公司授权</w:t>
      </w:r>
      <w:r>
        <w:rPr>
          <w:rFonts w:hint="eastAsia" w:ascii="宋体" w:hAnsi="宋体" w:eastAsia="宋体" w:cs="宋体"/>
          <w:kern w:val="0"/>
          <w:sz w:val="24"/>
          <w:highlight w:val="none"/>
          <w:u w:val="single"/>
        </w:rPr>
        <w:t xml:space="preserve">     （被授权人姓名、职务）</w:t>
      </w:r>
      <w:r>
        <w:rPr>
          <w:rFonts w:hint="eastAsia" w:ascii="宋体" w:hAnsi="宋体" w:eastAsia="宋体" w:cs="宋体"/>
          <w:kern w:val="0"/>
          <w:sz w:val="24"/>
          <w:highlight w:val="none"/>
        </w:rPr>
        <w:t>为本公司的合法代理人，就贵方组织的</w:t>
      </w:r>
      <w:r>
        <w:rPr>
          <w:rFonts w:hint="eastAsia" w:ascii="宋体" w:hAnsi="宋体" w:eastAsia="宋体" w:cs="宋体"/>
          <w:kern w:val="0"/>
          <w:sz w:val="24"/>
          <w:highlight w:val="none"/>
          <w:u w:val="single"/>
        </w:rPr>
        <w:t xml:space="preserve">             项目</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项目编号：                     </w:t>
      </w:r>
      <w:r>
        <w:rPr>
          <w:rFonts w:hint="eastAsia" w:ascii="宋体" w:hAnsi="宋体" w:eastAsia="宋体" w:cs="宋体"/>
          <w:kern w:val="0"/>
          <w:sz w:val="24"/>
          <w:highlight w:val="none"/>
        </w:rPr>
        <w:t>，以本公司名义处理一切与之有关的事务。</w:t>
      </w:r>
    </w:p>
    <w:p w14:paraId="18CE38BC">
      <w:pPr>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    年  月  日起生效。</w:t>
      </w:r>
    </w:p>
    <w:p w14:paraId="1E078673">
      <w:pPr>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14:paraId="01EE369D">
      <w:pPr>
        <w:spacing w:line="360" w:lineRule="auto"/>
        <w:ind w:firstLine="2880" w:firstLineChars="1200"/>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37A32162">
      <w:pPr>
        <w:spacing w:line="360" w:lineRule="auto"/>
        <w:ind w:firstLine="2880" w:firstLineChars="1200"/>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法定代表人（负责人）：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6319A22C">
      <w:pPr>
        <w:spacing w:line="360" w:lineRule="auto"/>
        <w:ind w:firstLine="2880" w:firstLineChars="1200"/>
        <w:rPr>
          <w:rFonts w:hint="eastAsia" w:ascii="宋体" w:hAnsi="宋体" w:eastAsia="宋体" w:cs="宋体"/>
          <w:kern w:val="0"/>
          <w:sz w:val="24"/>
          <w:highlight w:val="none"/>
        </w:rPr>
      </w:pPr>
      <w:r>
        <w:rPr>
          <w:rFonts w:hint="eastAsia" w:ascii="宋体" w:hAnsi="宋体" w:eastAsia="宋体" w:cs="宋体"/>
          <w:kern w:val="0"/>
          <w:sz w:val="24"/>
          <w:highlight w:val="none"/>
        </w:rPr>
        <w:t>被授权人代表：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3399DFA3">
      <w:pPr>
        <w:tabs>
          <w:tab w:val="left" w:pos="730"/>
        </w:tabs>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附被授权人代表身份证明正反面扫描件或影印件。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46B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337D1D71">
            <w:pPr>
              <w:spacing w:line="360" w:lineRule="auto"/>
              <w:rPr>
                <w:rFonts w:hint="eastAsia" w:ascii="宋体" w:hAnsi="宋体" w:eastAsia="宋体" w:cs="宋体"/>
                <w:sz w:val="24"/>
                <w:highlight w:val="none"/>
              </w:rPr>
            </w:pPr>
          </w:p>
        </w:tc>
        <w:tc>
          <w:tcPr>
            <w:tcW w:w="4615" w:type="dxa"/>
            <w:noWrap w:val="0"/>
            <w:vAlign w:val="top"/>
          </w:tcPr>
          <w:p w14:paraId="69688A0F">
            <w:pPr>
              <w:spacing w:line="360" w:lineRule="auto"/>
              <w:rPr>
                <w:rFonts w:hint="eastAsia" w:ascii="宋体" w:hAnsi="宋体" w:eastAsia="宋体" w:cs="宋体"/>
                <w:sz w:val="24"/>
                <w:highlight w:val="none"/>
              </w:rPr>
            </w:pPr>
          </w:p>
        </w:tc>
      </w:tr>
    </w:tbl>
    <w:p w14:paraId="35EDAE70">
      <w:pPr>
        <w:snapToGrid w:val="0"/>
        <w:spacing w:line="360" w:lineRule="auto"/>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w:t>
      </w:r>
    </w:p>
    <w:p w14:paraId="7F172908">
      <w:pPr>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1.除可填报内容外，对本法定代表人授权委托书内容的任何修改将被视为未实质性响应，从而导致该响应文件被拒绝；</w:t>
      </w:r>
    </w:p>
    <w:p w14:paraId="61E10327">
      <w:pPr>
        <w:tabs>
          <w:tab w:val="left" w:pos="567"/>
        </w:tabs>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2.若供应商授权代表为法定代表人（负责人）的可不提供。</w:t>
      </w:r>
    </w:p>
    <w:p w14:paraId="5DF2D5AD">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lang w:val="en-US" w:eastAsia="zh-CN"/>
        </w:rPr>
        <w:t>3</w:t>
      </w:r>
      <w:r>
        <w:rPr>
          <w:rFonts w:hint="eastAsia" w:ascii="宋体" w:hAnsi="宋体" w:eastAsia="宋体" w:cs="宋体"/>
          <w:b/>
          <w:kern w:val="0"/>
          <w:sz w:val="24"/>
          <w:highlight w:val="none"/>
        </w:rPr>
        <w:t>.报价函</w:t>
      </w:r>
    </w:p>
    <w:p w14:paraId="23044A7E">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报  价  函</w:t>
      </w:r>
    </w:p>
    <w:p w14:paraId="0D8295BF">
      <w:pPr>
        <w:tabs>
          <w:tab w:val="left" w:pos="4860"/>
        </w:tabs>
        <w:spacing w:line="360" w:lineRule="auto"/>
        <w:rPr>
          <w:rFonts w:hint="eastAsia" w:ascii="宋体" w:hAnsi="宋体" w:eastAsia="宋体" w:cs="宋体"/>
          <w:kern w:val="0"/>
          <w:sz w:val="24"/>
          <w:highlight w:val="none"/>
          <w:u w:val="single"/>
        </w:rPr>
      </w:pPr>
    </w:p>
    <w:p w14:paraId="3806BAC9">
      <w:pPr>
        <w:spacing w:line="360" w:lineRule="auto"/>
        <w:rPr>
          <w:rFonts w:hint="eastAsia" w:ascii="宋体" w:hAnsi="宋体" w:eastAsia="宋体" w:cs="宋体"/>
          <w:sz w:val="24"/>
          <w:highlight w:val="none"/>
          <w:u w:val="single"/>
        </w:rPr>
      </w:pPr>
      <w:r>
        <w:rPr>
          <w:rFonts w:hint="eastAsia" w:ascii="宋体" w:hAnsi="宋体" w:eastAsia="宋体" w:cs="宋体"/>
          <w:sz w:val="24"/>
          <w:u w:val="single"/>
        </w:rPr>
        <w:t>采购代理机构名称</w:t>
      </w:r>
      <w:r>
        <w:rPr>
          <w:rFonts w:hint="eastAsia" w:ascii="宋体" w:hAnsi="宋体" w:eastAsia="宋体" w:cs="宋体"/>
          <w:sz w:val="24"/>
          <w:highlight w:val="none"/>
          <w:u w:val="single"/>
        </w:rPr>
        <w:t xml:space="preserve"> ：</w:t>
      </w:r>
    </w:p>
    <w:p w14:paraId="3D8091FC">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（供应商名称）</w:t>
      </w:r>
      <w:r>
        <w:rPr>
          <w:rFonts w:hint="eastAsia" w:ascii="宋体" w:hAnsi="宋体" w:eastAsia="宋体" w:cs="宋体"/>
          <w:kern w:val="0"/>
          <w:sz w:val="24"/>
          <w:highlight w:val="none"/>
        </w:rPr>
        <w:t>授权</w:t>
      </w:r>
      <w:r>
        <w:rPr>
          <w:rFonts w:hint="eastAsia" w:ascii="宋体" w:hAnsi="宋体" w:eastAsia="宋体" w:cs="宋体"/>
          <w:kern w:val="0"/>
          <w:sz w:val="24"/>
          <w:highlight w:val="none"/>
          <w:u w:val="single"/>
        </w:rPr>
        <w:t xml:space="preserve">            （供应商授权代表姓名、职务)</w:t>
      </w:r>
      <w:r>
        <w:rPr>
          <w:rFonts w:hint="eastAsia" w:ascii="宋体" w:hAnsi="宋体" w:eastAsia="宋体" w:cs="宋体"/>
          <w:kern w:val="0"/>
          <w:sz w:val="24"/>
          <w:highlight w:val="none"/>
        </w:rPr>
        <w:t>为我方代表，参加贵方组织的</w:t>
      </w:r>
      <w:r>
        <w:rPr>
          <w:rFonts w:hint="eastAsia" w:ascii="宋体" w:hAnsi="宋体" w:eastAsia="宋体" w:cs="宋体"/>
          <w:kern w:val="0"/>
          <w:sz w:val="24"/>
          <w:highlight w:val="none"/>
          <w:u w:val="single"/>
        </w:rPr>
        <w:t xml:space="preserve">            （项目名称）      （项目编号）       （包号）</w:t>
      </w:r>
      <w:r>
        <w:rPr>
          <w:rFonts w:hint="eastAsia" w:ascii="宋体" w:hAnsi="宋体" w:eastAsia="宋体" w:cs="宋体"/>
          <w:kern w:val="0"/>
          <w:sz w:val="24"/>
          <w:highlight w:val="none"/>
        </w:rPr>
        <w:t>磋商的有关活动，并对此项目进行报价。为此承诺：</w:t>
      </w:r>
    </w:p>
    <w:p w14:paraId="3826A5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我方提交的响应文件有效期为：自提交响应文件截止之日起90个日历天。在此期限内，我方保证严格遵守响应文件中的所有承诺及磋商过程中的所有承诺，贵方的磋商文件和我方提交的响应文件对我方均具有约束力。</w:t>
      </w:r>
    </w:p>
    <w:p w14:paraId="4F87402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2.我方已经具备本项目（或者：包）中规定的参加采购活动的供应商应当具备的全部资格条件，并提供了相关证明材料。</w:t>
      </w:r>
    </w:p>
    <w:p w14:paraId="3AC61E5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3.我方已按照磋商文件要求，提供了供应商须知前附表中规定的供应商应提交的资格证明文件和商务技术文件，并将所有资料按照磋商文件要求在“山西省政府采购平台”完成上传。</w:t>
      </w:r>
    </w:p>
    <w:p w14:paraId="4C6E0A4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4.我方参与本项（或者：包）竞争、成交后提供服务等信息，详见“报价一览表”。</w:t>
      </w:r>
    </w:p>
    <w:p w14:paraId="072A6AB8">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5.若我方被确定为本项目（或者：包）的成交供应商，保证按相关法律法规规定，与采购人签订政府采购合同，并严格履行双方所签订的合同，承担合同规定的责任和义务。</w:t>
      </w:r>
    </w:p>
    <w:p w14:paraId="7FF260A5">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6.承诺对磋商文件中的各项商务、技术要求均做出了响应，对符合性存在偏差的，已在响应文件中的商务条款响应表和技术规范响应及偏离表中予以明确，并特别说明。</w:t>
      </w:r>
    </w:p>
    <w:p w14:paraId="72A8CF7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7.保证遵守磋商文件的各项规定。</w:t>
      </w:r>
    </w:p>
    <w:p w14:paraId="586A3A4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8.若我方在响应文件有效期内撤回响应文件的，我方的磋商保证金可按规定被贵方没收。</w:t>
      </w:r>
    </w:p>
    <w:p w14:paraId="26187319">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9.我方完全理解贵方不接受可选择性报价。</w:t>
      </w:r>
    </w:p>
    <w:p w14:paraId="52284EB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10.在磋商过程中，若贵方或磋商小组需要，我方愿意向贵方提供任何与本项有关的数据、情况和技术资料。</w:t>
      </w:r>
    </w:p>
    <w:p w14:paraId="3B258C2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11.我方已详细审核全部响应文件内容，包括响应文件补充文件（如有的话）、参考资料及有关附件，确认无误。</w:t>
      </w:r>
    </w:p>
    <w:p w14:paraId="78081DF7">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12.在合同执行过程中，若采购人需追加采购本项目响应文件所列的服务，在不改变合同其他实质性条款和质量的前提下，按相同或更优惠的价格提供。</w:t>
      </w:r>
    </w:p>
    <w:p w14:paraId="6303979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13.接受磋商文件中《采购合同范本》的全部条款且无任何异议。</w:t>
      </w:r>
    </w:p>
    <w:p w14:paraId="50F9599F">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14.我方将严格遵守本项目的有关规定，若有下列情形之一的，将由采购人或采购代理机构上报上级主管部门进行处罚。</w:t>
      </w:r>
    </w:p>
    <w:p w14:paraId="1B2BE70D">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（1）提供虚假材料谋取成交、成交的；</w:t>
      </w:r>
    </w:p>
    <w:p w14:paraId="32ED0574">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（2）采取不正当手段诋毁、排挤其他供应商的；</w:t>
      </w:r>
    </w:p>
    <w:p w14:paraId="4430EC97">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（3）与采购人、其它供应商或者采购代理机构工作人员恶意串通的；</w:t>
      </w:r>
    </w:p>
    <w:p w14:paraId="7BBAB577">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（4）向采购人、采购代理机构工作人员、磋商小组成员行贿或者提供其他不正当利益的；</w:t>
      </w:r>
    </w:p>
    <w:p w14:paraId="1A203DF7">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（5）响应文件提交截止时间后撤回响应文件的；</w:t>
      </w:r>
    </w:p>
    <w:p w14:paraId="091883AE">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（6）在磋商期间，影响采购代理机构或磋商小组正常履行职责的；</w:t>
      </w:r>
    </w:p>
    <w:p w14:paraId="7D186CE4">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（7）在采购过程中与采购人、采购代理机构、磋商小组成员进行协商的；</w:t>
      </w:r>
    </w:p>
    <w:p w14:paraId="1A8A9FC2">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（8）成交后未在规定时间内与采购人签订合同或放弃成交或未按磋商文件、响应文件及相关承诺规定签约或与采购人订立背离合同实质性内容的其它协议等行为的；</w:t>
      </w:r>
    </w:p>
    <w:p w14:paraId="673BF86B">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（9）未按磋商文件规定和合同约定履行义务的；</w:t>
      </w:r>
    </w:p>
    <w:p w14:paraId="6681D0AB">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（10）拒绝有关部门监督检查或提供虚假情况的；</w:t>
      </w:r>
    </w:p>
    <w:p w14:paraId="10CB5F9E">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（11）存在法定代表人或单位负责人为同一个人或者存在直接控股、管理关系的不同供应商，同时参加同一合同项下的磋商活动的。</w:t>
      </w:r>
    </w:p>
    <w:p w14:paraId="570E45F3">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（12）存在其他违法违</w:t>
      </w:r>
      <w:r>
        <w:rPr>
          <w:rFonts w:hint="eastAsia" w:ascii="宋体" w:hAnsi="宋体" w:eastAsia="宋体" w:cs="宋体"/>
          <w:kern w:val="0"/>
          <w:sz w:val="24"/>
          <w:highlight w:val="none"/>
          <w:lang w:val="en-US" w:eastAsia="zh-CN"/>
        </w:rPr>
        <w:t>规</w:t>
      </w:r>
      <w:r>
        <w:rPr>
          <w:rFonts w:hint="eastAsia" w:ascii="宋体" w:hAnsi="宋体" w:eastAsia="宋体" w:cs="宋体"/>
          <w:kern w:val="0"/>
          <w:sz w:val="24"/>
          <w:highlight w:val="none"/>
        </w:rPr>
        <w:t>行为的。</w:t>
      </w:r>
    </w:p>
    <w:p w14:paraId="123E55CF">
      <w:pPr>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我公司的信息如下：</w:t>
      </w:r>
    </w:p>
    <w:p w14:paraId="5CCDF35C">
      <w:pPr>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                            邮编：</w:t>
      </w:r>
    </w:p>
    <w:p w14:paraId="24FF7E87">
      <w:pPr>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电话：                            传真：</w:t>
      </w:r>
    </w:p>
    <w:p w14:paraId="4A870E29">
      <w:pPr>
        <w:tabs>
          <w:tab w:val="left" w:pos="480"/>
        </w:tabs>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供应商授权代表姓名：</w:t>
      </w:r>
    </w:p>
    <w:p w14:paraId="0982120F">
      <w:pPr>
        <w:tabs>
          <w:tab w:val="left" w:pos="480"/>
        </w:tabs>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供应商授权代表联系电话：             （办公）         （移动）</w:t>
      </w:r>
    </w:p>
    <w:p w14:paraId="3212B0D5">
      <w:pPr>
        <w:tabs>
          <w:tab w:val="left" w:pos="480"/>
        </w:tabs>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E-mail:</w:t>
      </w:r>
    </w:p>
    <w:p w14:paraId="5F1EEE5E">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7F0589BD">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0362134A">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4896324C">
      <w:pPr>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注：除可填报内容外，对本报价函内容的修改将被视为非实质性响应，从而导致该响应文件无效。</w:t>
      </w:r>
    </w:p>
    <w:p w14:paraId="61F526AA">
      <w:pPr>
        <w:tabs>
          <w:tab w:val="left" w:pos="567"/>
        </w:tabs>
        <w:spacing w:line="360" w:lineRule="auto"/>
        <w:jc w:val="left"/>
        <w:rPr>
          <w:rFonts w:hint="eastAsia" w:ascii="宋体" w:hAnsi="宋体" w:eastAsia="宋体" w:cs="宋体"/>
          <w:b/>
          <w:kern w:val="0"/>
          <w:sz w:val="24"/>
          <w:highlight w:val="none"/>
        </w:rPr>
      </w:pPr>
    </w:p>
    <w:p w14:paraId="664173B6">
      <w:pPr>
        <w:spacing w:line="360" w:lineRule="auto"/>
        <w:jc w:val="left"/>
        <w:rPr>
          <w:rFonts w:hint="eastAsia" w:ascii="宋体" w:hAnsi="宋体" w:eastAsia="宋体" w:cs="宋体"/>
          <w:kern w:val="0"/>
          <w:szCs w:val="21"/>
          <w:highlight w:val="none"/>
        </w:rPr>
      </w:pPr>
    </w:p>
    <w:p w14:paraId="12A12F27">
      <w:pPr>
        <w:spacing w:line="360" w:lineRule="auto"/>
        <w:jc w:val="left"/>
        <w:rPr>
          <w:rFonts w:hint="eastAsia" w:ascii="宋体" w:hAnsi="宋体" w:eastAsia="宋体" w:cs="宋体"/>
          <w:b/>
          <w:color w:val="FF0000"/>
          <w:kern w:val="0"/>
          <w:sz w:val="24"/>
          <w:highlight w:val="none"/>
          <w:lang w:val="en-US" w:eastAsia="zh-CN"/>
        </w:rPr>
        <w:sectPr>
          <w:headerReference r:id="rId6" w:type="default"/>
          <w:footerReference r:id="rId7" w:type="default"/>
          <w:pgSz w:w="11906" w:h="16838"/>
          <w:pgMar w:top="1440" w:right="1418" w:bottom="1440" w:left="1418" w:header="851" w:footer="992" w:gutter="0"/>
          <w:pgNumType w:fmt="decimal"/>
          <w:cols w:space="720" w:num="1"/>
          <w:docGrid w:type="lines" w:linePitch="312" w:charSpace="0"/>
        </w:sectPr>
      </w:pPr>
      <w:r>
        <w:rPr>
          <w:rFonts w:hint="eastAsia" w:ascii="宋体" w:hAnsi="宋体" w:eastAsia="宋体" w:cs="宋体"/>
          <w:b/>
          <w:kern w:val="0"/>
          <w:sz w:val="24"/>
          <w:highlight w:val="none"/>
        </w:rPr>
        <w:br w:type="page"/>
      </w:r>
    </w:p>
    <w:p w14:paraId="77E81A50">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 w:val="24"/>
          <w:highlight w:val="none"/>
          <w:lang w:val="en-US" w:eastAsia="zh-CN"/>
        </w:rPr>
        <w:t>4</w:t>
      </w:r>
      <w:r>
        <w:rPr>
          <w:rFonts w:hint="eastAsia" w:ascii="宋体" w:hAnsi="宋体" w:eastAsia="宋体" w:cs="宋体"/>
          <w:b/>
          <w:color w:val="auto"/>
          <w:kern w:val="0"/>
          <w:sz w:val="24"/>
          <w:highlight w:val="none"/>
        </w:rPr>
        <w:t>.报价一览表</w:t>
      </w:r>
    </w:p>
    <w:p w14:paraId="70D47F4C">
      <w:pPr>
        <w:spacing w:line="360" w:lineRule="auto"/>
        <w:jc w:val="center"/>
        <w:outlineLvl w:val="9"/>
        <w:rPr>
          <w:rFonts w:hint="eastAsia" w:ascii="宋体" w:hAnsi="宋体" w:eastAsia="宋体" w:cs="宋体"/>
          <w:kern w:val="0"/>
          <w:sz w:val="24"/>
          <w:highlight w:val="none"/>
        </w:rPr>
      </w:pPr>
      <w:r>
        <w:rPr>
          <w:rFonts w:hint="eastAsia" w:ascii="宋体" w:hAnsi="宋体" w:eastAsia="宋体" w:cs="宋体"/>
          <w:b/>
          <w:kern w:val="0"/>
          <w:sz w:val="28"/>
          <w:szCs w:val="28"/>
          <w:highlight w:val="none"/>
        </w:rPr>
        <w:t>报价一览表</w:t>
      </w:r>
    </w:p>
    <w:p w14:paraId="1F14DC45">
      <w:pPr>
        <w:spacing w:line="360" w:lineRule="auto"/>
        <w:jc w:val="left"/>
        <w:rPr>
          <w:rFonts w:hint="eastAsia" w:ascii="宋体" w:hAnsi="宋体" w:eastAsia="宋体" w:cs="宋体"/>
          <w:kern w:val="0"/>
          <w:sz w:val="24"/>
          <w:highlight w:val="none"/>
        </w:rPr>
      </w:pPr>
    </w:p>
    <w:p w14:paraId="77581FF5">
      <w:pPr>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项目名称： </w:t>
      </w:r>
    </w:p>
    <w:p w14:paraId="2E52E427">
      <w:pPr>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项目编号： </w:t>
      </w:r>
    </w:p>
    <w:p w14:paraId="10C4E180">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 w:val="24"/>
          <w:highlight w:val="none"/>
        </w:rPr>
        <w:t>包    号：</w:t>
      </w:r>
    </w:p>
    <w:p w14:paraId="7A905FA2">
      <w:pPr>
        <w:spacing w:line="360" w:lineRule="auto"/>
        <w:jc w:val="left"/>
        <w:rPr>
          <w:rFonts w:hint="eastAsia" w:ascii="宋体" w:hAnsi="宋体" w:eastAsia="宋体" w:cs="宋体"/>
          <w:kern w:val="0"/>
          <w:szCs w:val="21"/>
          <w:highlight w:val="none"/>
        </w:rPr>
      </w:pPr>
    </w:p>
    <w:tbl>
      <w:tblPr>
        <w:tblStyle w:val="3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3065"/>
        <w:gridCol w:w="2130"/>
        <w:gridCol w:w="2400"/>
        <w:gridCol w:w="993"/>
      </w:tblGrid>
      <w:tr w14:paraId="71A1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0ECFE06B">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0D427967">
            <w:pPr>
              <w:spacing w:line="360" w:lineRule="auto"/>
              <w:jc w:val="center"/>
              <w:rPr>
                <w:rFonts w:hint="eastAsia" w:ascii="宋体" w:hAnsi="宋体" w:eastAsia="宋体" w:cs="宋体"/>
                <w:bCs/>
                <w:kern w:val="0"/>
                <w:sz w:val="24"/>
                <w:highlight w:val="none"/>
              </w:rPr>
            </w:pPr>
            <w:r>
              <w:rPr>
                <w:rFonts w:hint="eastAsia" w:ascii="宋体" w:hAnsi="宋体" w:eastAsia="宋体" w:cs="宋体"/>
                <w:bCs/>
                <w:sz w:val="24"/>
                <w:highlight w:val="none"/>
              </w:rPr>
              <w:t>标的名称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4375211">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（元）</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DDD4211">
            <w:pPr>
              <w:spacing w:line="360" w:lineRule="auto"/>
              <w:jc w:val="center"/>
              <w:rPr>
                <w:rFonts w:hint="eastAsia" w:ascii="宋体" w:hAnsi="宋体" w:eastAsia="宋体" w:cs="宋体"/>
                <w:kern w:val="0"/>
                <w:sz w:val="24"/>
                <w:highlight w:val="none"/>
              </w:rPr>
            </w:pPr>
            <w:r>
              <w:rPr>
                <w:rFonts w:hint="eastAsia" w:ascii="宋体" w:hAnsi="宋体" w:eastAsia="宋体" w:cs="宋体"/>
                <w:bCs/>
                <w:kern w:val="0"/>
                <w:sz w:val="24"/>
                <w:highlight w:val="none"/>
              </w:rPr>
              <w:t>合同履行期限</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90EAFB">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14:paraId="2E20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14:paraId="4F74B2DD">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370FAEBC">
            <w:pPr>
              <w:spacing w:line="360" w:lineRule="auto"/>
              <w:jc w:val="center"/>
              <w:rPr>
                <w:rFonts w:hint="eastAsia" w:ascii="宋体" w:hAnsi="宋体" w:eastAsia="宋体" w:cs="宋体"/>
                <w:bCs/>
                <w:kern w:val="0"/>
                <w:sz w:val="24"/>
                <w:highlight w:val="none"/>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F3316B8">
            <w:pPr>
              <w:spacing w:line="360" w:lineRule="auto"/>
              <w:jc w:val="center"/>
              <w:rPr>
                <w:rFonts w:hint="eastAsia" w:ascii="宋体" w:hAnsi="宋体" w:eastAsia="宋体" w:cs="宋体"/>
                <w:bCs/>
                <w:sz w:val="24"/>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F0748AD">
            <w:pPr>
              <w:spacing w:line="360" w:lineRule="auto"/>
              <w:jc w:val="center"/>
              <w:rPr>
                <w:rFonts w:hint="eastAsia" w:ascii="宋体" w:hAnsi="宋体" w:eastAsia="宋体" w:cs="宋体"/>
                <w:bCs/>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590C41F">
            <w:pPr>
              <w:spacing w:line="360" w:lineRule="auto"/>
              <w:jc w:val="center"/>
              <w:rPr>
                <w:rFonts w:hint="eastAsia" w:ascii="宋体" w:hAnsi="宋体" w:eastAsia="宋体" w:cs="宋体"/>
                <w:bCs/>
                <w:sz w:val="24"/>
                <w:highlight w:val="none"/>
              </w:rPr>
            </w:pPr>
          </w:p>
        </w:tc>
      </w:tr>
    </w:tbl>
    <w:p w14:paraId="23029C67">
      <w:pPr>
        <w:spacing w:line="360" w:lineRule="auto"/>
        <w:jc w:val="left"/>
        <w:rPr>
          <w:rFonts w:hint="eastAsia" w:ascii="宋体" w:hAnsi="宋体" w:eastAsia="宋体" w:cs="宋体"/>
          <w:kern w:val="0"/>
          <w:sz w:val="24"/>
          <w:highlight w:val="none"/>
        </w:rPr>
      </w:pPr>
    </w:p>
    <w:p w14:paraId="7E436C3F">
      <w:pPr>
        <w:spacing w:line="360" w:lineRule="auto"/>
        <w:jc w:val="left"/>
        <w:rPr>
          <w:rFonts w:hint="eastAsia" w:ascii="宋体" w:hAnsi="宋体" w:eastAsia="宋体" w:cs="宋体"/>
          <w:kern w:val="0"/>
          <w:sz w:val="24"/>
          <w:highlight w:val="none"/>
        </w:rPr>
      </w:pPr>
    </w:p>
    <w:p w14:paraId="076F2190">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449066B4">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24FC8928">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4CAEE15F">
      <w:pPr>
        <w:spacing w:line="360" w:lineRule="auto"/>
        <w:jc w:val="left"/>
        <w:rPr>
          <w:rFonts w:hint="eastAsia" w:ascii="宋体" w:hAnsi="宋体" w:eastAsia="宋体" w:cs="宋体"/>
          <w:kern w:val="0"/>
          <w:szCs w:val="21"/>
          <w:highlight w:val="none"/>
        </w:rPr>
      </w:pPr>
    </w:p>
    <w:p w14:paraId="5415F7E9">
      <w:pPr>
        <w:spacing w:line="360" w:lineRule="auto"/>
        <w:jc w:val="left"/>
        <w:rPr>
          <w:rFonts w:hint="eastAsia" w:ascii="宋体" w:hAnsi="宋体" w:eastAsia="宋体" w:cs="宋体"/>
          <w:kern w:val="0"/>
          <w:szCs w:val="21"/>
          <w:highlight w:val="none"/>
        </w:rPr>
      </w:pPr>
    </w:p>
    <w:p w14:paraId="594E2061">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lang w:val="en-US" w:eastAsia="zh-CN"/>
        </w:rPr>
        <w:t>5</w:t>
      </w:r>
      <w:r>
        <w:rPr>
          <w:rFonts w:hint="eastAsia" w:ascii="宋体" w:hAnsi="宋体" w:eastAsia="宋体" w:cs="宋体"/>
          <w:b/>
          <w:kern w:val="0"/>
          <w:sz w:val="24"/>
          <w:highlight w:val="none"/>
        </w:rPr>
        <w:t>.商务条款响应表</w:t>
      </w:r>
    </w:p>
    <w:p w14:paraId="0BF0CCCC">
      <w:pPr>
        <w:spacing w:line="360" w:lineRule="auto"/>
        <w:jc w:val="left"/>
        <w:rPr>
          <w:rFonts w:hint="eastAsia" w:ascii="宋体" w:hAnsi="宋体" w:eastAsia="宋体" w:cs="宋体"/>
          <w:kern w:val="0"/>
          <w:sz w:val="24"/>
          <w:highlight w:val="none"/>
        </w:rPr>
      </w:pPr>
    </w:p>
    <w:p w14:paraId="02E1E2BD">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商务条款响应表</w:t>
      </w:r>
    </w:p>
    <w:p w14:paraId="26D87FE7">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项目名称：</w:t>
      </w:r>
    </w:p>
    <w:p w14:paraId="582E4121">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项目编号：</w:t>
      </w:r>
    </w:p>
    <w:p w14:paraId="466886AC">
      <w:pPr>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包    号：</w:t>
      </w:r>
    </w:p>
    <w:tbl>
      <w:tblPr>
        <w:tblStyle w:val="36"/>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625"/>
        <w:gridCol w:w="3438"/>
        <w:gridCol w:w="1168"/>
      </w:tblGrid>
      <w:tr w14:paraId="42C9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1" w:type="dxa"/>
            <w:noWrap w:val="0"/>
            <w:vAlign w:val="top"/>
          </w:tcPr>
          <w:p w14:paraId="1075854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3625" w:type="dxa"/>
            <w:noWrap w:val="0"/>
            <w:vAlign w:val="top"/>
          </w:tcPr>
          <w:p w14:paraId="22E89D8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磋商文件商务要求</w:t>
            </w:r>
          </w:p>
        </w:tc>
        <w:tc>
          <w:tcPr>
            <w:tcW w:w="3438" w:type="dxa"/>
            <w:noWrap w:val="0"/>
            <w:vAlign w:val="top"/>
          </w:tcPr>
          <w:p w14:paraId="016E222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响应文件的对应响应</w:t>
            </w:r>
          </w:p>
        </w:tc>
        <w:tc>
          <w:tcPr>
            <w:tcW w:w="1168" w:type="dxa"/>
            <w:noWrap w:val="0"/>
            <w:vAlign w:val="top"/>
          </w:tcPr>
          <w:p w14:paraId="78CF678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说  明</w:t>
            </w:r>
          </w:p>
        </w:tc>
      </w:tr>
      <w:tr w14:paraId="5D31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3F10A3EB">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3625" w:type="dxa"/>
            <w:noWrap w:val="0"/>
            <w:vAlign w:val="top"/>
          </w:tcPr>
          <w:p w14:paraId="7F7620F5">
            <w:pPr>
              <w:spacing w:line="360" w:lineRule="auto"/>
              <w:jc w:val="left"/>
              <w:rPr>
                <w:rFonts w:hint="eastAsia" w:ascii="宋体" w:hAnsi="宋体" w:eastAsia="宋体" w:cs="宋体"/>
                <w:kern w:val="0"/>
                <w:sz w:val="24"/>
                <w:highlight w:val="none"/>
              </w:rPr>
            </w:pPr>
          </w:p>
        </w:tc>
        <w:tc>
          <w:tcPr>
            <w:tcW w:w="3438" w:type="dxa"/>
            <w:noWrap w:val="0"/>
            <w:vAlign w:val="top"/>
          </w:tcPr>
          <w:p w14:paraId="4895FE7E">
            <w:pPr>
              <w:spacing w:line="360" w:lineRule="auto"/>
              <w:jc w:val="left"/>
              <w:rPr>
                <w:rFonts w:hint="eastAsia" w:ascii="宋体" w:hAnsi="宋体" w:eastAsia="宋体" w:cs="宋体"/>
                <w:sz w:val="24"/>
                <w:highlight w:val="none"/>
              </w:rPr>
            </w:pPr>
          </w:p>
        </w:tc>
        <w:tc>
          <w:tcPr>
            <w:tcW w:w="1168" w:type="dxa"/>
            <w:noWrap w:val="0"/>
            <w:vAlign w:val="top"/>
          </w:tcPr>
          <w:p w14:paraId="20DE3B46">
            <w:pPr>
              <w:spacing w:line="360" w:lineRule="auto"/>
              <w:jc w:val="center"/>
              <w:rPr>
                <w:rFonts w:hint="eastAsia" w:ascii="宋体" w:hAnsi="宋体" w:eastAsia="宋体" w:cs="宋体"/>
                <w:sz w:val="24"/>
                <w:highlight w:val="none"/>
              </w:rPr>
            </w:pPr>
          </w:p>
        </w:tc>
      </w:tr>
      <w:tr w14:paraId="4418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21F5553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625" w:type="dxa"/>
            <w:noWrap w:val="0"/>
            <w:vAlign w:val="top"/>
          </w:tcPr>
          <w:p w14:paraId="62F866B4">
            <w:pPr>
              <w:spacing w:line="360" w:lineRule="auto"/>
              <w:jc w:val="left"/>
              <w:rPr>
                <w:rFonts w:hint="eastAsia" w:ascii="宋体" w:hAnsi="宋体" w:eastAsia="宋体" w:cs="宋体"/>
                <w:kern w:val="0"/>
                <w:sz w:val="24"/>
                <w:highlight w:val="none"/>
              </w:rPr>
            </w:pPr>
          </w:p>
        </w:tc>
        <w:tc>
          <w:tcPr>
            <w:tcW w:w="3438" w:type="dxa"/>
            <w:noWrap w:val="0"/>
            <w:vAlign w:val="top"/>
          </w:tcPr>
          <w:p w14:paraId="71C18C1F">
            <w:pPr>
              <w:spacing w:line="360" w:lineRule="auto"/>
              <w:jc w:val="left"/>
              <w:rPr>
                <w:rFonts w:hint="eastAsia" w:ascii="宋体" w:hAnsi="宋体" w:eastAsia="宋体" w:cs="宋体"/>
                <w:sz w:val="24"/>
                <w:highlight w:val="none"/>
              </w:rPr>
            </w:pPr>
          </w:p>
        </w:tc>
        <w:tc>
          <w:tcPr>
            <w:tcW w:w="1168" w:type="dxa"/>
            <w:noWrap w:val="0"/>
            <w:vAlign w:val="top"/>
          </w:tcPr>
          <w:p w14:paraId="57B17D01">
            <w:pPr>
              <w:spacing w:line="360" w:lineRule="auto"/>
              <w:jc w:val="center"/>
              <w:rPr>
                <w:rFonts w:hint="eastAsia" w:ascii="宋体" w:hAnsi="宋体" w:eastAsia="宋体" w:cs="宋体"/>
                <w:sz w:val="24"/>
                <w:highlight w:val="none"/>
              </w:rPr>
            </w:pPr>
          </w:p>
        </w:tc>
      </w:tr>
      <w:tr w14:paraId="4181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7D0DE51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625" w:type="dxa"/>
            <w:noWrap w:val="0"/>
            <w:vAlign w:val="center"/>
          </w:tcPr>
          <w:p w14:paraId="7289B715">
            <w:pPr>
              <w:spacing w:line="360" w:lineRule="auto"/>
              <w:rPr>
                <w:rFonts w:hint="eastAsia" w:ascii="宋体" w:hAnsi="宋体" w:eastAsia="宋体" w:cs="宋体"/>
                <w:sz w:val="24"/>
                <w:highlight w:val="none"/>
              </w:rPr>
            </w:pPr>
          </w:p>
        </w:tc>
        <w:tc>
          <w:tcPr>
            <w:tcW w:w="3438" w:type="dxa"/>
            <w:noWrap w:val="0"/>
            <w:vAlign w:val="top"/>
          </w:tcPr>
          <w:p w14:paraId="12E6119F">
            <w:pPr>
              <w:spacing w:line="360" w:lineRule="auto"/>
              <w:jc w:val="left"/>
              <w:rPr>
                <w:rFonts w:hint="eastAsia" w:ascii="宋体" w:hAnsi="宋体" w:eastAsia="宋体" w:cs="宋体"/>
                <w:sz w:val="24"/>
                <w:highlight w:val="none"/>
              </w:rPr>
            </w:pPr>
          </w:p>
        </w:tc>
        <w:tc>
          <w:tcPr>
            <w:tcW w:w="1168" w:type="dxa"/>
            <w:noWrap w:val="0"/>
            <w:vAlign w:val="top"/>
          </w:tcPr>
          <w:p w14:paraId="27AA965C">
            <w:pPr>
              <w:spacing w:line="360" w:lineRule="auto"/>
              <w:jc w:val="center"/>
              <w:rPr>
                <w:rFonts w:hint="eastAsia" w:ascii="宋体" w:hAnsi="宋体" w:eastAsia="宋体" w:cs="宋体"/>
                <w:sz w:val="24"/>
                <w:highlight w:val="none"/>
              </w:rPr>
            </w:pPr>
          </w:p>
        </w:tc>
      </w:tr>
    </w:tbl>
    <w:p w14:paraId="2F484260">
      <w:pPr>
        <w:spacing w:line="360" w:lineRule="auto"/>
        <w:jc w:val="left"/>
        <w:rPr>
          <w:rFonts w:hint="eastAsia" w:ascii="宋体" w:hAnsi="宋体" w:eastAsia="宋体" w:cs="宋体"/>
          <w:kern w:val="0"/>
          <w:sz w:val="24"/>
          <w:highlight w:val="none"/>
        </w:rPr>
      </w:pPr>
      <w:r>
        <w:rPr>
          <w:rFonts w:hint="eastAsia" w:ascii="宋体" w:hAnsi="宋体" w:eastAsia="宋体" w:cs="宋体"/>
          <w:sz w:val="24"/>
          <w:u w:val="none"/>
          <w:lang w:val="en-US" w:eastAsia="zh-CN"/>
        </w:rPr>
        <w:t>注：详见磋商文件第五部分中“商务要求”</w:t>
      </w:r>
    </w:p>
    <w:p w14:paraId="7511E672">
      <w:pPr>
        <w:spacing w:line="360" w:lineRule="auto"/>
        <w:jc w:val="left"/>
        <w:rPr>
          <w:rFonts w:hint="eastAsia" w:ascii="宋体" w:hAnsi="宋体" w:eastAsia="宋体" w:cs="宋体"/>
          <w:kern w:val="0"/>
          <w:sz w:val="24"/>
          <w:highlight w:val="none"/>
        </w:rPr>
      </w:pPr>
    </w:p>
    <w:p w14:paraId="0FB173E8">
      <w:pPr>
        <w:spacing w:line="360" w:lineRule="auto"/>
        <w:jc w:val="left"/>
        <w:rPr>
          <w:rFonts w:hint="eastAsia" w:ascii="宋体" w:hAnsi="宋体" w:eastAsia="宋体" w:cs="宋体"/>
          <w:kern w:val="0"/>
          <w:sz w:val="24"/>
          <w:highlight w:val="none"/>
        </w:rPr>
      </w:pPr>
    </w:p>
    <w:p w14:paraId="782FB060">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381ED782">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供应商授权代表：</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456D41BC">
      <w:pPr>
        <w:tabs>
          <w:tab w:val="left" w:pos="4000"/>
        </w:tabs>
        <w:spacing w:line="360" w:lineRule="auto"/>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日      期：</w:t>
      </w:r>
    </w:p>
    <w:p w14:paraId="7B3DDB0B">
      <w:pPr>
        <w:spacing w:line="360" w:lineRule="auto"/>
        <w:jc w:val="left"/>
        <w:rPr>
          <w:rFonts w:hint="eastAsia" w:ascii="宋体" w:hAnsi="宋体" w:eastAsia="宋体" w:cs="宋体"/>
          <w:kern w:val="0"/>
          <w:sz w:val="24"/>
          <w:highlight w:val="none"/>
        </w:rPr>
      </w:pPr>
    </w:p>
    <w:p w14:paraId="5563639E">
      <w:pPr>
        <w:rPr>
          <w:rFonts w:hint="eastAsia" w:ascii="宋体" w:hAnsi="宋体" w:eastAsia="宋体" w:cs="宋体"/>
          <w:highlight w:val="none"/>
        </w:rPr>
        <w:sectPr>
          <w:pgSz w:w="11906" w:h="16838"/>
          <w:pgMar w:top="1440" w:right="1418" w:bottom="1440" w:left="1418" w:header="851" w:footer="992" w:gutter="0"/>
          <w:pgNumType w:fmt="decimal"/>
          <w:cols w:space="720" w:num="1"/>
          <w:docGrid w:type="lines" w:linePitch="312" w:charSpace="0"/>
        </w:sectPr>
      </w:pPr>
    </w:p>
    <w:p w14:paraId="515688FE">
      <w:pPr>
        <w:keepNext/>
        <w:topLinePunct/>
        <w:adjustRightInd w:val="0"/>
        <w:snapToGrid w:val="0"/>
        <w:spacing w:line="360" w:lineRule="auto"/>
        <w:outlineLvl w:val="9"/>
        <w:rPr>
          <w:rFonts w:hint="eastAsia" w:ascii="宋体" w:hAnsi="宋体" w:eastAsia="宋体" w:cs="宋体"/>
          <w:b/>
          <w:color w:val="auto"/>
          <w:kern w:val="0"/>
          <w:sz w:val="24"/>
        </w:rPr>
      </w:pPr>
      <w:bookmarkStart w:id="162" w:name="_Toc30595"/>
      <w:r>
        <w:rPr>
          <w:rFonts w:hint="eastAsia" w:ascii="宋体" w:hAnsi="宋体" w:eastAsia="宋体" w:cs="宋体"/>
          <w:b/>
          <w:color w:val="auto"/>
          <w:kern w:val="0"/>
          <w:sz w:val="24"/>
          <w:lang w:val="en-US" w:eastAsia="zh-CN"/>
        </w:rPr>
        <w:t>6</w:t>
      </w:r>
      <w:r>
        <w:rPr>
          <w:rFonts w:hint="eastAsia" w:ascii="宋体" w:hAnsi="宋体" w:eastAsia="宋体" w:cs="宋体"/>
          <w:b/>
          <w:color w:val="auto"/>
          <w:kern w:val="0"/>
          <w:sz w:val="24"/>
        </w:rPr>
        <w:t>．采购服务技术规范响应及偏离表</w:t>
      </w:r>
      <w:bookmarkEnd w:id="162"/>
    </w:p>
    <w:p w14:paraId="31AE6337">
      <w:pPr>
        <w:keepNext/>
        <w:topLinePunct/>
        <w:adjustRightInd w:val="0"/>
        <w:snapToGrid w:val="0"/>
        <w:spacing w:line="360" w:lineRule="auto"/>
        <w:ind w:firstLine="562"/>
        <w:jc w:val="center"/>
        <w:rPr>
          <w:rFonts w:hint="eastAsia" w:ascii="宋体" w:hAnsi="宋体" w:eastAsia="宋体" w:cs="宋体"/>
          <w:b/>
          <w:kern w:val="0"/>
          <w:sz w:val="28"/>
          <w:szCs w:val="28"/>
        </w:rPr>
      </w:pPr>
    </w:p>
    <w:p w14:paraId="7399DB57">
      <w:pPr>
        <w:keepNext/>
        <w:topLinePunct/>
        <w:adjustRightInd w:val="0"/>
        <w:snapToGrid w:val="0"/>
        <w:spacing w:line="360" w:lineRule="auto"/>
        <w:ind w:firstLine="562"/>
        <w:jc w:val="center"/>
        <w:rPr>
          <w:rFonts w:hint="eastAsia" w:ascii="宋体" w:hAnsi="宋体" w:eastAsia="宋体" w:cs="宋体"/>
          <w:b/>
          <w:kern w:val="0"/>
          <w:sz w:val="28"/>
          <w:szCs w:val="28"/>
        </w:rPr>
      </w:pPr>
      <w:r>
        <w:rPr>
          <w:rFonts w:hint="eastAsia" w:ascii="宋体" w:hAnsi="宋体" w:eastAsia="宋体" w:cs="宋体"/>
          <w:b/>
          <w:kern w:val="0"/>
          <w:sz w:val="28"/>
          <w:szCs w:val="28"/>
        </w:rPr>
        <w:t>采购服务技术规范响应及偏离表</w:t>
      </w:r>
    </w:p>
    <w:p w14:paraId="3D8F7380">
      <w:pPr>
        <w:keepNext/>
        <w:topLinePunct/>
        <w:spacing w:line="360" w:lineRule="auto"/>
        <w:ind w:firstLine="480"/>
        <w:rPr>
          <w:rFonts w:hint="eastAsia" w:ascii="宋体" w:hAnsi="宋体" w:eastAsia="宋体" w:cs="宋体"/>
          <w:sz w:val="24"/>
        </w:rPr>
      </w:pPr>
      <w:r>
        <w:rPr>
          <w:rFonts w:hint="eastAsia" w:ascii="宋体" w:hAnsi="宋体" w:eastAsia="宋体" w:cs="宋体"/>
          <w:sz w:val="24"/>
        </w:rPr>
        <w:t>项目名称：</w:t>
      </w:r>
    </w:p>
    <w:p w14:paraId="197A336C">
      <w:pPr>
        <w:keepNext/>
        <w:topLinePunct/>
        <w:spacing w:line="360" w:lineRule="auto"/>
        <w:ind w:firstLine="480"/>
        <w:rPr>
          <w:rFonts w:hint="eastAsia" w:ascii="宋体" w:hAnsi="宋体" w:eastAsia="宋体" w:cs="宋体"/>
          <w:sz w:val="24"/>
        </w:rPr>
      </w:pPr>
      <w:r>
        <w:rPr>
          <w:rFonts w:hint="eastAsia" w:ascii="宋体" w:hAnsi="宋体" w:eastAsia="宋体" w:cs="宋体"/>
          <w:sz w:val="24"/>
        </w:rPr>
        <w:t>项目编号：</w:t>
      </w:r>
    </w:p>
    <w:p w14:paraId="46FF90FE">
      <w:pPr>
        <w:keepNext/>
        <w:topLinePunct/>
        <w:spacing w:line="360" w:lineRule="auto"/>
        <w:ind w:firstLine="480"/>
        <w:rPr>
          <w:rFonts w:hint="eastAsia" w:ascii="宋体" w:hAnsi="宋体" w:eastAsia="宋体" w:cs="宋体"/>
          <w:kern w:val="0"/>
          <w:sz w:val="24"/>
        </w:rPr>
      </w:pPr>
      <w:r>
        <w:rPr>
          <w:rFonts w:hint="eastAsia" w:ascii="宋体" w:hAnsi="宋体" w:eastAsia="宋体" w:cs="宋体"/>
          <w:sz w:val="24"/>
        </w:rPr>
        <w:t>包    号：</w:t>
      </w:r>
    </w:p>
    <w:tbl>
      <w:tblPr>
        <w:tblStyle w:val="3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226"/>
        <w:gridCol w:w="3220"/>
        <w:gridCol w:w="3015"/>
        <w:gridCol w:w="1617"/>
      </w:tblGrid>
      <w:tr w14:paraId="5B0B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675" w:type="pct"/>
            <w:tcBorders>
              <w:top w:val="single" w:color="000000" w:sz="6" w:space="0"/>
              <w:left w:val="single" w:color="000000" w:sz="6" w:space="0"/>
              <w:bottom w:val="single" w:color="000000" w:sz="6" w:space="0"/>
              <w:right w:val="single" w:color="auto" w:sz="4" w:space="0"/>
            </w:tcBorders>
            <w:vAlign w:val="center"/>
          </w:tcPr>
          <w:p w14:paraId="43656285">
            <w:pPr>
              <w:keepNext/>
              <w:topLinePunct/>
              <w:adjustRightInd w:val="0"/>
              <w:snapToGrid w:val="0"/>
              <w:spacing w:line="400" w:lineRule="exact"/>
              <w:jc w:val="center"/>
              <w:rPr>
                <w:rFonts w:hint="eastAsia" w:ascii="宋体" w:hAnsi="宋体" w:eastAsia="宋体" w:cs="宋体"/>
                <w:kern w:val="0"/>
                <w:sz w:val="24"/>
              </w:rPr>
            </w:pPr>
            <w:r>
              <w:rPr>
                <w:rFonts w:hint="eastAsia" w:ascii="宋体" w:hAnsi="宋体" w:eastAsia="宋体" w:cs="宋体"/>
                <w:kern w:val="0"/>
                <w:sz w:val="24"/>
              </w:rPr>
              <w:t>序号</w:t>
            </w:r>
          </w:p>
        </w:tc>
        <w:tc>
          <w:tcPr>
            <w:tcW w:w="1773" w:type="pct"/>
            <w:tcBorders>
              <w:top w:val="single" w:color="000000" w:sz="6" w:space="0"/>
              <w:left w:val="single" w:color="000000" w:sz="6" w:space="0"/>
              <w:bottom w:val="single" w:color="000000" w:sz="6" w:space="0"/>
              <w:right w:val="single" w:color="000000" w:sz="6" w:space="0"/>
            </w:tcBorders>
            <w:vAlign w:val="center"/>
          </w:tcPr>
          <w:p w14:paraId="386EA623">
            <w:pPr>
              <w:keepNext/>
              <w:topLinePunct/>
              <w:adjustRightInd w:val="0"/>
              <w:snapToGrid w:val="0"/>
              <w:spacing w:line="40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磋商</w:t>
            </w:r>
            <w:r>
              <w:rPr>
                <w:rFonts w:hint="eastAsia" w:ascii="宋体" w:hAnsi="宋体" w:eastAsia="宋体" w:cs="宋体"/>
                <w:kern w:val="0"/>
                <w:sz w:val="24"/>
              </w:rPr>
              <w:t>文件技术规范、要求</w:t>
            </w:r>
          </w:p>
        </w:tc>
        <w:tc>
          <w:tcPr>
            <w:tcW w:w="1660" w:type="pct"/>
            <w:tcBorders>
              <w:top w:val="single" w:color="000000" w:sz="6" w:space="0"/>
              <w:left w:val="single" w:color="000000" w:sz="6" w:space="0"/>
              <w:bottom w:val="single" w:color="000000" w:sz="6" w:space="0"/>
              <w:right w:val="single" w:color="000000" w:sz="6" w:space="0"/>
            </w:tcBorders>
            <w:vAlign w:val="center"/>
          </w:tcPr>
          <w:p w14:paraId="4AD1C642">
            <w:pPr>
              <w:keepNext/>
              <w:topLinePunct/>
              <w:adjustRightInd w:val="0"/>
              <w:snapToGrid w:val="0"/>
              <w:spacing w:line="40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响应</w:t>
            </w:r>
            <w:r>
              <w:rPr>
                <w:rFonts w:hint="eastAsia" w:ascii="宋体" w:hAnsi="宋体" w:eastAsia="宋体" w:cs="宋体"/>
                <w:kern w:val="0"/>
                <w:sz w:val="24"/>
              </w:rPr>
              <w:t>文件对应规范</w:t>
            </w:r>
          </w:p>
        </w:tc>
        <w:tc>
          <w:tcPr>
            <w:tcW w:w="890" w:type="pct"/>
            <w:tcBorders>
              <w:top w:val="single" w:color="000000" w:sz="6" w:space="0"/>
              <w:left w:val="single" w:color="000000" w:sz="6" w:space="0"/>
              <w:bottom w:val="single" w:color="000000" w:sz="6" w:space="0"/>
              <w:right w:val="single" w:color="000000" w:sz="6" w:space="0"/>
            </w:tcBorders>
            <w:vAlign w:val="center"/>
          </w:tcPr>
          <w:p w14:paraId="459393F8">
            <w:pPr>
              <w:keepNext/>
              <w:topLinePunct/>
              <w:adjustRightInd w:val="0"/>
              <w:snapToGrid w:val="0"/>
              <w:spacing w:line="400" w:lineRule="exact"/>
              <w:jc w:val="center"/>
              <w:rPr>
                <w:rFonts w:hint="eastAsia" w:ascii="宋体" w:hAnsi="宋体" w:eastAsia="宋体" w:cs="宋体"/>
                <w:kern w:val="0"/>
                <w:sz w:val="24"/>
              </w:rPr>
            </w:pPr>
            <w:r>
              <w:rPr>
                <w:rFonts w:hint="eastAsia" w:ascii="宋体" w:hAnsi="宋体" w:eastAsia="宋体" w:cs="宋体"/>
                <w:kern w:val="0"/>
                <w:sz w:val="24"/>
              </w:rPr>
              <w:t>偏离情况</w:t>
            </w:r>
          </w:p>
        </w:tc>
      </w:tr>
      <w:tr w14:paraId="68A4E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1" w:hRule="atLeast"/>
          <w:jc w:val="center"/>
        </w:trPr>
        <w:tc>
          <w:tcPr>
            <w:tcW w:w="675" w:type="pct"/>
            <w:tcBorders>
              <w:top w:val="single" w:color="000000" w:sz="6" w:space="0"/>
              <w:left w:val="single" w:color="000000" w:sz="6" w:space="0"/>
              <w:bottom w:val="single" w:color="000000" w:sz="6" w:space="0"/>
              <w:right w:val="single" w:color="auto" w:sz="4" w:space="0"/>
            </w:tcBorders>
            <w:vAlign w:val="center"/>
          </w:tcPr>
          <w:p w14:paraId="1A6992E8">
            <w:pPr>
              <w:keepNext/>
              <w:topLinePunct/>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1773" w:type="pct"/>
            <w:tcBorders>
              <w:top w:val="single" w:color="000000" w:sz="6" w:space="0"/>
              <w:left w:val="single" w:color="000000" w:sz="6" w:space="0"/>
              <w:bottom w:val="single" w:color="000000" w:sz="6" w:space="0"/>
              <w:right w:val="single" w:color="000000" w:sz="6" w:space="0"/>
            </w:tcBorders>
            <w:vAlign w:val="center"/>
          </w:tcPr>
          <w:p w14:paraId="4F59CB9B">
            <w:pPr>
              <w:keepNext/>
              <w:topLinePunct/>
              <w:adjustRightInd w:val="0"/>
              <w:snapToGrid w:val="0"/>
              <w:spacing w:line="360" w:lineRule="auto"/>
              <w:rPr>
                <w:rFonts w:hint="eastAsia" w:ascii="宋体" w:hAnsi="宋体" w:eastAsia="宋体" w:cs="宋体"/>
                <w:kern w:val="0"/>
                <w:sz w:val="24"/>
              </w:rPr>
            </w:pPr>
          </w:p>
        </w:tc>
        <w:tc>
          <w:tcPr>
            <w:tcW w:w="1660" w:type="pct"/>
            <w:tcBorders>
              <w:top w:val="single" w:color="000000" w:sz="6" w:space="0"/>
              <w:left w:val="single" w:color="000000" w:sz="6" w:space="0"/>
              <w:bottom w:val="single" w:color="000000" w:sz="6" w:space="0"/>
              <w:right w:val="single" w:color="000000" w:sz="6" w:space="0"/>
            </w:tcBorders>
            <w:vAlign w:val="center"/>
          </w:tcPr>
          <w:p w14:paraId="17EDC9F1">
            <w:pPr>
              <w:keepNext/>
              <w:topLinePunct/>
              <w:adjustRightInd w:val="0"/>
              <w:snapToGrid w:val="0"/>
              <w:spacing w:line="400" w:lineRule="exact"/>
              <w:jc w:val="center"/>
              <w:rPr>
                <w:rFonts w:hint="eastAsia" w:ascii="宋体" w:hAnsi="宋体" w:eastAsia="宋体" w:cs="宋体"/>
                <w:kern w:val="0"/>
                <w:sz w:val="24"/>
              </w:rPr>
            </w:pPr>
          </w:p>
        </w:tc>
        <w:tc>
          <w:tcPr>
            <w:tcW w:w="890" w:type="pct"/>
            <w:tcBorders>
              <w:top w:val="single" w:color="000000" w:sz="6" w:space="0"/>
              <w:left w:val="single" w:color="000000" w:sz="6" w:space="0"/>
              <w:bottom w:val="single" w:color="000000" w:sz="6" w:space="0"/>
              <w:right w:val="single" w:color="000000" w:sz="6" w:space="0"/>
            </w:tcBorders>
            <w:vAlign w:val="center"/>
          </w:tcPr>
          <w:p w14:paraId="50DA8BAF">
            <w:pPr>
              <w:keepNext/>
              <w:topLinePunct/>
              <w:adjustRightInd w:val="0"/>
              <w:snapToGrid w:val="0"/>
              <w:spacing w:line="400" w:lineRule="exact"/>
              <w:jc w:val="center"/>
              <w:rPr>
                <w:rFonts w:hint="eastAsia" w:ascii="宋体" w:hAnsi="宋体" w:eastAsia="宋体" w:cs="宋体"/>
                <w:kern w:val="0"/>
                <w:sz w:val="24"/>
              </w:rPr>
            </w:pPr>
          </w:p>
        </w:tc>
      </w:tr>
      <w:tr w14:paraId="5508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5" w:hRule="atLeast"/>
          <w:jc w:val="center"/>
        </w:trPr>
        <w:tc>
          <w:tcPr>
            <w:tcW w:w="675" w:type="pct"/>
            <w:tcBorders>
              <w:top w:val="single" w:color="000000" w:sz="6" w:space="0"/>
              <w:left w:val="single" w:color="000000" w:sz="6" w:space="0"/>
              <w:bottom w:val="single" w:color="000000" w:sz="6" w:space="0"/>
              <w:right w:val="single" w:color="auto" w:sz="4" w:space="0"/>
            </w:tcBorders>
            <w:vAlign w:val="center"/>
          </w:tcPr>
          <w:p w14:paraId="0CB02632">
            <w:pPr>
              <w:keepNext/>
              <w:topLinePunct/>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1773" w:type="pct"/>
            <w:tcBorders>
              <w:top w:val="single" w:color="000000" w:sz="6" w:space="0"/>
              <w:left w:val="single" w:color="000000" w:sz="6" w:space="0"/>
              <w:bottom w:val="single" w:color="000000" w:sz="6" w:space="0"/>
              <w:right w:val="single" w:color="000000" w:sz="6" w:space="0"/>
            </w:tcBorders>
            <w:vAlign w:val="center"/>
          </w:tcPr>
          <w:p w14:paraId="7A7DF35F">
            <w:pPr>
              <w:keepNext/>
              <w:topLinePunct/>
              <w:adjustRightInd w:val="0"/>
              <w:snapToGrid w:val="0"/>
              <w:spacing w:line="360" w:lineRule="auto"/>
              <w:rPr>
                <w:rFonts w:hint="eastAsia" w:ascii="宋体" w:hAnsi="宋体" w:eastAsia="宋体" w:cs="宋体"/>
                <w:kern w:val="0"/>
                <w:sz w:val="24"/>
              </w:rPr>
            </w:pPr>
          </w:p>
        </w:tc>
        <w:tc>
          <w:tcPr>
            <w:tcW w:w="1660" w:type="pct"/>
            <w:tcBorders>
              <w:top w:val="single" w:color="000000" w:sz="6" w:space="0"/>
              <w:left w:val="single" w:color="000000" w:sz="6" w:space="0"/>
              <w:bottom w:val="single" w:color="000000" w:sz="6" w:space="0"/>
              <w:right w:val="single" w:color="000000" w:sz="6" w:space="0"/>
            </w:tcBorders>
            <w:vAlign w:val="center"/>
          </w:tcPr>
          <w:p w14:paraId="6ED24F0D">
            <w:pPr>
              <w:keepNext/>
              <w:topLinePunct/>
              <w:adjustRightInd w:val="0"/>
              <w:snapToGrid w:val="0"/>
              <w:spacing w:line="400" w:lineRule="exact"/>
              <w:jc w:val="center"/>
              <w:rPr>
                <w:rFonts w:hint="eastAsia" w:ascii="宋体" w:hAnsi="宋体" w:eastAsia="宋体" w:cs="宋体"/>
                <w:kern w:val="0"/>
                <w:sz w:val="24"/>
              </w:rPr>
            </w:pPr>
          </w:p>
        </w:tc>
        <w:tc>
          <w:tcPr>
            <w:tcW w:w="890" w:type="pct"/>
            <w:tcBorders>
              <w:top w:val="single" w:color="000000" w:sz="6" w:space="0"/>
              <w:left w:val="single" w:color="000000" w:sz="6" w:space="0"/>
              <w:bottom w:val="single" w:color="000000" w:sz="6" w:space="0"/>
              <w:right w:val="single" w:color="000000" w:sz="6" w:space="0"/>
            </w:tcBorders>
            <w:vAlign w:val="center"/>
          </w:tcPr>
          <w:p w14:paraId="7D12D724">
            <w:pPr>
              <w:keepNext/>
              <w:topLinePunct/>
              <w:adjustRightInd w:val="0"/>
              <w:snapToGrid w:val="0"/>
              <w:spacing w:line="400" w:lineRule="exact"/>
              <w:jc w:val="center"/>
              <w:rPr>
                <w:rFonts w:hint="eastAsia" w:ascii="宋体" w:hAnsi="宋体" w:eastAsia="宋体" w:cs="宋体"/>
                <w:kern w:val="0"/>
                <w:sz w:val="24"/>
              </w:rPr>
            </w:pPr>
          </w:p>
        </w:tc>
      </w:tr>
      <w:tr w14:paraId="6FD33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8" w:hRule="atLeast"/>
          <w:jc w:val="center"/>
        </w:trPr>
        <w:tc>
          <w:tcPr>
            <w:tcW w:w="675" w:type="pct"/>
            <w:tcBorders>
              <w:top w:val="single" w:color="000000" w:sz="6" w:space="0"/>
              <w:left w:val="single" w:color="000000" w:sz="6" w:space="0"/>
              <w:right w:val="single" w:color="auto" w:sz="4" w:space="0"/>
            </w:tcBorders>
            <w:vAlign w:val="center"/>
          </w:tcPr>
          <w:p w14:paraId="68D1C6CB">
            <w:pPr>
              <w:keepNext/>
              <w:topLinePunct/>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1773" w:type="pct"/>
            <w:tcBorders>
              <w:top w:val="single" w:color="000000" w:sz="6" w:space="0"/>
              <w:left w:val="single" w:color="000000" w:sz="6" w:space="0"/>
              <w:right w:val="single" w:color="000000" w:sz="6" w:space="0"/>
            </w:tcBorders>
            <w:vAlign w:val="center"/>
          </w:tcPr>
          <w:p w14:paraId="00A6B4FB">
            <w:pPr>
              <w:keepNext/>
              <w:topLinePunct/>
              <w:adjustRightInd w:val="0"/>
              <w:snapToGrid w:val="0"/>
              <w:spacing w:line="360" w:lineRule="auto"/>
              <w:rPr>
                <w:rFonts w:hint="eastAsia" w:ascii="宋体" w:hAnsi="宋体" w:eastAsia="宋体" w:cs="宋体"/>
                <w:kern w:val="0"/>
                <w:sz w:val="24"/>
              </w:rPr>
            </w:pPr>
          </w:p>
        </w:tc>
        <w:tc>
          <w:tcPr>
            <w:tcW w:w="1660" w:type="pct"/>
            <w:tcBorders>
              <w:top w:val="single" w:color="000000" w:sz="6" w:space="0"/>
              <w:left w:val="single" w:color="000000" w:sz="6" w:space="0"/>
              <w:right w:val="single" w:color="000000" w:sz="6" w:space="0"/>
            </w:tcBorders>
            <w:vAlign w:val="center"/>
          </w:tcPr>
          <w:p w14:paraId="7B16C0B6">
            <w:pPr>
              <w:keepNext/>
              <w:topLinePunct/>
              <w:adjustRightInd w:val="0"/>
              <w:snapToGrid w:val="0"/>
              <w:spacing w:line="400" w:lineRule="exact"/>
              <w:jc w:val="center"/>
              <w:rPr>
                <w:rFonts w:hint="eastAsia" w:ascii="宋体" w:hAnsi="宋体" w:eastAsia="宋体" w:cs="宋体"/>
                <w:kern w:val="0"/>
                <w:sz w:val="24"/>
              </w:rPr>
            </w:pPr>
          </w:p>
        </w:tc>
        <w:tc>
          <w:tcPr>
            <w:tcW w:w="890" w:type="pct"/>
            <w:tcBorders>
              <w:top w:val="single" w:color="000000" w:sz="6" w:space="0"/>
              <w:left w:val="single" w:color="000000" w:sz="6" w:space="0"/>
              <w:right w:val="single" w:color="000000" w:sz="6" w:space="0"/>
            </w:tcBorders>
            <w:vAlign w:val="center"/>
          </w:tcPr>
          <w:p w14:paraId="391BC226">
            <w:pPr>
              <w:keepNext/>
              <w:topLinePunct/>
              <w:adjustRightInd w:val="0"/>
              <w:snapToGrid w:val="0"/>
              <w:spacing w:line="400" w:lineRule="exact"/>
              <w:jc w:val="center"/>
              <w:rPr>
                <w:rFonts w:hint="eastAsia" w:ascii="宋体" w:hAnsi="宋体" w:eastAsia="宋体" w:cs="宋体"/>
                <w:kern w:val="0"/>
                <w:sz w:val="24"/>
              </w:rPr>
            </w:pPr>
          </w:p>
        </w:tc>
      </w:tr>
    </w:tbl>
    <w:p w14:paraId="384F0D11">
      <w:pPr>
        <w:keepNext/>
        <w:topLinePunct/>
        <w:snapToGrid w:val="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注：</w:t>
      </w:r>
    </w:p>
    <w:p w14:paraId="600AE37E">
      <w:pPr>
        <w:keepNext/>
        <w:topLinePunct/>
        <w:snapToGrid w:val="0"/>
        <w:ind w:firstLine="240" w:firstLineChars="1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1、详见磋商文件第五部分</w:t>
      </w:r>
      <w:r>
        <w:rPr>
          <w:rFonts w:hint="eastAsia" w:ascii="宋体" w:hAnsi="宋体" w:eastAsia="宋体" w:cs="宋体"/>
          <w:color w:val="auto"/>
          <w:sz w:val="24"/>
          <w:u w:val="none"/>
          <w:lang w:val="en-US" w:eastAsia="zh-CN"/>
        </w:rPr>
        <w:t>中“技术要求”。</w:t>
      </w:r>
    </w:p>
    <w:p w14:paraId="6B6E0857">
      <w:pPr>
        <w:keepNext/>
        <w:topLinePunct/>
        <w:snapToGrid w:val="0"/>
        <w:ind w:firstLine="240" w:firstLineChars="1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2、偏离情况列应据实填写正偏离/负偏离/无偏离。</w:t>
      </w:r>
    </w:p>
    <w:p w14:paraId="05051945">
      <w:pPr>
        <w:keepNext/>
        <w:topLinePunct/>
        <w:snapToGrid w:val="0"/>
        <w:spacing w:line="600" w:lineRule="exact"/>
        <w:ind w:firstLine="480"/>
        <w:jc w:val="left"/>
        <w:rPr>
          <w:rFonts w:hint="eastAsia" w:ascii="宋体" w:hAnsi="宋体" w:eastAsia="宋体" w:cs="宋体"/>
          <w:kern w:val="0"/>
          <w:sz w:val="24"/>
        </w:rPr>
      </w:pPr>
    </w:p>
    <w:p w14:paraId="3ED0E72B">
      <w:pPr>
        <w:keepNext/>
        <w:topLinePunct/>
        <w:snapToGrid w:val="0"/>
        <w:spacing w:line="600" w:lineRule="exact"/>
        <w:ind w:firstLine="480"/>
        <w:jc w:val="left"/>
        <w:rPr>
          <w:rFonts w:hint="eastAsia" w:ascii="宋体" w:hAnsi="宋体" w:eastAsia="宋体" w:cs="宋体"/>
          <w:kern w:val="0"/>
          <w:sz w:val="24"/>
        </w:rPr>
      </w:pPr>
    </w:p>
    <w:p w14:paraId="782E907C">
      <w:pPr>
        <w:tabs>
          <w:tab w:val="left" w:pos="4000"/>
        </w:tabs>
        <w:spacing w:line="480" w:lineRule="auto"/>
        <w:ind w:firstLine="2640" w:firstLineChars="1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0D35DB34">
      <w:pPr>
        <w:tabs>
          <w:tab w:val="left" w:pos="4000"/>
        </w:tabs>
        <w:spacing w:line="480" w:lineRule="auto"/>
        <w:ind w:firstLine="2640" w:firstLineChars="1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供应商授权代表：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74BD7222">
      <w:pPr>
        <w:tabs>
          <w:tab w:val="left" w:pos="4000"/>
        </w:tabs>
        <w:spacing w:line="480" w:lineRule="auto"/>
        <w:ind w:firstLine="2640" w:firstLineChars="1100"/>
        <w:jc w:val="left"/>
        <w:rPr>
          <w:rFonts w:hint="eastAsia" w:ascii="宋体" w:hAnsi="宋体" w:eastAsia="宋体" w:cs="宋体"/>
          <w:color w:val="auto"/>
          <w:kern w:val="0"/>
          <w:sz w:val="24"/>
          <w:highlight w:val="none"/>
        </w:rPr>
        <w:sectPr>
          <w:footerReference r:id="rId10" w:type="first"/>
          <w:headerReference r:id="rId8" w:type="default"/>
          <w:footerReference r:id="rId9" w:type="default"/>
          <w:pgSz w:w="11906" w:h="16838"/>
          <w:pgMar w:top="1440" w:right="1440" w:bottom="1440" w:left="1440" w:header="1077" w:footer="1247" w:gutter="0"/>
          <w:pgNumType w:fmt="decimal"/>
          <w:cols w:space="720" w:num="1"/>
          <w:titlePg/>
          <w:docGrid w:type="linesAndChars" w:linePitch="312" w:charSpace="0"/>
        </w:sectPr>
      </w:pPr>
      <w:r>
        <w:rPr>
          <w:rFonts w:hint="eastAsia" w:ascii="宋体" w:hAnsi="宋体" w:eastAsia="宋体" w:cs="宋体"/>
          <w:color w:val="auto"/>
          <w:kern w:val="0"/>
          <w:sz w:val="24"/>
          <w:highlight w:val="none"/>
        </w:rPr>
        <w:t>日      期：</w:t>
      </w:r>
    </w:p>
    <w:p w14:paraId="29F9819C">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7</w:t>
      </w:r>
      <w:r>
        <w:rPr>
          <w:rFonts w:hint="eastAsia" w:ascii="宋体" w:hAnsi="宋体" w:eastAsia="宋体" w:cs="宋体"/>
          <w:b/>
          <w:kern w:val="0"/>
          <w:sz w:val="24"/>
          <w:highlight w:val="none"/>
        </w:rPr>
        <w:t>.近三年（自2023年</w:t>
      </w:r>
      <w:r>
        <w:rPr>
          <w:rFonts w:hint="eastAsia" w:ascii="宋体" w:hAnsi="宋体" w:eastAsia="宋体" w:cs="宋体"/>
          <w:b/>
          <w:kern w:val="0"/>
          <w:sz w:val="24"/>
          <w:highlight w:val="none"/>
          <w:lang w:val="en-US" w:eastAsia="zh-CN"/>
        </w:rPr>
        <w:t>4</w:t>
      </w:r>
      <w:r>
        <w:rPr>
          <w:rFonts w:hint="eastAsia" w:ascii="宋体" w:hAnsi="宋体" w:eastAsia="宋体" w:cs="宋体"/>
          <w:b/>
          <w:kern w:val="0"/>
          <w:sz w:val="24"/>
          <w:highlight w:val="none"/>
        </w:rPr>
        <w:t>月至响应文件递交截止日）完成的同类项目合同案例列表及相关证明资料</w:t>
      </w:r>
    </w:p>
    <w:p w14:paraId="0DD11C75">
      <w:pPr>
        <w:pStyle w:val="22"/>
        <w:rPr>
          <w:rFonts w:hint="eastAsia" w:ascii="宋体" w:hAnsi="宋体" w:eastAsia="宋体" w:cs="宋体"/>
          <w:sz w:val="24"/>
          <w:szCs w:val="24"/>
          <w:highlight w:val="none"/>
        </w:rPr>
      </w:pPr>
    </w:p>
    <w:p w14:paraId="5FF4D6FA">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近三年（自2023年</w:t>
      </w:r>
      <w:r>
        <w:rPr>
          <w:rFonts w:hint="eastAsia" w:ascii="宋体" w:hAnsi="宋体" w:cs="宋体"/>
          <w:b/>
          <w:kern w:val="0"/>
          <w:sz w:val="28"/>
          <w:szCs w:val="28"/>
          <w:highlight w:val="none"/>
          <w:lang w:val="en-US" w:eastAsia="zh-CN"/>
        </w:rPr>
        <w:t>4</w:t>
      </w:r>
      <w:r>
        <w:rPr>
          <w:rFonts w:hint="eastAsia" w:ascii="宋体" w:hAnsi="宋体" w:eastAsia="宋体" w:cs="宋体"/>
          <w:b/>
          <w:kern w:val="0"/>
          <w:sz w:val="28"/>
          <w:szCs w:val="28"/>
          <w:highlight w:val="none"/>
        </w:rPr>
        <w:t>月至响应文件递交截止日）完成的同类项目合同案例列表</w:t>
      </w:r>
    </w:p>
    <w:p w14:paraId="5B1B7144">
      <w:pPr>
        <w:pStyle w:val="22"/>
        <w:rPr>
          <w:rFonts w:hint="eastAsia" w:ascii="宋体" w:hAnsi="宋体" w:eastAsia="宋体" w:cs="宋体"/>
          <w:sz w:val="24"/>
          <w:szCs w:val="24"/>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2187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A881575">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使用单位</w:t>
            </w:r>
          </w:p>
        </w:tc>
        <w:tc>
          <w:tcPr>
            <w:tcW w:w="1560" w:type="dxa"/>
            <w:noWrap w:val="0"/>
            <w:vAlign w:val="top"/>
          </w:tcPr>
          <w:p w14:paraId="722F83BF">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2076" w:type="dxa"/>
            <w:noWrap w:val="0"/>
            <w:vAlign w:val="top"/>
          </w:tcPr>
          <w:p w14:paraId="2A500CE5">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431" w:type="dxa"/>
            <w:noWrap w:val="0"/>
            <w:vAlign w:val="top"/>
          </w:tcPr>
          <w:p w14:paraId="10CEB4F0">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610" w:type="dxa"/>
            <w:noWrap w:val="0"/>
            <w:vAlign w:val="top"/>
          </w:tcPr>
          <w:p w14:paraId="70D0390C">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839" w:type="dxa"/>
            <w:noWrap w:val="0"/>
            <w:vAlign w:val="top"/>
          </w:tcPr>
          <w:p w14:paraId="26451E94">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3EC5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74AF18B2">
            <w:pPr>
              <w:spacing w:line="480" w:lineRule="exact"/>
              <w:rPr>
                <w:rFonts w:hint="eastAsia" w:ascii="宋体" w:hAnsi="宋体" w:eastAsia="宋体" w:cs="宋体"/>
                <w:sz w:val="24"/>
                <w:highlight w:val="none"/>
              </w:rPr>
            </w:pPr>
          </w:p>
        </w:tc>
        <w:tc>
          <w:tcPr>
            <w:tcW w:w="1560" w:type="dxa"/>
            <w:noWrap w:val="0"/>
            <w:vAlign w:val="top"/>
          </w:tcPr>
          <w:p w14:paraId="08FB9906">
            <w:pPr>
              <w:spacing w:line="480" w:lineRule="exact"/>
              <w:rPr>
                <w:rFonts w:hint="eastAsia" w:ascii="宋体" w:hAnsi="宋体" w:eastAsia="宋体" w:cs="宋体"/>
                <w:sz w:val="24"/>
                <w:highlight w:val="none"/>
              </w:rPr>
            </w:pPr>
          </w:p>
        </w:tc>
        <w:tc>
          <w:tcPr>
            <w:tcW w:w="2076" w:type="dxa"/>
            <w:noWrap w:val="0"/>
            <w:vAlign w:val="top"/>
          </w:tcPr>
          <w:p w14:paraId="56DD2D8C">
            <w:pPr>
              <w:spacing w:line="480" w:lineRule="exact"/>
              <w:rPr>
                <w:rFonts w:hint="eastAsia" w:ascii="宋体" w:hAnsi="宋体" w:eastAsia="宋体" w:cs="宋体"/>
                <w:sz w:val="24"/>
                <w:highlight w:val="none"/>
              </w:rPr>
            </w:pPr>
          </w:p>
        </w:tc>
        <w:tc>
          <w:tcPr>
            <w:tcW w:w="1431" w:type="dxa"/>
            <w:noWrap w:val="0"/>
            <w:vAlign w:val="top"/>
          </w:tcPr>
          <w:p w14:paraId="78EE0F15">
            <w:pPr>
              <w:spacing w:line="480" w:lineRule="exact"/>
              <w:rPr>
                <w:rFonts w:hint="eastAsia" w:ascii="宋体" w:hAnsi="宋体" w:eastAsia="宋体" w:cs="宋体"/>
                <w:sz w:val="24"/>
                <w:highlight w:val="none"/>
              </w:rPr>
            </w:pPr>
          </w:p>
        </w:tc>
        <w:tc>
          <w:tcPr>
            <w:tcW w:w="1610" w:type="dxa"/>
            <w:noWrap w:val="0"/>
            <w:vAlign w:val="top"/>
          </w:tcPr>
          <w:p w14:paraId="35CB5160">
            <w:pPr>
              <w:spacing w:line="480" w:lineRule="exact"/>
              <w:rPr>
                <w:rFonts w:hint="eastAsia" w:ascii="宋体" w:hAnsi="宋体" w:eastAsia="宋体" w:cs="宋体"/>
                <w:sz w:val="24"/>
                <w:highlight w:val="none"/>
              </w:rPr>
            </w:pPr>
          </w:p>
        </w:tc>
        <w:tc>
          <w:tcPr>
            <w:tcW w:w="839" w:type="dxa"/>
            <w:noWrap w:val="0"/>
            <w:vAlign w:val="top"/>
          </w:tcPr>
          <w:p w14:paraId="0DD073A2">
            <w:pPr>
              <w:spacing w:line="480" w:lineRule="exact"/>
              <w:rPr>
                <w:rFonts w:hint="eastAsia" w:ascii="宋体" w:hAnsi="宋体" w:eastAsia="宋体" w:cs="宋体"/>
                <w:sz w:val="24"/>
                <w:highlight w:val="none"/>
              </w:rPr>
            </w:pPr>
          </w:p>
        </w:tc>
      </w:tr>
      <w:tr w14:paraId="3FDA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63734475">
            <w:pPr>
              <w:spacing w:line="480" w:lineRule="exact"/>
              <w:rPr>
                <w:rFonts w:hint="eastAsia" w:ascii="宋体" w:hAnsi="宋体" w:eastAsia="宋体" w:cs="宋体"/>
                <w:sz w:val="24"/>
                <w:highlight w:val="none"/>
              </w:rPr>
            </w:pPr>
          </w:p>
        </w:tc>
        <w:tc>
          <w:tcPr>
            <w:tcW w:w="1560" w:type="dxa"/>
            <w:noWrap w:val="0"/>
            <w:vAlign w:val="top"/>
          </w:tcPr>
          <w:p w14:paraId="7A8B0D43">
            <w:pPr>
              <w:spacing w:line="480" w:lineRule="exact"/>
              <w:rPr>
                <w:rFonts w:hint="eastAsia" w:ascii="宋体" w:hAnsi="宋体" w:eastAsia="宋体" w:cs="宋体"/>
                <w:sz w:val="24"/>
                <w:highlight w:val="none"/>
              </w:rPr>
            </w:pPr>
          </w:p>
        </w:tc>
        <w:tc>
          <w:tcPr>
            <w:tcW w:w="2076" w:type="dxa"/>
            <w:noWrap w:val="0"/>
            <w:vAlign w:val="top"/>
          </w:tcPr>
          <w:p w14:paraId="0C1B1E09">
            <w:pPr>
              <w:spacing w:line="480" w:lineRule="exact"/>
              <w:rPr>
                <w:rFonts w:hint="eastAsia" w:ascii="宋体" w:hAnsi="宋体" w:eastAsia="宋体" w:cs="宋体"/>
                <w:sz w:val="24"/>
                <w:highlight w:val="none"/>
              </w:rPr>
            </w:pPr>
          </w:p>
        </w:tc>
        <w:tc>
          <w:tcPr>
            <w:tcW w:w="1431" w:type="dxa"/>
            <w:noWrap w:val="0"/>
            <w:vAlign w:val="top"/>
          </w:tcPr>
          <w:p w14:paraId="6766DBF0">
            <w:pPr>
              <w:spacing w:line="480" w:lineRule="exact"/>
              <w:rPr>
                <w:rFonts w:hint="eastAsia" w:ascii="宋体" w:hAnsi="宋体" w:eastAsia="宋体" w:cs="宋体"/>
                <w:sz w:val="24"/>
                <w:highlight w:val="none"/>
              </w:rPr>
            </w:pPr>
          </w:p>
        </w:tc>
        <w:tc>
          <w:tcPr>
            <w:tcW w:w="1610" w:type="dxa"/>
            <w:noWrap w:val="0"/>
            <w:vAlign w:val="top"/>
          </w:tcPr>
          <w:p w14:paraId="46344014">
            <w:pPr>
              <w:spacing w:line="480" w:lineRule="exact"/>
              <w:rPr>
                <w:rFonts w:hint="eastAsia" w:ascii="宋体" w:hAnsi="宋体" w:eastAsia="宋体" w:cs="宋体"/>
                <w:sz w:val="24"/>
                <w:highlight w:val="none"/>
              </w:rPr>
            </w:pPr>
          </w:p>
        </w:tc>
        <w:tc>
          <w:tcPr>
            <w:tcW w:w="839" w:type="dxa"/>
            <w:noWrap w:val="0"/>
            <w:vAlign w:val="top"/>
          </w:tcPr>
          <w:p w14:paraId="2E9739AA">
            <w:pPr>
              <w:spacing w:line="480" w:lineRule="exact"/>
              <w:rPr>
                <w:rFonts w:hint="eastAsia" w:ascii="宋体" w:hAnsi="宋体" w:eastAsia="宋体" w:cs="宋体"/>
                <w:sz w:val="24"/>
                <w:highlight w:val="none"/>
              </w:rPr>
            </w:pPr>
          </w:p>
        </w:tc>
      </w:tr>
      <w:tr w14:paraId="32FE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0D710F47">
            <w:pPr>
              <w:spacing w:line="480" w:lineRule="exact"/>
              <w:rPr>
                <w:rFonts w:hint="eastAsia" w:ascii="宋体" w:hAnsi="宋体" w:eastAsia="宋体" w:cs="宋体"/>
                <w:sz w:val="24"/>
                <w:highlight w:val="none"/>
              </w:rPr>
            </w:pPr>
          </w:p>
        </w:tc>
        <w:tc>
          <w:tcPr>
            <w:tcW w:w="1560" w:type="dxa"/>
            <w:noWrap w:val="0"/>
            <w:vAlign w:val="top"/>
          </w:tcPr>
          <w:p w14:paraId="0F263122">
            <w:pPr>
              <w:spacing w:line="480" w:lineRule="exact"/>
              <w:rPr>
                <w:rFonts w:hint="eastAsia" w:ascii="宋体" w:hAnsi="宋体" w:eastAsia="宋体" w:cs="宋体"/>
                <w:sz w:val="24"/>
                <w:highlight w:val="none"/>
              </w:rPr>
            </w:pPr>
          </w:p>
        </w:tc>
        <w:tc>
          <w:tcPr>
            <w:tcW w:w="2076" w:type="dxa"/>
            <w:noWrap w:val="0"/>
            <w:vAlign w:val="top"/>
          </w:tcPr>
          <w:p w14:paraId="18493FC4">
            <w:pPr>
              <w:spacing w:line="480" w:lineRule="exact"/>
              <w:rPr>
                <w:rFonts w:hint="eastAsia" w:ascii="宋体" w:hAnsi="宋体" w:eastAsia="宋体" w:cs="宋体"/>
                <w:sz w:val="24"/>
                <w:highlight w:val="none"/>
              </w:rPr>
            </w:pPr>
          </w:p>
        </w:tc>
        <w:tc>
          <w:tcPr>
            <w:tcW w:w="1431" w:type="dxa"/>
            <w:noWrap w:val="0"/>
            <w:vAlign w:val="top"/>
          </w:tcPr>
          <w:p w14:paraId="450FBFE6">
            <w:pPr>
              <w:spacing w:line="480" w:lineRule="exact"/>
              <w:rPr>
                <w:rFonts w:hint="eastAsia" w:ascii="宋体" w:hAnsi="宋体" w:eastAsia="宋体" w:cs="宋体"/>
                <w:sz w:val="24"/>
                <w:highlight w:val="none"/>
              </w:rPr>
            </w:pPr>
          </w:p>
        </w:tc>
        <w:tc>
          <w:tcPr>
            <w:tcW w:w="1610" w:type="dxa"/>
            <w:noWrap w:val="0"/>
            <w:vAlign w:val="top"/>
          </w:tcPr>
          <w:p w14:paraId="55B95C8A">
            <w:pPr>
              <w:spacing w:line="480" w:lineRule="exact"/>
              <w:rPr>
                <w:rFonts w:hint="eastAsia" w:ascii="宋体" w:hAnsi="宋体" w:eastAsia="宋体" w:cs="宋体"/>
                <w:sz w:val="24"/>
                <w:highlight w:val="none"/>
              </w:rPr>
            </w:pPr>
          </w:p>
        </w:tc>
        <w:tc>
          <w:tcPr>
            <w:tcW w:w="839" w:type="dxa"/>
            <w:noWrap w:val="0"/>
            <w:vAlign w:val="top"/>
          </w:tcPr>
          <w:p w14:paraId="7D38DEAE">
            <w:pPr>
              <w:spacing w:line="480" w:lineRule="exact"/>
              <w:rPr>
                <w:rFonts w:hint="eastAsia" w:ascii="宋体" w:hAnsi="宋体" w:eastAsia="宋体" w:cs="宋体"/>
                <w:sz w:val="24"/>
                <w:highlight w:val="none"/>
              </w:rPr>
            </w:pPr>
          </w:p>
        </w:tc>
      </w:tr>
      <w:tr w14:paraId="6DE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0D43791D">
            <w:pPr>
              <w:spacing w:line="480" w:lineRule="exact"/>
              <w:rPr>
                <w:rFonts w:hint="eastAsia" w:ascii="宋体" w:hAnsi="宋体" w:eastAsia="宋体" w:cs="宋体"/>
                <w:sz w:val="24"/>
                <w:highlight w:val="none"/>
              </w:rPr>
            </w:pPr>
          </w:p>
        </w:tc>
        <w:tc>
          <w:tcPr>
            <w:tcW w:w="1560" w:type="dxa"/>
            <w:noWrap w:val="0"/>
            <w:vAlign w:val="top"/>
          </w:tcPr>
          <w:p w14:paraId="63BF096F">
            <w:pPr>
              <w:spacing w:line="480" w:lineRule="exact"/>
              <w:rPr>
                <w:rFonts w:hint="eastAsia" w:ascii="宋体" w:hAnsi="宋体" w:eastAsia="宋体" w:cs="宋体"/>
                <w:sz w:val="24"/>
                <w:highlight w:val="none"/>
              </w:rPr>
            </w:pPr>
          </w:p>
        </w:tc>
        <w:tc>
          <w:tcPr>
            <w:tcW w:w="2076" w:type="dxa"/>
            <w:noWrap w:val="0"/>
            <w:vAlign w:val="top"/>
          </w:tcPr>
          <w:p w14:paraId="7B4077DD">
            <w:pPr>
              <w:spacing w:line="480" w:lineRule="exact"/>
              <w:rPr>
                <w:rFonts w:hint="eastAsia" w:ascii="宋体" w:hAnsi="宋体" w:eastAsia="宋体" w:cs="宋体"/>
                <w:sz w:val="24"/>
                <w:highlight w:val="none"/>
              </w:rPr>
            </w:pPr>
          </w:p>
        </w:tc>
        <w:tc>
          <w:tcPr>
            <w:tcW w:w="1431" w:type="dxa"/>
            <w:noWrap w:val="0"/>
            <w:vAlign w:val="top"/>
          </w:tcPr>
          <w:p w14:paraId="122C18F9">
            <w:pPr>
              <w:spacing w:line="480" w:lineRule="exact"/>
              <w:rPr>
                <w:rFonts w:hint="eastAsia" w:ascii="宋体" w:hAnsi="宋体" w:eastAsia="宋体" w:cs="宋体"/>
                <w:sz w:val="24"/>
                <w:highlight w:val="none"/>
              </w:rPr>
            </w:pPr>
          </w:p>
        </w:tc>
        <w:tc>
          <w:tcPr>
            <w:tcW w:w="1610" w:type="dxa"/>
            <w:noWrap w:val="0"/>
            <w:vAlign w:val="top"/>
          </w:tcPr>
          <w:p w14:paraId="0D61F780">
            <w:pPr>
              <w:spacing w:line="480" w:lineRule="exact"/>
              <w:rPr>
                <w:rFonts w:hint="eastAsia" w:ascii="宋体" w:hAnsi="宋体" w:eastAsia="宋体" w:cs="宋体"/>
                <w:sz w:val="24"/>
                <w:highlight w:val="none"/>
              </w:rPr>
            </w:pPr>
          </w:p>
        </w:tc>
        <w:tc>
          <w:tcPr>
            <w:tcW w:w="839" w:type="dxa"/>
            <w:noWrap w:val="0"/>
            <w:vAlign w:val="top"/>
          </w:tcPr>
          <w:p w14:paraId="2EF9D5A6">
            <w:pPr>
              <w:spacing w:line="480" w:lineRule="exact"/>
              <w:rPr>
                <w:rFonts w:hint="eastAsia" w:ascii="宋体" w:hAnsi="宋体" w:eastAsia="宋体" w:cs="宋体"/>
                <w:sz w:val="24"/>
                <w:highlight w:val="none"/>
              </w:rPr>
            </w:pPr>
          </w:p>
        </w:tc>
      </w:tr>
      <w:tr w14:paraId="09D3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4E8C4B15">
            <w:pPr>
              <w:spacing w:line="480" w:lineRule="exact"/>
              <w:rPr>
                <w:rFonts w:hint="eastAsia" w:ascii="宋体" w:hAnsi="宋体" w:eastAsia="宋体" w:cs="宋体"/>
                <w:sz w:val="24"/>
                <w:highlight w:val="none"/>
              </w:rPr>
            </w:pPr>
          </w:p>
        </w:tc>
        <w:tc>
          <w:tcPr>
            <w:tcW w:w="1560" w:type="dxa"/>
            <w:noWrap w:val="0"/>
            <w:vAlign w:val="top"/>
          </w:tcPr>
          <w:p w14:paraId="46A0EF6D">
            <w:pPr>
              <w:spacing w:line="480" w:lineRule="exact"/>
              <w:rPr>
                <w:rFonts w:hint="eastAsia" w:ascii="宋体" w:hAnsi="宋体" w:eastAsia="宋体" w:cs="宋体"/>
                <w:sz w:val="24"/>
                <w:highlight w:val="none"/>
              </w:rPr>
            </w:pPr>
          </w:p>
        </w:tc>
        <w:tc>
          <w:tcPr>
            <w:tcW w:w="2076" w:type="dxa"/>
            <w:noWrap w:val="0"/>
            <w:vAlign w:val="top"/>
          </w:tcPr>
          <w:p w14:paraId="6DB7E187">
            <w:pPr>
              <w:spacing w:line="480" w:lineRule="exact"/>
              <w:rPr>
                <w:rFonts w:hint="eastAsia" w:ascii="宋体" w:hAnsi="宋体" w:eastAsia="宋体" w:cs="宋体"/>
                <w:sz w:val="24"/>
                <w:highlight w:val="none"/>
              </w:rPr>
            </w:pPr>
          </w:p>
        </w:tc>
        <w:tc>
          <w:tcPr>
            <w:tcW w:w="1431" w:type="dxa"/>
            <w:noWrap w:val="0"/>
            <w:vAlign w:val="top"/>
          </w:tcPr>
          <w:p w14:paraId="14FBA8F2">
            <w:pPr>
              <w:spacing w:line="480" w:lineRule="exact"/>
              <w:rPr>
                <w:rFonts w:hint="eastAsia" w:ascii="宋体" w:hAnsi="宋体" w:eastAsia="宋体" w:cs="宋体"/>
                <w:sz w:val="24"/>
                <w:highlight w:val="none"/>
              </w:rPr>
            </w:pPr>
          </w:p>
        </w:tc>
        <w:tc>
          <w:tcPr>
            <w:tcW w:w="1610" w:type="dxa"/>
            <w:noWrap w:val="0"/>
            <w:vAlign w:val="top"/>
          </w:tcPr>
          <w:p w14:paraId="67DF7E04">
            <w:pPr>
              <w:spacing w:line="480" w:lineRule="exact"/>
              <w:rPr>
                <w:rFonts w:hint="eastAsia" w:ascii="宋体" w:hAnsi="宋体" w:eastAsia="宋体" w:cs="宋体"/>
                <w:sz w:val="24"/>
                <w:highlight w:val="none"/>
              </w:rPr>
            </w:pPr>
          </w:p>
        </w:tc>
        <w:tc>
          <w:tcPr>
            <w:tcW w:w="839" w:type="dxa"/>
            <w:noWrap w:val="0"/>
            <w:vAlign w:val="top"/>
          </w:tcPr>
          <w:p w14:paraId="7BF53CC1">
            <w:pPr>
              <w:spacing w:line="480" w:lineRule="exact"/>
              <w:rPr>
                <w:rFonts w:hint="eastAsia" w:ascii="宋体" w:hAnsi="宋体" w:eastAsia="宋体" w:cs="宋体"/>
                <w:sz w:val="24"/>
                <w:highlight w:val="none"/>
              </w:rPr>
            </w:pPr>
          </w:p>
        </w:tc>
      </w:tr>
      <w:tr w14:paraId="21A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7EF240CE">
            <w:pPr>
              <w:spacing w:line="480" w:lineRule="exact"/>
              <w:rPr>
                <w:rFonts w:hint="eastAsia" w:ascii="宋体" w:hAnsi="宋体" w:eastAsia="宋体" w:cs="宋体"/>
                <w:sz w:val="24"/>
                <w:highlight w:val="none"/>
              </w:rPr>
            </w:pPr>
          </w:p>
        </w:tc>
        <w:tc>
          <w:tcPr>
            <w:tcW w:w="1560" w:type="dxa"/>
            <w:noWrap w:val="0"/>
            <w:vAlign w:val="top"/>
          </w:tcPr>
          <w:p w14:paraId="24247B17">
            <w:pPr>
              <w:spacing w:line="480" w:lineRule="exact"/>
              <w:rPr>
                <w:rFonts w:hint="eastAsia" w:ascii="宋体" w:hAnsi="宋体" w:eastAsia="宋体" w:cs="宋体"/>
                <w:sz w:val="24"/>
                <w:highlight w:val="none"/>
              </w:rPr>
            </w:pPr>
          </w:p>
        </w:tc>
        <w:tc>
          <w:tcPr>
            <w:tcW w:w="2076" w:type="dxa"/>
            <w:noWrap w:val="0"/>
            <w:vAlign w:val="top"/>
          </w:tcPr>
          <w:p w14:paraId="1BB1BBC5">
            <w:pPr>
              <w:spacing w:line="480" w:lineRule="exact"/>
              <w:rPr>
                <w:rFonts w:hint="eastAsia" w:ascii="宋体" w:hAnsi="宋体" w:eastAsia="宋体" w:cs="宋体"/>
                <w:sz w:val="24"/>
                <w:highlight w:val="none"/>
              </w:rPr>
            </w:pPr>
          </w:p>
        </w:tc>
        <w:tc>
          <w:tcPr>
            <w:tcW w:w="1431" w:type="dxa"/>
            <w:noWrap w:val="0"/>
            <w:vAlign w:val="top"/>
          </w:tcPr>
          <w:p w14:paraId="39997E79">
            <w:pPr>
              <w:spacing w:line="480" w:lineRule="exact"/>
              <w:rPr>
                <w:rFonts w:hint="eastAsia" w:ascii="宋体" w:hAnsi="宋体" w:eastAsia="宋体" w:cs="宋体"/>
                <w:sz w:val="24"/>
                <w:highlight w:val="none"/>
              </w:rPr>
            </w:pPr>
          </w:p>
        </w:tc>
        <w:tc>
          <w:tcPr>
            <w:tcW w:w="1610" w:type="dxa"/>
            <w:noWrap w:val="0"/>
            <w:vAlign w:val="top"/>
          </w:tcPr>
          <w:p w14:paraId="037CC3D2">
            <w:pPr>
              <w:spacing w:line="480" w:lineRule="exact"/>
              <w:rPr>
                <w:rFonts w:hint="eastAsia" w:ascii="宋体" w:hAnsi="宋体" w:eastAsia="宋体" w:cs="宋体"/>
                <w:sz w:val="24"/>
                <w:highlight w:val="none"/>
              </w:rPr>
            </w:pPr>
          </w:p>
        </w:tc>
        <w:tc>
          <w:tcPr>
            <w:tcW w:w="839" w:type="dxa"/>
            <w:noWrap w:val="0"/>
            <w:vAlign w:val="top"/>
          </w:tcPr>
          <w:p w14:paraId="3D1CBDDC">
            <w:pPr>
              <w:spacing w:line="480" w:lineRule="exact"/>
              <w:rPr>
                <w:rFonts w:hint="eastAsia" w:ascii="宋体" w:hAnsi="宋体" w:eastAsia="宋体" w:cs="宋体"/>
                <w:sz w:val="24"/>
                <w:highlight w:val="none"/>
              </w:rPr>
            </w:pPr>
          </w:p>
        </w:tc>
      </w:tr>
    </w:tbl>
    <w:p w14:paraId="7FB7742D">
      <w:pPr>
        <w:snapToGrid w:val="0"/>
        <w:spacing w:line="480" w:lineRule="exact"/>
        <w:ind w:firstLine="542" w:firstLineChars="226"/>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备注：</w:t>
      </w:r>
    </w:p>
    <w:p w14:paraId="1854A4C5">
      <w:pPr>
        <w:snapToGrid w:val="0"/>
        <w:spacing w:line="480" w:lineRule="exact"/>
        <w:ind w:firstLine="542" w:firstLineChars="226"/>
        <w:jc w:val="left"/>
        <w:rPr>
          <w:rFonts w:hint="eastAsia" w:ascii="宋体" w:hAnsi="宋体" w:eastAsia="宋体" w:cs="宋体"/>
          <w:b/>
          <w:bCs/>
          <w:sz w:val="24"/>
          <w:highlight w:val="none"/>
        </w:rPr>
      </w:pPr>
      <w:r>
        <w:rPr>
          <w:rFonts w:hint="eastAsia" w:ascii="宋体" w:hAnsi="宋体" w:eastAsia="宋体" w:cs="宋体"/>
          <w:kern w:val="0"/>
          <w:sz w:val="24"/>
          <w:szCs w:val="28"/>
          <w:highlight w:val="none"/>
        </w:rPr>
        <w:t>合同扫描件或影印件证明材料至少包含：</w:t>
      </w:r>
      <w:r>
        <w:rPr>
          <w:rFonts w:hint="eastAsia" w:ascii="宋体" w:hAnsi="宋体" w:eastAsia="宋体" w:cs="宋体"/>
          <w:kern w:val="0"/>
          <w:sz w:val="24"/>
          <w:szCs w:val="28"/>
          <w:highlight w:val="none"/>
          <w:lang w:val="en-US" w:eastAsia="zh-CN"/>
        </w:rPr>
        <w:t>签订合同的首页、合同金额页、服务</w:t>
      </w:r>
      <w:r>
        <w:rPr>
          <w:rFonts w:hint="eastAsia" w:ascii="宋体" w:hAnsi="宋体" w:eastAsia="宋体" w:cs="宋体"/>
          <w:kern w:val="0"/>
          <w:sz w:val="24"/>
          <w:szCs w:val="28"/>
          <w:highlight w:val="none"/>
          <w:lang w:val="en-US"/>
        </w:rPr>
        <w:t>内容页</w:t>
      </w:r>
      <w:r>
        <w:rPr>
          <w:rFonts w:hint="eastAsia" w:ascii="宋体" w:hAnsi="宋体" w:eastAsia="宋体" w:cs="宋体"/>
          <w:kern w:val="0"/>
          <w:sz w:val="24"/>
          <w:szCs w:val="28"/>
          <w:highlight w:val="none"/>
          <w:lang w:val="en-US" w:eastAsia="zh-CN"/>
        </w:rPr>
        <w:t>、签字盖章页等证明材料复印件</w:t>
      </w:r>
      <w:r>
        <w:rPr>
          <w:rFonts w:hint="eastAsia" w:ascii="宋体" w:hAnsi="宋体" w:eastAsia="宋体" w:cs="宋体"/>
          <w:kern w:val="0"/>
          <w:sz w:val="24"/>
          <w:szCs w:val="28"/>
          <w:highlight w:val="none"/>
        </w:rPr>
        <w:t>（扫描件或影印件须加盖供应商公章）。</w:t>
      </w:r>
    </w:p>
    <w:p w14:paraId="0EF27835">
      <w:pPr>
        <w:numPr>
          <w:ilvl w:val="0"/>
          <w:numId w:val="0"/>
        </w:numPr>
        <w:spacing w:line="360" w:lineRule="auto"/>
        <w:rPr>
          <w:rFonts w:hint="eastAsia" w:ascii="宋体" w:hAnsi="宋体" w:eastAsia="宋体" w:cs="宋体"/>
          <w:b/>
          <w:color w:val="FF0000"/>
          <w:kern w:val="0"/>
          <w:sz w:val="24"/>
          <w:szCs w:val="24"/>
          <w:lang w:val="en-US" w:eastAsia="zh-CN" w:bidi="ar-SA"/>
        </w:rPr>
      </w:pPr>
    </w:p>
    <w:p w14:paraId="3899961C">
      <w:pPr>
        <w:numPr>
          <w:ilvl w:val="0"/>
          <w:numId w:val="0"/>
        </w:numPr>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szCs w:val="24"/>
          <w:lang w:val="en-US" w:eastAsia="zh-CN" w:bidi="ar-SA"/>
        </w:rPr>
        <w:t>8.服务方案</w:t>
      </w:r>
      <w:r>
        <w:rPr>
          <w:rFonts w:hint="eastAsia" w:ascii="宋体" w:hAnsi="宋体" w:eastAsia="宋体" w:cs="宋体"/>
          <w:b/>
          <w:color w:val="auto"/>
          <w:kern w:val="0"/>
          <w:sz w:val="24"/>
          <w:highlight w:val="none"/>
        </w:rPr>
        <w:t>（格式自拟）</w:t>
      </w:r>
    </w:p>
    <w:p w14:paraId="41CC5D6B">
      <w:pPr>
        <w:numPr>
          <w:ilvl w:val="0"/>
          <w:numId w:val="0"/>
        </w:numPr>
        <w:spacing w:line="360" w:lineRule="auto"/>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br w:type="textWrapping"/>
      </w:r>
      <w:r>
        <w:rPr>
          <w:rFonts w:hint="eastAsia" w:ascii="宋体" w:hAnsi="宋体" w:eastAsia="宋体" w:cs="宋体"/>
          <w:b/>
          <w:color w:val="auto"/>
          <w:kern w:val="0"/>
          <w:sz w:val="24"/>
          <w:szCs w:val="24"/>
          <w:lang w:val="en-US" w:eastAsia="zh-CN" w:bidi="ar-SA"/>
        </w:rPr>
        <w:br w:type="textWrapping"/>
      </w:r>
      <w:r>
        <w:rPr>
          <w:rFonts w:hint="eastAsia" w:ascii="宋体" w:hAnsi="宋体" w:eastAsia="宋体" w:cs="宋体"/>
          <w:b/>
          <w:color w:val="auto"/>
          <w:kern w:val="0"/>
          <w:sz w:val="24"/>
          <w:szCs w:val="24"/>
          <w:lang w:val="en-US" w:eastAsia="zh-CN" w:bidi="ar-SA"/>
        </w:rPr>
        <w:t>9.人员配置等证明材料</w:t>
      </w:r>
      <w:r>
        <w:rPr>
          <w:rFonts w:hint="eastAsia" w:ascii="宋体" w:hAnsi="宋体" w:eastAsia="宋体" w:cs="宋体"/>
          <w:b/>
          <w:color w:val="auto"/>
          <w:kern w:val="0"/>
          <w:sz w:val="24"/>
          <w:highlight w:val="none"/>
        </w:rPr>
        <w:t>（格式自拟）</w:t>
      </w:r>
    </w:p>
    <w:p w14:paraId="52C08494">
      <w:pPr>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szCs w:val="24"/>
          <w:lang w:val="en-US" w:eastAsia="zh-CN" w:bidi="ar-SA"/>
        </w:rPr>
        <w:br w:type="textWrapping"/>
      </w:r>
      <w:r>
        <w:rPr>
          <w:rFonts w:hint="eastAsia" w:ascii="宋体" w:hAnsi="宋体" w:eastAsia="宋体" w:cs="宋体"/>
          <w:b/>
          <w:color w:val="auto"/>
          <w:kern w:val="0"/>
          <w:sz w:val="24"/>
          <w:szCs w:val="24"/>
          <w:lang w:val="en-US" w:eastAsia="zh-CN" w:bidi="ar-SA"/>
        </w:rPr>
        <w:br w:type="textWrapping"/>
      </w:r>
      <w:r>
        <w:rPr>
          <w:rFonts w:hint="eastAsia" w:ascii="宋体" w:hAnsi="宋体" w:eastAsia="宋体" w:cs="宋体"/>
          <w:b/>
          <w:color w:val="auto"/>
          <w:kern w:val="0"/>
          <w:sz w:val="24"/>
          <w:szCs w:val="24"/>
          <w:lang w:val="en-US" w:eastAsia="zh-CN" w:bidi="ar-SA"/>
        </w:rPr>
        <w:t>10.</w:t>
      </w:r>
      <w:r>
        <w:rPr>
          <w:rFonts w:hint="eastAsia" w:ascii="宋体" w:hAnsi="宋体" w:eastAsia="宋体" w:cs="宋体"/>
          <w:b/>
          <w:color w:val="auto"/>
          <w:kern w:val="0"/>
          <w:sz w:val="24"/>
          <w:highlight w:val="none"/>
        </w:rPr>
        <w:t>供应商认为需要提供的其他商务、技术材料（格式自拟）</w:t>
      </w:r>
    </w:p>
    <w:p w14:paraId="0D9C739E">
      <w:pPr>
        <w:spacing w:line="360" w:lineRule="auto"/>
        <w:rPr>
          <w:rFonts w:hint="eastAsia" w:ascii="宋体" w:hAnsi="宋体" w:eastAsia="宋体" w:cs="宋体"/>
          <w:b/>
          <w:bCs/>
          <w:sz w:val="24"/>
          <w:highlight w:val="none"/>
        </w:rPr>
      </w:pPr>
      <w:r>
        <w:rPr>
          <w:rFonts w:hint="eastAsia" w:ascii="宋体" w:hAnsi="宋体" w:eastAsia="宋体" w:cs="宋体"/>
          <w:b/>
          <w:color w:val="FF0000"/>
          <w:kern w:val="0"/>
          <w:sz w:val="24"/>
          <w:highlight w:val="none"/>
        </w:rPr>
        <w:br w:type="textWrapping"/>
      </w:r>
    </w:p>
    <w:p w14:paraId="7F6A7A2D">
      <w:pPr>
        <w:spacing w:line="360" w:lineRule="auto"/>
        <w:rPr>
          <w:rFonts w:hint="eastAsia" w:ascii="宋体" w:hAnsi="宋体" w:eastAsia="宋体" w:cs="宋体"/>
          <w:b/>
          <w:bCs/>
          <w:sz w:val="24"/>
          <w:highlight w:val="none"/>
        </w:rPr>
      </w:pPr>
    </w:p>
    <w:p w14:paraId="7CFAF223">
      <w:pPr>
        <w:spacing w:line="360" w:lineRule="auto"/>
        <w:rPr>
          <w:rFonts w:hint="eastAsia" w:ascii="宋体" w:hAnsi="宋体" w:eastAsia="宋体" w:cs="宋体"/>
          <w:b/>
          <w:kern w:val="0"/>
          <w:sz w:val="24"/>
          <w:highlight w:val="none"/>
          <w:lang w:val="en-US" w:eastAsia="zh-CN"/>
        </w:rPr>
        <w:sectPr>
          <w:pgSz w:w="11906" w:h="16838"/>
          <w:pgMar w:top="1418" w:right="1418" w:bottom="1418" w:left="1418" w:header="851" w:footer="992" w:gutter="0"/>
          <w:pgNumType w:fmt="decimal"/>
          <w:cols w:space="425" w:num="1"/>
          <w:titlePg/>
          <w:docGrid w:linePitch="312" w:charSpace="0"/>
        </w:sectPr>
      </w:pPr>
    </w:p>
    <w:p w14:paraId="69B8935E">
      <w:pPr>
        <w:spacing w:line="360" w:lineRule="auto"/>
        <w:rPr>
          <w:rFonts w:hint="eastAsia" w:ascii="宋体" w:hAnsi="宋体" w:eastAsia="宋体" w:cs="宋体"/>
          <w:b/>
          <w:bCs/>
          <w:sz w:val="24"/>
          <w:highlight w:val="none"/>
        </w:rPr>
      </w:pPr>
      <w:r>
        <w:rPr>
          <w:rFonts w:hint="eastAsia" w:ascii="宋体" w:hAnsi="宋体" w:eastAsia="宋体" w:cs="宋体"/>
          <w:b/>
          <w:kern w:val="0"/>
          <w:sz w:val="24"/>
          <w:highlight w:val="none"/>
          <w:lang w:val="en-US" w:eastAsia="zh-CN"/>
        </w:rPr>
        <w:t>11</w:t>
      </w:r>
      <w:r>
        <w:rPr>
          <w:rFonts w:hint="eastAsia" w:ascii="宋体" w:hAnsi="宋体" w:eastAsia="宋体" w:cs="宋体"/>
          <w:b/>
          <w:kern w:val="0"/>
          <w:sz w:val="24"/>
          <w:highlight w:val="none"/>
        </w:rPr>
        <w:t>.政策性要求</w:t>
      </w:r>
    </w:p>
    <w:bookmarkEnd w:id="0"/>
    <w:bookmarkEnd w:id="2"/>
    <w:p w14:paraId="636A8512">
      <w:pPr>
        <w:tabs>
          <w:tab w:val="left" w:pos="1680"/>
        </w:tabs>
        <w:spacing w:line="360" w:lineRule="auto"/>
        <w:rPr>
          <w:rFonts w:hint="eastAsia" w:ascii="宋体" w:hAnsi="宋体" w:eastAsia="宋体" w:cs="宋体"/>
          <w:b/>
          <w:sz w:val="24"/>
          <w:highlight w:val="none"/>
        </w:rPr>
      </w:pPr>
      <w:r>
        <w:rPr>
          <w:rFonts w:hint="eastAsia" w:ascii="宋体" w:hAnsi="宋体" w:eastAsia="宋体" w:cs="宋体"/>
          <w:b/>
          <w:kern w:val="0"/>
          <w:sz w:val="24"/>
          <w:highlight w:val="none"/>
        </w:rPr>
        <w:t>（一）</w:t>
      </w:r>
      <w:r>
        <w:rPr>
          <w:rFonts w:hint="eastAsia" w:ascii="宋体" w:hAnsi="宋体" w:eastAsia="宋体" w:cs="宋体"/>
          <w:b/>
          <w:sz w:val="24"/>
          <w:highlight w:val="none"/>
        </w:rPr>
        <w:t>环保节能产品证明材料</w:t>
      </w:r>
    </w:p>
    <w:p w14:paraId="67B75191">
      <w:pPr>
        <w:tabs>
          <w:tab w:val="left" w:pos="1680"/>
        </w:tabs>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（1）强制节能产品（如不涉及，可不提供）</w:t>
      </w:r>
    </w:p>
    <w:p w14:paraId="18BB322E">
      <w:pPr>
        <w:tabs>
          <w:tab w:val="left" w:pos="1680"/>
        </w:tabs>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76"/>
        <w:gridCol w:w="946"/>
        <w:gridCol w:w="1134"/>
        <w:gridCol w:w="1332"/>
        <w:gridCol w:w="1645"/>
        <w:gridCol w:w="2030"/>
      </w:tblGrid>
      <w:tr w14:paraId="3B7C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7A072596">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1276" w:type="dxa"/>
            <w:noWrap w:val="0"/>
            <w:vAlign w:val="center"/>
          </w:tcPr>
          <w:p w14:paraId="0547537F">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46" w:type="dxa"/>
            <w:noWrap w:val="0"/>
            <w:vAlign w:val="center"/>
          </w:tcPr>
          <w:p w14:paraId="0C160E9B">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1134" w:type="dxa"/>
            <w:noWrap w:val="0"/>
            <w:vAlign w:val="center"/>
          </w:tcPr>
          <w:p w14:paraId="237961EE">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332" w:type="dxa"/>
            <w:noWrap w:val="0"/>
            <w:vAlign w:val="center"/>
          </w:tcPr>
          <w:p w14:paraId="6C74DF41">
            <w:pPr>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645" w:type="dxa"/>
            <w:noWrap w:val="0"/>
            <w:vAlign w:val="center"/>
          </w:tcPr>
          <w:p w14:paraId="6D7A5248">
            <w:pPr>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2030" w:type="dxa"/>
            <w:noWrap w:val="0"/>
            <w:vAlign w:val="center"/>
          </w:tcPr>
          <w:p w14:paraId="16CD2210">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4C36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3D27155B">
            <w:pPr>
              <w:spacing w:line="360" w:lineRule="auto"/>
              <w:rPr>
                <w:rFonts w:hint="eastAsia" w:ascii="宋体" w:hAnsi="宋体" w:eastAsia="宋体" w:cs="宋体"/>
                <w:b/>
                <w:sz w:val="24"/>
                <w:highlight w:val="none"/>
              </w:rPr>
            </w:pPr>
          </w:p>
        </w:tc>
        <w:tc>
          <w:tcPr>
            <w:tcW w:w="1276" w:type="dxa"/>
            <w:noWrap w:val="0"/>
            <w:vAlign w:val="top"/>
          </w:tcPr>
          <w:p w14:paraId="4DFC0601">
            <w:pPr>
              <w:spacing w:line="360" w:lineRule="auto"/>
              <w:rPr>
                <w:rFonts w:hint="eastAsia" w:ascii="宋体" w:hAnsi="宋体" w:eastAsia="宋体" w:cs="宋体"/>
                <w:b/>
                <w:sz w:val="24"/>
                <w:highlight w:val="none"/>
              </w:rPr>
            </w:pPr>
          </w:p>
        </w:tc>
        <w:tc>
          <w:tcPr>
            <w:tcW w:w="946" w:type="dxa"/>
            <w:noWrap w:val="0"/>
            <w:vAlign w:val="top"/>
          </w:tcPr>
          <w:p w14:paraId="40C0E778">
            <w:pPr>
              <w:spacing w:line="360" w:lineRule="auto"/>
              <w:rPr>
                <w:rFonts w:hint="eastAsia" w:ascii="宋体" w:hAnsi="宋体" w:eastAsia="宋体" w:cs="宋体"/>
                <w:b/>
                <w:sz w:val="24"/>
                <w:highlight w:val="none"/>
              </w:rPr>
            </w:pPr>
          </w:p>
        </w:tc>
        <w:tc>
          <w:tcPr>
            <w:tcW w:w="1134" w:type="dxa"/>
            <w:noWrap w:val="0"/>
            <w:vAlign w:val="top"/>
          </w:tcPr>
          <w:p w14:paraId="6F5F09F1">
            <w:pPr>
              <w:spacing w:line="360" w:lineRule="auto"/>
              <w:rPr>
                <w:rFonts w:hint="eastAsia" w:ascii="宋体" w:hAnsi="宋体" w:eastAsia="宋体" w:cs="宋体"/>
                <w:b/>
                <w:sz w:val="24"/>
                <w:highlight w:val="none"/>
              </w:rPr>
            </w:pPr>
          </w:p>
        </w:tc>
        <w:tc>
          <w:tcPr>
            <w:tcW w:w="1332" w:type="dxa"/>
            <w:noWrap w:val="0"/>
            <w:vAlign w:val="top"/>
          </w:tcPr>
          <w:p w14:paraId="17F75348">
            <w:pPr>
              <w:spacing w:line="360" w:lineRule="auto"/>
              <w:rPr>
                <w:rFonts w:hint="eastAsia" w:ascii="宋体" w:hAnsi="宋体" w:eastAsia="宋体" w:cs="宋体"/>
                <w:b/>
                <w:sz w:val="24"/>
                <w:highlight w:val="none"/>
              </w:rPr>
            </w:pPr>
          </w:p>
        </w:tc>
        <w:tc>
          <w:tcPr>
            <w:tcW w:w="1645" w:type="dxa"/>
            <w:noWrap w:val="0"/>
            <w:vAlign w:val="top"/>
          </w:tcPr>
          <w:p w14:paraId="115B73EE">
            <w:pPr>
              <w:spacing w:line="360" w:lineRule="auto"/>
              <w:rPr>
                <w:rFonts w:hint="eastAsia" w:ascii="宋体" w:hAnsi="宋体" w:eastAsia="宋体" w:cs="宋体"/>
                <w:b/>
                <w:sz w:val="24"/>
                <w:highlight w:val="none"/>
              </w:rPr>
            </w:pPr>
          </w:p>
        </w:tc>
        <w:tc>
          <w:tcPr>
            <w:tcW w:w="2030" w:type="dxa"/>
            <w:noWrap w:val="0"/>
            <w:vAlign w:val="top"/>
          </w:tcPr>
          <w:p w14:paraId="73EC670E">
            <w:pPr>
              <w:spacing w:line="360" w:lineRule="auto"/>
              <w:rPr>
                <w:rFonts w:hint="eastAsia" w:ascii="宋体" w:hAnsi="宋体" w:eastAsia="宋体" w:cs="宋体"/>
                <w:b/>
                <w:sz w:val="24"/>
                <w:highlight w:val="none"/>
              </w:rPr>
            </w:pPr>
          </w:p>
        </w:tc>
      </w:tr>
      <w:tr w14:paraId="6E87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4DB5F214">
            <w:pPr>
              <w:spacing w:line="360" w:lineRule="auto"/>
              <w:rPr>
                <w:rFonts w:hint="eastAsia" w:ascii="宋体" w:hAnsi="宋体" w:eastAsia="宋体" w:cs="宋体"/>
                <w:b/>
                <w:sz w:val="24"/>
                <w:highlight w:val="none"/>
              </w:rPr>
            </w:pPr>
          </w:p>
        </w:tc>
        <w:tc>
          <w:tcPr>
            <w:tcW w:w="1276" w:type="dxa"/>
            <w:noWrap w:val="0"/>
            <w:vAlign w:val="top"/>
          </w:tcPr>
          <w:p w14:paraId="13630BA7">
            <w:pPr>
              <w:spacing w:line="360" w:lineRule="auto"/>
              <w:rPr>
                <w:rFonts w:hint="eastAsia" w:ascii="宋体" w:hAnsi="宋体" w:eastAsia="宋体" w:cs="宋体"/>
                <w:b/>
                <w:sz w:val="24"/>
                <w:highlight w:val="none"/>
              </w:rPr>
            </w:pPr>
          </w:p>
        </w:tc>
        <w:tc>
          <w:tcPr>
            <w:tcW w:w="946" w:type="dxa"/>
            <w:noWrap w:val="0"/>
            <w:vAlign w:val="top"/>
          </w:tcPr>
          <w:p w14:paraId="7951EF35">
            <w:pPr>
              <w:spacing w:line="360" w:lineRule="auto"/>
              <w:rPr>
                <w:rFonts w:hint="eastAsia" w:ascii="宋体" w:hAnsi="宋体" w:eastAsia="宋体" w:cs="宋体"/>
                <w:b/>
                <w:sz w:val="24"/>
                <w:highlight w:val="none"/>
              </w:rPr>
            </w:pPr>
          </w:p>
        </w:tc>
        <w:tc>
          <w:tcPr>
            <w:tcW w:w="1134" w:type="dxa"/>
            <w:noWrap w:val="0"/>
            <w:vAlign w:val="top"/>
          </w:tcPr>
          <w:p w14:paraId="5D6D03E6">
            <w:pPr>
              <w:spacing w:line="360" w:lineRule="auto"/>
              <w:rPr>
                <w:rFonts w:hint="eastAsia" w:ascii="宋体" w:hAnsi="宋体" w:eastAsia="宋体" w:cs="宋体"/>
                <w:b/>
                <w:sz w:val="24"/>
                <w:highlight w:val="none"/>
              </w:rPr>
            </w:pPr>
          </w:p>
        </w:tc>
        <w:tc>
          <w:tcPr>
            <w:tcW w:w="1332" w:type="dxa"/>
            <w:noWrap w:val="0"/>
            <w:vAlign w:val="top"/>
          </w:tcPr>
          <w:p w14:paraId="3433DFC0">
            <w:pPr>
              <w:spacing w:line="360" w:lineRule="auto"/>
              <w:rPr>
                <w:rFonts w:hint="eastAsia" w:ascii="宋体" w:hAnsi="宋体" w:eastAsia="宋体" w:cs="宋体"/>
                <w:b/>
                <w:sz w:val="24"/>
                <w:highlight w:val="none"/>
              </w:rPr>
            </w:pPr>
          </w:p>
        </w:tc>
        <w:tc>
          <w:tcPr>
            <w:tcW w:w="1645" w:type="dxa"/>
            <w:noWrap w:val="0"/>
            <w:vAlign w:val="top"/>
          </w:tcPr>
          <w:p w14:paraId="02F94E26">
            <w:pPr>
              <w:spacing w:line="360" w:lineRule="auto"/>
              <w:rPr>
                <w:rFonts w:hint="eastAsia" w:ascii="宋体" w:hAnsi="宋体" w:eastAsia="宋体" w:cs="宋体"/>
                <w:b/>
                <w:sz w:val="24"/>
                <w:highlight w:val="none"/>
              </w:rPr>
            </w:pPr>
          </w:p>
        </w:tc>
        <w:tc>
          <w:tcPr>
            <w:tcW w:w="2030" w:type="dxa"/>
            <w:noWrap w:val="0"/>
            <w:vAlign w:val="top"/>
          </w:tcPr>
          <w:p w14:paraId="29ED63CD">
            <w:pPr>
              <w:spacing w:line="360" w:lineRule="auto"/>
              <w:rPr>
                <w:rFonts w:hint="eastAsia" w:ascii="宋体" w:hAnsi="宋体" w:eastAsia="宋体" w:cs="宋体"/>
                <w:b/>
                <w:sz w:val="24"/>
                <w:highlight w:val="none"/>
              </w:rPr>
            </w:pPr>
          </w:p>
        </w:tc>
      </w:tr>
      <w:tr w14:paraId="6010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9" w:type="dxa"/>
            <w:noWrap w:val="0"/>
            <w:vAlign w:val="top"/>
          </w:tcPr>
          <w:p w14:paraId="7CCE348B">
            <w:pPr>
              <w:spacing w:line="360" w:lineRule="auto"/>
              <w:rPr>
                <w:rFonts w:hint="eastAsia" w:ascii="宋体" w:hAnsi="宋体" w:eastAsia="宋体" w:cs="宋体"/>
                <w:b/>
                <w:sz w:val="24"/>
                <w:highlight w:val="none"/>
              </w:rPr>
            </w:pPr>
          </w:p>
        </w:tc>
        <w:tc>
          <w:tcPr>
            <w:tcW w:w="1276" w:type="dxa"/>
            <w:noWrap w:val="0"/>
            <w:vAlign w:val="top"/>
          </w:tcPr>
          <w:p w14:paraId="45388485">
            <w:pPr>
              <w:spacing w:line="360" w:lineRule="auto"/>
              <w:rPr>
                <w:rFonts w:hint="eastAsia" w:ascii="宋体" w:hAnsi="宋体" w:eastAsia="宋体" w:cs="宋体"/>
                <w:b/>
                <w:sz w:val="24"/>
                <w:highlight w:val="none"/>
              </w:rPr>
            </w:pPr>
          </w:p>
        </w:tc>
        <w:tc>
          <w:tcPr>
            <w:tcW w:w="946" w:type="dxa"/>
            <w:noWrap w:val="0"/>
            <w:vAlign w:val="top"/>
          </w:tcPr>
          <w:p w14:paraId="219C49D2">
            <w:pPr>
              <w:spacing w:line="360" w:lineRule="auto"/>
              <w:rPr>
                <w:rFonts w:hint="eastAsia" w:ascii="宋体" w:hAnsi="宋体" w:eastAsia="宋体" w:cs="宋体"/>
                <w:b/>
                <w:sz w:val="24"/>
                <w:highlight w:val="none"/>
              </w:rPr>
            </w:pPr>
          </w:p>
        </w:tc>
        <w:tc>
          <w:tcPr>
            <w:tcW w:w="1134" w:type="dxa"/>
            <w:noWrap w:val="0"/>
            <w:vAlign w:val="top"/>
          </w:tcPr>
          <w:p w14:paraId="5F2187AB">
            <w:pPr>
              <w:spacing w:line="360" w:lineRule="auto"/>
              <w:rPr>
                <w:rFonts w:hint="eastAsia" w:ascii="宋体" w:hAnsi="宋体" w:eastAsia="宋体" w:cs="宋体"/>
                <w:b/>
                <w:sz w:val="24"/>
                <w:highlight w:val="none"/>
              </w:rPr>
            </w:pPr>
          </w:p>
        </w:tc>
        <w:tc>
          <w:tcPr>
            <w:tcW w:w="1332" w:type="dxa"/>
            <w:noWrap w:val="0"/>
            <w:vAlign w:val="top"/>
          </w:tcPr>
          <w:p w14:paraId="1EEA7340">
            <w:pPr>
              <w:spacing w:line="360" w:lineRule="auto"/>
              <w:rPr>
                <w:rFonts w:hint="eastAsia" w:ascii="宋体" w:hAnsi="宋体" w:eastAsia="宋体" w:cs="宋体"/>
                <w:b/>
                <w:sz w:val="24"/>
                <w:highlight w:val="none"/>
              </w:rPr>
            </w:pPr>
          </w:p>
        </w:tc>
        <w:tc>
          <w:tcPr>
            <w:tcW w:w="1645" w:type="dxa"/>
            <w:noWrap w:val="0"/>
            <w:vAlign w:val="top"/>
          </w:tcPr>
          <w:p w14:paraId="571C15BF">
            <w:pPr>
              <w:spacing w:line="360" w:lineRule="auto"/>
              <w:rPr>
                <w:rFonts w:hint="eastAsia" w:ascii="宋体" w:hAnsi="宋体" w:eastAsia="宋体" w:cs="宋体"/>
                <w:b/>
                <w:sz w:val="24"/>
                <w:highlight w:val="none"/>
              </w:rPr>
            </w:pPr>
          </w:p>
        </w:tc>
        <w:tc>
          <w:tcPr>
            <w:tcW w:w="2030" w:type="dxa"/>
            <w:noWrap w:val="0"/>
            <w:vAlign w:val="top"/>
          </w:tcPr>
          <w:p w14:paraId="0612E65E">
            <w:pPr>
              <w:spacing w:line="360" w:lineRule="auto"/>
              <w:rPr>
                <w:rFonts w:hint="eastAsia" w:ascii="宋体" w:hAnsi="宋体" w:eastAsia="宋体" w:cs="宋体"/>
                <w:b/>
                <w:sz w:val="24"/>
                <w:highlight w:val="none"/>
              </w:rPr>
            </w:pPr>
          </w:p>
        </w:tc>
      </w:tr>
    </w:tbl>
    <w:p w14:paraId="0FC91AD8">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01B539DD">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如采购项目（或者：包）所投产品中包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在响应文件中填写《强制节能产品明细表》，并提供所投产品获得国家确定的认证机构出具的、处于有效期之内的节能产品认证证书。</w:t>
      </w:r>
    </w:p>
    <w:p w14:paraId="78450A19">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2.以包为单位分别填写，如采购项目（或者：包）所投产品中不涉及强制节能产品，可不提供此表。</w:t>
      </w:r>
    </w:p>
    <w:p w14:paraId="5C9B2A31">
      <w:pPr>
        <w:tabs>
          <w:tab w:val="left" w:pos="1680"/>
        </w:tabs>
        <w:spacing w:line="360" w:lineRule="auto"/>
        <w:rPr>
          <w:rFonts w:hint="eastAsia" w:ascii="宋体" w:hAnsi="宋体" w:eastAsia="宋体" w:cs="宋体"/>
          <w:bCs/>
          <w:sz w:val="24"/>
          <w:highlight w:val="none"/>
        </w:rPr>
      </w:pPr>
    </w:p>
    <w:p w14:paraId="3F034961">
      <w:pPr>
        <w:tabs>
          <w:tab w:val="left" w:pos="1680"/>
        </w:tabs>
        <w:spacing w:line="360" w:lineRule="auto"/>
        <w:rPr>
          <w:rFonts w:hint="eastAsia" w:ascii="宋体" w:hAnsi="宋体" w:eastAsia="宋体" w:cs="宋体"/>
          <w:bCs/>
          <w:sz w:val="24"/>
          <w:highlight w:val="none"/>
        </w:rPr>
      </w:pPr>
    </w:p>
    <w:p w14:paraId="12696D6F">
      <w:pPr>
        <w:tabs>
          <w:tab w:val="left" w:pos="1680"/>
        </w:tabs>
        <w:spacing w:line="360" w:lineRule="auto"/>
        <w:rPr>
          <w:rFonts w:hint="eastAsia" w:ascii="宋体" w:hAnsi="宋体" w:eastAsia="宋体" w:cs="宋体"/>
          <w:bCs/>
          <w:sz w:val="24"/>
          <w:highlight w:val="none"/>
        </w:rPr>
      </w:pPr>
    </w:p>
    <w:p w14:paraId="456519BE">
      <w:pPr>
        <w:tabs>
          <w:tab w:val="left" w:pos="1680"/>
        </w:tabs>
        <w:spacing w:line="360" w:lineRule="auto"/>
        <w:rPr>
          <w:rFonts w:hint="eastAsia" w:ascii="宋体" w:hAnsi="宋体" w:eastAsia="宋体" w:cs="宋体"/>
          <w:bCs/>
          <w:sz w:val="24"/>
          <w:highlight w:val="none"/>
        </w:rPr>
      </w:pPr>
    </w:p>
    <w:p w14:paraId="7CEDA7D3">
      <w:pPr>
        <w:tabs>
          <w:tab w:val="left" w:pos="1680"/>
        </w:tabs>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br w:type="page"/>
      </w:r>
      <w:r>
        <w:rPr>
          <w:rFonts w:hint="eastAsia" w:ascii="宋体" w:hAnsi="宋体" w:eastAsia="宋体" w:cs="宋体"/>
          <w:bCs/>
          <w:sz w:val="24"/>
          <w:highlight w:val="none"/>
        </w:rPr>
        <w:t>（2）非强制节能产品（如不涉及，可不提供）</w:t>
      </w:r>
    </w:p>
    <w:p w14:paraId="14E6376E">
      <w:pPr>
        <w:tabs>
          <w:tab w:val="left" w:pos="1680"/>
        </w:tabs>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76"/>
        <w:gridCol w:w="946"/>
        <w:gridCol w:w="1134"/>
        <w:gridCol w:w="1332"/>
        <w:gridCol w:w="1645"/>
        <w:gridCol w:w="2030"/>
      </w:tblGrid>
      <w:tr w14:paraId="5AB1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760D8457">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1276" w:type="dxa"/>
            <w:noWrap w:val="0"/>
            <w:vAlign w:val="center"/>
          </w:tcPr>
          <w:p w14:paraId="3622A065">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46" w:type="dxa"/>
            <w:noWrap w:val="0"/>
            <w:vAlign w:val="center"/>
          </w:tcPr>
          <w:p w14:paraId="5A8CC84B">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1134" w:type="dxa"/>
            <w:noWrap w:val="0"/>
            <w:vAlign w:val="center"/>
          </w:tcPr>
          <w:p w14:paraId="327539A2">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332" w:type="dxa"/>
            <w:noWrap w:val="0"/>
            <w:vAlign w:val="center"/>
          </w:tcPr>
          <w:p w14:paraId="0D06FF47">
            <w:pPr>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645" w:type="dxa"/>
            <w:noWrap w:val="0"/>
            <w:vAlign w:val="center"/>
          </w:tcPr>
          <w:p w14:paraId="58D5BAB0">
            <w:pPr>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2030" w:type="dxa"/>
            <w:noWrap w:val="0"/>
            <w:vAlign w:val="center"/>
          </w:tcPr>
          <w:p w14:paraId="46EE055D">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7D06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1564E3F0">
            <w:pPr>
              <w:spacing w:line="360" w:lineRule="auto"/>
              <w:rPr>
                <w:rFonts w:hint="eastAsia" w:ascii="宋体" w:hAnsi="宋体" w:eastAsia="宋体" w:cs="宋体"/>
                <w:b/>
                <w:sz w:val="24"/>
                <w:highlight w:val="none"/>
              </w:rPr>
            </w:pPr>
          </w:p>
        </w:tc>
        <w:tc>
          <w:tcPr>
            <w:tcW w:w="1276" w:type="dxa"/>
            <w:noWrap w:val="0"/>
            <w:vAlign w:val="top"/>
          </w:tcPr>
          <w:p w14:paraId="5FFA41A8">
            <w:pPr>
              <w:spacing w:line="360" w:lineRule="auto"/>
              <w:rPr>
                <w:rFonts w:hint="eastAsia" w:ascii="宋体" w:hAnsi="宋体" w:eastAsia="宋体" w:cs="宋体"/>
                <w:b/>
                <w:sz w:val="24"/>
                <w:highlight w:val="none"/>
              </w:rPr>
            </w:pPr>
          </w:p>
        </w:tc>
        <w:tc>
          <w:tcPr>
            <w:tcW w:w="946" w:type="dxa"/>
            <w:noWrap w:val="0"/>
            <w:vAlign w:val="top"/>
          </w:tcPr>
          <w:p w14:paraId="6DEA8F8C">
            <w:pPr>
              <w:spacing w:line="360" w:lineRule="auto"/>
              <w:rPr>
                <w:rFonts w:hint="eastAsia" w:ascii="宋体" w:hAnsi="宋体" w:eastAsia="宋体" w:cs="宋体"/>
                <w:b/>
                <w:sz w:val="24"/>
                <w:highlight w:val="none"/>
              </w:rPr>
            </w:pPr>
          </w:p>
        </w:tc>
        <w:tc>
          <w:tcPr>
            <w:tcW w:w="1134" w:type="dxa"/>
            <w:noWrap w:val="0"/>
            <w:vAlign w:val="top"/>
          </w:tcPr>
          <w:p w14:paraId="16F5A795">
            <w:pPr>
              <w:spacing w:line="360" w:lineRule="auto"/>
              <w:rPr>
                <w:rFonts w:hint="eastAsia" w:ascii="宋体" w:hAnsi="宋体" w:eastAsia="宋体" w:cs="宋体"/>
                <w:b/>
                <w:sz w:val="24"/>
                <w:highlight w:val="none"/>
              </w:rPr>
            </w:pPr>
          </w:p>
        </w:tc>
        <w:tc>
          <w:tcPr>
            <w:tcW w:w="1332" w:type="dxa"/>
            <w:noWrap w:val="0"/>
            <w:vAlign w:val="top"/>
          </w:tcPr>
          <w:p w14:paraId="35536B8F">
            <w:pPr>
              <w:spacing w:line="360" w:lineRule="auto"/>
              <w:rPr>
                <w:rFonts w:hint="eastAsia" w:ascii="宋体" w:hAnsi="宋体" w:eastAsia="宋体" w:cs="宋体"/>
                <w:b/>
                <w:sz w:val="24"/>
                <w:highlight w:val="none"/>
              </w:rPr>
            </w:pPr>
          </w:p>
        </w:tc>
        <w:tc>
          <w:tcPr>
            <w:tcW w:w="1645" w:type="dxa"/>
            <w:noWrap w:val="0"/>
            <w:vAlign w:val="top"/>
          </w:tcPr>
          <w:p w14:paraId="36B714FE">
            <w:pPr>
              <w:spacing w:line="360" w:lineRule="auto"/>
              <w:rPr>
                <w:rFonts w:hint="eastAsia" w:ascii="宋体" w:hAnsi="宋体" w:eastAsia="宋体" w:cs="宋体"/>
                <w:b/>
                <w:sz w:val="24"/>
                <w:highlight w:val="none"/>
              </w:rPr>
            </w:pPr>
          </w:p>
        </w:tc>
        <w:tc>
          <w:tcPr>
            <w:tcW w:w="2030" w:type="dxa"/>
            <w:noWrap w:val="0"/>
            <w:vAlign w:val="top"/>
          </w:tcPr>
          <w:p w14:paraId="05B19C1F">
            <w:pPr>
              <w:spacing w:line="360" w:lineRule="auto"/>
              <w:rPr>
                <w:rFonts w:hint="eastAsia" w:ascii="宋体" w:hAnsi="宋体" w:eastAsia="宋体" w:cs="宋体"/>
                <w:b/>
                <w:sz w:val="24"/>
                <w:highlight w:val="none"/>
              </w:rPr>
            </w:pPr>
          </w:p>
        </w:tc>
      </w:tr>
      <w:tr w14:paraId="76D5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2D489CEE">
            <w:pPr>
              <w:spacing w:line="360" w:lineRule="auto"/>
              <w:rPr>
                <w:rFonts w:hint="eastAsia" w:ascii="宋体" w:hAnsi="宋体" w:eastAsia="宋体" w:cs="宋体"/>
                <w:b/>
                <w:sz w:val="24"/>
                <w:highlight w:val="none"/>
              </w:rPr>
            </w:pPr>
          </w:p>
        </w:tc>
        <w:tc>
          <w:tcPr>
            <w:tcW w:w="1276" w:type="dxa"/>
            <w:noWrap w:val="0"/>
            <w:vAlign w:val="top"/>
          </w:tcPr>
          <w:p w14:paraId="506CD51F">
            <w:pPr>
              <w:spacing w:line="360" w:lineRule="auto"/>
              <w:rPr>
                <w:rFonts w:hint="eastAsia" w:ascii="宋体" w:hAnsi="宋体" w:eastAsia="宋体" w:cs="宋体"/>
                <w:b/>
                <w:sz w:val="24"/>
                <w:highlight w:val="none"/>
              </w:rPr>
            </w:pPr>
          </w:p>
        </w:tc>
        <w:tc>
          <w:tcPr>
            <w:tcW w:w="946" w:type="dxa"/>
            <w:noWrap w:val="0"/>
            <w:vAlign w:val="top"/>
          </w:tcPr>
          <w:p w14:paraId="79FC5E37">
            <w:pPr>
              <w:spacing w:line="360" w:lineRule="auto"/>
              <w:rPr>
                <w:rFonts w:hint="eastAsia" w:ascii="宋体" w:hAnsi="宋体" w:eastAsia="宋体" w:cs="宋体"/>
                <w:b/>
                <w:sz w:val="24"/>
                <w:highlight w:val="none"/>
              </w:rPr>
            </w:pPr>
          </w:p>
        </w:tc>
        <w:tc>
          <w:tcPr>
            <w:tcW w:w="1134" w:type="dxa"/>
            <w:noWrap w:val="0"/>
            <w:vAlign w:val="top"/>
          </w:tcPr>
          <w:p w14:paraId="4247B1A6">
            <w:pPr>
              <w:spacing w:line="360" w:lineRule="auto"/>
              <w:rPr>
                <w:rFonts w:hint="eastAsia" w:ascii="宋体" w:hAnsi="宋体" w:eastAsia="宋体" w:cs="宋体"/>
                <w:b/>
                <w:sz w:val="24"/>
                <w:highlight w:val="none"/>
              </w:rPr>
            </w:pPr>
          </w:p>
        </w:tc>
        <w:tc>
          <w:tcPr>
            <w:tcW w:w="1332" w:type="dxa"/>
            <w:noWrap w:val="0"/>
            <w:vAlign w:val="top"/>
          </w:tcPr>
          <w:p w14:paraId="16BFADCE">
            <w:pPr>
              <w:spacing w:line="360" w:lineRule="auto"/>
              <w:rPr>
                <w:rFonts w:hint="eastAsia" w:ascii="宋体" w:hAnsi="宋体" w:eastAsia="宋体" w:cs="宋体"/>
                <w:b/>
                <w:sz w:val="24"/>
                <w:highlight w:val="none"/>
              </w:rPr>
            </w:pPr>
          </w:p>
        </w:tc>
        <w:tc>
          <w:tcPr>
            <w:tcW w:w="1645" w:type="dxa"/>
            <w:noWrap w:val="0"/>
            <w:vAlign w:val="top"/>
          </w:tcPr>
          <w:p w14:paraId="2F6C3FEA">
            <w:pPr>
              <w:spacing w:line="360" w:lineRule="auto"/>
              <w:rPr>
                <w:rFonts w:hint="eastAsia" w:ascii="宋体" w:hAnsi="宋体" w:eastAsia="宋体" w:cs="宋体"/>
                <w:b/>
                <w:sz w:val="24"/>
                <w:highlight w:val="none"/>
              </w:rPr>
            </w:pPr>
          </w:p>
        </w:tc>
        <w:tc>
          <w:tcPr>
            <w:tcW w:w="2030" w:type="dxa"/>
            <w:noWrap w:val="0"/>
            <w:vAlign w:val="top"/>
          </w:tcPr>
          <w:p w14:paraId="77C593D5">
            <w:pPr>
              <w:spacing w:line="360" w:lineRule="auto"/>
              <w:rPr>
                <w:rFonts w:hint="eastAsia" w:ascii="宋体" w:hAnsi="宋体" w:eastAsia="宋体" w:cs="宋体"/>
                <w:b/>
                <w:sz w:val="24"/>
                <w:highlight w:val="none"/>
              </w:rPr>
            </w:pPr>
          </w:p>
        </w:tc>
      </w:tr>
      <w:tr w14:paraId="0676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9" w:type="dxa"/>
            <w:noWrap w:val="0"/>
            <w:vAlign w:val="top"/>
          </w:tcPr>
          <w:p w14:paraId="319A1987">
            <w:pPr>
              <w:spacing w:line="360" w:lineRule="auto"/>
              <w:rPr>
                <w:rFonts w:hint="eastAsia" w:ascii="宋体" w:hAnsi="宋体" w:eastAsia="宋体" w:cs="宋体"/>
                <w:b/>
                <w:sz w:val="24"/>
                <w:highlight w:val="none"/>
              </w:rPr>
            </w:pPr>
          </w:p>
        </w:tc>
        <w:tc>
          <w:tcPr>
            <w:tcW w:w="1276" w:type="dxa"/>
            <w:noWrap w:val="0"/>
            <w:vAlign w:val="top"/>
          </w:tcPr>
          <w:p w14:paraId="376A2E9B">
            <w:pPr>
              <w:spacing w:line="360" w:lineRule="auto"/>
              <w:rPr>
                <w:rFonts w:hint="eastAsia" w:ascii="宋体" w:hAnsi="宋体" w:eastAsia="宋体" w:cs="宋体"/>
                <w:b/>
                <w:sz w:val="24"/>
                <w:highlight w:val="none"/>
              </w:rPr>
            </w:pPr>
          </w:p>
        </w:tc>
        <w:tc>
          <w:tcPr>
            <w:tcW w:w="946" w:type="dxa"/>
            <w:noWrap w:val="0"/>
            <w:vAlign w:val="top"/>
          </w:tcPr>
          <w:p w14:paraId="508AB1CB">
            <w:pPr>
              <w:spacing w:line="360" w:lineRule="auto"/>
              <w:rPr>
                <w:rFonts w:hint="eastAsia" w:ascii="宋体" w:hAnsi="宋体" w:eastAsia="宋体" w:cs="宋体"/>
                <w:b/>
                <w:sz w:val="24"/>
                <w:highlight w:val="none"/>
              </w:rPr>
            </w:pPr>
          </w:p>
        </w:tc>
        <w:tc>
          <w:tcPr>
            <w:tcW w:w="1134" w:type="dxa"/>
            <w:noWrap w:val="0"/>
            <w:vAlign w:val="top"/>
          </w:tcPr>
          <w:p w14:paraId="2419BEAD">
            <w:pPr>
              <w:spacing w:line="360" w:lineRule="auto"/>
              <w:rPr>
                <w:rFonts w:hint="eastAsia" w:ascii="宋体" w:hAnsi="宋体" w:eastAsia="宋体" w:cs="宋体"/>
                <w:b/>
                <w:sz w:val="24"/>
                <w:highlight w:val="none"/>
              </w:rPr>
            </w:pPr>
          </w:p>
        </w:tc>
        <w:tc>
          <w:tcPr>
            <w:tcW w:w="1332" w:type="dxa"/>
            <w:noWrap w:val="0"/>
            <w:vAlign w:val="top"/>
          </w:tcPr>
          <w:p w14:paraId="287D92DC">
            <w:pPr>
              <w:spacing w:line="360" w:lineRule="auto"/>
              <w:rPr>
                <w:rFonts w:hint="eastAsia" w:ascii="宋体" w:hAnsi="宋体" w:eastAsia="宋体" w:cs="宋体"/>
                <w:b/>
                <w:sz w:val="24"/>
                <w:highlight w:val="none"/>
              </w:rPr>
            </w:pPr>
          </w:p>
        </w:tc>
        <w:tc>
          <w:tcPr>
            <w:tcW w:w="1645" w:type="dxa"/>
            <w:noWrap w:val="0"/>
            <w:vAlign w:val="top"/>
          </w:tcPr>
          <w:p w14:paraId="3A6154B0">
            <w:pPr>
              <w:spacing w:line="360" w:lineRule="auto"/>
              <w:rPr>
                <w:rFonts w:hint="eastAsia" w:ascii="宋体" w:hAnsi="宋体" w:eastAsia="宋体" w:cs="宋体"/>
                <w:b/>
                <w:sz w:val="24"/>
                <w:highlight w:val="none"/>
              </w:rPr>
            </w:pPr>
          </w:p>
        </w:tc>
        <w:tc>
          <w:tcPr>
            <w:tcW w:w="2030" w:type="dxa"/>
            <w:noWrap w:val="0"/>
            <w:vAlign w:val="top"/>
          </w:tcPr>
          <w:p w14:paraId="0C3D7ECE">
            <w:pPr>
              <w:spacing w:line="360" w:lineRule="auto"/>
              <w:rPr>
                <w:rFonts w:hint="eastAsia" w:ascii="宋体" w:hAnsi="宋体" w:eastAsia="宋体" w:cs="宋体"/>
                <w:b/>
                <w:sz w:val="24"/>
                <w:highlight w:val="none"/>
              </w:rPr>
            </w:pPr>
          </w:p>
        </w:tc>
      </w:tr>
    </w:tbl>
    <w:p w14:paraId="479548A0">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613D3722">
      <w:pPr>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rPr>
        <w:t>1.如采购项目（或者：包）所投产品中包含非强制节能产品的，需如实填写，并提供所投产品获得国家确定的认证机构出具的、处于有效期之内的节能产品认证证书，否则不予认可。</w:t>
      </w:r>
    </w:p>
    <w:p w14:paraId="32AB4819">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2.以包为单位分别填写，如采购项目（或者：包）所投产品中不涉及非强制节能产品，可不提供此表。</w:t>
      </w:r>
    </w:p>
    <w:p w14:paraId="36AFE523">
      <w:pPr>
        <w:spacing w:line="360" w:lineRule="auto"/>
        <w:jc w:val="left"/>
        <w:rPr>
          <w:rFonts w:hint="eastAsia" w:ascii="宋体" w:hAnsi="宋体" w:eastAsia="宋体" w:cs="宋体"/>
          <w:szCs w:val="21"/>
          <w:highlight w:val="none"/>
        </w:rPr>
      </w:pPr>
    </w:p>
    <w:p w14:paraId="0B4A8999">
      <w:pPr>
        <w:spacing w:line="360" w:lineRule="auto"/>
        <w:jc w:val="left"/>
        <w:rPr>
          <w:rFonts w:hint="eastAsia" w:ascii="宋体" w:hAnsi="宋体" w:eastAsia="宋体" w:cs="宋体"/>
          <w:szCs w:val="21"/>
          <w:highlight w:val="none"/>
        </w:rPr>
      </w:pPr>
    </w:p>
    <w:p w14:paraId="45FF8397">
      <w:pPr>
        <w:spacing w:line="360" w:lineRule="auto"/>
        <w:jc w:val="left"/>
        <w:rPr>
          <w:rFonts w:hint="eastAsia" w:ascii="宋体" w:hAnsi="宋体" w:eastAsia="宋体" w:cs="宋体"/>
          <w:b/>
          <w:sz w:val="24"/>
          <w:highlight w:val="none"/>
        </w:rPr>
      </w:pPr>
      <w:r>
        <w:rPr>
          <w:rFonts w:hint="eastAsia" w:ascii="宋体" w:hAnsi="宋体" w:eastAsia="宋体" w:cs="宋体"/>
          <w:bCs/>
          <w:sz w:val="24"/>
          <w:highlight w:val="none"/>
        </w:rPr>
        <w:t>（3）环境标志产品（如不涉及，可不提供）</w:t>
      </w:r>
    </w:p>
    <w:p w14:paraId="43E058F6">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tbl>
      <w:tblPr>
        <w:tblStyle w:val="36"/>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106"/>
        <w:gridCol w:w="851"/>
        <w:gridCol w:w="1134"/>
        <w:gridCol w:w="1134"/>
        <w:gridCol w:w="1587"/>
        <w:gridCol w:w="1339"/>
        <w:gridCol w:w="1184"/>
      </w:tblGrid>
      <w:tr w14:paraId="590F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noWrap w:val="0"/>
            <w:vAlign w:val="center"/>
          </w:tcPr>
          <w:p w14:paraId="0F55D0A8">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1106" w:type="dxa"/>
            <w:noWrap w:val="0"/>
            <w:vAlign w:val="center"/>
          </w:tcPr>
          <w:p w14:paraId="0CB58C48">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851" w:type="dxa"/>
            <w:noWrap w:val="0"/>
            <w:vAlign w:val="center"/>
          </w:tcPr>
          <w:p w14:paraId="087F0407">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1134" w:type="dxa"/>
            <w:noWrap w:val="0"/>
            <w:vAlign w:val="center"/>
          </w:tcPr>
          <w:p w14:paraId="32F467FC">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1134" w:type="dxa"/>
            <w:noWrap w:val="0"/>
            <w:vAlign w:val="center"/>
          </w:tcPr>
          <w:p w14:paraId="06906C85">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587" w:type="dxa"/>
            <w:noWrap w:val="0"/>
            <w:vAlign w:val="center"/>
          </w:tcPr>
          <w:p w14:paraId="3A939E73">
            <w:pPr>
              <w:jc w:val="center"/>
              <w:rPr>
                <w:rFonts w:hint="eastAsia" w:ascii="宋体" w:hAnsi="宋体" w:eastAsia="宋体" w:cs="宋体"/>
                <w:b/>
                <w:szCs w:val="21"/>
                <w:highlight w:val="none"/>
              </w:rPr>
            </w:pPr>
            <w:r>
              <w:rPr>
                <w:rFonts w:hint="eastAsia" w:ascii="宋体" w:hAnsi="宋体" w:eastAsia="宋体" w:cs="宋体"/>
                <w:b/>
                <w:szCs w:val="21"/>
                <w:highlight w:val="none"/>
              </w:rPr>
              <w:t>环境标志产品认证证书号</w:t>
            </w:r>
          </w:p>
        </w:tc>
        <w:tc>
          <w:tcPr>
            <w:tcW w:w="1339" w:type="dxa"/>
            <w:noWrap w:val="0"/>
            <w:vAlign w:val="center"/>
          </w:tcPr>
          <w:p w14:paraId="07025A6A">
            <w:pPr>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184" w:type="dxa"/>
            <w:noWrap w:val="0"/>
            <w:vAlign w:val="center"/>
          </w:tcPr>
          <w:p w14:paraId="7E04F1A4">
            <w:pPr>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3A5E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2" w:type="dxa"/>
            <w:noWrap w:val="0"/>
            <w:vAlign w:val="top"/>
          </w:tcPr>
          <w:p w14:paraId="238CEF19">
            <w:pPr>
              <w:spacing w:line="360" w:lineRule="auto"/>
              <w:rPr>
                <w:rFonts w:hint="eastAsia" w:ascii="宋体" w:hAnsi="宋体" w:eastAsia="宋体" w:cs="宋体"/>
                <w:b/>
                <w:sz w:val="24"/>
                <w:highlight w:val="none"/>
              </w:rPr>
            </w:pPr>
          </w:p>
        </w:tc>
        <w:tc>
          <w:tcPr>
            <w:tcW w:w="1106" w:type="dxa"/>
            <w:noWrap w:val="0"/>
            <w:vAlign w:val="top"/>
          </w:tcPr>
          <w:p w14:paraId="32EC22ED">
            <w:pPr>
              <w:spacing w:line="360" w:lineRule="auto"/>
              <w:rPr>
                <w:rFonts w:hint="eastAsia" w:ascii="宋体" w:hAnsi="宋体" w:eastAsia="宋体" w:cs="宋体"/>
                <w:b/>
                <w:sz w:val="24"/>
                <w:highlight w:val="none"/>
              </w:rPr>
            </w:pPr>
          </w:p>
        </w:tc>
        <w:tc>
          <w:tcPr>
            <w:tcW w:w="851" w:type="dxa"/>
            <w:noWrap w:val="0"/>
            <w:vAlign w:val="top"/>
          </w:tcPr>
          <w:p w14:paraId="0046FD32">
            <w:pPr>
              <w:spacing w:line="360" w:lineRule="auto"/>
              <w:rPr>
                <w:rFonts w:hint="eastAsia" w:ascii="宋体" w:hAnsi="宋体" w:eastAsia="宋体" w:cs="宋体"/>
                <w:b/>
                <w:sz w:val="24"/>
                <w:highlight w:val="none"/>
              </w:rPr>
            </w:pPr>
          </w:p>
        </w:tc>
        <w:tc>
          <w:tcPr>
            <w:tcW w:w="1134" w:type="dxa"/>
            <w:noWrap w:val="0"/>
            <w:vAlign w:val="top"/>
          </w:tcPr>
          <w:p w14:paraId="5349371E">
            <w:pPr>
              <w:spacing w:line="360" w:lineRule="auto"/>
              <w:rPr>
                <w:rFonts w:hint="eastAsia" w:ascii="宋体" w:hAnsi="宋体" w:eastAsia="宋体" w:cs="宋体"/>
                <w:b/>
                <w:sz w:val="24"/>
                <w:highlight w:val="none"/>
              </w:rPr>
            </w:pPr>
          </w:p>
        </w:tc>
        <w:tc>
          <w:tcPr>
            <w:tcW w:w="1134" w:type="dxa"/>
            <w:noWrap w:val="0"/>
            <w:vAlign w:val="top"/>
          </w:tcPr>
          <w:p w14:paraId="1F0B5706">
            <w:pPr>
              <w:spacing w:line="360" w:lineRule="auto"/>
              <w:rPr>
                <w:rFonts w:hint="eastAsia" w:ascii="宋体" w:hAnsi="宋体" w:eastAsia="宋体" w:cs="宋体"/>
                <w:b/>
                <w:sz w:val="24"/>
                <w:highlight w:val="none"/>
              </w:rPr>
            </w:pPr>
          </w:p>
        </w:tc>
        <w:tc>
          <w:tcPr>
            <w:tcW w:w="1587" w:type="dxa"/>
            <w:noWrap w:val="0"/>
            <w:vAlign w:val="top"/>
          </w:tcPr>
          <w:p w14:paraId="31499502">
            <w:pPr>
              <w:spacing w:line="360" w:lineRule="auto"/>
              <w:rPr>
                <w:rFonts w:hint="eastAsia" w:ascii="宋体" w:hAnsi="宋体" w:eastAsia="宋体" w:cs="宋体"/>
                <w:b/>
                <w:sz w:val="24"/>
                <w:highlight w:val="none"/>
              </w:rPr>
            </w:pPr>
          </w:p>
        </w:tc>
        <w:tc>
          <w:tcPr>
            <w:tcW w:w="1339" w:type="dxa"/>
            <w:noWrap w:val="0"/>
            <w:vAlign w:val="top"/>
          </w:tcPr>
          <w:p w14:paraId="49455E77">
            <w:pPr>
              <w:spacing w:line="360" w:lineRule="auto"/>
              <w:rPr>
                <w:rFonts w:hint="eastAsia" w:ascii="宋体" w:hAnsi="宋体" w:eastAsia="宋体" w:cs="宋体"/>
                <w:b/>
                <w:sz w:val="24"/>
                <w:highlight w:val="none"/>
              </w:rPr>
            </w:pPr>
          </w:p>
        </w:tc>
        <w:tc>
          <w:tcPr>
            <w:tcW w:w="1184" w:type="dxa"/>
            <w:noWrap w:val="0"/>
            <w:vAlign w:val="top"/>
          </w:tcPr>
          <w:p w14:paraId="3E7315F0">
            <w:pPr>
              <w:spacing w:line="360" w:lineRule="auto"/>
              <w:rPr>
                <w:rFonts w:hint="eastAsia" w:ascii="宋体" w:hAnsi="宋体" w:eastAsia="宋体" w:cs="宋体"/>
                <w:b/>
                <w:sz w:val="24"/>
                <w:highlight w:val="none"/>
              </w:rPr>
            </w:pPr>
          </w:p>
        </w:tc>
      </w:tr>
      <w:tr w14:paraId="0AA5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2" w:type="dxa"/>
            <w:noWrap w:val="0"/>
            <w:vAlign w:val="top"/>
          </w:tcPr>
          <w:p w14:paraId="2B09D386">
            <w:pPr>
              <w:spacing w:line="360" w:lineRule="auto"/>
              <w:rPr>
                <w:rFonts w:hint="eastAsia" w:ascii="宋体" w:hAnsi="宋体" w:eastAsia="宋体" w:cs="宋体"/>
                <w:b/>
                <w:sz w:val="24"/>
                <w:highlight w:val="none"/>
              </w:rPr>
            </w:pPr>
          </w:p>
        </w:tc>
        <w:tc>
          <w:tcPr>
            <w:tcW w:w="1106" w:type="dxa"/>
            <w:noWrap w:val="0"/>
            <w:vAlign w:val="top"/>
          </w:tcPr>
          <w:p w14:paraId="4AFF5988">
            <w:pPr>
              <w:spacing w:line="360" w:lineRule="auto"/>
              <w:rPr>
                <w:rFonts w:hint="eastAsia" w:ascii="宋体" w:hAnsi="宋体" w:eastAsia="宋体" w:cs="宋体"/>
                <w:b/>
                <w:sz w:val="24"/>
                <w:highlight w:val="none"/>
              </w:rPr>
            </w:pPr>
          </w:p>
        </w:tc>
        <w:tc>
          <w:tcPr>
            <w:tcW w:w="851" w:type="dxa"/>
            <w:noWrap w:val="0"/>
            <w:vAlign w:val="top"/>
          </w:tcPr>
          <w:p w14:paraId="76863258">
            <w:pPr>
              <w:spacing w:line="360" w:lineRule="auto"/>
              <w:rPr>
                <w:rFonts w:hint="eastAsia" w:ascii="宋体" w:hAnsi="宋体" w:eastAsia="宋体" w:cs="宋体"/>
                <w:b/>
                <w:sz w:val="24"/>
                <w:highlight w:val="none"/>
              </w:rPr>
            </w:pPr>
          </w:p>
        </w:tc>
        <w:tc>
          <w:tcPr>
            <w:tcW w:w="1134" w:type="dxa"/>
            <w:noWrap w:val="0"/>
            <w:vAlign w:val="top"/>
          </w:tcPr>
          <w:p w14:paraId="713DCB32">
            <w:pPr>
              <w:spacing w:line="360" w:lineRule="auto"/>
              <w:rPr>
                <w:rFonts w:hint="eastAsia" w:ascii="宋体" w:hAnsi="宋体" w:eastAsia="宋体" w:cs="宋体"/>
                <w:b/>
                <w:sz w:val="24"/>
                <w:highlight w:val="none"/>
              </w:rPr>
            </w:pPr>
          </w:p>
        </w:tc>
        <w:tc>
          <w:tcPr>
            <w:tcW w:w="1134" w:type="dxa"/>
            <w:noWrap w:val="0"/>
            <w:vAlign w:val="top"/>
          </w:tcPr>
          <w:p w14:paraId="6EA5BA90">
            <w:pPr>
              <w:spacing w:line="360" w:lineRule="auto"/>
              <w:rPr>
                <w:rFonts w:hint="eastAsia" w:ascii="宋体" w:hAnsi="宋体" w:eastAsia="宋体" w:cs="宋体"/>
                <w:b/>
                <w:sz w:val="24"/>
                <w:highlight w:val="none"/>
              </w:rPr>
            </w:pPr>
          </w:p>
        </w:tc>
        <w:tc>
          <w:tcPr>
            <w:tcW w:w="1587" w:type="dxa"/>
            <w:noWrap w:val="0"/>
            <w:vAlign w:val="top"/>
          </w:tcPr>
          <w:p w14:paraId="2C560064">
            <w:pPr>
              <w:spacing w:line="360" w:lineRule="auto"/>
              <w:rPr>
                <w:rFonts w:hint="eastAsia" w:ascii="宋体" w:hAnsi="宋体" w:eastAsia="宋体" w:cs="宋体"/>
                <w:b/>
                <w:sz w:val="24"/>
                <w:highlight w:val="none"/>
              </w:rPr>
            </w:pPr>
          </w:p>
        </w:tc>
        <w:tc>
          <w:tcPr>
            <w:tcW w:w="1339" w:type="dxa"/>
            <w:noWrap w:val="0"/>
            <w:vAlign w:val="top"/>
          </w:tcPr>
          <w:p w14:paraId="17D10747">
            <w:pPr>
              <w:spacing w:line="360" w:lineRule="auto"/>
              <w:rPr>
                <w:rFonts w:hint="eastAsia" w:ascii="宋体" w:hAnsi="宋体" w:eastAsia="宋体" w:cs="宋体"/>
                <w:b/>
                <w:sz w:val="24"/>
                <w:highlight w:val="none"/>
              </w:rPr>
            </w:pPr>
          </w:p>
        </w:tc>
        <w:tc>
          <w:tcPr>
            <w:tcW w:w="1184" w:type="dxa"/>
            <w:noWrap w:val="0"/>
            <w:vAlign w:val="top"/>
          </w:tcPr>
          <w:p w14:paraId="6296B5F6">
            <w:pPr>
              <w:spacing w:line="360" w:lineRule="auto"/>
              <w:rPr>
                <w:rFonts w:hint="eastAsia" w:ascii="宋体" w:hAnsi="宋体" w:eastAsia="宋体" w:cs="宋体"/>
                <w:b/>
                <w:sz w:val="24"/>
                <w:highlight w:val="none"/>
              </w:rPr>
            </w:pPr>
          </w:p>
        </w:tc>
      </w:tr>
      <w:tr w14:paraId="2314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2" w:type="dxa"/>
            <w:noWrap w:val="0"/>
            <w:vAlign w:val="top"/>
          </w:tcPr>
          <w:p w14:paraId="27659376">
            <w:pPr>
              <w:spacing w:line="360" w:lineRule="auto"/>
              <w:rPr>
                <w:rFonts w:hint="eastAsia" w:ascii="宋体" w:hAnsi="宋体" w:eastAsia="宋体" w:cs="宋体"/>
                <w:b/>
                <w:sz w:val="24"/>
                <w:highlight w:val="none"/>
              </w:rPr>
            </w:pPr>
          </w:p>
        </w:tc>
        <w:tc>
          <w:tcPr>
            <w:tcW w:w="1106" w:type="dxa"/>
            <w:noWrap w:val="0"/>
            <w:vAlign w:val="top"/>
          </w:tcPr>
          <w:p w14:paraId="27611881">
            <w:pPr>
              <w:spacing w:line="360" w:lineRule="auto"/>
              <w:rPr>
                <w:rFonts w:hint="eastAsia" w:ascii="宋体" w:hAnsi="宋体" w:eastAsia="宋体" w:cs="宋体"/>
                <w:b/>
                <w:sz w:val="24"/>
                <w:highlight w:val="none"/>
              </w:rPr>
            </w:pPr>
          </w:p>
        </w:tc>
        <w:tc>
          <w:tcPr>
            <w:tcW w:w="851" w:type="dxa"/>
            <w:noWrap w:val="0"/>
            <w:vAlign w:val="top"/>
          </w:tcPr>
          <w:p w14:paraId="061E3024">
            <w:pPr>
              <w:spacing w:line="360" w:lineRule="auto"/>
              <w:rPr>
                <w:rFonts w:hint="eastAsia" w:ascii="宋体" w:hAnsi="宋体" w:eastAsia="宋体" w:cs="宋体"/>
                <w:b/>
                <w:sz w:val="24"/>
                <w:highlight w:val="none"/>
              </w:rPr>
            </w:pPr>
          </w:p>
        </w:tc>
        <w:tc>
          <w:tcPr>
            <w:tcW w:w="1134" w:type="dxa"/>
            <w:noWrap w:val="0"/>
            <w:vAlign w:val="top"/>
          </w:tcPr>
          <w:p w14:paraId="0695EFEE">
            <w:pPr>
              <w:spacing w:line="360" w:lineRule="auto"/>
              <w:rPr>
                <w:rFonts w:hint="eastAsia" w:ascii="宋体" w:hAnsi="宋体" w:eastAsia="宋体" w:cs="宋体"/>
                <w:b/>
                <w:sz w:val="24"/>
                <w:highlight w:val="none"/>
              </w:rPr>
            </w:pPr>
          </w:p>
        </w:tc>
        <w:tc>
          <w:tcPr>
            <w:tcW w:w="1134" w:type="dxa"/>
            <w:noWrap w:val="0"/>
            <w:vAlign w:val="top"/>
          </w:tcPr>
          <w:p w14:paraId="4F20397F">
            <w:pPr>
              <w:spacing w:line="360" w:lineRule="auto"/>
              <w:rPr>
                <w:rFonts w:hint="eastAsia" w:ascii="宋体" w:hAnsi="宋体" w:eastAsia="宋体" w:cs="宋体"/>
                <w:b/>
                <w:sz w:val="24"/>
                <w:highlight w:val="none"/>
              </w:rPr>
            </w:pPr>
          </w:p>
        </w:tc>
        <w:tc>
          <w:tcPr>
            <w:tcW w:w="1587" w:type="dxa"/>
            <w:noWrap w:val="0"/>
            <w:vAlign w:val="top"/>
          </w:tcPr>
          <w:p w14:paraId="39D820D8">
            <w:pPr>
              <w:spacing w:line="360" w:lineRule="auto"/>
              <w:rPr>
                <w:rFonts w:hint="eastAsia" w:ascii="宋体" w:hAnsi="宋体" w:eastAsia="宋体" w:cs="宋体"/>
                <w:b/>
                <w:sz w:val="24"/>
                <w:highlight w:val="none"/>
              </w:rPr>
            </w:pPr>
          </w:p>
        </w:tc>
        <w:tc>
          <w:tcPr>
            <w:tcW w:w="1339" w:type="dxa"/>
            <w:noWrap w:val="0"/>
            <w:vAlign w:val="top"/>
          </w:tcPr>
          <w:p w14:paraId="67E887B8">
            <w:pPr>
              <w:spacing w:line="360" w:lineRule="auto"/>
              <w:rPr>
                <w:rFonts w:hint="eastAsia" w:ascii="宋体" w:hAnsi="宋体" w:eastAsia="宋体" w:cs="宋体"/>
                <w:b/>
                <w:sz w:val="24"/>
                <w:highlight w:val="none"/>
              </w:rPr>
            </w:pPr>
          </w:p>
        </w:tc>
        <w:tc>
          <w:tcPr>
            <w:tcW w:w="1184" w:type="dxa"/>
            <w:noWrap w:val="0"/>
            <w:vAlign w:val="top"/>
          </w:tcPr>
          <w:p w14:paraId="566E7DAB">
            <w:pPr>
              <w:spacing w:line="360" w:lineRule="auto"/>
              <w:rPr>
                <w:rFonts w:hint="eastAsia" w:ascii="宋体" w:hAnsi="宋体" w:eastAsia="宋体" w:cs="宋体"/>
                <w:b/>
                <w:sz w:val="24"/>
                <w:highlight w:val="none"/>
              </w:rPr>
            </w:pPr>
          </w:p>
        </w:tc>
      </w:tr>
    </w:tbl>
    <w:p w14:paraId="4364B7D1">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643B6C3D">
      <w:pPr>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rPr>
        <w:t>1.如采购项目（或者：包）所投产品中包含环境标志产品的，需如实填写，并提供所投产品获得国家确定的认证机构出具的、处于有效期之内的环境标志产品认证证书，否则不予认可。</w:t>
      </w:r>
    </w:p>
    <w:p w14:paraId="1E0BD408">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2.以包为单位分别填写，如采购项目（或者：包）所投产品中不涉及环境标志产品，可不提供此表。</w:t>
      </w:r>
    </w:p>
    <w:p w14:paraId="021B539D">
      <w:pPr>
        <w:tabs>
          <w:tab w:val="left" w:pos="1680"/>
        </w:tabs>
        <w:spacing w:line="360" w:lineRule="auto"/>
        <w:rPr>
          <w:rFonts w:hint="eastAsia" w:ascii="宋体" w:hAnsi="宋体" w:eastAsia="宋体" w:cs="宋体"/>
          <w:bCs/>
          <w:sz w:val="24"/>
          <w:highlight w:val="none"/>
        </w:rPr>
      </w:pPr>
    </w:p>
    <w:p w14:paraId="0894F94E">
      <w:pPr>
        <w:spacing w:line="360" w:lineRule="auto"/>
        <w:rPr>
          <w:rFonts w:hint="eastAsia" w:ascii="宋体" w:hAnsi="宋体" w:eastAsia="宋体" w:cs="宋体"/>
          <w:b/>
          <w:sz w:val="24"/>
          <w:highlight w:val="none"/>
        </w:rPr>
      </w:pPr>
      <w:r>
        <w:rPr>
          <w:rFonts w:hint="eastAsia" w:ascii="宋体" w:hAnsi="宋体" w:eastAsia="宋体" w:cs="宋体"/>
          <w:bCs/>
          <w:sz w:val="24"/>
          <w:highlight w:val="none"/>
        </w:rPr>
        <w:br w:type="page"/>
      </w:r>
      <w:r>
        <w:rPr>
          <w:rFonts w:hint="eastAsia" w:ascii="宋体" w:hAnsi="宋体" w:eastAsia="宋体" w:cs="宋体"/>
          <w:b/>
          <w:sz w:val="24"/>
          <w:highlight w:val="none"/>
        </w:rPr>
        <w:t>（二）正版软件承诺格式</w:t>
      </w:r>
      <w:r>
        <w:rPr>
          <w:rFonts w:hint="eastAsia" w:ascii="宋体" w:hAnsi="宋体" w:eastAsia="宋体" w:cs="宋体"/>
          <w:b/>
          <w:kern w:val="0"/>
          <w:sz w:val="24"/>
          <w:highlight w:val="none"/>
        </w:rPr>
        <w:t>（如不涉及，可不提供）</w:t>
      </w:r>
    </w:p>
    <w:p w14:paraId="349CFA76">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正版软件承诺</w:t>
      </w:r>
    </w:p>
    <w:p w14:paraId="2C7686DE">
      <w:pPr>
        <w:spacing w:line="360" w:lineRule="auto"/>
        <w:jc w:val="left"/>
        <w:rPr>
          <w:rFonts w:hint="eastAsia" w:ascii="宋体" w:hAnsi="宋体" w:eastAsia="宋体" w:cs="宋体"/>
          <w:kern w:val="0"/>
          <w:sz w:val="24"/>
          <w:highlight w:val="none"/>
          <w:u w:val="single"/>
        </w:rPr>
      </w:pPr>
    </w:p>
    <w:p w14:paraId="579B3357">
      <w:pPr>
        <w:spacing w:line="360" w:lineRule="auto"/>
        <w:rPr>
          <w:rFonts w:hint="eastAsia" w:ascii="宋体" w:hAnsi="宋体" w:eastAsia="宋体" w:cs="宋体"/>
          <w:sz w:val="24"/>
          <w:highlight w:val="none"/>
          <w:u w:val="single"/>
        </w:rPr>
      </w:pPr>
      <w:r>
        <w:rPr>
          <w:rFonts w:hint="eastAsia" w:ascii="宋体" w:hAnsi="宋体" w:eastAsia="宋体" w:cs="宋体"/>
          <w:sz w:val="24"/>
          <w:u w:val="single"/>
        </w:rPr>
        <w:t>采购代理机构名称</w:t>
      </w:r>
      <w:r>
        <w:rPr>
          <w:rFonts w:hint="eastAsia" w:ascii="宋体" w:hAnsi="宋体" w:eastAsia="宋体" w:cs="宋体"/>
          <w:sz w:val="24"/>
          <w:highlight w:val="none"/>
          <w:u w:val="single"/>
        </w:rPr>
        <w:t>：</w:t>
      </w:r>
    </w:p>
    <w:p w14:paraId="47B6D5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）的采购活动，现郑重承诺投报的计算机产品内预装正版操作系统，投报的硬件产品内的预装软件为正版软件，投报的软件为正版软件。</w:t>
      </w:r>
    </w:p>
    <w:p w14:paraId="5153668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如上述承诺不真实，愿意按照政府采购有关法律法规的规定接受处罚。</w:t>
      </w:r>
    </w:p>
    <w:p w14:paraId="2125E62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E6C23C8">
      <w:pPr>
        <w:spacing w:line="360" w:lineRule="auto"/>
        <w:rPr>
          <w:rFonts w:hint="eastAsia" w:ascii="宋体" w:hAnsi="宋体" w:eastAsia="宋体" w:cs="宋体"/>
          <w:sz w:val="24"/>
          <w:highlight w:val="none"/>
        </w:rPr>
      </w:pPr>
    </w:p>
    <w:p w14:paraId="2FCA3017">
      <w:pPr>
        <w:spacing w:line="360" w:lineRule="auto"/>
        <w:rPr>
          <w:rFonts w:hint="eastAsia" w:ascii="宋体" w:hAnsi="宋体" w:eastAsia="宋体" w:cs="宋体"/>
          <w:sz w:val="24"/>
          <w:highlight w:val="none"/>
        </w:rPr>
      </w:pPr>
    </w:p>
    <w:p w14:paraId="28A18292">
      <w:pPr>
        <w:spacing w:line="360" w:lineRule="auto"/>
        <w:rPr>
          <w:rFonts w:hint="eastAsia" w:ascii="宋体" w:hAnsi="宋体" w:eastAsia="宋体" w:cs="宋体"/>
          <w:sz w:val="24"/>
          <w:highlight w:val="none"/>
        </w:rPr>
      </w:pPr>
    </w:p>
    <w:p w14:paraId="4FD3E56D">
      <w:pPr>
        <w:spacing w:line="360" w:lineRule="auto"/>
        <w:rPr>
          <w:rFonts w:hint="eastAsia" w:ascii="宋体" w:hAnsi="宋体" w:eastAsia="宋体" w:cs="宋体"/>
          <w:sz w:val="24"/>
          <w:highlight w:val="none"/>
        </w:rPr>
      </w:pPr>
    </w:p>
    <w:p w14:paraId="2DE36433">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供应商名称：           （盖章）</w:t>
      </w:r>
    </w:p>
    <w:p w14:paraId="24671C2C">
      <w:pPr>
        <w:spacing w:line="360" w:lineRule="auto"/>
        <w:ind w:firstLine="4560" w:firstLineChars="1900"/>
        <w:rPr>
          <w:rFonts w:hint="eastAsia" w:ascii="宋体" w:hAnsi="宋体" w:eastAsia="宋体" w:cs="宋体"/>
          <w:b/>
          <w:sz w:val="24"/>
          <w:highlight w:val="none"/>
        </w:rPr>
      </w:pPr>
      <w:r>
        <w:rPr>
          <w:rFonts w:hint="eastAsia" w:ascii="宋体" w:hAnsi="宋体" w:eastAsia="宋体" w:cs="宋体"/>
          <w:sz w:val="24"/>
          <w:highlight w:val="none"/>
        </w:rPr>
        <w:t>日      期：</w:t>
      </w:r>
    </w:p>
    <w:p w14:paraId="2D71C36C">
      <w:pPr>
        <w:spacing w:line="360" w:lineRule="auto"/>
        <w:jc w:val="left"/>
        <w:rPr>
          <w:rFonts w:hint="eastAsia" w:ascii="宋体" w:hAnsi="宋体" w:eastAsia="宋体" w:cs="宋体"/>
          <w:b/>
          <w:kern w:val="0"/>
          <w:sz w:val="24"/>
          <w:highlight w:val="none"/>
        </w:rPr>
      </w:pPr>
    </w:p>
    <w:p w14:paraId="0F2A8E3B">
      <w:pPr>
        <w:snapToGrid w:val="0"/>
        <w:spacing w:line="360" w:lineRule="auto"/>
        <w:jc w:val="left"/>
        <w:rPr>
          <w:rFonts w:hint="eastAsia" w:ascii="宋体" w:hAnsi="宋体" w:eastAsia="宋体" w:cs="宋体"/>
          <w:b/>
          <w:kern w:val="0"/>
          <w:sz w:val="24"/>
          <w:highlight w:val="none"/>
        </w:rPr>
      </w:pPr>
    </w:p>
    <w:p w14:paraId="276838E7">
      <w:pPr>
        <w:tabs>
          <w:tab w:val="left" w:pos="1680"/>
        </w:tabs>
        <w:spacing w:line="360" w:lineRule="auto"/>
        <w:rPr>
          <w:rFonts w:hint="eastAsia" w:ascii="宋体" w:hAnsi="宋体" w:eastAsia="宋体" w:cs="宋体"/>
          <w:b/>
          <w:sz w:val="24"/>
          <w:highlight w:val="none"/>
        </w:rPr>
      </w:pPr>
      <w:r>
        <w:rPr>
          <w:rFonts w:hint="eastAsia" w:ascii="宋体" w:hAnsi="宋体" w:eastAsia="宋体" w:cs="宋体"/>
          <w:b/>
          <w:kern w:val="0"/>
          <w:sz w:val="24"/>
          <w:highlight w:val="none"/>
        </w:rPr>
        <w:br w:type="page"/>
      </w:r>
      <w:r>
        <w:rPr>
          <w:rFonts w:hint="eastAsia" w:ascii="宋体" w:hAnsi="宋体" w:eastAsia="宋体" w:cs="宋体"/>
          <w:b/>
          <w:sz w:val="24"/>
          <w:highlight w:val="none"/>
        </w:rPr>
        <w:t>（三）网络安全专用产品证明材料</w:t>
      </w:r>
    </w:p>
    <w:p w14:paraId="2F1AF174">
      <w:pPr>
        <w:tabs>
          <w:tab w:val="left" w:pos="1680"/>
        </w:tabs>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网络安全专用产品（如不涉及，可不提供）</w:t>
      </w:r>
    </w:p>
    <w:p w14:paraId="088B2B05">
      <w:pPr>
        <w:spacing w:line="360" w:lineRule="auto"/>
        <w:jc w:val="center"/>
        <w:rPr>
          <w:rFonts w:hint="eastAsia" w:ascii="宋体" w:hAnsi="宋体" w:eastAsia="宋体" w:cs="宋体"/>
          <w:highlight w:val="none"/>
        </w:rPr>
      </w:pPr>
      <w:r>
        <w:rPr>
          <w:rFonts w:hint="eastAsia" w:ascii="宋体" w:hAnsi="宋体" w:eastAsia="宋体" w:cs="宋体"/>
          <w:b/>
          <w:sz w:val="24"/>
          <w:highlight w:val="none"/>
        </w:rPr>
        <w:t>网络安全专用产品明细表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337"/>
        <w:gridCol w:w="1842"/>
        <w:gridCol w:w="1169"/>
      </w:tblGrid>
      <w:tr w14:paraId="1A68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0BD46929">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1351" w:type="dxa"/>
            <w:noWrap w:val="0"/>
            <w:vAlign w:val="center"/>
          </w:tcPr>
          <w:p w14:paraId="7D111CBB">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1560" w:type="dxa"/>
            <w:noWrap w:val="0"/>
            <w:vAlign w:val="center"/>
          </w:tcPr>
          <w:p w14:paraId="3D4978C6">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1234" w:type="dxa"/>
            <w:noWrap w:val="0"/>
            <w:vAlign w:val="center"/>
          </w:tcPr>
          <w:p w14:paraId="21A9B8FA">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1337" w:type="dxa"/>
            <w:noWrap w:val="0"/>
            <w:vAlign w:val="center"/>
          </w:tcPr>
          <w:p w14:paraId="2B172ED3">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842" w:type="dxa"/>
            <w:noWrap w:val="0"/>
            <w:vAlign w:val="center"/>
          </w:tcPr>
          <w:p w14:paraId="12BE9835">
            <w:pPr>
              <w:jc w:val="center"/>
              <w:rPr>
                <w:rFonts w:hint="eastAsia" w:ascii="宋体" w:hAnsi="宋体" w:eastAsia="宋体" w:cs="宋体"/>
                <w:b/>
                <w:szCs w:val="21"/>
                <w:highlight w:val="none"/>
              </w:rPr>
            </w:pPr>
            <w:r>
              <w:rPr>
                <w:rFonts w:hint="eastAsia" w:ascii="宋体" w:hAnsi="宋体" w:eastAsia="宋体" w:cs="宋体"/>
                <w:b/>
                <w:szCs w:val="21"/>
                <w:highlight w:val="none"/>
              </w:rPr>
              <w:t>合格证号或许可证号</w:t>
            </w:r>
          </w:p>
        </w:tc>
        <w:tc>
          <w:tcPr>
            <w:tcW w:w="1169" w:type="dxa"/>
            <w:noWrap w:val="0"/>
            <w:vAlign w:val="center"/>
          </w:tcPr>
          <w:p w14:paraId="0D698CE1">
            <w:pPr>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3A2C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5411A1F">
            <w:pPr>
              <w:spacing w:line="360" w:lineRule="auto"/>
              <w:jc w:val="center"/>
              <w:rPr>
                <w:rFonts w:hint="eastAsia" w:ascii="宋体" w:hAnsi="宋体" w:eastAsia="宋体" w:cs="宋体"/>
                <w:b/>
                <w:szCs w:val="21"/>
                <w:highlight w:val="none"/>
              </w:rPr>
            </w:pPr>
          </w:p>
        </w:tc>
        <w:tc>
          <w:tcPr>
            <w:tcW w:w="1351" w:type="dxa"/>
            <w:noWrap w:val="0"/>
            <w:vAlign w:val="top"/>
          </w:tcPr>
          <w:p w14:paraId="672E7000">
            <w:pPr>
              <w:spacing w:line="360" w:lineRule="auto"/>
              <w:jc w:val="center"/>
              <w:rPr>
                <w:rFonts w:hint="eastAsia" w:ascii="宋体" w:hAnsi="宋体" w:eastAsia="宋体" w:cs="宋体"/>
                <w:b/>
                <w:szCs w:val="21"/>
                <w:highlight w:val="none"/>
              </w:rPr>
            </w:pPr>
          </w:p>
        </w:tc>
        <w:tc>
          <w:tcPr>
            <w:tcW w:w="1560" w:type="dxa"/>
            <w:noWrap w:val="0"/>
            <w:vAlign w:val="top"/>
          </w:tcPr>
          <w:p w14:paraId="793E7BF7">
            <w:pPr>
              <w:spacing w:line="360" w:lineRule="auto"/>
              <w:jc w:val="center"/>
              <w:rPr>
                <w:rFonts w:hint="eastAsia" w:ascii="宋体" w:hAnsi="宋体" w:eastAsia="宋体" w:cs="宋体"/>
                <w:b/>
                <w:szCs w:val="21"/>
                <w:highlight w:val="none"/>
              </w:rPr>
            </w:pPr>
          </w:p>
        </w:tc>
        <w:tc>
          <w:tcPr>
            <w:tcW w:w="1234" w:type="dxa"/>
            <w:noWrap w:val="0"/>
            <w:vAlign w:val="top"/>
          </w:tcPr>
          <w:p w14:paraId="1AD013F2">
            <w:pPr>
              <w:spacing w:line="360" w:lineRule="auto"/>
              <w:jc w:val="center"/>
              <w:rPr>
                <w:rFonts w:hint="eastAsia" w:ascii="宋体" w:hAnsi="宋体" w:eastAsia="宋体" w:cs="宋体"/>
                <w:b/>
                <w:szCs w:val="21"/>
                <w:highlight w:val="none"/>
              </w:rPr>
            </w:pPr>
          </w:p>
        </w:tc>
        <w:tc>
          <w:tcPr>
            <w:tcW w:w="1337" w:type="dxa"/>
            <w:noWrap w:val="0"/>
            <w:vAlign w:val="top"/>
          </w:tcPr>
          <w:p w14:paraId="636C3ECE">
            <w:pPr>
              <w:spacing w:line="360" w:lineRule="auto"/>
              <w:jc w:val="center"/>
              <w:rPr>
                <w:rFonts w:hint="eastAsia" w:ascii="宋体" w:hAnsi="宋体" w:eastAsia="宋体" w:cs="宋体"/>
                <w:b/>
                <w:szCs w:val="21"/>
                <w:highlight w:val="none"/>
              </w:rPr>
            </w:pPr>
          </w:p>
        </w:tc>
        <w:tc>
          <w:tcPr>
            <w:tcW w:w="1842" w:type="dxa"/>
            <w:noWrap w:val="0"/>
            <w:vAlign w:val="top"/>
          </w:tcPr>
          <w:p w14:paraId="02984220">
            <w:pPr>
              <w:spacing w:line="360" w:lineRule="auto"/>
              <w:jc w:val="center"/>
              <w:rPr>
                <w:rFonts w:hint="eastAsia" w:ascii="宋体" w:hAnsi="宋体" w:eastAsia="宋体" w:cs="宋体"/>
                <w:b/>
                <w:szCs w:val="21"/>
                <w:highlight w:val="none"/>
              </w:rPr>
            </w:pPr>
          </w:p>
        </w:tc>
        <w:tc>
          <w:tcPr>
            <w:tcW w:w="1169" w:type="dxa"/>
            <w:noWrap w:val="0"/>
            <w:vAlign w:val="top"/>
          </w:tcPr>
          <w:p w14:paraId="458F6ED1">
            <w:pPr>
              <w:spacing w:line="360" w:lineRule="auto"/>
              <w:rPr>
                <w:rFonts w:hint="eastAsia" w:ascii="宋体" w:hAnsi="宋体" w:eastAsia="宋体" w:cs="宋体"/>
                <w:b/>
                <w:szCs w:val="21"/>
                <w:highlight w:val="none"/>
              </w:rPr>
            </w:pPr>
          </w:p>
        </w:tc>
      </w:tr>
      <w:tr w14:paraId="27AD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6BD962FF">
            <w:pPr>
              <w:spacing w:line="360" w:lineRule="auto"/>
              <w:jc w:val="center"/>
              <w:rPr>
                <w:rFonts w:hint="eastAsia" w:ascii="宋体" w:hAnsi="宋体" w:eastAsia="宋体" w:cs="宋体"/>
                <w:b/>
                <w:szCs w:val="21"/>
                <w:highlight w:val="none"/>
              </w:rPr>
            </w:pPr>
          </w:p>
        </w:tc>
        <w:tc>
          <w:tcPr>
            <w:tcW w:w="1351" w:type="dxa"/>
            <w:noWrap w:val="0"/>
            <w:vAlign w:val="top"/>
          </w:tcPr>
          <w:p w14:paraId="2F1D5E08">
            <w:pPr>
              <w:spacing w:line="360" w:lineRule="auto"/>
              <w:jc w:val="center"/>
              <w:rPr>
                <w:rFonts w:hint="eastAsia" w:ascii="宋体" w:hAnsi="宋体" w:eastAsia="宋体" w:cs="宋体"/>
                <w:b/>
                <w:szCs w:val="21"/>
                <w:highlight w:val="none"/>
              </w:rPr>
            </w:pPr>
          </w:p>
        </w:tc>
        <w:tc>
          <w:tcPr>
            <w:tcW w:w="1560" w:type="dxa"/>
            <w:noWrap w:val="0"/>
            <w:vAlign w:val="top"/>
          </w:tcPr>
          <w:p w14:paraId="7A5A6E13">
            <w:pPr>
              <w:spacing w:line="360" w:lineRule="auto"/>
              <w:jc w:val="center"/>
              <w:rPr>
                <w:rFonts w:hint="eastAsia" w:ascii="宋体" w:hAnsi="宋体" w:eastAsia="宋体" w:cs="宋体"/>
                <w:b/>
                <w:szCs w:val="21"/>
                <w:highlight w:val="none"/>
              </w:rPr>
            </w:pPr>
          </w:p>
        </w:tc>
        <w:tc>
          <w:tcPr>
            <w:tcW w:w="1234" w:type="dxa"/>
            <w:noWrap w:val="0"/>
            <w:vAlign w:val="top"/>
          </w:tcPr>
          <w:p w14:paraId="07630812">
            <w:pPr>
              <w:spacing w:line="360" w:lineRule="auto"/>
              <w:jc w:val="center"/>
              <w:rPr>
                <w:rFonts w:hint="eastAsia" w:ascii="宋体" w:hAnsi="宋体" w:eastAsia="宋体" w:cs="宋体"/>
                <w:b/>
                <w:szCs w:val="21"/>
                <w:highlight w:val="none"/>
              </w:rPr>
            </w:pPr>
          </w:p>
        </w:tc>
        <w:tc>
          <w:tcPr>
            <w:tcW w:w="1337" w:type="dxa"/>
            <w:noWrap w:val="0"/>
            <w:vAlign w:val="top"/>
          </w:tcPr>
          <w:p w14:paraId="08E153BD">
            <w:pPr>
              <w:spacing w:line="360" w:lineRule="auto"/>
              <w:jc w:val="center"/>
              <w:rPr>
                <w:rFonts w:hint="eastAsia" w:ascii="宋体" w:hAnsi="宋体" w:eastAsia="宋体" w:cs="宋体"/>
                <w:b/>
                <w:szCs w:val="21"/>
                <w:highlight w:val="none"/>
              </w:rPr>
            </w:pPr>
          </w:p>
        </w:tc>
        <w:tc>
          <w:tcPr>
            <w:tcW w:w="1842" w:type="dxa"/>
            <w:noWrap w:val="0"/>
            <w:vAlign w:val="top"/>
          </w:tcPr>
          <w:p w14:paraId="174D1A57">
            <w:pPr>
              <w:spacing w:line="360" w:lineRule="auto"/>
              <w:jc w:val="center"/>
              <w:rPr>
                <w:rFonts w:hint="eastAsia" w:ascii="宋体" w:hAnsi="宋体" w:eastAsia="宋体" w:cs="宋体"/>
                <w:b/>
                <w:szCs w:val="21"/>
                <w:highlight w:val="none"/>
              </w:rPr>
            </w:pPr>
          </w:p>
        </w:tc>
        <w:tc>
          <w:tcPr>
            <w:tcW w:w="1169" w:type="dxa"/>
            <w:noWrap w:val="0"/>
            <w:vAlign w:val="top"/>
          </w:tcPr>
          <w:p w14:paraId="1B0E6DC6">
            <w:pPr>
              <w:spacing w:line="360" w:lineRule="auto"/>
              <w:rPr>
                <w:rFonts w:hint="eastAsia" w:ascii="宋体" w:hAnsi="宋体" w:eastAsia="宋体" w:cs="宋体"/>
                <w:b/>
                <w:szCs w:val="21"/>
                <w:highlight w:val="none"/>
              </w:rPr>
            </w:pPr>
          </w:p>
        </w:tc>
      </w:tr>
      <w:tr w14:paraId="37E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0E3241F1">
            <w:pPr>
              <w:spacing w:line="360" w:lineRule="auto"/>
              <w:jc w:val="center"/>
              <w:rPr>
                <w:rFonts w:hint="eastAsia" w:ascii="宋体" w:hAnsi="宋体" w:eastAsia="宋体" w:cs="宋体"/>
                <w:b/>
                <w:szCs w:val="21"/>
                <w:highlight w:val="none"/>
              </w:rPr>
            </w:pPr>
          </w:p>
        </w:tc>
        <w:tc>
          <w:tcPr>
            <w:tcW w:w="1351" w:type="dxa"/>
            <w:noWrap w:val="0"/>
            <w:vAlign w:val="top"/>
          </w:tcPr>
          <w:p w14:paraId="40698549">
            <w:pPr>
              <w:spacing w:line="360" w:lineRule="auto"/>
              <w:jc w:val="center"/>
              <w:rPr>
                <w:rFonts w:hint="eastAsia" w:ascii="宋体" w:hAnsi="宋体" w:eastAsia="宋体" w:cs="宋体"/>
                <w:b/>
                <w:szCs w:val="21"/>
                <w:highlight w:val="none"/>
              </w:rPr>
            </w:pPr>
          </w:p>
        </w:tc>
        <w:tc>
          <w:tcPr>
            <w:tcW w:w="1560" w:type="dxa"/>
            <w:noWrap w:val="0"/>
            <w:vAlign w:val="top"/>
          </w:tcPr>
          <w:p w14:paraId="25F583CE">
            <w:pPr>
              <w:spacing w:line="360" w:lineRule="auto"/>
              <w:jc w:val="center"/>
              <w:rPr>
                <w:rFonts w:hint="eastAsia" w:ascii="宋体" w:hAnsi="宋体" w:eastAsia="宋体" w:cs="宋体"/>
                <w:b/>
                <w:szCs w:val="21"/>
                <w:highlight w:val="none"/>
              </w:rPr>
            </w:pPr>
          </w:p>
        </w:tc>
        <w:tc>
          <w:tcPr>
            <w:tcW w:w="1234" w:type="dxa"/>
            <w:noWrap w:val="0"/>
            <w:vAlign w:val="top"/>
          </w:tcPr>
          <w:p w14:paraId="15FCE233">
            <w:pPr>
              <w:spacing w:line="360" w:lineRule="auto"/>
              <w:jc w:val="center"/>
              <w:rPr>
                <w:rFonts w:hint="eastAsia" w:ascii="宋体" w:hAnsi="宋体" w:eastAsia="宋体" w:cs="宋体"/>
                <w:b/>
                <w:szCs w:val="21"/>
                <w:highlight w:val="none"/>
              </w:rPr>
            </w:pPr>
          </w:p>
        </w:tc>
        <w:tc>
          <w:tcPr>
            <w:tcW w:w="1337" w:type="dxa"/>
            <w:noWrap w:val="0"/>
            <w:vAlign w:val="top"/>
          </w:tcPr>
          <w:p w14:paraId="29BDCB82">
            <w:pPr>
              <w:spacing w:line="360" w:lineRule="auto"/>
              <w:jc w:val="center"/>
              <w:rPr>
                <w:rFonts w:hint="eastAsia" w:ascii="宋体" w:hAnsi="宋体" w:eastAsia="宋体" w:cs="宋体"/>
                <w:b/>
                <w:szCs w:val="21"/>
                <w:highlight w:val="none"/>
              </w:rPr>
            </w:pPr>
          </w:p>
        </w:tc>
        <w:tc>
          <w:tcPr>
            <w:tcW w:w="1842" w:type="dxa"/>
            <w:noWrap w:val="0"/>
            <w:vAlign w:val="top"/>
          </w:tcPr>
          <w:p w14:paraId="773CC534">
            <w:pPr>
              <w:spacing w:line="360" w:lineRule="auto"/>
              <w:jc w:val="center"/>
              <w:rPr>
                <w:rFonts w:hint="eastAsia" w:ascii="宋体" w:hAnsi="宋体" w:eastAsia="宋体" w:cs="宋体"/>
                <w:b/>
                <w:szCs w:val="21"/>
                <w:highlight w:val="none"/>
              </w:rPr>
            </w:pPr>
          </w:p>
        </w:tc>
        <w:tc>
          <w:tcPr>
            <w:tcW w:w="1169" w:type="dxa"/>
            <w:noWrap w:val="0"/>
            <w:vAlign w:val="top"/>
          </w:tcPr>
          <w:p w14:paraId="50F17441">
            <w:pPr>
              <w:spacing w:line="360" w:lineRule="auto"/>
              <w:rPr>
                <w:rFonts w:hint="eastAsia" w:ascii="宋体" w:hAnsi="宋体" w:eastAsia="宋体" w:cs="宋体"/>
                <w:b/>
                <w:szCs w:val="21"/>
                <w:highlight w:val="none"/>
              </w:rPr>
            </w:pPr>
          </w:p>
        </w:tc>
      </w:tr>
    </w:tbl>
    <w:p w14:paraId="4FE2E45B">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41F45BDD">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所投产品属于《网络关键设备和网络安全专用产品目录》的网络安全专用产品，须提供具备资格的机构依据GB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扫描件或影印件。</w:t>
      </w:r>
    </w:p>
    <w:p w14:paraId="6CBFE80F">
      <w:pPr>
        <w:rPr>
          <w:rFonts w:hint="eastAsia" w:ascii="宋体" w:hAnsi="宋体" w:eastAsia="宋体" w:cs="宋体"/>
          <w:bCs/>
          <w:sz w:val="24"/>
          <w:highlight w:val="none"/>
        </w:rPr>
      </w:pPr>
    </w:p>
    <w:p w14:paraId="5B14D68F">
      <w:pPr>
        <w:spacing w:line="360" w:lineRule="auto"/>
        <w:rPr>
          <w:rFonts w:hint="eastAsia" w:ascii="宋体" w:hAnsi="宋体" w:eastAsia="宋体" w:cs="宋体"/>
          <w:b/>
          <w:kern w:val="0"/>
          <w:sz w:val="24"/>
          <w:highlight w:val="none"/>
        </w:rPr>
      </w:pPr>
      <w:r>
        <w:rPr>
          <w:rFonts w:hint="eastAsia" w:ascii="宋体" w:hAnsi="宋体" w:eastAsia="宋体" w:cs="宋体"/>
          <w:bCs/>
          <w:sz w:val="24"/>
          <w:highlight w:val="none"/>
        </w:rPr>
        <w:br w:type="page"/>
      </w:r>
      <w:r>
        <w:rPr>
          <w:rFonts w:hint="eastAsia" w:ascii="宋体" w:hAnsi="宋体" w:eastAsia="宋体" w:cs="宋体"/>
          <w:b/>
          <w:kern w:val="0"/>
          <w:sz w:val="24"/>
          <w:highlight w:val="none"/>
        </w:rPr>
        <w:t>（四）中小企业声明</w:t>
      </w:r>
    </w:p>
    <w:p w14:paraId="7BC41CAA">
      <w:pPr>
        <w:spacing w:line="360" w:lineRule="auto"/>
        <w:jc w:val="center"/>
        <w:rPr>
          <w:rFonts w:hint="eastAsia" w:ascii="宋体" w:hAnsi="宋体" w:eastAsia="宋体" w:cs="宋体"/>
          <w:b/>
          <w:bCs/>
          <w:spacing w:val="0"/>
          <w:sz w:val="24"/>
          <w:highlight w:val="none"/>
          <w:shd w:val="clear" w:color="auto" w:fill="FFFFFF"/>
        </w:rPr>
      </w:pPr>
      <w:r>
        <w:rPr>
          <w:rFonts w:hint="eastAsia" w:ascii="宋体" w:hAnsi="宋体" w:eastAsia="宋体" w:cs="宋体"/>
          <w:b/>
          <w:bCs/>
          <w:spacing w:val="0"/>
          <w:sz w:val="24"/>
          <w:highlight w:val="none"/>
          <w:shd w:val="clear" w:color="auto" w:fill="FFFFFF"/>
        </w:rPr>
        <w:t>中小企业声明函（服务</w:t>
      </w:r>
      <w:r>
        <w:rPr>
          <w:rFonts w:hint="eastAsia" w:ascii="宋体" w:hAnsi="宋体" w:eastAsia="宋体" w:cs="宋体"/>
          <w:b/>
          <w:bCs/>
          <w:spacing w:val="0"/>
          <w:sz w:val="24"/>
          <w:highlight w:val="none"/>
          <w:shd w:val="clear" w:color="auto" w:fill="FFFFFF"/>
          <w:lang w:eastAsia="zh-CN"/>
        </w:rPr>
        <w:t>、</w:t>
      </w:r>
      <w:r>
        <w:rPr>
          <w:rFonts w:hint="eastAsia" w:ascii="宋体" w:hAnsi="宋体" w:eastAsia="宋体" w:cs="宋体"/>
          <w:b/>
          <w:bCs/>
          <w:spacing w:val="0"/>
          <w:sz w:val="24"/>
          <w:highlight w:val="none"/>
          <w:shd w:val="clear" w:color="auto" w:fill="FFFFFF"/>
          <w:lang w:val="en-US" w:eastAsia="zh-CN"/>
        </w:rPr>
        <w:t>工程</w:t>
      </w:r>
      <w:r>
        <w:rPr>
          <w:rFonts w:hint="eastAsia" w:ascii="宋体" w:hAnsi="宋体" w:eastAsia="宋体" w:cs="宋体"/>
          <w:b/>
          <w:bCs/>
          <w:spacing w:val="0"/>
          <w:sz w:val="24"/>
          <w:highlight w:val="none"/>
          <w:shd w:val="clear" w:color="auto" w:fill="FFFFFF"/>
        </w:rPr>
        <w:t>）</w:t>
      </w:r>
    </w:p>
    <w:p w14:paraId="3B267F02">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pacing w:val="0"/>
          <w:sz w:val="21"/>
          <w:szCs w:val="21"/>
          <w:highlight w:val="none"/>
          <w:u w:val="single"/>
          <w:shd w:val="clear" w:color="auto" w:fill="FFFFFF"/>
        </w:rPr>
        <w:t xml:space="preserve">  （单位名称）  </w:t>
      </w:r>
      <w:r>
        <w:rPr>
          <w:rFonts w:hint="eastAsia" w:ascii="宋体" w:hAnsi="宋体" w:eastAsia="宋体" w:cs="宋体"/>
          <w:spacing w:val="0"/>
          <w:sz w:val="21"/>
          <w:szCs w:val="21"/>
          <w:highlight w:val="none"/>
          <w:shd w:val="clear" w:color="auto" w:fill="FFFFFF"/>
        </w:rPr>
        <w:t>的</w:t>
      </w:r>
      <w:r>
        <w:rPr>
          <w:rFonts w:hint="eastAsia" w:ascii="宋体" w:hAnsi="宋体" w:eastAsia="宋体" w:cs="宋体"/>
          <w:spacing w:val="0"/>
          <w:sz w:val="21"/>
          <w:szCs w:val="21"/>
          <w:highlight w:val="none"/>
          <w:u w:val="single"/>
          <w:shd w:val="clear" w:color="auto" w:fill="FFFFFF"/>
        </w:rPr>
        <w:t xml:space="preserve">  （项目名称）  </w:t>
      </w:r>
      <w:r>
        <w:rPr>
          <w:rFonts w:hint="eastAsia" w:ascii="宋体" w:hAnsi="宋体" w:eastAsia="宋体" w:cs="宋体"/>
          <w:spacing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68D50DE7">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1.</w:t>
      </w:r>
      <w:r>
        <w:rPr>
          <w:rFonts w:hint="eastAsia" w:ascii="宋体" w:hAnsi="宋体" w:eastAsia="宋体" w:cs="宋体"/>
          <w:spacing w:val="0"/>
          <w:sz w:val="21"/>
          <w:szCs w:val="21"/>
          <w:highlight w:val="none"/>
          <w:u w:val="single"/>
          <w:shd w:val="clear" w:color="auto" w:fill="FFFFFF"/>
        </w:rPr>
        <w:t xml:space="preserve">  （标的名称）  </w:t>
      </w:r>
      <w:r>
        <w:rPr>
          <w:rFonts w:hint="eastAsia" w:ascii="宋体" w:hAnsi="宋体" w:eastAsia="宋体" w:cs="宋体"/>
          <w:spacing w:val="0"/>
          <w:sz w:val="21"/>
          <w:szCs w:val="21"/>
          <w:highlight w:val="none"/>
          <w:shd w:val="clear" w:color="auto" w:fill="FFFFFF"/>
        </w:rPr>
        <w:t>，属于</w:t>
      </w:r>
      <w:r>
        <w:rPr>
          <w:rFonts w:hint="eastAsia" w:ascii="宋体" w:hAnsi="宋体" w:eastAsia="宋体" w:cs="宋体"/>
          <w:spacing w:val="0"/>
          <w:sz w:val="21"/>
          <w:szCs w:val="21"/>
          <w:highlight w:val="none"/>
          <w:u w:val="single"/>
          <w:shd w:val="clear" w:color="auto" w:fill="FFFFFF"/>
        </w:rPr>
        <w:t xml:space="preserve">  （采购文件中明确的所属行业）  </w:t>
      </w:r>
      <w:r>
        <w:rPr>
          <w:rFonts w:hint="eastAsia" w:ascii="宋体" w:hAnsi="宋体" w:eastAsia="宋体" w:cs="宋体"/>
          <w:spacing w:val="0"/>
          <w:sz w:val="21"/>
          <w:szCs w:val="21"/>
          <w:highlight w:val="none"/>
          <w:shd w:val="clear" w:color="auto" w:fill="FFFFFF"/>
        </w:rPr>
        <w:t>；承接企业为</w:t>
      </w:r>
      <w:r>
        <w:rPr>
          <w:rFonts w:hint="eastAsia" w:ascii="宋体" w:hAnsi="宋体" w:eastAsia="宋体" w:cs="宋体"/>
          <w:spacing w:val="0"/>
          <w:sz w:val="21"/>
          <w:szCs w:val="21"/>
          <w:highlight w:val="none"/>
          <w:u w:val="single"/>
          <w:shd w:val="clear" w:color="auto" w:fill="FFFFFF"/>
        </w:rPr>
        <w:t xml:space="preserve">  （企业名称）  </w:t>
      </w:r>
      <w:r>
        <w:rPr>
          <w:rFonts w:hint="eastAsia" w:ascii="宋体" w:hAnsi="宋体" w:eastAsia="宋体" w:cs="宋体"/>
          <w:spacing w:val="0"/>
          <w:sz w:val="21"/>
          <w:szCs w:val="21"/>
          <w:highlight w:val="none"/>
          <w:shd w:val="clear" w:color="auto" w:fill="FFFFFF"/>
        </w:rPr>
        <w:t>，从业人员</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人，营业收入为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万元，资产总额为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万元，属于（</w:t>
      </w:r>
      <w:r>
        <w:rPr>
          <w:rFonts w:hint="eastAsia" w:ascii="宋体" w:hAnsi="宋体" w:eastAsia="宋体" w:cs="宋体"/>
          <w:spacing w:val="0"/>
          <w:sz w:val="21"/>
          <w:szCs w:val="21"/>
          <w:highlight w:val="none"/>
          <w:u w:val="single"/>
          <w:shd w:val="clear" w:color="auto" w:fill="FFFFFF"/>
        </w:rPr>
        <w:t>中型企业、小型企业、微型企业</w:t>
      </w:r>
      <w:r>
        <w:rPr>
          <w:rFonts w:hint="eastAsia" w:ascii="宋体" w:hAnsi="宋体" w:eastAsia="宋体" w:cs="宋体"/>
          <w:spacing w:val="0"/>
          <w:sz w:val="21"/>
          <w:szCs w:val="21"/>
          <w:highlight w:val="none"/>
          <w:shd w:val="clear" w:color="auto" w:fill="FFFFFF"/>
        </w:rPr>
        <w:t>）；</w:t>
      </w:r>
    </w:p>
    <w:p w14:paraId="68B04E13">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2.</w:t>
      </w:r>
      <w:r>
        <w:rPr>
          <w:rFonts w:hint="eastAsia" w:ascii="宋体" w:hAnsi="宋体" w:eastAsia="宋体" w:cs="宋体"/>
          <w:spacing w:val="0"/>
          <w:sz w:val="21"/>
          <w:szCs w:val="21"/>
          <w:highlight w:val="none"/>
          <w:u w:val="single"/>
          <w:shd w:val="clear" w:color="auto" w:fill="FFFFFF"/>
        </w:rPr>
        <w:t xml:space="preserve">  （标的名称）  </w:t>
      </w:r>
      <w:r>
        <w:rPr>
          <w:rFonts w:hint="eastAsia" w:ascii="宋体" w:hAnsi="宋体" w:eastAsia="宋体" w:cs="宋体"/>
          <w:spacing w:val="0"/>
          <w:sz w:val="21"/>
          <w:szCs w:val="21"/>
          <w:highlight w:val="none"/>
          <w:shd w:val="clear" w:color="auto" w:fill="FFFFFF"/>
        </w:rPr>
        <w:t>，属于</w:t>
      </w:r>
      <w:r>
        <w:rPr>
          <w:rFonts w:hint="eastAsia" w:ascii="宋体" w:hAnsi="宋体" w:eastAsia="宋体" w:cs="宋体"/>
          <w:spacing w:val="0"/>
          <w:sz w:val="21"/>
          <w:szCs w:val="21"/>
          <w:highlight w:val="none"/>
          <w:u w:val="single"/>
          <w:shd w:val="clear" w:color="auto" w:fill="FFFFFF"/>
        </w:rPr>
        <w:t xml:space="preserve">  （采购文件中明确的所属行业）  </w:t>
      </w:r>
      <w:r>
        <w:rPr>
          <w:rFonts w:hint="eastAsia" w:ascii="宋体" w:hAnsi="宋体" w:eastAsia="宋体" w:cs="宋体"/>
          <w:spacing w:val="0"/>
          <w:sz w:val="21"/>
          <w:szCs w:val="21"/>
          <w:highlight w:val="none"/>
          <w:shd w:val="clear" w:color="auto" w:fill="FFFFFF"/>
        </w:rPr>
        <w:t>；承接企业为</w:t>
      </w:r>
      <w:r>
        <w:rPr>
          <w:rFonts w:hint="eastAsia" w:ascii="宋体" w:hAnsi="宋体" w:eastAsia="宋体" w:cs="宋体"/>
          <w:spacing w:val="0"/>
          <w:sz w:val="21"/>
          <w:szCs w:val="21"/>
          <w:highlight w:val="none"/>
          <w:u w:val="single"/>
          <w:shd w:val="clear" w:color="auto" w:fill="FFFFFF"/>
        </w:rPr>
        <w:t xml:space="preserve">  （企业名称）  </w:t>
      </w:r>
      <w:r>
        <w:rPr>
          <w:rFonts w:hint="eastAsia" w:ascii="宋体" w:hAnsi="宋体" w:eastAsia="宋体" w:cs="宋体"/>
          <w:spacing w:val="0"/>
          <w:sz w:val="21"/>
          <w:szCs w:val="21"/>
          <w:highlight w:val="none"/>
          <w:shd w:val="clear" w:color="auto" w:fill="FFFFFF"/>
        </w:rPr>
        <w:t>，从业人员</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人，营业收入为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万元，资产总额为</w:t>
      </w:r>
      <w:r>
        <w:rPr>
          <w:rFonts w:hint="eastAsia" w:ascii="宋体" w:hAnsi="宋体" w:eastAsia="宋体" w:cs="宋体"/>
          <w:spacing w:val="0"/>
          <w:sz w:val="21"/>
          <w:szCs w:val="21"/>
          <w:highlight w:val="none"/>
          <w:u w:val="single"/>
          <w:shd w:val="clear" w:color="auto" w:fill="FFFFFF"/>
        </w:rPr>
        <w:t xml:space="preserve">        </w:t>
      </w:r>
      <w:r>
        <w:rPr>
          <w:rFonts w:hint="eastAsia" w:ascii="宋体" w:hAnsi="宋体" w:eastAsia="宋体" w:cs="宋体"/>
          <w:spacing w:val="0"/>
          <w:sz w:val="21"/>
          <w:szCs w:val="21"/>
          <w:highlight w:val="none"/>
          <w:shd w:val="clear" w:color="auto" w:fill="FFFFFF"/>
        </w:rPr>
        <w:t>万元，属于（</w:t>
      </w:r>
      <w:r>
        <w:rPr>
          <w:rFonts w:hint="eastAsia" w:ascii="宋体" w:hAnsi="宋体" w:eastAsia="宋体" w:cs="宋体"/>
          <w:spacing w:val="0"/>
          <w:sz w:val="21"/>
          <w:szCs w:val="21"/>
          <w:highlight w:val="none"/>
          <w:u w:val="single"/>
          <w:shd w:val="clear" w:color="auto" w:fill="FFFFFF"/>
        </w:rPr>
        <w:t>中型企业、小型企业、微型企业</w:t>
      </w:r>
      <w:r>
        <w:rPr>
          <w:rFonts w:hint="eastAsia" w:ascii="宋体" w:hAnsi="宋体" w:eastAsia="宋体" w:cs="宋体"/>
          <w:spacing w:val="0"/>
          <w:sz w:val="21"/>
          <w:szCs w:val="21"/>
          <w:highlight w:val="none"/>
          <w:shd w:val="clear" w:color="auto" w:fill="FFFFFF"/>
        </w:rPr>
        <w:t>）；</w:t>
      </w:r>
    </w:p>
    <w:p w14:paraId="43716DCB">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w:t>
      </w:r>
    </w:p>
    <w:p w14:paraId="4CD74C7F">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以上企业，不属于大企业的分支机构，不存在控股股东为大企业的情形，也不存在与大企业的负责人为同一人的情形。</w:t>
      </w:r>
    </w:p>
    <w:p w14:paraId="6931444A">
      <w:pPr>
        <w:spacing w:line="360" w:lineRule="auto"/>
        <w:ind w:firstLine="420" w:firstLineChars="200"/>
        <w:rPr>
          <w:rFonts w:hint="eastAsia" w:ascii="宋体" w:hAnsi="宋体" w:eastAsia="宋体" w:cs="宋体"/>
          <w:spacing w:val="0"/>
          <w:sz w:val="21"/>
          <w:szCs w:val="21"/>
          <w:highlight w:val="none"/>
          <w:shd w:val="clear" w:color="auto" w:fill="FFFFFF"/>
        </w:rPr>
      </w:pPr>
      <w:r>
        <w:rPr>
          <w:rFonts w:hint="eastAsia" w:ascii="宋体" w:hAnsi="宋体" w:eastAsia="宋体" w:cs="宋体"/>
          <w:spacing w:val="0"/>
          <w:sz w:val="21"/>
          <w:szCs w:val="21"/>
          <w:highlight w:val="none"/>
          <w:shd w:val="clear" w:color="auto" w:fill="FFFFFF"/>
        </w:rPr>
        <w:t>本企业对上述声明内容的真实性负责。如有虚假，将依法承担相应责任。</w:t>
      </w:r>
    </w:p>
    <w:p w14:paraId="1F0EEE1F">
      <w:pPr>
        <w:spacing w:line="360" w:lineRule="auto"/>
        <w:rPr>
          <w:rFonts w:hint="eastAsia" w:ascii="宋体" w:hAnsi="宋体" w:eastAsia="宋体" w:cs="宋体"/>
          <w:spacing w:val="0"/>
          <w:sz w:val="24"/>
          <w:highlight w:val="none"/>
        </w:rPr>
      </w:pPr>
    </w:p>
    <w:p w14:paraId="62608807">
      <w:pPr>
        <w:spacing w:line="360" w:lineRule="auto"/>
        <w:rPr>
          <w:rFonts w:hint="eastAsia" w:ascii="宋体" w:hAnsi="宋体" w:eastAsia="宋体" w:cs="宋体"/>
          <w:spacing w:val="0"/>
          <w:sz w:val="24"/>
          <w:highlight w:val="none"/>
        </w:rPr>
      </w:pPr>
    </w:p>
    <w:p w14:paraId="11B34996">
      <w:pPr>
        <w:spacing w:line="360" w:lineRule="auto"/>
        <w:ind w:firstLine="4560" w:firstLineChars="1900"/>
        <w:rPr>
          <w:rFonts w:hint="eastAsia" w:ascii="宋体" w:hAnsi="宋体" w:eastAsia="宋体" w:cs="宋体"/>
          <w:spacing w:val="0"/>
          <w:sz w:val="24"/>
          <w:highlight w:val="none"/>
        </w:rPr>
      </w:pPr>
      <w:r>
        <w:rPr>
          <w:rFonts w:hint="eastAsia" w:ascii="宋体" w:hAnsi="宋体" w:eastAsia="宋体" w:cs="宋体"/>
          <w:spacing w:val="0"/>
          <w:sz w:val="24"/>
          <w:highlight w:val="none"/>
        </w:rPr>
        <w:t>供应商名称：           （盖章）</w:t>
      </w:r>
    </w:p>
    <w:p w14:paraId="7F6AC55A">
      <w:pPr>
        <w:spacing w:line="360" w:lineRule="auto"/>
        <w:ind w:firstLine="4560" w:firstLineChars="1900"/>
        <w:rPr>
          <w:rFonts w:hint="eastAsia" w:ascii="宋体" w:hAnsi="宋体" w:eastAsia="宋体" w:cs="宋体"/>
          <w:b/>
          <w:spacing w:val="0"/>
          <w:sz w:val="24"/>
          <w:highlight w:val="none"/>
        </w:rPr>
      </w:pPr>
      <w:r>
        <w:rPr>
          <w:rFonts w:hint="eastAsia" w:ascii="宋体" w:hAnsi="宋体" w:eastAsia="宋体" w:cs="宋体"/>
          <w:spacing w:val="0"/>
          <w:sz w:val="24"/>
          <w:highlight w:val="none"/>
        </w:rPr>
        <w:t>日      期：</w:t>
      </w:r>
    </w:p>
    <w:p w14:paraId="279783BB">
      <w:pPr>
        <w:spacing w:line="360" w:lineRule="auto"/>
        <w:jc w:val="left"/>
        <w:rPr>
          <w:rFonts w:hint="eastAsia" w:ascii="宋体" w:hAnsi="宋体" w:eastAsia="宋体" w:cs="宋体"/>
          <w:b/>
          <w:spacing w:val="0"/>
          <w:kern w:val="0"/>
          <w:sz w:val="24"/>
          <w:highlight w:val="none"/>
        </w:rPr>
      </w:pPr>
    </w:p>
    <w:p w14:paraId="241ED6E9">
      <w:pPr>
        <w:spacing w:line="360" w:lineRule="auto"/>
        <w:jc w:val="left"/>
        <w:rPr>
          <w:rFonts w:hint="eastAsia" w:ascii="宋体" w:hAnsi="宋体" w:eastAsia="宋体" w:cs="宋体"/>
          <w:b/>
          <w:spacing w:val="0"/>
          <w:kern w:val="0"/>
          <w:sz w:val="24"/>
          <w:highlight w:val="none"/>
        </w:rPr>
      </w:pPr>
    </w:p>
    <w:p w14:paraId="29B612C2">
      <w:pPr>
        <w:spacing w:line="360" w:lineRule="auto"/>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注：</w:t>
      </w:r>
    </w:p>
    <w:p w14:paraId="35BD9BD5">
      <w:pPr>
        <w:spacing w:line="360" w:lineRule="auto"/>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1.从业人员、营业收入、资产总额填报上一年度年报数据，无上一年度数据的新成立企业可不填报。</w:t>
      </w:r>
    </w:p>
    <w:p w14:paraId="4B5274BC">
      <w:pPr>
        <w:spacing w:line="360" w:lineRule="auto"/>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2.专门面向中小企业的采购项目，此项内容作为资格条件，应在供应商资格证明文件部分上传。</w:t>
      </w:r>
    </w:p>
    <w:p w14:paraId="4E54D6D6">
      <w:pPr>
        <w:spacing w:line="360" w:lineRule="auto"/>
        <w:jc w:val="left"/>
        <w:rPr>
          <w:rFonts w:hint="eastAsia" w:ascii="宋体" w:hAnsi="宋体" w:eastAsia="宋体" w:cs="宋体"/>
          <w:b/>
          <w:bCs/>
          <w:szCs w:val="21"/>
          <w:highlight w:val="none"/>
        </w:rPr>
      </w:pPr>
      <w:r>
        <w:rPr>
          <w:rFonts w:hint="eastAsia" w:ascii="宋体" w:hAnsi="宋体" w:eastAsia="宋体" w:cs="宋体"/>
          <w:b/>
          <w:bCs/>
          <w:spacing w:val="0"/>
          <w:szCs w:val="21"/>
          <w:highlight w:val="none"/>
        </w:rPr>
        <w:t>3.非专门面向中小企业的采购项目，如未提供，不予认可。</w:t>
      </w:r>
    </w:p>
    <w:p w14:paraId="7B4AD58F">
      <w:pPr>
        <w:spacing w:line="360" w:lineRule="auto"/>
        <w:jc w:val="left"/>
        <w:rPr>
          <w:rFonts w:hint="eastAsia" w:ascii="宋体" w:hAnsi="宋体" w:eastAsia="宋体" w:cs="宋体"/>
          <w:b/>
          <w:kern w:val="0"/>
          <w:sz w:val="24"/>
          <w:highlight w:val="none"/>
        </w:rPr>
      </w:pPr>
    </w:p>
    <w:p w14:paraId="56C6EA29">
      <w:pPr>
        <w:spacing w:line="360" w:lineRule="auto"/>
        <w:jc w:val="left"/>
        <w:rPr>
          <w:rFonts w:hint="eastAsia" w:ascii="宋体" w:hAnsi="宋体" w:eastAsia="宋体" w:cs="宋体"/>
          <w:b/>
          <w:sz w:val="24"/>
          <w:highlight w:val="none"/>
        </w:rPr>
        <w:sectPr>
          <w:pgSz w:w="11906" w:h="16838"/>
          <w:pgMar w:top="1440" w:right="1418" w:bottom="1440" w:left="1418" w:header="851" w:footer="992" w:gutter="0"/>
          <w:pgNumType w:fmt="decimal"/>
          <w:cols w:space="720" w:num="1"/>
          <w:docGrid w:type="lines" w:linePitch="312" w:charSpace="0"/>
        </w:sectPr>
      </w:pPr>
    </w:p>
    <w:p w14:paraId="34244692">
      <w:pPr>
        <w:spacing w:line="360" w:lineRule="auto"/>
        <w:jc w:val="left"/>
        <w:rPr>
          <w:rFonts w:hint="eastAsia" w:ascii="宋体" w:hAnsi="宋体" w:eastAsia="宋体" w:cs="宋体"/>
          <w:b/>
          <w:spacing w:val="6"/>
          <w:sz w:val="24"/>
          <w:highlight w:val="none"/>
        </w:rPr>
      </w:pPr>
      <w:r>
        <w:rPr>
          <w:rFonts w:hint="eastAsia" w:ascii="宋体" w:hAnsi="宋体" w:eastAsia="宋体" w:cs="宋体"/>
          <w:b/>
          <w:sz w:val="24"/>
          <w:highlight w:val="none"/>
        </w:rPr>
        <w:t>（五）</w:t>
      </w:r>
      <w:r>
        <w:rPr>
          <w:rFonts w:hint="eastAsia" w:ascii="宋体" w:hAnsi="宋体" w:eastAsia="宋体" w:cs="宋体"/>
          <w:b/>
          <w:spacing w:val="6"/>
          <w:sz w:val="24"/>
          <w:highlight w:val="none"/>
        </w:rPr>
        <w:t>残疾人福利性单位声明</w:t>
      </w:r>
    </w:p>
    <w:p w14:paraId="58508081">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14:paraId="1B3038E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）采购活动由本单位提供服务。</w:t>
      </w:r>
    </w:p>
    <w:p w14:paraId="31AC35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本单位对上述声明内容的真实性负责。如有虚假，将依法承担相应责任。</w:t>
      </w:r>
    </w:p>
    <w:p w14:paraId="18A0BEE7">
      <w:pPr>
        <w:spacing w:line="360" w:lineRule="auto"/>
        <w:ind w:firstLine="504" w:firstLineChars="200"/>
        <w:rPr>
          <w:rFonts w:hint="eastAsia" w:ascii="宋体" w:hAnsi="宋体" w:eastAsia="宋体" w:cs="宋体"/>
          <w:spacing w:val="6"/>
          <w:sz w:val="24"/>
          <w:highlight w:val="none"/>
        </w:rPr>
      </w:pPr>
    </w:p>
    <w:p w14:paraId="199DDAE1">
      <w:pPr>
        <w:spacing w:line="360" w:lineRule="auto"/>
        <w:ind w:firstLine="504" w:firstLineChars="200"/>
        <w:rPr>
          <w:rFonts w:hint="eastAsia" w:ascii="宋体" w:hAnsi="宋体" w:eastAsia="宋体" w:cs="宋体"/>
          <w:spacing w:val="6"/>
          <w:sz w:val="24"/>
          <w:highlight w:val="none"/>
        </w:rPr>
      </w:pPr>
    </w:p>
    <w:p w14:paraId="0BD4DE35">
      <w:pPr>
        <w:pStyle w:val="112"/>
        <w:spacing w:line="360"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7491E1D7">
      <w:pPr>
        <w:spacing w:line="360" w:lineRule="auto"/>
        <w:ind w:firstLine="4680" w:firstLineChars="1950"/>
        <w:rPr>
          <w:rFonts w:hint="eastAsia" w:ascii="宋体" w:hAnsi="宋体" w:eastAsia="宋体" w:cs="宋体"/>
          <w:b/>
          <w:sz w:val="24"/>
          <w:highlight w:val="none"/>
        </w:rPr>
      </w:pPr>
      <w:r>
        <w:rPr>
          <w:rFonts w:hint="eastAsia" w:ascii="宋体" w:hAnsi="宋体" w:eastAsia="宋体" w:cs="宋体"/>
          <w:sz w:val="24"/>
          <w:highlight w:val="none"/>
        </w:rPr>
        <w:t>日      期：</w:t>
      </w:r>
    </w:p>
    <w:p w14:paraId="2464A72B">
      <w:pPr>
        <w:spacing w:line="360" w:lineRule="auto"/>
        <w:rPr>
          <w:rFonts w:hint="eastAsia" w:ascii="宋体" w:hAnsi="宋体" w:eastAsia="宋体" w:cs="宋体"/>
          <w:b/>
          <w:sz w:val="24"/>
          <w:highlight w:val="none"/>
        </w:rPr>
      </w:pPr>
    </w:p>
    <w:p w14:paraId="2F56CAD5">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注：</w:t>
      </w:r>
    </w:p>
    <w:p w14:paraId="1EA8C5D5">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1.专门面向中小企业的采购项目，残疾人福利性单位参加本项目此项内容作为资格条件，应在供应商资格证明文件部分上传。</w:t>
      </w:r>
    </w:p>
    <w:p w14:paraId="31D4B4F5">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2.非专门面向中小企业的采购项目，如未提供，不予认可。</w:t>
      </w:r>
    </w:p>
    <w:p w14:paraId="5054C6FC">
      <w:pPr>
        <w:pStyle w:val="18"/>
        <w:spacing w:line="360" w:lineRule="auto"/>
        <w:rPr>
          <w:rFonts w:hint="eastAsia" w:ascii="宋体" w:hAnsi="宋体" w:eastAsia="宋体" w:cs="宋体"/>
          <w:b/>
          <w:sz w:val="24"/>
          <w:szCs w:val="24"/>
          <w:highlight w:val="none"/>
        </w:rPr>
      </w:pPr>
    </w:p>
    <w:p w14:paraId="06CF7947">
      <w:pPr>
        <w:pStyle w:val="18"/>
        <w:spacing w:line="360" w:lineRule="auto"/>
        <w:rPr>
          <w:rFonts w:hint="eastAsia" w:ascii="宋体" w:hAnsi="宋体" w:eastAsia="宋体" w:cs="宋体"/>
          <w:b/>
          <w:sz w:val="24"/>
          <w:szCs w:val="24"/>
          <w:highlight w:val="none"/>
        </w:rPr>
      </w:pPr>
    </w:p>
    <w:p w14:paraId="0C8012AB">
      <w:pPr>
        <w:pStyle w:val="18"/>
        <w:spacing w:line="360" w:lineRule="auto"/>
        <w:rPr>
          <w:rFonts w:hint="eastAsia" w:ascii="宋体" w:hAnsi="宋体" w:eastAsia="宋体" w:cs="宋体"/>
          <w:b/>
          <w:sz w:val="24"/>
          <w:szCs w:val="24"/>
          <w:highlight w:val="none"/>
        </w:rPr>
      </w:pPr>
    </w:p>
    <w:p w14:paraId="3EB7C25C">
      <w:pPr>
        <w:pStyle w:val="18"/>
        <w:spacing w:line="360" w:lineRule="auto"/>
        <w:rPr>
          <w:rFonts w:hint="eastAsia" w:ascii="宋体" w:hAnsi="宋体" w:eastAsia="宋体" w:cs="宋体"/>
          <w:b/>
          <w:sz w:val="24"/>
          <w:szCs w:val="24"/>
          <w:highlight w:val="none"/>
        </w:rPr>
      </w:pPr>
    </w:p>
    <w:p w14:paraId="1DAB25A8">
      <w:pPr>
        <w:pStyle w:val="18"/>
        <w:spacing w:line="360" w:lineRule="auto"/>
        <w:rPr>
          <w:rFonts w:hint="eastAsia" w:ascii="宋体" w:hAnsi="宋体" w:eastAsia="宋体" w:cs="宋体"/>
          <w:b/>
          <w:sz w:val="24"/>
          <w:szCs w:val="24"/>
          <w:highlight w:val="none"/>
        </w:rPr>
      </w:pPr>
    </w:p>
    <w:p w14:paraId="5ED1CEDD">
      <w:pPr>
        <w:pStyle w:val="18"/>
        <w:spacing w:line="360" w:lineRule="auto"/>
        <w:rPr>
          <w:rFonts w:hint="eastAsia" w:ascii="宋体" w:hAnsi="宋体" w:eastAsia="宋体" w:cs="宋体"/>
          <w:b/>
          <w:sz w:val="24"/>
          <w:szCs w:val="24"/>
          <w:highlight w:val="none"/>
        </w:rPr>
      </w:pPr>
    </w:p>
    <w:p w14:paraId="6A3F6030">
      <w:pPr>
        <w:pStyle w:val="18"/>
        <w:spacing w:line="360" w:lineRule="auto"/>
        <w:rPr>
          <w:rFonts w:hint="eastAsia" w:ascii="宋体" w:hAnsi="宋体" w:eastAsia="宋体" w:cs="宋体"/>
          <w:b/>
          <w:sz w:val="24"/>
          <w:szCs w:val="24"/>
          <w:highlight w:val="none"/>
        </w:rPr>
      </w:pPr>
    </w:p>
    <w:p w14:paraId="7A26487D">
      <w:pPr>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（六）监狱企业声明</w:t>
      </w:r>
    </w:p>
    <w:p w14:paraId="12111AAC">
      <w:pPr>
        <w:spacing w:line="360" w:lineRule="auto"/>
        <w:jc w:val="center"/>
        <w:rPr>
          <w:rFonts w:hint="eastAsia" w:ascii="宋体" w:hAnsi="宋体" w:eastAsia="宋体" w:cs="宋体"/>
          <w:b/>
          <w:bCs/>
          <w:spacing w:val="6"/>
          <w:sz w:val="24"/>
          <w:highlight w:val="none"/>
        </w:rPr>
      </w:pPr>
      <w:r>
        <w:rPr>
          <w:rFonts w:hint="eastAsia" w:ascii="宋体" w:hAnsi="宋体" w:eastAsia="宋体" w:cs="宋体"/>
          <w:b/>
          <w:bCs/>
          <w:spacing w:val="6"/>
          <w:sz w:val="24"/>
          <w:highlight w:val="none"/>
        </w:rPr>
        <w:t>监狱企业声明函</w:t>
      </w:r>
    </w:p>
    <w:p w14:paraId="79663D84">
      <w:pPr>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本单位郑重声明，根据《关于政府采购支持监狱企业发展有关问题的通知》（财库〔2014〕68号）的规定，本单位为符合条件的监狱企业，且本单位参加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）采购活动，由本单位提供服务。</w:t>
      </w:r>
    </w:p>
    <w:p w14:paraId="7F7B28EE">
      <w:pPr>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本单位对上述声明内容的真实性负责。如有虚假，将依法承担相应责任。</w:t>
      </w:r>
    </w:p>
    <w:p w14:paraId="0EBEBEB7">
      <w:pPr>
        <w:spacing w:line="360" w:lineRule="auto"/>
        <w:ind w:firstLine="504" w:firstLineChars="200"/>
        <w:rPr>
          <w:rFonts w:hint="eastAsia" w:ascii="宋体" w:hAnsi="宋体" w:eastAsia="宋体" w:cs="宋体"/>
          <w:spacing w:val="6"/>
          <w:sz w:val="24"/>
          <w:highlight w:val="none"/>
        </w:rPr>
      </w:pPr>
    </w:p>
    <w:p w14:paraId="35971C68">
      <w:pPr>
        <w:spacing w:line="360" w:lineRule="auto"/>
        <w:ind w:firstLine="504" w:firstLineChars="200"/>
        <w:rPr>
          <w:rFonts w:hint="eastAsia" w:ascii="宋体" w:hAnsi="宋体" w:eastAsia="宋体" w:cs="宋体"/>
          <w:spacing w:val="6"/>
          <w:sz w:val="24"/>
          <w:highlight w:val="none"/>
        </w:rPr>
      </w:pPr>
    </w:p>
    <w:p w14:paraId="5D41254A">
      <w:pPr>
        <w:pStyle w:val="112"/>
        <w:spacing w:line="360"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010FB00">
      <w:pPr>
        <w:spacing w:line="360" w:lineRule="auto"/>
        <w:ind w:firstLine="4680" w:firstLineChars="1950"/>
        <w:rPr>
          <w:rFonts w:hint="eastAsia" w:ascii="宋体" w:hAnsi="宋体" w:eastAsia="宋体" w:cs="宋体"/>
          <w:b/>
          <w:sz w:val="24"/>
          <w:highlight w:val="none"/>
        </w:rPr>
      </w:pPr>
      <w:r>
        <w:rPr>
          <w:rFonts w:hint="eastAsia" w:ascii="宋体" w:hAnsi="宋体" w:eastAsia="宋体" w:cs="宋体"/>
          <w:sz w:val="24"/>
          <w:highlight w:val="none"/>
        </w:rPr>
        <w:t>日      期：</w:t>
      </w:r>
    </w:p>
    <w:p w14:paraId="4600515F">
      <w:pPr>
        <w:spacing w:line="360" w:lineRule="auto"/>
        <w:rPr>
          <w:rFonts w:hint="eastAsia" w:ascii="宋体" w:hAnsi="宋体" w:eastAsia="宋体" w:cs="宋体"/>
          <w:b/>
          <w:sz w:val="24"/>
          <w:highlight w:val="none"/>
        </w:rPr>
      </w:pPr>
    </w:p>
    <w:p w14:paraId="49E02B7A">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附：由省级以上监狱管理局、戒毒管理局（含新疆生产建设兵团）出具的属于监狱企业的证明文件的扫描件或影印件</w:t>
      </w:r>
    </w:p>
    <w:p w14:paraId="01D845E5">
      <w:pPr>
        <w:spacing w:line="360" w:lineRule="auto"/>
        <w:jc w:val="left"/>
        <w:rPr>
          <w:rFonts w:hint="eastAsia" w:ascii="宋体" w:hAnsi="宋体" w:eastAsia="宋体" w:cs="宋体"/>
          <w:b/>
          <w:bCs/>
          <w:szCs w:val="21"/>
          <w:highlight w:val="none"/>
        </w:rPr>
      </w:pPr>
    </w:p>
    <w:p w14:paraId="7A16043B">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注：</w:t>
      </w:r>
    </w:p>
    <w:p w14:paraId="51ADE6BB">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1.专门面向中小企业的采购项目，监狱企业参加本项目此项内容作为资格条件，应在供应商资格证明文件部分上传。</w:t>
      </w:r>
    </w:p>
    <w:p w14:paraId="1DF4135E">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2.非专门面向中小企业的采购项目，如未提供，不予认可。</w:t>
      </w:r>
    </w:p>
    <w:p w14:paraId="2C7AE0B1">
      <w:pPr>
        <w:widowControl/>
        <w:spacing w:line="360" w:lineRule="auto"/>
        <w:rPr>
          <w:rFonts w:hint="eastAsia" w:ascii="宋体" w:hAnsi="宋体" w:eastAsia="宋体" w:cs="宋体"/>
          <w:b/>
          <w:kern w:val="0"/>
          <w:sz w:val="24"/>
          <w:highlight w:val="none"/>
        </w:rPr>
      </w:pPr>
    </w:p>
    <w:p w14:paraId="11716177">
      <w:pPr>
        <w:widowControl/>
        <w:spacing w:line="360" w:lineRule="auto"/>
        <w:rPr>
          <w:rFonts w:hint="eastAsia" w:ascii="宋体" w:hAnsi="宋体" w:eastAsia="宋体" w:cs="宋体"/>
          <w:b/>
          <w:kern w:val="0"/>
          <w:sz w:val="24"/>
          <w:highlight w:val="none"/>
        </w:rPr>
      </w:pPr>
    </w:p>
    <w:p w14:paraId="20A0A05D">
      <w:pPr>
        <w:widowControl/>
        <w:spacing w:line="360" w:lineRule="auto"/>
        <w:rPr>
          <w:rFonts w:hint="eastAsia" w:ascii="宋体" w:hAnsi="宋体" w:eastAsia="宋体" w:cs="宋体"/>
          <w:b/>
          <w:kern w:val="0"/>
          <w:sz w:val="24"/>
          <w:highlight w:val="none"/>
        </w:rPr>
      </w:pPr>
    </w:p>
    <w:p w14:paraId="18710F89">
      <w:pPr>
        <w:widowControl/>
        <w:spacing w:line="360" w:lineRule="auto"/>
        <w:rPr>
          <w:rFonts w:hint="eastAsia" w:ascii="宋体" w:hAnsi="宋体" w:eastAsia="宋体" w:cs="宋体"/>
          <w:b/>
          <w:kern w:val="0"/>
          <w:sz w:val="24"/>
          <w:highlight w:val="none"/>
        </w:rPr>
      </w:pPr>
    </w:p>
    <w:p w14:paraId="27F4F62F">
      <w:pPr>
        <w:widowControl/>
        <w:spacing w:line="360" w:lineRule="auto"/>
        <w:rPr>
          <w:rFonts w:hint="eastAsia" w:ascii="宋体" w:hAnsi="宋体" w:eastAsia="宋体" w:cs="宋体"/>
          <w:b/>
          <w:kern w:val="0"/>
          <w:sz w:val="24"/>
          <w:highlight w:val="none"/>
        </w:rPr>
      </w:pPr>
    </w:p>
    <w:p w14:paraId="69E9B5DF">
      <w:pPr>
        <w:widowControl/>
        <w:spacing w:line="360" w:lineRule="auto"/>
        <w:rPr>
          <w:rFonts w:hint="eastAsia" w:ascii="宋体" w:hAnsi="宋体" w:eastAsia="宋体" w:cs="宋体"/>
          <w:b/>
          <w:kern w:val="0"/>
          <w:sz w:val="24"/>
          <w:highlight w:val="none"/>
        </w:rPr>
      </w:pPr>
    </w:p>
    <w:p w14:paraId="5E2BD3B4">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（七）联合体磋商协议书</w:t>
      </w:r>
    </w:p>
    <w:p w14:paraId="543D1DA2">
      <w:pPr>
        <w:spacing w:line="360" w:lineRule="auto"/>
        <w:rPr>
          <w:rFonts w:hint="eastAsia" w:ascii="宋体" w:hAnsi="宋体" w:eastAsia="宋体" w:cs="宋体"/>
          <w:kern w:val="0"/>
          <w:sz w:val="24"/>
          <w:highlight w:val="none"/>
        </w:rPr>
      </w:pPr>
    </w:p>
    <w:p w14:paraId="3062F32B">
      <w:pPr>
        <w:spacing w:line="360" w:lineRule="auto"/>
        <w:jc w:val="center"/>
        <w:rPr>
          <w:rFonts w:hint="eastAsia" w:ascii="宋体" w:hAnsi="宋体" w:eastAsia="宋体" w:cs="宋体"/>
          <w:b/>
          <w:sz w:val="24"/>
          <w:highlight w:val="none"/>
        </w:rPr>
      </w:pPr>
      <w:r>
        <w:rPr>
          <w:rFonts w:hint="eastAsia" w:ascii="宋体" w:hAnsi="宋体" w:eastAsia="宋体" w:cs="宋体"/>
          <w:bCs/>
          <w:sz w:val="24"/>
          <w:highlight w:val="none"/>
        </w:rPr>
        <w:t xml:space="preserve"> </w:t>
      </w:r>
      <w:r>
        <w:rPr>
          <w:rFonts w:hint="eastAsia" w:ascii="宋体" w:hAnsi="宋体" w:eastAsia="宋体" w:cs="宋体"/>
          <w:b/>
          <w:sz w:val="24"/>
          <w:highlight w:val="none"/>
        </w:rPr>
        <w:t>《联合体磋商协议书》格式</w:t>
      </w:r>
    </w:p>
    <w:p w14:paraId="60AD963B">
      <w:pPr>
        <w:spacing w:line="360" w:lineRule="auto"/>
        <w:rPr>
          <w:rFonts w:hint="eastAsia" w:ascii="宋体" w:hAnsi="宋体" w:eastAsia="宋体" w:cs="宋体"/>
          <w:b/>
          <w:sz w:val="24"/>
          <w:highlight w:val="none"/>
        </w:rPr>
      </w:pPr>
    </w:p>
    <w:p w14:paraId="0E8DE2D5">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联合各方：</w:t>
      </w:r>
    </w:p>
    <w:p w14:paraId="75A1D5EA">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p w14:paraId="6ADEE658">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C7BE663">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住所：</w:t>
      </w:r>
    </w:p>
    <w:p w14:paraId="5243057B">
      <w:pPr>
        <w:spacing w:line="360" w:lineRule="auto"/>
        <w:ind w:firstLine="480" w:firstLineChars="200"/>
        <w:jc w:val="left"/>
        <w:rPr>
          <w:rFonts w:hint="eastAsia" w:ascii="宋体" w:hAnsi="宋体" w:eastAsia="宋体" w:cs="宋体"/>
          <w:sz w:val="24"/>
          <w:highlight w:val="none"/>
        </w:rPr>
      </w:pPr>
    </w:p>
    <w:p w14:paraId="74358E8A">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426AE52F">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CE966FC">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住所：</w:t>
      </w:r>
    </w:p>
    <w:p w14:paraId="0DC02733">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（如果有的话，可按甲、乙、丙、丁…序列增加）</w:t>
      </w:r>
    </w:p>
    <w:p w14:paraId="3AE6B040">
      <w:pPr>
        <w:spacing w:line="360" w:lineRule="auto"/>
        <w:ind w:firstLine="480" w:firstLineChars="200"/>
        <w:rPr>
          <w:rFonts w:hint="eastAsia" w:ascii="宋体" w:hAnsi="宋体" w:eastAsia="宋体" w:cs="宋体"/>
          <w:sz w:val="24"/>
          <w:highlight w:val="none"/>
        </w:rPr>
      </w:pPr>
    </w:p>
    <w:p w14:paraId="37E16D38">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根据《中华人民共和国政府采购法》第二十四条之规定，为响应</w:t>
      </w:r>
      <w:r>
        <w:rPr>
          <w:rFonts w:hint="eastAsia" w:ascii="宋体" w:hAnsi="宋体" w:eastAsia="宋体" w:cs="宋体"/>
          <w:sz w:val="24"/>
          <w:szCs w:val="24"/>
          <w:highlight w:val="none"/>
          <w:u w:val="single"/>
        </w:rPr>
        <w:t xml:space="preserve">      （采购代理机构名称）        </w:t>
      </w:r>
      <w:r>
        <w:rPr>
          <w:rFonts w:hint="eastAsia" w:ascii="宋体" w:hAnsi="宋体" w:eastAsia="宋体" w:cs="宋体"/>
          <w:sz w:val="24"/>
          <w:szCs w:val="24"/>
          <w:highlight w:val="none"/>
        </w:rPr>
        <w:t>组织实施的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）的采购活动，各方经协商，就联合参加本项目磋商事宜，达成如下协议：</w:t>
      </w:r>
    </w:p>
    <w:p w14:paraId="3B827F0B">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一、各方一致决定，以 </w:t>
      </w:r>
      <w:r>
        <w:rPr>
          <w:rFonts w:hint="eastAsia" w:ascii="宋体" w:hAnsi="宋体" w:eastAsia="宋体" w:cs="宋体"/>
          <w:sz w:val="24"/>
          <w:szCs w:val="24"/>
          <w:highlight w:val="none"/>
          <w:u w:val="single"/>
        </w:rPr>
        <w:t xml:space="preserve">      （联合体一方名称）       </w:t>
      </w:r>
      <w:r>
        <w:rPr>
          <w:rFonts w:hint="eastAsia" w:ascii="宋体" w:hAnsi="宋体" w:eastAsia="宋体" w:cs="宋体"/>
          <w:sz w:val="24"/>
          <w:szCs w:val="24"/>
          <w:highlight w:val="none"/>
        </w:rPr>
        <w:t>为主办人进行磋商，并按照磋商文件的规定分别提交资格文件。</w:t>
      </w:r>
    </w:p>
    <w:p w14:paraId="6E4B962F">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在本次磋商过程中，主办人法定代表人或授权代理人根据磋商文件规定及报价内容而对采购人所作的任何合法承诺，包括书面澄清及响应等均对联合磋商各方产生约束力。如果成交并签订合同，则联合各方将共同履行对采购人所负有的全部义务并就采购合同约定的事项对采购人承担连带责任。</w:t>
      </w:r>
    </w:p>
    <w:p w14:paraId="71D45A32">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三、联合其余各方保证对主办人为响应本次磋商而提供的货物和相关服务，提供全部质量保证及售后服务支持。</w:t>
      </w:r>
    </w:p>
    <w:p w14:paraId="0D120597">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四、本次联合磋商中，甲方承担的工作和义务为:</w:t>
      </w:r>
    </w:p>
    <w:p w14:paraId="562AB07D">
      <w:pPr>
        <w:pStyle w:val="112"/>
        <w:spacing w:line="360" w:lineRule="auto"/>
        <w:ind w:firstLine="480" w:firstLineChars="200"/>
        <w:rPr>
          <w:rFonts w:hint="eastAsia" w:ascii="宋体" w:hAnsi="宋体" w:eastAsia="宋体" w:cs="宋体"/>
          <w:sz w:val="24"/>
          <w:szCs w:val="24"/>
          <w:highlight w:val="none"/>
        </w:rPr>
      </w:pPr>
    </w:p>
    <w:p w14:paraId="3D6F16C1">
      <w:pPr>
        <w:pStyle w:val="112"/>
        <w:spacing w:line="360" w:lineRule="auto"/>
        <w:ind w:firstLine="960" w:firstLineChars="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乙方承担的工作和义务为：</w:t>
      </w:r>
    </w:p>
    <w:p w14:paraId="53BB7F22">
      <w:pPr>
        <w:pStyle w:val="112"/>
        <w:spacing w:line="360" w:lineRule="auto"/>
        <w:ind w:firstLine="480" w:firstLineChars="200"/>
        <w:rPr>
          <w:rFonts w:hint="eastAsia" w:ascii="宋体" w:hAnsi="宋体" w:eastAsia="宋体" w:cs="宋体"/>
          <w:sz w:val="24"/>
          <w:szCs w:val="24"/>
          <w:highlight w:val="none"/>
        </w:rPr>
      </w:pPr>
    </w:p>
    <w:p w14:paraId="1D7E7CC6">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五、本协议提交后，联合体各方不得以任何形式对上述实质内容进行修改或撤销。</w:t>
      </w:r>
    </w:p>
    <w:p w14:paraId="1DD9A82D">
      <w:pPr>
        <w:pStyle w:val="112"/>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六、本协议一式三份，甲、乙双方各持一份，另一份作为响应文件的组成部分。</w:t>
      </w:r>
    </w:p>
    <w:p w14:paraId="1BBABE2C">
      <w:pPr>
        <w:spacing w:line="360" w:lineRule="auto"/>
        <w:rPr>
          <w:rFonts w:hint="eastAsia" w:ascii="宋体" w:hAnsi="宋体" w:eastAsia="宋体" w:cs="宋体"/>
          <w:sz w:val="24"/>
          <w:highlight w:val="none"/>
        </w:rPr>
      </w:pPr>
    </w:p>
    <w:p w14:paraId="42C1D23F">
      <w:pPr>
        <w:spacing w:line="360" w:lineRule="auto"/>
        <w:rPr>
          <w:rFonts w:hint="eastAsia" w:ascii="宋体" w:hAnsi="宋体" w:eastAsia="宋体" w:cs="宋体"/>
          <w:sz w:val="24"/>
          <w:highlight w:val="none"/>
        </w:rPr>
      </w:pPr>
    </w:p>
    <w:p w14:paraId="74BFCE92">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甲方（盖章）：                               乙方（盖章）：</w:t>
      </w:r>
    </w:p>
    <w:p w14:paraId="3D2D178B">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14:paraId="143F63E9">
      <w:pPr>
        <w:pStyle w:val="18"/>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20  年  月  日                               20  年  月  日</w:t>
      </w:r>
    </w:p>
    <w:p w14:paraId="101C3467">
      <w:pPr>
        <w:spacing w:line="360" w:lineRule="auto"/>
        <w:rPr>
          <w:rFonts w:hint="eastAsia" w:ascii="宋体" w:hAnsi="宋体" w:eastAsia="宋体" w:cs="宋体"/>
          <w:sz w:val="24"/>
          <w:highlight w:val="none"/>
        </w:rPr>
      </w:pPr>
    </w:p>
    <w:p w14:paraId="6C714837">
      <w:pPr>
        <w:spacing w:line="360" w:lineRule="auto"/>
        <w:rPr>
          <w:rFonts w:hint="eastAsia" w:ascii="宋体" w:hAnsi="宋体" w:eastAsia="宋体" w:cs="宋体"/>
          <w:sz w:val="24"/>
          <w:highlight w:val="none"/>
        </w:rPr>
      </w:pPr>
    </w:p>
    <w:p w14:paraId="5A55BCD1">
      <w:pPr>
        <w:spacing w:line="360" w:lineRule="auto"/>
        <w:rPr>
          <w:rFonts w:hint="eastAsia" w:ascii="宋体" w:hAnsi="宋体" w:eastAsia="宋体" w:cs="宋体"/>
          <w:sz w:val="24"/>
          <w:highlight w:val="none"/>
        </w:rPr>
      </w:pPr>
    </w:p>
    <w:p w14:paraId="260ED94B">
      <w:pPr>
        <w:spacing w:line="360" w:lineRule="auto"/>
        <w:rPr>
          <w:rFonts w:hint="eastAsia" w:ascii="宋体" w:hAnsi="宋体" w:eastAsia="宋体" w:cs="宋体"/>
          <w:sz w:val="24"/>
          <w:highlight w:val="none"/>
        </w:rPr>
      </w:pPr>
      <w:r>
        <w:rPr>
          <w:rFonts w:hint="eastAsia" w:ascii="宋体" w:hAnsi="宋体" w:eastAsia="宋体" w:cs="宋体"/>
          <w:sz w:val="24"/>
          <w:highlight w:val="none"/>
        </w:rPr>
        <w:t>附件：联合体各方资质等级证明文件</w:t>
      </w:r>
    </w:p>
    <w:p w14:paraId="4DDEF09D">
      <w:pPr>
        <w:spacing w:line="360" w:lineRule="auto"/>
        <w:rPr>
          <w:rFonts w:hint="eastAsia" w:ascii="宋体" w:hAnsi="宋体" w:eastAsia="宋体" w:cs="宋体"/>
          <w:sz w:val="24"/>
          <w:highlight w:val="none"/>
        </w:rPr>
      </w:pPr>
    </w:p>
    <w:p w14:paraId="1C761907">
      <w:pPr>
        <w:spacing w:line="360" w:lineRule="auto"/>
        <w:rPr>
          <w:rFonts w:hint="eastAsia" w:ascii="宋体" w:hAnsi="宋体" w:eastAsia="宋体" w:cs="宋体"/>
          <w:sz w:val="24"/>
          <w:highlight w:val="none"/>
        </w:rPr>
      </w:pPr>
    </w:p>
    <w:p w14:paraId="5355FD56">
      <w:pPr>
        <w:spacing w:line="360" w:lineRule="auto"/>
        <w:rPr>
          <w:rFonts w:hint="eastAsia" w:ascii="宋体" w:hAnsi="宋体" w:eastAsia="宋体" w:cs="宋体"/>
          <w:sz w:val="24"/>
          <w:highlight w:val="none"/>
        </w:rPr>
      </w:pPr>
    </w:p>
    <w:p w14:paraId="5F987B7A">
      <w:pPr>
        <w:spacing w:line="360" w:lineRule="auto"/>
        <w:rPr>
          <w:rFonts w:hint="eastAsia" w:ascii="宋体" w:hAnsi="宋体" w:eastAsia="宋体" w:cs="宋体"/>
          <w:sz w:val="24"/>
          <w:highlight w:val="none"/>
        </w:rPr>
      </w:pPr>
    </w:p>
    <w:p w14:paraId="43A45B8D">
      <w:pPr>
        <w:spacing w:line="360" w:lineRule="auto"/>
        <w:rPr>
          <w:rFonts w:hint="eastAsia" w:ascii="宋体" w:hAnsi="宋体" w:eastAsia="宋体" w:cs="宋体"/>
          <w:b/>
          <w:kern w:val="0"/>
          <w:sz w:val="24"/>
          <w:highlight w:val="none"/>
        </w:rPr>
      </w:pPr>
      <w:bookmarkStart w:id="163" w:name="_Toc26792"/>
      <w:r>
        <w:rPr>
          <w:rFonts w:hint="eastAsia" w:ascii="宋体" w:hAnsi="宋体" w:eastAsia="宋体" w:cs="宋体"/>
          <w:b/>
          <w:kern w:val="0"/>
          <w:sz w:val="24"/>
          <w:highlight w:val="none"/>
        </w:rPr>
        <w:t>（八）</w:t>
      </w:r>
      <w:bookmarkStart w:id="164" w:name="_Hlk171515082"/>
      <w:r>
        <w:rPr>
          <w:rFonts w:hint="eastAsia" w:ascii="宋体" w:hAnsi="宋体" w:eastAsia="宋体" w:cs="宋体"/>
          <w:b/>
          <w:kern w:val="0"/>
          <w:sz w:val="24"/>
          <w:highlight w:val="none"/>
        </w:rPr>
        <w:t>创新产品（或者：服务）</w:t>
      </w:r>
      <w:bookmarkEnd w:id="163"/>
      <w:bookmarkEnd w:id="164"/>
      <w:r>
        <w:rPr>
          <w:rFonts w:hint="eastAsia" w:ascii="宋体" w:hAnsi="宋体" w:eastAsia="宋体" w:cs="宋体"/>
          <w:b/>
          <w:kern w:val="0"/>
          <w:sz w:val="24"/>
          <w:highlight w:val="none"/>
        </w:rPr>
        <w:t>证明材料</w:t>
      </w:r>
    </w:p>
    <w:p w14:paraId="22E5BB04">
      <w:pPr>
        <w:tabs>
          <w:tab w:val="left" w:pos="1680"/>
        </w:tabs>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（1）创新产品（或者：服务）（如不涉及，可不提供）</w:t>
      </w:r>
    </w:p>
    <w:p w14:paraId="01F5FF2B">
      <w:pPr>
        <w:spacing w:line="360" w:lineRule="auto"/>
        <w:jc w:val="center"/>
        <w:rPr>
          <w:rFonts w:hint="eastAsia" w:ascii="宋体" w:hAnsi="宋体" w:eastAsia="宋体" w:cs="宋体"/>
          <w:highlight w:val="none"/>
        </w:rPr>
      </w:pPr>
      <w:r>
        <w:rPr>
          <w:rFonts w:hint="eastAsia" w:ascii="宋体" w:hAnsi="宋体" w:eastAsia="宋体" w:cs="宋体"/>
          <w:b/>
          <w:sz w:val="24"/>
          <w:highlight w:val="none"/>
        </w:rPr>
        <w:t>创新产品（或者：服务）明细表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905"/>
        <w:gridCol w:w="2200"/>
        <w:gridCol w:w="1886"/>
        <w:gridCol w:w="2191"/>
      </w:tblGrid>
      <w:tr w14:paraId="7383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9" w:type="dxa"/>
            <w:noWrap w:val="0"/>
            <w:vAlign w:val="center"/>
          </w:tcPr>
          <w:p w14:paraId="390EE220">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1905" w:type="dxa"/>
            <w:noWrap w:val="0"/>
            <w:vAlign w:val="center"/>
          </w:tcPr>
          <w:p w14:paraId="4AB842E7">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2200" w:type="dxa"/>
            <w:noWrap w:val="0"/>
            <w:vAlign w:val="center"/>
          </w:tcPr>
          <w:p w14:paraId="30F0E0E7">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型号规格</w:t>
            </w:r>
          </w:p>
        </w:tc>
        <w:tc>
          <w:tcPr>
            <w:tcW w:w="1886" w:type="dxa"/>
            <w:noWrap w:val="0"/>
            <w:vAlign w:val="center"/>
          </w:tcPr>
          <w:p w14:paraId="110E5694">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2191" w:type="dxa"/>
            <w:noWrap w:val="0"/>
            <w:vAlign w:val="center"/>
          </w:tcPr>
          <w:p w14:paraId="155F5468">
            <w:pPr>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tc>
      </w:tr>
      <w:tr w14:paraId="6929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19" w:type="dxa"/>
            <w:noWrap w:val="0"/>
            <w:vAlign w:val="top"/>
          </w:tcPr>
          <w:p w14:paraId="1BA79531">
            <w:pPr>
              <w:spacing w:line="360" w:lineRule="auto"/>
              <w:jc w:val="center"/>
              <w:rPr>
                <w:rFonts w:hint="eastAsia" w:ascii="宋体" w:hAnsi="宋体" w:eastAsia="宋体" w:cs="宋体"/>
                <w:b/>
                <w:szCs w:val="21"/>
                <w:highlight w:val="none"/>
              </w:rPr>
            </w:pPr>
          </w:p>
        </w:tc>
        <w:tc>
          <w:tcPr>
            <w:tcW w:w="1905" w:type="dxa"/>
            <w:noWrap w:val="0"/>
            <w:vAlign w:val="top"/>
          </w:tcPr>
          <w:p w14:paraId="5E88E491">
            <w:pPr>
              <w:spacing w:line="360" w:lineRule="auto"/>
              <w:jc w:val="center"/>
              <w:rPr>
                <w:rFonts w:hint="eastAsia" w:ascii="宋体" w:hAnsi="宋体" w:eastAsia="宋体" w:cs="宋体"/>
                <w:b/>
                <w:szCs w:val="21"/>
                <w:highlight w:val="none"/>
              </w:rPr>
            </w:pPr>
          </w:p>
        </w:tc>
        <w:tc>
          <w:tcPr>
            <w:tcW w:w="2200" w:type="dxa"/>
            <w:noWrap w:val="0"/>
            <w:vAlign w:val="top"/>
          </w:tcPr>
          <w:p w14:paraId="5EA9137E">
            <w:pPr>
              <w:spacing w:line="360" w:lineRule="auto"/>
              <w:jc w:val="center"/>
              <w:rPr>
                <w:rFonts w:hint="eastAsia" w:ascii="宋体" w:hAnsi="宋体" w:eastAsia="宋体" w:cs="宋体"/>
                <w:b/>
                <w:szCs w:val="21"/>
                <w:highlight w:val="none"/>
              </w:rPr>
            </w:pPr>
          </w:p>
        </w:tc>
        <w:tc>
          <w:tcPr>
            <w:tcW w:w="1886" w:type="dxa"/>
            <w:noWrap w:val="0"/>
            <w:vAlign w:val="top"/>
          </w:tcPr>
          <w:p w14:paraId="2CDFE655">
            <w:pPr>
              <w:spacing w:line="360" w:lineRule="auto"/>
              <w:jc w:val="center"/>
              <w:rPr>
                <w:rFonts w:hint="eastAsia" w:ascii="宋体" w:hAnsi="宋体" w:eastAsia="宋体" w:cs="宋体"/>
                <w:b/>
                <w:szCs w:val="21"/>
                <w:highlight w:val="none"/>
              </w:rPr>
            </w:pPr>
          </w:p>
        </w:tc>
        <w:tc>
          <w:tcPr>
            <w:tcW w:w="2191" w:type="dxa"/>
            <w:noWrap w:val="0"/>
            <w:vAlign w:val="top"/>
          </w:tcPr>
          <w:p w14:paraId="3D4C6E78">
            <w:pPr>
              <w:spacing w:line="360" w:lineRule="auto"/>
              <w:rPr>
                <w:rFonts w:hint="eastAsia" w:ascii="宋体" w:hAnsi="宋体" w:eastAsia="宋体" w:cs="宋体"/>
                <w:b/>
                <w:szCs w:val="21"/>
                <w:highlight w:val="none"/>
              </w:rPr>
            </w:pPr>
          </w:p>
        </w:tc>
      </w:tr>
      <w:tr w14:paraId="0414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9" w:type="dxa"/>
            <w:noWrap w:val="0"/>
            <w:vAlign w:val="top"/>
          </w:tcPr>
          <w:p w14:paraId="60CF65EB">
            <w:pPr>
              <w:spacing w:line="360" w:lineRule="auto"/>
              <w:jc w:val="center"/>
              <w:rPr>
                <w:rFonts w:hint="eastAsia" w:ascii="宋体" w:hAnsi="宋体" w:eastAsia="宋体" w:cs="宋体"/>
                <w:b/>
                <w:szCs w:val="21"/>
                <w:highlight w:val="none"/>
              </w:rPr>
            </w:pPr>
          </w:p>
        </w:tc>
        <w:tc>
          <w:tcPr>
            <w:tcW w:w="1905" w:type="dxa"/>
            <w:noWrap w:val="0"/>
            <w:vAlign w:val="top"/>
          </w:tcPr>
          <w:p w14:paraId="060DE016">
            <w:pPr>
              <w:spacing w:line="360" w:lineRule="auto"/>
              <w:jc w:val="center"/>
              <w:rPr>
                <w:rFonts w:hint="eastAsia" w:ascii="宋体" w:hAnsi="宋体" w:eastAsia="宋体" w:cs="宋体"/>
                <w:b/>
                <w:szCs w:val="21"/>
                <w:highlight w:val="none"/>
              </w:rPr>
            </w:pPr>
          </w:p>
        </w:tc>
        <w:tc>
          <w:tcPr>
            <w:tcW w:w="2200" w:type="dxa"/>
            <w:noWrap w:val="0"/>
            <w:vAlign w:val="top"/>
          </w:tcPr>
          <w:p w14:paraId="3AB2F227">
            <w:pPr>
              <w:spacing w:line="360" w:lineRule="auto"/>
              <w:jc w:val="center"/>
              <w:rPr>
                <w:rFonts w:hint="eastAsia" w:ascii="宋体" w:hAnsi="宋体" w:eastAsia="宋体" w:cs="宋体"/>
                <w:b/>
                <w:szCs w:val="21"/>
                <w:highlight w:val="none"/>
              </w:rPr>
            </w:pPr>
          </w:p>
        </w:tc>
        <w:tc>
          <w:tcPr>
            <w:tcW w:w="1886" w:type="dxa"/>
            <w:noWrap w:val="0"/>
            <w:vAlign w:val="top"/>
          </w:tcPr>
          <w:p w14:paraId="33DA30C6">
            <w:pPr>
              <w:spacing w:line="360" w:lineRule="auto"/>
              <w:jc w:val="center"/>
              <w:rPr>
                <w:rFonts w:hint="eastAsia" w:ascii="宋体" w:hAnsi="宋体" w:eastAsia="宋体" w:cs="宋体"/>
                <w:b/>
                <w:szCs w:val="21"/>
                <w:highlight w:val="none"/>
              </w:rPr>
            </w:pPr>
          </w:p>
        </w:tc>
        <w:tc>
          <w:tcPr>
            <w:tcW w:w="2191" w:type="dxa"/>
            <w:noWrap w:val="0"/>
            <w:vAlign w:val="top"/>
          </w:tcPr>
          <w:p w14:paraId="29109586">
            <w:pPr>
              <w:spacing w:line="360" w:lineRule="auto"/>
              <w:rPr>
                <w:rFonts w:hint="eastAsia" w:ascii="宋体" w:hAnsi="宋体" w:eastAsia="宋体" w:cs="宋体"/>
                <w:b/>
                <w:szCs w:val="21"/>
                <w:highlight w:val="none"/>
              </w:rPr>
            </w:pPr>
          </w:p>
        </w:tc>
      </w:tr>
      <w:tr w14:paraId="016C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19" w:type="dxa"/>
            <w:noWrap w:val="0"/>
            <w:vAlign w:val="top"/>
          </w:tcPr>
          <w:p w14:paraId="7CFFDE7D">
            <w:pPr>
              <w:spacing w:line="360" w:lineRule="auto"/>
              <w:jc w:val="center"/>
              <w:rPr>
                <w:rFonts w:hint="eastAsia" w:ascii="宋体" w:hAnsi="宋体" w:eastAsia="宋体" w:cs="宋体"/>
                <w:b/>
                <w:szCs w:val="21"/>
                <w:highlight w:val="none"/>
              </w:rPr>
            </w:pPr>
          </w:p>
        </w:tc>
        <w:tc>
          <w:tcPr>
            <w:tcW w:w="1905" w:type="dxa"/>
            <w:noWrap w:val="0"/>
            <w:vAlign w:val="top"/>
          </w:tcPr>
          <w:p w14:paraId="5DAD12A3">
            <w:pPr>
              <w:spacing w:line="360" w:lineRule="auto"/>
              <w:jc w:val="center"/>
              <w:rPr>
                <w:rFonts w:hint="eastAsia" w:ascii="宋体" w:hAnsi="宋体" w:eastAsia="宋体" w:cs="宋体"/>
                <w:b/>
                <w:szCs w:val="21"/>
                <w:highlight w:val="none"/>
              </w:rPr>
            </w:pPr>
          </w:p>
        </w:tc>
        <w:tc>
          <w:tcPr>
            <w:tcW w:w="2200" w:type="dxa"/>
            <w:noWrap w:val="0"/>
            <w:vAlign w:val="top"/>
          </w:tcPr>
          <w:p w14:paraId="428C858F">
            <w:pPr>
              <w:spacing w:line="360" w:lineRule="auto"/>
              <w:jc w:val="center"/>
              <w:rPr>
                <w:rFonts w:hint="eastAsia" w:ascii="宋体" w:hAnsi="宋体" w:eastAsia="宋体" w:cs="宋体"/>
                <w:b/>
                <w:szCs w:val="21"/>
                <w:highlight w:val="none"/>
              </w:rPr>
            </w:pPr>
          </w:p>
        </w:tc>
        <w:tc>
          <w:tcPr>
            <w:tcW w:w="1886" w:type="dxa"/>
            <w:noWrap w:val="0"/>
            <w:vAlign w:val="top"/>
          </w:tcPr>
          <w:p w14:paraId="380EE053">
            <w:pPr>
              <w:spacing w:line="360" w:lineRule="auto"/>
              <w:jc w:val="center"/>
              <w:rPr>
                <w:rFonts w:hint="eastAsia" w:ascii="宋体" w:hAnsi="宋体" w:eastAsia="宋体" w:cs="宋体"/>
                <w:b/>
                <w:szCs w:val="21"/>
                <w:highlight w:val="none"/>
              </w:rPr>
            </w:pPr>
          </w:p>
        </w:tc>
        <w:tc>
          <w:tcPr>
            <w:tcW w:w="2191" w:type="dxa"/>
            <w:noWrap w:val="0"/>
            <w:vAlign w:val="top"/>
          </w:tcPr>
          <w:p w14:paraId="3DB74ACF">
            <w:pPr>
              <w:spacing w:line="360" w:lineRule="auto"/>
              <w:rPr>
                <w:rFonts w:hint="eastAsia" w:ascii="宋体" w:hAnsi="宋体" w:eastAsia="宋体" w:cs="宋体"/>
                <w:b/>
                <w:szCs w:val="21"/>
                <w:highlight w:val="none"/>
              </w:rPr>
            </w:pPr>
          </w:p>
        </w:tc>
      </w:tr>
    </w:tbl>
    <w:p w14:paraId="2DB96CF7">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436E38F6">
      <w:pPr>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rPr>
        <w:t>1.如采购项目（或者：包）所投产品中包含创新产品（或者：服务）的，需如实填写，并提供《山西省创新产品和服务推荐清单》。</w:t>
      </w:r>
    </w:p>
    <w:p w14:paraId="1E726EDF">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2.如未按以上要求提供或未提供的，不予认可。</w:t>
      </w:r>
    </w:p>
    <w:p w14:paraId="508CC3AD">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3.以包为单位分别填写，如采购项目（或者：包）所投产品中不涉及创新产品（或者：服务），可不提供此表。</w:t>
      </w:r>
    </w:p>
    <w:p w14:paraId="1272B636">
      <w:pPr>
        <w:tabs>
          <w:tab w:val="left" w:pos="1680"/>
        </w:tabs>
        <w:spacing w:line="360" w:lineRule="auto"/>
        <w:rPr>
          <w:rFonts w:hint="eastAsia" w:ascii="宋体" w:hAnsi="宋体" w:eastAsia="宋体" w:cs="宋体"/>
          <w:bCs/>
          <w:sz w:val="24"/>
          <w:highlight w:val="none"/>
        </w:rPr>
      </w:pPr>
    </w:p>
    <w:p w14:paraId="645F5C6C">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（九）商品包装和快递包装承诺格式（如不涉及，可不提供）</w:t>
      </w:r>
    </w:p>
    <w:p w14:paraId="33F2617F">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商品包装和快递包装承诺</w:t>
      </w:r>
    </w:p>
    <w:p w14:paraId="279E15F7">
      <w:pPr>
        <w:pStyle w:val="31"/>
        <w:widowControl w:val="0"/>
        <w:adjustRightInd w:val="0"/>
        <w:spacing w:before="0" w:beforeAutospacing="0" w:after="0" w:afterAutospacing="0" w:line="360" w:lineRule="auto"/>
        <w:jc w:val="both"/>
        <w:rPr>
          <w:rFonts w:hint="eastAsia" w:ascii="宋体" w:hAnsi="宋体" w:eastAsia="宋体" w:cs="宋体"/>
          <w:highlight w:val="none"/>
        </w:rPr>
      </w:pPr>
    </w:p>
    <w:p w14:paraId="5376EFE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我单位现参与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项目（项目编号：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）的采购活动，</w:t>
      </w:r>
      <w:r>
        <w:rPr>
          <w:rFonts w:hint="eastAsia" w:ascii="宋体" w:hAnsi="宋体" w:eastAsia="宋体" w:cs="宋体"/>
          <w:sz w:val="24"/>
          <w:highlight w:val="none"/>
        </w:rPr>
        <w:t>现郑重承诺</w:t>
      </w:r>
      <w:r>
        <w:rPr>
          <w:rFonts w:hint="eastAsia" w:ascii="宋体" w:hAnsi="宋体" w:eastAsia="宋体" w:cs="宋体"/>
          <w:kern w:val="0"/>
          <w:sz w:val="24"/>
          <w:highlight w:val="none"/>
        </w:rPr>
        <w:t>所供货物包装符合国家《商品包装政府采购需求标准（试行）》、《快递包装政府采购需求标准（试行）》（财办库〔2020〕123号）包装标准，且满足远距离运输、防潮、防震、防锈和防野蛮装卸等情形，确保货物安全无损运抵甲方指定场所。</w:t>
      </w:r>
    </w:p>
    <w:p w14:paraId="2129EB0B">
      <w:pPr>
        <w:pStyle w:val="31"/>
        <w:widowControl w:val="0"/>
        <w:adjustRightInd w:val="0"/>
        <w:spacing w:before="0" w:beforeAutospacing="0" w:after="0" w:afterAutospacing="0"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如上述承诺不真实，愿意按照政府采购有关法律法规的规定接受处罚。</w:t>
      </w:r>
    </w:p>
    <w:p w14:paraId="22D2FCE9">
      <w:pPr>
        <w:pStyle w:val="31"/>
        <w:widowControl w:val="0"/>
        <w:adjustRightInd w:val="0"/>
        <w:spacing w:before="0" w:beforeAutospacing="0" w:after="0" w:afterAutospacing="0"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特此承诺</w:t>
      </w:r>
    </w:p>
    <w:p w14:paraId="4BA4DA9B">
      <w:pPr>
        <w:pStyle w:val="112"/>
        <w:spacing w:line="360" w:lineRule="auto"/>
        <w:jc w:val="both"/>
        <w:rPr>
          <w:rFonts w:hint="eastAsia" w:ascii="宋体" w:hAnsi="宋体" w:eastAsia="宋体" w:cs="宋体"/>
          <w:sz w:val="24"/>
          <w:szCs w:val="24"/>
          <w:highlight w:val="none"/>
        </w:rPr>
      </w:pPr>
    </w:p>
    <w:p w14:paraId="4B8B2E32">
      <w:pPr>
        <w:pStyle w:val="112"/>
        <w:spacing w:line="360" w:lineRule="auto"/>
        <w:ind w:firstLine="4320" w:firstLineChars="18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1AC76FF8">
      <w:pPr>
        <w:pStyle w:val="112"/>
        <w:spacing w:line="360" w:lineRule="auto"/>
        <w:ind w:firstLine="4320" w:firstLineChars="1800"/>
        <w:jc w:val="both"/>
        <w:rPr>
          <w:rFonts w:hint="eastAsia" w:ascii="宋体" w:hAnsi="宋体" w:eastAsia="宋体" w:cs="宋体"/>
          <w:sz w:val="24"/>
          <w:highlight w:val="none"/>
        </w:rPr>
        <w:sectPr>
          <w:headerReference r:id="rId11" w:type="default"/>
          <w:pgSz w:w="11906" w:h="16838"/>
          <w:pgMar w:top="1440" w:right="1418" w:bottom="1440" w:left="1418" w:header="851" w:footer="992" w:gutter="0"/>
          <w:pgNumType w:fmt="decimal"/>
          <w:cols w:space="720" w:num="1"/>
          <w:docGrid w:type="lines" w:linePitch="312" w:charSpace="0"/>
        </w:sectPr>
      </w:pPr>
      <w:r>
        <w:rPr>
          <w:rFonts w:hint="eastAsia" w:ascii="宋体" w:hAnsi="宋体" w:eastAsia="宋体" w:cs="宋体"/>
          <w:sz w:val="24"/>
          <w:highlight w:val="none"/>
        </w:rPr>
        <w:t>日      期：</w:t>
      </w:r>
    </w:p>
    <w:p w14:paraId="1FA4249C">
      <w:pPr>
        <w:keepNext/>
        <w:tabs>
          <w:tab w:val="left" w:pos="1680"/>
        </w:tabs>
        <w:topLinePunct/>
        <w:adjustRightInd w:val="0"/>
        <w:snapToGrid w:val="0"/>
        <w:spacing w:line="360" w:lineRule="auto"/>
        <w:outlineLvl w:val="9"/>
        <w:rPr>
          <w:rFonts w:hint="eastAsia" w:ascii="宋体" w:hAnsi="宋体" w:eastAsia="宋体" w:cs="宋体"/>
          <w:b/>
          <w:kern w:val="0"/>
          <w:sz w:val="24"/>
          <w:szCs w:val="21"/>
          <w:highlight w:val="none"/>
          <w:lang w:val="en-US" w:eastAsia="zh-CN"/>
        </w:rPr>
      </w:pPr>
      <w:r>
        <w:rPr>
          <w:rFonts w:hint="eastAsia" w:ascii="宋体" w:hAnsi="宋体" w:eastAsia="宋体" w:cs="宋体"/>
          <w:b/>
          <w:kern w:val="0"/>
          <w:sz w:val="24"/>
          <w:szCs w:val="21"/>
          <w:highlight w:val="none"/>
          <w:lang w:val="en-US" w:eastAsia="zh-CN"/>
        </w:rPr>
        <w:t>（十）关于符合本国产品标准的声明函（如适用）</w:t>
      </w:r>
    </w:p>
    <w:p w14:paraId="32639CC2">
      <w:pPr>
        <w:spacing w:line="360" w:lineRule="auto"/>
        <w:jc w:val="center"/>
        <w:rPr>
          <w:rFonts w:hint="eastAsia" w:ascii="宋体" w:hAnsi="宋体" w:eastAsia="宋体" w:cs="宋体"/>
          <w:color w:val="auto"/>
          <w:szCs w:val="24"/>
          <w:highlight w:val="none"/>
        </w:rPr>
      </w:pPr>
      <w:r>
        <w:rPr>
          <w:rFonts w:hint="eastAsia" w:ascii="宋体" w:hAnsi="宋体" w:eastAsia="宋体" w:cs="宋体"/>
          <w:b/>
          <w:sz w:val="24"/>
          <w:highlight w:val="none"/>
        </w:rPr>
        <w:t>关于符合本国产品标准的声明函</w:t>
      </w:r>
    </w:p>
    <w:p w14:paraId="5B07EDEA">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0CD946F9">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w:t>
      </w:r>
      <w:r>
        <w:rPr>
          <w:rStyle w:val="42"/>
          <w:rFonts w:hint="eastAsia" w:ascii="宋体" w:hAnsi="宋体" w:eastAsia="宋体" w:cs="宋体"/>
          <w:i w:val="0"/>
          <w:color w:val="auto"/>
          <w:sz w:val="24"/>
          <w:szCs w:val="24"/>
          <w:highlight w:val="none"/>
          <w:u w:val="single"/>
          <w:shd w:val="clear" w:color="auto" w:fill="FFFFFF"/>
        </w:rPr>
        <w:t>（产品名称1）</w:t>
      </w:r>
      <w:r>
        <w:rPr>
          <w:rStyle w:val="42"/>
          <w:rFonts w:hint="eastAsia" w:ascii="宋体" w:hAnsi="宋体" w:eastAsia="宋体" w:cs="宋体"/>
          <w:i w:val="0"/>
          <w:color w:val="auto"/>
          <w:sz w:val="24"/>
          <w:szCs w:val="24"/>
          <w:highlight w:val="none"/>
          <w:shd w:val="clear" w:color="auto" w:fill="FFFFFF"/>
          <w:vertAlign w:val="superscript"/>
        </w:rPr>
        <w:t>1</w:t>
      </w:r>
      <w:r>
        <w:rPr>
          <w:rFonts w:hint="eastAsia" w:ascii="宋体" w:hAnsi="宋体" w:eastAsia="宋体" w:cs="宋体"/>
          <w:color w:val="auto"/>
          <w:sz w:val="24"/>
          <w:szCs w:val="24"/>
          <w:highlight w:val="none"/>
          <w:shd w:val="clear" w:color="auto" w:fill="FFFFFF"/>
        </w:rPr>
        <w:t>，生产厂为</w:t>
      </w:r>
      <w:r>
        <w:rPr>
          <w:rStyle w:val="42"/>
          <w:rFonts w:hint="eastAsia" w:ascii="宋体" w:hAnsi="宋体" w:eastAsia="宋体" w:cs="宋体"/>
          <w:i w:val="0"/>
          <w:color w:val="auto"/>
          <w:sz w:val="24"/>
          <w:szCs w:val="24"/>
          <w:highlight w:val="none"/>
          <w:u w:val="single"/>
          <w:shd w:val="clear" w:color="auto" w:fill="FFFFFF"/>
        </w:rPr>
        <w:t>（厂名）</w:t>
      </w:r>
      <w:r>
        <w:rPr>
          <w:rStyle w:val="42"/>
          <w:rFonts w:hint="eastAsia" w:ascii="宋体" w:hAnsi="宋体" w:eastAsia="宋体" w:cs="宋体"/>
          <w:i w:val="0"/>
          <w:color w:val="auto"/>
          <w:sz w:val="24"/>
          <w:szCs w:val="24"/>
          <w:highlight w:val="none"/>
          <w:shd w:val="clear" w:color="auto" w:fill="FFFFFF"/>
          <w:vertAlign w:val="superscript"/>
        </w:rPr>
        <w:t>2</w:t>
      </w:r>
      <w:r>
        <w:rPr>
          <w:rFonts w:hint="eastAsia" w:ascii="宋体" w:hAnsi="宋体" w:eastAsia="宋体" w:cs="宋体"/>
          <w:color w:val="auto"/>
          <w:sz w:val="24"/>
          <w:szCs w:val="24"/>
          <w:highlight w:val="none"/>
          <w:shd w:val="clear" w:color="auto" w:fill="FFFFFF"/>
        </w:rPr>
        <w:t>，厂址为</w:t>
      </w:r>
      <w:r>
        <w:rPr>
          <w:rStyle w:val="42"/>
          <w:rFonts w:hint="eastAsia" w:ascii="宋体" w:hAnsi="宋体" w:eastAsia="宋体" w:cs="宋体"/>
          <w:i w:val="0"/>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的中国境内生产的组件成本占比≥</w:t>
      </w:r>
      <w:r>
        <w:rPr>
          <w:rStyle w:val="42"/>
          <w:rFonts w:hint="eastAsia" w:ascii="宋体" w:hAnsi="宋体" w:eastAsia="宋体" w:cs="宋体"/>
          <w:i w:val="0"/>
          <w:color w:val="auto"/>
          <w:sz w:val="24"/>
          <w:szCs w:val="24"/>
          <w:highlight w:val="none"/>
          <w:u w:val="single"/>
          <w:shd w:val="clear" w:color="auto" w:fill="FFFFFF"/>
        </w:rPr>
        <w:t>（规定比例）</w:t>
      </w:r>
      <w:r>
        <w:rPr>
          <w:rStyle w:val="42"/>
          <w:rFonts w:hint="eastAsia" w:ascii="宋体" w:hAnsi="宋体" w:eastAsia="宋体" w:cs="宋体"/>
          <w:i w:val="0"/>
          <w:color w:val="auto"/>
          <w:sz w:val="24"/>
          <w:szCs w:val="24"/>
          <w:highlight w:val="none"/>
          <w:shd w:val="clear" w:color="auto" w:fill="FFFFFF"/>
          <w:vertAlign w:val="superscript"/>
        </w:rPr>
        <w:t>3</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（关键组件）</w:t>
      </w:r>
      <w:r>
        <w:rPr>
          <w:rStyle w:val="42"/>
          <w:rFonts w:hint="eastAsia" w:ascii="宋体" w:hAnsi="宋体" w:eastAsia="宋体" w:cs="宋体"/>
          <w:i w:val="0"/>
          <w:color w:val="auto"/>
          <w:sz w:val="24"/>
          <w:szCs w:val="24"/>
          <w:highlight w:val="none"/>
          <w:shd w:val="clear" w:color="auto" w:fill="FFFFFF"/>
          <w:vertAlign w:val="superscript"/>
        </w:rPr>
        <w:t>4</w:t>
      </w:r>
      <w:r>
        <w:rPr>
          <w:rFonts w:hint="eastAsia" w:ascii="宋体" w:hAnsi="宋体" w:eastAsia="宋体" w:cs="宋体"/>
          <w:color w:val="auto"/>
          <w:sz w:val="24"/>
          <w:szCs w:val="24"/>
          <w:highlight w:val="none"/>
          <w:shd w:val="clear" w:color="auto" w:fill="FFFFFF"/>
        </w:rPr>
        <w:t>在中国境内生产。</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（关键工序）</w:t>
      </w:r>
      <w:r>
        <w:rPr>
          <w:rStyle w:val="42"/>
          <w:rFonts w:hint="eastAsia" w:ascii="宋体" w:hAnsi="宋体" w:eastAsia="宋体" w:cs="宋体"/>
          <w:i w:val="0"/>
          <w:color w:val="auto"/>
          <w:sz w:val="24"/>
          <w:szCs w:val="24"/>
          <w:highlight w:val="none"/>
          <w:shd w:val="clear" w:color="auto" w:fill="FFFFFF"/>
          <w:vertAlign w:val="superscript"/>
        </w:rPr>
        <w:t>5</w:t>
      </w:r>
      <w:r>
        <w:rPr>
          <w:rFonts w:hint="eastAsia" w:ascii="宋体" w:hAnsi="宋体" w:eastAsia="宋体" w:cs="宋体"/>
          <w:color w:val="auto"/>
          <w:sz w:val="24"/>
          <w:szCs w:val="24"/>
          <w:highlight w:val="none"/>
          <w:shd w:val="clear" w:color="auto" w:fill="FFFFFF"/>
        </w:rPr>
        <w:t>在中国境内完成。</w:t>
      </w:r>
    </w:p>
    <w:p w14:paraId="4D8844BD">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，生产厂为</w:t>
      </w:r>
      <w:r>
        <w:rPr>
          <w:rStyle w:val="42"/>
          <w:rFonts w:hint="eastAsia" w:ascii="宋体" w:hAnsi="宋体" w:eastAsia="宋体" w:cs="宋体"/>
          <w:i w:val="0"/>
          <w:color w:val="auto"/>
          <w:sz w:val="24"/>
          <w:szCs w:val="24"/>
          <w:highlight w:val="none"/>
          <w:u w:val="single"/>
          <w:shd w:val="clear" w:color="auto" w:fill="FFFFFF"/>
        </w:rPr>
        <w:t>（厂名）</w:t>
      </w:r>
      <w:r>
        <w:rPr>
          <w:rFonts w:hint="eastAsia" w:ascii="宋体" w:hAnsi="宋体" w:eastAsia="宋体" w:cs="宋体"/>
          <w:color w:val="auto"/>
          <w:sz w:val="24"/>
          <w:szCs w:val="24"/>
          <w:highlight w:val="none"/>
          <w:shd w:val="clear" w:color="auto" w:fill="FFFFFF"/>
        </w:rPr>
        <w:t>，厂址为</w:t>
      </w:r>
      <w:r>
        <w:rPr>
          <w:rStyle w:val="42"/>
          <w:rFonts w:hint="eastAsia" w:ascii="宋体" w:hAnsi="宋体" w:eastAsia="宋体" w:cs="宋体"/>
          <w:i w:val="0"/>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的中国境内生产的组件成本占比≥</w:t>
      </w:r>
      <w:r>
        <w:rPr>
          <w:rStyle w:val="42"/>
          <w:rFonts w:hint="eastAsia" w:ascii="宋体" w:hAnsi="宋体" w:eastAsia="宋体" w:cs="宋体"/>
          <w:i w:val="0"/>
          <w:color w:val="auto"/>
          <w:sz w:val="24"/>
          <w:szCs w:val="24"/>
          <w:highlight w:val="none"/>
          <w:u w:val="single"/>
          <w:shd w:val="clear" w:color="auto" w:fill="FFFFFF"/>
        </w:rPr>
        <w:t>（规定比例）</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（关键组件）</w:t>
      </w:r>
      <w:r>
        <w:rPr>
          <w:rFonts w:hint="eastAsia" w:ascii="宋体" w:hAnsi="宋体" w:eastAsia="宋体" w:cs="宋体"/>
          <w:color w:val="auto"/>
          <w:sz w:val="24"/>
          <w:szCs w:val="24"/>
          <w:highlight w:val="none"/>
          <w:shd w:val="clear" w:color="auto" w:fill="FFFFFF"/>
        </w:rPr>
        <w:t>在中国境内生产。</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（关键工序）</w:t>
      </w:r>
      <w:r>
        <w:rPr>
          <w:rFonts w:hint="eastAsia" w:ascii="宋体" w:hAnsi="宋体" w:eastAsia="宋体" w:cs="宋体"/>
          <w:color w:val="auto"/>
          <w:sz w:val="24"/>
          <w:szCs w:val="24"/>
          <w:highlight w:val="none"/>
          <w:shd w:val="clear" w:color="auto" w:fill="FFFFFF"/>
        </w:rPr>
        <w:t>在中国境内完成。</w:t>
      </w:r>
    </w:p>
    <w:p w14:paraId="590A1018">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p>
    <w:p w14:paraId="5DBE5840">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6F29A055">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rPr>
      </w:pPr>
    </w:p>
    <w:p w14:paraId="0892D51D">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宋体" w:hAnsi="宋体" w:eastAsia="宋体" w:cs="宋体"/>
          <w:color w:val="auto"/>
          <w:sz w:val="24"/>
          <w:szCs w:val="24"/>
          <w:highlight w:val="none"/>
          <w:shd w:val="clear" w:color="auto" w:fill="FFFFFF"/>
        </w:rPr>
      </w:pPr>
    </w:p>
    <w:p w14:paraId="7A652C21">
      <w:pPr>
        <w:widowControl/>
        <w:spacing w:line="360" w:lineRule="auto"/>
        <w:ind w:firstLine="480" w:firstLineChars="200"/>
        <w:rPr>
          <w:rFonts w:hint="eastAsia" w:ascii="宋体" w:hAnsi="宋体" w:eastAsia="宋体" w:cs="宋体"/>
          <w:color w:val="auto"/>
          <w:sz w:val="24"/>
          <w:szCs w:val="24"/>
          <w:highlight w:val="none"/>
          <w:lang w:bidi="ar"/>
        </w:rPr>
      </w:pPr>
    </w:p>
    <w:p w14:paraId="62549E05">
      <w:pPr>
        <w:widowControl/>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公司（单位）名称（盖章）：　        </w:t>
      </w:r>
    </w:p>
    <w:p w14:paraId="718B9FC3">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日 </w:t>
      </w:r>
    </w:p>
    <w:p w14:paraId="6F9C8B1E">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shd w:val="clear" w:color="auto" w:fill="FFFFFF"/>
        </w:rPr>
      </w:pPr>
    </w:p>
    <w:p w14:paraId="46568010">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注：</w:t>
      </w:r>
      <w:r>
        <w:rPr>
          <w:rFonts w:hint="eastAsia" w:ascii="宋体" w:hAnsi="宋体" w:eastAsia="宋体" w:cs="宋体"/>
          <w:color w:val="auto"/>
          <w:sz w:val="24"/>
          <w:szCs w:val="24"/>
          <w:highlight w:val="none"/>
          <w:shd w:val="clear" w:color="auto" w:fill="FFFFFF"/>
        </w:rPr>
        <w:t>1.产品如有型号，请在“产品名称”栏一并填写。</w:t>
      </w:r>
    </w:p>
    <w:p w14:paraId="1E683B88">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2.生产厂名与厂址应与生产厂营业执照载明的相关信息保持一致。</w:t>
      </w:r>
    </w:p>
    <w:p w14:paraId="3E3C7288">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w:t>
      </w:r>
      <w:r>
        <w:rPr>
          <w:rFonts w:hint="eastAsia" w:ascii="宋体" w:hAnsi="宋体" w:eastAsia="宋体" w:cs="宋体"/>
          <w:b/>
          <w:bCs/>
          <w:color w:val="auto"/>
          <w:sz w:val="24"/>
          <w:szCs w:val="24"/>
          <w:highlight w:val="none"/>
          <w:shd w:val="clear" w:color="auto" w:fill="FFFFFF"/>
        </w:rPr>
        <w:t>该产品的中国境内生产的组件成本占比相关要求实施前，“规定比例”栏可不填，下同。</w:t>
      </w:r>
    </w:p>
    <w:p w14:paraId="64226981">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4.该产品的关键组件要求实施前，“关键组件”栏可不填，下同。</w:t>
      </w:r>
    </w:p>
    <w:p w14:paraId="6873F00D">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5.该产品的关键工序要求实施前，“关键工序”栏可不填，下同。</w:t>
      </w:r>
    </w:p>
    <w:p w14:paraId="60455CF3">
      <w:pPr>
        <w:snapToGrid w:val="0"/>
        <w:spacing w:line="360" w:lineRule="auto"/>
        <w:ind w:firstLineChars="0"/>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i w:val="0"/>
          <w:iCs w:val="0"/>
          <w:caps w:val="0"/>
          <w:color w:val="auto"/>
          <w:spacing w:val="0"/>
          <w:kern w:val="0"/>
          <w:sz w:val="21"/>
          <w:szCs w:val="21"/>
          <w:highlight w:val="none"/>
          <w:shd w:val="clear" w:color="auto" w:fill="auto"/>
          <w:vertAlign w:val="baseline"/>
          <w:lang w:eastAsia="zh-CN"/>
        </w:rPr>
        <w:br w:type="page"/>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关于</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附件（十）</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的说明</w:t>
      </w:r>
      <w:r>
        <w:rPr>
          <w:rFonts w:hint="eastAsia" w:ascii="宋体" w:hAnsi="宋体" w:eastAsia="宋体" w:cs="宋体"/>
          <w:i w:val="0"/>
          <w:iCs w:val="0"/>
          <w:caps w:val="0"/>
          <w:color w:val="auto"/>
          <w:spacing w:val="0"/>
          <w:kern w:val="0"/>
          <w:sz w:val="24"/>
          <w:szCs w:val="24"/>
          <w:highlight w:val="none"/>
          <w:shd w:val="clear" w:color="auto" w:fill="auto"/>
          <w:vertAlign w:val="baseline"/>
          <w:lang w:eastAsia="zh-CN"/>
        </w:rPr>
        <w:t>：</w:t>
      </w:r>
    </w:p>
    <w:p w14:paraId="3C93B5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一、本国产品标准</w:t>
      </w:r>
    </w:p>
    <w:p w14:paraId="191046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本国产品应当符合以下条件：</w:t>
      </w:r>
    </w:p>
    <w:p w14:paraId="1A99EF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（一）在中国境内生产</w:t>
      </w:r>
    </w:p>
    <w:p w14:paraId="4F53E7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产品应当在中国境内生产，即在中华人民共和国关境内实现从原材料、组件到产品的属性改变。</w:t>
      </w:r>
    </w:p>
    <w:p w14:paraId="57537A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属性改变是指经过制造、加工或者组装等工序，产生完全不同于原材料、组件的新产品，并具有新的名称和特征（用途）。属性改变不包括以下细微操作：</w:t>
      </w:r>
    </w:p>
    <w:p w14:paraId="282FFF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1.为确保产品在运输或者储存期间保持某种状态而进行的操作；</w:t>
      </w:r>
    </w:p>
    <w:p w14:paraId="04688B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2.为产品运输或者销售进行的包装或者展示；</w:t>
      </w:r>
    </w:p>
    <w:p w14:paraId="75AC03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3.在产品或者其包装上粘贴或者印刷品牌、标志、标识以及其他用于区别的标记；</w:t>
      </w:r>
    </w:p>
    <w:p w14:paraId="6A83AC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4.简单的上漆、磨光和分装；</w:t>
      </w:r>
    </w:p>
    <w:p w14:paraId="5AA834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5.其他不属于属性改变的情形。</w:t>
      </w:r>
    </w:p>
    <w:p w14:paraId="2569A5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（二）在中国境内生产的组件成本占比达到规定比例</w:t>
      </w:r>
    </w:p>
    <w:p w14:paraId="21282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产品在中国境内生产的组件成本占比应当达到规定比例，计算公式为：</w:t>
      </w:r>
    </w:p>
    <w:p w14:paraId="54EFD3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drawing>
          <wp:inline distT="0" distB="0" distL="114300" distR="114300">
            <wp:extent cx="4829175" cy="7620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F2D9E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B0CE0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（三）特定产品的关键组件、关键工序符合相关要求</w:t>
      </w:r>
    </w:p>
    <w:p w14:paraId="24F2A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对特定产品，在符合本通知第一条第（一）项和第（二）项条件的基础上，应当符合财政部会同有关行业主管部门确定的其关键组件、关键工序在中国境内生产、完成等要求。</w:t>
      </w:r>
    </w:p>
    <w:p w14:paraId="120C76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64AE7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二、本国产品标准的适用范围</w:t>
      </w:r>
    </w:p>
    <w:p w14:paraId="4E5116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0126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三、对本国产品的支持政策</w:t>
      </w:r>
    </w:p>
    <w:p w14:paraId="4DE6AF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政府采购活动中既有本国产品又有非本国产品参与竞争的，依法对本国产品给予价格评审优惠，对本国产品的报价给予20%的价格扣除，用扣除后的价格参与评审。</w:t>
      </w:r>
    </w:p>
    <w:p w14:paraId="5FBC6B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9BC3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四、政策执行要求</w:t>
      </w:r>
    </w:p>
    <w:p w14:paraId="4AB1B3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（一）产品在中国境内生产的组件成本核算规则。产品在中国境内生产的组件成本，按照《中国境内生产的组件成本核算基本规则》（见附件1）计算。</w:t>
      </w:r>
    </w:p>
    <w:p w14:paraId="366E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（二）有关证明文件。采购人、采购代理机构应当在采购文件中明确要求供应商对其提供的产品出具《关于符合本国产品标准的声明函》（样式见（</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附件（十）</w:t>
      </w:r>
      <w:r>
        <w:rPr>
          <w:rFonts w:hint="eastAsia" w:ascii="宋体" w:hAnsi="宋体" w:eastAsia="宋体" w:cs="宋体"/>
          <w:b/>
          <w:kern w:val="0"/>
          <w:sz w:val="24"/>
          <w:szCs w:val="21"/>
          <w:highlight w:val="none"/>
          <w:lang w:val="en-US" w:eastAsia="zh-CN"/>
        </w:rPr>
        <w:t>关于符合本国产品标准的声明函</w:t>
      </w: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2D3A0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val="0"/>
          <w:bCs w:val="0"/>
          <w:i w:val="0"/>
          <w:iCs w:val="0"/>
          <w:caps w:val="0"/>
          <w:color w:val="auto"/>
          <w:spacing w:val="0"/>
          <w:kern w:val="0"/>
          <w:sz w:val="24"/>
          <w:szCs w:val="24"/>
          <w:highlight w:val="none"/>
          <w:shd w:val="clear" w:color="auto" w:fill="auto"/>
          <w:vertAlign w:val="baseline"/>
          <w:lang w:eastAsia="zh-CN"/>
        </w:rPr>
        <w:t>采购人、采购代理机构应当随中标、成交结果同时公告中标、成交供应商提供的《声明函》或有关证明文件。</w:t>
      </w:r>
    </w:p>
    <w:p w14:paraId="0C50065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pP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当采购项目或者采购包中含有多种产品的，投标人还应当提供《</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关于本国产品比例的声明函</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附件2</w:t>
      </w:r>
      <w:r>
        <w:rPr>
          <w:rFonts w:hint="eastAsia" w:ascii="宋体" w:hAnsi="宋体" w:eastAsia="宋体" w:cs="宋体"/>
          <w:b/>
          <w:bCs/>
          <w:i w:val="0"/>
          <w:iCs w:val="0"/>
          <w:caps w:val="0"/>
          <w:color w:val="auto"/>
          <w:spacing w:val="0"/>
          <w:kern w:val="0"/>
          <w:sz w:val="24"/>
          <w:szCs w:val="24"/>
          <w:highlight w:val="none"/>
          <w:shd w:val="clear" w:color="auto" w:fill="auto"/>
          <w:vertAlign w:val="baseline"/>
          <w:lang w:eastAsia="zh-CN"/>
        </w:rPr>
        <w:t>），承诺提供的符合本国产品标准的产品成本之和占提供的全部产品成本之和的比例达到80%，如投标人未按照前述要求提供相关内容的，不享受本国产品的支持政策。</w:t>
      </w:r>
    </w:p>
    <w:p w14:paraId="5265158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4"/>
          <w:szCs w:val="24"/>
          <w:highlight w:val="none"/>
          <w:shd w:val="clear" w:fill="FFFFFF"/>
          <w:vertAlign w:val="baseline"/>
        </w:rPr>
      </w:pPr>
    </w:p>
    <w:p w14:paraId="26F6E9C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附件1</w:t>
      </w:r>
    </w:p>
    <w:p w14:paraId="454D8B8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 </w:t>
      </w:r>
    </w:p>
    <w:p w14:paraId="3E8B1B7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36"/>
          <w:szCs w:val="36"/>
          <w:highlight w:val="none"/>
        </w:rPr>
      </w:pPr>
      <w:r>
        <w:rPr>
          <w:rFonts w:hint="eastAsia" w:ascii="宋体" w:hAnsi="宋体" w:eastAsia="宋体" w:cs="宋体"/>
          <w:i w:val="0"/>
          <w:iCs w:val="0"/>
          <w:caps w:val="0"/>
          <w:color w:val="000000"/>
          <w:spacing w:val="0"/>
          <w:sz w:val="36"/>
          <w:szCs w:val="36"/>
          <w:highlight w:val="none"/>
          <w:shd w:val="clear" w:fill="FFFFFF"/>
          <w:vertAlign w:val="baseline"/>
        </w:rPr>
        <w:t>中国境内生产的组件成本核算基本规则</w:t>
      </w:r>
    </w:p>
    <w:p w14:paraId="7BCCDFE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 </w:t>
      </w:r>
    </w:p>
    <w:p w14:paraId="48334CF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58672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一、产品的一级组件是指直接组成产品的组件。产品的二级组件是指直接组成产品一级组件的组件。一级组件不可分解的，视同二级组件。</w:t>
      </w:r>
    </w:p>
    <w:p w14:paraId="10853E0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二、二级组件在中国境内生产的，其全部成本计入中国境内生产的组件成本；二级组件不在中国境内生产的，其成本不计入中国境内生产的组件成本。</w:t>
      </w:r>
    </w:p>
    <w:p w14:paraId="70DF0B3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三、产品总成本和组件成本以相关会计核算数据、采购合同、进货记录等为基础进行计算。</w:t>
      </w:r>
    </w:p>
    <w:p w14:paraId="1F4907F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四、需要对成本核算规则予以进一步明确的其他有关事项，由财政部会同有关部门另行规定。</w:t>
      </w:r>
    </w:p>
    <w:p w14:paraId="6FF3FF5C">
      <w:pPr>
        <w:adjustRightInd/>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165" w:name="_Toc7888"/>
    </w:p>
    <w:p w14:paraId="7A10E563">
      <w:pPr>
        <w:adjustRightInd/>
        <w:spacing w:line="360" w:lineRule="auto"/>
        <w:jc w:val="both"/>
        <w:outlineLvl w:val="9"/>
        <w:rPr>
          <w:rFonts w:hint="eastAsia" w:ascii="宋体" w:hAnsi="宋体" w:eastAsia="宋体" w:cs="宋体"/>
          <w:b/>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shd w:val="clear" w:color="auto" w:fill="auto"/>
          <w:vertAlign w:val="baseline"/>
          <w:lang w:val="en-US" w:eastAsia="zh-CN"/>
        </w:rPr>
        <w:t>附件2</w:t>
      </w:r>
    </w:p>
    <w:p w14:paraId="321DB31E">
      <w:pPr>
        <w:adjustRightInd/>
        <w:spacing w:line="360" w:lineRule="auto"/>
        <w:jc w:val="center"/>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关于本国产品比例的声明函</w:t>
      </w:r>
      <w:bookmarkEnd w:id="165"/>
    </w:p>
    <w:p w14:paraId="4633527F">
      <w:pPr>
        <w:adjustRightInd w:val="0"/>
        <w:snapToGrid w:val="0"/>
        <w:spacing w:line="360" w:lineRule="auto"/>
        <w:ind w:firstLine="480" w:firstLineChars="200"/>
        <w:jc w:val="both"/>
        <w:rPr>
          <w:rFonts w:hint="eastAsia" w:ascii="宋体" w:hAnsi="宋体" w:eastAsia="宋体" w:cs="宋体"/>
          <w:i w:val="0"/>
          <w:iCs w:val="0"/>
          <w:caps w:val="0"/>
          <w:color w:val="auto"/>
          <w:spacing w:val="0"/>
          <w:kern w:val="0"/>
          <w:sz w:val="24"/>
          <w:szCs w:val="24"/>
          <w:highlight w:val="none"/>
          <w:shd w:val="clear" w:color="auto" w:fill="auto"/>
          <w:vertAlign w:val="baseline"/>
        </w:rPr>
      </w:pPr>
    </w:p>
    <w:p w14:paraId="3F3582A7">
      <w:pPr>
        <w:widowControl/>
        <w:spacing w:line="360" w:lineRule="auto"/>
        <w:ind w:firstLine="480" w:firstLineChars="20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r>
        <w:rPr>
          <w:rFonts w:hint="eastAsia" w:ascii="宋体" w:hAnsi="宋体" w:eastAsia="宋体" w:cs="宋体"/>
          <w:color w:val="auto"/>
          <w:sz w:val="24"/>
          <w:szCs w:val="24"/>
          <w:highlight w:val="none"/>
          <w:lang w:eastAsia="zh-CN" w:bidi="ar"/>
        </w:rPr>
        <w:t>。</w:t>
      </w:r>
    </w:p>
    <w:p w14:paraId="27846C30">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本公司（单位）对上述声明内容的真实性负责。如有虚假，愿承担相应法律责任。</w:t>
      </w:r>
    </w:p>
    <w:p w14:paraId="5DD0176A">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w:t>
      </w:r>
    </w:p>
    <w:p w14:paraId="0018C43F">
      <w:pPr>
        <w:widowControl/>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公司（单位）名称（盖章）：　        </w:t>
      </w:r>
    </w:p>
    <w:p w14:paraId="6523E4B0">
      <w:pPr>
        <w:widowControl/>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日期：　     年　  月　  日    </w:t>
      </w:r>
    </w:p>
    <w:p w14:paraId="572C80E5">
      <w:pPr>
        <w:rPr>
          <w:rFonts w:hint="eastAsia" w:ascii="宋体" w:hAnsi="宋体" w:eastAsia="宋体" w:cs="宋体"/>
          <w:highlight w:val="none"/>
        </w:rPr>
      </w:pPr>
    </w:p>
    <w:p w14:paraId="3FF93D01">
      <w:pPr>
        <w:pStyle w:val="31"/>
        <w:shd w:val="clear" w:color="auto" w:fill="FFFFFF"/>
        <w:spacing w:before="20" w:beforeAutospacing="0" w:after="20" w:afterAutospacing="0"/>
        <w:jc w:val="center"/>
        <w:rPr>
          <w:rStyle w:val="39"/>
          <w:rFonts w:hint="eastAsia" w:ascii="宋体" w:hAnsi="宋体" w:eastAsia="宋体" w:cs="宋体"/>
          <w:b/>
          <w:bCs/>
          <w:color w:val="auto"/>
          <w:sz w:val="24"/>
          <w:szCs w:val="24"/>
          <w:highlight w:val="none"/>
          <w:shd w:val="clear" w:color="auto" w:fill="FFFFFF"/>
          <w:lang w:val="en-US" w:eastAsia="zh-CN" w:bidi="ar-SA"/>
        </w:rPr>
      </w:pPr>
    </w:p>
    <w:p w14:paraId="37202EBD">
      <w:pPr>
        <w:pStyle w:val="31"/>
        <w:shd w:val="clear" w:color="auto" w:fill="FFFFFF"/>
        <w:spacing w:before="20" w:beforeAutospacing="0" w:after="20" w:afterAutospacing="0"/>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所投产品为本国产品的有关证明文件</w:t>
      </w:r>
    </w:p>
    <w:p w14:paraId="35260B29">
      <w:pPr>
        <w:pStyle w:val="31"/>
        <w:shd w:val="clear" w:color="auto" w:fill="FFFFFF"/>
        <w:spacing w:before="20" w:beforeAutospacing="0" w:after="20" w:afterAutospacing="0"/>
        <w:jc w:val="center"/>
        <w:rPr>
          <w:rStyle w:val="39"/>
          <w:rFonts w:hint="eastAsia" w:ascii="宋体" w:hAnsi="宋体" w:eastAsia="宋体" w:cs="宋体"/>
          <w:b/>
          <w:bCs/>
          <w:color w:val="auto"/>
          <w:sz w:val="24"/>
          <w:szCs w:val="24"/>
          <w:highlight w:val="none"/>
          <w:shd w:val="clear" w:color="auto" w:fill="FFFFFF"/>
          <w:lang w:val="en-US" w:eastAsia="zh-CN" w:bidi="ar-SA"/>
        </w:rPr>
      </w:pPr>
    </w:p>
    <w:p w14:paraId="3AE74710">
      <w:pPr>
        <w:pStyle w:val="112"/>
        <w:spacing w:line="360" w:lineRule="auto"/>
        <w:jc w:val="both"/>
        <w:rPr>
          <w:rFonts w:hint="eastAsia" w:ascii="宋体" w:hAnsi="宋体" w:eastAsia="宋体" w:cs="宋体"/>
          <w:sz w:val="24"/>
          <w:highlight w:val="none"/>
        </w:rPr>
        <w:sectPr>
          <w:pgSz w:w="11906" w:h="16838"/>
          <w:pgMar w:top="1440" w:right="1418" w:bottom="1440" w:left="1418" w:header="851" w:footer="992" w:gutter="0"/>
          <w:pgNumType w:fmt="decimal"/>
          <w:cols w:space="720" w:num="1"/>
          <w:docGrid w:type="lines" w:linePitch="312" w:charSpace="0"/>
        </w:sectPr>
      </w:pPr>
      <w:r>
        <w:rPr>
          <w:rFonts w:hint="eastAsia" w:ascii="宋体" w:hAnsi="宋体" w:eastAsia="宋体" w:cs="宋体"/>
          <w:color w:val="auto"/>
          <w:sz w:val="24"/>
          <w:szCs w:val="24"/>
          <w:highlight w:val="none"/>
          <w:shd w:val="clear" w:color="auto" w:fill="FFFFFF"/>
        </w:rPr>
        <w:t>【以财政部会同有关部门规定的有关证明文件为准】</w:t>
      </w:r>
    </w:p>
    <w:p w14:paraId="5A07563E">
      <w:pPr>
        <w:tabs>
          <w:tab w:val="left" w:pos="2070"/>
          <w:tab w:val="center" w:pos="4365"/>
        </w:tabs>
        <w:overflowPunct w:val="0"/>
        <w:topLinePunct/>
        <w:autoSpaceDN w:val="0"/>
        <w:adjustRightInd w:val="0"/>
        <w:spacing w:line="360" w:lineRule="auto"/>
        <w:jc w:val="center"/>
        <w:outlineLvl w:val="0"/>
        <w:rPr>
          <w:rFonts w:hint="eastAsia" w:ascii="宋体" w:hAnsi="宋体" w:eastAsia="宋体" w:cs="宋体"/>
          <w:b/>
          <w:bCs/>
          <w:kern w:val="0"/>
          <w:sz w:val="36"/>
          <w:szCs w:val="36"/>
          <w:highlight w:val="none"/>
        </w:rPr>
      </w:pPr>
      <w:bookmarkStart w:id="166" w:name="_Toc471"/>
      <w:bookmarkStart w:id="167" w:name="_Toc11573"/>
      <w:bookmarkStart w:id="168" w:name="_Toc31131"/>
      <w:bookmarkStart w:id="169" w:name="_Toc23316"/>
      <w:r>
        <w:rPr>
          <w:rFonts w:hint="eastAsia" w:ascii="宋体" w:hAnsi="宋体" w:eastAsia="宋体" w:cs="宋体"/>
          <w:b/>
          <w:snapToGrid w:val="0"/>
          <w:kern w:val="0"/>
          <w:sz w:val="32"/>
          <w:szCs w:val="32"/>
          <w:highlight w:val="none"/>
        </w:rPr>
        <w:t>第八部分  相关附件</w:t>
      </w:r>
      <w:bookmarkEnd w:id="166"/>
      <w:bookmarkEnd w:id="167"/>
      <w:bookmarkEnd w:id="168"/>
      <w:bookmarkEnd w:id="169"/>
    </w:p>
    <w:p w14:paraId="310ECAB6">
      <w:pPr>
        <w:rPr>
          <w:rFonts w:hint="eastAsia" w:ascii="宋体" w:hAnsi="宋体" w:eastAsia="宋体" w:cs="宋体"/>
          <w:b/>
          <w:bCs/>
          <w:sz w:val="30"/>
          <w:szCs w:val="30"/>
          <w:highlight w:val="none"/>
        </w:rPr>
      </w:pPr>
      <w:r>
        <w:rPr>
          <w:rFonts w:hint="eastAsia" w:ascii="宋体" w:hAnsi="宋体" w:eastAsia="宋体" w:cs="宋体"/>
          <w:b/>
          <w:sz w:val="28"/>
          <w:szCs w:val="28"/>
          <w:highlight w:val="none"/>
        </w:rPr>
        <w:t>附件1：</w:t>
      </w:r>
      <w:r>
        <w:rPr>
          <w:rFonts w:hint="eastAsia" w:ascii="宋体" w:hAnsi="宋体" w:eastAsia="宋体" w:cs="宋体"/>
          <w:b/>
          <w:bCs/>
          <w:sz w:val="30"/>
          <w:szCs w:val="30"/>
          <w:highlight w:val="none"/>
        </w:rPr>
        <w:t>质疑函范本</w:t>
      </w:r>
    </w:p>
    <w:p w14:paraId="7AE32149">
      <w:pPr>
        <w:adjustRightInd w:val="0"/>
        <w:snapToGrid w:val="0"/>
        <w:spacing w:before="312" w:beforeLines="100"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14:paraId="5754099A">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14:paraId="51957E88">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538C6C2D">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28B8BD61">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14:paraId="3F769F1E">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2614DDCB">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0296A060">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14:paraId="792DFB68">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14:paraId="00837424">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14:paraId="4DBB42A6">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14:paraId="3D903E5F">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采购文件获取日期：</w:t>
      </w:r>
      <w:r>
        <w:rPr>
          <w:rFonts w:hint="eastAsia" w:ascii="宋体" w:hAnsi="宋体" w:eastAsia="宋体" w:cs="宋体"/>
          <w:sz w:val="24"/>
          <w:highlight w:val="none"/>
          <w:u w:val="dotted"/>
        </w:rPr>
        <w:t xml:space="preserve">                                           </w:t>
      </w:r>
    </w:p>
    <w:p w14:paraId="6D1D3719">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14:paraId="1E3F5732">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14:paraId="09B0A58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46A690D6">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709BB91F">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质疑事项2</w:t>
      </w:r>
    </w:p>
    <w:p w14:paraId="34245041">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14:paraId="1C3D6393">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14:paraId="70BEB79C">
      <w:pPr>
        <w:adjustRightInd w:val="0"/>
        <w:snapToGrid w:val="0"/>
        <w:spacing w:line="360" w:lineRule="auto"/>
        <w:rPr>
          <w:rFonts w:hint="eastAsia" w:ascii="宋体" w:hAnsi="宋体" w:eastAsia="宋体" w:cs="宋体"/>
          <w:sz w:val="24"/>
          <w:highlight w:val="none"/>
          <w:u w:val="dotted"/>
        </w:rPr>
      </w:pPr>
    </w:p>
    <w:p w14:paraId="4802CC18">
      <w:pPr>
        <w:spacing w:line="360" w:lineRule="auto"/>
        <w:ind w:firstLine="2160" w:firstLineChars="900"/>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14:paraId="4615C34B">
      <w:pPr>
        <w:spacing w:line="360" w:lineRule="auto"/>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67A60DCE">
      <w:pPr>
        <w:jc w:val="center"/>
        <w:rPr>
          <w:rFonts w:hint="eastAsia" w:ascii="宋体" w:hAnsi="宋体" w:eastAsia="宋体" w:cs="宋体"/>
          <w:b/>
          <w:sz w:val="30"/>
          <w:szCs w:val="30"/>
          <w:highlight w:val="none"/>
        </w:rPr>
      </w:pPr>
    </w:p>
    <w:p w14:paraId="23A1EF78">
      <w:pPr>
        <w:jc w:val="center"/>
        <w:rPr>
          <w:rFonts w:hint="eastAsia" w:ascii="宋体" w:hAnsi="宋体" w:eastAsia="宋体" w:cs="宋体"/>
          <w:b/>
          <w:sz w:val="30"/>
          <w:szCs w:val="30"/>
          <w:highlight w:val="none"/>
        </w:rPr>
      </w:pPr>
    </w:p>
    <w:p w14:paraId="2E736371">
      <w:pPr>
        <w:jc w:val="center"/>
        <w:rPr>
          <w:rFonts w:hint="eastAsia" w:ascii="宋体" w:hAnsi="宋体" w:eastAsia="宋体" w:cs="宋体"/>
          <w:b/>
          <w:sz w:val="30"/>
          <w:szCs w:val="30"/>
          <w:highlight w:val="none"/>
        </w:rPr>
      </w:pPr>
    </w:p>
    <w:p w14:paraId="2EACEF77">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质疑函制作说明</w:t>
      </w:r>
    </w:p>
    <w:p w14:paraId="58B36254">
      <w:pPr>
        <w:jc w:val="center"/>
        <w:rPr>
          <w:rFonts w:hint="eastAsia" w:ascii="宋体" w:hAnsi="宋体" w:eastAsia="宋体" w:cs="宋体"/>
          <w:b/>
          <w:sz w:val="24"/>
          <w:highlight w:val="none"/>
        </w:rPr>
      </w:pPr>
    </w:p>
    <w:p w14:paraId="098B9AB2">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5BEE3B16">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highlight w:val="none"/>
        </w:rPr>
        <w:t>供应商签署的授权委托书。授权委托书应载明代理人的姓名或者名称、代理事项、具体权限、期限和相关事项。</w:t>
      </w:r>
    </w:p>
    <w:p w14:paraId="37F7DFF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076B31F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3A5B5258">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608CCCC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28943553">
      <w:pPr>
        <w:rPr>
          <w:rFonts w:hint="eastAsia" w:ascii="宋体" w:hAnsi="宋体" w:eastAsia="宋体" w:cs="宋体"/>
          <w:b/>
          <w:bCs/>
          <w:sz w:val="30"/>
          <w:szCs w:val="30"/>
          <w:highlight w:val="none"/>
        </w:rPr>
      </w:pPr>
    </w:p>
    <w:p w14:paraId="02B4EE74">
      <w:pPr>
        <w:rPr>
          <w:rFonts w:hint="eastAsia" w:ascii="宋体" w:hAnsi="宋体" w:eastAsia="宋体" w:cs="宋体"/>
          <w:b/>
          <w:bCs/>
          <w:sz w:val="30"/>
          <w:szCs w:val="30"/>
          <w:highlight w:val="none"/>
        </w:rPr>
      </w:pPr>
    </w:p>
    <w:p w14:paraId="34BB7138">
      <w:pPr>
        <w:rPr>
          <w:rFonts w:hint="eastAsia" w:ascii="宋体" w:hAnsi="宋体" w:eastAsia="宋体" w:cs="宋体"/>
          <w:b/>
          <w:bCs/>
          <w:sz w:val="30"/>
          <w:szCs w:val="30"/>
          <w:highlight w:val="none"/>
        </w:rPr>
      </w:pPr>
    </w:p>
    <w:p w14:paraId="1E3CA649">
      <w:pPr>
        <w:rPr>
          <w:rFonts w:hint="eastAsia" w:ascii="宋体" w:hAnsi="宋体" w:eastAsia="宋体" w:cs="宋体"/>
          <w:b/>
          <w:bCs/>
          <w:sz w:val="30"/>
          <w:szCs w:val="30"/>
          <w:highlight w:val="none"/>
        </w:rPr>
      </w:pPr>
    </w:p>
    <w:p w14:paraId="37BC174D">
      <w:pPr>
        <w:rPr>
          <w:rFonts w:hint="eastAsia" w:ascii="宋体" w:hAnsi="宋体" w:eastAsia="宋体" w:cs="宋体"/>
          <w:b/>
          <w:bCs/>
          <w:sz w:val="30"/>
          <w:szCs w:val="30"/>
          <w:highlight w:val="none"/>
        </w:rPr>
      </w:pPr>
    </w:p>
    <w:p w14:paraId="3B7868C9">
      <w:pPr>
        <w:rPr>
          <w:rFonts w:hint="eastAsia" w:ascii="宋体" w:hAnsi="宋体" w:eastAsia="宋体" w:cs="宋体"/>
          <w:b/>
          <w:bCs/>
          <w:sz w:val="30"/>
          <w:szCs w:val="30"/>
          <w:highlight w:val="none"/>
        </w:rPr>
      </w:pPr>
    </w:p>
    <w:p w14:paraId="34FFA7A8">
      <w:pPr>
        <w:rPr>
          <w:rFonts w:hint="eastAsia" w:ascii="宋体" w:hAnsi="宋体" w:eastAsia="宋体" w:cs="宋体"/>
          <w:b/>
          <w:bCs/>
          <w:sz w:val="30"/>
          <w:szCs w:val="30"/>
          <w:highlight w:val="none"/>
        </w:rPr>
      </w:pPr>
    </w:p>
    <w:p w14:paraId="28906800">
      <w:pPr>
        <w:rPr>
          <w:rFonts w:hint="eastAsia" w:ascii="宋体" w:hAnsi="宋体" w:eastAsia="宋体" w:cs="宋体"/>
          <w:b/>
          <w:bCs/>
          <w:sz w:val="30"/>
          <w:szCs w:val="30"/>
          <w:highlight w:val="none"/>
        </w:rPr>
      </w:pPr>
    </w:p>
    <w:p w14:paraId="3175510F">
      <w:pPr>
        <w:rPr>
          <w:rFonts w:hint="eastAsia" w:ascii="宋体" w:hAnsi="宋体" w:eastAsia="宋体" w:cs="宋体"/>
          <w:b/>
          <w:bCs/>
          <w:sz w:val="30"/>
          <w:szCs w:val="30"/>
          <w:highlight w:val="none"/>
        </w:rPr>
      </w:pPr>
    </w:p>
    <w:p w14:paraId="21B11CF4">
      <w:pPr>
        <w:rPr>
          <w:rFonts w:hint="eastAsia" w:ascii="宋体" w:hAnsi="宋体" w:eastAsia="宋体" w:cs="宋体"/>
          <w:b/>
          <w:bCs/>
          <w:sz w:val="30"/>
          <w:szCs w:val="30"/>
          <w:highlight w:val="none"/>
        </w:rPr>
      </w:pPr>
    </w:p>
    <w:p w14:paraId="45E2BE86">
      <w:pPr>
        <w:rPr>
          <w:rFonts w:hint="eastAsia" w:ascii="宋体" w:hAnsi="宋体" w:eastAsia="宋体" w:cs="宋体"/>
          <w:b/>
          <w:bCs/>
          <w:sz w:val="30"/>
          <w:szCs w:val="30"/>
          <w:highlight w:val="none"/>
        </w:rPr>
      </w:pPr>
    </w:p>
    <w:p w14:paraId="4D6FCAC3">
      <w:pPr>
        <w:rPr>
          <w:rFonts w:hint="eastAsia" w:ascii="宋体" w:hAnsi="宋体" w:eastAsia="宋体" w:cs="宋体"/>
          <w:b/>
          <w:bCs/>
          <w:sz w:val="30"/>
          <w:szCs w:val="30"/>
          <w:highlight w:val="none"/>
        </w:rPr>
      </w:pPr>
    </w:p>
    <w:p w14:paraId="0CE57630">
      <w:pPr>
        <w:rPr>
          <w:rFonts w:hint="eastAsia" w:ascii="宋体" w:hAnsi="宋体" w:eastAsia="宋体" w:cs="宋体"/>
          <w:b/>
          <w:bCs/>
          <w:sz w:val="30"/>
          <w:szCs w:val="30"/>
          <w:highlight w:val="none"/>
        </w:rPr>
      </w:pPr>
    </w:p>
    <w:p w14:paraId="1535619C">
      <w:pPr>
        <w:rPr>
          <w:rFonts w:hint="eastAsia" w:ascii="宋体" w:hAnsi="宋体" w:eastAsia="宋体" w:cs="宋体"/>
          <w:b/>
          <w:bCs/>
          <w:sz w:val="30"/>
          <w:szCs w:val="30"/>
          <w:highlight w:val="none"/>
        </w:rPr>
      </w:pPr>
    </w:p>
    <w:p w14:paraId="24EE8C35">
      <w:pPr>
        <w:rPr>
          <w:rFonts w:hint="eastAsia" w:ascii="宋体" w:hAnsi="宋体" w:eastAsia="宋体" w:cs="宋体"/>
          <w:b/>
          <w:sz w:val="30"/>
          <w:szCs w:val="30"/>
          <w:highlight w:val="none"/>
        </w:rPr>
      </w:pPr>
      <w:r>
        <w:rPr>
          <w:rFonts w:hint="eastAsia" w:ascii="宋体" w:hAnsi="宋体" w:eastAsia="宋体" w:cs="宋体"/>
          <w:b/>
          <w:bCs/>
          <w:sz w:val="30"/>
          <w:szCs w:val="30"/>
          <w:highlight w:val="none"/>
        </w:rPr>
        <w:t>附件2：</w:t>
      </w:r>
      <w:r>
        <w:rPr>
          <w:rFonts w:hint="eastAsia" w:ascii="宋体" w:hAnsi="宋体" w:eastAsia="宋体" w:cs="宋体"/>
          <w:b/>
          <w:sz w:val="30"/>
          <w:szCs w:val="30"/>
          <w:highlight w:val="none"/>
        </w:rPr>
        <w:t>投诉书范本</w:t>
      </w:r>
    </w:p>
    <w:p w14:paraId="59D87D0B">
      <w:pPr>
        <w:rPr>
          <w:rFonts w:hint="eastAsia" w:ascii="宋体" w:hAnsi="宋体" w:eastAsia="宋体" w:cs="宋体"/>
          <w:sz w:val="24"/>
          <w:highlight w:val="none"/>
        </w:rPr>
      </w:pPr>
    </w:p>
    <w:p w14:paraId="5CB6E35F">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14:paraId="31DCF89F">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投诉人：</w:t>
      </w:r>
      <w:r>
        <w:rPr>
          <w:rFonts w:hint="eastAsia" w:ascii="宋体" w:hAnsi="宋体" w:eastAsia="宋体" w:cs="宋体"/>
          <w:sz w:val="24"/>
          <w:highlight w:val="none"/>
          <w:u w:val="dotted"/>
        </w:rPr>
        <w:t xml:space="preserve">                                               </w:t>
      </w:r>
    </w:p>
    <w:p w14:paraId="35EC7E0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399AD0D2">
      <w:pPr>
        <w:tabs>
          <w:tab w:val="left" w:pos="651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法定代表人/主要负责人：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7CC430A8">
      <w:pPr>
        <w:tabs>
          <w:tab w:val="left" w:pos="6510"/>
        </w:tabs>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01A0289C">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31BACF32">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0690253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被投诉人1：</w:t>
      </w:r>
      <w:r>
        <w:rPr>
          <w:rFonts w:hint="eastAsia" w:ascii="宋体" w:hAnsi="宋体" w:eastAsia="宋体" w:cs="宋体"/>
          <w:sz w:val="24"/>
          <w:highlight w:val="none"/>
          <w:u w:val="dotted"/>
        </w:rPr>
        <w:t xml:space="preserve">                                           </w:t>
      </w:r>
    </w:p>
    <w:p w14:paraId="1B9BB45A">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23742E2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3AA8DCA7">
      <w:pPr>
        <w:spacing w:line="360" w:lineRule="auto"/>
        <w:rPr>
          <w:rFonts w:hint="eastAsia" w:ascii="宋体" w:hAnsi="宋体" w:eastAsia="宋体" w:cs="宋体"/>
          <w:sz w:val="24"/>
          <w:highlight w:val="none"/>
        </w:rPr>
      </w:pPr>
      <w:r>
        <w:rPr>
          <w:rFonts w:hint="eastAsia" w:ascii="宋体" w:hAnsi="宋体" w:eastAsia="宋体" w:cs="宋体"/>
          <w:sz w:val="24"/>
          <w:highlight w:val="none"/>
        </w:rPr>
        <w:t>被投诉人2</w:t>
      </w:r>
    </w:p>
    <w:p w14:paraId="73AFBEA8">
      <w:pPr>
        <w:spacing w:line="360" w:lineRule="auto"/>
        <w:rPr>
          <w:rFonts w:hint="eastAsia" w:ascii="宋体" w:hAnsi="宋体" w:eastAsia="宋体" w:cs="宋体"/>
          <w:sz w:val="24"/>
          <w:highlight w:val="none"/>
          <w:u w:val="dotted"/>
        </w:rPr>
      </w:pPr>
    </w:p>
    <w:p w14:paraId="534F6A7F">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相关供应商：</w:t>
      </w:r>
      <w:r>
        <w:rPr>
          <w:rFonts w:hint="eastAsia" w:ascii="宋体" w:hAnsi="宋体" w:eastAsia="宋体" w:cs="宋体"/>
          <w:sz w:val="24"/>
          <w:highlight w:val="none"/>
          <w:u w:val="dotted"/>
        </w:rPr>
        <w:t xml:space="preserve">                                           </w:t>
      </w:r>
    </w:p>
    <w:p w14:paraId="4EBFAB31">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015FCC3B">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15B12293">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14:paraId="6CD82BC3">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采购项目名称：</w:t>
      </w:r>
      <w:r>
        <w:rPr>
          <w:rFonts w:hint="eastAsia" w:ascii="宋体" w:hAnsi="宋体" w:eastAsia="宋体" w:cs="宋体"/>
          <w:sz w:val="24"/>
          <w:highlight w:val="none"/>
          <w:u w:val="dotted"/>
        </w:rPr>
        <w:t xml:space="preserve">                                        </w:t>
      </w:r>
    </w:p>
    <w:p w14:paraId="3A49AFA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采购项目编号：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14:paraId="76C2A583">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14:paraId="587C2169">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代理机构名称：</w:t>
      </w:r>
      <w:r>
        <w:rPr>
          <w:rFonts w:hint="eastAsia" w:ascii="宋体" w:hAnsi="宋体" w:eastAsia="宋体" w:cs="宋体"/>
          <w:sz w:val="24"/>
          <w:highlight w:val="none"/>
          <w:u w:val="dotted"/>
        </w:rPr>
        <w:t xml:space="preserve">                                         </w:t>
      </w:r>
    </w:p>
    <w:p w14:paraId="3CB3A056">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14:paraId="7B32BF5F">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14:paraId="143799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三、质疑基本情况</w:t>
      </w:r>
    </w:p>
    <w:p w14:paraId="5392CE71">
      <w:pPr>
        <w:spacing w:line="360" w:lineRule="auto"/>
        <w:ind w:firstLine="480" w:firstLineChars="200"/>
        <w:rPr>
          <w:rFonts w:hint="eastAsia" w:ascii="宋体" w:hAnsi="宋体" w:eastAsia="宋体" w:cs="宋体"/>
          <w:sz w:val="24"/>
          <w:highlight w:val="none"/>
          <w:u w:val="dotted"/>
        </w:rPr>
      </w:pPr>
      <w:r>
        <w:rPr>
          <w:rFonts w:hint="eastAsia" w:ascii="宋体" w:hAnsi="宋体" w:eastAsia="宋体" w:cs="宋体"/>
          <w:sz w:val="24"/>
          <w:highlight w:val="none"/>
        </w:rPr>
        <w:t>投诉人于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日,向</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提出质疑，质疑事项为：</w:t>
      </w:r>
      <w:r>
        <w:rPr>
          <w:rFonts w:hint="eastAsia" w:ascii="宋体" w:hAnsi="宋体" w:eastAsia="宋体" w:cs="宋体"/>
          <w:sz w:val="24"/>
          <w:highlight w:val="none"/>
          <w:u w:val="dotted"/>
        </w:rPr>
        <w:t xml:space="preserve">                                </w:t>
      </w:r>
    </w:p>
    <w:p w14:paraId="2E390D79">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29A0FDEC">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u w:val="dotted"/>
        </w:rPr>
        <w:t>采购人/代理机构</w:t>
      </w:r>
      <w:r>
        <w:rPr>
          <w:rFonts w:hint="eastAsia" w:ascii="宋体" w:hAnsi="宋体" w:eastAsia="宋体" w:cs="宋体"/>
          <w:sz w:val="24"/>
          <w:highlight w:val="none"/>
        </w:rPr>
        <w:t>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日,就质疑事项作出了答复/没有在法定期限内作出答复。</w:t>
      </w:r>
    </w:p>
    <w:p w14:paraId="3F95E786">
      <w:pPr>
        <w:spacing w:line="360" w:lineRule="auto"/>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14:paraId="07446DD3">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投诉事项 1：</w:t>
      </w:r>
      <w:r>
        <w:rPr>
          <w:rFonts w:hint="eastAsia" w:ascii="宋体" w:hAnsi="宋体" w:eastAsia="宋体" w:cs="宋体"/>
          <w:sz w:val="24"/>
          <w:highlight w:val="none"/>
          <w:u w:val="dotted"/>
        </w:rPr>
        <w:t xml:space="preserve">                                       </w:t>
      </w:r>
    </w:p>
    <w:p w14:paraId="6E2A135A">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50F3BC9A">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79BAB270">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0B9B148F">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064872CD">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投诉事项2</w:t>
      </w:r>
    </w:p>
    <w:p w14:paraId="66ED0775">
      <w:pPr>
        <w:spacing w:line="360" w:lineRule="auto"/>
        <w:rPr>
          <w:rFonts w:hint="eastAsia" w:ascii="宋体" w:hAnsi="宋体" w:eastAsia="宋体" w:cs="宋体"/>
          <w:sz w:val="24"/>
          <w:highlight w:val="none"/>
          <w:u w:val="dotted"/>
        </w:rPr>
      </w:pPr>
    </w:p>
    <w:p w14:paraId="0C9A4178">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14:paraId="15FD5664">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4890460F">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p>
    <w:p w14:paraId="615DF64D">
      <w:pPr>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14:paraId="143FC7C8">
      <w:pPr>
        <w:spacing w:line="360" w:lineRule="auto"/>
        <w:rPr>
          <w:rFonts w:hint="eastAsia" w:ascii="宋体" w:hAnsi="宋体" w:eastAsia="宋体" w:cs="宋体"/>
          <w:sz w:val="24"/>
          <w:highlight w:val="none"/>
        </w:rPr>
      </w:pPr>
    </w:p>
    <w:p w14:paraId="6C68BF6D">
      <w:pPr>
        <w:spacing w:line="360" w:lineRule="auto"/>
        <w:ind w:firstLine="2400" w:firstLineChars="1000"/>
        <w:rPr>
          <w:rFonts w:hint="eastAsia" w:ascii="宋体" w:hAnsi="宋体" w:eastAsia="宋体" w:cs="宋体"/>
          <w:b/>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40CF24AE">
      <w:pPr>
        <w:rPr>
          <w:rFonts w:hint="eastAsia" w:ascii="宋体" w:hAnsi="宋体" w:eastAsia="宋体" w:cs="宋体"/>
          <w:b/>
          <w:sz w:val="24"/>
          <w:highlight w:val="none"/>
        </w:rPr>
      </w:pPr>
    </w:p>
    <w:p w14:paraId="4E11161B">
      <w:pPr>
        <w:rPr>
          <w:rFonts w:hint="eastAsia" w:ascii="宋体" w:hAnsi="宋体" w:eastAsia="宋体" w:cs="宋体"/>
          <w:b/>
          <w:sz w:val="24"/>
          <w:highlight w:val="none"/>
        </w:rPr>
      </w:pPr>
    </w:p>
    <w:p w14:paraId="4A48B9E4">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投诉书制作说明</w:t>
      </w:r>
    </w:p>
    <w:p w14:paraId="29DB8925">
      <w:pPr>
        <w:rPr>
          <w:rFonts w:hint="eastAsia" w:ascii="宋体" w:hAnsi="宋体" w:eastAsia="宋体" w:cs="宋体"/>
          <w:b/>
          <w:sz w:val="24"/>
          <w:highlight w:val="none"/>
        </w:rPr>
      </w:pPr>
    </w:p>
    <w:p w14:paraId="7868724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1.投诉人提起投诉时，应当提交投诉书和必要的证明材料，并按照被投诉人和与投诉事项有关的供应商数量提供投诉书副本。</w:t>
      </w:r>
    </w:p>
    <w:p w14:paraId="2EDD1339">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14:paraId="4F31FAD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14:paraId="4A3F4788">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14:paraId="343DEB9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14:paraId="18D56CA2">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14:paraId="49DC58F1">
      <w:pPr>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sectPr>
      <w:pgSz w:w="11906" w:h="16838"/>
      <w:pgMar w:top="1440"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580A">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422E">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A4E77">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4A4E77">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EF59">
    <w:pPr>
      <w:pStyle w:val="2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BA683">
                          <w:pPr>
                            <w:pStyle w:val="22"/>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5BA683">
                    <w:pPr>
                      <w:pStyle w:val="22"/>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28B8">
    <w:pPr>
      <w:pStyle w:val="22"/>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F0C85">
                          <w:pPr>
                            <w:pStyle w:val="22"/>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BF0C85">
                    <w:pPr>
                      <w:pStyle w:val="2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FF2B">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A385">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4322">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9896">
    <w:pPr>
      <w:pStyle w:val="23"/>
      <w:pBdr>
        <w:bottom w:val="none" w:color="auto" w:sz="0" w:space="1"/>
      </w:pBdr>
      <w:rPr>
        <w:rFonts w:ascii="Cambria" w:hAnsi="Cambria"/>
        <w:sz w:val="21"/>
        <w:szCs w:val="21"/>
        <w:u w:val="doub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4FB6">
    <w:pPr>
      <w:pStyle w:val="23"/>
      <w:pBdr>
        <w:bottom w:val="none" w:color="auto" w:sz="0" w:space="1"/>
      </w:pBdr>
      <w:rPr>
        <w:rFonts w:ascii="Cambria" w:hAnsi="Cambria"/>
        <w:sz w:val="21"/>
        <w:szCs w:val="21"/>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4691E"/>
    <w:multiLevelType w:val="singleLevel"/>
    <w:tmpl w:val="4534691E"/>
    <w:lvl w:ilvl="0" w:tentative="0">
      <w:start w:val="1"/>
      <w:numFmt w:val="decimal"/>
      <w:suff w:val="nothing"/>
      <w:lvlText w:val="（%1）"/>
      <w:lvlJc w:val="left"/>
    </w:lvl>
  </w:abstractNum>
  <w:abstractNum w:abstractNumId="1">
    <w:nsid w:val="547B2C83"/>
    <w:multiLevelType w:val="multilevel"/>
    <w:tmpl w:val="547B2C83"/>
    <w:lvl w:ilvl="0" w:tentative="0">
      <w:start w:val="1"/>
      <w:numFmt w:val="decimal"/>
      <w:pStyle w:val="122"/>
      <w:lvlText w:val="2.2.%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6685C3"/>
    <w:multiLevelType w:val="singleLevel"/>
    <w:tmpl w:val="566685C3"/>
    <w:lvl w:ilvl="0" w:tentative="0">
      <w:start w:val="1"/>
      <w:numFmt w:val="decimal"/>
      <w:pStyle w:val="118"/>
      <w:lvlText w:val="图%1. "/>
      <w:lvlJc w:val="left"/>
      <w:pPr>
        <w:tabs>
          <w:tab w:val="left" w:pos="777"/>
        </w:tabs>
        <w:ind w:left="777" w:hanging="420"/>
      </w:pPr>
      <w:rPr>
        <w:rFonts w:cs="Times New Roman"/>
      </w:rPr>
    </w:lvl>
  </w:abstractNum>
  <w:abstractNum w:abstractNumId="3">
    <w:nsid w:val="5D4655C2"/>
    <w:multiLevelType w:val="singleLevel"/>
    <w:tmpl w:val="5D4655C2"/>
    <w:lvl w:ilvl="0" w:tentative="0">
      <w:start w:val="9"/>
      <w:numFmt w:val="decimal"/>
      <w:lvlText w:val="%1."/>
      <w:lvlJc w:val="left"/>
      <w:pPr>
        <w:tabs>
          <w:tab w:val="left" w:pos="312"/>
        </w:tabs>
      </w:pPr>
    </w:lvl>
  </w:abstractNum>
  <w:abstractNum w:abstractNumId="4">
    <w:nsid w:val="73C17541"/>
    <w:multiLevelType w:val="singleLevel"/>
    <w:tmpl w:val="73C1754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jYxZGMxYTQ0MGNiNmJjZTUwZDYwYmFiMzNmZWYifQ=="/>
  </w:docVars>
  <w:rsids>
    <w:rsidRoot w:val="00EB1951"/>
    <w:rsid w:val="00000746"/>
    <w:rsid w:val="000017D9"/>
    <w:rsid w:val="00002497"/>
    <w:rsid w:val="00007FD1"/>
    <w:rsid w:val="000101CF"/>
    <w:rsid w:val="00011C52"/>
    <w:rsid w:val="00013DAC"/>
    <w:rsid w:val="000163A3"/>
    <w:rsid w:val="000209D9"/>
    <w:rsid w:val="000210DA"/>
    <w:rsid w:val="000226CE"/>
    <w:rsid w:val="00023BCE"/>
    <w:rsid w:val="00026739"/>
    <w:rsid w:val="00026752"/>
    <w:rsid w:val="000300A7"/>
    <w:rsid w:val="00032D19"/>
    <w:rsid w:val="000358BD"/>
    <w:rsid w:val="00044319"/>
    <w:rsid w:val="00046DD1"/>
    <w:rsid w:val="0004742A"/>
    <w:rsid w:val="000475DD"/>
    <w:rsid w:val="00050060"/>
    <w:rsid w:val="000500CE"/>
    <w:rsid w:val="00052334"/>
    <w:rsid w:val="00052459"/>
    <w:rsid w:val="000525C3"/>
    <w:rsid w:val="0005354A"/>
    <w:rsid w:val="00063C01"/>
    <w:rsid w:val="0006479D"/>
    <w:rsid w:val="00065C6F"/>
    <w:rsid w:val="00066793"/>
    <w:rsid w:val="00066A60"/>
    <w:rsid w:val="000675CE"/>
    <w:rsid w:val="00070393"/>
    <w:rsid w:val="00072A83"/>
    <w:rsid w:val="00072BA1"/>
    <w:rsid w:val="000733C6"/>
    <w:rsid w:val="0007442B"/>
    <w:rsid w:val="0007736D"/>
    <w:rsid w:val="00081DCD"/>
    <w:rsid w:val="00083E87"/>
    <w:rsid w:val="00086640"/>
    <w:rsid w:val="00086F85"/>
    <w:rsid w:val="00094176"/>
    <w:rsid w:val="000944A8"/>
    <w:rsid w:val="000951D8"/>
    <w:rsid w:val="0009610C"/>
    <w:rsid w:val="000A3B83"/>
    <w:rsid w:val="000B3012"/>
    <w:rsid w:val="000B3762"/>
    <w:rsid w:val="000B72D5"/>
    <w:rsid w:val="000C0417"/>
    <w:rsid w:val="000C5122"/>
    <w:rsid w:val="000C63E2"/>
    <w:rsid w:val="000C67AA"/>
    <w:rsid w:val="000C6AD7"/>
    <w:rsid w:val="000C7129"/>
    <w:rsid w:val="000D0A21"/>
    <w:rsid w:val="000D1379"/>
    <w:rsid w:val="000D1A64"/>
    <w:rsid w:val="000D2DCB"/>
    <w:rsid w:val="000D325E"/>
    <w:rsid w:val="000D5E2A"/>
    <w:rsid w:val="000E084E"/>
    <w:rsid w:val="000E1AD2"/>
    <w:rsid w:val="000E283C"/>
    <w:rsid w:val="000E6CA6"/>
    <w:rsid w:val="000F17F4"/>
    <w:rsid w:val="000F1BE7"/>
    <w:rsid w:val="000F405E"/>
    <w:rsid w:val="000F7642"/>
    <w:rsid w:val="001009C7"/>
    <w:rsid w:val="00102DCE"/>
    <w:rsid w:val="00104204"/>
    <w:rsid w:val="00104D7D"/>
    <w:rsid w:val="001053BC"/>
    <w:rsid w:val="00107E3C"/>
    <w:rsid w:val="0011029A"/>
    <w:rsid w:val="00120FAB"/>
    <w:rsid w:val="00122968"/>
    <w:rsid w:val="00122B7D"/>
    <w:rsid w:val="00127875"/>
    <w:rsid w:val="00130265"/>
    <w:rsid w:val="0013036A"/>
    <w:rsid w:val="00134D9D"/>
    <w:rsid w:val="00140DA9"/>
    <w:rsid w:val="00140E2C"/>
    <w:rsid w:val="00144F56"/>
    <w:rsid w:val="00151E88"/>
    <w:rsid w:val="00161E4B"/>
    <w:rsid w:val="00162109"/>
    <w:rsid w:val="00163743"/>
    <w:rsid w:val="00165AD1"/>
    <w:rsid w:val="00165E27"/>
    <w:rsid w:val="001669A9"/>
    <w:rsid w:val="001678D8"/>
    <w:rsid w:val="00174707"/>
    <w:rsid w:val="001764B1"/>
    <w:rsid w:val="00176EB0"/>
    <w:rsid w:val="001770A1"/>
    <w:rsid w:val="00180B88"/>
    <w:rsid w:val="001817D6"/>
    <w:rsid w:val="001822ED"/>
    <w:rsid w:val="00182318"/>
    <w:rsid w:val="00187FF8"/>
    <w:rsid w:val="00190FD0"/>
    <w:rsid w:val="00194BF2"/>
    <w:rsid w:val="001A0F7E"/>
    <w:rsid w:val="001A4AA5"/>
    <w:rsid w:val="001A6C96"/>
    <w:rsid w:val="001A7FA1"/>
    <w:rsid w:val="001B17AC"/>
    <w:rsid w:val="001B4D57"/>
    <w:rsid w:val="001B70A1"/>
    <w:rsid w:val="001C188F"/>
    <w:rsid w:val="001C329B"/>
    <w:rsid w:val="001C3A57"/>
    <w:rsid w:val="001C4233"/>
    <w:rsid w:val="001C434B"/>
    <w:rsid w:val="001C568F"/>
    <w:rsid w:val="001C58B9"/>
    <w:rsid w:val="001D3D87"/>
    <w:rsid w:val="001D4F2A"/>
    <w:rsid w:val="001D508E"/>
    <w:rsid w:val="001D50CD"/>
    <w:rsid w:val="001D5A59"/>
    <w:rsid w:val="001D705D"/>
    <w:rsid w:val="001E26B2"/>
    <w:rsid w:val="001E5FBC"/>
    <w:rsid w:val="001E6D2F"/>
    <w:rsid w:val="001E7172"/>
    <w:rsid w:val="001F14BA"/>
    <w:rsid w:val="001F2CE4"/>
    <w:rsid w:val="001F7B47"/>
    <w:rsid w:val="00200CD0"/>
    <w:rsid w:val="002013FA"/>
    <w:rsid w:val="00203EED"/>
    <w:rsid w:val="0020545A"/>
    <w:rsid w:val="00205586"/>
    <w:rsid w:val="00205F43"/>
    <w:rsid w:val="00212291"/>
    <w:rsid w:val="00213726"/>
    <w:rsid w:val="00213D36"/>
    <w:rsid w:val="0021696E"/>
    <w:rsid w:val="00216B71"/>
    <w:rsid w:val="002241C0"/>
    <w:rsid w:val="00224792"/>
    <w:rsid w:val="002269B0"/>
    <w:rsid w:val="00231D39"/>
    <w:rsid w:val="002326F0"/>
    <w:rsid w:val="00232C27"/>
    <w:rsid w:val="00234268"/>
    <w:rsid w:val="00236783"/>
    <w:rsid w:val="00241BD4"/>
    <w:rsid w:val="00251D17"/>
    <w:rsid w:val="00252C67"/>
    <w:rsid w:val="00253105"/>
    <w:rsid w:val="002548A9"/>
    <w:rsid w:val="0025519A"/>
    <w:rsid w:val="002628F8"/>
    <w:rsid w:val="00262B38"/>
    <w:rsid w:val="00266664"/>
    <w:rsid w:val="00267E1D"/>
    <w:rsid w:val="00272F55"/>
    <w:rsid w:val="00273B6D"/>
    <w:rsid w:val="00280E0F"/>
    <w:rsid w:val="00281A7B"/>
    <w:rsid w:val="002829E0"/>
    <w:rsid w:val="00290860"/>
    <w:rsid w:val="00290C90"/>
    <w:rsid w:val="00291AB3"/>
    <w:rsid w:val="00292C28"/>
    <w:rsid w:val="00292D5F"/>
    <w:rsid w:val="00293254"/>
    <w:rsid w:val="00296B19"/>
    <w:rsid w:val="002A497A"/>
    <w:rsid w:val="002A4F70"/>
    <w:rsid w:val="002B084C"/>
    <w:rsid w:val="002B1439"/>
    <w:rsid w:val="002B155F"/>
    <w:rsid w:val="002B2E49"/>
    <w:rsid w:val="002B3FF5"/>
    <w:rsid w:val="002C08B4"/>
    <w:rsid w:val="002C0E7F"/>
    <w:rsid w:val="002C105A"/>
    <w:rsid w:val="002C24BA"/>
    <w:rsid w:val="002D28B5"/>
    <w:rsid w:val="002D49E0"/>
    <w:rsid w:val="002D5DCC"/>
    <w:rsid w:val="002E01B4"/>
    <w:rsid w:val="002E6CDD"/>
    <w:rsid w:val="002F0BE2"/>
    <w:rsid w:val="002F1106"/>
    <w:rsid w:val="002F1DCD"/>
    <w:rsid w:val="002F1EF7"/>
    <w:rsid w:val="0030112F"/>
    <w:rsid w:val="0030243E"/>
    <w:rsid w:val="00302684"/>
    <w:rsid w:val="00303016"/>
    <w:rsid w:val="00303499"/>
    <w:rsid w:val="00303820"/>
    <w:rsid w:val="003101D2"/>
    <w:rsid w:val="003115A0"/>
    <w:rsid w:val="00312CC2"/>
    <w:rsid w:val="003134D3"/>
    <w:rsid w:val="00313D5D"/>
    <w:rsid w:val="003145EC"/>
    <w:rsid w:val="00316C79"/>
    <w:rsid w:val="00323167"/>
    <w:rsid w:val="003232DA"/>
    <w:rsid w:val="00325CCF"/>
    <w:rsid w:val="00336B0A"/>
    <w:rsid w:val="0033746B"/>
    <w:rsid w:val="003378BB"/>
    <w:rsid w:val="00341434"/>
    <w:rsid w:val="00342E38"/>
    <w:rsid w:val="003433F6"/>
    <w:rsid w:val="00346827"/>
    <w:rsid w:val="0035037F"/>
    <w:rsid w:val="003518FB"/>
    <w:rsid w:val="0035262F"/>
    <w:rsid w:val="0035455B"/>
    <w:rsid w:val="00357162"/>
    <w:rsid w:val="003573F2"/>
    <w:rsid w:val="00361240"/>
    <w:rsid w:val="003673B7"/>
    <w:rsid w:val="0037041A"/>
    <w:rsid w:val="00371540"/>
    <w:rsid w:val="00374557"/>
    <w:rsid w:val="00374BFB"/>
    <w:rsid w:val="0037687E"/>
    <w:rsid w:val="00380A0B"/>
    <w:rsid w:val="003820EC"/>
    <w:rsid w:val="003946CB"/>
    <w:rsid w:val="00397238"/>
    <w:rsid w:val="00397DF5"/>
    <w:rsid w:val="003A0D1D"/>
    <w:rsid w:val="003A4D68"/>
    <w:rsid w:val="003A56BF"/>
    <w:rsid w:val="003A7214"/>
    <w:rsid w:val="003B0533"/>
    <w:rsid w:val="003B2432"/>
    <w:rsid w:val="003B3EDA"/>
    <w:rsid w:val="003B5259"/>
    <w:rsid w:val="003B5295"/>
    <w:rsid w:val="003B7311"/>
    <w:rsid w:val="003D4918"/>
    <w:rsid w:val="003D520C"/>
    <w:rsid w:val="003D7ECF"/>
    <w:rsid w:val="003E02F4"/>
    <w:rsid w:val="003E04AA"/>
    <w:rsid w:val="003E21E1"/>
    <w:rsid w:val="003E4681"/>
    <w:rsid w:val="003E6873"/>
    <w:rsid w:val="003F12AB"/>
    <w:rsid w:val="003F1B1F"/>
    <w:rsid w:val="003F1CA0"/>
    <w:rsid w:val="003F5352"/>
    <w:rsid w:val="003F6022"/>
    <w:rsid w:val="003F6E5F"/>
    <w:rsid w:val="0040427A"/>
    <w:rsid w:val="0040519C"/>
    <w:rsid w:val="00405FCB"/>
    <w:rsid w:val="00412FBD"/>
    <w:rsid w:val="00413AE2"/>
    <w:rsid w:val="00414609"/>
    <w:rsid w:val="00417AF9"/>
    <w:rsid w:val="00423230"/>
    <w:rsid w:val="00424728"/>
    <w:rsid w:val="004268CE"/>
    <w:rsid w:val="0043053A"/>
    <w:rsid w:val="00430755"/>
    <w:rsid w:val="004319E7"/>
    <w:rsid w:val="00433F27"/>
    <w:rsid w:val="00437132"/>
    <w:rsid w:val="0043729B"/>
    <w:rsid w:val="00441246"/>
    <w:rsid w:val="00443547"/>
    <w:rsid w:val="00443BB6"/>
    <w:rsid w:val="00451472"/>
    <w:rsid w:val="00454D7F"/>
    <w:rsid w:val="0045585C"/>
    <w:rsid w:val="00457584"/>
    <w:rsid w:val="00460944"/>
    <w:rsid w:val="00463CB3"/>
    <w:rsid w:val="004656BE"/>
    <w:rsid w:val="00473814"/>
    <w:rsid w:val="004743BC"/>
    <w:rsid w:val="00476E9C"/>
    <w:rsid w:val="00481D47"/>
    <w:rsid w:val="004825E5"/>
    <w:rsid w:val="004826D1"/>
    <w:rsid w:val="00485A75"/>
    <w:rsid w:val="00487056"/>
    <w:rsid w:val="00492BC3"/>
    <w:rsid w:val="004936A4"/>
    <w:rsid w:val="0049381B"/>
    <w:rsid w:val="00494BC5"/>
    <w:rsid w:val="004A25EB"/>
    <w:rsid w:val="004A295F"/>
    <w:rsid w:val="004A64C3"/>
    <w:rsid w:val="004A6672"/>
    <w:rsid w:val="004A73D8"/>
    <w:rsid w:val="004B1FC4"/>
    <w:rsid w:val="004B3D83"/>
    <w:rsid w:val="004B47F9"/>
    <w:rsid w:val="004B4DBB"/>
    <w:rsid w:val="004B581E"/>
    <w:rsid w:val="004B7BB6"/>
    <w:rsid w:val="004C25BE"/>
    <w:rsid w:val="004C33FA"/>
    <w:rsid w:val="004C5654"/>
    <w:rsid w:val="004C5A3B"/>
    <w:rsid w:val="004C630A"/>
    <w:rsid w:val="004D0109"/>
    <w:rsid w:val="004D2502"/>
    <w:rsid w:val="004D4CDA"/>
    <w:rsid w:val="004E3780"/>
    <w:rsid w:val="004E4711"/>
    <w:rsid w:val="004E76BD"/>
    <w:rsid w:val="004F1AF7"/>
    <w:rsid w:val="004F308F"/>
    <w:rsid w:val="004F550D"/>
    <w:rsid w:val="004F78D0"/>
    <w:rsid w:val="004F7F83"/>
    <w:rsid w:val="0050176E"/>
    <w:rsid w:val="005022CA"/>
    <w:rsid w:val="005024EB"/>
    <w:rsid w:val="00505065"/>
    <w:rsid w:val="00505A1A"/>
    <w:rsid w:val="00506FB7"/>
    <w:rsid w:val="00506FBB"/>
    <w:rsid w:val="00510F7A"/>
    <w:rsid w:val="00511800"/>
    <w:rsid w:val="00512039"/>
    <w:rsid w:val="00513EE3"/>
    <w:rsid w:val="005174F5"/>
    <w:rsid w:val="005224CE"/>
    <w:rsid w:val="00524B84"/>
    <w:rsid w:val="00527D63"/>
    <w:rsid w:val="005311F3"/>
    <w:rsid w:val="005330A2"/>
    <w:rsid w:val="00533309"/>
    <w:rsid w:val="0053330C"/>
    <w:rsid w:val="00541BDC"/>
    <w:rsid w:val="00541FF4"/>
    <w:rsid w:val="005442C5"/>
    <w:rsid w:val="00546ABA"/>
    <w:rsid w:val="00547293"/>
    <w:rsid w:val="005524CB"/>
    <w:rsid w:val="00552790"/>
    <w:rsid w:val="00552ABD"/>
    <w:rsid w:val="00553E50"/>
    <w:rsid w:val="005662C1"/>
    <w:rsid w:val="0056691C"/>
    <w:rsid w:val="0057281B"/>
    <w:rsid w:val="00575257"/>
    <w:rsid w:val="00576E20"/>
    <w:rsid w:val="0058071E"/>
    <w:rsid w:val="005831A2"/>
    <w:rsid w:val="00584D15"/>
    <w:rsid w:val="005870CD"/>
    <w:rsid w:val="005875A3"/>
    <w:rsid w:val="00590167"/>
    <w:rsid w:val="005913DD"/>
    <w:rsid w:val="00594D79"/>
    <w:rsid w:val="005976FB"/>
    <w:rsid w:val="005A0D61"/>
    <w:rsid w:val="005A1C9E"/>
    <w:rsid w:val="005A6637"/>
    <w:rsid w:val="005B0FA8"/>
    <w:rsid w:val="005B325A"/>
    <w:rsid w:val="005C109E"/>
    <w:rsid w:val="005C227D"/>
    <w:rsid w:val="005C2CA7"/>
    <w:rsid w:val="005C6A64"/>
    <w:rsid w:val="005C74D7"/>
    <w:rsid w:val="005D268E"/>
    <w:rsid w:val="005D4003"/>
    <w:rsid w:val="005D5F11"/>
    <w:rsid w:val="005D648A"/>
    <w:rsid w:val="005E1D77"/>
    <w:rsid w:val="005E39A6"/>
    <w:rsid w:val="005E4230"/>
    <w:rsid w:val="005E5055"/>
    <w:rsid w:val="005E5682"/>
    <w:rsid w:val="005E6340"/>
    <w:rsid w:val="005E787D"/>
    <w:rsid w:val="005F1A34"/>
    <w:rsid w:val="005F2C40"/>
    <w:rsid w:val="0060282F"/>
    <w:rsid w:val="00602D04"/>
    <w:rsid w:val="0060305B"/>
    <w:rsid w:val="00604B70"/>
    <w:rsid w:val="00604D03"/>
    <w:rsid w:val="006077B0"/>
    <w:rsid w:val="00610DCB"/>
    <w:rsid w:val="00611368"/>
    <w:rsid w:val="00612792"/>
    <w:rsid w:val="00613894"/>
    <w:rsid w:val="006142FD"/>
    <w:rsid w:val="00615EB0"/>
    <w:rsid w:val="00617579"/>
    <w:rsid w:val="00617580"/>
    <w:rsid w:val="006200BD"/>
    <w:rsid w:val="006204AF"/>
    <w:rsid w:val="00620AEB"/>
    <w:rsid w:val="006216DD"/>
    <w:rsid w:val="00622842"/>
    <w:rsid w:val="00622F38"/>
    <w:rsid w:val="00623C9C"/>
    <w:rsid w:val="006319A2"/>
    <w:rsid w:val="0063732E"/>
    <w:rsid w:val="006407E1"/>
    <w:rsid w:val="00643F4E"/>
    <w:rsid w:val="00645773"/>
    <w:rsid w:val="00653244"/>
    <w:rsid w:val="00654CB1"/>
    <w:rsid w:val="00655C79"/>
    <w:rsid w:val="006579E7"/>
    <w:rsid w:val="0066034B"/>
    <w:rsid w:val="00660590"/>
    <w:rsid w:val="00662F7C"/>
    <w:rsid w:val="0066330F"/>
    <w:rsid w:val="006701BB"/>
    <w:rsid w:val="00672B01"/>
    <w:rsid w:val="00676B1D"/>
    <w:rsid w:val="006836D3"/>
    <w:rsid w:val="00685016"/>
    <w:rsid w:val="0068669E"/>
    <w:rsid w:val="00687F79"/>
    <w:rsid w:val="00692EDF"/>
    <w:rsid w:val="00693233"/>
    <w:rsid w:val="006938E6"/>
    <w:rsid w:val="006945F1"/>
    <w:rsid w:val="00696B94"/>
    <w:rsid w:val="006A216D"/>
    <w:rsid w:val="006A2E79"/>
    <w:rsid w:val="006A2F55"/>
    <w:rsid w:val="006A3167"/>
    <w:rsid w:val="006A595E"/>
    <w:rsid w:val="006A5CB6"/>
    <w:rsid w:val="006A66B1"/>
    <w:rsid w:val="006B59E3"/>
    <w:rsid w:val="006B6752"/>
    <w:rsid w:val="006B7974"/>
    <w:rsid w:val="006C12AB"/>
    <w:rsid w:val="006C2B25"/>
    <w:rsid w:val="006C446C"/>
    <w:rsid w:val="006C7C07"/>
    <w:rsid w:val="006D1ECC"/>
    <w:rsid w:val="006D2446"/>
    <w:rsid w:val="006D478F"/>
    <w:rsid w:val="006D65AB"/>
    <w:rsid w:val="006E0155"/>
    <w:rsid w:val="006E594A"/>
    <w:rsid w:val="006F30E3"/>
    <w:rsid w:val="006F43AC"/>
    <w:rsid w:val="006F4666"/>
    <w:rsid w:val="007016DA"/>
    <w:rsid w:val="0070366A"/>
    <w:rsid w:val="0070782D"/>
    <w:rsid w:val="007111D5"/>
    <w:rsid w:val="00711C41"/>
    <w:rsid w:val="00712A8E"/>
    <w:rsid w:val="00713426"/>
    <w:rsid w:val="00714377"/>
    <w:rsid w:val="00720725"/>
    <w:rsid w:val="00720D9A"/>
    <w:rsid w:val="00721926"/>
    <w:rsid w:val="00721AE2"/>
    <w:rsid w:val="00726571"/>
    <w:rsid w:val="00727511"/>
    <w:rsid w:val="007338EE"/>
    <w:rsid w:val="00736290"/>
    <w:rsid w:val="007368A0"/>
    <w:rsid w:val="00741152"/>
    <w:rsid w:val="00742B63"/>
    <w:rsid w:val="007431A4"/>
    <w:rsid w:val="0074416C"/>
    <w:rsid w:val="00751397"/>
    <w:rsid w:val="00752DE1"/>
    <w:rsid w:val="00761AA0"/>
    <w:rsid w:val="00761F52"/>
    <w:rsid w:val="00762848"/>
    <w:rsid w:val="00764E18"/>
    <w:rsid w:val="00766E4A"/>
    <w:rsid w:val="00770D57"/>
    <w:rsid w:val="0077188E"/>
    <w:rsid w:val="007731FC"/>
    <w:rsid w:val="0077348D"/>
    <w:rsid w:val="0077417E"/>
    <w:rsid w:val="007749DA"/>
    <w:rsid w:val="00774ABA"/>
    <w:rsid w:val="007755AD"/>
    <w:rsid w:val="007759B8"/>
    <w:rsid w:val="00781594"/>
    <w:rsid w:val="00784A06"/>
    <w:rsid w:val="00787A50"/>
    <w:rsid w:val="00791F72"/>
    <w:rsid w:val="007922C5"/>
    <w:rsid w:val="00793FE8"/>
    <w:rsid w:val="00794D49"/>
    <w:rsid w:val="007A19BE"/>
    <w:rsid w:val="007A2D6A"/>
    <w:rsid w:val="007A4F18"/>
    <w:rsid w:val="007B586B"/>
    <w:rsid w:val="007B5F25"/>
    <w:rsid w:val="007B6130"/>
    <w:rsid w:val="007B6606"/>
    <w:rsid w:val="007B745E"/>
    <w:rsid w:val="007C1664"/>
    <w:rsid w:val="007C3964"/>
    <w:rsid w:val="007C4BD0"/>
    <w:rsid w:val="007C65FB"/>
    <w:rsid w:val="007D0472"/>
    <w:rsid w:val="007D1F96"/>
    <w:rsid w:val="007D272A"/>
    <w:rsid w:val="007D4855"/>
    <w:rsid w:val="007E1728"/>
    <w:rsid w:val="007E179D"/>
    <w:rsid w:val="007E3A7F"/>
    <w:rsid w:val="007E4272"/>
    <w:rsid w:val="007E63FD"/>
    <w:rsid w:val="007E6E12"/>
    <w:rsid w:val="007F1AB6"/>
    <w:rsid w:val="007F6318"/>
    <w:rsid w:val="007F7251"/>
    <w:rsid w:val="00800606"/>
    <w:rsid w:val="0080541A"/>
    <w:rsid w:val="008063A0"/>
    <w:rsid w:val="008067AF"/>
    <w:rsid w:val="00807DB3"/>
    <w:rsid w:val="00807F2E"/>
    <w:rsid w:val="008107ED"/>
    <w:rsid w:val="008167EC"/>
    <w:rsid w:val="00817ABD"/>
    <w:rsid w:val="00820B7A"/>
    <w:rsid w:val="00820D62"/>
    <w:rsid w:val="00821BDB"/>
    <w:rsid w:val="00822AB7"/>
    <w:rsid w:val="0082329D"/>
    <w:rsid w:val="0082437D"/>
    <w:rsid w:val="00824A85"/>
    <w:rsid w:val="00824E70"/>
    <w:rsid w:val="00825495"/>
    <w:rsid w:val="00827567"/>
    <w:rsid w:val="008313D3"/>
    <w:rsid w:val="00841342"/>
    <w:rsid w:val="00843B0A"/>
    <w:rsid w:val="00843FF6"/>
    <w:rsid w:val="0084400A"/>
    <w:rsid w:val="008444A8"/>
    <w:rsid w:val="00847DE1"/>
    <w:rsid w:val="008517DE"/>
    <w:rsid w:val="008527E9"/>
    <w:rsid w:val="00852B09"/>
    <w:rsid w:val="00860D00"/>
    <w:rsid w:val="008638A8"/>
    <w:rsid w:val="00864121"/>
    <w:rsid w:val="00871405"/>
    <w:rsid w:val="008746A1"/>
    <w:rsid w:val="00883151"/>
    <w:rsid w:val="00887F43"/>
    <w:rsid w:val="00895A99"/>
    <w:rsid w:val="00896C01"/>
    <w:rsid w:val="008A00A7"/>
    <w:rsid w:val="008A044A"/>
    <w:rsid w:val="008A1F5E"/>
    <w:rsid w:val="008B0F3C"/>
    <w:rsid w:val="008B1422"/>
    <w:rsid w:val="008B1BC9"/>
    <w:rsid w:val="008C3C75"/>
    <w:rsid w:val="008C49B0"/>
    <w:rsid w:val="008D0060"/>
    <w:rsid w:val="008D19C4"/>
    <w:rsid w:val="008E7904"/>
    <w:rsid w:val="008F074D"/>
    <w:rsid w:val="008F24E0"/>
    <w:rsid w:val="008F34FE"/>
    <w:rsid w:val="008F73B6"/>
    <w:rsid w:val="008F7E8F"/>
    <w:rsid w:val="00901050"/>
    <w:rsid w:val="00901F33"/>
    <w:rsid w:val="00902A11"/>
    <w:rsid w:val="00912D5A"/>
    <w:rsid w:val="00913935"/>
    <w:rsid w:val="0091404A"/>
    <w:rsid w:val="009142C7"/>
    <w:rsid w:val="00914795"/>
    <w:rsid w:val="0091561F"/>
    <w:rsid w:val="00915FDC"/>
    <w:rsid w:val="00922B9B"/>
    <w:rsid w:val="00923A59"/>
    <w:rsid w:val="00930410"/>
    <w:rsid w:val="00933126"/>
    <w:rsid w:val="00934D3B"/>
    <w:rsid w:val="00936465"/>
    <w:rsid w:val="0093664E"/>
    <w:rsid w:val="00940173"/>
    <w:rsid w:val="00940F26"/>
    <w:rsid w:val="009417DB"/>
    <w:rsid w:val="009422F9"/>
    <w:rsid w:val="0094423F"/>
    <w:rsid w:val="0094732E"/>
    <w:rsid w:val="0094750C"/>
    <w:rsid w:val="00952033"/>
    <w:rsid w:val="009531B7"/>
    <w:rsid w:val="00953341"/>
    <w:rsid w:val="00954A89"/>
    <w:rsid w:val="00955BB0"/>
    <w:rsid w:val="00960DA4"/>
    <w:rsid w:val="00962111"/>
    <w:rsid w:val="00966AF9"/>
    <w:rsid w:val="0097209F"/>
    <w:rsid w:val="00975CE1"/>
    <w:rsid w:val="00976BF1"/>
    <w:rsid w:val="00977181"/>
    <w:rsid w:val="00977217"/>
    <w:rsid w:val="00980E36"/>
    <w:rsid w:val="009846C4"/>
    <w:rsid w:val="00986297"/>
    <w:rsid w:val="009914A7"/>
    <w:rsid w:val="009928C5"/>
    <w:rsid w:val="009A055C"/>
    <w:rsid w:val="009A0686"/>
    <w:rsid w:val="009A4100"/>
    <w:rsid w:val="009A6D1C"/>
    <w:rsid w:val="009B15C2"/>
    <w:rsid w:val="009B1C26"/>
    <w:rsid w:val="009B3C68"/>
    <w:rsid w:val="009B474D"/>
    <w:rsid w:val="009B5800"/>
    <w:rsid w:val="009B79EB"/>
    <w:rsid w:val="009B7ED8"/>
    <w:rsid w:val="009C3874"/>
    <w:rsid w:val="009C425E"/>
    <w:rsid w:val="009C493D"/>
    <w:rsid w:val="009C572B"/>
    <w:rsid w:val="009C7558"/>
    <w:rsid w:val="009D1B8C"/>
    <w:rsid w:val="009D229B"/>
    <w:rsid w:val="009D4625"/>
    <w:rsid w:val="009D5595"/>
    <w:rsid w:val="009E3595"/>
    <w:rsid w:val="009E4241"/>
    <w:rsid w:val="009E6646"/>
    <w:rsid w:val="009E68BB"/>
    <w:rsid w:val="009F0882"/>
    <w:rsid w:val="009F0D0A"/>
    <w:rsid w:val="009F1B75"/>
    <w:rsid w:val="009F1E88"/>
    <w:rsid w:val="009F4B2F"/>
    <w:rsid w:val="009F4B5B"/>
    <w:rsid w:val="009F7A11"/>
    <w:rsid w:val="00A008B6"/>
    <w:rsid w:val="00A017FB"/>
    <w:rsid w:val="00A046AC"/>
    <w:rsid w:val="00A04F0F"/>
    <w:rsid w:val="00A055D7"/>
    <w:rsid w:val="00A06CB8"/>
    <w:rsid w:val="00A070FD"/>
    <w:rsid w:val="00A07508"/>
    <w:rsid w:val="00A11C44"/>
    <w:rsid w:val="00A1496A"/>
    <w:rsid w:val="00A161B8"/>
    <w:rsid w:val="00A20984"/>
    <w:rsid w:val="00A214DB"/>
    <w:rsid w:val="00A215B8"/>
    <w:rsid w:val="00A21D81"/>
    <w:rsid w:val="00A25FD2"/>
    <w:rsid w:val="00A26D5D"/>
    <w:rsid w:val="00A30906"/>
    <w:rsid w:val="00A31985"/>
    <w:rsid w:val="00A33C8C"/>
    <w:rsid w:val="00A344C3"/>
    <w:rsid w:val="00A37062"/>
    <w:rsid w:val="00A41460"/>
    <w:rsid w:val="00A4536B"/>
    <w:rsid w:val="00A52E43"/>
    <w:rsid w:val="00A54D53"/>
    <w:rsid w:val="00A60111"/>
    <w:rsid w:val="00A60E03"/>
    <w:rsid w:val="00A63AC4"/>
    <w:rsid w:val="00A64537"/>
    <w:rsid w:val="00A649DE"/>
    <w:rsid w:val="00A67A9E"/>
    <w:rsid w:val="00A726F7"/>
    <w:rsid w:val="00A775A6"/>
    <w:rsid w:val="00A81014"/>
    <w:rsid w:val="00A8207A"/>
    <w:rsid w:val="00A822CC"/>
    <w:rsid w:val="00A8242B"/>
    <w:rsid w:val="00A87F1E"/>
    <w:rsid w:val="00A91B40"/>
    <w:rsid w:val="00A91C02"/>
    <w:rsid w:val="00A92EEB"/>
    <w:rsid w:val="00A942EF"/>
    <w:rsid w:val="00A9669C"/>
    <w:rsid w:val="00A970C4"/>
    <w:rsid w:val="00AA1C1C"/>
    <w:rsid w:val="00AA6157"/>
    <w:rsid w:val="00AA6264"/>
    <w:rsid w:val="00AA730D"/>
    <w:rsid w:val="00AB40E7"/>
    <w:rsid w:val="00AB43DC"/>
    <w:rsid w:val="00AB7ABF"/>
    <w:rsid w:val="00AC1668"/>
    <w:rsid w:val="00AC7238"/>
    <w:rsid w:val="00AC7D6E"/>
    <w:rsid w:val="00AD31EB"/>
    <w:rsid w:val="00AD3936"/>
    <w:rsid w:val="00AD41A5"/>
    <w:rsid w:val="00AD5056"/>
    <w:rsid w:val="00AD7ED5"/>
    <w:rsid w:val="00AE1031"/>
    <w:rsid w:val="00AE11A5"/>
    <w:rsid w:val="00AE2073"/>
    <w:rsid w:val="00AE3077"/>
    <w:rsid w:val="00AF2502"/>
    <w:rsid w:val="00B00B60"/>
    <w:rsid w:val="00B036FE"/>
    <w:rsid w:val="00B11E36"/>
    <w:rsid w:val="00B128E8"/>
    <w:rsid w:val="00B13995"/>
    <w:rsid w:val="00B13DC7"/>
    <w:rsid w:val="00B15331"/>
    <w:rsid w:val="00B17169"/>
    <w:rsid w:val="00B17173"/>
    <w:rsid w:val="00B17ED6"/>
    <w:rsid w:val="00B22FAD"/>
    <w:rsid w:val="00B2317C"/>
    <w:rsid w:val="00B231B0"/>
    <w:rsid w:val="00B304CA"/>
    <w:rsid w:val="00B32F7F"/>
    <w:rsid w:val="00B3447E"/>
    <w:rsid w:val="00B40533"/>
    <w:rsid w:val="00B41A31"/>
    <w:rsid w:val="00B4220F"/>
    <w:rsid w:val="00B52ACF"/>
    <w:rsid w:val="00B53024"/>
    <w:rsid w:val="00B55A6A"/>
    <w:rsid w:val="00B60676"/>
    <w:rsid w:val="00B639AB"/>
    <w:rsid w:val="00B711B7"/>
    <w:rsid w:val="00B71C80"/>
    <w:rsid w:val="00B7724D"/>
    <w:rsid w:val="00B773A3"/>
    <w:rsid w:val="00B808DB"/>
    <w:rsid w:val="00B8134E"/>
    <w:rsid w:val="00B81C22"/>
    <w:rsid w:val="00B8266E"/>
    <w:rsid w:val="00B82C74"/>
    <w:rsid w:val="00B90CE9"/>
    <w:rsid w:val="00B91344"/>
    <w:rsid w:val="00B946D6"/>
    <w:rsid w:val="00BA1800"/>
    <w:rsid w:val="00BA4954"/>
    <w:rsid w:val="00BB0642"/>
    <w:rsid w:val="00BB0D06"/>
    <w:rsid w:val="00BB0EBD"/>
    <w:rsid w:val="00BB2092"/>
    <w:rsid w:val="00BB72B9"/>
    <w:rsid w:val="00BC09F9"/>
    <w:rsid w:val="00BC1D76"/>
    <w:rsid w:val="00BD0500"/>
    <w:rsid w:val="00BD217C"/>
    <w:rsid w:val="00BD30AE"/>
    <w:rsid w:val="00BD44D3"/>
    <w:rsid w:val="00BD4FD2"/>
    <w:rsid w:val="00BD6016"/>
    <w:rsid w:val="00BD6ADF"/>
    <w:rsid w:val="00BD7ABC"/>
    <w:rsid w:val="00BE2696"/>
    <w:rsid w:val="00BE6F6A"/>
    <w:rsid w:val="00BE72B2"/>
    <w:rsid w:val="00BF108B"/>
    <w:rsid w:val="00BF61A0"/>
    <w:rsid w:val="00C04440"/>
    <w:rsid w:val="00C04C58"/>
    <w:rsid w:val="00C10468"/>
    <w:rsid w:val="00C10685"/>
    <w:rsid w:val="00C11099"/>
    <w:rsid w:val="00C12605"/>
    <w:rsid w:val="00C14E8C"/>
    <w:rsid w:val="00C14F0E"/>
    <w:rsid w:val="00C1593B"/>
    <w:rsid w:val="00C227B6"/>
    <w:rsid w:val="00C22C69"/>
    <w:rsid w:val="00C23677"/>
    <w:rsid w:val="00C25888"/>
    <w:rsid w:val="00C305EF"/>
    <w:rsid w:val="00C32E21"/>
    <w:rsid w:val="00C44854"/>
    <w:rsid w:val="00C4513D"/>
    <w:rsid w:val="00C466CF"/>
    <w:rsid w:val="00C47BD8"/>
    <w:rsid w:val="00C525DB"/>
    <w:rsid w:val="00C52B11"/>
    <w:rsid w:val="00C52E3A"/>
    <w:rsid w:val="00C55DCF"/>
    <w:rsid w:val="00C60D2E"/>
    <w:rsid w:val="00C6170C"/>
    <w:rsid w:val="00C61D08"/>
    <w:rsid w:val="00C62CCD"/>
    <w:rsid w:val="00C62CE3"/>
    <w:rsid w:val="00C642CE"/>
    <w:rsid w:val="00C654BB"/>
    <w:rsid w:val="00C71037"/>
    <w:rsid w:val="00C72949"/>
    <w:rsid w:val="00C72C68"/>
    <w:rsid w:val="00C757DE"/>
    <w:rsid w:val="00C76FE1"/>
    <w:rsid w:val="00C9320B"/>
    <w:rsid w:val="00C93782"/>
    <w:rsid w:val="00C95058"/>
    <w:rsid w:val="00C973ED"/>
    <w:rsid w:val="00CA0B23"/>
    <w:rsid w:val="00CA16E4"/>
    <w:rsid w:val="00CA4032"/>
    <w:rsid w:val="00CA5C30"/>
    <w:rsid w:val="00CB08F5"/>
    <w:rsid w:val="00CB380A"/>
    <w:rsid w:val="00CB3D73"/>
    <w:rsid w:val="00CB6BD6"/>
    <w:rsid w:val="00CC0407"/>
    <w:rsid w:val="00CC23CA"/>
    <w:rsid w:val="00CD0408"/>
    <w:rsid w:val="00CD13DB"/>
    <w:rsid w:val="00CD2BBA"/>
    <w:rsid w:val="00CD5610"/>
    <w:rsid w:val="00CD5656"/>
    <w:rsid w:val="00CD6B63"/>
    <w:rsid w:val="00CD7783"/>
    <w:rsid w:val="00CD7D52"/>
    <w:rsid w:val="00CE701D"/>
    <w:rsid w:val="00CE707A"/>
    <w:rsid w:val="00CF1025"/>
    <w:rsid w:val="00CF12E4"/>
    <w:rsid w:val="00CF193B"/>
    <w:rsid w:val="00CF2F1F"/>
    <w:rsid w:val="00CF360A"/>
    <w:rsid w:val="00CF435F"/>
    <w:rsid w:val="00CF6B45"/>
    <w:rsid w:val="00D00B89"/>
    <w:rsid w:val="00D04FCB"/>
    <w:rsid w:val="00D05698"/>
    <w:rsid w:val="00D10329"/>
    <w:rsid w:val="00D1079D"/>
    <w:rsid w:val="00D130A3"/>
    <w:rsid w:val="00D13A0C"/>
    <w:rsid w:val="00D14B4B"/>
    <w:rsid w:val="00D162CF"/>
    <w:rsid w:val="00D218F3"/>
    <w:rsid w:val="00D236E9"/>
    <w:rsid w:val="00D24D56"/>
    <w:rsid w:val="00D272F5"/>
    <w:rsid w:val="00D331DD"/>
    <w:rsid w:val="00D34496"/>
    <w:rsid w:val="00D34742"/>
    <w:rsid w:val="00D36CAD"/>
    <w:rsid w:val="00D36CED"/>
    <w:rsid w:val="00D4049A"/>
    <w:rsid w:val="00D40D25"/>
    <w:rsid w:val="00D41EB4"/>
    <w:rsid w:val="00D42346"/>
    <w:rsid w:val="00D429FE"/>
    <w:rsid w:val="00D4531B"/>
    <w:rsid w:val="00D519D3"/>
    <w:rsid w:val="00D53B5E"/>
    <w:rsid w:val="00D54E6D"/>
    <w:rsid w:val="00D623E1"/>
    <w:rsid w:val="00D64572"/>
    <w:rsid w:val="00D64582"/>
    <w:rsid w:val="00D7714B"/>
    <w:rsid w:val="00D7717B"/>
    <w:rsid w:val="00D7735C"/>
    <w:rsid w:val="00D776D4"/>
    <w:rsid w:val="00D81E85"/>
    <w:rsid w:val="00D8522D"/>
    <w:rsid w:val="00D90ACE"/>
    <w:rsid w:val="00D916EE"/>
    <w:rsid w:val="00D91E94"/>
    <w:rsid w:val="00D92086"/>
    <w:rsid w:val="00D94191"/>
    <w:rsid w:val="00D94CD6"/>
    <w:rsid w:val="00D95134"/>
    <w:rsid w:val="00D9743C"/>
    <w:rsid w:val="00DA1439"/>
    <w:rsid w:val="00DA40D9"/>
    <w:rsid w:val="00DA6A52"/>
    <w:rsid w:val="00DB0537"/>
    <w:rsid w:val="00DB30CF"/>
    <w:rsid w:val="00DC3337"/>
    <w:rsid w:val="00DD2CE9"/>
    <w:rsid w:val="00DD6D4C"/>
    <w:rsid w:val="00DE007C"/>
    <w:rsid w:val="00DE13FA"/>
    <w:rsid w:val="00DE2327"/>
    <w:rsid w:val="00DE5DA1"/>
    <w:rsid w:val="00DE78DA"/>
    <w:rsid w:val="00DF2C67"/>
    <w:rsid w:val="00DF2E31"/>
    <w:rsid w:val="00DF3230"/>
    <w:rsid w:val="00DF489A"/>
    <w:rsid w:val="00DF6381"/>
    <w:rsid w:val="00DF69D1"/>
    <w:rsid w:val="00E041B4"/>
    <w:rsid w:val="00E04264"/>
    <w:rsid w:val="00E05F23"/>
    <w:rsid w:val="00E12A86"/>
    <w:rsid w:val="00E14DED"/>
    <w:rsid w:val="00E17236"/>
    <w:rsid w:val="00E17459"/>
    <w:rsid w:val="00E21383"/>
    <w:rsid w:val="00E224A1"/>
    <w:rsid w:val="00E2609F"/>
    <w:rsid w:val="00E3175A"/>
    <w:rsid w:val="00E3195A"/>
    <w:rsid w:val="00E353D1"/>
    <w:rsid w:val="00E401E1"/>
    <w:rsid w:val="00E424FD"/>
    <w:rsid w:val="00E429C3"/>
    <w:rsid w:val="00E508A9"/>
    <w:rsid w:val="00E50BA8"/>
    <w:rsid w:val="00E50F1E"/>
    <w:rsid w:val="00E5357C"/>
    <w:rsid w:val="00E56BCD"/>
    <w:rsid w:val="00E56D36"/>
    <w:rsid w:val="00E56D74"/>
    <w:rsid w:val="00E603E1"/>
    <w:rsid w:val="00E60FDA"/>
    <w:rsid w:val="00E6103E"/>
    <w:rsid w:val="00E621F7"/>
    <w:rsid w:val="00E62717"/>
    <w:rsid w:val="00E667D8"/>
    <w:rsid w:val="00E70C24"/>
    <w:rsid w:val="00E74741"/>
    <w:rsid w:val="00E74D14"/>
    <w:rsid w:val="00E76A66"/>
    <w:rsid w:val="00E772F0"/>
    <w:rsid w:val="00E776BB"/>
    <w:rsid w:val="00E81EA1"/>
    <w:rsid w:val="00E82149"/>
    <w:rsid w:val="00E83794"/>
    <w:rsid w:val="00E87C2F"/>
    <w:rsid w:val="00E91362"/>
    <w:rsid w:val="00E917A8"/>
    <w:rsid w:val="00E91F99"/>
    <w:rsid w:val="00E921F4"/>
    <w:rsid w:val="00E94FFC"/>
    <w:rsid w:val="00EA1DA1"/>
    <w:rsid w:val="00EA3843"/>
    <w:rsid w:val="00EA3C68"/>
    <w:rsid w:val="00EA4C0F"/>
    <w:rsid w:val="00EA4C7E"/>
    <w:rsid w:val="00EB1951"/>
    <w:rsid w:val="00EB312D"/>
    <w:rsid w:val="00EB3F95"/>
    <w:rsid w:val="00EB4C3A"/>
    <w:rsid w:val="00EC6C93"/>
    <w:rsid w:val="00ED09E8"/>
    <w:rsid w:val="00ED1855"/>
    <w:rsid w:val="00ED22F5"/>
    <w:rsid w:val="00ED2BD7"/>
    <w:rsid w:val="00EE07A1"/>
    <w:rsid w:val="00EE389F"/>
    <w:rsid w:val="00EE6186"/>
    <w:rsid w:val="00EF33AB"/>
    <w:rsid w:val="00EF62E4"/>
    <w:rsid w:val="00F0180E"/>
    <w:rsid w:val="00F02B78"/>
    <w:rsid w:val="00F0363B"/>
    <w:rsid w:val="00F03807"/>
    <w:rsid w:val="00F11C8E"/>
    <w:rsid w:val="00F12FA6"/>
    <w:rsid w:val="00F1476C"/>
    <w:rsid w:val="00F14C63"/>
    <w:rsid w:val="00F15BEE"/>
    <w:rsid w:val="00F206C6"/>
    <w:rsid w:val="00F23203"/>
    <w:rsid w:val="00F25BFE"/>
    <w:rsid w:val="00F36BDD"/>
    <w:rsid w:val="00F3721A"/>
    <w:rsid w:val="00F42F5C"/>
    <w:rsid w:val="00F502BD"/>
    <w:rsid w:val="00F518FB"/>
    <w:rsid w:val="00F51E59"/>
    <w:rsid w:val="00F52869"/>
    <w:rsid w:val="00F54E59"/>
    <w:rsid w:val="00F56B1B"/>
    <w:rsid w:val="00F61A7D"/>
    <w:rsid w:val="00F651C6"/>
    <w:rsid w:val="00F669F1"/>
    <w:rsid w:val="00F676A8"/>
    <w:rsid w:val="00F6784D"/>
    <w:rsid w:val="00F706DD"/>
    <w:rsid w:val="00F70BC0"/>
    <w:rsid w:val="00F71ECC"/>
    <w:rsid w:val="00F7298C"/>
    <w:rsid w:val="00F75FBB"/>
    <w:rsid w:val="00F81A5F"/>
    <w:rsid w:val="00F83D54"/>
    <w:rsid w:val="00F85206"/>
    <w:rsid w:val="00F86667"/>
    <w:rsid w:val="00F87187"/>
    <w:rsid w:val="00F87F3D"/>
    <w:rsid w:val="00F90D3C"/>
    <w:rsid w:val="00F9156A"/>
    <w:rsid w:val="00F94053"/>
    <w:rsid w:val="00F945C5"/>
    <w:rsid w:val="00F95BCB"/>
    <w:rsid w:val="00FA2180"/>
    <w:rsid w:val="00FA787D"/>
    <w:rsid w:val="00FB1C5C"/>
    <w:rsid w:val="00FB4706"/>
    <w:rsid w:val="00FB62A8"/>
    <w:rsid w:val="00FC2251"/>
    <w:rsid w:val="00FC478A"/>
    <w:rsid w:val="00FD682B"/>
    <w:rsid w:val="00FD6994"/>
    <w:rsid w:val="00FD6CDF"/>
    <w:rsid w:val="00FD6D7A"/>
    <w:rsid w:val="00FE2089"/>
    <w:rsid w:val="00FE22FF"/>
    <w:rsid w:val="00FE4F0C"/>
    <w:rsid w:val="00FE60B8"/>
    <w:rsid w:val="00FF5C11"/>
    <w:rsid w:val="00FF6FA8"/>
    <w:rsid w:val="013F0C8A"/>
    <w:rsid w:val="01423E5D"/>
    <w:rsid w:val="014F7F5C"/>
    <w:rsid w:val="0155727B"/>
    <w:rsid w:val="01576E88"/>
    <w:rsid w:val="016236B6"/>
    <w:rsid w:val="016D1F28"/>
    <w:rsid w:val="017A7DB4"/>
    <w:rsid w:val="018D3FCF"/>
    <w:rsid w:val="019E57E5"/>
    <w:rsid w:val="01A031DA"/>
    <w:rsid w:val="01A71DD0"/>
    <w:rsid w:val="01B41D1F"/>
    <w:rsid w:val="01BF4099"/>
    <w:rsid w:val="01C0675A"/>
    <w:rsid w:val="01CB0BA8"/>
    <w:rsid w:val="01CD343A"/>
    <w:rsid w:val="01CD435F"/>
    <w:rsid w:val="01EC7EC2"/>
    <w:rsid w:val="01FA4689"/>
    <w:rsid w:val="02142EF3"/>
    <w:rsid w:val="02154EA0"/>
    <w:rsid w:val="02185D8E"/>
    <w:rsid w:val="02195E53"/>
    <w:rsid w:val="0229124C"/>
    <w:rsid w:val="022F4339"/>
    <w:rsid w:val="02337E3D"/>
    <w:rsid w:val="023B7BEA"/>
    <w:rsid w:val="023C21B8"/>
    <w:rsid w:val="023E4C10"/>
    <w:rsid w:val="026930B6"/>
    <w:rsid w:val="026A4D30"/>
    <w:rsid w:val="0274062C"/>
    <w:rsid w:val="027F7B83"/>
    <w:rsid w:val="02883B50"/>
    <w:rsid w:val="02A824AD"/>
    <w:rsid w:val="02BF2BB1"/>
    <w:rsid w:val="02CA7B78"/>
    <w:rsid w:val="02DE41FF"/>
    <w:rsid w:val="02E00930"/>
    <w:rsid w:val="02FC708C"/>
    <w:rsid w:val="030630E1"/>
    <w:rsid w:val="03071135"/>
    <w:rsid w:val="03290669"/>
    <w:rsid w:val="032C438D"/>
    <w:rsid w:val="033B421C"/>
    <w:rsid w:val="03560D3D"/>
    <w:rsid w:val="03563CB7"/>
    <w:rsid w:val="035B1DCC"/>
    <w:rsid w:val="035D0093"/>
    <w:rsid w:val="03671DEC"/>
    <w:rsid w:val="036B669D"/>
    <w:rsid w:val="038535A4"/>
    <w:rsid w:val="03926C7A"/>
    <w:rsid w:val="03AC4A7F"/>
    <w:rsid w:val="03AE57BC"/>
    <w:rsid w:val="03B24389"/>
    <w:rsid w:val="03BA205D"/>
    <w:rsid w:val="03C414D5"/>
    <w:rsid w:val="03C51805"/>
    <w:rsid w:val="03C51BFA"/>
    <w:rsid w:val="03CA6453"/>
    <w:rsid w:val="03E752C7"/>
    <w:rsid w:val="03F86B1C"/>
    <w:rsid w:val="040C5C69"/>
    <w:rsid w:val="042079AA"/>
    <w:rsid w:val="04241E6B"/>
    <w:rsid w:val="04334CDC"/>
    <w:rsid w:val="04376589"/>
    <w:rsid w:val="0438160E"/>
    <w:rsid w:val="044406F7"/>
    <w:rsid w:val="045C514F"/>
    <w:rsid w:val="046C24F8"/>
    <w:rsid w:val="04721DCF"/>
    <w:rsid w:val="047A0ACE"/>
    <w:rsid w:val="047D73B7"/>
    <w:rsid w:val="047F022C"/>
    <w:rsid w:val="04842015"/>
    <w:rsid w:val="049373E2"/>
    <w:rsid w:val="04943B46"/>
    <w:rsid w:val="04AC3F54"/>
    <w:rsid w:val="04B62E8D"/>
    <w:rsid w:val="04CB580D"/>
    <w:rsid w:val="04F44850"/>
    <w:rsid w:val="052244D2"/>
    <w:rsid w:val="05233238"/>
    <w:rsid w:val="052E2878"/>
    <w:rsid w:val="054128B3"/>
    <w:rsid w:val="055F15BC"/>
    <w:rsid w:val="055F40B8"/>
    <w:rsid w:val="05687987"/>
    <w:rsid w:val="056928AC"/>
    <w:rsid w:val="056F7AB7"/>
    <w:rsid w:val="05807942"/>
    <w:rsid w:val="05904979"/>
    <w:rsid w:val="05A515FE"/>
    <w:rsid w:val="05A82AAB"/>
    <w:rsid w:val="05AB6C8D"/>
    <w:rsid w:val="05B83F96"/>
    <w:rsid w:val="05C36560"/>
    <w:rsid w:val="05CA1E72"/>
    <w:rsid w:val="05DE159A"/>
    <w:rsid w:val="05DF5004"/>
    <w:rsid w:val="05E23E82"/>
    <w:rsid w:val="05ED017B"/>
    <w:rsid w:val="06007CB5"/>
    <w:rsid w:val="06077D18"/>
    <w:rsid w:val="060941B7"/>
    <w:rsid w:val="061D7FB7"/>
    <w:rsid w:val="062948E2"/>
    <w:rsid w:val="06295A0F"/>
    <w:rsid w:val="06452979"/>
    <w:rsid w:val="064E5FFC"/>
    <w:rsid w:val="06515DF8"/>
    <w:rsid w:val="06573666"/>
    <w:rsid w:val="06652D6C"/>
    <w:rsid w:val="06852E23"/>
    <w:rsid w:val="068C19AE"/>
    <w:rsid w:val="06BA6960"/>
    <w:rsid w:val="06C01337"/>
    <w:rsid w:val="06C30B97"/>
    <w:rsid w:val="06C539FA"/>
    <w:rsid w:val="06D04128"/>
    <w:rsid w:val="06DA2116"/>
    <w:rsid w:val="06DA59A3"/>
    <w:rsid w:val="06E35EED"/>
    <w:rsid w:val="06F9314A"/>
    <w:rsid w:val="070441B5"/>
    <w:rsid w:val="07072675"/>
    <w:rsid w:val="071F2612"/>
    <w:rsid w:val="07247EEF"/>
    <w:rsid w:val="07357AC6"/>
    <w:rsid w:val="073E518E"/>
    <w:rsid w:val="07497892"/>
    <w:rsid w:val="074F739B"/>
    <w:rsid w:val="07512DF9"/>
    <w:rsid w:val="07562DAE"/>
    <w:rsid w:val="076D02F7"/>
    <w:rsid w:val="076F469B"/>
    <w:rsid w:val="07714C07"/>
    <w:rsid w:val="07751E71"/>
    <w:rsid w:val="07786F62"/>
    <w:rsid w:val="077C1812"/>
    <w:rsid w:val="07816068"/>
    <w:rsid w:val="07A236AB"/>
    <w:rsid w:val="07A90702"/>
    <w:rsid w:val="07B07034"/>
    <w:rsid w:val="07C27FB6"/>
    <w:rsid w:val="07C531B9"/>
    <w:rsid w:val="07CB7A97"/>
    <w:rsid w:val="07DA0120"/>
    <w:rsid w:val="07E341E2"/>
    <w:rsid w:val="07F0684C"/>
    <w:rsid w:val="07FF0D65"/>
    <w:rsid w:val="0804476E"/>
    <w:rsid w:val="08283748"/>
    <w:rsid w:val="082A1A98"/>
    <w:rsid w:val="08316AA1"/>
    <w:rsid w:val="08326375"/>
    <w:rsid w:val="08340A4B"/>
    <w:rsid w:val="08346E96"/>
    <w:rsid w:val="083B347B"/>
    <w:rsid w:val="084D26E6"/>
    <w:rsid w:val="0868360D"/>
    <w:rsid w:val="088475D0"/>
    <w:rsid w:val="08874912"/>
    <w:rsid w:val="089808CE"/>
    <w:rsid w:val="089B17CE"/>
    <w:rsid w:val="089F53B8"/>
    <w:rsid w:val="08A9278A"/>
    <w:rsid w:val="08A94E46"/>
    <w:rsid w:val="08AB3ED7"/>
    <w:rsid w:val="08AB7D6F"/>
    <w:rsid w:val="08BE553F"/>
    <w:rsid w:val="08C23218"/>
    <w:rsid w:val="08CE2541"/>
    <w:rsid w:val="08D46499"/>
    <w:rsid w:val="08DA386B"/>
    <w:rsid w:val="08E23DAC"/>
    <w:rsid w:val="08E45D51"/>
    <w:rsid w:val="08F44FA1"/>
    <w:rsid w:val="08F55BDC"/>
    <w:rsid w:val="08F74CF5"/>
    <w:rsid w:val="09251C79"/>
    <w:rsid w:val="095A008E"/>
    <w:rsid w:val="095A091D"/>
    <w:rsid w:val="095C1A79"/>
    <w:rsid w:val="09634145"/>
    <w:rsid w:val="09661CF5"/>
    <w:rsid w:val="09673123"/>
    <w:rsid w:val="097653C0"/>
    <w:rsid w:val="09831EC5"/>
    <w:rsid w:val="098350DA"/>
    <w:rsid w:val="099466CD"/>
    <w:rsid w:val="0995305F"/>
    <w:rsid w:val="09954E0D"/>
    <w:rsid w:val="099D19D4"/>
    <w:rsid w:val="09A84333"/>
    <w:rsid w:val="09C12CCE"/>
    <w:rsid w:val="09ED572B"/>
    <w:rsid w:val="0A0C7DD4"/>
    <w:rsid w:val="0A1503BB"/>
    <w:rsid w:val="0A1B2526"/>
    <w:rsid w:val="0A1E2F01"/>
    <w:rsid w:val="0A2F13CA"/>
    <w:rsid w:val="0A346ED1"/>
    <w:rsid w:val="0A544DC0"/>
    <w:rsid w:val="0A5B410A"/>
    <w:rsid w:val="0A6752E5"/>
    <w:rsid w:val="0A751CC7"/>
    <w:rsid w:val="0A8263DE"/>
    <w:rsid w:val="0A856C30"/>
    <w:rsid w:val="0A862CD2"/>
    <w:rsid w:val="0A9463CD"/>
    <w:rsid w:val="0AA202BE"/>
    <w:rsid w:val="0AAE7354"/>
    <w:rsid w:val="0AB24496"/>
    <w:rsid w:val="0AB757DA"/>
    <w:rsid w:val="0AC864D3"/>
    <w:rsid w:val="0ADB2441"/>
    <w:rsid w:val="0AFC588A"/>
    <w:rsid w:val="0AFD54C1"/>
    <w:rsid w:val="0B0E52C8"/>
    <w:rsid w:val="0B116715"/>
    <w:rsid w:val="0B1B0B51"/>
    <w:rsid w:val="0B1F6DEE"/>
    <w:rsid w:val="0B2E74EE"/>
    <w:rsid w:val="0B3556BC"/>
    <w:rsid w:val="0B3A5C6C"/>
    <w:rsid w:val="0B3E5150"/>
    <w:rsid w:val="0B5670B1"/>
    <w:rsid w:val="0B5F1131"/>
    <w:rsid w:val="0B5F20F4"/>
    <w:rsid w:val="0B8C3A82"/>
    <w:rsid w:val="0B9863DC"/>
    <w:rsid w:val="0B9F196A"/>
    <w:rsid w:val="0BA10113"/>
    <w:rsid w:val="0BB3050A"/>
    <w:rsid w:val="0BB810E0"/>
    <w:rsid w:val="0BBA2359"/>
    <w:rsid w:val="0BBC48D3"/>
    <w:rsid w:val="0BBD1D28"/>
    <w:rsid w:val="0BBD26D8"/>
    <w:rsid w:val="0BD83668"/>
    <w:rsid w:val="0BDC0615"/>
    <w:rsid w:val="0BE14CA1"/>
    <w:rsid w:val="0BEC3D32"/>
    <w:rsid w:val="0BEE2235"/>
    <w:rsid w:val="0BFC68BC"/>
    <w:rsid w:val="0C0034E6"/>
    <w:rsid w:val="0C065030"/>
    <w:rsid w:val="0C080AD5"/>
    <w:rsid w:val="0C086A7D"/>
    <w:rsid w:val="0C0A6A27"/>
    <w:rsid w:val="0C114E11"/>
    <w:rsid w:val="0C1A784C"/>
    <w:rsid w:val="0C274DCE"/>
    <w:rsid w:val="0C46607E"/>
    <w:rsid w:val="0C5548A9"/>
    <w:rsid w:val="0C576468"/>
    <w:rsid w:val="0C664AFA"/>
    <w:rsid w:val="0C8A657A"/>
    <w:rsid w:val="0C8E2CD1"/>
    <w:rsid w:val="0CA914B2"/>
    <w:rsid w:val="0CAF0C7F"/>
    <w:rsid w:val="0CBD0903"/>
    <w:rsid w:val="0CC100FF"/>
    <w:rsid w:val="0CC254EF"/>
    <w:rsid w:val="0CC66451"/>
    <w:rsid w:val="0CD3159D"/>
    <w:rsid w:val="0CD448B1"/>
    <w:rsid w:val="0CDB347F"/>
    <w:rsid w:val="0CE265BB"/>
    <w:rsid w:val="0CF55AE9"/>
    <w:rsid w:val="0D144945"/>
    <w:rsid w:val="0D21285D"/>
    <w:rsid w:val="0D2E35AF"/>
    <w:rsid w:val="0D594CA9"/>
    <w:rsid w:val="0D6B4EEA"/>
    <w:rsid w:val="0D6B6995"/>
    <w:rsid w:val="0D701983"/>
    <w:rsid w:val="0D8A5AB3"/>
    <w:rsid w:val="0DAD2D22"/>
    <w:rsid w:val="0DB42092"/>
    <w:rsid w:val="0DBE6008"/>
    <w:rsid w:val="0DBF61BF"/>
    <w:rsid w:val="0DC83E38"/>
    <w:rsid w:val="0DCA5914"/>
    <w:rsid w:val="0DD0098F"/>
    <w:rsid w:val="0DDE50B5"/>
    <w:rsid w:val="0DEE6BC9"/>
    <w:rsid w:val="0DEF4F76"/>
    <w:rsid w:val="0DF3248B"/>
    <w:rsid w:val="0DF54CB4"/>
    <w:rsid w:val="0DFA028E"/>
    <w:rsid w:val="0E0D673E"/>
    <w:rsid w:val="0E127C37"/>
    <w:rsid w:val="0E1E00DB"/>
    <w:rsid w:val="0E1E05C2"/>
    <w:rsid w:val="0E26072A"/>
    <w:rsid w:val="0E2624D8"/>
    <w:rsid w:val="0E2749CA"/>
    <w:rsid w:val="0E4B0373"/>
    <w:rsid w:val="0E4E358F"/>
    <w:rsid w:val="0E5F3788"/>
    <w:rsid w:val="0E617604"/>
    <w:rsid w:val="0E672F7C"/>
    <w:rsid w:val="0E6E7FB5"/>
    <w:rsid w:val="0E7C633F"/>
    <w:rsid w:val="0E814AC2"/>
    <w:rsid w:val="0E883192"/>
    <w:rsid w:val="0EA33B28"/>
    <w:rsid w:val="0EA42C66"/>
    <w:rsid w:val="0EA868E8"/>
    <w:rsid w:val="0EB10D42"/>
    <w:rsid w:val="0EB12F48"/>
    <w:rsid w:val="0EC92AC2"/>
    <w:rsid w:val="0ED81E7B"/>
    <w:rsid w:val="0EDC0255"/>
    <w:rsid w:val="0EE179BF"/>
    <w:rsid w:val="0EF22070"/>
    <w:rsid w:val="0EF97F24"/>
    <w:rsid w:val="0EFF4172"/>
    <w:rsid w:val="0F150CBF"/>
    <w:rsid w:val="0F1A6A9A"/>
    <w:rsid w:val="0F1D17B9"/>
    <w:rsid w:val="0F1E4BA4"/>
    <w:rsid w:val="0F225395"/>
    <w:rsid w:val="0F27335E"/>
    <w:rsid w:val="0F476230"/>
    <w:rsid w:val="0F596F11"/>
    <w:rsid w:val="0F693E64"/>
    <w:rsid w:val="0F6B012B"/>
    <w:rsid w:val="0F7A4074"/>
    <w:rsid w:val="0F7C3C77"/>
    <w:rsid w:val="0F830A0B"/>
    <w:rsid w:val="0F844A1D"/>
    <w:rsid w:val="0F865988"/>
    <w:rsid w:val="0F881D49"/>
    <w:rsid w:val="0FA147D2"/>
    <w:rsid w:val="0FAB2CAE"/>
    <w:rsid w:val="0FC21792"/>
    <w:rsid w:val="0FC844E8"/>
    <w:rsid w:val="0FF114D0"/>
    <w:rsid w:val="0FF7237E"/>
    <w:rsid w:val="10027A63"/>
    <w:rsid w:val="100A4CF4"/>
    <w:rsid w:val="1019168E"/>
    <w:rsid w:val="101F1C3D"/>
    <w:rsid w:val="10277530"/>
    <w:rsid w:val="102F5044"/>
    <w:rsid w:val="10491B9E"/>
    <w:rsid w:val="104B261C"/>
    <w:rsid w:val="105F6456"/>
    <w:rsid w:val="10671C97"/>
    <w:rsid w:val="108161A6"/>
    <w:rsid w:val="10940F58"/>
    <w:rsid w:val="1097780E"/>
    <w:rsid w:val="10BE18E1"/>
    <w:rsid w:val="10BE2681"/>
    <w:rsid w:val="10C413AC"/>
    <w:rsid w:val="10CC7CB9"/>
    <w:rsid w:val="10CD7582"/>
    <w:rsid w:val="10D635E2"/>
    <w:rsid w:val="10E9742C"/>
    <w:rsid w:val="10EA711E"/>
    <w:rsid w:val="10F301AB"/>
    <w:rsid w:val="110872AC"/>
    <w:rsid w:val="11336FD3"/>
    <w:rsid w:val="115761B8"/>
    <w:rsid w:val="116352C6"/>
    <w:rsid w:val="11835237"/>
    <w:rsid w:val="118D4B17"/>
    <w:rsid w:val="118F5AA7"/>
    <w:rsid w:val="11911CFF"/>
    <w:rsid w:val="11AA7170"/>
    <w:rsid w:val="11AF0658"/>
    <w:rsid w:val="11BC5C62"/>
    <w:rsid w:val="11D87871"/>
    <w:rsid w:val="11E37594"/>
    <w:rsid w:val="11EC0FAD"/>
    <w:rsid w:val="11F76931"/>
    <w:rsid w:val="11FD0ED4"/>
    <w:rsid w:val="120615BF"/>
    <w:rsid w:val="120F3255"/>
    <w:rsid w:val="12130FC5"/>
    <w:rsid w:val="12137694"/>
    <w:rsid w:val="122409CA"/>
    <w:rsid w:val="122E4051"/>
    <w:rsid w:val="122E4851"/>
    <w:rsid w:val="12305068"/>
    <w:rsid w:val="12390166"/>
    <w:rsid w:val="123D60DE"/>
    <w:rsid w:val="124D3856"/>
    <w:rsid w:val="124E00AF"/>
    <w:rsid w:val="12520CE4"/>
    <w:rsid w:val="125438A7"/>
    <w:rsid w:val="12555FAC"/>
    <w:rsid w:val="125735A8"/>
    <w:rsid w:val="128E60CC"/>
    <w:rsid w:val="129C32B8"/>
    <w:rsid w:val="12A9616E"/>
    <w:rsid w:val="12AE395F"/>
    <w:rsid w:val="12B84553"/>
    <w:rsid w:val="12C25781"/>
    <w:rsid w:val="12D578D1"/>
    <w:rsid w:val="12F57FA6"/>
    <w:rsid w:val="12F84E17"/>
    <w:rsid w:val="130104E0"/>
    <w:rsid w:val="13166FBF"/>
    <w:rsid w:val="131D034D"/>
    <w:rsid w:val="132C0B2A"/>
    <w:rsid w:val="134043C9"/>
    <w:rsid w:val="1348446B"/>
    <w:rsid w:val="136125AA"/>
    <w:rsid w:val="13645F7C"/>
    <w:rsid w:val="13671EBE"/>
    <w:rsid w:val="136B73A0"/>
    <w:rsid w:val="136F2421"/>
    <w:rsid w:val="13716116"/>
    <w:rsid w:val="137C1167"/>
    <w:rsid w:val="13860B95"/>
    <w:rsid w:val="13940C3A"/>
    <w:rsid w:val="139F1234"/>
    <w:rsid w:val="13A520F1"/>
    <w:rsid w:val="13A54FA8"/>
    <w:rsid w:val="13C41ACB"/>
    <w:rsid w:val="13D10F57"/>
    <w:rsid w:val="13D34413"/>
    <w:rsid w:val="13D41B21"/>
    <w:rsid w:val="13D87D61"/>
    <w:rsid w:val="13FD7DCA"/>
    <w:rsid w:val="140464E6"/>
    <w:rsid w:val="140C03C2"/>
    <w:rsid w:val="140E44FE"/>
    <w:rsid w:val="14146B9E"/>
    <w:rsid w:val="1416280C"/>
    <w:rsid w:val="142734EE"/>
    <w:rsid w:val="142D01F1"/>
    <w:rsid w:val="143251C4"/>
    <w:rsid w:val="143B0CDB"/>
    <w:rsid w:val="143F4529"/>
    <w:rsid w:val="144172C2"/>
    <w:rsid w:val="1443377F"/>
    <w:rsid w:val="144B14ED"/>
    <w:rsid w:val="14532C24"/>
    <w:rsid w:val="1459086F"/>
    <w:rsid w:val="14737B7E"/>
    <w:rsid w:val="1476059A"/>
    <w:rsid w:val="147D311E"/>
    <w:rsid w:val="148E0DD7"/>
    <w:rsid w:val="149716D8"/>
    <w:rsid w:val="149828AD"/>
    <w:rsid w:val="14A07DD7"/>
    <w:rsid w:val="14A70D57"/>
    <w:rsid w:val="14AE62DF"/>
    <w:rsid w:val="14B230D8"/>
    <w:rsid w:val="14B7549C"/>
    <w:rsid w:val="14BA6F9C"/>
    <w:rsid w:val="14DC2898"/>
    <w:rsid w:val="14E84916"/>
    <w:rsid w:val="14F46F38"/>
    <w:rsid w:val="15057B34"/>
    <w:rsid w:val="151414EA"/>
    <w:rsid w:val="151E1FBA"/>
    <w:rsid w:val="1539636E"/>
    <w:rsid w:val="153B0F5F"/>
    <w:rsid w:val="1580141A"/>
    <w:rsid w:val="159A3ED7"/>
    <w:rsid w:val="159B7CAF"/>
    <w:rsid w:val="15A22F07"/>
    <w:rsid w:val="15B631D3"/>
    <w:rsid w:val="15D42430"/>
    <w:rsid w:val="15D728FD"/>
    <w:rsid w:val="15DE7A07"/>
    <w:rsid w:val="15EB4B64"/>
    <w:rsid w:val="15F15AC1"/>
    <w:rsid w:val="15F67012"/>
    <w:rsid w:val="160279A7"/>
    <w:rsid w:val="160504A4"/>
    <w:rsid w:val="160C1048"/>
    <w:rsid w:val="163158B3"/>
    <w:rsid w:val="16354E9B"/>
    <w:rsid w:val="163958CA"/>
    <w:rsid w:val="16467BBB"/>
    <w:rsid w:val="1647177F"/>
    <w:rsid w:val="16567FC8"/>
    <w:rsid w:val="166B3977"/>
    <w:rsid w:val="167637C5"/>
    <w:rsid w:val="167A0C77"/>
    <w:rsid w:val="167E75CC"/>
    <w:rsid w:val="16A36C4C"/>
    <w:rsid w:val="16A400DD"/>
    <w:rsid w:val="16C62043"/>
    <w:rsid w:val="16D24731"/>
    <w:rsid w:val="16D91566"/>
    <w:rsid w:val="16DF5E6F"/>
    <w:rsid w:val="16F944A3"/>
    <w:rsid w:val="16F969DB"/>
    <w:rsid w:val="170524D3"/>
    <w:rsid w:val="170A1912"/>
    <w:rsid w:val="170C2100"/>
    <w:rsid w:val="17491FFB"/>
    <w:rsid w:val="174A2477"/>
    <w:rsid w:val="17504DAC"/>
    <w:rsid w:val="17575E37"/>
    <w:rsid w:val="17615087"/>
    <w:rsid w:val="1765186A"/>
    <w:rsid w:val="176B77AA"/>
    <w:rsid w:val="1785392A"/>
    <w:rsid w:val="17865ECB"/>
    <w:rsid w:val="178B36C1"/>
    <w:rsid w:val="178E6D8E"/>
    <w:rsid w:val="17910EDC"/>
    <w:rsid w:val="17911860"/>
    <w:rsid w:val="17A11B4E"/>
    <w:rsid w:val="17A17716"/>
    <w:rsid w:val="17B60618"/>
    <w:rsid w:val="17C876C2"/>
    <w:rsid w:val="17DD5B59"/>
    <w:rsid w:val="17E80C04"/>
    <w:rsid w:val="17E82972"/>
    <w:rsid w:val="17F41CBA"/>
    <w:rsid w:val="180979F7"/>
    <w:rsid w:val="181D33B8"/>
    <w:rsid w:val="182513DA"/>
    <w:rsid w:val="18270D82"/>
    <w:rsid w:val="1831720C"/>
    <w:rsid w:val="184E506A"/>
    <w:rsid w:val="185146BA"/>
    <w:rsid w:val="18707171"/>
    <w:rsid w:val="18750CD3"/>
    <w:rsid w:val="1885124F"/>
    <w:rsid w:val="18855377"/>
    <w:rsid w:val="188A571E"/>
    <w:rsid w:val="1892587B"/>
    <w:rsid w:val="18A30C02"/>
    <w:rsid w:val="18C02C4C"/>
    <w:rsid w:val="18DB14E5"/>
    <w:rsid w:val="18E57559"/>
    <w:rsid w:val="18EF076E"/>
    <w:rsid w:val="19053D5D"/>
    <w:rsid w:val="19064E0D"/>
    <w:rsid w:val="191775ED"/>
    <w:rsid w:val="192813CB"/>
    <w:rsid w:val="19295104"/>
    <w:rsid w:val="193D1BDC"/>
    <w:rsid w:val="194957AF"/>
    <w:rsid w:val="194C13BF"/>
    <w:rsid w:val="19642A6B"/>
    <w:rsid w:val="19691470"/>
    <w:rsid w:val="197F7C83"/>
    <w:rsid w:val="19854261"/>
    <w:rsid w:val="198D5B01"/>
    <w:rsid w:val="1992340E"/>
    <w:rsid w:val="199E2404"/>
    <w:rsid w:val="19A14174"/>
    <w:rsid w:val="19A55925"/>
    <w:rsid w:val="19A570A0"/>
    <w:rsid w:val="19B3135A"/>
    <w:rsid w:val="19C06477"/>
    <w:rsid w:val="19CF596B"/>
    <w:rsid w:val="19D30994"/>
    <w:rsid w:val="19E86AEC"/>
    <w:rsid w:val="19EA566C"/>
    <w:rsid w:val="19EB7E54"/>
    <w:rsid w:val="19F13777"/>
    <w:rsid w:val="19F34064"/>
    <w:rsid w:val="19F91830"/>
    <w:rsid w:val="19FA4842"/>
    <w:rsid w:val="1A172818"/>
    <w:rsid w:val="1A211A0F"/>
    <w:rsid w:val="1A264560"/>
    <w:rsid w:val="1A2A1716"/>
    <w:rsid w:val="1A324E43"/>
    <w:rsid w:val="1A400DC5"/>
    <w:rsid w:val="1A4B173C"/>
    <w:rsid w:val="1A5168C1"/>
    <w:rsid w:val="1A605518"/>
    <w:rsid w:val="1A697909"/>
    <w:rsid w:val="1A731652"/>
    <w:rsid w:val="1A733B5A"/>
    <w:rsid w:val="1A7B00C8"/>
    <w:rsid w:val="1A830457"/>
    <w:rsid w:val="1A9F6C3B"/>
    <w:rsid w:val="1AB34123"/>
    <w:rsid w:val="1AB377E9"/>
    <w:rsid w:val="1AC90DBB"/>
    <w:rsid w:val="1ADA0BE2"/>
    <w:rsid w:val="1AE172C8"/>
    <w:rsid w:val="1AF6285F"/>
    <w:rsid w:val="1AFE6CB6"/>
    <w:rsid w:val="1B0A4E28"/>
    <w:rsid w:val="1B302735"/>
    <w:rsid w:val="1B304996"/>
    <w:rsid w:val="1B34728D"/>
    <w:rsid w:val="1B433206"/>
    <w:rsid w:val="1B53680D"/>
    <w:rsid w:val="1B776A68"/>
    <w:rsid w:val="1B845B60"/>
    <w:rsid w:val="1B857182"/>
    <w:rsid w:val="1BA218CD"/>
    <w:rsid w:val="1BB67C2B"/>
    <w:rsid w:val="1BBB0703"/>
    <w:rsid w:val="1BC936EA"/>
    <w:rsid w:val="1BD351C7"/>
    <w:rsid w:val="1BF04536"/>
    <w:rsid w:val="1BF41BC1"/>
    <w:rsid w:val="1BF71672"/>
    <w:rsid w:val="1BF818DE"/>
    <w:rsid w:val="1C1C3D1B"/>
    <w:rsid w:val="1C244B31"/>
    <w:rsid w:val="1C2D7127"/>
    <w:rsid w:val="1C2F353E"/>
    <w:rsid w:val="1C345F49"/>
    <w:rsid w:val="1C36064E"/>
    <w:rsid w:val="1C374442"/>
    <w:rsid w:val="1C4D6F6D"/>
    <w:rsid w:val="1C556DAA"/>
    <w:rsid w:val="1C566D93"/>
    <w:rsid w:val="1C5818E7"/>
    <w:rsid w:val="1C642685"/>
    <w:rsid w:val="1C6963B1"/>
    <w:rsid w:val="1C741C4A"/>
    <w:rsid w:val="1C790C21"/>
    <w:rsid w:val="1C7C536C"/>
    <w:rsid w:val="1C7F05D8"/>
    <w:rsid w:val="1C801478"/>
    <w:rsid w:val="1C9654AC"/>
    <w:rsid w:val="1C9D16D9"/>
    <w:rsid w:val="1C9E4662"/>
    <w:rsid w:val="1CA3601B"/>
    <w:rsid w:val="1CA760F9"/>
    <w:rsid w:val="1CAA1164"/>
    <w:rsid w:val="1CB6082B"/>
    <w:rsid w:val="1CD24707"/>
    <w:rsid w:val="1CE03091"/>
    <w:rsid w:val="1CF24359"/>
    <w:rsid w:val="1CF63540"/>
    <w:rsid w:val="1CF7445F"/>
    <w:rsid w:val="1D006C9E"/>
    <w:rsid w:val="1D2104FF"/>
    <w:rsid w:val="1D2C5CCF"/>
    <w:rsid w:val="1D490807"/>
    <w:rsid w:val="1D5D21F3"/>
    <w:rsid w:val="1D6A66CF"/>
    <w:rsid w:val="1D8232BF"/>
    <w:rsid w:val="1D9236E6"/>
    <w:rsid w:val="1D9A3A9C"/>
    <w:rsid w:val="1DD53933"/>
    <w:rsid w:val="1DD76C4A"/>
    <w:rsid w:val="1E1C02AE"/>
    <w:rsid w:val="1E3310AF"/>
    <w:rsid w:val="1E837978"/>
    <w:rsid w:val="1E98285E"/>
    <w:rsid w:val="1EB606F1"/>
    <w:rsid w:val="1EB853A6"/>
    <w:rsid w:val="1EBB0EE5"/>
    <w:rsid w:val="1EC24FBC"/>
    <w:rsid w:val="1EC354EC"/>
    <w:rsid w:val="1EC51AA6"/>
    <w:rsid w:val="1EDB2F64"/>
    <w:rsid w:val="1EE100D8"/>
    <w:rsid w:val="1F046AF5"/>
    <w:rsid w:val="1F05540B"/>
    <w:rsid w:val="1F075687"/>
    <w:rsid w:val="1F087761"/>
    <w:rsid w:val="1F0E4681"/>
    <w:rsid w:val="1F156A91"/>
    <w:rsid w:val="1F1D6B39"/>
    <w:rsid w:val="1F3946D2"/>
    <w:rsid w:val="1F594DB9"/>
    <w:rsid w:val="1F5A0233"/>
    <w:rsid w:val="1F5F6856"/>
    <w:rsid w:val="1F7004B6"/>
    <w:rsid w:val="1F834B8A"/>
    <w:rsid w:val="1F8D1F0C"/>
    <w:rsid w:val="1F91697C"/>
    <w:rsid w:val="1F933760"/>
    <w:rsid w:val="1FB90BD2"/>
    <w:rsid w:val="1FCC4CE0"/>
    <w:rsid w:val="1FCF341B"/>
    <w:rsid w:val="1FD223CC"/>
    <w:rsid w:val="1FD91978"/>
    <w:rsid w:val="1FDB3601"/>
    <w:rsid w:val="1FE51972"/>
    <w:rsid w:val="1FF20A3D"/>
    <w:rsid w:val="200306C1"/>
    <w:rsid w:val="200A3CB9"/>
    <w:rsid w:val="200C3F61"/>
    <w:rsid w:val="20231F1D"/>
    <w:rsid w:val="20275C3B"/>
    <w:rsid w:val="202A223A"/>
    <w:rsid w:val="203E357E"/>
    <w:rsid w:val="20444074"/>
    <w:rsid w:val="204708DC"/>
    <w:rsid w:val="204D6DBD"/>
    <w:rsid w:val="20537965"/>
    <w:rsid w:val="207417C9"/>
    <w:rsid w:val="20752281"/>
    <w:rsid w:val="208B0796"/>
    <w:rsid w:val="20947338"/>
    <w:rsid w:val="209D3B47"/>
    <w:rsid w:val="20A610F0"/>
    <w:rsid w:val="20A84DA2"/>
    <w:rsid w:val="20C31470"/>
    <w:rsid w:val="20EB6E90"/>
    <w:rsid w:val="20F566D7"/>
    <w:rsid w:val="20F61221"/>
    <w:rsid w:val="21020728"/>
    <w:rsid w:val="212D00FC"/>
    <w:rsid w:val="213F3143"/>
    <w:rsid w:val="214C7AE4"/>
    <w:rsid w:val="215E1B43"/>
    <w:rsid w:val="216040F6"/>
    <w:rsid w:val="21611C79"/>
    <w:rsid w:val="21684497"/>
    <w:rsid w:val="21716E21"/>
    <w:rsid w:val="217D0AF0"/>
    <w:rsid w:val="21842E27"/>
    <w:rsid w:val="219911A6"/>
    <w:rsid w:val="219A78DD"/>
    <w:rsid w:val="21A92F1A"/>
    <w:rsid w:val="21F038ED"/>
    <w:rsid w:val="22052D36"/>
    <w:rsid w:val="2221772E"/>
    <w:rsid w:val="22351430"/>
    <w:rsid w:val="223664CB"/>
    <w:rsid w:val="22376316"/>
    <w:rsid w:val="22376329"/>
    <w:rsid w:val="224B14A9"/>
    <w:rsid w:val="22585DC2"/>
    <w:rsid w:val="225E2D0D"/>
    <w:rsid w:val="22781750"/>
    <w:rsid w:val="227E25CE"/>
    <w:rsid w:val="228608D2"/>
    <w:rsid w:val="22975FF9"/>
    <w:rsid w:val="22A86F1F"/>
    <w:rsid w:val="22B833DD"/>
    <w:rsid w:val="22CD304D"/>
    <w:rsid w:val="22D03523"/>
    <w:rsid w:val="22D336DA"/>
    <w:rsid w:val="22D51B13"/>
    <w:rsid w:val="22D64270"/>
    <w:rsid w:val="22E937A0"/>
    <w:rsid w:val="22EA6811"/>
    <w:rsid w:val="22EC6D11"/>
    <w:rsid w:val="22F34B5D"/>
    <w:rsid w:val="22F36D55"/>
    <w:rsid w:val="230F55FD"/>
    <w:rsid w:val="23144B9D"/>
    <w:rsid w:val="23272B22"/>
    <w:rsid w:val="233A26D6"/>
    <w:rsid w:val="233A51D6"/>
    <w:rsid w:val="234E60FE"/>
    <w:rsid w:val="23507C05"/>
    <w:rsid w:val="23536745"/>
    <w:rsid w:val="23682737"/>
    <w:rsid w:val="236D0B32"/>
    <w:rsid w:val="23757D3B"/>
    <w:rsid w:val="238816F3"/>
    <w:rsid w:val="23AC1C72"/>
    <w:rsid w:val="23B412CF"/>
    <w:rsid w:val="23CE409D"/>
    <w:rsid w:val="23CF396C"/>
    <w:rsid w:val="23D33853"/>
    <w:rsid w:val="23E2297A"/>
    <w:rsid w:val="23FA49B5"/>
    <w:rsid w:val="240A5181"/>
    <w:rsid w:val="24163166"/>
    <w:rsid w:val="241648EC"/>
    <w:rsid w:val="241B6EB2"/>
    <w:rsid w:val="24292502"/>
    <w:rsid w:val="243A226C"/>
    <w:rsid w:val="24594F73"/>
    <w:rsid w:val="245F7590"/>
    <w:rsid w:val="24872001"/>
    <w:rsid w:val="24A85FE8"/>
    <w:rsid w:val="24B574D7"/>
    <w:rsid w:val="24B765CC"/>
    <w:rsid w:val="24B81D65"/>
    <w:rsid w:val="24D5113B"/>
    <w:rsid w:val="24D56E85"/>
    <w:rsid w:val="24DE2601"/>
    <w:rsid w:val="24EB5CC9"/>
    <w:rsid w:val="24FC1555"/>
    <w:rsid w:val="25154C96"/>
    <w:rsid w:val="251C28C4"/>
    <w:rsid w:val="252C3286"/>
    <w:rsid w:val="252D3185"/>
    <w:rsid w:val="25326339"/>
    <w:rsid w:val="253A3226"/>
    <w:rsid w:val="253C68AF"/>
    <w:rsid w:val="25427F6D"/>
    <w:rsid w:val="25470319"/>
    <w:rsid w:val="25494795"/>
    <w:rsid w:val="2556149D"/>
    <w:rsid w:val="256F6C59"/>
    <w:rsid w:val="25872023"/>
    <w:rsid w:val="259D314D"/>
    <w:rsid w:val="259F0103"/>
    <w:rsid w:val="25A160E0"/>
    <w:rsid w:val="25AD1448"/>
    <w:rsid w:val="25B54EBC"/>
    <w:rsid w:val="25B763DF"/>
    <w:rsid w:val="25BA6FAE"/>
    <w:rsid w:val="25C1250D"/>
    <w:rsid w:val="25D32AED"/>
    <w:rsid w:val="25E23ACA"/>
    <w:rsid w:val="25F04EBA"/>
    <w:rsid w:val="260723BB"/>
    <w:rsid w:val="260B6605"/>
    <w:rsid w:val="26123616"/>
    <w:rsid w:val="262320D6"/>
    <w:rsid w:val="263016B8"/>
    <w:rsid w:val="267C4F33"/>
    <w:rsid w:val="26842299"/>
    <w:rsid w:val="26A31741"/>
    <w:rsid w:val="26D067C0"/>
    <w:rsid w:val="26F05A4B"/>
    <w:rsid w:val="26F254F3"/>
    <w:rsid w:val="26F51F02"/>
    <w:rsid w:val="26F67C1E"/>
    <w:rsid w:val="27055E4D"/>
    <w:rsid w:val="270A23EE"/>
    <w:rsid w:val="27107456"/>
    <w:rsid w:val="2718078E"/>
    <w:rsid w:val="271C608E"/>
    <w:rsid w:val="271E3733"/>
    <w:rsid w:val="272F4561"/>
    <w:rsid w:val="27376B8E"/>
    <w:rsid w:val="273F73D5"/>
    <w:rsid w:val="27502994"/>
    <w:rsid w:val="27521292"/>
    <w:rsid w:val="27571307"/>
    <w:rsid w:val="27592458"/>
    <w:rsid w:val="275D315E"/>
    <w:rsid w:val="276332FD"/>
    <w:rsid w:val="2763650E"/>
    <w:rsid w:val="276514C0"/>
    <w:rsid w:val="277E2341"/>
    <w:rsid w:val="278110BB"/>
    <w:rsid w:val="27C374C1"/>
    <w:rsid w:val="27CF4899"/>
    <w:rsid w:val="27DD6B49"/>
    <w:rsid w:val="27DF6684"/>
    <w:rsid w:val="27F94EF0"/>
    <w:rsid w:val="27F956BA"/>
    <w:rsid w:val="28095657"/>
    <w:rsid w:val="280F280D"/>
    <w:rsid w:val="28150960"/>
    <w:rsid w:val="281A5A62"/>
    <w:rsid w:val="282B73F2"/>
    <w:rsid w:val="2836526E"/>
    <w:rsid w:val="285015BF"/>
    <w:rsid w:val="285F5A84"/>
    <w:rsid w:val="2866095B"/>
    <w:rsid w:val="286F4A73"/>
    <w:rsid w:val="28906A22"/>
    <w:rsid w:val="289134BD"/>
    <w:rsid w:val="28991DCC"/>
    <w:rsid w:val="289E1222"/>
    <w:rsid w:val="28AE25AC"/>
    <w:rsid w:val="28AF39C7"/>
    <w:rsid w:val="28B02EE9"/>
    <w:rsid w:val="28DB240F"/>
    <w:rsid w:val="28DF65EC"/>
    <w:rsid w:val="28ED036A"/>
    <w:rsid w:val="28F74C7C"/>
    <w:rsid w:val="28FB72BE"/>
    <w:rsid w:val="290D3737"/>
    <w:rsid w:val="291D7D57"/>
    <w:rsid w:val="292114A2"/>
    <w:rsid w:val="29244A4C"/>
    <w:rsid w:val="296F5223"/>
    <w:rsid w:val="29715E53"/>
    <w:rsid w:val="297C3617"/>
    <w:rsid w:val="2985325F"/>
    <w:rsid w:val="298D3B24"/>
    <w:rsid w:val="29966622"/>
    <w:rsid w:val="299F1D6F"/>
    <w:rsid w:val="29A6760D"/>
    <w:rsid w:val="29AA3EF2"/>
    <w:rsid w:val="29AE1244"/>
    <w:rsid w:val="29BE366D"/>
    <w:rsid w:val="29F721E7"/>
    <w:rsid w:val="2A1E41F0"/>
    <w:rsid w:val="2A241B69"/>
    <w:rsid w:val="2A3859A2"/>
    <w:rsid w:val="2A4B3E78"/>
    <w:rsid w:val="2A4D0D63"/>
    <w:rsid w:val="2A583412"/>
    <w:rsid w:val="2A5F15EA"/>
    <w:rsid w:val="2A632D14"/>
    <w:rsid w:val="2A810DF9"/>
    <w:rsid w:val="2A8B152B"/>
    <w:rsid w:val="2A8C6DFE"/>
    <w:rsid w:val="2AAF7EC2"/>
    <w:rsid w:val="2ABC2E13"/>
    <w:rsid w:val="2AC834AA"/>
    <w:rsid w:val="2AC845CA"/>
    <w:rsid w:val="2AC93BCD"/>
    <w:rsid w:val="2ACC4969"/>
    <w:rsid w:val="2AD021DE"/>
    <w:rsid w:val="2AD72ECE"/>
    <w:rsid w:val="2AE008A0"/>
    <w:rsid w:val="2AF1233F"/>
    <w:rsid w:val="2AF8368D"/>
    <w:rsid w:val="2B02599F"/>
    <w:rsid w:val="2B066F4B"/>
    <w:rsid w:val="2B187016"/>
    <w:rsid w:val="2B1C6552"/>
    <w:rsid w:val="2B217FDB"/>
    <w:rsid w:val="2B2558B1"/>
    <w:rsid w:val="2B2A4A35"/>
    <w:rsid w:val="2B2A5090"/>
    <w:rsid w:val="2B355335"/>
    <w:rsid w:val="2B375065"/>
    <w:rsid w:val="2B392C00"/>
    <w:rsid w:val="2B4A6823"/>
    <w:rsid w:val="2B5B259F"/>
    <w:rsid w:val="2B5C0678"/>
    <w:rsid w:val="2B622D38"/>
    <w:rsid w:val="2B732927"/>
    <w:rsid w:val="2BA9637C"/>
    <w:rsid w:val="2BBE1D45"/>
    <w:rsid w:val="2BBF1858"/>
    <w:rsid w:val="2BC91706"/>
    <w:rsid w:val="2BDC1BE5"/>
    <w:rsid w:val="2BDD601E"/>
    <w:rsid w:val="2C057779"/>
    <w:rsid w:val="2C0676E9"/>
    <w:rsid w:val="2C0A4015"/>
    <w:rsid w:val="2C1160C8"/>
    <w:rsid w:val="2C1267C7"/>
    <w:rsid w:val="2C267E1B"/>
    <w:rsid w:val="2C2C1647"/>
    <w:rsid w:val="2C2C2449"/>
    <w:rsid w:val="2C532427"/>
    <w:rsid w:val="2C55425C"/>
    <w:rsid w:val="2C5F24CD"/>
    <w:rsid w:val="2C626634"/>
    <w:rsid w:val="2C70239B"/>
    <w:rsid w:val="2C7C3B77"/>
    <w:rsid w:val="2C9A6AE5"/>
    <w:rsid w:val="2CA32CB5"/>
    <w:rsid w:val="2CAD3CDB"/>
    <w:rsid w:val="2CAF6A4D"/>
    <w:rsid w:val="2CCD158E"/>
    <w:rsid w:val="2CD45F3F"/>
    <w:rsid w:val="2CD52537"/>
    <w:rsid w:val="2CD5297C"/>
    <w:rsid w:val="2CD9778E"/>
    <w:rsid w:val="2CDD6663"/>
    <w:rsid w:val="2CE00F82"/>
    <w:rsid w:val="2CE81574"/>
    <w:rsid w:val="2CF45EA7"/>
    <w:rsid w:val="2CFC6B5F"/>
    <w:rsid w:val="2D0910DD"/>
    <w:rsid w:val="2D0B20F1"/>
    <w:rsid w:val="2D145EC5"/>
    <w:rsid w:val="2D4D2A86"/>
    <w:rsid w:val="2D4D3C25"/>
    <w:rsid w:val="2D4F0725"/>
    <w:rsid w:val="2D765249"/>
    <w:rsid w:val="2D880661"/>
    <w:rsid w:val="2D9F5F69"/>
    <w:rsid w:val="2DB13887"/>
    <w:rsid w:val="2DB42486"/>
    <w:rsid w:val="2DBF4E1B"/>
    <w:rsid w:val="2DDD0F1B"/>
    <w:rsid w:val="2DE018B7"/>
    <w:rsid w:val="2DEF2E22"/>
    <w:rsid w:val="2E0903B5"/>
    <w:rsid w:val="2E1351A1"/>
    <w:rsid w:val="2E1D22A5"/>
    <w:rsid w:val="2E295242"/>
    <w:rsid w:val="2E4A6FAB"/>
    <w:rsid w:val="2E4D4756"/>
    <w:rsid w:val="2E5F4C07"/>
    <w:rsid w:val="2E616941"/>
    <w:rsid w:val="2E8C6F30"/>
    <w:rsid w:val="2E8D23D3"/>
    <w:rsid w:val="2E904CC8"/>
    <w:rsid w:val="2EA428CB"/>
    <w:rsid w:val="2EC573A3"/>
    <w:rsid w:val="2ECB4297"/>
    <w:rsid w:val="2ECE6F73"/>
    <w:rsid w:val="2ECF1870"/>
    <w:rsid w:val="2ECF45C2"/>
    <w:rsid w:val="2ED85E31"/>
    <w:rsid w:val="2EE42E67"/>
    <w:rsid w:val="2EE55A12"/>
    <w:rsid w:val="2EF100EE"/>
    <w:rsid w:val="2F0E6E69"/>
    <w:rsid w:val="2F1608F5"/>
    <w:rsid w:val="2F190EC1"/>
    <w:rsid w:val="2F1C20A0"/>
    <w:rsid w:val="2F1E4BCD"/>
    <w:rsid w:val="2F1F2F0D"/>
    <w:rsid w:val="2F2271E4"/>
    <w:rsid w:val="2F3B4C46"/>
    <w:rsid w:val="2F3E4B63"/>
    <w:rsid w:val="2F4021A2"/>
    <w:rsid w:val="2F4D7598"/>
    <w:rsid w:val="2F596BED"/>
    <w:rsid w:val="2F676AFF"/>
    <w:rsid w:val="2F7F4F70"/>
    <w:rsid w:val="2F85342B"/>
    <w:rsid w:val="2F9B6DD0"/>
    <w:rsid w:val="2F9C03F4"/>
    <w:rsid w:val="2FA13C7D"/>
    <w:rsid w:val="2FA17100"/>
    <w:rsid w:val="2FB55056"/>
    <w:rsid w:val="2FCB2DFE"/>
    <w:rsid w:val="2FCF5E3F"/>
    <w:rsid w:val="2FD5259C"/>
    <w:rsid w:val="2FEC7EE9"/>
    <w:rsid w:val="2FFA60F1"/>
    <w:rsid w:val="2FFC6268"/>
    <w:rsid w:val="30000E8B"/>
    <w:rsid w:val="30015BEC"/>
    <w:rsid w:val="3002199C"/>
    <w:rsid w:val="30052AD8"/>
    <w:rsid w:val="30092B7D"/>
    <w:rsid w:val="300E3493"/>
    <w:rsid w:val="302A2225"/>
    <w:rsid w:val="3031223E"/>
    <w:rsid w:val="30454052"/>
    <w:rsid w:val="304F3298"/>
    <w:rsid w:val="305853BF"/>
    <w:rsid w:val="30637280"/>
    <w:rsid w:val="30724FBA"/>
    <w:rsid w:val="307E23AE"/>
    <w:rsid w:val="309159EE"/>
    <w:rsid w:val="30930A9B"/>
    <w:rsid w:val="3097524D"/>
    <w:rsid w:val="30997E21"/>
    <w:rsid w:val="30AA4F46"/>
    <w:rsid w:val="30CE4322"/>
    <w:rsid w:val="30DB07C9"/>
    <w:rsid w:val="30DC1321"/>
    <w:rsid w:val="30E23574"/>
    <w:rsid w:val="30EB254E"/>
    <w:rsid w:val="30F03E57"/>
    <w:rsid w:val="30F076B5"/>
    <w:rsid w:val="30FB7CA3"/>
    <w:rsid w:val="30FD589E"/>
    <w:rsid w:val="310061F3"/>
    <w:rsid w:val="31084B15"/>
    <w:rsid w:val="310C3D76"/>
    <w:rsid w:val="31111920"/>
    <w:rsid w:val="312471BF"/>
    <w:rsid w:val="312E2D17"/>
    <w:rsid w:val="313156F3"/>
    <w:rsid w:val="31394038"/>
    <w:rsid w:val="313962E7"/>
    <w:rsid w:val="31432B26"/>
    <w:rsid w:val="314B28A7"/>
    <w:rsid w:val="315640CE"/>
    <w:rsid w:val="315C3073"/>
    <w:rsid w:val="31647755"/>
    <w:rsid w:val="316A3890"/>
    <w:rsid w:val="317C5486"/>
    <w:rsid w:val="317F351D"/>
    <w:rsid w:val="319A03C4"/>
    <w:rsid w:val="31A570F1"/>
    <w:rsid w:val="31A9754E"/>
    <w:rsid w:val="31AF6778"/>
    <w:rsid w:val="31BC0979"/>
    <w:rsid w:val="31BD7164"/>
    <w:rsid w:val="31C854D0"/>
    <w:rsid w:val="31CD7115"/>
    <w:rsid w:val="31D22D8A"/>
    <w:rsid w:val="31DD1910"/>
    <w:rsid w:val="320D7ABE"/>
    <w:rsid w:val="3214150F"/>
    <w:rsid w:val="32565F56"/>
    <w:rsid w:val="32642F06"/>
    <w:rsid w:val="326673F3"/>
    <w:rsid w:val="32817554"/>
    <w:rsid w:val="32A27614"/>
    <w:rsid w:val="32A327AF"/>
    <w:rsid w:val="32A70330"/>
    <w:rsid w:val="32BD25FF"/>
    <w:rsid w:val="32DC52F6"/>
    <w:rsid w:val="32E320FF"/>
    <w:rsid w:val="32E661F0"/>
    <w:rsid w:val="32FC4D49"/>
    <w:rsid w:val="330627BA"/>
    <w:rsid w:val="33076F3B"/>
    <w:rsid w:val="331000DD"/>
    <w:rsid w:val="331B7BC4"/>
    <w:rsid w:val="3321118F"/>
    <w:rsid w:val="332B3F69"/>
    <w:rsid w:val="332E5807"/>
    <w:rsid w:val="33324454"/>
    <w:rsid w:val="334B63B9"/>
    <w:rsid w:val="335A6627"/>
    <w:rsid w:val="335B5BF0"/>
    <w:rsid w:val="33640566"/>
    <w:rsid w:val="336477C1"/>
    <w:rsid w:val="336E6602"/>
    <w:rsid w:val="336F30D7"/>
    <w:rsid w:val="33771BF8"/>
    <w:rsid w:val="33787492"/>
    <w:rsid w:val="33820815"/>
    <w:rsid w:val="33940DAA"/>
    <w:rsid w:val="3399686E"/>
    <w:rsid w:val="339A6815"/>
    <w:rsid w:val="33A37FA3"/>
    <w:rsid w:val="33A764A6"/>
    <w:rsid w:val="33A7788D"/>
    <w:rsid w:val="33A958BF"/>
    <w:rsid w:val="33B22C96"/>
    <w:rsid w:val="33B757A4"/>
    <w:rsid w:val="33BE3E46"/>
    <w:rsid w:val="33C0477E"/>
    <w:rsid w:val="33D46630"/>
    <w:rsid w:val="33D5378C"/>
    <w:rsid w:val="33D62E34"/>
    <w:rsid w:val="33E732A6"/>
    <w:rsid w:val="34004324"/>
    <w:rsid w:val="340203A3"/>
    <w:rsid w:val="340A0783"/>
    <w:rsid w:val="34166F95"/>
    <w:rsid w:val="341C7DAD"/>
    <w:rsid w:val="3422544F"/>
    <w:rsid w:val="3425076B"/>
    <w:rsid w:val="342510AA"/>
    <w:rsid w:val="342876AB"/>
    <w:rsid w:val="343A4D6E"/>
    <w:rsid w:val="343F345F"/>
    <w:rsid w:val="34512184"/>
    <w:rsid w:val="34515C51"/>
    <w:rsid w:val="345A5664"/>
    <w:rsid w:val="34621846"/>
    <w:rsid w:val="34641FD3"/>
    <w:rsid w:val="346F4329"/>
    <w:rsid w:val="347D7D6A"/>
    <w:rsid w:val="34966D17"/>
    <w:rsid w:val="34B26B47"/>
    <w:rsid w:val="34C93A39"/>
    <w:rsid w:val="34CC7122"/>
    <w:rsid w:val="34D16E3A"/>
    <w:rsid w:val="34D75892"/>
    <w:rsid w:val="34E24ED4"/>
    <w:rsid w:val="34EE3225"/>
    <w:rsid w:val="34F00132"/>
    <w:rsid w:val="34F97807"/>
    <w:rsid w:val="34FF7986"/>
    <w:rsid w:val="350034C2"/>
    <w:rsid w:val="350412E2"/>
    <w:rsid w:val="35093304"/>
    <w:rsid w:val="35114C39"/>
    <w:rsid w:val="35170C48"/>
    <w:rsid w:val="351C000D"/>
    <w:rsid w:val="352207CD"/>
    <w:rsid w:val="352260F8"/>
    <w:rsid w:val="35474F9A"/>
    <w:rsid w:val="35536ABC"/>
    <w:rsid w:val="355E310A"/>
    <w:rsid w:val="356846BE"/>
    <w:rsid w:val="356D5FA2"/>
    <w:rsid w:val="35747AC1"/>
    <w:rsid w:val="35897BAD"/>
    <w:rsid w:val="35B77E4B"/>
    <w:rsid w:val="35BE377F"/>
    <w:rsid w:val="35C47314"/>
    <w:rsid w:val="35CE5853"/>
    <w:rsid w:val="35D63E27"/>
    <w:rsid w:val="35DD0948"/>
    <w:rsid w:val="35E91C0B"/>
    <w:rsid w:val="35F52DE5"/>
    <w:rsid w:val="35FF51B6"/>
    <w:rsid w:val="3600086A"/>
    <w:rsid w:val="361B2EDF"/>
    <w:rsid w:val="36215F6F"/>
    <w:rsid w:val="36344A13"/>
    <w:rsid w:val="36374023"/>
    <w:rsid w:val="363E3219"/>
    <w:rsid w:val="363E322F"/>
    <w:rsid w:val="36604D13"/>
    <w:rsid w:val="367D3306"/>
    <w:rsid w:val="3684218C"/>
    <w:rsid w:val="36857DF2"/>
    <w:rsid w:val="368C2F70"/>
    <w:rsid w:val="368E130B"/>
    <w:rsid w:val="36914775"/>
    <w:rsid w:val="3691496A"/>
    <w:rsid w:val="36950F5B"/>
    <w:rsid w:val="369D3B9D"/>
    <w:rsid w:val="369F0656"/>
    <w:rsid w:val="36A72186"/>
    <w:rsid w:val="36B667BF"/>
    <w:rsid w:val="36BF3C07"/>
    <w:rsid w:val="36CB0519"/>
    <w:rsid w:val="36CC7755"/>
    <w:rsid w:val="36D718AE"/>
    <w:rsid w:val="36E96615"/>
    <w:rsid w:val="36F17277"/>
    <w:rsid w:val="37144F80"/>
    <w:rsid w:val="371B3AEA"/>
    <w:rsid w:val="37381826"/>
    <w:rsid w:val="373E5A60"/>
    <w:rsid w:val="374207EE"/>
    <w:rsid w:val="37432CF5"/>
    <w:rsid w:val="37440580"/>
    <w:rsid w:val="37456064"/>
    <w:rsid w:val="375901E0"/>
    <w:rsid w:val="375E3EA0"/>
    <w:rsid w:val="37623CBA"/>
    <w:rsid w:val="376557EC"/>
    <w:rsid w:val="3767194A"/>
    <w:rsid w:val="37695060"/>
    <w:rsid w:val="3778259E"/>
    <w:rsid w:val="377C61DA"/>
    <w:rsid w:val="377D09E1"/>
    <w:rsid w:val="37832FE7"/>
    <w:rsid w:val="378412F3"/>
    <w:rsid w:val="37870141"/>
    <w:rsid w:val="379425DE"/>
    <w:rsid w:val="37A851C8"/>
    <w:rsid w:val="37B46FC0"/>
    <w:rsid w:val="37C67923"/>
    <w:rsid w:val="37D309F1"/>
    <w:rsid w:val="37E23E96"/>
    <w:rsid w:val="37F0180F"/>
    <w:rsid w:val="38016A94"/>
    <w:rsid w:val="380A3C20"/>
    <w:rsid w:val="381A45AC"/>
    <w:rsid w:val="383218F5"/>
    <w:rsid w:val="38352ED1"/>
    <w:rsid w:val="3838056E"/>
    <w:rsid w:val="3838690F"/>
    <w:rsid w:val="383A223B"/>
    <w:rsid w:val="38404463"/>
    <w:rsid w:val="38507D0B"/>
    <w:rsid w:val="385F3394"/>
    <w:rsid w:val="3860039D"/>
    <w:rsid w:val="3861037A"/>
    <w:rsid w:val="386C056B"/>
    <w:rsid w:val="38865F9F"/>
    <w:rsid w:val="38877E93"/>
    <w:rsid w:val="388B307B"/>
    <w:rsid w:val="38995E18"/>
    <w:rsid w:val="389D1A4C"/>
    <w:rsid w:val="38B13162"/>
    <w:rsid w:val="38BB1A13"/>
    <w:rsid w:val="38BD06FF"/>
    <w:rsid w:val="38DA0686"/>
    <w:rsid w:val="38DB1AA1"/>
    <w:rsid w:val="38E04980"/>
    <w:rsid w:val="38E85570"/>
    <w:rsid w:val="38F15C4B"/>
    <w:rsid w:val="39033759"/>
    <w:rsid w:val="39115BB5"/>
    <w:rsid w:val="39192B25"/>
    <w:rsid w:val="391A7B5A"/>
    <w:rsid w:val="394764D6"/>
    <w:rsid w:val="39751A39"/>
    <w:rsid w:val="39772BFE"/>
    <w:rsid w:val="397748F5"/>
    <w:rsid w:val="39787BA5"/>
    <w:rsid w:val="39A213E7"/>
    <w:rsid w:val="39AE0B4E"/>
    <w:rsid w:val="39B52454"/>
    <w:rsid w:val="39B72D5C"/>
    <w:rsid w:val="39BA2A00"/>
    <w:rsid w:val="39CD537F"/>
    <w:rsid w:val="39D545D1"/>
    <w:rsid w:val="39DF3829"/>
    <w:rsid w:val="39E76488"/>
    <w:rsid w:val="39F3082B"/>
    <w:rsid w:val="3A0D405A"/>
    <w:rsid w:val="3A193F22"/>
    <w:rsid w:val="3A25480C"/>
    <w:rsid w:val="3A3F169A"/>
    <w:rsid w:val="3A4356CA"/>
    <w:rsid w:val="3A4A2416"/>
    <w:rsid w:val="3A4C6BCE"/>
    <w:rsid w:val="3A5108E8"/>
    <w:rsid w:val="3A547BA2"/>
    <w:rsid w:val="3A59192B"/>
    <w:rsid w:val="3A60099C"/>
    <w:rsid w:val="3A7B3E55"/>
    <w:rsid w:val="3A8C138C"/>
    <w:rsid w:val="3A95527A"/>
    <w:rsid w:val="3A963B9F"/>
    <w:rsid w:val="3A9D7BC6"/>
    <w:rsid w:val="3AA318EB"/>
    <w:rsid w:val="3AAB7C85"/>
    <w:rsid w:val="3ACE5FF1"/>
    <w:rsid w:val="3AED001E"/>
    <w:rsid w:val="3AEF3757"/>
    <w:rsid w:val="3AF55E17"/>
    <w:rsid w:val="3AFC000A"/>
    <w:rsid w:val="3B02572A"/>
    <w:rsid w:val="3B0344E8"/>
    <w:rsid w:val="3B0C16BC"/>
    <w:rsid w:val="3B132235"/>
    <w:rsid w:val="3B3B30D1"/>
    <w:rsid w:val="3B456EDD"/>
    <w:rsid w:val="3B5155A9"/>
    <w:rsid w:val="3B7F13DD"/>
    <w:rsid w:val="3B8055E6"/>
    <w:rsid w:val="3B8128D4"/>
    <w:rsid w:val="3B815B43"/>
    <w:rsid w:val="3B847728"/>
    <w:rsid w:val="3B8839E4"/>
    <w:rsid w:val="3BA06EE2"/>
    <w:rsid w:val="3BA539AE"/>
    <w:rsid w:val="3BAA1FFC"/>
    <w:rsid w:val="3BAA3175"/>
    <w:rsid w:val="3BAD35A4"/>
    <w:rsid w:val="3BB05E04"/>
    <w:rsid w:val="3BBD1005"/>
    <w:rsid w:val="3BC1546A"/>
    <w:rsid w:val="3BC52E30"/>
    <w:rsid w:val="3BE33E3A"/>
    <w:rsid w:val="3BEB515B"/>
    <w:rsid w:val="3BF65A18"/>
    <w:rsid w:val="3BFE128F"/>
    <w:rsid w:val="3C106524"/>
    <w:rsid w:val="3C120E2B"/>
    <w:rsid w:val="3C122D1E"/>
    <w:rsid w:val="3C1F4862"/>
    <w:rsid w:val="3C3154F5"/>
    <w:rsid w:val="3C3B61ED"/>
    <w:rsid w:val="3C4A137C"/>
    <w:rsid w:val="3C4F62B4"/>
    <w:rsid w:val="3C73498F"/>
    <w:rsid w:val="3C7500AF"/>
    <w:rsid w:val="3C7B17EA"/>
    <w:rsid w:val="3C862CE9"/>
    <w:rsid w:val="3C874ED1"/>
    <w:rsid w:val="3CAF7D73"/>
    <w:rsid w:val="3CBF4BA6"/>
    <w:rsid w:val="3CC67AB6"/>
    <w:rsid w:val="3CD03CE6"/>
    <w:rsid w:val="3CDD654C"/>
    <w:rsid w:val="3CEA4509"/>
    <w:rsid w:val="3CF37D55"/>
    <w:rsid w:val="3CFA013B"/>
    <w:rsid w:val="3CFA6A40"/>
    <w:rsid w:val="3D0F5271"/>
    <w:rsid w:val="3D1045CE"/>
    <w:rsid w:val="3D131C11"/>
    <w:rsid w:val="3D184748"/>
    <w:rsid w:val="3D3E1E24"/>
    <w:rsid w:val="3D474095"/>
    <w:rsid w:val="3D49671A"/>
    <w:rsid w:val="3D4B12FF"/>
    <w:rsid w:val="3D5C3D28"/>
    <w:rsid w:val="3D6267D9"/>
    <w:rsid w:val="3D69336C"/>
    <w:rsid w:val="3D6D35B9"/>
    <w:rsid w:val="3D6D5298"/>
    <w:rsid w:val="3D8F157A"/>
    <w:rsid w:val="3D9122C8"/>
    <w:rsid w:val="3DA56C0C"/>
    <w:rsid w:val="3DA94D72"/>
    <w:rsid w:val="3DC915E2"/>
    <w:rsid w:val="3DCD7D82"/>
    <w:rsid w:val="3DD82B91"/>
    <w:rsid w:val="3E034B91"/>
    <w:rsid w:val="3E0C1899"/>
    <w:rsid w:val="3E1D00DA"/>
    <w:rsid w:val="3E2B3311"/>
    <w:rsid w:val="3E2E71BC"/>
    <w:rsid w:val="3E322F64"/>
    <w:rsid w:val="3E360810"/>
    <w:rsid w:val="3E43514A"/>
    <w:rsid w:val="3E520FFB"/>
    <w:rsid w:val="3E546A69"/>
    <w:rsid w:val="3E6207FE"/>
    <w:rsid w:val="3E6A3464"/>
    <w:rsid w:val="3E6C4C38"/>
    <w:rsid w:val="3E7017AE"/>
    <w:rsid w:val="3E734A16"/>
    <w:rsid w:val="3E8876A9"/>
    <w:rsid w:val="3E9230EE"/>
    <w:rsid w:val="3EB251E1"/>
    <w:rsid w:val="3EB374F3"/>
    <w:rsid w:val="3EB47B21"/>
    <w:rsid w:val="3EBD646C"/>
    <w:rsid w:val="3EC033AD"/>
    <w:rsid w:val="3ED17684"/>
    <w:rsid w:val="3ED43691"/>
    <w:rsid w:val="3EE62C0C"/>
    <w:rsid w:val="3EF367B4"/>
    <w:rsid w:val="3EF62088"/>
    <w:rsid w:val="3EF67F70"/>
    <w:rsid w:val="3F052EC1"/>
    <w:rsid w:val="3F0B4C4E"/>
    <w:rsid w:val="3F0F7E15"/>
    <w:rsid w:val="3F105F57"/>
    <w:rsid w:val="3F12565B"/>
    <w:rsid w:val="3F1349A2"/>
    <w:rsid w:val="3F227D84"/>
    <w:rsid w:val="3F246F20"/>
    <w:rsid w:val="3F255785"/>
    <w:rsid w:val="3F39191E"/>
    <w:rsid w:val="3F3B508A"/>
    <w:rsid w:val="3F3E07A7"/>
    <w:rsid w:val="3F52591B"/>
    <w:rsid w:val="3F763085"/>
    <w:rsid w:val="3F854A01"/>
    <w:rsid w:val="3F8B2A44"/>
    <w:rsid w:val="3F8D3EFE"/>
    <w:rsid w:val="3F9666BA"/>
    <w:rsid w:val="3F981BF4"/>
    <w:rsid w:val="3FA24D81"/>
    <w:rsid w:val="3FA36B07"/>
    <w:rsid w:val="3FA7111C"/>
    <w:rsid w:val="3FA956B6"/>
    <w:rsid w:val="3FAE0109"/>
    <w:rsid w:val="3FAF6DDB"/>
    <w:rsid w:val="3FBD23EC"/>
    <w:rsid w:val="3FDB7C7B"/>
    <w:rsid w:val="3FE6385B"/>
    <w:rsid w:val="3FF67990"/>
    <w:rsid w:val="400660CA"/>
    <w:rsid w:val="40075E40"/>
    <w:rsid w:val="401A1835"/>
    <w:rsid w:val="4024447D"/>
    <w:rsid w:val="40292467"/>
    <w:rsid w:val="404B5851"/>
    <w:rsid w:val="40513615"/>
    <w:rsid w:val="4077295C"/>
    <w:rsid w:val="407E431D"/>
    <w:rsid w:val="40905D53"/>
    <w:rsid w:val="40907C30"/>
    <w:rsid w:val="409D1B4C"/>
    <w:rsid w:val="40B66BE2"/>
    <w:rsid w:val="40C07A91"/>
    <w:rsid w:val="40CB325B"/>
    <w:rsid w:val="40CC1B34"/>
    <w:rsid w:val="40DD64B6"/>
    <w:rsid w:val="40E37E9C"/>
    <w:rsid w:val="40EF5CFD"/>
    <w:rsid w:val="40F071D8"/>
    <w:rsid w:val="40FD5246"/>
    <w:rsid w:val="41041F04"/>
    <w:rsid w:val="41045F07"/>
    <w:rsid w:val="41087BF0"/>
    <w:rsid w:val="41087E76"/>
    <w:rsid w:val="410D4CAE"/>
    <w:rsid w:val="41107AAC"/>
    <w:rsid w:val="411C7A18"/>
    <w:rsid w:val="411D5696"/>
    <w:rsid w:val="41304CD6"/>
    <w:rsid w:val="4141580D"/>
    <w:rsid w:val="41433C48"/>
    <w:rsid w:val="415A41E1"/>
    <w:rsid w:val="415F0818"/>
    <w:rsid w:val="41686427"/>
    <w:rsid w:val="416D2471"/>
    <w:rsid w:val="418B1628"/>
    <w:rsid w:val="41962EF5"/>
    <w:rsid w:val="419F28A8"/>
    <w:rsid w:val="41A25322"/>
    <w:rsid w:val="41A72B59"/>
    <w:rsid w:val="41AC6D52"/>
    <w:rsid w:val="41BC7637"/>
    <w:rsid w:val="41BD0129"/>
    <w:rsid w:val="41BF2FDA"/>
    <w:rsid w:val="41E15D6F"/>
    <w:rsid w:val="41F13390"/>
    <w:rsid w:val="41FE1448"/>
    <w:rsid w:val="420A20B3"/>
    <w:rsid w:val="420C7CA9"/>
    <w:rsid w:val="421470BD"/>
    <w:rsid w:val="422A00DE"/>
    <w:rsid w:val="422C0DAA"/>
    <w:rsid w:val="423954B4"/>
    <w:rsid w:val="424663F2"/>
    <w:rsid w:val="424C2ABC"/>
    <w:rsid w:val="4256490A"/>
    <w:rsid w:val="42591AE9"/>
    <w:rsid w:val="425E7F71"/>
    <w:rsid w:val="42604FAD"/>
    <w:rsid w:val="4268256A"/>
    <w:rsid w:val="426E500B"/>
    <w:rsid w:val="427C6CF0"/>
    <w:rsid w:val="42853741"/>
    <w:rsid w:val="42B07FBF"/>
    <w:rsid w:val="42BB3432"/>
    <w:rsid w:val="42BD407C"/>
    <w:rsid w:val="42D21FD1"/>
    <w:rsid w:val="42D4430F"/>
    <w:rsid w:val="42E56A97"/>
    <w:rsid w:val="43051625"/>
    <w:rsid w:val="431B41F2"/>
    <w:rsid w:val="431C1918"/>
    <w:rsid w:val="4323065F"/>
    <w:rsid w:val="432B7E32"/>
    <w:rsid w:val="43375DB5"/>
    <w:rsid w:val="43451B37"/>
    <w:rsid w:val="4364594E"/>
    <w:rsid w:val="436547FA"/>
    <w:rsid w:val="4368530F"/>
    <w:rsid w:val="43701198"/>
    <w:rsid w:val="437422AF"/>
    <w:rsid w:val="4380059F"/>
    <w:rsid w:val="43823DE1"/>
    <w:rsid w:val="43AA2776"/>
    <w:rsid w:val="43C31F9B"/>
    <w:rsid w:val="43CB17A6"/>
    <w:rsid w:val="43D61CCF"/>
    <w:rsid w:val="43DE3ACF"/>
    <w:rsid w:val="43EF7F77"/>
    <w:rsid w:val="43F4166A"/>
    <w:rsid w:val="43F71ABD"/>
    <w:rsid w:val="4419187F"/>
    <w:rsid w:val="4437003B"/>
    <w:rsid w:val="44376BFC"/>
    <w:rsid w:val="44386F8F"/>
    <w:rsid w:val="443F215E"/>
    <w:rsid w:val="44451E02"/>
    <w:rsid w:val="444C7284"/>
    <w:rsid w:val="44530349"/>
    <w:rsid w:val="44637E3C"/>
    <w:rsid w:val="447C427E"/>
    <w:rsid w:val="4480696D"/>
    <w:rsid w:val="44A41847"/>
    <w:rsid w:val="44B024B9"/>
    <w:rsid w:val="44C41AAC"/>
    <w:rsid w:val="44EE3692"/>
    <w:rsid w:val="44F556BC"/>
    <w:rsid w:val="44FD2AE6"/>
    <w:rsid w:val="44FE1A28"/>
    <w:rsid w:val="4501349E"/>
    <w:rsid w:val="4503512F"/>
    <w:rsid w:val="452179CD"/>
    <w:rsid w:val="45282E8A"/>
    <w:rsid w:val="45294080"/>
    <w:rsid w:val="452C1C4C"/>
    <w:rsid w:val="453255E7"/>
    <w:rsid w:val="45334578"/>
    <w:rsid w:val="4537640B"/>
    <w:rsid w:val="453C2005"/>
    <w:rsid w:val="455709BD"/>
    <w:rsid w:val="45642D44"/>
    <w:rsid w:val="456C76DF"/>
    <w:rsid w:val="45A90E82"/>
    <w:rsid w:val="45AA616A"/>
    <w:rsid w:val="45AB28E0"/>
    <w:rsid w:val="45AD12E1"/>
    <w:rsid w:val="45B15AE8"/>
    <w:rsid w:val="45B61DB8"/>
    <w:rsid w:val="45C56702"/>
    <w:rsid w:val="45CB095B"/>
    <w:rsid w:val="45D340A4"/>
    <w:rsid w:val="45D53A85"/>
    <w:rsid w:val="45D718EF"/>
    <w:rsid w:val="45D8477C"/>
    <w:rsid w:val="45D96140"/>
    <w:rsid w:val="45E008CF"/>
    <w:rsid w:val="45E350F5"/>
    <w:rsid w:val="45EF68F7"/>
    <w:rsid w:val="45F25744"/>
    <w:rsid w:val="45F72D18"/>
    <w:rsid w:val="45FD2EDB"/>
    <w:rsid w:val="46074D81"/>
    <w:rsid w:val="460A2378"/>
    <w:rsid w:val="46291018"/>
    <w:rsid w:val="463C617C"/>
    <w:rsid w:val="463E75E2"/>
    <w:rsid w:val="464473C4"/>
    <w:rsid w:val="466F31AB"/>
    <w:rsid w:val="46793B54"/>
    <w:rsid w:val="46897D8E"/>
    <w:rsid w:val="468C4838"/>
    <w:rsid w:val="46A161A2"/>
    <w:rsid w:val="46BA5BFB"/>
    <w:rsid w:val="46BB78DE"/>
    <w:rsid w:val="46BD7176"/>
    <w:rsid w:val="46CA1450"/>
    <w:rsid w:val="46CA405E"/>
    <w:rsid w:val="46D267A3"/>
    <w:rsid w:val="46E527E5"/>
    <w:rsid w:val="47104813"/>
    <w:rsid w:val="471335D1"/>
    <w:rsid w:val="4729778F"/>
    <w:rsid w:val="473110DC"/>
    <w:rsid w:val="474776C4"/>
    <w:rsid w:val="47532164"/>
    <w:rsid w:val="476016C9"/>
    <w:rsid w:val="477C1BFA"/>
    <w:rsid w:val="477E3F35"/>
    <w:rsid w:val="477F421B"/>
    <w:rsid w:val="47885E65"/>
    <w:rsid w:val="47952D72"/>
    <w:rsid w:val="4796435A"/>
    <w:rsid w:val="479A6802"/>
    <w:rsid w:val="479C0B20"/>
    <w:rsid w:val="479F3E52"/>
    <w:rsid w:val="47A73CBB"/>
    <w:rsid w:val="47B02F9D"/>
    <w:rsid w:val="47BB1907"/>
    <w:rsid w:val="47C32CB4"/>
    <w:rsid w:val="47C823C8"/>
    <w:rsid w:val="47D02AEA"/>
    <w:rsid w:val="47E7106D"/>
    <w:rsid w:val="47F24C46"/>
    <w:rsid w:val="47F25130"/>
    <w:rsid w:val="47F25FE2"/>
    <w:rsid w:val="481E5DAA"/>
    <w:rsid w:val="482B755A"/>
    <w:rsid w:val="482C324F"/>
    <w:rsid w:val="483128C8"/>
    <w:rsid w:val="483E7EA5"/>
    <w:rsid w:val="48404C8A"/>
    <w:rsid w:val="484B2B7C"/>
    <w:rsid w:val="484E1850"/>
    <w:rsid w:val="48522993"/>
    <w:rsid w:val="486B4170"/>
    <w:rsid w:val="487023A7"/>
    <w:rsid w:val="48760693"/>
    <w:rsid w:val="48884357"/>
    <w:rsid w:val="488D286A"/>
    <w:rsid w:val="489C2D50"/>
    <w:rsid w:val="48A560A8"/>
    <w:rsid w:val="48AF5194"/>
    <w:rsid w:val="48B82140"/>
    <w:rsid w:val="48C8444F"/>
    <w:rsid w:val="48C86FDB"/>
    <w:rsid w:val="48DA58FE"/>
    <w:rsid w:val="48E92160"/>
    <w:rsid w:val="48EA3F21"/>
    <w:rsid w:val="48F4330A"/>
    <w:rsid w:val="48F71047"/>
    <w:rsid w:val="490B4CA9"/>
    <w:rsid w:val="491B40AB"/>
    <w:rsid w:val="491E28A0"/>
    <w:rsid w:val="49227F34"/>
    <w:rsid w:val="4924528A"/>
    <w:rsid w:val="492D4DF1"/>
    <w:rsid w:val="49320189"/>
    <w:rsid w:val="49322BC2"/>
    <w:rsid w:val="49363C4C"/>
    <w:rsid w:val="493C0C37"/>
    <w:rsid w:val="494468DB"/>
    <w:rsid w:val="49486C39"/>
    <w:rsid w:val="494E5AF4"/>
    <w:rsid w:val="4952431A"/>
    <w:rsid w:val="4955562C"/>
    <w:rsid w:val="49583DC3"/>
    <w:rsid w:val="497A72F2"/>
    <w:rsid w:val="497B4A59"/>
    <w:rsid w:val="497D6CB5"/>
    <w:rsid w:val="49871020"/>
    <w:rsid w:val="498E2499"/>
    <w:rsid w:val="499F3CC2"/>
    <w:rsid w:val="49A2292B"/>
    <w:rsid w:val="49AD4A72"/>
    <w:rsid w:val="49D05114"/>
    <w:rsid w:val="49DD676E"/>
    <w:rsid w:val="49DE5070"/>
    <w:rsid w:val="49E3044C"/>
    <w:rsid w:val="49ED1B20"/>
    <w:rsid w:val="4A0C77D5"/>
    <w:rsid w:val="4A0F4D24"/>
    <w:rsid w:val="4A107B70"/>
    <w:rsid w:val="4A1109C2"/>
    <w:rsid w:val="4A116DEB"/>
    <w:rsid w:val="4A317A07"/>
    <w:rsid w:val="4A376C0B"/>
    <w:rsid w:val="4A4F4589"/>
    <w:rsid w:val="4A53054D"/>
    <w:rsid w:val="4A5C4911"/>
    <w:rsid w:val="4A6655DE"/>
    <w:rsid w:val="4A685442"/>
    <w:rsid w:val="4A707340"/>
    <w:rsid w:val="4A7933B4"/>
    <w:rsid w:val="4A7A25B1"/>
    <w:rsid w:val="4A9A10DE"/>
    <w:rsid w:val="4A9A6616"/>
    <w:rsid w:val="4A9D0CF7"/>
    <w:rsid w:val="4AA276CC"/>
    <w:rsid w:val="4AB366A6"/>
    <w:rsid w:val="4ACA1C08"/>
    <w:rsid w:val="4ACD2BCD"/>
    <w:rsid w:val="4AD625B4"/>
    <w:rsid w:val="4AE10A28"/>
    <w:rsid w:val="4AE514D5"/>
    <w:rsid w:val="4AF15640"/>
    <w:rsid w:val="4B0518C7"/>
    <w:rsid w:val="4B1F607D"/>
    <w:rsid w:val="4B227759"/>
    <w:rsid w:val="4B2300F9"/>
    <w:rsid w:val="4B32364D"/>
    <w:rsid w:val="4B3978B9"/>
    <w:rsid w:val="4B3B68BB"/>
    <w:rsid w:val="4B433FFC"/>
    <w:rsid w:val="4B4C7CE0"/>
    <w:rsid w:val="4B550D26"/>
    <w:rsid w:val="4B603AEF"/>
    <w:rsid w:val="4B6709B3"/>
    <w:rsid w:val="4B676EF5"/>
    <w:rsid w:val="4B695D60"/>
    <w:rsid w:val="4B774789"/>
    <w:rsid w:val="4B8B15F1"/>
    <w:rsid w:val="4B92269A"/>
    <w:rsid w:val="4B9B6738"/>
    <w:rsid w:val="4BB05D23"/>
    <w:rsid w:val="4BB21EC3"/>
    <w:rsid w:val="4BB24DA1"/>
    <w:rsid w:val="4BC67541"/>
    <w:rsid w:val="4BC94807"/>
    <w:rsid w:val="4BCE2452"/>
    <w:rsid w:val="4BCF0A54"/>
    <w:rsid w:val="4BD81F99"/>
    <w:rsid w:val="4BD95327"/>
    <w:rsid w:val="4BDB63B4"/>
    <w:rsid w:val="4BDB70E6"/>
    <w:rsid w:val="4BE00653"/>
    <w:rsid w:val="4BE1505C"/>
    <w:rsid w:val="4BF2641C"/>
    <w:rsid w:val="4BFA6D6B"/>
    <w:rsid w:val="4BFC604B"/>
    <w:rsid w:val="4BFF62D1"/>
    <w:rsid w:val="4C133305"/>
    <w:rsid w:val="4C143297"/>
    <w:rsid w:val="4C1710D6"/>
    <w:rsid w:val="4C1D02DC"/>
    <w:rsid w:val="4C40062D"/>
    <w:rsid w:val="4C426395"/>
    <w:rsid w:val="4C4A4231"/>
    <w:rsid w:val="4C691027"/>
    <w:rsid w:val="4C72372A"/>
    <w:rsid w:val="4C780B54"/>
    <w:rsid w:val="4C7C272B"/>
    <w:rsid w:val="4C8C459D"/>
    <w:rsid w:val="4C986615"/>
    <w:rsid w:val="4CBB5F06"/>
    <w:rsid w:val="4CBF54FD"/>
    <w:rsid w:val="4CED3278"/>
    <w:rsid w:val="4CEE1EBB"/>
    <w:rsid w:val="4CFD6F45"/>
    <w:rsid w:val="4D11496B"/>
    <w:rsid w:val="4D17524D"/>
    <w:rsid w:val="4D202615"/>
    <w:rsid w:val="4D207466"/>
    <w:rsid w:val="4D28055E"/>
    <w:rsid w:val="4D323F2E"/>
    <w:rsid w:val="4D3C2D0F"/>
    <w:rsid w:val="4D474CBA"/>
    <w:rsid w:val="4D4E1D01"/>
    <w:rsid w:val="4D5337B3"/>
    <w:rsid w:val="4D7A1193"/>
    <w:rsid w:val="4D8415F5"/>
    <w:rsid w:val="4D8644E7"/>
    <w:rsid w:val="4D953EA9"/>
    <w:rsid w:val="4DBB4542"/>
    <w:rsid w:val="4DC97F16"/>
    <w:rsid w:val="4DD56CDD"/>
    <w:rsid w:val="4DD70214"/>
    <w:rsid w:val="4DDD0E3C"/>
    <w:rsid w:val="4DE62553"/>
    <w:rsid w:val="4DEB281B"/>
    <w:rsid w:val="4E137A06"/>
    <w:rsid w:val="4E1A3BBD"/>
    <w:rsid w:val="4E1F5083"/>
    <w:rsid w:val="4E594503"/>
    <w:rsid w:val="4E5F3C0E"/>
    <w:rsid w:val="4E6B5F56"/>
    <w:rsid w:val="4E7D4F73"/>
    <w:rsid w:val="4E812BDB"/>
    <w:rsid w:val="4E8401CC"/>
    <w:rsid w:val="4E8A5AD9"/>
    <w:rsid w:val="4E8A5B90"/>
    <w:rsid w:val="4E9A318D"/>
    <w:rsid w:val="4EAC63C2"/>
    <w:rsid w:val="4EBA6D0C"/>
    <w:rsid w:val="4EC06C42"/>
    <w:rsid w:val="4ED52B9C"/>
    <w:rsid w:val="4EF72CAE"/>
    <w:rsid w:val="4F007F74"/>
    <w:rsid w:val="4F095A1B"/>
    <w:rsid w:val="4F104B17"/>
    <w:rsid w:val="4F165E02"/>
    <w:rsid w:val="4F1A1F77"/>
    <w:rsid w:val="4F2C19CA"/>
    <w:rsid w:val="4F2D38EB"/>
    <w:rsid w:val="4F4536C5"/>
    <w:rsid w:val="4F454A30"/>
    <w:rsid w:val="4F4C4795"/>
    <w:rsid w:val="4F6C1739"/>
    <w:rsid w:val="4F7649C6"/>
    <w:rsid w:val="4F780B20"/>
    <w:rsid w:val="4F7A725D"/>
    <w:rsid w:val="4F971B4B"/>
    <w:rsid w:val="4F9732E3"/>
    <w:rsid w:val="4FA83C77"/>
    <w:rsid w:val="4FAE3B00"/>
    <w:rsid w:val="4FBA6D22"/>
    <w:rsid w:val="4FBB7E0E"/>
    <w:rsid w:val="4FBE0C2C"/>
    <w:rsid w:val="4FE7195D"/>
    <w:rsid w:val="4FE8753F"/>
    <w:rsid w:val="4FEC4CEB"/>
    <w:rsid w:val="4FF34775"/>
    <w:rsid w:val="4FF41471"/>
    <w:rsid w:val="4FF777CE"/>
    <w:rsid w:val="4FFB4594"/>
    <w:rsid w:val="4FFC7519"/>
    <w:rsid w:val="4FFD516D"/>
    <w:rsid w:val="50275637"/>
    <w:rsid w:val="502D4654"/>
    <w:rsid w:val="503C5884"/>
    <w:rsid w:val="50424BA4"/>
    <w:rsid w:val="50453083"/>
    <w:rsid w:val="50471C77"/>
    <w:rsid w:val="50502CBC"/>
    <w:rsid w:val="505C4AFE"/>
    <w:rsid w:val="50852AB2"/>
    <w:rsid w:val="50882FDC"/>
    <w:rsid w:val="508934B4"/>
    <w:rsid w:val="50947199"/>
    <w:rsid w:val="509A417D"/>
    <w:rsid w:val="50AA129E"/>
    <w:rsid w:val="50AD3DB7"/>
    <w:rsid w:val="50B3257C"/>
    <w:rsid w:val="50BD049E"/>
    <w:rsid w:val="50D671E9"/>
    <w:rsid w:val="50DD56F5"/>
    <w:rsid w:val="50E630E6"/>
    <w:rsid w:val="50F63F3C"/>
    <w:rsid w:val="50F934A0"/>
    <w:rsid w:val="50FD5DFC"/>
    <w:rsid w:val="50FE5BDB"/>
    <w:rsid w:val="51103BE4"/>
    <w:rsid w:val="51176CD2"/>
    <w:rsid w:val="512763A9"/>
    <w:rsid w:val="513444D8"/>
    <w:rsid w:val="514647C4"/>
    <w:rsid w:val="51482EBC"/>
    <w:rsid w:val="514A5C2A"/>
    <w:rsid w:val="51552BCA"/>
    <w:rsid w:val="515F0678"/>
    <w:rsid w:val="515F6310"/>
    <w:rsid w:val="51647DA6"/>
    <w:rsid w:val="51691EE8"/>
    <w:rsid w:val="516C1B00"/>
    <w:rsid w:val="51742A7C"/>
    <w:rsid w:val="51841913"/>
    <w:rsid w:val="51AA2812"/>
    <w:rsid w:val="51AD0FF6"/>
    <w:rsid w:val="51C56D10"/>
    <w:rsid w:val="51CA6B6D"/>
    <w:rsid w:val="51D7395C"/>
    <w:rsid w:val="51D82A76"/>
    <w:rsid w:val="51E05DF7"/>
    <w:rsid w:val="51F021D8"/>
    <w:rsid w:val="51F37F7D"/>
    <w:rsid w:val="51FC4546"/>
    <w:rsid w:val="5211175A"/>
    <w:rsid w:val="521226E7"/>
    <w:rsid w:val="52235F2E"/>
    <w:rsid w:val="522620B1"/>
    <w:rsid w:val="522A7287"/>
    <w:rsid w:val="522C7629"/>
    <w:rsid w:val="523D347E"/>
    <w:rsid w:val="52496079"/>
    <w:rsid w:val="525154E4"/>
    <w:rsid w:val="525932DE"/>
    <w:rsid w:val="52602615"/>
    <w:rsid w:val="526A2A63"/>
    <w:rsid w:val="526D37FE"/>
    <w:rsid w:val="52703ECF"/>
    <w:rsid w:val="52773B0F"/>
    <w:rsid w:val="527860C5"/>
    <w:rsid w:val="528148AE"/>
    <w:rsid w:val="52916568"/>
    <w:rsid w:val="52BB4D40"/>
    <w:rsid w:val="52BD6DD9"/>
    <w:rsid w:val="52CD7B4F"/>
    <w:rsid w:val="52CF6607"/>
    <w:rsid w:val="52E54407"/>
    <w:rsid w:val="52ED493F"/>
    <w:rsid w:val="533A1041"/>
    <w:rsid w:val="53480EBC"/>
    <w:rsid w:val="53552F76"/>
    <w:rsid w:val="5360066A"/>
    <w:rsid w:val="537231EE"/>
    <w:rsid w:val="53841B3A"/>
    <w:rsid w:val="538B5FF9"/>
    <w:rsid w:val="539D64EC"/>
    <w:rsid w:val="53A235B0"/>
    <w:rsid w:val="53A54D55"/>
    <w:rsid w:val="53AD2E61"/>
    <w:rsid w:val="53B0514F"/>
    <w:rsid w:val="53DB1A42"/>
    <w:rsid w:val="53E77615"/>
    <w:rsid w:val="53F87760"/>
    <w:rsid w:val="540B0DA8"/>
    <w:rsid w:val="540C4D41"/>
    <w:rsid w:val="541D6238"/>
    <w:rsid w:val="54352F71"/>
    <w:rsid w:val="543F16F8"/>
    <w:rsid w:val="54422235"/>
    <w:rsid w:val="544362C4"/>
    <w:rsid w:val="54710D30"/>
    <w:rsid w:val="5476381C"/>
    <w:rsid w:val="547D28C4"/>
    <w:rsid w:val="54804FF1"/>
    <w:rsid w:val="54896FBA"/>
    <w:rsid w:val="548C5F3F"/>
    <w:rsid w:val="5495703C"/>
    <w:rsid w:val="54A14E6F"/>
    <w:rsid w:val="54A70DC1"/>
    <w:rsid w:val="54A9475E"/>
    <w:rsid w:val="54B40981"/>
    <w:rsid w:val="54C3599E"/>
    <w:rsid w:val="54CE7219"/>
    <w:rsid w:val="54DC32F5"/>
    <w:rsid w:val="54EF7A64"/>
    <w:rsid w:val="54F2358E"/>
    <w:rsid w:val="54F25F33"/>
    <w:rsid w:val="54F458C7"/>
    <w:rsid w:val="54F70A94"/>
    <w:rsid w:val="550D0146"/>
    <w:rsid w:val="552D54C7"/>
    <w:rsid w:val="553327FD"/>
    <w:rsid w:val="55365CBA"/>
    <w:rsid w:val="553C2D5D"/>
    <w:rsid w:val="554F6376"/>
    <w:rsid w:val="555542B9"/>
    <w:rsid w:val="555B5B65"/>
    <w:rsid w:val="5563538C"/>
    <w:rsid w:val="556424F6"/>
    <w:rsid w:val="5578540C"/>
    <w:rsid w:val="558D2F8A"/>
    <w:rsid w:val="559E0172"/>
    <w:rsid w:val="55A5435D"/>
    <w:rsid w:val="55B01DF4"/>
    <w:rsid w:val="55B20BDC"/>
    <w:rsid w:val="55BB4F44"/>
    <w:rsid w:val="55C649A1"/>
    <w:rsid w:val="55CD2AD1"/>
    <w:rsid w:val="55E57759"/>
    <w:rsid w:val="561875DA"/>
    <w:rsid w:val="56225975"/>
    <w:rsid w:val="562C1C22"/>
    <w:rsid w:val="562C6DCC"/>
    <w:rsid w:val="562D1854"/>
    <w:rsid w:val="562D6C01"/>
    <w:rsid w:val="562E0D9F"/>
    <w:rsid w:val="56390838"/>
    <w:rsid w:val="564672A2"/>
    <w:rsid w:val="56513437"/>
    <w:rsid w:val="56535D36"/>
    <w:rsid w:val="56542DF4"/>
    <w:rsid w:val="565E627F"/>
    <w:rsid w:val="566E6955"/>
    <w:rsid w:val="56707D61"/>
    <w:rsid w:val="567B7D71"/>
    <w:rsid w:val="56850BD8"/>
    <w:rsid w:val="56995020"/>
    <w:rsid w:val="56AB3A07"/>
    <w:rsid w:val="56B67AAC"/>
    <w:rsid w:val="56B9271B"/>
    <w:rsid w:val="56DF5E39"/>
    <w:rsid w:val="56E2736B"/>
    <w:rsid w:val="56E47AFC"/>
    <w:rsid w:val="56F3551F"/>
    <w:rsid w:val="5704341D"/>
    <w:rsid w:val="57081D47"/>
    <w:rsid w:val="57185F7E"/>
    <w:rsid w:val="571D6EC4"/>
    <w:rsid w:val="57292DA4"/>
    <w:rsid w:val="572D7AB5"/>
    <w:rsid w:val="57415E59"/>
    <w:rsid w:val="5756623A"/>
    <w:rsid w:val="57571E16"/>
    <w:rsid w:val="57587ADA"/>
    <w:rsid w:val="575C2093"/>
    <w:rsid w:val="57692BC2"/>
    <w:rsid w:val="57700813"/>
    <w:rsid w:val="577426C5"/>
    <w:rsid w:val="57744FCF"/>
    <w:rsid w:val="57751211"/>
    <w:rsid w:val="578F2813"/>
    <w:rsid w:val="579320F7"/>
    <w:rsid w:val="57960179"/>
    <w:rsid w:val="579853FF"/>
    <w:rsid w:val="579B0E0D"/>
    <w:rsid w:val="579C4636"/>
    <w:rsid w:val="579D7D23"/>
    <w:rsid w:val="57AA3350"/>
    <w:rsid w:val="57B23579"/>
    <w:rsid w:val="57BF4E14"/>
    <w:rsid w:val="57E27A16"/>
    <w:rsid w:val="57E30688"/>
    <w:rsid w:val="57ED4063"/>
    <w:rsid w:val="581D7E8D"/>
    <w:rsid w:val="5826563D"/>
    <w:rsid w:val="58302A2D"/>
    <w:rsid w:val="58355A1A"/>
    <w:rsid w:val="583A7CAA"/>
    <w:rsid w:val="584B51AF"/>
    <w:rsid w:val="584C1E00"/>
    <w:rsid w:val="58523BC2"/>
    <w:rsid w:val="585C73D1"/>
    <w:rsid w:val="58790526"/>
    <w:rsid w:val="589A57CE"/>
    <w:rsid w:val="58A253FD"/>
    <w:rsid w:val="58B42B52"/>
    <w:rsid w:val="58C86066"/>
    <w:rsid w:val="58CF4FA5"/>
    <w:rsid w:val="58ED042F"/>
    <w:rsid w:val="590D0366"/>
    <w:rsid w:val="592076F9"/>
    <w:rsid w:val="5921200E"/>
    <w:rsid w:val="59214282"/>
    <w:rsid w:val="5925478E"/>
    <w:rsid w:val="593437E6"/>
    <w:rsid w:val="59402CF7"/>
    <w:rsid w:val="59417793"/>
    <w:rsid w:val="59462FB4"/>
    <w:rsid w:val="59485F23"/>
    <w:rsid w:val="594A43BB"/>
    <w:rsid w:val="595075CD"/>
    <w:rsid w:val="596C2FAF"/>
    <w:rsid w:val="5970791E"/>
    <w:rsid w:val="5971468D"/>
    <w:rsid w:val="597843C8"/>
    <w:rsid w:val="59861898"/>
    <w:rsid w:val="59DA7F65"/>
    <w:rsid w:val="59F037E5"/>
    <w:rsid w:val="5A1A070F"/>
    <w:rsid w:val="5A275AF4"/>
    <w:rsid w:val="5A2F098D"/>
    <w:rsid w:val="5A306499"/>
    <w:rsid w:val="5A350FBA"/>
    <w:rsid w:val="5A353E66"/>
    <w:rsid w:val="5A417C33"/>
    <w:rsid w:val="5A4A6CAA"/>
    <w:rsid w:val="5A50656F"/>
    <w:rsid w:val="5A584833"/>
    <w:rsid w:val="5A6E53CE"/>
    <w:rsid w:val="5A8351B5"/>
    <w:rsid w:val="5A8823EB"/>
    <w:rsid w:val="5A9E20A4"/>
    <w:rsid w:val="5AA31872"/>
    <w:rsid w:val="5AAB010C"/>
    <w:rsid w:val="5AB75F5E"/>
    <w:rsid w:val="5AB83E8C"/>
    <w:rsid w:val="5ABE241F"/>
    <w:rsid w:val="5AC405C3"/>
    <w:rsid w:val="5AC67FF3"/>
    <w:rsid w:val="5AC75083"/>
    <w:rsid w:val="5ACB47AD"/>
    <w:rsid w:val="5ACE5A33"/>
    <w:rsid w:val="5ADD2DB9"/>
    <w:rsid w:val="5AEA0438"/>
    <w:rsid w:val="5B0419FC"/>
    <w:rsid w:val="5B133010"/>
    <w:rsid w:val="5B143B83"/>
    <w:rsid w:val="5B1F57B5"/>
    <w:rsid w:val="5B230F45"/>
    <w:rsid w:val="5B294E57"/>
    <w:rsid w:val="5B3823B7"/>
    <w:rsid w:val="5B3955A3"/>
    <w:rsid w:val="5B4661F0"/>
    <w:rsid w:val="5B486978"/>
    <w:rsid w:val="5B4F263B"/>
    <w:rsid w:val="5B5D436A"/>
    <w:rsid w:val="5B5F6406"/>
    <w:rsid w:val="5B666426"/>
    <w:rsid w:val="5B720D75"/>
    <w:rsid w:val="5B890A02"/>
    <w:rsid w:val="5B8A7B52"/>
    <w:rsid w:val="5B986F53"/>
    <w:rsid w:val="5BA007D2"/>
    <w:rsid w:val="5BA11443"/>
    <w:rsid w:val="5BB60AD7"/>
    <w:rsid w:val="5BBB5E91"/>
    <w:rsid w:val="5BC01B58"/>
    <w:rsid w:val="5BC20698"/>
    <w:rsid w:val="5BC75EC1"/>
    <w:rsid w:val="5BDB2E1C"/>
    <w:rsid w:val="5BEB6052"/>
    <w:rsid w:val="5BFE2AEE"/>
    <w:rsid w:val="5C0E76AB"/>
    <w:rsid w:val="5C1A2EBB"/>
    <w:rsid w:val="5C236E65"/>
    <w:rsid w:val="5C2A6BE5"/>
    <w:rsid w:val="5C3420F0"/>
    <w:rsid w:val="5C3426CD"/>
    <w:rsid w:val="5C462116"/>
    <w:rsid w:val="5C522972"/>
    <w:rsid w:val="5C5E5F7C"/>
    <w:rsid w:val="5CA0710F"/>
    <w:rsid w:val="5CA2571A"/>
    <w:rsid w:val="5CB14E2D"/>
    <w:rsid w:val="5CB84210"/>
    <w:rsid w:val="5CD0133A"/>
    <w:rsid w:val="5CD27100"/>
    <w:rsid w:val="5CE47403"/>
    <w:rsid w:val="5CF535E6"/>
    <w:rsid w:val="5CFB2159"/>
    <w:rsid w:val="5CFE17AD"/>
    <w:rsid w:val="5CFF1E3E"/>
    <w:rsid w:val="5D065E59"/>
    <w:rsid w:val="5D066354"/>
    <w:rsid w:val="5D15241D"/>
    <w:rsid w:val="5D3870E9"/>
    <w:rsid w:val="5D4858F3"/>
    <w:rsid w:val="5D571309"/>
    <w:rsid w:val="5D57436A"/>
    <w:rsid w:val="5D7040E7"/>
    <w:rsid w:val="5D784E08"/>
    <w:rsid w:val="5D791089"/>
    <w:rsid w:val="5D7F0889"/>
    <w:rsid w:val="5D885990"/>
    <w:rsid w:val="5D89672C"/>
    <w:rsid w:val="5D8A2491"/>
    <w:rsid w:val="5D9E1FC6"/>
    <w:rsid w:val="5DAC1EF0"/>
    <w:rsid w:val="5DBD3D1B"/>
    <w:rsid w:val="5DED732E"/>
    <w:rsid w:val="5DF11B7B"/>
    <w:rsid w:val="5E04179E"/>
    <w:rsid w:val="5E0D29CF"/>
    <w:rsid w:val="5E0F7B42"/>
    <w:rsid w:val="5E205A9F"/>
    <w:rsid w:val="5E221E79"/>
    <w:rsid w:val="5E563642"/>
    <w:rsid w:val="5E5A095D"/>
    <w:rsid w:val="5E5D5C6E"/>
    <w:rsid w:val="5E662172"/>
    <w:rsid w:val="5E7352D9"/>
    <w:rsid w:val="5E7C575D"/>
    <w:rsid w:val="5E7F546E"/>
    <w:rsid w:val="5E8455EC"/>
    <w:rsid w:val="5EA442E6"/>
    <w:rsid w:val="5EB13E13"/>
    <w:rsid w:val="5EBA3E75"/>
    <w:rsid w:val="5EDA3992"/>
    <w:rsid w:val="5EDE767F"/>
    <w:rsid w:val="5EFB3585"/>
    <w:rsid w:val="5F0C44C1"/>
    <w:rsid w:val="5F0C62E2"/>
    <w:rsid w:val="5F1277DF"/>
    <w:rsid w:val="5F436FFC"/>
    <w:rsid w:val="5F5046E5"/>
    <w:rsid w:val="5F5E04B8"/>
    <w:rsid w:val="5F67600A"/>
    <w:rsid w:val="5F7469AC"/>
    <w:rsid w:val="5F851BFD"/>
    <w:rsid w:val="5FA40A7B"/>
    <w:rsid w:val="5FAC31D0"/>
    <w:rsid w:val="5FAD14D8"/>
    <w:rsid w:val="5FBD1A5A"/>
    <w:rsid w:val="5FC545A1"/>
    <w:rsid w:val="5FD163BD"/>
    <w:rsid w:val="5FD72193"/>
    <w:rsid w:val="5FF36036"/>
    <w:rsid w:val="5FF408FE"/>
    <w:rsid w:val="5FFA0277"/>
    <w:rsid w:val="5FFB4FA5"/>
    <w:rsid w:val="602E4F4A"/>
    <w:rsid w:val="60337058"/>
    <w:rsid w:val="60397008"/>
    <w:rsid w:val="603D0C9F"/>
    <w:rsid w:val="60501D16"/>
    <w:rsid w:val="60553791"/>
    <w:rsid w:val="605578CF"/>
    <w:rsid w:val="606D1AFD"/>
    <w:rsid w:val="607757D2"/>
    <w:rsid w:val="60783C3B"/>
    <w:rsid w:val="607D64E0"/>
    <w:rsid w:val="60827C72"/>
    <w:rsid w:val="6085265B"/>
    <w:rsid w:val="60854746"/>
    <w:rsid w:val="60B82B8E"/>
    <w:rsid w:val="60BB5B66"/>
    <w:rsid w:val="60D77CBC"/>
    <w:rsid w:val="60D97A2B"/>
    <w:rsid w:val="60DB2826"/>
    <w:rsid w:val="60F547CB"/>
    <w:rsid w:val="61055B18"/>
    <w:rsid w:val="610749A5"/>
    <w:rsid w:val="610B07C9"/>
    <w:rsid w:val="6115369D"/>
    <w:rsid w:val="612E684E"/>
    <w:rsid w:val="613C3B46"/>
    <w:rsid w:val="615168E4"/>
    <w:rsid w:val="61565FDE"/>
    <w:rsid w:val="616A57A1"/>
    <w:rsid w:val="6171279B"/>
    <w:rsid w:val="618D7A19"/>
    <w:rsid w:val="618F5533"/>
    <w:rsid w:val="61A07D0B"/>
    <w:rsid w:val="61AD249A"/>
    <w:rsid w:val="61B63144"/>
    <w:rsid w:val="61B75100"/>
    <w:rsid w:val="61C0571E"/>
    <w:rsid w:val="61C47D27"/>
    <w:rsid w:val="61C64B34"/>
    <w:rsid w:val="61DF23E2"/>
    <w:rsid w:val="61E115B4"/>
    <w:rsid w:val="61E32A23"/>
    <w:rsid w:val="61E62B9F"/>
    <w:rsid w:val="61FF5F0D"/>
    <w:rsid w:val="62034CA4"/>
    <w:rsid w:val="62182F9D"/>
    <w:rsid w:val="621F43E9"/>
    <w:rsid w:val="6224121F"/>
    <w:rsid w:val="622710AF"/>
    <w:rsid w:val="622F535F"/>
    <w:rsid w:val="622F5E88"/>
    <w:rsid w:val="62436D76"/>
    <w:rsid w:val="62487433"/>
    <w:rsid w:val="624E30EC"/>
    <w:rsid w:val="6257590F"/>
    <w:rsid w:val="62685C9E"/>
    <w:rsid w:val="627658DA"/>
    <w:rsid w:val="628058D0"/>
    <w:rsid w:val="62946B85"/>
    <w:rsid w:val="629C2A67"/>
    <w:rsid w:val="62A62F15"/>
    <w:rsid w:val="62A67359"/>
    <w:rsid w:val="62A82DCA"/>
    <w:rsid w:val="62AC4C17"/>
    <w:rsid w:val="62B0002C"/>
    <w:rsid w:val="62B471C6"/>
    <w:rsid w:val="62B7213F"/>
    <w:rsid w:val="62B762FB"/>
    <w:rsid w:val="62CE3322"/>
    <w:rsid w:val="62D442BD"/>
    <w:rsid w:val="62E76981"/>
    <w:rsid w:val="62F2452D"/>
    <w:rsid w:val="6300246C"/>
    <w:rsid w:val="63026EEE"/>
    <w:rsid w:val="63066C1D"/>
    <w:rsid w:val="63085C88"/>
    <w:rsid w:val="630F0DC3"/>
    <w:rsid w:val="631B3FD5"/>
    <w:rsid w:val="63386892"/>
    <w:rsid w:val="63490425"/>
    <w:rsid w:val="6355186C"/>
    <w:rsid w:val="63631C75"/>
    <w:rsid w:val="63691D9B"/>
    <w:rsid w:val="636A7EBA"/>
    <w:rsid w:val="636D56F4"/>
    <w:rsid w:val="63831332"/>
    <w:rsid w:val="63862972"/>
    <w:rsid w:val="63882A7C"/>
    <w:rsid w:val="6398181F"/>
    <w:rsid w:val="639E22CE"/>
    <w:rsid w:val="63A47E58"/>
    <w:rsid w:val="63B3466A"/>
    <w:rsid w:val="63B909BE"/>
    <w:rsid w:val="63BA6C5D"/>
    <w:rsid w:val="63C4792F"/>
    <w:rsid w:val="63CE3CEA"/>
    <w:rsid w:val="63D87C65"/>
    <w:rsid w:val="63DB6B44"/>
    <w:rsid w:val="63DE0EAA"/>
    <w:rsid w:val="63FA4639"/>
    <w:rsid w:val="640225F8"/>
    <w:rsid w:val="64142ABF"/>
    <w:rsid w:val="64234161"/>
    <w:rsid w:val="64337342"/>
    <w:rsid w:val="643D77C3"/>
    <w:rsid w:val="643E14BD"/>
    <w:rsid w:val="64426791"/>
    <w:rsid w:val="64544572"/>
    <w:rsid w:val="64713622"/>
    <w:rsid w:val="648762BD"/>
    <w:rsid w:val="64A22908"/>
    <w:rsid w:val="64A75904"/>
    <w:rsid w:val="64A82C8F"/>
    <w:rsid w:val="64AC5A8C"/>
    <w:rsid w:val="64B0721C"/>
    <w:rsid w:val="64B208A9"/>
    <w:rsid w:val="64B74246"/>
    <w:rsid w:val="64BD2B26"/>
    <w:rsid w:val="64D059DB"/>
    <w:rsid w:val="64D55F66"/>
    <w:rsid w:val="64DF5A37"/>
    <w:rsid w:val="64FC3AA0"/>
    <w:rsid w:val="64FF2087"/>
    <w:rsid w:val="650641E4"/>
    <w:rsid w:val="650F4C66"/>
    <w:rsid w:val="65146122"/>
    <w:rsid w:val="651670B3"/>
    <w:rsid w:val="65262602"/>
    <w:rsid w:val="653008B7"/>
    <w:rsid w:val="65385CAA"/>
    <w:rsid w:val="654128B5"/>
    <w:rsid w:val="65603C28"/>
    <w:rsid w:val="657458BB"/>
    <w:rsid w:val="658A42E8"/>
    <w:rsid w:val="658F2701"/>
    <w:rsid w:val="65922A6B"/>
    <w:rsid w:val="659368FA"/>
    <w:rsid w:val="65990691"/>
    <w:rsid w:val="65B80DDC"/>
    <w:rsid w:val="65C54440"/>
    <w:rsid w:val="65CE1B16"/>
    <w:rsid w:val="65DA3F3F"/>
    <w:rsid w:val="65E067B2"/>
    <w:rsid w:val="65EF5F6E"/>
    <w:rsid w:val="65F43546"/>
    <w:rsid w:val="66017F3F"/>
    <w:rsid w:val="660D2ED6"/>
    <w:rsid w:val="660F25F8"/>
    <w:rsid w:val="66130061"/>
    <w:rsid w:val="66211812"/>
    <w:rsid w:val="662C5B63"/>
    <w:rsid w:val="66335D92"/>
    <w:rsid w:val="66410E9E"/>
    <w:rsid w:val="664F3C0E"/>
    <w:rsid w:val="6658290C"/>
    <w:rsid w:val="665D1D8A"/>
    <w:rsid w:val="66636281"/>
    <w:rsid w:val="6670017A"/>
    <w:rsid w:val="668459BA"/>
    <w:rsid w:val="66990C0E"/>
    <w:rsid w:val="66C31A47"/>
    <w:rsid w:val="66DB4D83"/>
    <w:rsid w:val="66E90801"/>
    <w:rsid w:val="66E94D45"/>
    <w:rsid w:val="66EF694D"/>
    <w:rsid w:val="67324D00"/>
    <w:rsid w:val="673345AA"/>
    <w:rsid w:val="67397B35"/>
    <w:rsid w:val="673D32F5"/>
    <w:rsid w:val="67410A8B"/>
    <w:rsid w:val="67435E8A"/>
    <w:rsid w:val="674E7C4A"/>
    <w:rsid w:val="67500089"/>
    <w:rsid w:val="675A2102"/>
    <w:rsid w:val="675B63FB"/>
    <w:rsid w:val="676526EC"/>
    <w:rsid w:val="676B4F15"/>
    <w:rsid w:val="677B7EB8"/>
    <w:rsid w:val="677C23FB"/>
    <w:rsid w:val="6789175F"/>
    <w:rsid w:val="678C1EB9"/>
    <w:rsid w:val="679503C8"/>
    <w:rsid w:val="679703E1"/>
    <w:rsid w:val="67A26FCA"/>
    <w:rsid w:val="67B333ED"/>
    <w:rsid w:val="67BA495C"/>
    <w:rsid w:val="67D07518"/>
    <w:rsid w:val="67E46F3F"/>
    <w:rsid w:val="67E53295"/>
    <w:rsid w:val="67F52607"/>
    <w:rsid w:val="67F87BB6"/>
    <w:rsid w:val="67F930F3"/>
    <w:rsid w:val="67FD4761"/>
    <w:rsid w:val="682A7E25"/>
    <w:rsid w:val="68310259"/>
    <w:rsid w:val="684255C8"/>
    <w:rsid w:val="68461633"/>
    <w:rsid w:val="68534A64"/>
    <w:rsid w:val="6871774C"/>
    <w:rsid w:val="68724939"/>
    <w:rsid w:val="68784853"/>
    <w:rsid w:val="687B1BAE"/>
    <w:rsid w:val="689B3412"/>
    <w:rsid w:val="68A12610"/>
    <w:rsid w:val="68A83FA0"/>
    <w:rsid w:val="68AA35A6"/>
    <w:rsid w:val="68AB0534"/>
    <w:rsid w:val="68AE5E2B"/>
    <w:rsid w:val="68B0477B"/>
    <w:rsid w:val="68B42C2B"/>
    <w:rsid w:val="68B90C01"/>
    <w:rsid w:val="68C42990"/>
    <w:rsid w:val="68D0332F"/>
    <w:rsid w:val="68D76D89"/>
    <w:rsid w:val="68D91796"/>
    <w:rsid w:val="68E43DF7"/>
    <w:rsid w:val="690F0855"/>
    <w:rsid w:val="690F3CFE"/>
    <w:rsid w:val="6920358E"/>
    <w:rsid w:val="69240166"/>
    <w:rsid w:val="692F7DBB"/>
    <w:rsid w:val="69891419"/>
    <w:rsid w:val="69916CC5"/>
    <w:rsid w:val="699B6250"/>
    <w:rsid w:val="69A316E6"/>
    <w:rsid w:val="69B61F02"/>
    <w:rsid w:val="69B75BDF"/>
    <w:rsid w:val="69CB7D62"/>
    <w:rsid w:val="69D95918"/>
    <w:rsid w:val="69DB7E1F"/>
    <w:rsid w:val="69EB1780"/>
    <w:rsid w:val="69F148BD"/>
    <w:rsid w:val="69F20580"/>
    <w:rsid w:val="6A055475"/>
    <w:rsid w:val="6A1A0296"/>
    <w:rsid w:val="6A2327B0"/>
    <w:rsid w:val="6A2D2B5F"/>
    <w:rsid w:val="6A303421"/>
    <w:rsid w:val="6A3265C5"/>
    <w:rsid w:val="6A3F387A"/>
    <w:rsid w:val="6A480F07"/>
    <w:rsid w:val="6A5B7C61"/>
    <w:rsid w:val="6A5C4586"/>
    <w:rsid w:val="6A647BEA"/>
    <w:rsid w:val="6A663CBF"/>
    <w:rsid w:val="6A675268"/>
    <w:rsid w:val="6A6D2036"/>
    <w:rsid w:val="6A7C13BC"/>
    <w:rsid w:val="6A833842"/>
    <w:rsid w:val="6A8C1112"/>
    <w:rsid w:val="6A9E4A45"/>
    <w:rsid w:val="6AAC3C29"/>
    <w:rsid w:val="6ABE47D2"/>
    <w:rsid w:val="6AC064A8"/>
    <w:rsid w:val="6AD167ED"/>
    <w:rsid w:val="6AD4543B"/>
    <w:rsid w:val="6AE34248"/>
    <w:rsid w:val="6AE76EAD"/>
    <w:rsid w:val="6AF97E0B"/>
    <w:rsid w:val="6AFB4068"/>
    <w:rsid w:val="6B076875"/>
    <w:rsid w:val="6B2209B8"/>
    <w:rsid w:val="6B263627"/>
    <w:rsid w:val="6B290F43"/>
    <w:rsid w:val="6B3001FD"/>
    <w:rsid w:val="6B3028DF"/>
    <w:rsid w:val="6B51094D"/>
    <w:rsid w:val="6B534997"/>
    <w:rsid w:val="6B573752"/>
    <w:rsid w:val="6B6042BE"/>
    <w:rsid w:val="6B60563D"/>
    <w:rsid w:val="6B7F6D95"/>
    <w:rsid w:val="6B932783"/>
    <w:rsid w:val="6BA91FE8"/>
    <w:rsid w:val="6BB94444"/>
    <w:rsid w:val="6BBC0A3B"/>
    <w:rsid w:val="6BBD539F"/>
    <w:rsid w:val="6BCD5551"/>
    <w:rsid w:val="6BDC1113"/>
    <w:rsid w:val="6BEB2649"/>
    <w:rsid w:val="6BF23362"/>
    <w:rsid w:val="6BF3601B"/>
    <w:rsid w:val="6BF47C88"/>
    <w:rsid w:val="6BFD164C"/>
    <w:rsid w:val="6BFD39ED"/>
    <w:rsid w:val="6C037AAE"/>
    <w:rsid w:val="6C0A1567"/>
    <w:rsid w:val="6C13798A"/>
    <w:rsid w:val="6C151358"/>
    <w:rsid w:val="6C175ECD"/>
    <w:rsid w:val="6C190ECC"/>
    <w:rsid w:val="6C1C34A2"/>
    <w:rsid w:val="6C296590"/>
    <w:rsid w:val="6C35406D"/>
    <w:rsid w:val="6C3B09D7"/>
    <w:rsid w:val="6C4213FF"/>
    <w:rsid w:val="6C476F10"/>
    <w:rsid w:val="6C515264"/>
    <w:rsid w:val="6C52703B"/>
    <w:rsid w:val="6C56625E"/>
    <w:rsid w:val="6C5C373D"/>
    <w:rsid w:val="6C6422F0"/>
    <w:rsid w:val="6C6D3885"/>
    <w:rsid w:val="6C77613D"/>
    <w:rsid w:val="6C822ABB"/>
    <w:rsid w:val="6C845330"/>
    <w:rsid w:val="6C8E4B2D"/>
    <w:rsid w:val="6C9900A8"/>
    <w:rsid w:val="6CAB6B5A"/>
    <w:rsid w:val="6CB83B0D"/>
    <w:rsid w:val="6CBC2ADE"/>
    <w:rsid w:val="6CC06D8E"/>
    <w:rsid w:val="6CD470DA"/>
    <w:rsid w:val="6CDE4271"/>
    <w:rsid w:val="6CE660FD"/>
    <w:rsid w:val="6D012BE3"/>
    <w:rsid w:val="6D0A0C08"/>
    <w:rsid w:val="6D13040E"/>
    <w:rsid w:val="6D163C0D"/>
    <w:rsid w:val="6D3C2818"/>
    <w:rsid w:val="6D5459CA"/>
    <w:rsid w:val="6D6A0C01"/>
    <w:rsid w:val="6D6C298D"/>
    <w:rsid w:val="6D6F2A16"/>
    <w:rsid w:val="6D703EBA"/>
    <w:rsid w:val="6D845D01"/>
    <w:rsid w:val="6D890366"/>
    <w:rsid w:val="6D9B671E"/>
    <w:rsid w:val="6DAC0372"/>
    <w:rsid w:val="6DC04684"/>
    <w:rsid w:val="6DDA6C9C"/>
    <w:rsid w:val="6DDD1481"/>
    <w:rsid w:val="6DDF2406"/>
    <w:rsid w:val="6DE51EC1"/>
    <w:rsid w:val="6DEF3809"/>
    <w:rsid w:val="6DFE7431"/>
    <w:rsid w:val="6E075659"/>
    <w:rsid w:val="6E0A5677"/>
    <w:rsid w:val="6E0F1569"/>
    <w:rsid w:val="6E160D96"/>
    <w:rsid w:val="6E1A6D91"/>
    <w:rsid w:val="6E272FA3"/>
    <w:rsid w:val="6E2F2E5B"/>
    <w:rsid w:val="6E304F77"/>
    <w:rsid w:val="6E3C6B08"/>
    <w:rsid w:val="6E413567"/>
    <w:rsid w:val="6E441B47"/>
    <w:rsid w:val="6E453F5D"/>
    <w:rsid w:val="6E4B4EE4"/>
    <w:rsid w:val="6E5421EA"/>
    <w:rsid w:val="6E5A44DB"/>
    <w:rsid w:val="6E612B09"/>
    <w:rsid w:val="6E725396"/>
    <w:rsid w:val="6E7757DF"/>
    <w:rsid w:val="6E7A11C2"/>
    <w:rsid w:val="6E8364CE"/>
    <w:rsid w:val="6E8F792D"/>
    <w:rsid w:val="6EAA3AC0"/>
    <w:rsid w:val="6EAC21FF"/>
    <w:rsid w:val="6EB72206"/>
    <w:rsid w:val="6EB72234"/>
    <w:rsid w:val="6EC42C69"/>
    <w:rsid w:val="6EC65406"/>
    <w:rsid w:val="6ECA70DA"/>
    <w:rsid w:val="6ED92615"/>
    <w:rsid w:val="6EEA553E"/>
    <w:rsid w:val="6EF1163A"/>
    <w:rsid w:val="6EF7632B"/>
    <w:rsid w:val="6F0575FF"/>
    <w:rsid w:val="6F2367E0"/>
    <w:rsid w:val="6F295434"/>
    <w:rsid w:val="6F351A3A"/>
    <w:rsid w:val="6F35349E"/>
    <w:rsid w:val="6F3C2505"/>
    <w:rsid w:val="6F3E0559"/>
    <w:rsid w:val="6F4C3C88"/>
    <w:rsid w:val="6F5167E2"/>
    <w:rsid w:val="6F5B4ADC"/>
    <w:rsid w:val="6F60207D"/>
    <w:rsid w:val="6F7854BD"/>
    <w:rsid w:val="6F942D95"/>
    <w:rsid w:val="6F97428D"/>
    <w:rsid w:val="6F975876"/>
    <w:rsid w:val="6FA03133"/>
    <w:rsid w:val="6FA23E77"/>
    <w:rsid w:val="6FAA7066"/>
    <w:rsid w:val="6FAB4645"/>
    <w:rsid w:val="6FD20C43"/>
    <w:rsid w:val="6FD87F6C"/>
    <w:rsid w:val="6FF017DD"/>
    <w:rsid w:val="6FF22845"/>
    <w:rsid w:val="6FF969CC"/>
    <w:rsid w:val="700A03E0"/>
    <w:rsid w:val="70115B72"/>
    <w:rsid w:val="70147401"/>
    <w:rsid w:val="7022130F"/>
    <w:rsid w:val="702551B1"/>
    <w:rsid w:val="702A79F9"/>
    <w:rsid w:val="702D2F8B"/>
    <w:rsid w:val="703C1B89"/>
    <w:rsid w:val="705C7800"/>
    <w:rsid w:val="70621B5A"/>
    <w:rsid w:val="7069352E"/>
    <w:rsid w:val="706D528F"/>
    <w:rsid w:val="70736519"/>
    <w:rsid w:val="707A09B2"/>
    <w:rsid w:val="707A2FF4"/>
    <w:rsid w:val="707A619D"/>
    <w:rsid w:val="708650FD"/>
    <w:rsid w:val="708B5767"/>
    <w:rsid w:val="708E6684"/>
    <w:rsid w:val="70902959"/>
    <w:rsid w:val="709B1240"/>
    <w:rsid w:val="70B125AF"/>
    <w:rsid w:val="70B2124A"/>
    <w:rsid w:val="70EF1651"/>
    <w:rsid w:val="70F53E40"/>
    <w:rsid w:val="70FA3DCC"/>
    <w:rsid w:val="71042F5E"/>
    <w:rsid w:val="710C413B"/>
    <w:rsid w:val="710F044A"/>
    <w:rsid w:val="71193079"/>
    <w:rsid w:val="7122503B"/>
    <w:rsid w:val="712F1461"/>
    <w:rsid w:val="713C7869"/>
    <w:rsid w:val="71546C19"/>
    <w:rsid w:val="715645DC"/>
    <w:rsid w:val="71621517"/>
    <w:rsid w:val="71671D04"/>
    <w:rsid w:val="71675D8D"/>
    <w:rsid w:val="716A5681"/>
    <w:rsid w:val="716D5718"/>
    <w:rsid w:val="71715EAA"/>
    <w:rsid w:val="719C5A56"/>
    <w:rsid w:val="71B00BE2"/>
    <w:rsid w:val="71B66B18"/>
    <w:rsid w:val="71B82B3A"/>
    <w:rsid w:val="71B923DD"/>
    <w:rsid w:val="71BE5E25"/>
    <w:rsid w:val="71C50380"/>
    <w:rsid w:val="71C91C30"/>
    <w:rsid w:val="71CB0A2C"/>
    <w:rsid w:val="71EB552E"/>
    <w:rsid w:val="71F210A8"/>
    <w:rsid w:val="71F374B9"/>
    <w:rsid w:val="7205474C"/>
    <w:rsid w:val="720C5839"/>
    <w:rsid w:val="7238355A"/>
    <w:rsid w:val="72404E77"/>
    <w:rsid w:val="724C37F9"/>
    <w:rsid w:val="7252367B"/>
    <w:rsid w:val="72576F60"/>
    <w:rsid w:val="72593B18"/>
    <w:rsid w:val="726A199F"/>
    <w:rsid w:val="7278568D"/>
    <w:rsid w:val="727E14BF"/>
    <w:rsid w:val="727F300D"/>
    <w:rsid w:val="728E35F1"/>
    <w:rsid w:val="72955D7D"/>
    <w:rsid w:val="729F16E9"/>
    <w:rsid w:val="72AC2313"/>
    <w:rsid w:val="72BA2638"/>
    <w:rsid w:val="72BF01E5"/>
    <w:rsid w:val="72D26138"/>
    <w:rsid w:val="72D34DEA"/>
    <w:rsid w:val="72D7378F"/>
    <w:rsid w:val="72D74A1A"/>
    <w:rsid w:val="72E31DD2"/>
    <w:rsid w:val="72EA4D2D"/>
    <w:rsid w:val="730C3744"/>
    <w:rsid w:val="730F27D1"/>
    <w:rsid w:val="7317702C"/>
    <w:rsid w:val="73251C34"/>
    <w:rsid w:val="732F37F7"/>
    <w:rsid w:val="734671F6"/>
    <w:rsid w:val="73494A61"/>
    <w:rsid w:val="73557B3E"/>
    <w:rsid w:val="73634AC1"/>
    <w:rsid w:val="73697950"/>
    <w:rsid w:val="736A3EA5"/>
    <w:rsid w:val="73772140"/>
    <w:rsid w:val="737A5923"/>
    <w:rsid w:val="73816CB2"/>
    <w:rsid w:val="73851D5A"/>
    <w:rsid w:val="738642C8"/>
    <w:rsid w:val="73A203CF"/>
    <w:rsid w:val="73AE1E08"/>
    <w:rsid w:val="73B62373"/>
    <w:rsid w:val="73C51294"/>
    <w:rsid w:val="73CB699E"/>
    <w:rsid w:val="73CF1694"/>
    <w:rsid w:val="73D30071"/>
    <w:rsid w:val="73E73DBC"/>
    <w:rsid w:val="73FE2D29"/>
    <w:rsid w:val="73FE5B77"/>
    <w:rsid w:val="742416BB"/>
    <w:rsid w:val="744B7C81"/>
    <w:rsid w:val="74594DBE"/>
    <w:rsid w:val="74642F4E"/>
    <w:rsid w:val="746B1A43"/>
    <w:rsid w:val="74757EB3"/>
    <w:rsid w:val="74780B72"/>
    <w:rsid w:val="7490623F"/>
    <w:rsid w:val="749A2E3E"/>
    <w:rsid w:val="749D5CE3"/>
    <w:rsid w:val="74B03983"/>
    <w:rsid w:val="74B823BF"/>
    <w:rsid w:val="74BB61F3"/>
    <w:rsid w:val="74CD3F0D"/>
    <w:rsid w:val="74DB3F53"/>
    <w:rsid w:val="74DD4602"/>
    <w:rsid w:val="74E40210"/>
    <w:rsid w:val="74FE77AB"/>
    <w:rsid w:val="751A116C"/>
    <w:rsid w:val="75271F09"/>
    <w:rsid w:val="753E5E4B"/>
    <w:rsid w:val="754F415F"/>
    <w:rsid w:val="755018F7"/>
    <w:rsid w:val="75691DD5"/>
    <w:rsid w:val="75720FA8"/>
    <w:rsid w:val="757C3B39"/>
    <w:rsid w:val="75812CF8"/>
    <w:rsid w:val="75895CB0"/>
    <w:rsid w:val="75A4312B"/>
    <w:rsid w:val="75A841DE"/>
    <w:rsid w:val="75CA7CFF"/>
    <w:rsid w:val="75F47C0F"/>
    <w:rsid w:val="760D071B"/>
    <w:rsid w:val="761107C1"/>
    <w:rsid w:val="761D58ED"/>
    <w:rsid w:val="76387521"/>
    <w:rsid w:val="763B6F6A"/>
    <w:rsid w:val="763C0060"/>
    <w:rsid w:val="764C5F75"/>
    <w:rsid w:val="765F7F3E"/>
    <w:rsid w:val="76617D91"/>
    <w:rsid w:val="76703E63"/>
    <w:rsid w:val="76794470"/>
    <w:rsid w:val="76802C08"/>
    <w:rsid w:val="76877BBB"/>
    <w:rsid w:val="768954EE"/>
    <w:rsid w:val="769136B0"/>
    <w:rsid w:val="769C7484"/>
    <w:rsid w:val="76A07ABE"/>
    <w:rsid w:val="76A532DE"/>
    <w:rsid w:val="76B45702"/>
    <w:rsid w:val="76B80F6D"/>
    <w:rsid w:val="76CA2C9C"/>
    <w:rsid w:val="76DE213A"/>
    <w:rsid w:val="76E32CA6"/>
    <w:rsid w:val="77000D58"/>
    <w:rsid w:val="77204A34"/>
    <w:rsid w:val="772B6194"/>
    <w:rsid w:val="772D7C1E"/>
    <w:rsid w:val="77544DFB"/>
    <w:rsid w:val="77594B42"/>
    <w:rsid w:val="77654885"/>
    <w:rsid w:val="779B51D1"/>
    <w:rsid w:val="77A568D9"/>
    <w:rsid w:val="77B148CB"/>
    <w:rsid w:val="77B5238D"/>
    <w:rsid w:val="77B862E2"/>
    <w:rsid w:val="77BE391A"/>
    <w:rsid w:val="77C061FC"/>
    <w:rsid w:val="77C07E62"/>
    <w:rsid w:val="77C43611"/>
    <w:rsid w:val="77C651FE"/>
    <w:rsid w:val="77D01E5A"/>
    <w:rsid w:val="77E34BBF"/>
    <w:rsid w:val="77EB7ABC"/>
    <w:rsid w:val="77F144B1"/>
    <w:rsid w:val="77F92140"/>
    <w:rsid w:val="77FB576D"/>
    <w:rsid w:val="780B4B39"/>
    <w:rsid w:val="781D6824"/>
    <w:rsid w:val="783A1D29"/>
    <w:rsid w:val="78537123"/>
    <w:rsid w:val="786D1381"/>
    <w:rsid w:val="786E5350"/>
    <w:rsid w:val="787A3B4F"/>
    <w:rsid w:val="7886606B"/>
    <w:rsid w:val="789B7D51"/>
    <w:rsid w:val="78A50202"/>
    <w:rsid w:val="78AA55C3"/>
    <w:rsid w:val="78AD3DA8"/>
    <w:rsid w:val="78B41DA4"/>
    <w:rsid w:val="78BB2005"/>
    <w:rsid w:val="78CC3CB1"/>
    <w:rsid w:val="78D32A45"/>
    <w:rsid w:val="78D67AA0"/>
    <w:rsid w:val="78DD498A"/>
    <w:rsid w:val="78E174A0"/>
    <w:rsid w:val="78EF0E65"/>
    <w:rsid w:val="790F36C3"/>
    <w:rsid w:val="79142E45"/>
    <w:rsid w:val="791E69F3"/>
    <w:rsid w:val="79282EC8"/>
    <w:rsid w:val="792A7C9E"/>
    <w:rsid w:val="7935446A"/>
    <w:rsid w:val="793941EF"/>
    <w:rsid w:val="794227C9"/>
    <w:rsid w:val="7950464B"/>
    <w:rsid w:val="795D6255"/>
    <w:rsid w:val="7960342A"/>
    <w:rsid w:val="796322DB"/>
    <w:rsid w:val="79674EC3"/>
    <w:rsid w:val="798149FE"/>
    <w:rsid w:val="79840C97"/>
    <w:rsid w:val="798B3692"/>
    <w:rsid w:val="799612FF"/>
    <w:rsid w:val="799F7317"/>
    <w:rsid w:val="79A40A44"/>
    <w:rsid w:val="79E12616"/>
    <w:rsid w:val="79E838B0"/>
    <w:rsid w:val="79E901EA"/>
    <w:rsid w:val="79EE2ABD"/>
    <w:rsid w:val="7A041D3D"/>
    <w:rsid w:val="7A04504C"/>
    <w:rsid w:val="7A174616"/>
    <w:rsid w:val="7A1A0BB0"/>
    <w:rsid w:val="7A226ED7"/>
    <w:rsid w:val="7A297F06"/>
    <w:rsid w:val="7A3367AD"/>
    <w:rsid w:val="7A3909AC"/>
    <w:rsid w:val="7A4C6CAF"/>
    <w:rsid w:val="7A4E6872"/>
    <w:rsid w:val="7A6A2BD3"/>
    <w:rsid w:val="7A7604B4"/>
    <w:rsid w:val="7A7D7422"/>
    <w:rsid w:val="7A822BDE"/>
    <w:rsid w:val="7AA5448B"/>
    <w:rsid w:val="7AAA42BF"/>
    <w:rsid w:val="7AB73ADB"/>
    <w:rsid w:val="7ACD6C80"/>
    <w:rsid w:val="7ACF29F8"/>
    <w:rsid w:val="7AD8539E"/>
    <w:rsid w:val="7AFD1423"/>
    <w:rsid w:val="7B0A7F73"/>
    <w:rsid w:val="7B0C4963"/>
    <w:rsid w:val="7B114B62"/>
    <w:rsid w:val="7B116B6D"/>
    <w:rsid w:val="7B1D7C08"/>
    <w:rsid w:val="7B303E8C"/>
    <w:rsid w:val="7B475AAB"/>
    <w:rsid w:val="7B4C5DF7"/>
    <w:rsid w:val="7B4E54EE"/>
    <w:rsid w:val="7B5762F3"/>
    <w:rsid w:val="7B6F3122"/>
    <w:rsid w:val="7B840A4C"/>
    <w:rsid w:val="7BB66ED3"/>
    <w:rsid w:val="7BB942BC"/>
    <w:rsid w:val="7BC462D5"/>
    <w:rsid w:val="7BC62168"/>
    <w:rsid w:val="7BD07B0D"/>
    <w:rsid w:val="7BD346E8"/>
    <w:rsid w:val="7BE47E99"/>
    <w:rsid w:val="7BF841F7"/>
    <w:rsid w:val="7C04595F"/>
    <w:rsid w:val="7C091F3A"/>
    <w:rsid w:val="7C0954EE"/>
    <w:rsid w:val="7C0F3EEB"/>
    <w:rsid w:val="7C1E2FC9"/>
    <w:rsid w:val="7C201D60"/>
    <w:rsid w:val="7C2056B4"/>
    <w:rsid w:val="7C22164F"/>
    <w:rsid w:val="7C240FE0"/>
    <w:rsid w:val="7C2A426F"/>
    <w:rsid w:val="7C2D1102"/>
    <w:rsid w:val="7C5B282A"/>
    <w:rsid w:val="7C616CBA"/>
    <w:rsid w:val="7C621E4D"/>
    <w:rsid w:val="7C651A7F"/>
    <w:rsid w:val="7C891ADF"/>
    <w:rsid w:val="7CA11609"/>
    <w:rsid w:val="7CA47D8D"/>
    <w:rsid w:val="7CA62D69"/>
    <w:rsid w:val="7CBC086A"/>
    <w:rsid w:val="7CC145C3"/>
    <w:rsid w:val="7CCA171C"/>
    <w:rsid w:val="7CCE4433"/>
    <w:rsid w:val="7CEA1583"/>
    <w:rsid w:val="7CFA7495"/>
    <w:rsid w:val="7D001E2E"/>
    <w:rsid w:val="7D125F97"/>
    <w:rsid w:val="7D1C77E4"/>
    <w:rsid w:val="7D2B5692"/>
    <w:rsid w:val="7D303BC9"/>
    <w:rsid w:val="7D4144EC"/>
    <w:rsid w:val="7D50202E"/>
    <w:rsid w:val="7D721C99"/>
    <w:rsid w:val="7D7C458C"/>
    <w:rsid w:val="7D94165A"/>
    <w:rsid w:val="7DA53F92"/>
    <w:rsid w:val="7DC35ED5"/>
    <w:rsid w:val="7DC412E7"/>
    <w:rsid w:val="7DC7750D"/>
    <w:rsid w:val="7DDF76D2"/>
    <w:rsid w:val="7DE50668"/>
    <w:rsid w:val="7DE510BE"/>
    <w:rsid w:val="7E111C11"/>
    <w:rsid w:val="7E162D9E"/>
    <w:rsid w:val="7E253C4B"/>
    <w:rsid w:val="7E276C0A"/>
    <w:rsid w:val="7E2E5C88"/>
    <w:rsid w:val="7E347F9D"/>
    <w:rsid w:val="7E451D84"/>
    <w:rsid w:val="7E4A4AEE"/>
    <w:rsid w:val="7E4B4B1D"/>
    <w:rsid w:val="7E4F3EF3"/>
    <w:rsid w:val="7E690AB1"/>
    <w:rsid w:val="7E78409D"/>
    <w:rsid w:val="7E8D384B"/>
    <w:rsid w:val="7EA83DD7"/>
    <w:rsid w:val="7EAF0B77"/>
    <w:rsid w:val="7ECA0D69"/>
    <w:rsid w:val="7EF2520D"/>
    <w:rsid w:val="7EF57B33"/>
    <w:rsid w:val="7F0569E9"/>
    <w:rsid w:val="7F13766E"/>
    <w:rsid w:val="7F1C3D80"/>
    <w:rsid w:val="7F1D0B45"/>
    <w:rsid w:val="7F2946C0"/>
    <w:rsid w:val="7F2A323F"/>
    <w:rsid w:val="7F58401B"/>
    <w:rsid w:val="7F604567"/>
    <w:rsid w:val="7F6407D8"/>
    <w:rsid w:val="7F6C4D12"/>
    <w:rsid w:val="7F710BE2"/>
    <w:rsid w:val="7F8F2F20"/>
    <w:rsid w:val="7F8F53A4"/>
    <w:rsid w:val="7FA145D5"/>
    <w:rsid w:val="7FA43058"/>
    <w:rsid w:val="7FA637E3"/>
    <w:rsid w:val="7FAA081A"/>
    <w:rsid w:val="7FB21C9D"/>
    <w:rsid w:val="7FB7766D"/>
    <w:rsid w:val="7FBF2C1A"/>
    <w:rsid w:val="7FC30B5C"/>
    <w:rsid w:val="7FD20763"/>
    <w:rsid w:val="7FD72402"/>
    <w:rsid w:val="7FF04C15"/>
    <w:rsid w:val="7FF058EB"/>
    <w:rsid w:val="7FF216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48"/>
    <w:qFormat/>
    <w:uiPriority w:val="9"/>
    <w:pPr>
      <w:keepNext/>
      <w:keepLines/>
      <w:adjustRightInd w:val="0"/>
      <w:spacing w:before="260" w:after="260" w:line="416" w:lineRule="atLeast"/>
      <w:outlineLvl w:val="2"/>
    </w:pPr>
    <w:rPr>
      <w:b/>
      <w:kern w:val="0"/>
      <w:sz w:val="24"/>
      <w:szCs w:val="20"/>
    </w:rPr>
  </w:style>
  <w:style w:type="paragraph" w:styleId="5">
    <w:name w:val="heading 4"/>
    <w:next w:val="1"/>
    <w:qFormat/>
    <w:uiPriority w:val="0"/>
    <w:pPr>
      <w:wordWrap w:val="0"/>
      <w:spacing w:after="160"/>
      <w:ind w:left="1600" w:hanging="400"/>
      <w:jc w:val="both"/>
      <w:outlineLvl w:val="3"/>
    </w:pPr>
    <w:rPr>
      <w:rFonts w:ascii="Calibri" w:hAnsi="Calibri"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Calibri" w:hAnsi="Calibri" w:eastAsia="宋体" w:cs="Times New Roman"/>
      <w:sz w:val="21"/>
      <w:lang w:val="en-US" w:eastAsia="zh-CN" w:bidi="ar-SA"/>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8">
    <w:name w:val="Note Heading"/>
    <w:basedOn w:val="1"/>
    <w:next w:val="1"/>
    <w:link w:val="49"/>
    <w:qFormat/>
    <w:uiPriority w:val="0"/>
    <w:pPr>
      <w:jc w:val="center"/>
    </w:pPr>
    <w:rPr>
      <w:szCs w:val="20"/>
    </w:rPr>
  </w:style>
  <w:style w:type="paragraph" w:styleId="9">
    <w:name w:val="Normal Indent"/>
    <w:basedOn w:val="1"/>
    <w:link w:val="50"/>
    <w:unhideWhenUsed/>
    <w:qFormat/>
    <w:uiPriority w:val="99"/>
    <w:pPr>
      <w:ind w:firstLine="420" w:firstLineChars="200"/>
    </w:pPr>
    <w:rPr>
      <w:kern w:val="0"/>
      <w:sz w:val="20"/>
    </w:rPr>
  </w:style>
  <w:style w:type="paragraph" w:styleId="10">
    <w:name w:val="Document Map"/>
    <w:basedOn w:val="1"/>
    <w:link w:val="51"/>
    <w:unhideWhenUsed/>
    <w:qFormat/>
    <w:uiPriority w:val="0"/>
    <w:rPr>
      <w:rFonts w:ascii="宋体"/>
      <w:kern w:val="0"/>
      <w:sz w:val="18"/>
      <w:szCs w:val="18"/>
    </w:rPr>
  </w:style>
  <w:style w:type="paragraph" w:styleId="11">
    <w:name w:val="toa heading"/>
    <w:basedOn w:val="1"/>
    <w:next w:val="1"/>
    <w:qFormat/>
    <w:uiPriority w:val="0"/>
    <w:pPr>
      <w:spacing w:before="120"/>
    </w:pPr>
    <w:rPr>
      <w:rFonts w:ascii="Arial" w:hAnsi="Arial" w:eastAsia="宋体" w:cs="Arial"/>
      <w:sz w:val="24"/>
    </w:rPr>
  </w:style>
  <w:style w:type="paragraph" w:styleId="12">
    <w:name w:val="annotation text"/>
    <w:basedOn w:val="1"/>
    <w:next w:val="1"/>
    <w:link w:val="52"/>
    <w:unhideWhenUsed/>
    <w:qFormat/>
    <w:uiPriority w:val="0"/>
    <w:pPr>
      <w:jc w:val="left"/>
    </w:pPr>
    <w:rPr>
      <w:kern w:val="0"/>
      <w:sz w:val="20"/>
    </w:rPr>
  </w:style>
  <w:style w:type="paragraph" w:styleId="13">
    <w:name w:val="Body Text"/>
    <w:basedOn w:val="1"/>
    <w:link w:val="53"/>
    <w:unhideWhenUsed/>
    <w:qFormat/>
    <w:uiPriority w:val="99"/>
    <w:pPr>
      <w:spacing w:after="120"/>
    </w:pPr>
    <w:rPr>
      <w:kern w:val="0"/>
      <w:sz w:val="20"/>
    </w:rPr>
  </w:style>
  <w:style w:type="paragraph" w:styleId="14">
    <w:name w:val="Body Text Indent"/>
    <w:basedOn w:val="1"/>
    <w:link w:val="54"/>
    <w:unhideWhenUsed/>
    <w:qFormat/>
    <w:uiPriority w:val="0"/>
    <w:pPr>
      <w:ind w:left="199" w:leftChars="95"/>
    </w:pPr>
    <w:rPr>
      <w:kern w:val="0"/>
      <w:sz w:val="32"/>
    </w:rPr>
  </w:style>
  <w:style w:type="paragraph" w:styleId="15">
    <w:name w:val="List Continue"/>
    <w:basedOn w:val="1"/>
    <w:qFormat/>
    <w:uiPriority w:val="99"/>
    <w:pPr>
      <w:widowControl/>
      <w:spacing w:after="119" w:line="351" w:lineRule="atLeast"/>
      <w:ind w:firstLine="419"/>
    </w:pPr>
    <w:rPr>
      <w:rFonts w:ascii="仿宋_GB2312" w:hAnsi="Times New Roman" w:eastAsia="仿宋_GB2312"/>
      <w:color w:val="000000"/>
      <w:sz w:val="28"/>
      <w:u w:val="none" w:color="000000"/>
    </w:rPr>
  </w:style>
  <w:style w:type="paragraph" w:styleId="16">
    <w:name w:val="Block Text"/>
    <w:basedOn w:val="1"/>
    <w:unhideWhenUsed/>
    <w:qFormat/>
    <w:uiPriority w:val="0"/>
    <w:pPr>
      <w:adjustRightInd w:val="0"/>
      <w:ind w:left="420" w:right="33"/>
      <w:jc w:val="left"/>
    </w:pPr>
    <w:rPr>
      <w:kern w:val="0"/>
      <w:sz w:val="24"/>
      <w:szCs w:val="20"/>
    </w:rPr>
  </w:style>
  <w:style w:type="paragraph" w:styleId="17">
    <w:name w:val="toc 3"/>
    <w:basedOn w:val="1"/>
    <w:next w:val="1"/>
    <w:unhideWhenUsed/>
    <w:qFormat/>
    <w:uiPriority w:val="39"/>
    <w:pPr>
      <w:ind w:left="840" w:leftChars="400"/>
    </w:pPr>
  </w:style>
  <w:style w:type="paragraph" w:styleId="18">
    <w:name w:val="Plain Text"/>
    <w:basedOn w:val="1"/>
    <w:link w:val="55"/>
    <w:unhideWhenUsed/>
    <w:qFormat/>
    <w:uiPriority w:val="0"/>
    <w:rPr>
      <w:rFonts w:ascii="宋体" w:hAnsi="Courier New"/>
      <w:kern w:val="0"/>
      <w:sz w:val="20"/>
      <w:szCs w:val="21"/>
    </w:rPr>
  </w:style>
  <w:style w:type="paragraph" w:styleId="19">
    <w:name w:val="Date"/>
    <w:basedOn w:val="1"/>
    <w:next w:val="1"/>
    <w:link w:val="56"/>
    <w:qFormat/>
    <w:uiPriority w:val="0"/>
  </w:style>
  <w:style w:type="paragraph" w:styleId="20">
    <w:name w:val="Body Text Indent 2"/>
    <w:basedOn w:val="1"/>
    <w:link w:val="57"/>
    <w:qFormat/>
    <w:uiPriority w:val="99"/>
    <w:pPr>
      <w:widowControl/>
      <w:spacing w:before="100" w:beforeAutospacing="1" w:after="100" w:afterAutospacing="1"/>
      <w:jc w:val="left"/>
    </w:pPr>
    <w:rPr>
      <w:rFonts w:ascii="宋体" w:hAnsi="宋体"/>
      <w:kern w:val="0"/>
      <w:sz w:val="24"/>
    </w:rPr>
  </w:style>
  <w:style w:type="paragraph" w:styleId="21">
    <w:name w:val="Balloon Text"/>
    <w:basedOn w:val="1"/>
    <w:link w:val="58"/>
    <w:unhideWhenUsed/>
    <w:qFormat/>
    <w:uiPriority w:val="99"/>
    <w:rPr>
      <w:kern w:val="0"/>
      <w:sz w:val="18"/>
      <w:szCs w:val="18"/>
    </w:rPr>
  </w:style>
  <w:style w:type="paragraph" w:styleId="22">
    <w:name w:val="footer"/>
    <w:basedOn w:val="1"/>
    <w:link w:val="59"/>
    <w:unhideWhenUsed/>
    <w:qFormat/>
    <w:uiPriority w:val="99"/>
    <w:pPr>
      <w:tabs>
        <w:tab w:val="center" w:pos="4153"/>
        <w:tab w:val="right" w:pos="8306"/>
      </w:tabs>
      <w:snapToGrid w:val="0"/>
      <w:jc w:val="left"/>
    </w:pPr>
    <w:rPr>
      <w:kern w:val="0"/>
      <w:sz w:val="18"/>
      <w:szCs w:val="18"/>
    </w:rPr>
  </w:style>
  <w:style w:type="paragraph" w:styleId="23">
    <w:name w:val="header"/>
    <w:basedOn w:val="1"/>
    <w:link w:val="6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keepNext/>
      <w:tabs>
        <w:tab w:val="right" w:leader="dot" w:pos="9061"/>
      </w:tabs>
      <w:adjustRightInd w:val="0"/>
      <w:snapToGrid w:val="0"/>
      <w:spacing w:beforeLines="50" w:line="480" w:lineRule="auto"/>
    </w:pPr>
  </w:style>
  <w:style w:type="paragraph" w:styleId="25">
    <w:name w:val="Subtitle"/>
    <w:basedOn w:val="1"/>
    <w:next w:val="1"/>
    <w:link w:val="6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6">
    <w:name w:val="Body Text Indent 3"/>
    <w:basedOn w:val="1"/>
    <w:link w:val="62"/>
    <w:unhideWhenUsed/>
    <w:qFormat/>
    <w:uiPriority w:val="99"/>
    <w:pPr>
      <w:spacing w:after="120"/>
      <w:ind w:left="420" w:leftChars="200"/>
    </w:pPr>
    <w:rPr>
      <w:kern w:val="0"/>
      <w:sz w:val="16"/>
      <w:szCs w:val="16"/>
    </w:rPr>
  </w:style>
  <w:style w:type="paragraph" w:styleId="27">
    <w:name w:val="toc 2"/>
    <w:basedOn w:val="1"/>
    <w:next w:val="1"/>
    <w:unhideWhenUsed/>
    <w:qFormat/>
    <w:uiPriority w:val="39"/>
    <w:pPr>
      <w:ind w:left="420" w:leftChars="200"/>
    </w:pPr>
  </w:style>
  <w:style w:type="paragraph" w:styleId="28">
    <w:name w:val="Body Text 2"/>
    <w:basedOn w:val="1"/>
    <w:link w:val="63"/>
    <w:unhideWhenUsed/>
    <w:qFormat/>
    <w:uiPriority w:val="99"/>
    <w:pPr>
      <w:spacing w:after="120" w:line="480" w:lineRule="auto"/>
    </w:p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0">
    <w:name w:val="HTML Preformatted"/>
    <w:basedOn w:val="1"/>
    <w:next w:val="1"/>
    <w:link w:val="6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5"/>
    <w:qFormat/>
    <w:uiPriority w:val="10"/>
    <w:pPr>
      <w:spacing w:before="240" w:after="60"/>
      <w:jc w:val="center"/>
      <w:outlineLvl w:val="0"/>
    </w:pPr>
    <w:rPr>
      <w:rFonts w:ascii="Cambria" w:hAnsi="Cambria"/>
      <w:b/>
      <w:bCs/>
      <w:sz w:val="32"/>
      <w:szCs w:val="32"/>
    </w:rPr>
  </w:style>
  <w:style w:type="paragraph" w:styleId="33">
    <w:name w:val="annotation subject"/>
    <w:basedOn w:val="12"/>
    <w:next w:val="12"/>
    <w:link w:val="66"/>
    <w:unhideWhenUsed/>
    <w:qFormat/>
    <w:uiPriority w:val="99"/>
    <w:rPr>
      <w:b/>
      <w:bCs/>
    </w:rPr>
  </w:style>
  <w:style w:type="paragraph" w:styleId="34">
    <w:name w:val="Body Text First Indent"/>
    <w:basedOn w:val="13"/>
    <w:next w:val="1"/>
    <w:link w:val="67"/>
    <w:unhideWhenUsed/>
    <w:qFormat/>
    <w:uiPriority w:val="99"/>
    <w:pPr>
      <w:ind w:firstLine="420" w:firstLineChars="100"/>
    </w:pPr>
    <w:rPr>
      <w:rFonts w:ascii="仿宋_GB2312" w:eastAsia="仿宋_GB2312"/>
      <w:kern w:val="2"/>
      <w:sz w:val="21"/>
    </w:rPr>
  </w:style>
  <w:style w:type="paragraph" w:styleId="35">
    <w:name w:val="Body Text First Indent 2"/>
    <w:basedOn w:val="14"/>
    <w:next w:val="1"/>
    <w:qFormat/>
    <w:uiPriority w:val="0"/>
    <w:pPr>
      <w:ind w:left="420" w:firstLine="420" w:firstLineChars="200"/>
    </w:pPr>
  </w:style>
  <w:style w:type="table" w:styleId="37">
    <w:name w:val="Table Grid"/>
    <w:basedOn w:val="36"/>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kern w:val="0"/>
    </w:rPr>
  </w:style>
  <w:style w:type="character" w:styleId="40">
    <w:name w:val="page number"/>
    <w:qFormat/>
    <w:uiPriority w:val="0"/>
  </w:style>
  <w:style w:type="character" w:styleId="41">
    <w:name w:val="FollowedHyperlink"/>
    <w:unhideWhenUsed/>
    <w:qFormat/>
    <w:uiPriority w:val="99"/>
    <w:rPr>
      <w:color w:val="156356"/>
      <w:u w:val="none"/>
    </w:rPr>
  </w:style>
  <w:style w:type="character" w:styleId="42">
    <w:name w:val="Emphasis"/>
    <w:qFormat/>
    <w:uiPriority w:val="20"/>
    <w:rPr>
      <w:color w:val="CC0000"/>
    </w:rPr>
  </w:style>
  <w:style w:type="character" w:styleId="43">
    <w:name w:val="Hyperlink"/>
    <w:unhideWhenUsed/>
    <w:qFormat/>
    <w:uiPriority w:val="99"/>
    <w:rPr>
      <w:color w:val="156356"/>
      <w:u w:val="none"/>
    </w:rPr>
  </w:style>
  <w:style w:type="character" w:styleId="44">
    <w:name w:val="annotation reference"/>
    <w:unhideWhenUsed/>
    <w:qFormat/>
    <w:uiPriority w:val="0"/>
    <w:rPr>
      <w:sz w:val="21"/>
      <w:szCs w:val="21"/>
    </w:rPr>
  </w:style>
  <w:style w:type="character" w:styleId="45">
    <w:name w:val="HTML Sample"/>
    <w:basedOn w:val="38"/>
    <w:semiHidden/>
    <w:unhideWhenUsed/>
    <w:qFormat/>
    <w:uiPriority w:val="99"/>
    <w:rPr>
      <w:rFonts w:ascii="Courier New" w:hAnsi="Courier New"/>
    </w:rPr>
  </w:style>
  <w:style w:type="character" w:customStyle="1" w:styleId="46">
    <w:name w:val="标题 1 字符"/>
    <w:link w:val="2"/>
    <w:qFormat/>
    <w:uiPriority w:val="9"/>
    <w:rPr>
      <w:rFonts w:ascii="Times New Roman" w:hAnsi="Times New Roman" w:eastAsia="宋体" w:cs="Times New Roman"/>
      <w:b/>
      <w:bCs/>
      <w:kern w:val="44"/>
      <w:sz w:val="44"/>
      <w:szCs w:val="44"/>
    </w:rPr>
  </w:style>
  <w:style w:type="character" w:customStyle="1" w:styleId="47">
    <w:name w:val="标题 2 字符"/>
    <w:link w:val="3"/>
    <w:qFormat/>
    <w:uiPriority w:val="9"/>
    <w:rPr>
      <w:rFonts w:ascii="Arial" w:hAnsi="Arial" w:eastAsia="黑体" w:cs="Times New Roman"/>
      <w:b/>
      <w:sz w:val="32"/>
      <w:szCs w:val="20"/>
    </w:rPr>
  </w:style>
  <w:style w:type="character" w:customStyle="1" w:styleId="48">
    <w:name w:val="标题 3 字符"/>
    <w:link w:val="4"/>
    <w:qFormat/>
    <w:uiPriority w:val="9"/>
    <w:rPr>
      <w:rFonts w:ascii="Times New Roman" w:hAnsi="Times New Roman" w:eastAsia="宋体" w:cs="Times New Roman"/>
      <w:b/>
      <w:kern w:val="0"/>
      <w:sz w:val="24"/>
      <w:szCs w:val="20"/>
    </w:rPr>
  </w:style>
  <w:style w:type="character" w:customStyle="1" w:styleId="49">
    <w:name w:val="注释标题 字符"/>
    <w:link w:val="8"/>
    <w:qFormat/>
    <w:uiPriority w:val="0"/>
    <w:rPr>
      <w:rFonts w:ascii="Times New Roman" w:hAnsi="Times New Roman"/>
      <w:kern w:val="2"/>
      <w:sz w:val="21"/>
    </w:rPr>
  </w:style>
  <w:style w:type="character" w:customStyle="1" w:styleId="50">
    <w:name w:val="正文缩进 字符"/>
    <w:link w:val="9"/>
    <w:semiHidden/>
    <w:qFormat/>
    <w:locked/>
    <w:uiPriority w:val="99"/>
    <w:rPr>
      <w:rFonts w:ascii="Times New Roman" w:hAnsi="Times New Roman" w:eastAsia="宋体" w:cs="Times New Roman"/>
      <w:szCs w:val="24"/>
    </w:rPr>
  </w:style>
  <w:style w:type="character" w:customStyle="1" w:styleId="51">
    <w:name w:val="文档结构图 字符"/>
    <w:link w:val="10"/>
    <w:qFormat/>
    <w:uiPriority w:val="0"/>
    <w:rPr>
      <w:rFonts w:ascii="宋体" w:hAnsi="Times New Roman" w:eastAsia="宋体" w:cs="Times New Roman"/>
      <w:sz w:val="18"/>
      <w:szCs w:val="18"/>
    </w:rPr>
  </w:style>
  <w:style w:type="character" w:customStyle="1" w:styleId="52">
    <w:name w:val="批注文字 字符"/>
    <w:link w:val="12"/>
    <w:qFormat/>
    <w:uiPriority w:val="0"/>
    <w:rPr>
      <w:rFonts w:ascii="Times New Roman" w:hAnsi="Times New Roman" w:eastAsia="宋体" w:cs="Times New Roman"/>
      <w:szCs w:val="24"/>
    </w:rPr>
  </w:style>
  <w:style w:type="character" w:customStyle="1" w:styleId="53">
    <w:name w:val="正文文本 字符"/>
    <w:link w:val="13"/>
    <w:qFormat/>
    <w:uiPriority w:val="99"/>
    <w:rPr>
      <w:rFonts w:ascii="Times New Roman" w:hAnsi="Times New Roman" w:eastAsia="宋体" w:cs="Times New Roman"/>
      <w:szCs w:val="24"/>
    </w:rPr>
  </w:style>
  <w:style w:type="character" w:customStyle="1" w:styleId="54">
    <w:name w:val="正文文本缩进 字符"/>
    <w:link w:val="14"/>
    <w:qFormat/>
    <w:uiPriority w:val="0"/>
    <w:rPr>
      <w:rFonts w:ascii="Times New Roman" w:hAnsi="Times New Roman" w:eastAsia="宋体" w:cs="Times New Roman"/>
      <w:sz w:val="32"/>
      <w:szCs w:val="24"/>
    </w:rPr>
  </w:style>
  <w:style w:type="character" w:customStyle="1" w:styleId="55">
    <w:name w:val="纯文本 字符"/>
    <w:link w:val="18"/>
    <w:qFormat/>
    <w:uiPriority w:val="0"/>
    <w:rPr>
      <w:rFonts w:ascii="宋体" w:hAnsi="Courier New" w:eastAsia="宋体" w:cs="Courier New"/>
      <w:szCs w:val="21"/>
    </w:rPr>
  </w:style>
  <w:style w:type="character" w:customStyle="1" w:styleId="56">
    <w:name w:val="日期 字符"/>
    <w:link w:val="19"/>
    <w:qFormat/>
    <w:uiPriority w:val="0"/>
    <w:rPr>
      <w:kern w:val="2"/>
      <w:sz w:val="21"/>
      <w:szCs w:val="24"/>
    </w:rPr>
  </w:style>
  <w:style w:type="character" w:customStyle="1" w:styleId="57">
    <w:name w:val="正文文本缩进 2 字符"/>
    <w:link w:val="20"/>
    <w:qFormat/>
    <w:uiPriority w:val="99"/>
    <w:rPr>
      <w:rFonts w:ascii="宋体" w:hAnsi="宋体" w:cs="宋体"/>
      <w:sz w:val="24"/>
      <w:szCs w:val="24"/>
    </w:rPr>
  </w:style>
  <w:style w:type="character" w:customStyle="1" w:styleId="58">
    <w:name w:val="批注框文本 字符"/>
    <w:link w:val="21"/>
    <w:qFormat/>
    <w:uiPriority w:val="99"/>
    <w:rPr>
      <w:rFonts w:ascii="Times New Roman" w:hAnsi="Times New Roman" w:eastAsia="宋体" w:cs="Times New Roman"/>
      <w:sz w:val="18"/>
      <w:szCs w:val="18"/>
    </w:rPr>
  </w:style>
  <w:style w:type="character" w:customStyle="1" w:styleId="59">
    <w:name w:val="页脚 字符"/>
    <w:link w:val="22"/>
    <w:qFormat/>
    <w:uiPriority w:val="99"/>
    <w:rPr>
      <w:rFonts w:ascii="Times New Roman" w:hAnsi="Times New Roman" w:eastAsia="宋体" w:cs="Times New Roman"/>
      <w:sz w:val="18"/>
      <w:szCs w:val="18"/>
    </w:rPr>
  </w:style>
  <w:style w:type="character" w:customStyle="1" w:styleId="60">
    <w:name w:val="页眉 字符"/>
    <w:link w:val="23"/>
    <w:qFormat/>
    <w:uiPriority w:val="99"/>
    <w:rPr>
      <w:rFonts w:ascii="Times New Roman" w:hAnsi="Times New Roman" w:eastAsia="宋体" w:cs="Times New Roman"/>
      <w:sz w:val="18"/>
      <w:szCs w:val="18"/>
    </w:rPr>
  </w:style>
  <w:style w:type="character" w:customStyle="1" w:styleId="61">
    <w:name w:val="副标题 字符"/>
    <w:link w:val="25"/>
    <w:qFormat/>
    <w:uiPriority w:val="11"/>
    <w:rPr>
      <w:rFonts w:ascii="Cambria" w:hAnsi="Cambria"/>
      <w:b/>
      <w:bCs/>
      <w:kern w:val="28"/>
      <w:sz w:val="28"/>
      <w:szCs w:val="32"/>
    </w:rPr>
  </w:style>
  <w:style w:type="character" w:customStyle="1" w:styleId="62">
    <w:name w:val="正文文本缩进 3 字符"/>
    <w:link w:val="26"/>
    <w:qFormat/>
    <w:uiPriority w:val="99"/>
    <w:rPr>
      <w:rFonts w:ascii="Times New Roman" w:hAnsi="Times New Roman" w:eastAsia="宋体" w:cs="Times New Roman"/>
      <w:sz w:val="16"/>
      <w:szCs w:val="16"/>
    </w:rPr>
  </w:style>
  <w:style w:type="character" w:customStyle="1" w:styleId="63">
    <w:name w:val="正文文本 2 字符"/>
    <w:link w:val="28"/>
    <w:qFormat/>
    <w:uiPriority w:val="99"/>
    <w:rPr>
      <w:kern w:val="2"/>
      <w:sz w:val="21"/>
      <w:szCs w:val="24"/>
    </w:rPr>
  </w:style>
  <w:style w:type="character" w:customStyle="1" w:styleId="64">
    <w:name w:val="HTML 预设格式 字符"/>
    <w:link w:val="30"/>
    <w:qFormat/>
    <w:uiPriority w:val="99"/>
    <w:rPr>
      <w:rFonts w:ascii="Arial" w:hAnsi="Arial" w:cs="Arial"/>
      <w:sz w:val="21"/>
      <w:szCs w:val="21"/>
    </w:rPr>
  </w:style>
  <w:style w:type="character" w:customStyle="1" w:styleId="65">
    <w:name w:val="标题 字符"/>
    <w:link w:val="32"/>
    <w:qFormat/>
    <w:uiPriority w:val="10"/>
    <w:rPr>
      <w:rFonts w:ascii="Cambria" w:hAnsi="Cambria"/>
      <w:b/>
      <w:bCs/>
      <w:kern w:val="2"/>
      <w:sz w:val="32"/>
      <w:szCs w:val="32"/>
    </w:rPr>
  </w:style>
  <w:style w:type="character" w:customStyle="1" w:styleId="66">
    <w:name w:val="批注主题 字符"/>
    <w:link w:val="33"/>
    <w:semiHidden/>
    <w:qFormat/>
    <w:uiPriority w:val="99"/>
    <w:rPr>
      <w:rFonts w:ascii="Times New Roman" w:hAnsi="Times New Roman" w:eastAsia="宋体" w:cs="Times New Roman"/>
      <w:b/>
      <w:bCs/>
      <w:szCs w:val="24"/>
    </w:rPr>
  </w:style>
  <w:style w:type="character" w:customStyle="1" w:styleId="67">
    <w:name w:val="正文文本首行缩进 字符"/>
    <w:link w:val="34"/>
    <w:qFormat/>
    <w:uiPriority w:val="99"/>
    <w:rPr>
      <w:rFonts w:ascii="仿宋_GB2312" w:eastAsia="仿宋_GB2312"/>
      <w:kern w:val="2"/>
      <w:sz w:val="21"/>
      <w:szCs w:val="24"/>
    </w:rPr>
  </w:style>
  <w:style w:type="character" w:customStyle="1" w:styleId="68">
    <w:name w:val="px10"/>
    <w:qFormat/>
    <w:uiPriority w:val="0"/>
  </w:style>
  <w:style w:type="character" w:customStyle="1" w:styleId="69">
    <w:name w:val="环小四文中说明 Char"/>
    <w:link w:val="70"/>
    <w:qFormat/>
    <w:locked/>
    <w:uiPriority w:val="0"/>
    <w:rPr>
      <w:rFonts w:ascii="宋体" w:hAnsi="宋体"/>
      <w:kern w:val="2"/>
      <w:sz w:val="24"/>
      <w:szCs w:val="24"/>
      <w:lang w:val="en-US" w:eastAsia="zh-CN" w:bidi="ar-SA"/>
    </w:rPr>
  </w:style>
  <w:style w:type="paragraph" w:customStyle="1" w:styleId="70">
    <w:name w:val="环小四文中说明"/>
    <w:link w:val="69"/>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71">
    <w:name w:val="15"/>
    <w:qFormat/>
    <w:uiPriority w:val="0"/>
  </w:style>
  <w:style w:type="character" w:customStyle="1" w:styleId="72">
    <w:name w:val="环小四内容 Char Char"/>
    <w:link w:val="73"/>
    <w:qFormat/>
    <w:locked/>
    <w:uiPriority w:val="0"/>
    <w:rPr>
      <w:rFonts w:ascii="宋体" w:hAnsi="Calibri" w:eastAsia="宋体"/>
      <w:sz w:val="24"/>
      <w:szCs w:val="24"/>
    </w:rPr>
  </w:style>
  <w:style w:type="paragraph" w:customStyle="1" w:styleId="73">
    <w:name w:val="环小四内容"/>
    <w:basedOn w:val="1"/>
    <w:link w:val="72"/>
    <w:qFormat/>
    <w:uiPriority w:val="0"/>
    <w:pPr>
      <w:ind w:firstLine="200" w:firstLineChars="200"/>
      <w:jc w:val="left"/>
    </w:pPr>
    <w:rPr>
      <w:rFonts w:ascii="宋体" w:hAnsi="Calibri"/>
      <w:kern w:val="0"/>
      <w:sz w:val="24"/>
    </w:rPr>
  </w:style>
  <w:style w:type="character" w:customStyle="1" w:styleId="74">
    <w:name w:val="正文文本缩进 3 Char1"/>
    <w:semiHidden/>
    <w:qFormat/>
    <w:uiPriority w:val="99"/>
    <w:rPr>
      <w:kern w:val="2"/>
      <w:sz w:val="16"/>
      <w:szCs w:val="16"/>
    </w:rPr>
  </w:style>
  <w:style w:type="character" w:customStyle="1" w:styleId="75">
    <w:name w:val="正文文本 Char"/>
    <w:qFormat/>
    <w:uiPriority w:val="99"/>
    <w:rPr>
      <w:kern w:val="2"/>
      <w:sz w:val="21"/>
      <w:szCs w:val="24"/>
    </w:rPr>
  </w:style>
  <w:style w:type="character" w:customStyle="1" w:styleId="76">
    <w:name w:val="纯文本 Char1"/>
    <w:qFormat/>
    <w:locked/>
    <w:uiPriority w:val="0"/>
    <w:rPr>
      <w:rFonts w:hint="eastAsia" w:ascii="宋体" w:hAnsi="Courier New" w:eastAsia="宋体" w:cs="Courier New"/>
      <w:kern w:val="2"/>
      <w:sz w:val="21"/>
      <w:szCs w:val="21"/>
    </w:rPr>
  </w:style>
  <w:style w:type="character" w:customStyle="1" w:styleId="77">
    <w:name w:val="批注文字 Char1"/>
    <w:qFormat/>
    <w:uiPriority w:val="99"/>
    <w:rPr>
      <w:kern w:val="2"/>
      <w:sz w:val="21"/>
      <w:szCs w:val="24"/>
    </w:rPr>
  </w:style>
  <w:style w:type="character" w:customStyle="1" w:styleId="78">
    <w:name w:val="正文文本 2 字符1"/>
    <w:semiHidden/>
    <w:qFormat/>
    <w:uiPriority w:val="99"/>
    <w:rPr>
      <w:kern w:val="2"/>
      <w:sz w:val="21"/>
      <w:szCs w:val="24"/>
    </w:rPr>
  </w:style>
  <w:style w:type="character" w:customStyle="1" w:styleId="79">
    <w:name w:val="layui-laypage-curr"/>
    <w:qFormat/>
    <w:uiPriority w:val="0"/>
  </w:style>
  <w:style w:type="character" w:customStyle="1" w:styleId="80">
    <w:name w:val="label"/>
    <w:qFormat/>
    <w:uiPriority w:val="0"/>
    <w:rPr>
      <w:color w:val="999999"/>
    </w:rPr>
  </w:style>
  <w:style w:type="character" w:customStyle="1" w:styleId="81">
    <w:name w:val="font11"/>
    <w:qFormat/>
    <w:uiPriority w:val="0"/>
    <w:rPr>
      <w:rFonts w:hint="eastAsia" w:ascii="宋体" w:hAnsi="宋体" w:eastAsia="宋体" w:cs="宋体"/>
      <w:color w:val="000000"/>
      <w:kern w:val="0"/>
      <w:sz w:val="18"/>
      <w:szCs w:val="18"/>
      <w:u w:val="none"/>
    </w:rPr>
  </w:style>
  <w:style w:type="character" w:customStyle="1" w:styleId="82">
    <w:name w:val="文档结构图 Char1"/>
    <w:semiHidden/>
    <w:qFormat/>
    <w:uiPriority w:val="99"/>
    <w:rPr>
      <w:rFonts w:hint="eastAsia" w:ascii="宋体" w:hAnsi="宋体" w:eastAsia="宋体"/>
      <w:kern w:val="2"/>
      <w:sz w:val="18"/>
      <w:szCs w:val="18"/>
    </w:rPr>
  </w:style>
  <w:style w:type="character" w:customStyle="1" w:styleId="83">
    <w:name w:val="标题 字符1"/>
    <w:qFormat/>
    <w:uiPriority w:val="10"/>
    <w:rPr>
      <w:rFonts w:ascii="等线 Light" w:hAnsi="等线 Light" w:cs="Times New Roman"/>
      <w:b/>
      <w:bCs/>
      <w:kern w:val="2"/>
      <w:sz w:val="32"/>
      <w:szCs w:val="32"/>
    </w:rPr>
  </w:style>
  <w:style w:type="character" w:customStyle="1" w:styleId="84">
    <w:name w:val="环小四12345 Char"/>
    <w:link w:val="85"/>
    <w:qFormat/>
    <w:locked/>
    <w:uiPriority w:val="0"/>
    <w:rPr>
      <w:rFonts w:ascii="宋体" w:hAnsi="宋体"/>
      <w:b/>
      <w:kern w:val="2"/>
      <w:sz w:val="24"/>
      <w:szCs w:val="24"/>
      <w:lang w:val="en-US" w:eastAsia="zh-CN" w:bidi="ar-SA"/>
    </w:rPr>
  </w:style>
  <w:style w:type="paragraph" w:customStyle="1" w:styleId="85">
    <w:name w:val="环小四12345"/>
    <w:link w:val="84"/>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86">
    <w:name w:val="页脚 Char1"/>
    <w:semiHidden/>
    <w:qFormat/>
    <w:uiPriority w:val="99"/>
    <w:rPr>
      <w:kern w:val="2"/>
      <w:sz w:val="18"/>
      <w:szCs w:val="18"/>
    </w:rPr>
  </w:style>
  <w:style w:type="character" w:customStyle="1" w:styleId="87">
    <w:name w:val="apple-converted-space"/>
    <w:qFormat/>
    <w:uiPriority w:val="0"/>
  </w:style>
  <w:style w:type="character" w:customStyle="1" w:styleId="88">
    <w:name w:val="title"/>
    <w:qFormat/>
    <w:uiPriority w:val="0"/>
  </w:style>
  <w:style w:type="character" w:customStyle="1" w:styleId="89">
    <w:name w:val="正文文本首行缩进 字符1"/>
    <w:semiHidden/>
    <w:qFormat/>
    <w:uiPriority w:val="99"/>
    <w:rPr>
      <w:rFonts w:ascii="Times New Roman" w:hAnsi="Times New Roman" w:eastAsia="宋体" w:cs="Times New Roman"/>
      <w:kern w:val="2"/>
      <w:sz w:val="21"/>
      <w:szCs w:val="24"/>
    </w:rPr>
  </w:style>
  <w:style w:type="character" w:customStyle="1" w:styleId="90">
    <w:name w:val="副标题 字符1"/>
    <w:qFormat/>
    <w:uiPriority w:val="11"/>
    <w:rPr>
      <w:rFonts w:ascii="等线 Light" w:hAnsi="等线 Light" w:cs="Times New Roman"/>
      <w:b/>
      <w:bCs/>
      <w:kern w:val="28"/>
      <w:sz w:val="32"/>
      <w:szCs w:val="32"/>
    </w:rPr>
  </w:style>
  <w:style w:type="character" w:customStyle="1" w:styleId="91">
    <w:name w:val="zizicopy1"/>
    <w:qFormat/>
    <w:uiPriority w:val="0"/>
    <w:rPr>
      <w:color w:val="E8E8E8"/>
      <w:spacing w:val="14"/>
      <w:sz w:val="18"/>
      <w:szCs w:val="18"/>
    </w:rPr>
  </w:style>
  <w:style w:type="character" w:customStyle="1" w:styleId="92">
    <w:name w:val="环小四1.1.1（三级） Char"/>
    <w:link w:val="93"/>
    <w:qFormat/>
    <w:locked/>
    <w:uiPriority w:val="0"/>
    <w:rPr>
      <w:rFonts w:ascii="宋体" w:hAnsi="宋体" w:eastAsia="楷体_GB2312"/>
      <w:b/>
      <w:bCs/>
      <w:kern w:val="44"/>
      <w:sz w:val="24"/>
      <w:szCs w:val="24"/>
      <w:lang w:val="en-US" w:eastAsia="zh-CN" w:bidi="ar-SA"/>
    </w:rPr>
  </w:style>
  <w:style w:type="paragraph" w:customStyle="1" w:styleId="93">
    <w:name w:val="环小四1.1.1（三级）"/>
    <w:link w:val="92"/>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94">
    <w:name w:val="apple-style-span"/>
    <w:qFormat/>
    <w:uiPriority w:val="0"/>
  </w:style>
  <w:style w:type="character" w:customStyle="1" w:styleId="95">
    <w:name w:val="日期 字符1"/>
    <w:semiHidden/>
    <w:qFormat/>
    <w:uiPriority w:val="99"/>
    <w:rPr>
      <w:kern w:val="2"/>
      <w:sz w:val="21"/>
      <w:szCs w:val="24"/>
    </w:rPr>
  </w:style>
  <w:style w:type="character" w:customStyle="1" w:styleId="96">
    <w:name w:val="font01"/>
    <w:qFormat/>
    <w:uiPriority w:val="0"/>
    <w:rPr>
      <w:rFonts w:hint="eastAsia" w:ascii="宋体" w:hAnsi="宋体" w:eastAsia="宋体" w:cs="宋体"/>
      <w:color w:val="FF0000"/>
      <w:kern w:val="0"/>
      <w:sz w:val="18"/>
      <w:szCs w:val="18"/>
      <w:u w:val="none"/>
    </w:rPr>
  </w:style>
  <w:style w:type="character" w:customStyle="1" w:styleId="97">
    <w:name w:val="正文文本缩进 2 字符1"/>
    <w:semiHidden/>
    <w:qFormat/>
    <w:uiPriority w:val="99"/>
    <w:rPr>
      <w:kern w:val="2"/>
      <w:sz w:val="21"/>
      <w:szCs w:val="24"/>
    </w:rPr>
  </w:style>
  <w:style w:type="character" w:customStyle="1" w:styleId="98">
    <w:name w:val="px_10"/>
    <w:qFormat/>
    <w:uiPriority w:val="0"/>
  </w:style>
  <w:style w:type="character" w:customStyle="1" w:styleId="99">
    <w:name w:val="纯文本 Char2"/>
    <w:semiHidden/>
    <w:qFormat/>
    <w:uiPriority w:val="99"/>
    <w:rPr>
      <w:rFonts w:hint="eastAsia" w:ascii="宋体" w:hAnsi="Courier New" w:eastAsia="宋体" w:cs="Courier New"/>
      <w:kern w:val="2"/>
      <w:sz w:val="21"/>
      <w:szCs w:val="21"/>
    </w:rPr>
  </w:style>
  <w:style w:type="character" w:customStyle="1" w:styleId="100">
    <w:name w:val="样式11 Char"/>
    <w:link w:val="101"/>
    <w:qFormat/>
    <w:locked/>
    <w:uiPriority w:val="0"/>
    <w:rPr>
      <w:sz w:val="28"/>
      <w:szCs w:val="28"/>
    </w:rPr>
  </w:style>
  <w:style w:type="paragraph" w:customStyle="1" w:styleId="101">
    <w:name w:val="样式11"/>
    <w:basedOn w:val="1"/>
    <w:link w:val="100"/>
    <w:qFormat/>
    <w:uiPriority w:val="0"/>
    <w:pPr>
      <w:ind w:firstLine="200" w:firstLineChars="200"/>
    </w:pPr>
    <w:rPr>
      <w:kern w:val="0"/>
      <w:sz w:val="28"/>
      <w:szCs w:val="28"/>
    </w:rPr>
  </w:style>
  <w:style w:type="character" w:customStyle="1" w:styleId="102">
    <w:name w:val="环小四1.1（二级） Char"/>
    <w:link w:val="103"/>
    <w:qFormat/>
    <w:locked/>
    <w:uiPriority w:val="0"/>
    <w:rPr>
      <w:rFonts w:ascii="宋体" w:hAnsi="宋体"/>
      <w:b/>
      <w:bCs/>
      <w:kern w:val="24"/>
      <w:sz w:val="24"/>
      <w:szCs w:val="24"/>
      <w:lang w:val="en-US" w:eastAsia="zh-CN" w:bidi="ar-SA"/>
    </w:rPr>
  </w:style>
  <w:style w:type="paragraph" w:customStyle="1" w:styleId="103">
    <w:name w:val="环小四1.1（二级）"/>
    <w:link w:val="102"/>
    <w:qFormat/>
    <w:uiPriority w:val="0"/>
    <w:pPr>
      <w:widowControl w:val="0"/>
      <w:jc w:val="both"/>
      <w:outlineLvl w:val="1"/>
    </w:pPr>
    <w:rPr>
      <w:rFonts w:ascii="宋体" w:hAnsi="宋体" w:eastAsia="宋体" w:cs="Times New Roman"/>
      <w:b/>
      <w:bCs/>
      <w:kern w:val="24"/>
      <w:sz w:val="24"/>
      <w:szCs w:val="24"/>
      <w:lang w:val="en-US" w:eastAsia="zh-CN" w:bidi="ar-SA"/>
    </w:rPr>
  </w:style>
  <w:style w:type="paragraph" w:customStyle="1" w:styleId="104">
    <w:name w:val="2级正文"/>
    <w:basedOn w:val="1"/>
    <w:qFormat/>
    <w:uiPriority w:val="0"/>
    <w:pPr>
      <w:ind w:left="721" w:hanging="420"/>
      <w:jc w:val="left"/>
    </w:pPr>
    <w:rPr>
      <w:rFonts w:ascii="宋体" w:hAnsi="宋体" w:cs="宋体"/>
      <w:szCs w:val="21"/>
    </w:rPr>
  </w:style>
  <w:style w:type="paragraph" w:customStyle="1" w:styleId="105">
    <w:name w:val="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07">
    <w:name w:val="Char Char1"/>
    <w:basedOn w:val="1"/>
    <w:qFormat/>
    <w:uiPriority w:val="99"/>
    <w:rPr>
      <w:szCs w:val="21"/>
    </w:rPr>
  </w:style>
  <w:style w:type="paragraph" w:customStyle="1" w:styleId="108">
    <w:name w:val="_Style 1"/>
    <w:basedOn w:val="1"/>
    <w:qFormat/>
    <w:uiPriority w:val="0"/>
    <w:pPr>
      <w:ind w:firstLine="420" w:firstLineChars="200"/>
    </w:pPr>
  </w:style>
  <w:style w:type="paragraph" w:customStyle="1" w:styleId="109">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1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 Char Char Char Char"/>
    <w:basedOn w:val="1"/>
    <w:qFormat/>
    <w:uiPriority w:val="0"/>
    <w:rPr>
      <w:rFonts w:ascii="Tahoma" w:hAnsi="Tahoma"/>
      <w:sz w:val="24"/>
      <w:szCs w:val="20"/>
    </w:rPr>
  </w:style>
  <w:style w:type="paragraph" w:customStyle="1" w:styleId="112">
    <w:name w:val="样式1"/>
    <w:basedOn w:val="1"/>
    <w:qFormat/>
    <w:uiPriority w:val="0"/>
    <w:pPr>
      <w:jc w:val="center"/>
    </w:pPr>
    <w:rPr>
      <w:rFonts w:ascii="宋体" w:hAnsi="宋体"/>
      <w:sz w:val="30"/>
      <w:szCs w:val="28"/>
    </w:rPr>
  </w:style>
  <w:style w:type="paragraph" w:customStyle="1" w:styleId="113">
    <w:name w:val="_Style 2"/>
    <w:basedOn w:val="1"/>
    <w:qFormat/>
    <w:uiPriority w:val="34"/>
    <w:pPr>
      <w:ind w:firstLine="420" w:firstLineChars="200"/>
    </w:pPr>
  </w:style>
  <w:style w:type="paragraph" w:customStyle="1" w:styleId="114">
    <w:name w:val="xl23"/>
    <w:basedOn w:val="1"/>
    <w:qFormat/>
    <w:uiPriority w:val="99"/>
    <w:pPr>
      <w:widowControl/>
      <w:spacing w:before="100" w:beforeAutospacing="1" w:after="100" w:afterAutospacing="1" w:line="360" w:lineRule="auto"/>
    </w:pPr>
    <w:rPr>
      <w:kern w:val="0"/>
      <w:sz w:val="24"/>
    </w:rPr>
  </w:style>
  <w:style w:type="paragraph" w:customStyle="1" w:styleId="1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16">
    <w:name w:val="List Paragraph"/>
    <w:basedOn w:val="1"/>
    <w:qFormat/>
    <w:uiPriority w:val="99"/>
    <w:pPr>
      <w:ind w:firstLine="420" w:firstLineChars="200"/>
    </w:pPr>
    <w:rPr>
      <w:szCs w:val="22"/>
    </w:rPr>
  </w:style>
  <w:style w:type="paragraph" w:customStyle="1" w:styleId="117">
    <w:name w:val="Char Char Char Char"/>
    <w:basedOn w:val="1"/>
    <w:qFormat/>
    <w:uiPriority w:val="0"/>
    <w:rPr>
      <w:szCs w:val="20"/>
    </w:rPr>
  </w:style>
  <w:style w:type="paragraph" w:customStyle="1" w:styleId="118">
    <w:name w:val="图1"/>
    <w:basedOn w:val="1"/>
    <w:next w:val="1"/>
    <w:qFormat/>
    <w:uiPriority w:val="99"/>
    <w:pPr>
      <w:numPr>
        <w:ilvl w:val="0"/>
        <w:numId w:val="1"/>
      </w:numPr>
      <w:spacing w:beforeLines="50" w:line="360" w:lineRule="auto"/>
      <w:ind w:left="4420" w:hanging="748"/>
      <w:jc w:val="center"/>
    </w:pPr>
    <w:rPr>
      <w:kern w:val="0"/>
      <w:sz w:val="24"/>
    </w:rPr>
  </w:style>
  <w:style w:type="paragraph" w:customStyle="1" w:styleId="119">
    <w:name w:val="arialblack10"/>
    <w:basedOn w:val="1"/>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2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w:basedOn w:val="1"/>
    <w:qFormat/>
    <w:uiPriority w:val="0"/>
    <w:rPr>
      <w:rFonts w:ascii="Times New Roman" w:hAnsi="Times New Roman" w:eastAsia="Times New Roman"/>
      <w:kern w:val="0"/>
      <w:sz w:val="20"/>
      <w:szCs w:val="20"/>
    </w:rPr>
  </w:style>
  <w:style w:type="paragraph" w:customStyle="1" w:styleId="122">
    <w:name w:val="标题3"/>
    <w:basedOn w:val="1"/>
    <w:next w:val="1"/>
    <w:qFormat/>
    <w:uiPriority w:val="0"/>
    <w:pPr>
      <w:numPr>
        <w:ilvl w:val="0"/>
        <w:numId w:val="2"/>
      </w:numPr>
      <w:spacing w:before="240" w:after="240" w:line="360" w:lineRule="auto"/>
      <w:outlineLvl w:val="2"/>
    </w:pPr>
    <w:rPr>
      <w:rFonts w:ascii="宋体" w:hAnsi="宋体"/>
      <w:b/>
      <w:bCs/>
      <w:color w:val="000000"/>
      <w:kern w:val="44"/>
      <w:sz w:val="24"/>
      <w:szCs w:val="24"/>
    </w:rPr>
  </w:style>
  <w:style w:type="paragraph" w:customStyle="1" w:styleId="123">
    <w:name w:val="默认段落字体 Para Char Char Char Char Char Char Char"/>
    <w:basedOn w:val="1"/>
    <w:qFormat/>
    <w:uiPriority w:val="0"/>
    <w:pPr>
      <w:adjustRightInd w:val="0"/>
      <w:spacing w:line="360" w:lineRule="auto"/>
      <w:ind w:left="200" w:hanging="200" w:hangingChars="200"/>
    </w:pPr>
  </w:style>
  <w:style w:type="paragraph" w:customStyle="1" w:styleId="124">
    <w:name w:val="样式 标题 2 + 宋体 五号 非加粗 黑色"/>
    <w:basedOn w:val="3"/>
    <w:qFormat/>
    <w:uiPriority w:val="0"/>
    <w:pPr>
      <w:spacing w:line="416" w:lineRule="atLeast"/>
    </w:pPr>
    <w:rPr>
      <w:rFonts w:ascii="宋体" w:hAnsi="宋体" w:eastAsia="宋体"/>
      <w:b w:val="0"/>
      <w:color w:val="000000"/>
      <w:kern w:val="2"/>
      <w:sz w:val="21"/>
      <w:szCs w:val="32"/>
    </w:rPr>
  </w:style>
  <w:style w:type="paragraph" w:customStyle="1" w:styleId="125">
    <w:name w:val="Body Text Indent 21"/>
    <w:basedOn w:val="1"/>
    <w:qFormat/>
    <w:uiPriority w:val="99"/>
    <w:pPr>
      <w:spacing w:before="120" w:after="120"/>
      <w:ind w:left="540"/>
    </w:pPr>
    <w:rPr>
      <w:sz w:val="24"/>
      <w:szCs w:val="22"/>
    </w:rPr>
  </w:style>
  <w:style w:type="paragraph" w:customStyle="1" w:styleId="1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正文－恩普"/>
    <w:basedOn w:val="9"/>
    <w:qFormat/>
    <w:uiPriority w:val="0"/>
    <w:pPr>
      <w:widowControl/>
      <w:spacing w:after="156" w:afterLines="50" w:line="360" w:lineRule="auto"/>
      <w:ind w:firstLine="480"/>
      <w:jc w:val="left"/>
    </w:pPr>
    <w:rPr>
      <w:rFonts w:ascii="Times New Roman" w:hAnsi="Times New Roman"/>
      <w:sz w:val="24"/>
      <w:szCs w:val="20"/>
    </w:rPr>
  </w:style>
  <w:style w:type="paragraph" w:customStyle="1" w:styleId="128">
    <w:name w:val="列出段落2"/>
    <w:basedOn w:val="1"/>
    <w:qFormat/>
    <w:uiPriority w:val="0"/>
    <w:pPr>
      <w:ind w:firstLine="420" w:firstLineChars="200"/>
    </w:pPr>
    <w:rPr>
      <w:rFonts w:ascii="Times New Roman" w:hAnsi="Times New Roman"/>
    </w:rPr>
  </w:style>
  <w:style w:type="paragraph" w:customStyle="1" w:styleId="129">
    <w:name w:val="Style1"/>
    <w:basedOn w:val="1"/>
    <w:qFormat/>
    <w:uiPriority w:val="99"/>
    <w:pPr>
      <w:tabs>
        <w:tab w:val="left" w:pos="-720"/>
      </w:tabs>
      <w:spacing w:after="120"/>
    </w:pPr>
    <w:rPr>
      <w:spacing w:val="-3"/>
      <w:sz w:val="24"/>
      <w:szCs w:val="20"/>
      <w:lang w:val="en-AU" w:eastAsia="en-US"/>
    </w:rPr>
  </w:style>
  <w:style w:type="paragraph" w:customStyle="1" w:styleId="130">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31">
    <w:name w:val="Normal (Web)"/>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32">
    <w:name w:val="WPSOffice手动目录 1"/>
    <w:qFormat/>
    <w:uiPriority w:val="0"/>
    <w:rPr>
      <w:rFonts w:ascii="Times New Roman" w:hAnsi="Times New Roman" w:eastAsia="宋体" w:cs="Times New Roman"/>
      <w:lang w:val="en-US" w:eastAsia="zh-CN" w:bidi="ar-SA"/>
    </w:rPr>
  </w:style>
  <w:style w:type="paragraph" w:customStyle="1" w:styleId="133">
    <w:name w:val="*正文"/>
    <w:basedOn w:val="1"/>
    <w:qFormat/>
    <w:uiPriority w:val="0"/>
    <w:pPr>
      <w:widowControl/>
      <w:jc w:val="left"/>
    </w:pPr>
    <w:rPr>
      <w:rFonts w:ascii="宋体" w:hAnsi="宋体"/>
      <w:kern w:val="0"/>
    </w:rPr>
  </w:style>
  <w:style w:type="paragraph" w:customStyle="1" w:styleId="134">
    <w:name w:val="样式 标题 1 + 四号 居中 段前: 12 磅 段后: 12 磅 行距: 单倍行距"/>
    <w:basedOn w:val="2"/>
    <w:qFormat/>
    <w:uiPriority w:val="0"/>
    <w:pPr>
      <w:spacing w:before="240" w:after="240" w:line="240" w:lineRule="auto"/>
      <w:jc w:val="center"/>
    </w:pPr>
    <w:rPr>
      <w:rFonts w:ascii="Times New Roman" w:hAnsi="Times New Roman" w:cs="宋体"/>
      <w:sz w:val="28"/>
      <w:szCs w:val="20"/>
    </w:rPr>
  </w:style>
  <w:style w:type="paragraph" w:customStyle="1" w:styleId="135">
    <w:name w:val="正文2"/>
    <w:basedOn w:val="1"/>
    <w:qFormat/>
    <w:uiPriority w:val="99"/>
    <w:pPr>
      <w:widowControl/>
      <w:snapToGrid w:val="0"/>
      <w:spacing w:line="500" w:lineRule="atLeast"/>
      <w:ind w:firstLine="200" w:firstLineChars="200"/>
      <w:jc w:val="left"/>
    </w:pPr>
    <w:rPr>
      <w:sz w:val="24"/>
      <w:szCs w:val="20"/>
    </w:rPr>
  </w:style>
  <w:style w:type="paragraph" w:customStyle="1" w:styleId="136">
    <w:name w:val="Char"/>
    <w:basedOn w:val="1"/>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37">
    <w:name w:val="列出段落1"/>
    <w:basedOn w:val="1"/>
    <w:qFormat/>
    <w:uiPriority w:val="0"/>
    <w:pPr>
      <w:ind w:firstLine="420" w:firstLineChars="200"/>
    </w:pPr>
    <w:rPr>
      <w:rFonts w:ascii="Times New Roman" w:hAnsi="Times New Roman"/>
    </w:rPr>
  </w:style>
  <w:style w:type="paragraph" w:customStyle="1" w:styleId="138">
    <w:name w:val="Char Char Char2 Char Char Char Char"/>
    <w:basedOn w:val="1"/>
    <w:qFormat/>
    <w:uiPriority w:val="99"/>
    <w:pPr>
      <w:spacing w:line="360" w:lineRule="auto"/>
      <w:ind w:firstLine="200" w:firstLineChars="200"/>
    </w:pPr>
    <w:rPr>
      <w:rFonts w:ascii="宋体" w:hAnsi="宋体" w:cs="宋体"/>
      <w:sz w:val="24"/>
    </w:rPr>
  </w:style>
  <w:style w:type="paragraph" w:customStyle="1" w:styleId="139">
    <w:name w:val="中等深浅网格 1 - 强调文字颜色 21"/>
    <w:basedOn w:val="1"/>
    <w:qFormat/>
    <w:uiPriority w:val="34"/>
    <w:pPr>
      <w:ind w:firstLine="420" w:firstLineChars="200"/>
    </w:pPr>
    <w:rPr>
      <w:rFonts w:hAnsi="Times New Roman"/>
      <w:kern w:val="2"/>
      <w:szCs w:val="24"/>
    </w:rPr>
  </w:style>
  <w:style w:type="paragraph" w:customStyle="1" w:styleId="140">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2">
    <w:name w:val="样式 标题 3h3H3sect1.2.3 + 五号 段前: 6 磅 段后: 6 磅 行距: 单倍行距"/>
    <w:basedOn w:val="4"/>
    <w:qFormat/>
    <w:uiPriority w:val="0"/>
    <w:pPr>
      <w:adjustRightInd/>
      <w:spacing w:before="120" w:after="120" w:line="240" w:lineRule="auto"/>
    </w:pPr>
    <w:rPr>
      <w:rFonts w:ascii="Times New Roman" w:hAnsi="Times New Roman"/>
      <w:bCs/>
      <w:kern w:val="2"/>
      <w:sz w:val="21"/>
    </w:rPr>
  </w:style>
  <w:style w:type="paragraph" w:customStyle="1" w:styleId="143">
    <w:name w:val="Char2"/>
    <w:basedOn w:val="1"/>
    <w:qFormat/>
    <w:uiPriority w:val="99"/>
    <w:rPr>
      <w:sz w:val="24"/>
      <w:szCs w:val="20"/>
    </w:rPr>
  </w:style>
  <w:style w:type="paragraph" w:customStyle="1" w:styleId="144">
    <w:name w:val="型号"/>
    <w:basedOn w:val="1"/>
    <w:qFormat/>
    <w:uiPriority w:val="0"/>
    <w:pPr>
      <w:ind w:left="357"/>
      <w:jc w:val="left"/>
    </w:pPr>
    <w:rPr>
      <w:rFonts w:ascii="宋体" w:hAnsi="宋体"/>
      <w:sz w:val="18"/>
      <w:szCs w:val="18"/>
    </w:rPr>
  </w:style>
  <w:style w:type="paragraph" w:customStyle="1" w:styleId="145">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6">
    <w:name w:val="列出段落11"/>
    <w:basedOn w:val="1"/>
    <w:qFormat/>
    <w:uiPriority w:val="0"/>
    <w:pPr>
      <w:ind w:firstLine="420" w:firstLineChars="200"/>
    </w:pPr>
    <w:rPr>
      <w:szCs w:val="22"/>
    </w:rPr>
  </w:style>
  <w:style w:type="paragraph" w:customStyle="1" w:styleId="147">
    <w:name w:val="List Paragraph1"/>
    <w:basedOn w:val="1"/>
    <w:qFormat/>
    <w:uiPriority w:val="0"/>
    <w:pPr>
      <w:ind w:firstLine="420" w:firstLineChars="200"/>
    </w:pPr>
  </w:style>
  <w:style w:type="paragraph" w:customStyle="1" w:styleId="148">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49">
    <w:name w:val="Char1"/>
    <w:basedOn w:val="1"/>
    <w:qFormat/>
    <w:uiPriority w:val="99"/>
    <w:pPr>
      <w:widowControl/>
      <w:spacing w:after="160" w:line="240" w:lineRule="exact"/>
      <w:jc w:val="left"/>
    </w:pPr>
    <w:rPr>
      <w:kern w:val="0"/>
      <w:sz w:val="24"/>
    </w:rPr>
  </w:style>
  <w:style w:type="paragraph" w:customStyle="1" w:styleId="150">
    <w:name w:val="WPSOffice手动目录 2"/>
    <w:qFormat/>
    <w:uiPriority w:val="0"/>
    <w:pPr>
      <w:ind w:leftChars="200"/>
    </w:pPr>
    <w:rPr>
      <w:rFonts w:ascii="Times New Roman" w:hAnsi="Times New Roman" w:eastAsia="宋体" w:cs="Times New Roman"/>
      <w:lang w:val="en-US" w:eastAsia="zh-CN" w:bidi="ar-SA"/>
    </w:rPr>
  </w:style>
  <w:style w:type="paragraph" w:styleId="1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53">
    <w:name w:val="hover12"/>
    <w:qFormat/>
    <w:uiPriority w:val="0"/>
  </w:style>
  <w:style w:type="paragraph" w:customStyle="1" w:styleId="154">
    <w:name w:val="msonormal"/>
    <w:basedOn w:val="1"/>
    <w:qFormat/>
    <w:uiPriority w:val="0"/>
    <w:pPr>
      <w:widowControl/>
      <w:spacing w:before="100" w:beforeAutospacing="1" w:after="100" w:afterAutospacing="1"/>
      <w:jc w:val="left"/>
    </w:pPr>
    <w:rPr>
      <w:rFonts w:ascii="宋体" w:hAnsi="宋体" w:cs="宋体"/>
      <w:kern w:val="0"/>
      <w:sz w:val="24"/>
    </w:rPr>
  </w:style>
  <w:style w:type="table" w:customStyle="1" w:styleId="1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56">
    <w:name w:val="Table Text"/>
    <w:semiHidden/>
    <w:qFormat/>
    <w:uiPriority w:val="0"/>
    <w:pPr>
      <w:widowControl w:val="0"/>
      <w:jc w:val="both"/>
    </w:pPr>
    <w:rPr>
      <w:rFonts w:ascii="仿宋" w:hAnsi="仿宋" w:eastAsia="仿宋" w:cs="仿宋"/>
      <w:kern w:val="2"/>
      <w:sz w:val="19"/>
      <w:szCs w:val="19"/>
      <w:lang w:val="en-US" w:eastAsia="en-US" w:bidi="ar-SA"/>
    </w:rPr>
  </w:style>
  <w:style w:type="character" w:customStyle="1" w:styleId="157">
    <w:name w:val="NormalCharacter"/>
    <w:qFormat/>
    <w:uiPriority w:val="0"/>
    <w:rPr>
      <w:rFonts w:ascii="Calibri" w:hAnsi="Calibri" w:eastAsia="宋体" w:cs="Times New Roman"/>
      <w:kern w:val="2"/>
      <w:sz w:val="21"/>
      <w:szCs w:val="24"/>
      <w:lang w:val="en-US" w:eastAsia="zh-CN" w:bidi="ar-SA"/>
    </w:rPr>
  </w:style>
  <w:style w:type="paragraph" w:customStyle="1" w:styleId="158">
    <w:name w:val="表格内容"/>
    <w:basedOn w:val="1"/>
    <w:qFormat/>
    <w:uiPriority w:val="0"/>
    <w:pPr>
      <w:spacing w:line="240" w:lineRule="auto"/>
      <w:ind w:firstLine="0" w:firstLineChars="0"/>
      <w:jc w:val="center"/>
    </w:pPr>
    <w:rPr>
      <w:rFonts w:ascii="Times New Roman" w:hAnsi="Times New Roman" w:eastAsia="宋体"/>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16092</Words>
  <Characters>17141</Characters>
  <Lines>440</Lines>
  <Paragraphs>123</Paragraphs>
  <TotalTime>28</TotalTime>
  <ScaleCrop>false</ScaleCrop>
  <LinksUpToDate>false</LinksUpToDate>
  <CharactersWithSpaces>17247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2019-06-05T00:45:00Z</dcterms:created>
  <dc:creator>asd</dc:creator>
  <cp:lastModifiedBy>平安喜乐</cp:lastModifiedBy>
  <cp:lastPrinted>2021-10-15T01:46:00Z</cp:lastPrinted>
  <dcterms:modified xsi:type="dcterms:W3CDTF">2026-04-24T07:06:22Z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2931639704EA482FA709680A02D17F0C_13</vt:lpwstr>
  </property>
  <property fmtid="{D5CDD505-2E9C-101B-9397-08002B2CF9AE}" pid="4" name="KSOTemplateDocerSaveRecord">
    <vt:lpwstr>eyJoZGlkIjoiMTY5MTNiM2NjZGQzMjdhMjRiYWFkM2ZlYWRlYTg0MDIiLCJ1c2VySWQiOiIyOTQxMjA0ODIifQ==</vt:lpwstr>
  </property>
</Properties>
</file>