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5EA40">
      <w:pPr>
        <w:pStyle w:val="20"/>
        <w:tabs>
          <w:tab w:val="left" w:pos="0"/>
          <w:tab w:val="left" w:pos="993"/>
          <w:tab w:val="left" w:pos="1134"/>
        </w:tabs>
        <w:ind w:left="0" w:leftChars="0" w:firstLine="0" w:firstLineChars="0"/>
        <w:rPr>
          <w:rFonts w:hint="default" w:ascii="宋体" w:hAnsi="宋体" w:eastAsia="宋体" w:cs="宋体"/>
          <w:b/>
          <w:bCs/>
          <w:color w:val="auto"/>
          <w:kern w:val="0"/>
          <w:sz w:val="36"/>
          <w:szCs w:val="36"/>
          <w:highlight w:val="none"/>
          <w:lang w:val="en-US"/>
        </w:rPr>
      </w:pPr>
      <w:r>
        <w:rPr>
          <w:rFonts w:hint="eastAsia" w:ascii="宋体" w:eastAsia="宋体" w:cs="宋体"/>
          <w:b/>
          <w:bCs/>
          <w:color w:val="auto"/>
          <w:sz w:val="28"/>
          <w:szCs w:val="21"/>
          <w:highlight w:val="none"/>
          <w:lang w:val="en-US" w:eastAsia="zh-CN"/>
        </w:rPr>
        <w:t>项目</w:t>
      </w:r>
      <w:r>
        <w:rPr>
          <w:rFonts w:hint="eastAsia" w:ascii="宋体" w:hAnsi="宋体" w:eastAsia="宋体" w:cs="宋体"/>
          <w:b/>
          <w:bCs/>
          <w:color w:val="auto"/>
          <w:sz w:val="28"/>
          <w:szCs w:val="21"/>
          <w:highlight w:val="none"/>
          <w:lang w:val="en-US" w:eastAsia="zh-CN"/>
        </w:rPr>
        <w:t>编号</w:t>
      </w:r>
      <w:r>
        <w:rPr>
          <w:rFonts w:hint="eastAsia" w:ascii="宋体" w:hAnsi="宋体" w:eastAsia="宋体" w:cs="宋体"/>
          <w:b/>
          <w:bCs/>
          <w:color w:val="auto"/>
          <w:sz w:val="28"/>
          <w:szCs w:val="24"/>
          <w:highlight w:val="none"/>
          <w:lang w:val="en-US" w:eastAsia="zh-CN"/>
        </w:rPr>
        <w:t>：</w:t>
      </w:r>
      <w:r>
        <w:rPr>
          <w:rFonts w:hint="eastAsia" w:ascii="宋体" w:cs="宋体"/>
          <w:b/>
          <w:bCs/>
          <w:color w:val="auto"/>
          <w:sz w:val="28"/>
          <w:szCs w:val="24"/>
          <w:highlight w:val="none"/>
          <w:lang w:val="en-US" w:eastAsia="zh-CN"/>
        </w:rPr>
        <w:t>ZXFH2026-004</w:t>
      </w:r>
    </w:p>
    <w:p w14:paraId="7AECCEF4">
      <w:pPr>
        <w:pStyle w:val="20"/>
        <w:tabs>
          <w:tab w:val="left" w:pos="0"/>
          <w:tab w:val="left" w:pos="993"/>
          <w:tab w:val="left" w:pos="1134"/>
        </w:tabs>
        <w:ind w:left="0" w:leftChars="0" w:firstLine="0" w:firstLineChars="0"/>
        <w:rPr>
          <w:rFonts w:hint="eastAsia" w:ascii="黑体" w:hAnsi="黑体" w:eastAsia="黑体" w:cs="黑体"/>
          <w:color w:val="auto"/>
          <w:kern w:val="0"/>
          <w:sz w:val="32"/>
          <w:szCs w:val="32"/>
          <w:highlight w:val="none"/>
        </w:rPr>
      </w:pPr>
    </w:p>
    <w:p w14:paraId="73A4A77A">
      <w:pPr>
        <w:pStyle w:val="20"/>
        <w:tabs>
          <w:tab w:val="left" w:pos="0"/>
          <w:tab w:val="left" w:pos="993"/>
          <w:tab w:val="left" w:pos="1134"/>
        </w:tabs>
        <w:spacing w:line="360" w:lineRule="auto"/>
        <w:ind w:left="0" w:leftChars="0" w:firstLine="0" w:firstLineChars="0"/>
        <w:jc w:val="both"/>
        <w:rPr>
          <w:rFonts w:hint="eastAsia" w:ascii="黑体" w:hAnsi="黑体" w:eastAsia="黑体" w:cs="黑体"/>
          <w:color w:val="auto"/>
          <w:kern w:val="0"/>
          <w:sz w:val="32"/>
          <w:szCs w:val="32"/>
          <w:highlight w:val="none"/>
        </w:rPr>
      </w:pPr>
    </w:p>
    <w:p w14:paraId="4ABE78FD">
      <w:pPr>
        <w:pStyle w:val="20"/>
        <w:tabs>
          <w:tab w:val="left" w:pos="0"/>
          <w:tab w:val="left" w:pos="993"/>
          <w:tab w:val="left" w:pos="1134"/>
        </w:tabs>
        <w:ind w:firstLine="0" w:firstLineChars="0"/>
        <w:jc w:val="center"/>
        <w:rPr>
          <w:rFonts w:hint="eastAsia" w:ascii="宋体" w:hAnsi="宋体" w:cs="Times New Roman"/>
          <w:b/>
          <w:color w:val="auto"/>
          <w:sz w:val="52"/>
          <w:szCs w:val="52"/>
          <w:highlight w:val="none"/>
          <w:lang w:val="en-US" w:eastAsia="zh-CN"/>
        </w:rPr>
      </w:pPr>
      <w:r>
        <w:rPr>
          <w:rFonts w:hint="eastAsia" w:ascii="宋体" w:hAnsi="宋体" w:cs="Times New Roman"/>
          <w:b/>
          <w:color w:val="auto"/>
          <w:sz w:val="52"/>
          <w:szCs w:val="52"/>
          <w:highlight w:val="none"/>
          <w:lang w:val="en-US" w:eastAsia="zh-CN"/>
        </w:rPr>
        <w:t>巴音郭楞职业技术学院教务管理服务平台、实验实训管理服务平台以及个性化功能定制建设项目</w:t>
      </w:r>
    </w:p>
    <w:p w14:paraId="5BE2387A">
      <w:pPr>
        <w:pStyle w:val="20"/>
        <w:tabs>
          <w:tab w:val="left" w:pos="0"/>
          <w:tab w:val="left" w:pos="993"/>
          <w:tab w:val="left" w:pos="1134"/>
        </w:tabs>
        <w:ind w:firstLine="0" w:firstLineChars="0"/>
        <w:jc w:val="center"/>
        <w:rPr>
          <w:rFonts w:hint="default" w:ascii="宋体" w:hAnsi="宋体" w:cs="Times New Roman"/>
          <w:b/>
          <w:color w:val="auto"/>
          <w:sz w:val="56"/>
          <w:szCs w:val="56"/>
          <w:highlight w:val="none"/>
          <w:lang w:val="en-US" w:eastAsia="zh-CN"/>
        </w:rPr>
      </w:pPr>
    </w:p>
    <w:p w14:paraId="28E6DD22">
      <w:pPr>
        <w:pStyle w:val="20"/>
        <w:tabs>
          <w:tab w:val="left" w:pos="0"/>
          <w:tab w:val="left" w:pos="993"/>
          <w:tab w:val="left" w:pos="1134"/>
        </w:tabs>
        <w:ind w:firstLine="0" w:firstLineChars="0"/>
        <w:jc w:val="center"/>
        <w:rPr>
          <w:rFonts w:hint="default" w:ascii="宋体" w:hAnsi="宋体" w:cs="Times New Roman"/>
          <w:b/>
          <w:color w:val="auto"/>
          <w:sz w:val="56"/>
          <w:szCs w:val="56"/>
          <w:highlight w:val="none"/>
          <w:lang w:val="en-US" w:eastAsia="zh-CN"/>
        </w:rPr>
      </w:pPr>
    </w:p>
    <w:p w14:paraId="0F6732EE">
      <w:pPr>
        <w:pStyle w:val="20"/>
        <w:tabs>
          <w:tab w:val="left" w:pos="0"/>
          <w:tab w:val="left" w:pos="993"/>
          <w:tab w:val="left" w:pos="1134"/>
        </w:tabs>
        <w:ind w:firstLine="0" w:firstLineChars="0"/>
        <w:jc w:val="center"/>
        <w:rPr>
          <w:rFonts w:hint="eastAsia" w:ascii="黑体" w:hAnsi="黑体" w:eastAsia="黑体" w:cs="黑体"/>
          <w:b/>
          <w:color w:val="auto"/>
          <w:sz w:val="48"/>
          <w:szCs w:val="48"/>
          <w:highlight w:val="none"/>
        </w:rPr>
      </w:pPr>
      <w:r>
        <w:rPr>
          <w:rFonts w:hint="eastAsia" w:ascii="黑体" w:hAnsi="黑体" w:eastAsia="黑体" w:cs="黑体"/>
          <w:color w:val="auto"/>
          <w:kern w:val="0"/>
          <w:sz w:val="72"/>
          <w:szCs w:val="72"/>
          <w:highlight w:val="none"/>
          <w:lang w:val="en-US" w:eastAsia="zh-CN"/>
        </w:rPr>
        <w:t>竞争性磋商</w:t>
      </w:r>
      <w:r>
        <w:rPr>
          <w:rFonts w:hint="eastAsia" w:ascii="黑体" w:hAnsi="黑体" w:eastAsia="黑体" w:cs="黑体"/>
          <w:color w:val="auto"/>
          <w:kern w:val="0"/>
          <w:sz w:val="72"/>
          <w:szCs w:val="72"/>
          <w:highlight w:val="none"/>
        </w:rPr>
        <w:t>文件</w:t>
      </w:r>
    </w:p>
    <w:p w14:paraId="7A238E60">
      <w:pPr>
        <w:spacing w:line="360" w:lineRule="auto"/>
        <w:ind w:left="2525" w:leftChars="299" w:right="-535" w:rightChars="-255" w:hanging="1897" w:hangingChars="525"/>
        <w:rPr>
          <w:rFonts w:hint="eastAsia" w:ascii="黑体" w:hAnsi="黑体" w:eastAsia="黑体" w:cs="黑体"/>
          <w:b/>
          <w:color w:val="auto"/>
          <w:sz w:val="36"/>
          <w:szCs w:val="36"/>
          <w:highlight w:val="none"/>
        </w:rPr>
      </w:pPr>
    </w:p>
    <w:p w14:paraId="6748FB6E">
      <w:pPr>
        <w:spacing w:line="360" w:lineRule="auto"/>
        <w:ind w:right="-535" w:rightChars="-255"/>
        <w:rPr>
          <w:rFonts w:hint="eastAsia" w:ascii="黑体" w:hAnsi="黑体" w:eastAsia="黑体" w:cs="黑体"/>
          <w:b/>
          <w:color w:val="auto"/>
          <w:sz w:val="36"/>
          <w:szCs w:val="36"/>
          <w:highlight w:val="none"/>
        </w:rPr>
      </w:pPr>
    </w:p>
    <w:p w14:paraId="39EA6BBB">
      <w:pPr>
        <w:pStyle w:val="7"/>
        <w:rPr>
          <w:rFonts w:hint="eastAsia" w:ascii="黑体" w:hAnsi="黑体" w:eastAsia="黑体" w:cs="黑体"/>
          <w:color w:val="auto"/>
          <w:sz w:val="15"/>
          <w:szCs w:val="15"/>
          <w:highlight w:val="none"/>
        </w:rPr>
      </w:pPr>
    </w:p>
    <w:p w14:paraId="01D6600D">
      <w:pPr>
        <w:spacing w:line="360" w:lineRule="auto"/>
        <w:jc w:val="center"/>
        <w:rPr>
          <w:rFonts w:hint="eastAsia" w:ascii="宋体" w:hAnsi="宋体" w:eastAsia="宋体"/>
          <w:b/>
          <w:color w:val="auto"/>
          <w:w w:val="90"/>
          <w:sz w:val="36"/>
          <w:szCs w:val="36"/>
          <w:highlight w:val="none"/>
          <w:lang w:eastAsia="zh-CN"/>
        </w:rPr>
      </w:pPr>
      <w:r>
        <w:rPr>
          <w:rFonts w:hint="eastAsia" w:ascii="宋体" w:hAnsi="宋体"/>
          <w:b/>
          <w:color w:val="auto"/>
          <w:w w:val="90"/>
          <w:sz w:val="36"/>
          <w:szCs w:val="36"/>
          <w:highlight w:val="none"/>
        </w:rPr>
        <w:t>采购人：</w:t>
      </w:r>
      <w:r>
        <w:rPr>
          <w:rFonts w:hint="eastAsia" w:ascii="宋体" w:hAnsi="宋体"/>
          <w:b/>
          <w:color w:val="auto"/>
          <w:w w:val="90"/>
          <w:sz w:val="36"/>
          <w:szCs w:val="36"/>
          <w:highlight w:val="none"/>
          <w:lang w:eastAsia="zh-CN"/>
        </w:rPr>
        <w:t>巴音郭楞职业技术学院</w:t>
      </w:r>
    </w:p>
    <w:p w14:paraId="62656755">
      <w:pPr>
        <w:spacing w:line="360" w:lineRule="auto"/>
        <w:jc w:val="center"/>
        <w:rPr>
          <w:rFonts w:hint="eastAsia" w:ascii="宋体" w:hAnsi="宋体" w:eastAsia="宋体"/>
          <w:b/>
          <w:color w:val="auto"/>
          <w:w w:val="90"/>
          <w:sz w:val="36"/>
          <w:szCs w:val="36"/>
          <w:highlight w:val="yellow"/>
          <w:lang w:eastAsia="zh-CN"/>
        </w:rPr>
      </w:pPr>
      <w:r>
        <w:rPr>
          <w:rFonts w:hint="eastAsia" w:ascii="宋体" w:hAnsi="宋体"/>
          <w:b/>
          <w:color w:val="auto"/>
          <w:w w:val="90"/>
          <w:sz w:val="36"/>
          <w:szCs w:val="36"/>
          <w:highlight w:val="none"/>
        </w:rPr>
        <w:t>代理机构：</w:t>
      </w:r>
      <w:r>
        <w:rPr>
          <w:rFonts w:hint="eastAsia" w:ascii="宋体" w:hAnsi="宋体"/>
          <w:b/>
          <w:color w:val="auto"/>
          <w:w w:val="90"/>
          <w:sz w:val="36"/>
          <w:szCs w:val="36"/>
          <w:highlight w:val="none"/>
          <w:lang w:eastAsia="zh-CN"/>
        </w:rPr>
        <w:t>新疆众想丰华工程造价咨询有限公司</w:t>
      </w:r>
    </w:p>
    <w:p w14:paraId="299205D0">
      <w:pPr>
        <w:spacing w:line="360" w:lineRule="auto"/>
        <w:jc w:val="center"/>
        <w:rPr>
          <w:rFonts w:hint="eastAsia" w:ascii="宋体" w:hAnsi="宋体"/>
          <w:b/>
          <w:color w:val="auto"/>
          <w:w w:val="90"/>
          <w:sz w:val="36"/>
          <w:szCs w:val="36"/>
          <w:highlight w:val="none"/>
        </w:rPr>
      </w:pPr>
      <w:r>
        <w:rPr>
          <w:rFonts w:hint="eastAsia" w:ascii="宋体" w:hAnsi="宋体"/>
          <w:b/>
          <w:color w:val="auto"/>
          <w:w w:val="90"/>
          <w:sz w:val="36"/>
          <w:szCs w:val="36"/>
          <w:highlight w:val="none"/>
        </w:rPr>
        <w:t>共同编制</w:t>
      </w:r>
    </w:p>
    <w:p w14:paraId="1F4CC7E8">
      <w:pPr>
        <w:pStyle w:val="8"/>
        <w:rPr>
          <w:color w:val="auto"/>
          <w:highlight w:val="none"/>
        </w:rPr>
      </w:pPr>
    </w:p>
    <w:p w14:paraId="380636BC">
      <w:pPr>
        <w:spacing w:line="720" w:lineRule="exact"/>
        <w:jc w:val="center"/>
        <w:rPr>
          <w:rFonts w:hint="eastAsia" w:ascii="宋体" w:hAnsi="宋体" w:eastAsia="宋体"/>
          <w:b/>
          <w:color w:val="auto"/>
          <w:w w:val="90"/>
          <w:sz w:val="36"/>
          <w:szCs w:val="36"/>
          <w:highlight w:val="none"/>
          <w:lang w:eastAsia="zh-CN"/>
        </w:rPr>
      </w:pPr>
      <w:r>
        <w:rPr>
          <w:rFonts w:hint="eastAsia" w:ascii="宋体" w:hAnsi="宋体"/>
          <w:b/>
          <w:color w:val="auto"/>
          <w:w w:val="90"/>
          <w:sz w:val="36"/>
          <w:szCs w:val="36"/>
          <w:highlight w:val="none"/>
          <w:lang w:eastAsia="zh-CN"/>
        </w:rPr>
        <w:t>二〇二六年</w:t>
      </w:r>
      <w:r>
        <w:rPr>
          <w:rFonts w:hint="eastAsia" w:ascii="宋体" w:hAnsi="宋体"/>
          <w:b/>
          <w:color w:val="auto"/>
          <w:w w:val="90"/>
          <w:sz w:val="36"/>
          <w:szCs w:val="36"/>
          <w:highlight w:val="none"/>
          <w:lang w:val="en-US" w:eastAsia="zh-CN"/>
        </w:rPr>
        <w:t>四</w:t>
      </w:r>
      <w:r>
        <w:rPr>
          <w:rFonts w:hint="eastAsia" w:ascii="宋体" w:hAnsi="宋体"/>
          <w:b/>
          <w:color w:val="auto"/>
          <w:w w:val="90"/>
          <w:sz w:val="36"/>
          <w:szCs w:val="36"/>
          <w:highlight w:val="none"/>
          <w:lang w:eastAsia="zh-CN"/>
        </w:rPr>
        <w:t>月</w:t>
      </w:r>
    </w:p>
    <w:p w14:paraId="1DCF3218">
      <w:pPr>
        <w:spacing w:line="720" w:lineRule="exact"/>
        <w:ind w:left="1679" w:leftChars="266" w:hanging="1120" w:hangingChars="400"/>
        <w:rPr>
          <w:rFonts w:hint="eastAsia" w:ascii="宋体" w:hAnsi="宋体" w:eastAsia="宋体" w:cs="宋体"/>
          <w:sz w:val="28"/>
          <w:szCs w:val="28"/>
          <w:highlight w:val="none"/>
        </w:rPr>
      </w:pPr>
    </w:p>
    <w:p w14:paraId="431AD6F1">
      <w:pPr>
        <w:spacing w:line="720" w:lineRule="exact"/>
        <w:ind w:firstLine="480" w:firstLineChars="200"/>
        <w:rPr>
          <w:rFonts w:hint="eastAsia" w:ascii="宋体" w:hAnsi="宋体" w:eastAsia="宋体" w:cs="宋体"/>
          <w:sz w:val="24"/>
          <w:szCs w:val="24"/>
          <w:highlight w:val="none"/>
        </w:rPr>
      </w:pPr>
    </w:p>
    <w:p w14:paraId="00142F7C">
      <w:pPr>
        <w:spacing w:line="720" w:lineRule="exact"/>
        <w:ind w:firstLine="480" w:firstLineChars="200"/>
        <w:rPr>
          <w:rFonts w:hint="eastAsia" w:ascii="宋体" w:hAnsi="宋体" w:eastAsia="宋体" w:cs="宋体"/>
          <w:sz w:val="24"/>
          <w:szCs w:val="24"/>
          <w:highlight w:val="none"/>
        </w:rPr>
      </w:pPr>
    </w:p>
    <w:p w14:paraId="331A64AF">
      <w:pPr>
        <w:spacing w:line="720" w:lineRule="exact"/>
        <w:ind w:firstLine="480" w:firstLineChars="200"/>
        <w:rPr>
          <w:rFonts w:hint="eastAsia" w:ascii="宋体" w:hAnsi="宋体" w:eastAsia="宋体" w:cs="宋体"/>
          <w:sz w:val="24"/>
          <w:szCs w:val="24"/>
          <w:highlight w:val="none"/>
        </w:rPr>
      </w:pPr>
    </w:p>
    <w:p w14:paraId="7E42BA6A">
      <w:pPr>
        <w:spacing w:line="72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采购项目名称：</w:t>
      </w:r>
      <w:r>
        <w:rPr>
          <w:rFonts w:hint="eastAsia" w:ascii="宋体" w:hAnsi="宋体" w:cs="宋体"/>
          <w:sz w:val="24"/>
          <w:szCs w:val="24"/>
          <w:highlight w:val="none"/>
          <w:lang w:eastAsia="zh-CN"/>
        </w:rPr>
        <w:t xml:space="preserve">巴音郭楞职业技术学院教务管理服务平台、实验实训管理服务平台以及个性化功能定制建设项目 </w:t>
      </w:r>
    </w:p>
    <w:p w14:paraId="40DED068">
      <w:pPr>
        <w:spacing w:line="720" w:lineRule="exact"/>
        <w:ind w:firstLine="484" w:firstLineChars="202"/>
        <w:rPr>
          <w:rFonts w:hint="eastAsia" w:ascii="宋体" w:hAnsi="宋体" w:eastAsia="宋体" w:cs="宋体"/>
          <w:sz w:val="20"/>
          <w:szCs w:val="18"/>
          <w:highlight w:val="none"/>
          <w:lang w:eastAsia="zh-CN"/>
        </w:rPr>
      </w:pPr>
      <w:r>
        <w:rPr>
          <w:rFonts w:hint="eastAsia" w:ascii="宋体" w:hAnsi="宋体" w:eastAsia="宋体" w:cs="宋体"/>
          <w:sz w:val="24"/>
          <w:szCs w:val="24"/>
          <w:highlight w:val="none"/>
        </w:rPr>
        <w:t>采  购  人（公章）：</w:t>
      </w:r>
      <w:r>
        <w:rPr>
          <w:rFonts w:hint="eastAsia" w:ascii="宋体" w:hAnsi="宋体" w:cs="宋体"/>
          <w:sz w:val="24"/>
          <w:szCs w:val="24"/>
          <w:highlight w:val="none"/>
          <w:lang w:eastAsia="zh-CN"/>
        </w:rPr>
        <w:t>巴音郭楞职业技术学院</w:t>
      </w:r>
    </w:p>
    <w:p w14:paraId="4E4F6911">
      <w:pPr>
        <w:spacing w:line="720" w:lineRule="exact"/>
        <w:ind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法定代表人（签章）： </w:t>
      </w:r>
    </w:p>
    <w:p w14:paraId="51D6A949">
      <w:pPr>
        <w:spacing w:line="720" w:lineRule="exact"/>
        <w:ind w:firstLine="484" w:firstLineChars="202"/>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联  系  人：</w:t>
      </w:r>
      <w:r>
        <w:rPr>
          <w:rFonts w:hint="eastAsia" w:ascii="宋体" w:hAnsi="宋体" w:cs="宋体"/>
          <w:sz w:val="24"/>
          <w:szCs w:val="24"/>
          <w:highlight w:val="none"/>
          <w:lang w:val="en-US" w:eastAsia="zh-CN"/>
        </w:rPr>
        <w:t>田睿涵</w:t>
      </w:r>
    </w:p>
    <w:p w14:paraId="620CBC09">
      <w:pPr>
        <w:spacing w:line="720" w:lineRule="exact"/>
        <w:ind w:firstLine="484" w:firstLineChars="20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联系电话：</w:t>
      </w:r>
      <w:r>
        <w:rPr>
          <w:rFonts w:hint="eastAsia" w:ascii="宋体" w:hAnsi="宋体" w:cs="宋体"/>
          <w:sz w:val="24"/>
          <w:szCs w:val="24"/>
          <w:highlight w:val="none"/>
          <w:lang w:eastAsia="zh-CN"/>
        </w:rPr>
        <w:t>15999012276</w:t>
      </w:r>
    </w:p>
    <w:p w14:paraId="2E2D36CA">
      <w:pPr>
        <w:spacing w:line="720" w:lineRule="exact"/>
        <w:ind w:firstLine="484" w:firstLineChars="20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邮政编码：</w:t>
      </w:r>
      <w:r>
        <w:rPr>
          <w:rFonts w:hint="eastAsia" w:ascii="宋体" w:hAnsi="宋体" w:cs="宋体"/>
          <w:sz w:val="24"/>
          <w:szCs w:val="24"/>
          <w:highlight w:val="none"/>
          <w:lang w:eastAsia="zh-CN"/>
        </w:rPr>
        <w:t>841000</w:t>
      </w:r>
    </w:p>
    <w:p w14:paraId="221E0CD8">
      <w:pPr>
        <w:spacing w:line="520" w:lineRule="exact"/>
        <w:ind w:firstLine="484" w:firstLineChars="202"/>
        <w:rPr>
          <w:rFonts w:hint="eastAsia" w:ascii="宋体" w:hAnsi="宋体" w:eastAsia="宋体" w:cs="宋体"/>
          <w:sz w:val="24"/>
          <w:szCs w:val="24"/>
          <w:highlight w:val="none"/>
        </w:rPr>
      </w:pPr>
    </w:p>
    <w:p w14:paraId="65138ADB">
      <w:pPr>
        <w:spacing w:line="520" w:lineRule="exact"/>
        <w:ind w:firstLine="484" w:firstLineChars="202"/>
        <w:rPr>
          <w:rFonts w:hint="eastAsia" w:ascii="宋体" w:hAnsi="宋体" w:eastAsia="宋体" w:cs="宋体"/>
          <w:sz w:val="24"/>
          <w:szCs w:val="24"/>
          <w:highlight w:val="none"/>
        </w:rPr>
      </w:pPr>
    </w:p>
    <w:p w14:paraId="0857F781">
      <w:pPr>
        <w:spacing w:line="520" w:lineRule="exact"/>
        <w:ind w:firstLine="484" w:firstLineChars="202"/>
        <w:rPr>
          <w:rFonts w:hint="eastAsia" w:ascii="宋体" w:hAnsi="宋体" w:eastAsia="宋体" w:cs="宋体"/>
          <w:sz w:val="24"/>
          <w:szCs w:val="24"/>
          <w:highlight w:val="none"/>
        </w:rPr>
      </w:pPr>
    </w:p>
    <w:p w14:paraId="527F1590">
      <w:pPr>
        <w:spacing w:line="720" w:lineRule="exact"/>
        <w:ind w:firstLine="484" w:firstLineChars="20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采购代理机构（公章）：</w:t>
      </w:r>
      <w:r>
        <w:rPr>
          <w:rFonts w:hint="eastAsia" w:ascii="宋体" w:hAnsi="宋体" w:cs="宋体"/>
          <w:sz w:val="24"/>
          <w:szCs w:val="21"/>
          <w:highlight w:val="none"/>
          <w:lang w:eastAsia="zh-CN"/>
        </w:rPr>
        <w:t>新疆众想丰华工程造价咨询有限公司</w:t>
      </w:r>
    </w:p>
    <w:p w14:paraId="605DF210">
      <w:pPr>
        <w:spacing w:line="720" w:lineRule="exact"/>
        <w:ind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法定代表人（签章）：</w:t>
      </w:r>
    </w:p>
    <w:p w14:paraId="3025E544">
      <w:pPr>
        <w:spacing w:line="720" w:lineRule="exact"/>
        <w:ind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r>
        <w:rPr>
          <w:rFonts w:hint="eastAsia" w:ascii="宋体" w:hAnsi="宋体" w:cs="宋体"/>
          <w:sz w:val="24"/>
          <w:szCs w:val="21"/>
          <w:highlight w:val="none"/>
          <w:lang w:val="en-US" w:eastAsia="zh-CN"/>
        </w:rPr>
        <w:t>张倩</w:t>
      </w:r>
      <w:r>
        <w:rPr>
          <w:rFonts w:hint="eastAsia" w:ascii="宋体" w:hAnsi="宋体" w:eastAsia="宋体" w:cs="宋体"/>
          <w:sz w:val="24"/>
          <w:szCs w:val="21"/>
          <w:highlight w:val="none"/>
        </w:rPr>
        <w:t xml:space="preserve"> </w:t>
      </w:r>
    </w:p>
    <w:p w14:paraId="2604B4F4">
      <w:pPr>
        <w:spacing w:line="720" w:lineRule="exact"/>
        <w:ind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cs="宋体"/>
          <w:sz w:val="24"/>
          <w:szCs w:val="21"/>
          <w:highlight w:val="none"/>
          <w:lang w:val="en-US" w:eastAsia="zh-CN"/>
        </w:rPr>
        <w:t>19915127272</w:t>
      </w:r>
      <w:r>
        <w:rPr>
          <w:rFonts w:hint="eastAsia" w:ascii="宋体" w:hAnsi="宋体" w:eastAsia="宋体" w:cs="宋体"/>
          <w:sz w:val="24"/>
          <w:szCs w:val="21"/>
          <w:highlight w:val="none"/>
          <w:lang w:eastAsia="zh-CN"/>
        </w:rPr>
        <w:t xml:space="preserve"> </w:t>
      </w:r>
      <w:r>
        <w:rPr>
          <w:rFonts w:hint="eastAsia" w:ascii="宋体" w:hAnsi="宋体" w:eastAsia="宋体" w:cs="宋体"/>
          <w:sz w:val="24"/>
          <w:szCs w:val="24"/>
          <w:highlight w:val="none"/>
        </w:rPr>
        <w:t xml:space="preserve"> </w:t>
      </w:r>
    </w:p>
    <w:p w14:paraId="0DC9BFC1">
      <w:pPr>
        <w:spacing w:line="720" w:lineRule="exact"/>
        <w:ind w:right="105" w:firstLine="484" w:firstLineChars="202"/>
        <w:rPr>
          <w:rFonts w:hint="eastAsia"/>
          <w:highlight w:val="none"/>
        </w:rPr>
      </w:pPr>
      <w:r>
        <w:rPr>
          <w:rFonts w:hint="eastAsia" w:ascii="宋体" w:hAnsi="宋体" w:eastAsia="宋体" w:cs="宋体"/>
          <w:sz w:val="24"/>
          <w:szCs w:val="24"/>
          <w:highlight w:val="none"/>
        </w:rPr>
        <w:t>邮政编码：841000</w:t>
      </w:r>
    </w:p>
    <w:p w14:paraId="0B1C9BB3">
      <w:pPr>
        <w:spacing w:line="360" w:lineRule="auto"/>
        <w:jc w:val="center"/>
        <w:rPr>
          <w:rFonts w:hint="eastAsia" w:ascii="宋体" w:hAnsi="宋体" w:eastAsia="宋体" w:cs="宋体"/>
          <w:b/>
          <w:bCs/>
          <w:color w:val="auto"/>
          <w:sz w:val="40"/>
          <w:szCs w:val="48"/>
          <w:highlight w:val="none"/>
        </w:rPr>
        <w:sectPr>
          <w:headerReference r:id="rId3" w:type="default"/>
          <w:footerReference r:id="rId4" w:type="default"/>
          <w:pgSz w:w="11906" w:h="16838"/>
          <w:pgMar w:top="1528" w:right="1080" w:bottom="1440" w:left="1080" w:header="907" w:footer="623" w:gutter="0"/>
          <w:pgBorders w:offsetFrom="page">
            <w:top w:val="none" w:sz="0" w:space="0"/>
            <w:left w:val="none" w:sz="0" w:space="0"/>
            <w:bottom w:val="none" w:sz="0" w:space="0"/>
            <w:right w:val="none" w:sz="0" w:space="0"/>
          </w:pgBorders>
          <w:pgNumType w:fmt="decimal" w:start="1"/>
          <w:cols w:space="720" w:num="1"/>
          <w:docGrid w:linePitch="312" w:charSpace="0"/>
        </w:sectPr>
      </w:pPr>
    </w:p>
    <w:p w14:paraId="7840AE54">
      <w:pPr>
        <w:spacing w:line="360" w:lineRule="auto"/>
        <w:jc w:val="center"/>
        <w:rPr>
          <w:rFonts w:hint="eastAsia" w:ascii="宋体" w:hAnsi="宋体" w:eastAsia="宋体" w:cs="宋体"/>
          <w:b/>
          <w:bCs/>
          <w:color w:val="auto"/>
          <w:sz w:val="40"/>
          <w:szCs w:val="48"/>
          <w:highlight w:val="none"/>
        </w:rPr>
      </w:pPr>
      <w:r>
        <w:rPr>
          <w:rFonts w:hint="eastAsia" w:ascii="宋体" w:hAnsi="宋体" w:eastAsia="宋体" w:cs="宋体"/>
          <w:b/>
          <w:bCs/>
          <w:color w:val="auto"/>
          <w:sz w:val="40"/>
          <w:szCs w:val="48"/>
          <w:highlight w:val="none"/>
        </w:rPr>
        <w:t>政府采购廉洁承诺书</w:t>
      </w:r>
    </w:p>
    <w:p w14:paraId="5A71025C">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为加强招标投标活动中的廉政建设，坚决维护国家利益和社会公共利益，进一步规范招标投标市场，</w:t>
      </w:r>
      <w:r>
        <w:rPr>
          <w:rFonts w:hint="eastAsia" w:ascii="宋体" w:hAnsi="宋体" w:cs="宋体"/>
          <w:color w:val="auto"/>
          <w:sz w:val="24"/>
          <w:szCs w:val="32"/>
          <w:highlight w:val="none"/>
          <w:lang w:val="zh-CN"/>
        </w:rPr>
        <w:t>弘扬</w:t>
      </w:r>
      <w:r>
        <w:rPr>
          <w:rFonts w:hint="eastAsia" w:ascii="宋体" w:hAnsi="宋体" w:eastAsia="宋体" w:cs="宋体"/>
          <w:color w:val="auto"/>
          <w:sz w:val="24"/>
          <w:szCs w:val="32"/>
          <w:highlight w:val="none"/>
          <w:lang w:val="zh-CN"/>
        </w:rPr>
        <w:t>公平竞争的风气，努力提供优质、细心、专业的服务，为采购人创造价值，防止发生违法违纪行为，落实公开、公平、公正的原则，根据国家有关</w:t>
      </w:r>
      <w:r>
        <w:rPr>
          <w:rFonts w:hint="eastAsia" w:ascii="宋体" w:hAnsi="宋体" w:cs="宋体"/>
          <w:color w:val="auto"/>
          <w:sz w:val="24"/>
          <w:szCs w:val="32"/>
          <w:highlight w:val="none"/>
          <w:lang w:val="zh-CN"/>
        </w:rPr>
        <w:t>法律法规</w:t>
      </w:r>
      <w:r>
        <w:rPr>
          <w:rFonts w:hint="eastAsia" w:ascii="宋体" w:hAnsi="宋体" w:eastAsia="宋体" w:cs="宋体"/>
          <w:color w:val="auto"/>
          <w:sz w:val="24"/>
          <w:szCs w:val="32"/>
          <w:highlight w:val="none"/>
          <w:lang w:val="zh-CN"/>
        </w:rPr>
        <w:t>和廉政建设责任制的规定，本采购代理机构</w:t>
      </w:r>
      <w:r>
        <w:rPr>
          <w:rFonts w:hint="eastAsia" w:ascii="宋体" w:hAnsi="宋体" w:cs="宋体"/>
          <w:color w:val="auto"/>
          <w:sz w:val="24"/>
          <w:szCs w:val="32"/>
          <w:highlight w:val="none"/>
          <w:lang w:val="zh-CN"/>
        </w:rPr>
        <w:t>作出</w:t>
      </w:r>
      <w:r>
        <w:rPr>
          <w:rFonts w:hint="eastAsia" w:ascii="宋体" w:hAnsi="宋体" w:eastAsia="宋体" w:cs="宋体"/>
          <w:color w:val="auto"/>
          <w:sz w:val="24"/>
          <w:szCs w:val="32"/>
          <w:highlight w:val="none"/>
          <w:lang w:val="zh-CN"/>
        </w:rPr>
        <w:t>如下承诺：</w:t>
      </w:r>
    </w:p>
    <w:p w14:paraId="4B2E7764">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cs="宋体"/>
          <w:color w:val="auto"/>
          <w:sz w:val="24"/>
          <w:szCs w:val="32"/>
          <w:highlight w:val="none"/>
          <w:lang w:val="zh-CN"/>
        </w:rPr>
        <w:t>1.</w:t>
      </w:r>
      <w:r>
        <w:rPr>
          <w:rFonts w:hint="eastAsia" w:ascii="宋体" w:hAnsi="宋体" w:eastAsia="宋体" w:cs="宋体"/>
          <w:color w:val="auto"/>
          <w:sz w:val="24"/>
          <w:szCs w:val="32"/>
          <w:highlight w:val="none"/>
          <w:lang w:val="zh-CN"/>
        </w:rPr>
        <w:t>不与他人串通，泄露招标投标机密。</w:t>
      </w:r>
    </w:p>
    <w:p w14:paraId="5A346947">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cs="宋体"/>
          <w:color w:val="auto"/>
          <w:sz w:val="24"/>
          <w:szCs w:val="32"/>
          <w:highlight w:val="none"/>
          <w:lang w:val="zh-CN"/>
        </w:rPr>
        <w:t>2.</w:t>
      </w:r>
      <w:r>
        <w:rPr>
          <w:rFonts w:hint="eastAsia" w:ascii="宋体" w:hAnsi="宋体" w:eastAsia="宋体" w:cs="宋体"/>
          <w:color w:val="auto"/>
          <w:sz w:val="24"/>
          <w:szCs w:val="32"/>
          <w:highlight w:val="none"/>
          <w:lang w:val="zh-CN"/>
        </w:rPr>
        <w:t>不与采购人、供应商串通投标。</w:t>
      </w:r>
    </w:p>
    <w:p w14:paraId="103E3A58">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cs="宋体"/>
          <w:color w:val="auto"/>
          <w:sz w:val="24"/>
          <w:szCs w:val="32"/>
          <w:highlight w:val="none"/>
          <w:lang w:val="zh-CN"/>
        </w:rPr>
        <w:t>3.</w:t>
      </w:r>
      <w:r>
        <w:rPr>
          <w:rFonts w:hint="eastAsia" w:ascii="宋体" w:hAnsi="宋体" w:eastAsia="宋体" w:cs="宋体"/>
          <w:color w:val="auto"/>
          <w:sz w:val="24"/>
          <w:szCs w:val="32"/>
          <w:highlight w:val="none"/>
          <w:lang w:val="zh-CN"/>
        </w:rPr>
        <w:t>不向评标专家支付合理报酬以外的费用，包括</w:t>
      </w:r>
      <w:r>
        <w:rPr>
          <w:rFonts w:hint="eastAsia" w:ascii="宋体" w:hAnsi="宋体" w:cs="宋体"/>
          <w:color w:val="auto"/>
          <w:sz w:val="24"/>
          <w:szCs w:val="32"/>
          <w:highlight w:val="none"/>
          <w:lang w:val="zh-CN"/>
        </w:rPr>
        <w:t>但</w:t>
      </w:r>
      <w:r>
        <w:rPr>
          <w:rFonts w:hint="eastAsia" w:ascii="宋体" w:hAnsi="宋体" w:eastAsia="宋体" w:cs="宋体"/>
          <w:color w:val="auto"/>
          <w:sz w:val="24"/>
          <w:szCs w:val="32"/>
          <w:highlight w:val="none"/>
          <w:lang w:val="zh-CN"/>
        </w:rPr>
        <w:t>不限于现金、购物卡、礼品、实物等，不进行其他可能影响客观公正评审的活动。</w:t>
      </w:r>
    </w:p>
    <w:p w14:paraId="0EE1C8E1">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cs="宋体"/>
          <w:color w:val="auto"/>
          <w:sz w:val="24"/>
          <w:szCs w:val="32"/>
          <w:highlight w:val="none"/>
          <w:lang w:val="zh-CN"/>
        </w:rPr>
        <w:t>4.</w:t>
      </w:r>
      <w:r>
        <w:rPr>
          <w:rFonts w:hint="eastAsia" w:ascii="宋体" w:hAnsi="宋体" w:eastAsia="宋体" w:cs="宋体"/>
          <w:color w:val="auto"/>
          <w:sz w:val="24"/>
          <w:szCs w:val="32"/>
          <w:highlight w:val="none"/>
          <w:lang w:val="zh-CN"/>
        </w:rPr>
        <w:t>不向招标投标监督人员或机构请客、送礼及组织其它有可能影响客观公正监督的活动。</w:t>
      </w:r>
    </w:p>
    <w:p w14:paraId="799D2965">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cs="宋体"/>
          <w:color w:val="auto"/>
          <w:sz w:val="24"/>
          <w:szCs w:val="32"/>
          <w:highlight w:val="none"/>
          <w:lang w:val="zh-CN"/>
        </w:rPr>
        <w:t>5.</w:t>
      </w:r>
      <w:r>
        <w:rPr>
          <w:rFonts w:hint="eastAsia" w:ascii="宋体" w:hAnsi="宋体" w:eastAsia="宋体" w:cs="宋体"/>
          <w:color w:val="auto"/>
          <w:sz w:val="24"/>
          <w:szCs w:val="32"/>
          <w:highlight w:val="none"/>
          <w:lang w:val="zh-CN"/>
        </w:rPr>
        <w:t>不向采购人提供任何不正当利益的方式谋求合作关系。</w:t>
      </w:r>
    </w:p>
    <w:p w14:paraId="03CAF128">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cs="宋体"/>
          <w:color w:val="auto"/>
          <w:sz w:val="24"/>
          <w:szCs w:val="32"/>
          <w:highlight w:val="none"/>
          <w:lang w:val="zh-CN"/>
        </w:rPr>
        <w:t>6.</w:t>
      </w:r>
      <w:r>
        <w:rPr>
          <w:rFonts w:hint="eastAsia" w:ascii="宋体" w:hAnsi="宋体" w:eastAsia="宋体" w:cs="宋体"/>
          <w:color w:val="auto"/>
          <w:sz w:val="24"/>
          <w:szCs w:val="32"/>
          <w:highlight w:val="none"/>
          <w:lang w:val="zh-CN"/>
        </w:rPr>
        <w:t>不采取恶性竞争等不正当手段竞争业务。</w:t>
      </w:r>
    </w:p>
    <w:p w14:paraId="6439A1E7">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cs="宋体"/>
          <w:color w:val="auto"/>
          <w:sz w:val="24"/>
          <w:szCs w:val="32"/>
          <w:highlight w:val="none"/>
          <w:lang w:val="zh-CN"/>
        </w:rPr>
        <w:t>7.</w:t>
      </w:r>
      <w:r>
        <w:rPr>
          <w:rFonts w:hint="eastAsia" w:ascii="宋体" w:hAnsi="宋体" w:eastAsia="宋体" w:cs="宋体"/>
          <w:color w:val="auto"/>
          <w:sz w:val="24"/>
          <w:szCs w:val="32"/>
          <w:highlight w:val="none"/>
          <w:lang w:val="zh-CN"/>
        </w:rPr>
        <w:t>禁止一切行贿倾向、建议等行为。</w:t>
      </w:r>
    </w:p>
    <w:p w14:paraId="03C1E4BD">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cs="宋体"/>
          <w:color w:val="auto"/>
          <w:sz w:val="24"/>
          <w:szCs w:val="32"/>
          <w:highlight w:val="none"/>
          <w:lang w:val="zh-CN"/>
        </w:rPr>
        <w:t>8.</w:t>
      </w:r>
      <w:r>
        <w:rPr>
          <w:rFonts w:hint="eastAsia" w:ascii="宋体" w:hAnsi="宋体" w:eastAsia="宋体" w:cs="宋体"/>
          <w:color w:val="auto"/>
          <w:sz w:val="24"/>
          <w:szCs w:val="32"/>
          <w:highlight w:val="none"/>
          <w:lang w:val="zh-CN"/>
        </w:rPr>
        <w:t>禁止员工有索贿、受贿等行为。</w:t>
      </w:r>
    </w:p>
    <w:p w14:paraId="4979D493">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cs="宋体"/>
          <w:color w:val="auto"/>
          <w:sz w:val="24"/>
          <w:szCs w:val="32"/>
          <w:highlight w:val="none"/>
          <w:lang w:val="zh-CN"/>
        </w:rPr>
        <w:t>9.</w:t>
      </w:r>
      <w:r>
        <w:rPr>
          <w:rFonts w:hint="eastAsia" w:ascii="宋体" w:hAnsi="宋体" w:eastAsia="宋体" w:cs="宋体"/>
          <w:color w:val="auto"/>
          <w:sz w:val="24"/>
          <w:szCs w:val="32"/>
          <w:highlight w:val="none"/>
          <w:lang w:val="zh-CN"/>
        </w:rPr>
        <w:t>严格遵守国家和省、市、区以及监管部门关于加强党风廉政建设的各项规定，加强对员工的廉政监督，积极开展廉政教育和职业道德教育，杜绝员工违纪违法行为的发生。</w:t>
      </w:r>
    </w:p>
    <w:p w14:paraId="3E338163">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本承诺书由承诺人盖章签字生效，如出现上述行为，承诺人自愿承担相关责任，接受招标投标监督管理部门、纪检监察机关或司法机关调查处理。如发现本单位员工个人出现违反廉洁纪律的行为，各方均有权提醒并督促其纠正，或直接向我公司投诉、举报，经核查属实的，将严格按照公司规定处理，涉及违法违纪的将追究相关法律责任。</w:t>
      </w:r>
    </w:p>
    <w:p w14:paraId="24EC140D">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请各采购人及供应商监督！</w:t>
      </w:r>
    </w:p>
    <w:p w14:paraId="21CE2A2D">
      <w:pPr>
        <w:spacing w:line="360" w:lineRule="auto"/>
        <w:jc w:val="center"/>
        <w:rPr>
          <w:rFonts w:hint="eastAsia" w:ascii="宋体" w:hAnsi="宋体" w:eastAsia="宋体" w:cs="宋体"/>
          <w:color w:val="auto"/>
          <w:highlight w:val="none"/>
        </w:rPr>
      </w:pPr>
    </w:p>
    <w:p w14:paraId="25439E84">
      <w:pPr>
        <w:spacing w:line="360" w:lineRule="auto"/>
        <w:jc w:val="center"/>
        <w:rPr>
          <w:rFonts w:hint="eastAsia" w:ascii="宋体" w:hAnsi="宋体" w:eastAsia="宋体" w:cs="宋体"/>
          <w:color w:val="auto"/>
          <w:highlight w:val="none"/>
        </w:rPr>
      </w:pPr>
    </w:p>
    <w:p w14:paraId="23A45354">
      <w:pPr>
        <w:spacing w:line="360" w:lineRule="auto"/>
        <w:jc w:val="righ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zh-CN"/>
        </w:rPr>
        <w:t>采购代理机构：</w:t>
      </w:r>
      <w:r>
        <w:rPr>
          <w:rFonts w:hint="eastAsia" w:ascii="宋体" w:hAnsi="宋体" w:cs="宋体"/>
          <w:color w:val="auto"/>
          <w:sz w:val="24"/>
          <w:szCs w:val="32"/>
          <w:highlight w:val="none"/>
          <w:lang w:val="en-US" w:eastAsia="zh-CN"/>
        </w:rPr>
        <w:t>新疆众想丰华工程造价咨询有限公司</w:t>
      </w:r>
    </w:p>
    <w:p w14:paraId="679156B9">
      <w:pPr>
        <w:pStyle w:val="7"/>
        <w:ind w:firstLine="643"/>
        <w:rPr>
          <w:rFonts w:hint="eastAsia" w:ascii="宋体" w:hAnsi="宋体" w:eastAsia="宋体" w:cs="宋体"/>
          <w:b/>
          <w:sz w:val="32"/>
          <w:highlight w:val="none"/>
        </w:rPr>
      </w:pPr>
    </w:p>
    <w:p w14:paraId="6480E9E4">
      <w:pPr>
        <w:jc w:val="center"/>
        <w:rPr>
          <w:rFonts w:hint="eastAsia" w:ascii="宋体" w:hAnsi="宋体" w:eastAsia="宋体" w:cs="宋体"/>
          <w:b/>
          <w:bCs/>
          <w:sz w:val="52"/>
          <w:highlight w:val="none"/>
        </w:rPr>
      </w:pPr>
    </w:p>
    <w:p w14:paraId="734A0C08">
      <w:pPr>
        <w:jc w:val="center"/>
        <w:rPr>
          <w:rFonts w:hint="eastAsia" w:ascii="宋体" w:hAnsi="宋体" w:eastAsia="宋体" w:cs="宋体"/>
          <w:b/>
          <w:bCs/>
          <w:sz w:val="52"/>
          <w:highlight w:val="none"/>
        </w:rPr>
        <w:sectPr>
          <w:footerReference r:id="rId5" w:type="default"/>
          <w:pgSz w:w="11906" w:h="16838"/>
          <w:pgMar w:top="1440" w:right="1344" w:bottom="1440" w:left="1344" w:header="851" w:footer="992" w:gutter="0"/>
          <w:pgBorders w:offsetFrom="page">
            <w:top w:val="none" w:sz="0" w:space="0"/>
            <w:left w:val="none" w:sz="0" w:space="0"/>
            <w:bottom w:val="none" w:sz="0" w:space="0"/>
            <w:right w:val="none" w:sz="0" w:space="0"/>
          </w:pgBorders>
          <w:pgNumType w:fmt="decimal"/>
          <w:cols w:space="720" w:num="1"/>
          <w:titlePg/>
          <w:rtlGutter w:val="0"/>
          <w:docGrid w:linePitch="312" w:charSpace="0"/>
        </w:sectPr>
      </w:pPr>
    </w:p>
    <w:p w14:paraId="6593559F">
      <w:pPr>
        <w:jc w:val="center"/>
        <w:rPr>
          <w:rFonts w:hint="eastAsia" w:ascii="宋体" w:hAnsi="宋体" w:eastAsia="宋体" w:cs="宋体"/>
          <w:b/>
          <w:bCs/>
          <w:sz w:val="52"/>
          <w:highlight w:val="none"/>
        </w:rPr>
      </w:pPr>
      <w:r>
        <w:rPr>
          <w:rFonts w:hint="eastAsia" w:ascii="宋体" w:hAnsi="宋体" w:eastAsia="宋体" w:cs="宋体"/>
          <w:b/>
          <w:bCs/>
          <w:sz w:val="52"/>
          <w:highlight w:val="none"/>
        </w:rPr>
        <w:t>目   录</w:t>
      </w:r>
    </w:p>
    <w:p w14:paraId="7F59C0B0">
      <w:pPr>
        <w:spacing w:line="520" w:lineRule="exact"/>
        <w:jc w:val="center"/>
        <w:rPr>
          <w:rFonts w:hint="eastAsia" w:ascii="宋体" w:hAnsi="宋体" w:eastAsia="宋体" w:cs="宋体"/>
          <w:b/>
          <w:bCs/>
          <w:sz w:val="32"/>
          <w:szCs w:val="32"/>
          <w:highlight w:val="none"/>
        </w:rPr>
      </w:pPr>
    </w:p>
    <w:p w14:paraId="291E1C93">
      <w:pPr>
        <w:pStyle w:val="15"/>
        <w:keepNext w:val="0"/>
        <w:keepLines w:val="0"/>
        <w:pageBreakBefore w:val="0"/>
        <w:widowControl w:val="0"/>
        <w:tabs>
          <w:tab w:val="right" w:leader="dot" w:pos="9218"/>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bCs/>
          <w:sz w:val="160"/>
          <w:szCs w:val="160"/>
          <w:highlight w:val="none"/>
        </w:rPr>
        <w:fldChar w:fldCharType="begin"/>
      </w:r>
      <w:r>
        <w:rPr>
          <w:rFonts w:hint="eastAsia" w:ascii="宋体" w:hAnsi="宋体" w:eastAsia="宋体" w:cs="宋体"/>
          <w:bCs/>
          <w:sz w:val="160"/>
          <w:szCs w:val="160"/>
          <w:highlight w:val="none"/>
        </w:rPr>
        <w:instrText xml:space="preserve"> TOC \o "1-1" \h \z \u </w:instrText>
      </w:r>
      <w:r>
        <w:rPr>
          <w:rFonts w:hint="eastAsia" w:ascii="宋体" w:hAnsi="宋体" w:eastAsia="宋体" w:cs="宋体"/>
          <w:bCs/>
          <w:sz w:val="160"/>
          <w:szCs w:val="160"/>
          <w:highlight w:val="none"/>
        </w:rPr>
        <w:fldChar w:fldCharType="separate"/>
      </w:r>
      <w:r>
        <w:rPr>
          <w:rFonts w:hint="eastAsia" w:ascii="宋体" w:hAnsi="宋体" w:eastAsia="宋体" w:cs="宋体"/>
          <w:bCs/>
          <w:szCs w:val="160"/>
          <w:highlight w:val="none"/>
        </w:rPr>
        <w:fldChar w:fldCharType="begin"/>
      </w:r>
      <w:r>
        <w:rPr>
          <w:rFonts w:hint="eastAsia" w:ascii="宋体" w:hAnsi="宋体" w:eastAsia="宋体" w:cs="宋体"/>
          <w:bCs/>
          <w:szCs w:val="160"/>
          <w:highlight w:val="none"/>
        </w:rPr>
        <w:instrText xml:space="preserve"> HYPERLINK \l _Toc20204 </w:instrText>
      </w:r>
      <w:r>
        <w:rPr>
          <w:rFonts w:hint="eastAsia" w:ascii="宋体" w:hAnsi="宋体" w:eastAsia="宋体" w:cs="宋体"/>
          <w:bCs/>
          <w:szCs w:val="160"/>
          <w:highlight w:val="none"/>
        </w:rPr>
        <w:fldChar w:fldCharType="separate"/>
      </w:r>
      <w:r>
        <w:rPr>
          <w:rFonts w:hint="eastAsia" w:ascii="宋体" w:hAnsi="宋体" w:eastAsia="宋体" w:cs="宋体"/>
          <w:bCs/>
          <w:kern w:val="2"/>
          <w:szCs w:val="44"/>
          <w:highlight w:val="none"/>
          <w:lang w:val="en-US" w:eastAsia="zh-CN" w:bidi="ar-SA"/>
        </w:rPr>
        <w:t>第一部分  竞争性</w:t>
      </w:r>
      <w:r>
        <w:rPr>
          <w:rFonts w:hint="eastAsia" w:ascii="宋体" w:hAnsi="宋体" w:cs="宋体"/>
          <w:bCs/>
          <w:kern w:val="2"/>
          <w:szCs w:val="44"/>
          <w:highlight w:val="none"/>
          <w:lang w:val="en-US" w:eastAsia="zh-CN" w:bidi="ar-SA"/>
        </w:rPr>
        <w:t>磋商公告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_Toc20204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bCs/>
          <w:szCs w:val="160"/>
          <w:highlight w:val="none"/>
        </w:rPr>
        <w:fldChar w:fldCharType="end"/>
      </w:r>
    </w:p>
    <w:p w14:paraId="0F3A6D34">
      <w:pPr>
        <w:pStyle w:val="15"/>
        <w:keepNext w:val="0"/>
        <w:keepLines w:val="0"/>
        <w:pageBreakBefore w:val="0"/>
        <w:widowControl w:val="0"/>
        <w:tabs>
          <w:tab w:val="right" w:leader="dot" w:pos="9218"/>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bCs/>
          <w:szCs w:val="160"/>
          <w:highlight w:val="none"/>
        </w:rPr>
        <w:fldChar w:fldCharType="begin"/>
      </w:r>
      <w:r>
        <w:rPr>
          <w:rFonts w:hint="eastAsia" w:ascii="宋体" w:hAnsi="宋体" w:eastAsia="宋体" w:cs="宋体"/>
          <w:bCs/>
          <w:szCs w:val="160"/>
          <w:highlight w:val="none"/>
        </w:rPr>
        <w:instrText xml:space="preserve"> HYPERLINK \l _Toc17256 </w:instrText>
      </w:r>
      <w:r>
        <w:rPr>
          <w:rFonts w:hint="eastAsia" w:ascii="宋体" w:hAnsi="宋体" w:eastAsia="宋体" w:cs="宋体"/>
          <w:bCs/>
          <w:szCs w:val="160"/>
          <w:highlight w:val="none"/>
        </w:rPr>
        <w:fldChar w:fldCharType="separate"/>
      </w:r>
      <w:r>
        <w:rPr>
          <w:rFonts w:hint="eastAsia" w:ascii="宋体" w:hAnsi="宋体" w:eastAsia="宋体" w:cs="宋体"/>
          <w:szCs w:val="44"/>
          <w:highlight w:val="none"/>
        </w:rPr>
        <w:t>第二部分</w:t>
      </w:r>
      <w:r>
        <w:rPr>
          <w:rFonts w:hint="eastAsia" w:ascii="宋体" w:hAnsi="宋体" w:eastAsia="宋体" w:cs="宋体"/>
          <w:szCs w:val="44"/>
          <w:highlight w:val="none"/>
          <w:lang w:val="en-US" w:eastAsia="zh-CN"/>
        </w:rPr>
        <w:t xml:space="preserve">  </w:t>
      </w:r>
      <w:r>
        <w:rPr>
          <w:rFonts w:hint="eastAsia" w:ascii="宋体" w:hAnsi="宋体" w:eastAsia="宋体" w:cs="宋体"/>
          <w:szCs w:val="44"/>
          <w:highlight w:val="none"/>
        </w:rPr>
        <w:t>投标</w:t>
      </w:r>
      <w:r>
        <w:rPr>
          <w:rFonts w:hint="eastAsia" w:ascii="宋体" w:hAnsi="宋体" w:eastAsia="宋体" w:cs="宋体"/>
          <w:szCs w:val="44"/>
          <w:highlight w:val="none"/>
          <w:lang w:val="en-US" w:eastAsia="zh-CN"/>
        </w:rPr>
        <w:t>人</w:t>
      </w:r>
      <w:r>
        <w:rPr>
          <w:rFonts w:hint="eastAsia" w:ascii="宋体" w:hAnsi="宋体" w:eastAsia="宋体" w:cs="宋体"/>
          <w:szCs w:val="44"/>
          <w:highlight w:val="none"/>
        </w:rPr>
        <w:t>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_Toc17256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bCs/>
          <w:szCs w:val="160"/>
          <w:highlight w:val="none"/>
        </w:rPr>
        <w:fldChar w:fldCharType="end"/>
      </w:r>
    </w:p>
    <w:p w14:paraId="3558DED6">
      <w:pPr>
        <w:pStyle w:val="15"/>
        <w:keepNext w:val="0"/>
        <w:keepLines w:val="0"/>
        <w:pageBreakBefore w:val="0"/>
        <w:widowControl w:val="0"/>
        <w:tabs>
          <w:tab w:val="right" w:leader="dot" w:pos="9218"/>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bCs/>
          <w:szCs w:val="160"/>
          <w:highlight w:val="none"/>
        </w:rPr>
        <w:fldChar w:fldCharType="begin"/>
      </w:r>
      <w:r>
        <w:rPr>
          <w:rFonts w:hint="eastAsia" w:ascii="宋体" w:hAnsi="宋体" w:eastAsia="宋体" w:cs="宋体"/>
          <w:bCs/>
          <w:szCs w:val="160"/>
          <w:highlight w:val="none"/>
        </w:rPr>
        <w:instrText xml:space="preserve"> HYPERLINK \l _Toc1532 </w:instrText>
      </w:r>
      <w:r>
        <w:rPr>
          <w:rFonts w:hint="eastAsia" w:ascii="宋体" w:hAnsi="宋体" w:eastAsia="宋体" w:cs="宋体"/>
          <w:bCs/>
          <w:szCs w:val="160"/>
          <w:highlight w:val="none"/>
        </w:rPr>
        <w:fldChar w:fldCharType="separate"/>
      </w:r>
      <w:r>
        <w:rPr>
          <w:rFonts w:hint="eastAsia" w:ascii="宋体" w:hAnsi="宋体" w:eastAsia="宋体" w:cs="宋体"/>
          <w:szCs w:val="44"/>
          <w:highlight w:val="none"/>
        </w:rPr>
        <w:t>第三部分</w:t>
      </w:r>
      <w:r>
        <w:rPr>
          <w:rFonts w:hint="eastAsia" w:ascii="宋体" w:hAnsi="宋体" w:eastAsia="宋体" w:cs="宋体"/>
          <w:szCs w:val="44"/>
          <w:highlight w:val="none"/>
          <w:lang w:val="en-US" w:eastAsia="zh-CN"/>
        </w:rPr>
        <w:t xml:space="preserve">  </w:t>
      </w:r>
      <w:r>
        <w:rPr>
          <w:rFonts w:hint="eastAsia" w:ascii="宋体" w:hAnsi="宋体" w:eastAsia="宋体" w:cs="宋体"/>
          <w:szCs w:val="44"/>
          <w:highlight w:val="none"/>
        </w:rPr>
        <w:t>合同主要条款</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_Toc1532 \h </w:instrText>
      </w:r>
      <w:r>
        <w:rPr>
          <w:rFonts w:hint="eastAsia" w:ascii="宋体" w:hAnsi="宋体" w:eastAsia="宋体" w:cs="宋体"/>
          <w:highlight w:val="none"/>
        </w:rPr>
        <w:fldChar w:fldCharType="separate"/>
      </w:r>
      <w:r>
        <w:rPr>
          <w:rFonts w:hint="eastAsia" w:ascii="宋体" w:hAnsi="宋体" w:eastAsia="宋体" w:cs="宋体"/>
          <w:highlight w:val="none"/>
        </w:rPr>
        <w:t>24</w:t>
      </w:r>
      <w:r>
        <w:rPr>
          <w:rFonts w:hint="eastAsia" w:ascii="宋体" w:hAnsi="宋体" w:eastAsia="宋体" w:cs="宋体"/>
          <w:highlight w:val="none"/>
        </w:rPr>
        <w:fldChar w:fldCharType="end"/>
      </w:r>
      <w:r>
        <w:rPr>
          <w:rFonts w:hint="eastAsia" w:ascii="宋体" w:hAnsi="宋体" w:eastAsia="宋体" w:cs="宋体"/>
          <w:bCs/>
          <w:szCs w:val="160"/>
          <w:highlight w:val="none"/>
        </w:rPr>
        <w:fldChar w:fldCharType="end"/>
      </w:r>
    </w:p>
    <w:p w14:paraId="1A569DB1">
      <w:pPr>
        <w:pStyle w:val="15"/>
        <w:keepNext w:val="0"/>
        <w:keepLines w:val="0"/>
        <w:pageBreakBefore w:val="0"/>
        <w:widowControl w:val="0"/>
        <w:tabs>
          <w:tab w:val="right" w:leader="dot" w:pos="9218"/>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bCs/>
          <w:szCs w:val="160"/>
          <w:highlight w:val="none"/>
        </w:rPr>
        <w:fldChar w:fldCharType="begin"/>
      </w:r>
      <w:r>
        <w:rPr>
          <w:rFonts w:hint="eastAsia" w:ascii="宋体" w:hAnsi="宋体" w:eastAsia="宋体" w:cs="宋体"/>
          <w:bCs/>
          <w:szCs w:val="160"/>
          <w:highlight w:val="none"/>
        </w:rPr>
        <w:instrText xml:space="preserve"> HYPERLINK \l _Toc9635 </w:instrText>
      </w:r>
      <w:r>
        <w:rPr>
          <w:rFonts w:hint="eastAsia" w:ascii="宋体" w:hAnsi="宋体" w:eastAsia="宋体" w:cs="宋体"/>
          <w:bCs/>
          <w:szCs w:val="160"/>
          <w:highlight w:val="none"/>
        </w:rPr>
        <w:fldChar w:fldCharType="separate"/>
      </w:r>
      <w:r>
        <w:rPr>
          <w:rFonts w:hint="eastAsia" w:ascii="宋体" w:hAnsi="宋体" w:eastAsia="宋体" w:cs="宋体"/>
          <w:bCs/>
          <w:kern w:val="2"/>
          <w:szCs w:val="44"/>
          <w:highlight w:val="none"/>
          <w:lang w:val="en-US" w:eastAsia="zh-CN" w:bidi="ar-SA"/>
        </w:rPr>
        <w:t>第四部分  采购需求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_Toc9635 \h </w:instrText>
      </w:r>
      <w:r>
        <w:rPr>
          <w:rFonts w:hint="eastAsia" w:ascii="宋体" w:hAnsi="宋体" w:eastAsia="宋体" w:cs="宋体"/>
          <w:highlight w:val="none"/>
        </w:rPr>
        <w:fldChar w:fldCharType="separate"/>
      </w:r>
      <w:r>
        <w:rPr>
          <w:rFonts w:hint="eastAsia" w:ascii="宋体" w:hAnsi="宋体" w:eastAsia="宋体" w:cs="宋体"/>
          <w:highlight w:val="none"/>
        </w:rPr>
        <w:t>26</w:t>
      </w:r>
      <w:r>
        <w:rPr>
          <w:rFonts w:hint="eastAsia" w:ascii="宋体" w:hAnsi="宋体" w:eastAsia="宋体" w:cs="宋体"/>
          <w:highlight w:val="none"/>
        </w:rPr>
        <w:fldChar w:fldCharType="end"/>
      </w:r>
      <w:r>
        <w:rPr>
          <w:rFonts w:hint="eastAsia" w:ascii="宋体" w:hAnsi="宋体" w:eastAsia="宋体" w:cs="宋体"/>
          <w:bCs/>
          <w:szCs w:val="160"/>
          <w:highlight w:val="none"/>
        </w:rPr>
        <w:fldChar w:fldCharType="end"/>
      </w:r>
    </w:p>
    <w:p w14:paraId="6D93BCDC">
      <w:pPr>
        <w:pStyle w:val="15"/>
        <w:keepNext w:val="0"/>
        <w:keepLines w:val="0"/>
        <w:pageBreakBefore w:val="0"/>
        <w:widowControl w:val="0"/>
        <w:tabs>
          <w:tab w:val="right" w:leader="dot" w:pos="9218"/>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bCs/>
          <w:szCs w:val="160"/>
          <w:highlight w:val="none"/>
        </w:rPr>
        <w:fldChar w:fldCharType="begin"/>
      </w:r>
      <w:r>
        <w:rPr>
          <w:rFonts w:hint="eastAsia" w:ascii="宋体" w:hAnsi="宋体" w:eastAsia="宋体" w:cs="宋体"/>
          <w:bCs/>
          <w:szCs w:val="160"/>
          <w:highlight w:val="none"/>
        </w:rPr>
        <w:instrText xml:space="preserve"> HYPERLINK \l _Toc5622 </w:instrText>
      </w:r>
      <w:r>
        <w:rPr>
          <w:rFonts w:hint="eastAsia" w:ascii="宋体" w:hAnsi="宋体" w:eastAsia="宋体" w:cs="宋体"/>
          <w:bCs/>
          <w:szCs w:val="160"/>
          <w:highlight w:val="none"/>
        </w:rPr>
        <w:fldChar w:fldCharType="separate"/>
      </w:r>
      <w:r>
        <w:rPr>
          <w:rFonts w:hint="eastAsia" w:ascii="宋体" w:hAnsi="宋体" w:eastAsia="宋体" w:cs="宋体"/>
          <w:szCs w:val="44"/>
          <w:highlight w:val="none"/>
        </w:rPr>
        <w:t>第五部分</w:t>
      </w:r>
      <w:r>
        <w:rPr>
          <w:rFonts w:hint="eastAsia" w:ascii="宋体" w:hAnsi="宋体" w:eastAsia="宋体" w:cs="宋体"/>
          <w:szCs w:val="44"/>
          <w:highlight w:val="none"/>
          <w:lang w:val="en-US" w:eastAsia="zh-CN"/>
        </w:rPr>
        <w:t xml:space="preserve">  </w:t>
      </w:r>
      <w:r>
        <w:rPr>
          <w:rFonts w:hint="eastAsia" w:ascii="宋体" w:hAnsi="宋体" w:eastAsia="宋体" w:cs="宋体"/>
          <w:szCs w:val="44"/>
          <w:highlight w:val="none"/>
        </w:rPr>
        <w:t>评标办法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_Toc5622 \h </w:instrText>
      </w:r>
      <w:r>
        <w:rPr>
          <w:rFonts w:hint="eastAsia" w:ascii="宋体" w:hAnsi="宋体" w:eastAsia="宋体" w:cs="宋体"/>
          <w:highlight w:val="none"/>
        </w:rPr>
        <w:fldChar w:fldCharType="separate"/>
      </w:r>
      <w:r>
        <w:rPr>
          <w:rFonts w:hint="eastAsia" w:ascii="宋体" w:hAnsi="宋体" w:eastAsia="宋体" w:cs="宋体"/>
          <w:highlight w:val="none"/>
        </w:rPr>
        <w:t>26</w:t>
      </w:r>
      <w:r>
        <w:rPr>
          <w:rFonts w:hint="eastAsia" w:ascii="宋体" w:hAnsi="宋体" w:eastAsia="宋体" w:cs="宋体"/>
          <w:highlight w:val="none"/>
        </w:rPr>
        <w:fldChar w:fldCharType="end"/>
      </w:r>
      <w:r>
        <w:rPr>
          <w:rFonts w:hint="eastAsia" w:ascii="宋体" w:hAnsi="宋体" w:eastAsia="宋体" w:cs="宋体"/>
          <w:bCs/>
          <w:szCs w:val="160"/>
          <w:highlight w:val="none"/>
        </w:rPr>
        <w:fldChar w:fldCharType="end"/>
      </w:r>
    </w:p>
    <w:p w14:paraId="559C799F">
      <w:pPr>
        <w:pStyle w:val="15"/>
        <w:keepNext w:val="0"/>
        <w:keepLines w:val="0"/>
        <w:pageBreakBefore w:val="0"/>
        <w:widowControl w:val="0"/>
        <w:tabs>
          <w:tab w:val="right" w:leader="dot" w:pos="9218"/>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bCs/>
          <w:szCs w:val="160"/>
          <w:highlight w:val="none"/>
        </w:rPr>
        <w:fldChar w:fldCharType="begin"/>
      </w:r>
      <w:r>
        <w:rPr>
          <w:rFonts w:hint="eastAsia" w:ascii="宋体" w:hAnsi="宋体" w:eastAsia="宋体" w:cs="宋体"/>
          <w:bCs/>
          <w:szCs w:val="160"/>
          <w:highlight w:val="none"/>
        </w:rPr>
        <w:instrText xml:space="preserve"> HYPERLINK \l _Toc1748 </w:instrText>
      </w:r>
      <w:r>
        <w:rPr>
          <w:rFonts w:hint="eastAsia" w:ascii="宋体" w:hAnsi="宋体" w:eastAsia="宋体" w:cs="宋体"/>
          <w:bCs/>
          <w:szCs w:val="160"/>
          <w:highlight w:val="none"/>
        </w:rPr>
        <w:fldChar w:fldCharType="separate"/>
      </w:r>
      <w:r>
        <w:rPr>
          <w:rFonts w:hint="eastAsia" w:ascii="宋体" w:hAnsi="宋体" w:eastAsia="宋体" w:cs="宋体"/>
          <w:bCs/>
          <w:szCs w:val="44"/>
          <w:highlight w:val="none"/>
        </w:rPr>
        <w:t>第六部分</w:t>
      </w:r>
      <w:r>
        <w:rPr>
          <w:rFonts w:hint="eastAsia" w:ascii="宋体" w:hAnsi="宋体" w:eastAsia="宋体" w:cs="宋体"/>
          <w:bCs/>
          <w:szCs w:val="44"/>
          <w:highlight w:val="none"/>
          <w:lang w:val="en-US" w:eastAsia="zh-CN"/>
        </w:rPr>
        <w:t xml:space="preserve">  </w:t>
      </w:r>
      <w:r>
        <w:rPr>
          <w:rFonts w:hint="eastAsia" w:ascii="宋体" w:hAnsi="宋体" w:eastAsia="宋体" w:cs="宋体"/>
          <w:bCs/>
          <w:szCs w:val="44"/>
          <w:highlight w:val="none"/>
        </w:rPr>
        <w:t>投标文件格式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_Toc1748 \h </w:instrText>
      </w:r>
      <w:r>
        <w:rPr>
          <w:rFonts w:hint="eastAsia" w:ascii="宋体" w:hAnsi="宋体" w:eastAsia="宋体" w:cs="宋体"/>
          <w:highlight w:val="none"/>
        </w:rPr>
        <w:fldChar w:fldCharType="separate"/>
      </w:r>
      <w:r>
        <w:rPr>
          <w:rFonts w:hint="eastAsia" w:ascii="宋体" w:hAnsi="宋体" w:eastAsia="宋体" w:cs="宋体"/>
          <w:highlight w:val="none"/>
        </w:rPr>
        <w:t>40</w:t>
      </w:r>
      <w:r>
        <w:rPr>
          <w:rFonts w:hint="eastAsia" w:ascii="宋体" w:hAnsi="宋体" w:eastAsia="宋体" w:cs="宋体"/>
          <w:highlight w:val="none"/>
        </w:rPr>
        <w:fldChar w:fldCharType="end"/>
      </w:r>
      <w:r>
        <w:rPr>
          <w:rFonts w:hint="eastAsia" w:ascii="宋体" w:hAnsi="宋体" w:eastAsia="宋体" w:cs="宋体"/>
          <w:bCs/>
          <w:szCs w:val="160"/>
          <w:highlight w:val="none"/>
        </w:rPr>
        <w:fldChar w:fldCharType="end"/>
      </w:r>
    </w:p>
    <w:p w14:paraId="5C571895">
      <w:pPr>
        <w:spacing w:line="480" w:lineRule="auto"/>
        <w:rPr>
          <w:rFonts w:hint="eastAsia" w:ascii="宋体" w:hAnsi="宋体" w:eastAsia="宋体" w:cs="宋体"/>
          <w:b/>
          <w:bCs/>
          <w:sz w:val="72"/>
          <w:szCs w:val="72"/>
          <w:highlight w:val="none"/>
        </w:rPr>
      </w:pPr>
      <w:r>
        <w:rPr>
          <w:rFonts w:hint="eastAsia" w:ascii="宋体" w:hAnsi="宋体" w:eastAsia="宋体" w:cs="宋体"/>
          <w:bCs/>
          <w:szCs w:val="160"/>
          <w:highlight w:val="none"/>
        </w:rPr>
        <w:fldChar w:fldCharType="end"/>
      </w:r>
    </w:p>
    <w:p w14:paraId="5B353C1B">
      <w:pPr>
        <w:rPr>
          <w:rFonts w:hint="eastAsia" w:ascii="宋体" w:hAnsi="宋体" w:eastAsia="宋体" w:cs="宋体"/>
          <w:b/>
          <w:bCs/>
          <w:sz w:val="44"/>
          <w:highlight w:val="none"/>
        </w:rPr>
      </w:pPr>
    </w:p>
    <w:p w14:paraId="11287DD7">
      <w:pPr>
        <w:rPr>
          <w:rFonts w:hint="eastAsia" w:ascii="宋体" w:hAnsi="宋体" w:eastAsia="宋体" w:cs="宋体"/>
          <w:b/>
          <w:bCs/>
          <w:sz w:val="44"/>
          <w:highlight w:val="none"/>
        </w:rPr>
      </w:pPr>
    </w:p>
    <w:p w14:paraId="7A8FE8BD">
      <w:pPr>
        <w:rPr>
          <w:rFonts w:hint="eastAsia" w:ascii="宋体" w:hAnsi="宋体" w:eastAsia="宋体" w:cs="宋体"/>
          <w:b/>
          <w:bCs/>
          <w:sz w:val="44"/>
          <w:highlight w:val="none"/>
        </w:rPr>
      </w:pPr>
    </w:p>
    <w:p w14:paraId="360A28CC">
      <w:pPr>
        <w:rPr>
          <w:rFonts w:hint="eastAsia" w:ascii="宋体" w:hAnsi="宋体" w:eastAsia="宋体" w:cs="宋体"/>
          <w:b/>
          <w:bCs/>
          <w:sz w:val="44"/>
          <w:highlight w:val="none"/>
        </w:rPr>
      </w:pPr>
    </w:p>
    <w:p w14:paraId="06F992B8">
      <w:pPr>
        <w:rPr>
          <w:rFonts w:hint="eastAsia" w:ascii="宋体" w:hAnsi="宋体" w:eastAsia="宋体" w:cs="宋体"/>
          <w:b/>
          <w:bCs/>
          <w:sz w:val="44"/>
          <w:highlight w:val="none"/>
        </w:rPr>
      </w:pPr>
    </w:p>
    <w:p w14:paraId="7A6093DB">
      <w:pPr>
        <w:rPr>
          <w:rFonts w:hint="eastAsia" w:ascii="宋体" w:hAnsi="宋体" w:eastAsia="宋体" w:cs="宋体"/>
          <w:b/>
          <w:bCs/>
          <w:sz w:val="44"/>
          <w:highlight w:val="none"/>
        </w:rPr>
      </w:pPr>
    </w:p>
    <w:p w14:paraId="0339FEE8">
      <w:pPr>
        <w:rPr>
          <w:rFonts w:hint="eastAsia" w:ascii="宋体" w:hAnsi="宋体" w:eastAsia="宋体" w:cs="宋体"/>
          <w:b/>
          <w:bCs/>
          <w:sz w:val="44"/>
          <w:highlight w:val="none"/>
        </w:rPr>
      </w:pPr>
    </w:p>
    <w:p w14:paraId="79313F64">
      <w:pPr>
        <w:rPr>
          <w:rFonts w:hint="eastAsia" w:ascii="宋体" w:hAnsi="宋体" w:eastAsia="宋体" w:cs="宋体"/>
          <w:b/>
          <w:bCs/>
          <w:sz w:val="44"/>
          <w:highlight w:val="none"/>
        </w:rPr>
      </w:pPr>
    </w:p>
    <w:p w14:paraId="48AFA874">
      <w:pPr>
        <w:rPr>
          <w:rFonts w:hint="eastAsia" w:ascii="宋体" w:hAnsi="宋体" w:eastAsia="宋体" w:cs="宋体"/>
          <w:b/>
          <w:bCs/>
          <w:sz w:val="44"/>
          <w:highlight w:val="none"/>
        </w:rPr>
      </w:pPr>
    </w:p>
    <w:p w14:paraId="1F8D88DA">
      <w:pPr>
        <w:pStyle w:val="18"/>
        <w:jc w:val="both"/>
        <w:outlineLvl w:val="9"/>
        <w:rPr>
          <w:rFonts w:hint="eastAsia" w:ascii="宋体" w:hAnsi="宋体" w:eastAsia="宋体" w:cs="宋体"/>
          <w:b w:val="0"/>
          <w:bCs w:val="0"/>
          <w:color w:val="000000"/>
          <w:sz w:val="24"/>
          <w:szCs w:val="24"/>
          <w:highlight w:val="none"/>
          <w:lang w:val="zh-CN"/>
        </w:rPr>
      </w:pPr>
    </w:p>
    <w:p w14:paraId="60BB1CFE">
      <w:pPr>
        <w:autoSpaceDE w:val="0"/>
        <w:autoSpaceDN w:val="0"/>
        <w:spacing w:line="360" w:lineRule="auto"/>
        <w:jc w:val="center"/>
        <w:outlineLvl w:val="0"/>
        <w:rPr>
          <w:rFonts w:hint="eastAsia" w:ascii="宋体" w:hAnsi="宋体" w:eastAsia="宋体" w:cs="宋体"/>
          <w:b/>
          <w:bCs/>
          <w:kern w:val="2"/>
          <w:sz w:val="44"/>
          <w:szCs w:val="44"/>
          <w:highlight w:val="none"/>
          <w:lang w:val="en-US" w:eastAsia="zh-CN" w:bidi="ar-SA"/>
        </w:rPr>
        <w:sectPr>
          <w:footerReference r:id="rId7" w:type="first"/>
          <w:footerReference r:id="rId6" w:type="default"/>
          <w:pgSz w:w="11906" w:h="16838"/>
          <w:pgMar w:top="1440" w:right="1344" w:bottom="1440" w:left="1344" w:header="851" w:footer="992" w:gutter="0"/>
          <w:pgBorders w:offsetFrom="page">
            <w:top w:val="none" w:sz="0" w:space="0"/>
            <w:left w:val="none" w:sz="0" w:space="0"/>
            <w:bottom w:val="none" w:sz="0" w:space="0"/>
            <w:right w:val="none" w:sz="0" w:space="0"/>
          </w:pgBorders>
          <w:pgNumType w:fmt="decimal"/>
          <w:cols w:space="720" w:num="1"/>
          <w:titlePg/>
          <w:rtlGutter w:val="0"/>
          <w:docGrid w:linePitch="312" w:charSpace="0"/>
        </w:sectPr>
      </w:pPr>
    </w:p>
    <w:p w14:paraId="68139B28">
      <w:pPr>
        <w:autoSpaceDE w:val="0"/>
        <w:autoSpaceDN w:val="0"/>
        <w:spacing w:line="360" w:lineRule="auto"/>
        <w:jc w:val="center"/>
        <w:outlineLvl w:val="0"/>
        <w:rPr>
          <w:rFonts w:hint="eastAsia" w:ascii="宋体" w:hAnsi="宋体" w:eastAsia="宋体" w:cs="宋体"/>
          <w:b/>
          <w:color w:val="auto"/>
          <w:kern w:val="0"/>
          <w:sz w:val="32"/>
          <w:szCs w:val="32"/>
          <w:highlight w:val="none"/>
          <w:lang w:eastAsia="zh-CN"/>
        </w:rPr>
      </w:pPr>
      <w:bookmarkStart w:id="0" w:name="_Toc20204"/>
      <w:r>
        <w:rPr>
          <w:rFonts w:hint="eastAsia" w:ascii="宋体" w:hAnsi="宋体" w:eastAsia="宋体" w:cs="宋体"/>
          <w:b/>
          <w:bCs/>
          <w:kern w:val="2"/>
          <w:sz w:val="44"/>
          <w:szCs w:val="44"/>
          <w:highlight w:val="none"/>
          <w:lang w:val="en-US" w:eastAsia="zh-CN" w:bidi="ar-SA"/>
        </w:rPr>
        <w:t xml:space="preserve">第一部分  </w:t>
      </w:r>
      <w:r>
        <w:rPr>
          <w:rFonts w:hint="eastAsia" w:ascii="宋体" w:hAnsi="宋体" w:cs="宋体"/>
          <w:b/>
          <w:bCs/>
          <w:kern w:val="2"/>
          <w:sz w:val="44"/>
          <w:szCs w:val="44"/>
          <w:highlight w:val="none"/>
          <w:lang w:val="en-US" w:eastAsia="zh-CN" w:bidi="ar-SA"/>
        </w:rPr>
        <w:t>竞争性磋商</w:t>
      </w:r>
      <w:r>
        <w:rPr>
          <w:rFonts w:hint="eastAsia" w:ascii="宋体" w:hAnsi="宋体" w:eastAsia="宋体" w:cs="宋体"/>
          <w:b/>
          <w:bCs/>
          <w:kern w:val="2"/>
          <w:sz w:val="44"/>
          <w:szCs w:val="44"/>
          <w:highlight w:val="none"/>
          <w:lang w:val="en-US" w:eastAsia="zh-CN" w:bidi="ar-SA"/>
        </w:rPr>
        <w:t>公告</w:t>
      </w:r>
      <w:bookmarkEnd w:id="0"/>
    </w:p>
    <w:p w14:paraId="525982E8">
      <w:pPr>
        <w:pStyle w:val="2"/>
        <w:numPr>
          <w:ilvl w:val="0"/>
          <w:numId w:val="0"/>
        </w:numPr>
        <w:tabs>
          <w:tab w:val="left" w:pos="0"/>
          <w:tab w:val="left" w:pos="3165"/>
          <w:tab w:val="center" w:pos="4153"/>
        </w:tabs>
        <w:autoSpaceDE w:val="0"/>
        <w:autoSpaceDN w:val="0"/>
        <w:adjustRightInd w:val="0"/>
        <w:spacing w:before="0" w:after="0" w:line="360" w:lineRule="auto"/>
        <w:ind w:leftChars="0"/>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 xml:space="preserve">巴音郭楞职业技术学院教务管理服务平台、实验实训管理服务平台以及个性化功能定制建设项目 </w:t>
      </w:r>
    </w:p>
    <w:p w14:paraId="0FC0DF9B">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b/>
          <w:bCs w:val="0"/>
          <w:color w:val="auto"/>
          <w:sz w:val="28"/>
          <w:szCs w:val="28"/>
          <w:highlight w:val="none"/>
        </w:rPr>
      </w:pPr>
      <w:r>
        <w:rPr>
          <w:rFonts w:hint="eastAsia" w:ascii="宋体" w:hAnsi="宋体" w:eastAsia="宋体" w:cs="宋体"/>
          <w:color w:val="auto"/>
          <w:sz w:val="24"/>
          <w:szCs w:val="24"/>
          <w:highlight w:val="none"/>
        </w:rPr>
        <w:t>项目概况</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u w:val="single"/>
          <w:lang w:eastAsia="zh-CN"/>
        </w:rPr>
        <w:t xml:space="preserve">巴音郭楞职业技术学院教务管理服务平台、实验实训管理服务平台以及个性化功能定制建设项目 </w:t>
      </w:r>
      <w:r>
        <w:rPr>
          <w:rFonts w:hint="eastAsia" w:ascii="宋体" w:hAnsi="宋体" w:eastAsia="宋体" w:cs="宋体"/>
          <w:color w:val="auto"/>
          <w:sz w:val="24"/>
          <w:szCs w:val="24"/>
          <w:highlight w:val="none"/>
        </w:rPr>
        <w:t>招标项目的潜在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rPr>
        <w:t>政采云平台https://www.zcygov.cn</w:t>
      </w:r>
      <w:r>
        <w:rPr>
          <w:rFonts w:hint="eastAsia" w:ascii="宋体" w:hAnsi="宋体" w:eastAsia="宋体" w:cs="宋体"/>
          <w:color w:val="auto"/>
          <w:sz w:val="24"/>
          <w:szCs w:val="24"/>
          <w:highlight w:val="none"/>
        </w:rPr>
        <w:t>获取</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，并于</w:t>
      </w:r>
      <w:r>
        <w:rPr>
          <w:rFonts w:hint="eastAsia" w:ascii="宋体" w:hAnsi="宋体" w:cs="宋体"/>
          <w:color w:val="auto"/>
          <w:sz w:val="24"/>
          <w:szCs w:val="24"/>
          <w:highlight w:val="none"/>
          <w:u w:val="single"/>
          <w:lang w:eastAsia="zh-CN"/>
        </w:rPr>
        <w:t>2026年4月27日15:30（北京时间）</w:t>
      </w:r>
      <w:r>
        <w:rPr>
          <w:rFonts w:hint="eastAsia" w:ascii="宋体" w:hAnsi="宋体" w:eastAsia="宋体" w:cs="宋体"/>
          <w:bCs/>
          <w:color w:val="auto"/>
          <w:sz w:val="24"/>
          <w:szCs w:val="24"/>
          <w:highlight w:val="none"/>
        </w:rPr>
        <w:t>前递交投标文件</w:t>
      </w:r>
      <w:r>
        <w:rPr>
          <w:rFonts w:hint="eastAsia" w:ascii="宋体" w:hAnsi="宋体" w:eastAsia="宋体" w:cs="宋体"/>
          <w:color w:val="auto"/>
          <w:sz w:val="24"/>
          <w:szCs w:val="24"/>
          <w:highlight w:val="none"/>
        </w:rPr>
        <w:t>。</w:t>
      </w:r>
      <w:bookmarkStart w:id="1" w:name="_Toc35393621"/>
      <w:bookmarkStart w:id="2" w:name="_Toc28359002"/>
      <w:bookmarkStart w:id="3" w:name="_Toc35393790"/>
      <w:bookmarkStart w:id="4" w:name="_Toc28359079"/>
      <w:bookmarkStart w:id="5" w:name="_Hlk24379207"/>
    </w:p>
    <w:p w14:paraId="268E26BB">
      <w:pPr>
        <w:pStyle w:val="3"/>
        <w:numPr>
          <w:ilvl w:val="0"/>
          <w:numId w:val="0"/>
        </w:numPr>
        <w:tabs>
          <w:tab w:val="left" w:pos="709"/>
          <w:tab w:val="left" w:pos="993"/>
        </w:tabs>
        <w:spacing w:line="360" w:lineRule="auto"/>
        <w:jc w:val="both"/>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一、项目基本情况</w:t>
      </w:r>
      <w:bookmarkEnd w:id="1"/>
      <w:bookmarkEnd w:id="2"/>
      <w:bookmarkEnd w:id="3"/>
      <w:bookmarkEnd w:id="4"/>
    </w:p>
    <w:p w14:paraId="7DCF8AD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ZXFH2026-004</w:t>
      </w:r>
    </w:p>
    <w:p w14:paraId="65E693E8">
      <w:pPr>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项目名称：</w:t>
      </w:r>
      <w:bookmarkEnd w:id="5"/>
      <w:r>
        <w:rPr>
          <w:rFonts w:hint="eastAsia" w:ascii="宋体" w:hAnsi="宋体" w:cs="宋体"/>
          <w:color w:val="auto"/>
          <w:sz w:val="24"/>
          <w:szCs w:val="24"/>
          <w:highlight w:val="none"/>
          <w:lang w:eastAsia="zh-CN"/>
        </w:rPr>
        <w:t xml:space="preserve">巴音郭楞职业技术学院教务管理服务平台、实验实训管理服务平台以及个性化功能定制建设项目 </w:t>
      </w:r>
    </w:p>
    <w:p w14:paraId="2F13C7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2000000.00元（大写：贰佰万元整）</w:t>
      </w:r>
    </w:p>
    <w:p w14:paraId="441EF77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cs="宋体"/>
          <w:color w:val="auto"/>
          <w:sz w:val="24"/>
          <w:szCs w:val="24"/>
          <w:highlight w:val="none"/>
          <w:lang w:val="en-US" w:eastAsia="zh-CN"/>
        </w:rPr>
        <w:t>2000000.00元（大写：贰佰万元整）</w:t>
      </w:r>
    </w:p>
    <w:p w14:paraId="143CBF8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bl>
      <w:tblPr>
        <w:tblStyle w:val="21"/>
        <w:tblW w:w="5045" w:type="pct"/>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22"/>
        <w:gridCol w:w="1850"/>
        <w:gridCol w:w="963"/>
        <w:gridCol w:w="1387"/>
        <w:gridCol w:w="825"/>
        <w:gridCol w:w="1898"/>
        <w:gridCol w:w="1060"/>
      </w:tblGrid>
      <w:tr w14:paraId="769C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7" w:hRule="atLeast"/>
          <w:tblCellSpacing w:w="15" w:type="dxa"/>
          <w:jc w:val="center"/>
        </w:trPr>
        <w:tc>
          <w:tcPr>
            <w:tcW w:w="44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25FE72DF">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标项序号</w:t>
            </w:r>
          </w:p>
        </w:tc>
        <w:tc>
          <w:tcPr>
            <w:tcW w:w="1033"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2CDBD3CC">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标项名称</w:t>
            </w:r>
          </w:p>
        </w:tc>
        <w:tc>
          <w:tcPr>
            <w:tcW w:w="529"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1D585DA5">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770"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7A7F111A">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预算金额</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元</w:t>
            </w:r>
            <w:r>
              <w:rPr>
                <w:rFonts w:hint="eastAsia" w:ascii="宋体" w:hAnsi="宋体" w:cs="宋体"/>
                <w:color w:val="auto"/>
                <w:sz w:val="22"/>
                <w:szCs w:val="22"/>
                <w:highlight w:val="none"/>
                <w:lang w:eastAsia="zh-CN"/>
              </w:rPr>
              <w:t>）</w:t>
            </w:r>
          </w:p>
        </w:tc>
        <w:tc>
          <w:tcPr>
            <w:tcW w:w="45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48059575">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w:t>
            </w:r>
          </w:p>
        </w:tc>
        <w:tc>
          <w:tcPr>
            <w:tcW w:w="1060"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63216E16">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简要规格描述</w:t>
            </w:r>
          </w:p>
        </w:tc>
        <w:tc>
          <w:tcPr>
            <w:tcW w:w="576"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080CD811">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723A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15" w:type="dxa"/>
          <w:jc w:val="center"/>
        </w:trPr>
        <w:tc>
          <w:tcPr>
            <w:tcW w:w="44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1861D77C">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033"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4B80F1B3">
            <w:pPr>
              <w:pStyle w:val="17"/>
              <w:keepNext w:val="0"/>
              <w:keepLines w:val="0"/>
              <w:widowControl/>
              <w:suppressLineNumbers w:val="0"/>
              <w:spacing w:line="360" w:lineRule="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 xml:space="preserve">巴音郭楞职业技术学院教务管理服务平台、实验实训管理服务平台以及个性化功能定制建设项目 </w:t>
            </w:r>
          </w:p>
        </w:tc>
        <w:tc>
          <w:tcPr>
            <w:tcW w:w="529"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79F31AD9">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不限</w:t>
            </w:r>
          </w:p>
        </w:tc>
        <w:tc>
          <w:tcPr>
            <w:tcW w:w="770"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3E15D6F6">
            <w:pPr>
              <w:pStyle w:val="17"/>
              <w:keepNext w:val="0"/>
              <w:keepLines w:val="0"/>
              <w:widowControl/>
              <w:suppressLineNumbers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2000000.00</w:t>
            </w:r>
          </w:p>
        </w:tc>
        <w:tc>
          <w:tcPr>
            <w:tcW w:w="451"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15ECB14C">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项</w:t>
            </w:r>
          </w:p>
        </w:tc>
        <w:tc>
          <w:tcPr>
            <w:tcW w:w="1060"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25E36613">
            <w:pPr>
              <w:keepNext w:val="0"/>
              <w:keepLines w:val="0"/>
              <w:widowControl/>
              <w:suppressLineNumbers w:val="0"/>
              <w:wordWrap w:val="0"/>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eastAsia="zh-CN"/>
              </w:rPr>
              <w:t>拟采购教务管理服务平台、实验实训管理服务平台及个性化功能定制建设服务。平台需满足日常教学运行、排课选课、成绩管理、实验实训管理、设备管理、数据统计等核心功能，支持系统对接与数据互通，提供部署、调试、培训及运维保障。确保系统稳定、安全合规、操作便捷，全面支撑学院精细化管理与数字化转型。</w:t>
            </w:r>
          </w:p>
        </w:tc>
        <w:tc>
          <w:tcPr>
            <w:tcW w:w="576" w:type="pct"/>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14:paraId="0EBB1D8C">
            <w:pPr>
              <w:keepNext w:val="0"/>
              <w:keepLines w:val="0"/>
              <w:widowControl/>
              <w:suppressLineNumbers w:val="0"/>
              <w:wordWrap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w:t>
            </w:r>
          </w:p>
        </w:tc>
      </w:tr>
    </w:tbl>
    <w:p w14:paraId="1D20E740">
      <w:pPr>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服务期限：</w:t>
      </w:r>
      <w:r>
        <w:rPr>
          <w:rFonts w:hint="eastAsia" w:ascii="宋体" w:hAnsi="宋体" w:cs="宋体"/>
          <w:b w:val="0"/>
          <w:bCs w:val="0"/>
          <w:color w:val="auto"/>
          <w:kern w:val="0"/>
          <w:sz w:val="24"/>
          <w:szCs w:val="24"/>
          <w:highlight w:val="none"/>
          <w:lang w:val="en-US" w:eastAsia="zh-CN" w:bidi="ar-SA"/>
        </w:rPr>
        <w:t>项目签订合同后，项目工期3个月，需在工期内安装部署及平台上线（包括系统对接与开发、部署调试、装备配备、测试运行等）并完成项目验收，验收合格之日起，开始为期36个月的正式服务及日常运行维护。服务期（运维租赁期）36个月，合同一签三年。（本项目预算金额为三年的预算）</w:t>
      </w:r>
    </w:p>
    <w:p w14:paraId="488BAE0B">
      <w:pPr>
        <w:spacing w:afterAutospacing="0" w:line="360" w:lineRule="auto"/>
        <w:ind w:firstLine="480" w:firstLineChars="20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本项目（否）接受联合体投标。</w:t>
      </w:r>
      <w:bookmarkStart w:id="6" w:name="_Toc35393622"/>
      <w:bookmarkStart w:id="7" w:name="_Toc28359003"/>
      <w:bookmarkStart w:id="8" w:name="_Toc35393791"/>
      <w:bookmarkStart w:id="9" w:name="_Toc28359080"/>
    </w:p>
    <w:p w14:paraId="2FB35060">
      <w:pPr>
        <w:pStyle w:val="3"/>
        <w:numPr>
          <w:ilvl w:val="0"/>
          <w:numId w:val="0"/>
        </w:numPr>
        <w:tabs>
          <w:tab w:val="left" w:pos="709"/>
          <w:tab w:val="left" w:pos="993"/>
        </w:tabs>
        <w:spacing w:before="0" w:beforeLines="0" w:beforeAutospacing="0" w:line="360" w:lineRule="auto"/>
        <w:jc w:val="both"/>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二、申请人的资格要求：</w:t>
      </w:r>
      <w:bookmarkEnd w:id="6"/>
      <w:bookmarkEnd w:id="7"/>
      <w:bookmarkEnd w:id="8"/>
      <w:bookmarkEnd w:id="9"/>
      <w:bookmarkStart w:id="10" w:name="_Toc35393792"/>
      <w:bookmarkStart w:id="11" w:name="_Toc35393623"/>
      <w:bookmarkStart w:id="12" w:name="_Toc28359004"/>
      <w:bookmarkStart w:id="13" w:name="_Toc28359081"/>
    </w:p>
    <w:p w14:paraId="4E87FC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14:paraId="3D318AF4">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14:paraId="5487CA17">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14:paraId="767DAB28">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）具有依法缴纳税收和社会保障资金的良好记录；</w:t>
      </w:r>
    </w:p>
    <w:p w14:paraId="158C2659">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具有履行合同所必需的设备和专业技术能力</w:t>
      </w:r>
      <w:r>
        <w:rPr>
          <w:rFonts w:hint="eastAsia" w:ascii="宋体" w:hAnsi="宋体" w:eastAsia="宋体" w:cs="宋体"/>
          <w:sz w:val="24"/>
          <w:szCs w:val="24"/>
          <w:highlight w:val="none"/>
        </w:rPr>
        <w:t>；</w:t>
      </w:r>
    </w:p>
    <w:p w14:paraId="73174DE9">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）参加政府采购活动前三年内，在经营活动中没有重大违法记录；</w:t>
      </w:r>
    </w:p>
    <w:p w14:paraId="06654754">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）法律、行政法规规定的其他条件。</w:t>
      </w:r>
    </w:p>
    <w:p w14:paraId="3DEFE8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cs="宋体"/>
          <w:color w:val="auto"/>
          <w:sz w:val="24"/>
          <w:szCs w:val="24"/>
          <w:highlight w:val="none"/>
          <w:lang w:val="en-US" w:eastAsia="zh-CN"/>
        </w:rPr>
        <w:t>本项目专门面向中小微企业</w:t>
      </w:r>
      <w:r>
        <w:rPr>
          <w:rFonts w:hint="eastAsia" w:ascii="宋体" w:hAnsi="宋体" w:eastAsia="宋体" w:cs="宋体"/>
          <w:color w:val="auto"/>
          <w:sz w:val="24"/>
          <w:szCs w:val="24"/>
          <w:highlight w:val="none"/>
          <w:lang w:val="en-US" w:eastAsia="zh-CN"/>
        </w:rPr>
        <w:t>。</w:t>
      </w:r>
    </w:p>
    <w:p w14:paraId="6A669143">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（1）财政部、国家发展改革委、生态环境部、市场监管总局《关于调整优化节能产品、环境标志产品政府采购执行机制的通知》（财库</w:t>
      </w:r>
      <w:r>
        <w:rPr>
          <w:rFonts w:hint="eastAsia" w:ascii="宋体" w:hAnsi="宋体" w:cs="宋体"/>
          <w:sz w:val="24"/>
          <w:szCs w:val="24"/>
          <w:highlight w:val="none"/>
          <w:lang w:eastAsia="zh-CN"/>
        </w:rPr>
        <w:t>〔2019〕9号</w:t>
      </w:r>
      <w:r>
        <w:rPr>
          <w:rFonts w:hint="eastAsia" w:ascii="宋体" w:hAnsi="宋体" w:eastAsia="宋体" w:cs="宋体"/>
          <w:sz w:val="24"/>
          <w:szCs w:val="24"/>
          <w:highlight w:val="none"/>
        </w:rPr>
        <w:t>文）；</w:t>
      </w:r>
    </w:p>
    <w:p w14:paraId="79295F45">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（2）财政部、生态环境部《关于印发环境标志产品政府采购品目清单的通知》（财库</w:t>
      </w:r>
      <w:r>
        <w:rPr>
          <w:rFonts w:hint="eastAsia" w:ascii="宋体" w:hAnsi="宋体" w:cs="宋体"/>
          <w:sz w:val="24"/>
          <w:szCs w:val="24"/>
          <w:highlight w:val="none"/>
          <w:lang w:eastAsia="zh-CN"/>
        </w:rPr>
        <w:t>〔2019〕18号</w:t>
      </w:r>
      <w:r>
        <w:rPr>
          <w:rFonts w:hint="eastAsia" w:ascii="宋体" w:hAnsi="宋体" w:eastAsia="宋体" w:cs="宋体"/>
          <w:sz w:val="24"/>
          <w:szCs w:val="24"/>
          <w:highlight w:val="none"/>
        </w:rPr>
        <w:t>文）；</w:t>
      </w:r>
    </w:p>
    <w:p w14:paraId="21F864F5">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（3）财政部、发展改革委《关于印发节能产品政府采购品目清单的通知》（财库</w:t>
      </w:r>
      <w:r>
        <w:rPr>
          <w:rFonts w:hint="eastAsia" w:ascii="宋体" w:hAnsi="宋体" w:cs="宋体"/>
          <w:sz w:val="24"/>
          <w:szCs w:val="24"/>
          <w:highlight w:val="none"/>
          <w:lang w:eastAsia="zh-CN"/>
        </w:rPr>
        <w:t>〔2019〕19号</w:t>
      </w:r>
      <w:r>
        <w:rPr>
          <w:rFonts w:hint="eastAsia" w:ascii="宋体" w:hAnsi="宋体" w:eastAsia="宋体" w:cs="宋体"/>
          <w:sz w:val="24"/>
          <w:szCs w:val="24"/>
          <w:highlight w:val="none"/>
        </w:rPr>
        <w:t>文）；</w:t>
      </w:r>
    </w:p>
    <w:p w14:paraId="507F4490">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（4）市场监管总局《市场监管总局关于发布参与实施政府采购节能产品、环境标志产品认证机构名录的公告》（2019年第16号）；</w:t>
      </w:r>
    </w:p>
    <w:p w14:paraId="62E04AE5">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（5）财政部、工业和信息化部《关于印发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政府采购促进中小企</w:t>
      </w:r>
      <w:r>
        <w:rPr>
          <w:rFonts w:hint="eastAsia" w:ascii="宋体" w:hAnsi="宋体" w:cs="宋体"/>
          <w:sz w:val="24"/>
          <w:szCs w:val="24"/>
          <w:highlight w:val="none"/>
          <w:lang w:eastAsia="zh-CN"/>
        </w:rPr>
        <w:t>业发展</w:t>
      </w:r>
      <w:r>
        <w:rPr>
          <w:rFonts w:hint="eastAsia" w:ascii="宋体" w:hAnsi="宋体" w:eastAsia="宋体" w:cs="宋体"/>
          <w:sz w:val="24"/>
          <w:szCs w:val="24"/>
          <w:highlight w:val="none"/>
        </w:rPr>
        <w:t>暂行办法》的通知》（财库</w:t>
      </w:r>
      <w:r>
        <w:rPr>
          <w:rFonts w:hint="eastAsia" w:ascii="宋体" w:hAnsi="宋体" w:cs="宋体"/>
          <w:sz w:val="24"/>
          <w:szCs w:val="24"/>
          <w:highlight w:val="none"/>
          <w:lang w:eastAsia="zh-CN"/>
        </w:rPr>
        <w:t>〔2011〕181号</w:t>
      </w:r>
      <w:r>
        <w:rPr>
          <w:rFonts w:hint="eastAsia" w:ascii="宋体" w:hAnsi="宋体" w:eastAsia="宋体" w:cs="宋体"/>
          <w:sz w:val="24"/>
          <w:szCs w:val="24"/>
          <w:highlight w:val="none"/>
        </w:rPr>
        <w:t>文）；</w:t>
      </w:r>
    </w:p>
    <w:p w14:paraId="48F9BC40">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（6）财政部、民政部、中国残疾人联合会《关于促进残疾人就业政府采购政策的通知》（财库</w:t>
      </w:r>
      <w:r>
        <w:rPr>
          <w:rFonts w:hint="eastAsia" w:ascii="宋体" w:hAnsi="宋体" w:cs="宋体"/>
          <w:sz w:val="24"/>
          <w:szCs w:val="24"/>
          <w:highlight w:val="none"/>
          <w:lang w:eastAsia="zh-CN"/>
        </w:rPr>
        <w:t>〔2017〕141号</w:t>
      </w:r>
      <w:r>
        <w:rPr>
          <w:rFonts w:hint="eastAsia" w:ascii="宋体" w:hAnsi="宋体" w:eastAsia="宋体" w:cs="宋体"/>
          <w:sz w:val="24"/>
          <w:szCs w:val="24"/>
          <w:highlight w:val="none"/>
        </w:rPr>
        <w:t>）；</w:t>
      </w:r>
    </w:p>
    <w:p w14:paraId="13DB0074">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（7）财政部、司法部《关于政府采购支持监狱企业发展有关问题的通知》（财库</w:t>
      </w:r>
      <w:r>
        <w:rPr>
          <w:rFonts w:hint="eastAsia" w:ascii="宋体" w:hAnsi="宋体" w:cs="宋体"/>
          <w:sz w:val="24"/>
          <w:szCs w:val="24"/>
          <w:highlight w:val="none"/>
          <w:lang w:eastAsia="zh-CN"/>
        </w:rPr>
        <w:t>〔2014〕68号</w:t>
      </w:r>
      <w:r>
        <w:rPr>
          <w:rFonts w:hint="eastAsia" w:ascii="宋体" w:hAnsi="宋体" w:eastAsia="宋体" w:cs="宋体"/>
          <w:sz w:val="24"/>
          <w:szCs w:val="24"/>
          <w:highlight w:val="none"/>
        </w:rPr>
        <w:t>文）。（中小企业优惠、监狱企业、节能产品、环境标志产品等）</w:t>
      </w:r>
      <w:r>
        <w:rPr>
          <w:rFonts w:hint="eastAsia" w:ascii="宋体" w:hAnsi="宋体" w:eastAsia="宋体" w:cs="宋体"/>
          <w:sz w:val="24"/>
          <w:szCs w:val="24"/>
          <w:highlight w:val="none"/>
          <w:lang w:eastAsia="zh-CN"/>
        </w:rPr>
        <w:t>；</w:t>
      </w:r>
    </w:p>
    <w:p w14:paraId="13CAC6FA">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（8）扶持中小企业政策：评审时小型和微型企业产品享受</w:t>
      </w:r>
      <w:r>
        <w:rPr>
          <w:rFonts w:hint="eastAsia" w:ascii="宋体" w:hAnsi="宋体" w:cs="宋体"/>
          <w:sz w:val="24"/>
          <w:szCs w:val="24"/>
          <w:highlight w:val="none"/>
          <w:lang w:val="en-US" w:eastAsia="zh-CN"/>
        </w:rPr>
        <w:t>10%-20</w:t>
      </w:r>
      <w:r>
        <w:rPr>
          <w:rFonts w:hint="eastAsia" w:ascii="宋体" w:hAnsi="宋体" w:eastAsia="宋体" w:cs="宋体"/>
          <w:sz w:val="24"/>
          <w:szCs w:val="24"/>
          <w:highlight w:val="none"/>
        </w:rPr>
        <w:t>%的价格折扣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监狱企业、残疾人福利组织视同小型、微型企业</w:t>
      </w:r>
      <w:r>
        <w:rPr>
          <w:rFonts w:hint="eastAsia" w:ascii="宋体" w:hAnsi="宋体" w:eastAsia="宋体" w:cs="宋体"/>
          <w:sz w:val="24"/>
          <w:szCs w:val="24"/>
          <w:highlight w:val="none"/>
          <w:lang w:eastAsia="zh-CN"/>
        </w:rPr>
        <w:t>；</w:t>
      </w:r>
    </w:p>
    <w:p w14:paraId="698605CA">
      <w:pPr>
        <w:pStyle w:val="17"/>
        <w:keepNext w:val="0"/>
        <w:keepLines w:val="0"/>
        <w:widowControl/>
        <w:suppressLineNumbers w:val="0"/>
        <w:spacing w:before="60" w:beforeAutospacing="0" w:after="60" w:afterAutospacing="0" w:line="360" w:lineRule="auto"/>
        <w:ind w:left="0" w:right="0" w:firstLine="4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（9）《关于运用政府采购政策支持脱贫攻坚的通知》（财库</w:t>
      </w:r>
      <w:r>
        <w:rPr>
          <w:rFonts w:hint="eastAsia" w:ascii="宋体" w:hAnsi="宋体" w:cs="宋体"/>
          <w:sz w:val="24"/>
          <w:szCs w:val="24"/>
          <w:highlight w:val="none"/>
          <w:lang w:eastAsia="zh-CN"/>
        </w:rPr>
        <w:t>〔2019〕27号</w:t>
      </w:r>
      <w:r>
        <w:rPr>
          <w:rFonts w:hint="eastAsia" w:ascii="宋体" w:hAnsi="宋体" w:eastAsia="宋体" w:cs="宋体"/>
          <w:sz w:val="24"/>
          <w:szCs w:val="24"/>
          <w:highlight w:val="none"/>
        </w:rPr>
        <w:t>文）。</w:t>
      </w:r>
    </w:p>
    <w:p w14:paraId="2DA2CD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r>
        <w:rPr>
          <w:rFonts w:hint="eastAsia" w:ascii="宋体" w:hAnsi="宋体" w:cs="宋体"/>
          <w:color w:val="000000" w:themeColor="text1"/>
          <w:spacing w:val="-1"/>
          <w:sz w:val="24"/>
          <w:szCs w:val="24"/>
          <w:highlight w:val="none"/>
          <w:lang w:val="en-US" w:eastAsia="zh-CN"/>
          <w14:textFill>
            <w14:solidFill>
              <w14:schemeClr w14:val="tx1"/>
            </w14:solidFill>
          </w14:textFill>
        </w:rPr>
        <w:t>无。</w:t>
      </w:r>
    </w:p>
    <w:p w14:paraId="47A48D78">
      <w:pPr>
        <w:pStyle w:val="3"/>
        <w:numPr>
          <w:ilvl w:val="0"/>
          <w:numId w:val="0"/>
        </w:numPr>
        <w:tabs>
          <w:tab w:val="left" w:pos="709"/>
          <w:tab w:val="left" w:pos="993"/>
        </w:tabs>
        <w:spacing w:line="360" w:lineRule="auto"/>
        <w:jc w:val="both"/>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rPr>
        <w:t>三、获取</w:t>
      </w:r>
      <w:bookmarkEnd w:id="10"/>
      <w:bookmarkEnd w:id="11"/>
      <w:bookmarkEnd w:id="12"/>
      <w:bookmarkEnd w:id="13"/>
      <w:r>
        <w:rPr>
          <w:rFonts w:hint="eastAsia" w:ascii="宋体" w:hAnsi="宋体" w:eastAsia="宋体" w:cs="宋体"/>
          <w:b/>
          <w:bCs w:val="0"/>
          <w:color w:val="auto"/>
          <w:sz w:val="28"/>
          <w:szCs w:val="28"/>
          <w:highlight w:val="none"/>
          <w:lang w:eastAsia="zh-CN"/>
        </w:rPr>
        <w:t>磋商文件</w:t>
      </w:r>
    </w:p>
    <w:p w14:paraId="46B7FD6C">
      <w:pPr>
        <w:pStyle w:val="17"/>
        <w:keepNext w:val="0"/>
        <w:keepLines w:val="0"/>
        <w:widowControl/>
        <w:suppressLineNumbers w:val="0"/>
        <w:spacing w:before="0" w:beforeLines="0" w:beforeAutospacing="0" w:after="6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间：</w:t>
      </w:r>
      <w:r>
        <w:rPr>
          <w:rFonts w:hint="eastAsia" w:ascii="宋体" w:hAnsi="宋体" w:cs="宋体"/>
          <w:color w:val="auto"/>
          <w:sz w:val="24"/>
          <w:szCs w:val="24"/>
          <w:highlight w:val="none"/>
          <w:u w:val="none"/>
          <w:lang w:eastAsia="zh-CN"/>
        </w:rPr>
        <w:t>202</w:t>
      </w:r>
      <w:r>
        <w:rPr>
          <w:rFonts w:hint="eastAsia" w:ascii="宋体" w:hAnsi="宋体" w:cs="宋体"/>
          <w:color w:val="auto"/>
          <w:sz w:val="24"/>
          <w:szCs w:val="24"/>
          <w:highlight w:val="none"/>
          <w:u w:val="none"/>
          <w:lang w:val="en-US" w:eastAsia="zh-CN"/>
        </w:rPr>
        <w:t>6</w:t>
      </w:r>
      <w:r>
        <w:rPr>
          <w:rFonts w:hint="eastAsia" w:ascii="宋体" w:hAnsi="宋体" w:cs="宋体"/>
          <w:color w:val="auto"/>
          <w:sz w:val="24"/>
          <w:szCs w:val="24"/>
          <w:highlight w:val="none"/>
          <w:u w:val="none"/>
          <w:lang w:eastAsia="zh-CN"/>
        </w:rPr>
        <w:t>年</w:t>
      </w:r>
      <w:r>
        <w:rPr>
          <w:rFonts w:hint="eastAsia" w:ascii="宋体" w:hAnsi="宋体" w:cs="宋体"/>
          <w:color w:val="auto"/>
          <w:sz w:val="24"/>
          <w:szCs w:val="24"/>
          <w:highlight w:val="none"/>
          <w:u w:val="none"/>
          <w:lang w:val="en-US" w:eastAsia="zh-CN"/>
        </w:rPr>
        <w:t>4</w:t>
      </w:r>
      <w:r>
        <w:rPr>
          <w:rFonts w:hint="eastAsia" w:ascii="宋体" w:hAnsi="宋体" w:cs="宋体"/>
          <w:color w:val="auto"/>
          <w:sz w:val="24"/>
          <w:szCs w:val="24"/>
          <w:highlight w:val="none"/>
          <w:u w:val="none"/>
          <w:lang w:eastAsia="zh-CN"/>
        </w:rPr>
        <w:t>月</w:t>
      </w:r>
      <w:r>
        <w:rPr>
          <w:rFonts w:hint="eastAsia" w:ascii="宋体" w:hAnsi="宋体" w:cs="宋体"/>
          <w:color w:val="auto"/>
          <w:sz w:val="24"/>
          <w:szCs w:val="24"/>
          <w:highlight w:val="none"/>
          <w:u w:val="none"/>
          <w:lang w:val="en-US" w:eastAsia="zh-CN"/>
        </w:rPr>
        <w:t>14</w:t>
      </w:r>
      <w:r>
        <w:rPr>
          <w:rFonts w:hint="eastAsia" w:ascii="宋体" w:hAnsi="宋体" w:cs="宋体"/>
          <w:color w:val="auto"/>
          <w:sz w:val="24"/>
          <w:szCs w:val="24"/>
          <w:highlight w:val="none"/>
          <w:u w:val="none"/>
          <w:lang w:eastAsia="zh-CN"/>
        </w:rPr>
        <w:t>日</w:t>
      </w:r>
      <w:r>
        <w:rPr>
          <w:rFonts w:hint="eastAsia" w:ascii="宋体" w:hAnsi="宋体" w:eastAsia="宋体" w:cs="宋体"/>
          <w:color w:val="auto"/>
          <w:sz w:val="24"/>
          <w:szCs w:val="24"/>
          <w:highlight w:val="none"/>
          <w:u w:val="none"/>
          <w:lang w:eastAsia="zh-CN"/>
        </w:rPr>
        <w:t>至</w:t>
      </w:r>
      <w:r>
        <w:rPr>
          <w:rFonts w:hint="eastAsia" w:ascii="宋体" w:hAnsi="宋体" w:cs="宋体"/>
          <w:color w:val="auto"/>
          <w:sz w:val="24"/>
          <w:szCs w:val="24"/>
          <w:highlight w:val="none"/>
          <w:u w:val="none"/>
          <w:lang w:eastAsia="zh-CN"/>
        </w:rPr>
        <w:t>202</w:t>
      </w:r>
      <w:r>
        <w:rPr>
          <w:rFonts w:hint="eastAsia" w:ascii="宋体" w:hAnsi="宋体" w:cs="宋体"/>
          <w:color w:val="auto"/>
          <w:sz w:val="24"/>
          <w:szCs w:val="24"/>
          <w:highlight w:val="none"/>
          <w:u w:val="none"/>
          <w:lang w:val="en-US" w:eastAsia="zh-CN"/>
        </w:rPr>
        <w:t>6</w:t>
      </w:r>
      <w:r>
        <w:rPr>
          <w:rFonts w:hint="eastAsia" w:ascii="宋体" w:hAnsi="宋体" w:cs="宋体"/>
          <w:color w:val="auto"/>
          <w:sz w:val="24"/>
          <w:szCs w:val="24"/>
          <w:highlight w:val="none"/>
          <w:u w:val="none"/>
          <w:lang w:eastAsia="zh-CN"/>
        </w:rPr>
        <w:t>年</w:t>
      </w:r>
      <w:r>
        <w:rPr>
          <w:rFonts w:hint="eastAsia" w:ascii="宋体" w:hAnsi="宋体" w:cs="宋体"/>
          <w:color w:val="auto"/>
          <w:sz w:val="24"/>
          <w:szCs w:val="24"/>
          <w:highlight w:val="none"/>
          <w:u w:val="none"/>
          <w:lang w:val="en-US" w:eastAsia="zh-CN"/>
        </w:rPr>
        <w:t>4</w:t>
      </w:r>
      <w:r>
        <w:rPr>
          <w:rFonts w:hint="eastAsia" w:ascii="宋体" w:hAnsi="宋体" w:cs="宋体"/>
          <w:color w:val="auto"/>
          <w:sz w:val="24"/>
          <w:szCs w:val="24"/>
          <w:highlight w:val="none"/>
          <w:u w:val="none"/>
          <w:lang w:eastAsia="zh-CN"/>
        </w:rPr>
        <w:t>月</w:t>
      </w:r>
      <w:r>
        <w:rPr>
          <w:rFonts w:hint="eastAsia" w:ascii="宋体" w:hAnsi="宋体" w:cs="宋体"/>
          <w:color w:val="auto"/>
          <w:sz w:val="24"/>
          <w:szCs w:val="24"/>
          <w:highlight w:val="none"/>
          <w:u w:val="none"/>
          <w:lang w:val="en-US" w:eastAsia="zh-CN"/>
        </w:rPr>
        <w:t>21</w:t>
      </w:r>
      <w:r>
        <w:rPr>
          <w:rFonts w:hint="eastAsia" w:ascii="宋体" w:hAnsi="宋体" w:cs="宋体"/>
          <w:color w:val="auto"/>
          <w:sz w:val="24"/>
          <w:szCs w:val="24"/>
          <w:highlight w:val="none"/>
          <w:u w:val="none"/>
          <w:lang w:eastAsia="zh-CN"/>
        </w:rPr>
        <w:t>日</w:t>
      </w:r>
      <w:r>
        <w:rPr>
          <w:rFonts w:hint="eastAsia" w:ascii="宋体" w:hAnsi="宋体" w:eastAsia="宋体" w:cs="宋体"/>
          <w:color w:val="auto"/>
          <w:sz w:val="24"/>
          <w:szCs w:val="24"/>
          <w:highlight w:val="none"/>
          <w:u w:val="none"/>
        </w:rPr>
        <w:t>，</w:t>
      </w:r>
      <w:r>
        <w:rPr>
          <w:rFonts w:hint="eastAsia" w:ascii="宋体" w:hAnsi="宋体" w:eastAsia="宋体" w:cs="宋体"/>
          <w:sz w:val="24"/>
          <w:szCs w:val="24"/>
          <w:highlight w:val="none"/>
        </w:rPr>
        <w:t>每天</w:t>
      </w:r>
      <w:r>
        <w:rPr>
          <w:rFonts w:hint="eastAsia" w:ascii="宋体" w:hAnsi="宋体" w:eastAsia="宋体" w:cs="宋体"/>
          <w:sz w:val="24"/>
          <w:szCs w:val="24"/>
          <w:highlight w:val="none"/>
          <w:lang w:val="en-US" w:eastAsia="zh-CN"/>
        </w:rPr>
        <w:t>00:00-23:59</w:t>
      </w:r>
      <w:r>
        <w:rPr>
          <w:rFonts w:hint="eastAsia" w:ascii="宋体" w:hAnsi="宋体" w:eastAsia="宋体" w:cs="宋体"/>
          <w:sz w:val="24"/>
          <w:szCs w:val="24"/>
          <w:highlight w:val="none"/>
        </w:rPr>
        <w:t>（北京时间</w:t>
      </w:r>
      <w:r>
        <w:rPr>
          <w:rFonts w:hint="eastAsia" w:ascii="宋体" w:hAnsi="宋体" w:eastAsia="宋体" w:cs="宋体"/>
          <w:sz w:val="24"/>
          <w:szCs w:val="24"/>
          <w:highlight w:val="none"/>
          <w:lang w:eastAsia="zh-CN"/>
        </w:rPr>
        <w:t>）。</w:t>
      </w:r>
    </w:p>
    <w:p w14:paraId="601347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点：</w:t>
      </w:r>
      <w:r>
        <w:rPr>
          <w:rFonts w:hint="eastAsia" w:ascii="宋体" w:hAnsi="宋体" w:eastAsia="宋体" w:cs="宋体"/>
          <w:sz w:val="24"/>
          <w:szCs w:val="24"/>
          <w:highlight w:val="none"/>
        </w:rPr>
        <w:t>政采云平台（https://www.zcygov.cn）</w:t>
      </w:r>
      <w:r>
        <w:rPr>
          <w:rFonts w:hint="eastAsia" w:ascii="宋体" w:hAnsi="宋体" w:eastAsia="宋体" w:cs="宋体"/>
          <w:color w:val="auto"/>
          <w:sz w:val="24"/>
          <w:szCs w:val="24"/>
          <w:highlight w:val="none"/>
        </w:rPr>
        <w:t xml:space="preserve"> </w:t>
      </w:r>
    </w:p>
    <w:p w14:paraId="4F1E11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式：供应商登录政采云平台https://www.zcygov.cn在线申请获取</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（进入“项目采购”应用，在获取</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菜单中选择项目，申请获取</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w:t>
      </w:r>
    </w:p>
    <w:p w14:paraId="56C328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售</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bookmarkStart w:id="14" w:name="_Toc28359005"/>
      <w:bookmarkStart w:id="15" w:name="_Toc28359082"/>
      <w:bookmarkStart w:id="16" w:name="_Toc35393624"/>
      <w:bookmarkStart w:id="17" w:name="_Toc35393793"/>
      <w:r>
        <w:rPr>
          <w:rFonts w:hint="eastAsia" w:ascii="宋体" w:hAnsi="宋体" w:eastAsia="宋体" w:cs="宋体"/>
          <w:color w:val="auto"/>
          <w:sz w:val="24"/>
          <w:szCs w:val="24"/>
          <w:highlight w:val="none"/>
          <w:lang w:val="en-US" w:eastAsia="zh-CN"/>
        </w:rPr>
        <w:t>0元</w:t>
      </w:r>
    </w:p>
    <w:p w14:paraId="4262CD05">
      <w:pPr>
        <w:pStyle w:val="3"/>
        <w:numPr>
          <w:ilvl w:val="0"/>
          <w:numId w:val="0"/>
        </w:numPr>
        <w:tabs>
          <w:tab w:val="left" w:pos="709"/>
          <w:tab w:val="left" w:pos="993"/>
        </w:tabs>
        <w:spacing w:line="360" w:lineRule="auto"/>
        <w:jc w:val="both"/>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四、提交投标文件</w:t>
      </w:r>
      <w:bookmarkEnd w:id="14"/>
      <w:bookmarkEnd w:id="15"/>
      <w:r>
        <w:rPr>
          <w:rFonts w:hint="eastAsia" w:ascii="宋体" w:hAnsi="宋体" w:eastAsia="宋体" w:cs="宋体"/>
          <w:b/>
          <w:bCs w:val="0"/>
          <w:color w:val="auto"/>
          <w:sz w:val="28"/>
          <w:szCs w:val="28"/>
          <w:highlight w:val="none"/>
        </w:rPr>
        <w:t>截止时间、开标时间和地点</w:t>
      </w:r>
      <w:bookmarkEnd w:id="16"/>
      <w:bookmarkEnd w:id="17"/>
    </w:p>
    <w:p w14:paraId="455980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lang w:eastAsia="zh-CN"/>
        </w:rPr>
        <w:t>提交投标文件</w:t>
      </w: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u w:val="none"/>
          <w:lang w:eastAsia="zh-CN"/>
        </w:rPr>
        <w:t>2026年4月27日15:30（北京时间）</w:t>
      </w:r>
    </w:p>
    <w:p w14:paraId="17BD8F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none"/>
          <w:lang w:eastAsia="zh-CN"/>
        </w:rPr>
        <w:t>政采云平台https://www.zcygov.cn </w:t>
      </w:r>
    </w:p>
    <w:p w14:paraId="502C4E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lang w:eastAsia="zh-CN"/>
        </w:rPr>
        <w:t>开标</w:t>
      </w: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none"/>
          <w:lang w:eastAsia="zh-CN"/>
        </w:rPr>
        <w:t>2026年4月27日15:30（北京时间）</w:t>
      </w:r>
    </w:p>
    <w:p w14:paraId="268124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none"/>
          <w:lang w:eastAsia="zh-CN"/>
        </w:rPr>
        <w:t>政采云平台https://www.zcygov.cn</w:t>
      </w:r>
      <w:bookmarkStart w:id="18" w:name="_Toc28359007"/>
      <w:bookmarkStart w:id="19" w:name="_Toc35393794"/>
      <w:bookmarkStart w:id="20" w:name="_Toc28359084"/>
      <w:bookmarkStart w:id="21" w:name="_Toc35393625"/>
    </w:p>
    <w:p w14:paraId="5FD02AF6">
      <w:pPr>
        <w:pStyle w:val="3"/>
        <w:numPr>
          <w:ilvl w:val="0"/>
          <w:numId w:val="0"/>
        </w:numPr>
        <w:tabs>
          <w:tab w:val="left" w:pos="709"/>
          <w:tab w:val="left" w:pos="993"/>
        </w:tabs>
        <w:spacing w:line="360" w:lineRule="auto"/>
        <w:jc w:val="both"/>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eastAsia="zh-CN"/>
        </w:rPr>
        <w:t>五、</w:t>
      </w:r>
      <w:r>
        <w:rPr>
          <w:rFonts w:hint="eastAsia" w:ascii="宋体" w:hAnsi="宋体" w:eastAsia="宋体" w:cs="宋体"/>
          <w:b/>
          <w:bCs w:val="0"/>
          <w:color w:val="auto"/>
          <w:sz w:val="28"/>
          <w:szCs w:val="28"/>
          <w:highlight w:val="none"/>
        </w:rPr>
        <w:t>公告期限</w:t>
      </w:r>
      <w:bookmarkEnd w:id="18"/>
      <w:bookmarkEnd w:id="19"/>
      <w:bookmarkEnd w:id="20"/>
      <w:bookmarkEnd w:id="21"/>
    </w:p>
    <w:p w14:paraId="00D17911">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bookmarkStart w:id="22" w:name="_Toc35393795"/>
      <w:bookmarkStart w:id="23" w:name="_Toc35393626"/>
    </w:p>
    <w:p w14:paraId="6D48CDAD">
      <w:pPr>
        <w:pStyle w:val="3"/>
        <w:numPr>
          <w:ilvl w:val="0"/>
          <w:numId w:val="0"/>
        </w:numPr>
        <w:tabs>
          <w:tab w:val="left" w:pos="709"/>
          <w:tab w:val="left" w:pos="993"/>
        </w:tabs>
        <w:spacing w:line="360" w:lineRule="auto"/>
        <w:jc w:val="both"/>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eastAsia="zh-CN"/>
        </w:rPr>
        <w:t>六、</w:t>
      </w:r>
      <w:r>
        <w:rPr>
          <w:rFonts w:hint="eastAsia" w:ascii="宋体" w:hAnsi="宋体" w:eastAsia="宋体" w:cs="宋体"/>
          <w:b/>
          <w:bCs w:val="0"/>
          <w:color w:val="auto"/>
          <w:sz w:val="28"/>
          <w:szCs w:val="28"/>
          <w:highlight w:val="none"/>
        </w:rPr>
        <w:t>其他补充事宜</w:t>
      </w:r>
    </w:p>
    <w:p w14:paraId="5DD6A5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（1）本项目实行全流程电子</w:t>
      </w:r>
      <w:r>
        <w:rPr>
          <w:rFonts w:hint="eastAsia" w:ascii="宋体" w:hAnsi="宋体" w:cs="宋体"/>
          <w:color w:val="auto"/>
          <w:sz w:val="24"/>
          <w:szCs w:val="24"/>
          <w:highlight w:val="none"/>
          <w:lang w:val="en-US" w:eastAsia="zh-CN"/>
        </w:rPr>
        <w:t>招标投标</w:t>
      </w:r>
      <w:r>
        <w:rPr>
          <w:rFonts w:hint="eastAsia" w:ascii="宋体" w:hAnsi="宋体" w:eastAsia="宋体" w:cs="宋体"/>
          <w:color w:val="auto"/>
          <w:sz w:val="24"/>
          <w:szCs w:val="24"/>
          <w:highlight w:val="none"/>
          <w:lang w:val="en-US" w:eastAsia="zh-CN"/>
        </w:rPr>
        <w:t>，供应商须登录政采云平台申请获取</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，并通过政采云电子投标客户端制作投标文件，同时自行承担与投标有关的一切费用。</w:t>
      </w:r>
    </w:p>
    <w:p w14:paraId="436560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w:t>
      </w:r>
      <w:r>
        <w:rPr>
          <w:rFonts w:hint="eastAsia" w:ascii="宋体" w:hAnsi="宋体" w:cs="宋体"/>
          <w:color w:val="auto"/>
          <w:sz w:val="24"/>
          <w:szCs w:val="24"/>
          <w:highlight w:val="none"/>
          <w:lang w:val="en-US" w:eastAsia="zh-CN"/>
        </w:rPr>
        <w:t>95763</w:t>
      </w:r>
      <w:r>
        <w:rPr>
          <w:rFonts w:hint="eastAsia" w:ascii="宋体" w:hAnsi="宋体" w:eastAsia="宋体" w:cs="宋体"/>
          <w:color w:val="auto"/>
          <w:sz w:val="24"/>
          <w:szCs w:val="24"/>
          <w:highlight w:val="none"/>
          <w:lang w:val="en-US" w:eastAsia="zh-CN"/>
        </w:rPr>
        <w:t>进行咨询。</w:t>
      </w:r>
    </w:p>
    <w:p w14:paraId="2CE671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）供应商须在投标截止时间前通过CA在政采云平台上传加密的电子投标文件。供应商在开标时须使用制作加密电子投标文件所使用的CA锁解密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须提前配置好浏览器（建议使用360浏览器或谷歌浏览器），并确保开标期间电脑网络环境畅通，以便开标时解密。本项目解密时间定为30分钟，如因供应商自身原因导致无法正常解密，后果由供应商自行承担。</w:t>
      </w:r>
    </w:p>
    <w:bookmarkEnd w:id="22"/>
    <w:bookmarkEnd w:id="23"/>
    <w:p w14:paraId="7B5CF4C1">
      <w:pPr>
        <w:pStyle w:val="3"/>
        <w:numPr>
          <w:ilvl w:val="0"/>
          <w:numId w:val="0"/>
        </w:numPr>
        <w:tabs>
          <w:tab w:val="left" w:pos="709"/>
          <w:tab w:val="left" w:pos="993"/>
        </w:tabs>
        <w:spacing w:line="360" w:lineRule="auto"/>
        <w:jc w:val="both"/>
        <w:rPr>
          <w:rFonts w:hint="eastAsia" w:ascii="宋体" w:hAnsi="宋体" w:eastAsia="宋体" w:cs="宋体"/>
          <w:b/>
          <w:bCs w:val="0"/>
          <w:color w:val="auto"/>
          <w:sz w:val="28"/>
          <w:szCs w:val="28"/>
          <w:highlight w:val="none"/>
        </w:rPr>
      </w:pPr>
      <w:bookmarkStart w:id="24" w:name="_Toc28359085"/>
      <w:bookmarkStart w:id="25" w:name="_Toc28359008"/>
      <w:bookmarkStart w:id="26" w:name="_Toc35393627"/>
      <w:bookmarkStart w:id="27" w:name="_Toc35393796"/>
      <w:r>
        <w:rPr>
          <w:rFonts w:hint="eastAsia" w:ascii="宋体" w:hAnsi="宋体" w:eastAsia="宋体" w:cs="宋体"/>
          <w:b/>
          <w:bCs w:val="0"/>
          <w:color w:val="auto"/>
          <w:sz w:val="28"/>
          <w:szCs w:val="28"/>
          <w:highlight w:val="none"/>
        </w:rPr>
        <w:t>七、对本次招标提出询问，请按以下方式联系。</w:t>
      </w:r>
      <w:bookmarkEnd w:id="24"/>
      <w:bookmarkEnd w:id="25"/>
      <w:bookmarkEnd w:id="26"/>
      <w:bookmarkEnd w:id="27"/>
    </w:p>
    <w:p w14:paraId="2A39BB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6B0E1B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巴音郭楞职业技术学院</w:t>
      </w:r>
    </w:p>
    <w:p w14:paraId="2BAFFF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cs="宋体"/>
          <w:color w:val="auto"/>
          <w:sz w:val="24"/>
          <w:szCs w:val="24"/>
          <w:highlight w:val="none"/>
          <w:lang w:eastAsia="zh-CN"/>
        </w:rPr>
        <w:t>新疆库尔勒经济技术开发区乐悟路36号</w:t>
      </w:r>
    </w:p>
    <w:p w14:paraId="11717A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eastAsia="zh-CN"/>
        </w:rPr>
        <w:t>田睿涵</w:t>
      </w:r>
    </w:p>
    <w:p w14:paraId="2CE988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bookmarkStart w:id="28" w:name="_Toc28359009"/>
      <w:bookmarkStart w:id="29" w:name="_Toc28359086"/>
      <w:r>
        <w:rPr>
          <w:rFonts w:hint="eastAsia" w:ascii="宋体" w:hAnsi="宋体" w:cs="宋体"/>
          <w:color w:val="auto"/>
          <w:sz w:val="24"/>
          <w:szCs w:val="24"/>
          <w:highlight w:val="none"/>
          <w:lang w:val="en-US" w:eastAsia="zh-CN"/>
        </w:rPr>
        <w:t>15999012276</w:t>
      </w:r>
    </w:p>
    <w:p w14:paraId="531B31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28"/>
      <w:bookmarkEnd w:id="29"/>
    </w:p>
    <w:p w14:paraId="2616B2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w:t>
      </w:r>
      <w:r>
        <w:rPr>
          <w:rFonts w:hint="eastAsia" w:ascii="宋体" w:hAnsi="宋体" w:cs="宋体"/>
          <w:color w:val="auto"/>
          <w:sz w:val="24"/>
          <w:szCs w:val="24"/>
          <w:highlight w:val="none"/>
          <w:lang w:eastAsia="zh-CN"/>
        </w:rPr>
        <w:t>新疆众想丰华工程造价咨询有限公司</w:t>
      </w:r>
    </w:p>
    <w:p w14:paraId="488D77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新疆库尔勒市延安路丽枫酒店18楼1810室</w:t>
      </w:r>
    </w:p>
    <w:p w14:paraId="58D334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30" w:name="_Toc28359087"/>
      <w:bookmarkStart w:id="31" w:name="_Toc28359010"/>
      <w:r>
        <w:rPr>
          <w:rFonts w:hint="eastAsia" w:ascii="宋体" w:hAnsi="宋体" w:eastAsia="宋体" w:cs="宋体"/>
          <w:color w:val="auto"/>
          <w:sz w:val="24"/>
          <w:szCs w:val="24"/>
          <w:highlight w:val="none"/>
        </w:rPr>
        <w:t>3.项目联系方式</w:t>
      </w:r>
      <w:bookmarkEnd w:id="30"/>
      <w:bookmarkEnd w:id="31"/>
    </w:p>
    <w:p w14:paraId="77EC92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val="en-US" w:eastAsia="zh-CN"/>
        </w:rPr>
        <w:t>张倩</w:t>
      </w:r>
      <w:r>
        <w:rPr>
          <w:rFonts w:hint="eastAsia" w:ascii="宋体" w:hAnsi="宋体" w:eastAsia="宋体" w:cs="宋体"/>
          <w:color w:val="auto"/>
          <w:sz w:val="24"/>
          <w:szCs w:val="24"/>
          <w:highlight w:val="none"/>
          <w:lang w:val="en-US" w:eastAsia="zh-CN"/>
        </w:rPr>
        <w:t xml:space="preserve"> </w:t>
      </w:r>
    </w:p>
    <w:p w14:paraId="201B24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19915127272</w:t>
      </w:r>
    </w:p>
    <w:p w14:paraId="6C231BA9">
      <w:pPr>
        <w:rPr>
          <w:rFonts w:hint="eastAsia" w:ascii="宋体" w:hAnsi="宋体" w:eastAsia="宋体" w:cs="宋体"/>
          <w:sz w:val="44"/>
          <w:szCs w:val="44"/>
          <w:highlight w:val="none"/>
        </w:rPr>
      </w:pPr>
      <w:bookmarkStart w:id="32" w:name="_Toc17256"/>
      <w:r>
        <w:rPr>
          <w:rFonts w:hint="eastAsia" w:ascii="宋体" w:hAnsi="宋体" w:eastAsia="宋体" w:cs="宋体"/>
          <w:sz w:val="44"/>
          <w:szCs w:val="44"/>
          <w:highlight w:val="none"/>
        </w:rPr>
        <w:br w:type="page"/>
      </w:r>
    </w:p>
    <w:p w14:paraId="6CDB4130">
      <w:pPr>
        <w:pStyle w:val="18"/>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第二部分</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rPr>
        <w:t>投标</w:t>
      </w:r>
      <w:r>
        <w:rPr>
          <w:rFonts w:hint="eastAsia" w:ascii="宋体" w:hAnsi="宋体" w:eastAsia="宋体" w:cs="宋体"/>
          <w:sz w:val="44"/>
          <w:szCs w:val="44"/>
          <w:highlight w:val="none"/>
          <w:lang w:val="en-US" w:eastAsia="zh-CN"/>
        </w:rPr>
        <w:t>人</w:t>
      </w:r>
      <w:r>
        <w:rPr>
          <w:rFonts w:hint="eastAsia" w:ascii="宋体" w:hAnsi="宋体" w:eastAsia="宋体" w:cs="宋体"/>
          <w:sz w:val="44"/>
          <w:szCs w:val="44"/>
          <w:highlight w:val="none"/>
        </w:rPr>
        <w:t>须知</w:t>
      </w:r>
      <w:bookmarkEnd w:id="32"/>
    </w:p>
    <w:tbl>
      <w:tblPr>
        <w:tblStyle w:val="21"/>
        <w:tblW w:w="0" w:type="auto"/>
        <w:jc w:val="center"/>
        <w:tblLayout w:type="fixed"/>
        <w:tblCellMar>
          <w:top w:w="0" w:type="dxa"/>
          <w:left w:w="108" w:type="dxa"/>
          <w:bottom w:w="0" w:type="dxa"/>
          <w:right w:w="108" w:type="dxa"/>
        </w:tblCellMar>
      </w:tblPr>
      <w:tblGrid>
        <w:gridCol w:w="717"/>
        <w:gridCol w:w="1930"/>
        <w:gridCol w:w="5905"/>
      </w:tblGrid>
      <w:tr w14:paraId="43E94492">
        <w:tblPrEx>
          <w:tblCellMar>
            <w:top w:w="0" w:type="dxa"/>
            <w:left w:w="108" w:type="dxa"/>
            <w:bottom w:w="0" w:type="dxa"/>
            <w:right w:w="108" w:type="dxa"/>
          </w:tblCellMar>
        </w:tblPrEx>
        <w:trPr>
          <w:trHeight w:val="149"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BEBEBE"/>
            <w:noWrap w:val="0"/>
            <w:vAlign w:val="center"/>
          </w:tcPr>
          <w:p w14:paraId="2CEA2655">
            <w:pPr>
              <w:widowControl/>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序号</w:t>
            </w:r>
          </w:p>
        </w:tc>
        <w:tc>
          <w:tcPr>
            <w:tcW w:w="1930" w:type="dxa"/>
            <w:tcBorders>
              <w:top w:val="single" w:color="auto" w:sz="4" w:space="0"/>
              <w:left w:val="nil"/>
              <w:bottom w:val="single" w:color="auto" w:sz="4" w:space="0"/>
              <w:right w:val="single" w:color="auto" w:sz="4" w:space="0"/>
            </w:tcBorders>
            <w:shd w:val="clear" w:color="auto" w:fill="BEBEBE"/>
            <w:noWrap w:val="0"/>
            <w:vAlign w:val="center"/>
          </w:tcPr>
          <w:p w14:paraId="235E4135">
            <w:pPr>
              <w:widowControl/>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条款名称</w:t>
            </w:r>
          </w:p>
        </w:tc>
        <w:tc>
          <w:tcPr>
            <w:tcW w:w="5905" w:type="dxa"/>
            <w:tcBorders>
              <w:top w:val="single" w:color="auto" w:sz="4" w:space="0"/>
              <w:left w:val="nil"/>
              <w:bottom w:val="single" w:color="auto" w:sz="4" w:space="0"/>
              <w:right w:val="single" w:color="auto" w:sz="4" w:space="0"/>
            </w:tcBorders>
            <w:shd w:val="clear" w:color="auto" w:fill="BEBEBE"/>
            <w:noWrap w:val="0"/>
            <w:vAlign w:val="center"/>
          </w:tcPr>
          <w:p w14:paraId="4BF1225B">
            <w:pPr>
              <w:widowControl/>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编    列    内    容</w:t>
            </w:r>
          </w:p>
        </w:tc>
      </w:tr>
      <w:tr w14:paraId="55468462">
        <w:tblPrEx>
          <w:tblCellMar>
            <w:top w:w="0" w:type="dxa"/>
            <w:left w:w="108" w:type="dxa"/>
            <w:bottom w:w="0" w:type="dxa"/>
            <w:right w:w="108" w:type="dxa"/>
          </w:tblCellMar>
        </w:tblPrEx>
        <w:trPr>
          <w:trHeight w:val="386" w:hRule="atLeast"/>
          <w:jc w:val="center"/>
        </w:trPr>
        <w:tc>
          <w:tcPr>
            <w:tcW w:w="717" w:type="dxa"/>
            <w:vMerge w:val="restart"/>
            <w:tcBorders>
              <w:top w:val="nil"/>
              <w:left w:val="single" w:color="auto" w:sz="4" w:space="0"/>
              <w:bottom w:val="single" w:color="000000" w:sz="4" w:space="0"/>
              <w:right w:val="single" w:color="auto" w:sz="4" w:space="0"/>
            </w:tcBorders>
            <w:noWrap w:val="0"/>
            <w:vAlign w:val="center"/>
          </w:tcPr>
          <w:p w14:paraId="6A86C885">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1930" w:type="dxa"/>
            <w:tcBorders>
              <w:top w:val="nil"/>
              <w:left w:val="nil"/>
              <w:bottom w:val="single" w:color="auto" w:sz="4" w:space="0"/>
              <w:right w:val="single" w:color="auto" w:sz="4" w:space="0"/>
            </w:tcBorders>
            <w:noWrap w:val="0"/>
            <w:vAlign w:val="center"/>
          </w:tcPr>
          <w:p w14:paraId="0A4689BE">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项目</w:t>
            </w:r>
            <w:r>
              <w:rPr>
                <w:rFonts w:hint="eastAsia" w:ascii="宋体" w:hAnsi="宋体" w:eastAsia="宋体" w:cs="宋体"/>
                <w:kern w:val="0"/>
                <w:sz w:val="24"/>
                <w:highlight w:val="none"/>
              </w:rPr>
              <w:t>名称</w:t>
            </w:r>
          </w:p>
        </w:tc>
        <w:tc>
          <w:tcPr>
            <w:tcW w:w="5905" w:type="dxa"/>
            <w:tcBorders>
              <w:top w:val="nil"/>
              <w:left w:val="nil"/>
              <w:bottom w:val="single" w:color="auto" w:sz="4" w:space="0"/>
              <w:right w:val="single" w:color="auto" w:sz="4" w:space="0"/>
            </w:tcBorders>
            <w:noWrap w:val="0"/>
            <w:vAlign w:val="center"/>
          </w:tcPr>
          <w:p w14:paraId="02DA4E4D">
            <w:pPr>
              <w:widowControl/>
              <w:rPr>
                <w:rFonts w:hint="eastAsia" w:ascii="宋体" w:hAnsi="宋体" w:eastAsia="宋体" w:cs="宋体"/>
                <w:sz w:val="24"/>
                <w:highlight w:val="none"/>
                <w:lang w:val="en-US" w:eastAsia="zh-CN"/>
              </w:rPr>
            </w:pPr>
            <w:r>
              <w:rPr>
                <w:rFonts w:hint="eastAsia" w:ascii="宋体" w:hAnsi="宋体" w:cs="宋体"/>
                <w:sz w:val="24"/>
                <w:highlight w:val="none"/>
                <w:lang w:eastAsia="zh-CN"/>
              </w:rPr>
              <w:t xml:space="preserve">巴音郭楞职业技术学院教务管理服务平台、实验实训管理服务平台以及个性化功能定制建设项目 </w:t>
            </w:r>
          </w:p>
        </w:tc>
      </w:tr>
      <w:tr w14:paraId="698D6B99">
        <w:tblPrEx>
          <w:tblCellMar>
            <w:top w:w="0" w:type="dxa"/>
            <w:left w:w="108" w:type="dxa"/>
            <w:bottom w:w="0" w:type="dxa"/>
            <w:right w:w="108" w:type="dxa"/>
          </w:tblCellMar>
        </w:tblPrEx>
        <w:trPr>
          <w:trHeight w:val="677" w:hRule="atLeast"/>
          <w:jc w:val="center"/>
        </w:trPr>
        <w:tc>
          <w:tcPr>
            <w:tcW w:w="717" w:type="dxa"/>
            <w:vMerge w:val="continue"/>
            <w:tcBorders>
              <w:top w:val="nil"/>
              <w:left w:val="single" w:color="auto" w:sz="4" w:space="0"/>
              <w:bottom w:val="single" w:color="000000" w:sz="4" w:space="0"/>
              <w:right w:val="single" w:color="auto" w:sz="4" w:space="0"/>
            </w:tcBorders>
            <w:noWrap w:val="0"/>
            <w:vAlign w:val="center"/>
          </w:tcPr>
          <w:p w14:paraId="5B67B828">
            <w:pPr>
              <w:widowControl/>
              <w:jc w:val="left"/>
              <w:rPr>
                <w:rFonts w:hint="eastAsia" w:ascii="宋体" w:hAnsi="宋体" w:eastAsia="宋体" w:cs="宋体"/>
                <w:kern w:val="0"/>
                <w:sz w:val="24"/>
                <w:highlight w:val="none"/>
              </w:rPr>
            </w:pPr>
          </w:p>
        </w:tc>
        <w:tc>
          <w:tcPr>
            <w:tcW w:w="1930" w:type="dxa"/>
            <w:tcBorders>
              <w:top w:val="nil"/>
              <w:left w:val="nil"/>
              <w:bottom w:val="single" w:color="auto" w:sz="4" w:space="0"/>
              <w:right w:val="single" w:color="auto" w:sz="4" w:space="0"/>
            </w:tcBorders>
            <w:noWrap w:val="0"/>
            <w:vAlign w:val="center"/>
          </w:tcPr>
          <w:p w14:paraId="46A1C7AB">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及代理机构</w:t>
            </w:r>
          </w:p>
        </w:tc>
        <w:tc>
          <w:tcPr>
            <w:tcW w:w="5905" w:type="dxa"/>
            <w:tcBorders>
              <w:top w:val="nil"/>
              <w:left w:val="nil"/>
              <w:bottom w:val="single" w:color="auto" w:sz="4" w:space="0"/>
              <w:right w:val="single" w:color="auto" w:sz="4" w:space="0"/>
            </w:tcBorders>
            <w:noWrap w:val="0"/>
            <w:vAlign w:val="center"/>
          </w:tcPr>
          <w:p w14:paraId="6FCE6A9A">
            <w:pPr>
              <w:widowControl/>
              <w:jc w:val="left"/>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val="en-US" w:eastAsia="zh-CN"/>
              </w:rPr>
              <w:t>采购</w:t>
            </w:r>
            <w:r>
              <w:rPr>
                <w:rFonts w:hint="eastAsia" w:ascii="宋体" w:hAnsi="宋体" w:eastAsia="宋体" w:cs="宋体"/>
                <w:color w:val="000000"/>
                <w:kern w:val="0"/>
                <w:sz w:val="24"/>
                <w:highlight w:val="none"/>
              </w:rPr>
              <w:t>人</w:t>
            </w:r>
            <w:r>
              <w:rPr>
                <w:rFonts w:hint="eastAsia" w:ascii="宋体" w:hAnsi="宋体" w:cs="宋体"/>
                <w:color w:val="000000"/>
                <w:kern w:val="0"/>
                <w:sz w:val="24"/>
                <w:highlight w:val="none"/>
                <w:lang w:eastAsia="zh-CN"/>
              </w:rPr>
              <w:t>：巴音郭楞职业技术学院</w:t>
            </w:r>
          </w:p>
          <w:p w14:paraId="3781595B">
            <w:pPr>
              <w:widowControl/>
              <w:jc w:val="left"/>
              <w:rPr>
                <w:rFonts w:hint="eastAsia" w:ascii="宋体" w:hAnsi="宋体" w:eastAsia="宋体" w:cs="宋体"/>
                <w:highlight w:val="none"/>
                <w:lang w:eastAsia="zh-CN"/>
              </w:rPr>
            </w:pPr>
            <w:r>
              <w:rPr>
                <w:rFonts w:hint="eastAsia" w:ascii="宋体" w:hAnsi="宋体" w:eastAsia="宋体" w:cs="宋体"/>
                <w:color w:val="000000"/>
                <w:kern w:val="0"/>
                <w:sz w:val="24"/>
                <w:highlight w:val="none"/>
              </w:rPr>
              <w:t>代理机构</w:t>
            </w:r>
            <w:r>
              <w:rPr>
                <w:rFonts w:hint="eastAsia" w:ascii="宋体" w:hAnsi="宋体" w:eastAsia="宋体" w:cs="宋体"/>
                <w:color w:val="000000"/>
                <w:kern w:val="0"/>
                <w:sz w:val="24"/>
                <w:highlight w:val="none"/>
                <w:lang w:eastAsia="zh-CN"/>
              </w:rPr>
              <w:t>：</w:t>
            </w:r>
            <w:r>
              <w:rPr>
                <w:rFonts w:hint="eastAsia" w:ascii="宋体" w:hAnsi="宋体" w:cs="宋体"/>
                <w:color w:val="000000"/>
                <w:kern w:val="0"/>
                <w:sz w:val="24"/>
                <w:highlight w:val="none"/>
                <w:lang w:eastAsia="zh-CN"/>
              </w:rPr>
              <w:t>新疆众想丰华工程造价咨询有限公司</w:t>
            </w:r>
          </w:p>
        </w:tc>
      </w:tr>
      <w:tr w14:paraId="64D74FCE">
        <w:tblPrEx>
          <w:tblCellMar>
            <w:top w:w="0" w:type="dxa"/>
            <w:left w:w="108" w:type="dxa"/>
            <w:bottom w:w="0" w:type="dxa"/>
            <w:right w:w="108" w:type="dxa"/>
          </w:tblCellMar>
        </w:tblPrEx>
        <w:trPr>
          <w:trHeight w:val="557" w:hRule="atLeast"/>
          <w:jc w:val="center"/>
        </w:trPr>
        <w:tc>
          <w:tcPr>
            <w:tcW w:w="717" w:type="dxa"/>
            <w:vMerge w:val="restart"/>
            <w:tcBorders>
              <w:top w:val="nil"/>
              <w:left w:val="single" w:color="auto" w:sz="4" w:space="0"/>
              <w:right w:val="single" w:color="auto" w:sz="4" w:space="0"/>
            </w:tcBorders>
            <w:noWrap w:val="0"/>
            <w:vAlign w:val="center"/>
          </w:tcPr>
          <w:p w14:paraId="09741042">
            <w:pPr>
              <w:widowControl/>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2</w:t>
            </w:r>
          </w:p>
        </w:tc>
        <w:tc>
          <w:tcPr>
            <w:tcW w:w="1930" w:type="dxa"/>
            <w:tcBorders>
              <w:top w:val="nil"/>
              <w:left w:val="nil"/>
              <w:bottom w:val="single" w:color="auto" w:sz="4" w:space="0"/>
              <w:right w:val="single" w:color="auto" w:sz="4" w:space="0"/>
            </w:tcBorders>
            <w:noWrap w:val="0"/>
            <w:vAlign w:val="center"/>
          </w:tcPr>
          <w:p w14:paraId="32D0A4C3">
            <w:pPr>
              <w:widowControl/>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采购内容</w:t>
            </w:r>
          </w:p>
        </w:tc>
        <w:tc>
          <w:tcPr>
            <w:tcW w:w="5905" w:type="dxa"/>
            <w:tcBorders>
              <w:top w:val="nil"/>
              <w:left w:val="nil"/>
              <w:bottom w:val="single" w:color="auto" w:sz="4" w:space="0"/>
              <w:right w:val="single" w:color="auto" w:sz="4" w:space="0"/>
            </w:tcBorders>
            <w:noWrap w:val="0"/>
            <w:vAlign w:val="center"/>
          </w:tcPr>
          <w:p w14:paraId="2A2E63D3">
            <w:pPr>
              <w:widowControl/>
              <w:jc w:val="lef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拟采购教务管理服务平台、实验实训管理服务平台及个性化功能定制建设服务。平台需满足日常教学运行、排课选课、成绩管理、实验实训管理、设备管理、数据统计等核心功能，支持系统对接与数据互通，提供部署、调试、培训及运维保障。确保系统稳定、安全合规、操作便捷，全面支撑学院精细化管理与数字化转型。</w:t>
            </w:r>
          </w:p>
        </w:tc>
      </w:tr>
      <w:tr w14:paraId="59AFEA2F">
        <w:tblPrEx>
          <w:tblCellMar>
            <w:top w:w="0" w:type="dxa"/>
            <w:left w:w="108" w:type="dxa"/>
            <w:bottom w:w="0" w:type="dxa"/>
            <w:right w:w="108" w:type="dxa"/>
          </w:tblCellMar>
        </w:tblPrEx>
        <w:trPr>
          <w:trHeight w:val="90" w:hRule="atLeast"/>
          <w:jc w:val="center"/>
        </w:trPr>
        <w:tc>
          <w:tcPr>
            <w:tcW w:w="717" w:type="dxa"/>
            <w:vMerge w:val="continue"/>
            <w:tcBorders>
              <w:left w:val="single" w:color="auto" w:sz="4" w:space="0"/>
              <w:right w:val="single" w:color="auto" w:sz="4" w:space="0"/>
            </w:tcBorders>
            <w:noWrap w:val="0"/>
            <w:vAlign w:val="center"/>
          </w:tcPr>
          <w:p w14:paraId="55439C5D">
            <w:pPr>
              <w:widowControl/>
              <w:jc w:val="left"/>
              <w:rPr>
                <w:rFonts w:hint="eastAsia" w:ascii="宋体" w:hAnsi="宋体" w:eastAsia="宋体" w:cs="宋体"/>
                <w:kern w:val="0"/>
                <w:sz w:val="24"/>
                <w:highlight w:val="none"/>
              </w:rPr>
            </w:pPr>
          </w:p>
        </w:tc>
        <w:tc>
          <w:tcPr>
            <w:tcW w:w="1930" w:type="dxa"/>
            <w:tcBorders>
              <w:top w:val="nil"/>
              <w:left w:val="nil"/>
              <w:bottom w:val="single" w:color="auto" w:sz="4" w:space="0"/>
              <w:right w:val="single" w:color="auto" w:sz="4" w:space="0"/>
            </w:tcBorders>
            <w:noWrap w:val="0"/>
            <w:vAlign w:val="center"/>
          </w:tcPr>
          <w:p w14:paraId="7D72A2BE">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项目实施地点</w:t>
            </w:r>
          </w:p>
        </w:tc>
        <w:tc>
          <w:tcPr>
            <w:tcW w:w="5905" w:type="dxa"/>
            <w:tcBorders>
              <w:top w:val="nil"/>
              <w:left w:val="nil"/>
              <w:bottom w:val="single" w:color="auto" w:sz="4" w:space="0"/>
              <w:right w:val="single" w:color="auto" w:sz="4" w:space="0"/>
            </w:tcBorders>
            <w:noWrap w:val="0"/>
            <w:vAlign w:val="center"/>
          </w:tcPr>
          <w:p w14:paraId="796FADA9">
            <w:pPr>
              <w:widowControl/>
              <w:jc w:val="left"/>
              <w:rPr>
                <w:rFonts w:hint="eastAsia" w:ascii="宋体" w:hAnsi="宋体" w:eastAsia="宋体" w:cs="宋体"/>
                <w:color w:val="000000"/>
                <w:kern w:val="0"/>
                <w:sz w:val="24"/>
                <w:highlight w:val="none"/>
                <w:u w:val="single"/>
              </w:rPr>
            </w:pPr>
            <w:r>
              <w:rPr>
                <w:rFonts w:hint="eastAsia" w:ascii="宋体" w:hAnsi="宋体" w:cs="宋体"/>
                <w:color w:val="000000"/>
                <w:kern w:val="0"/>
                <w:sz w:val="24"/>
                <w:highlight w:val="none"/>
                <w:lang w:eastAsia="zh-CN"/>
              </w:rPr>
              <w:t>巴音郭楞蒙古自治州</w:t>
            </w:r>
          </w:p>
        </w:tc>
      </w:tr>
      <w:tr w14:paraId="084EFFC5">
        <w:tblPrEx>
          <w:tblCellMar>
            <w:top w:w="0" w:type="dxa"/>
            <w:left w:w="108" w:type="dxa"/>
            <w:bottom w:w="0" w:type="dxa"/>
            <w:right w:w="108" w:type="dxa"/>
          </w:tblCellMar>
        </w:tblPrEx>
        <w:trPr>
          <w:trHeight w:val="477" w:hRule="atLeast"/>
          <w:jc w:val="center"/>
        </w:trPr>
        <w:tc>
          <w:tcPr>
            <w:tcW w:w="717" w:type="dxa"/>
            <w:vMerge w:val="continue"/>
            <w:tcBorders>
              <w:left w:val="single" w:color="auto" w:sz="4" w:space="0"/>
              <w:right w:val="single" w:color="auto" w:sz="4" w:space="0"/>
            </w:tcBorders>
            <w:noWrap w:val="0"/>
            <w:vAlign w:val="center"/>
          </w:tcPr>
          <w:p w14:paraId="7A14F476">
            <w:pPr>
              <w:widowControl/>
              <w:jc w:val="left"/>
              <w:rPr>
                <w:rFonts w:hint="eastAsia" w:ascii="宋体" w:hAnsi="宋体" w:eastAsia="宋体" w:cs="宋体"/>
                <w:kern w:val="0"/>
                <w:sz w:val="24"/>
                <w:highlight w:val="none"/>
              </w:rPr>
            </w:pPr>
          </w:p>
        </w:tc>
        <w:tc>
          <w:tcPr>
            <w:tcW w:w="1930" w:type="dxa"/>
            <w:tcBorders>
              <w:top w:val="nil"/>
              <w:left w:val="nil"/>
              <w:bottom w:val="single" w:color="auto" w:sz="4" w:space="0"/>
              <w:right w:val="single" w:color="auto" w:sz="4" w:space="0"/>
            </w:tcBorders>
            <w:noWrap w:val="0"/>
            <w:vAlign w:val="center"/>
          </w:tcPr>
          <w:p w14:paraId="6373F8D8">
            <w:pPr>
              <w:widowControl/>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项目</w:t>
            </w:r>
            <w:r>
              <w:rPr>
                <w:rFonts w:hint="eastAsia" w:ascii="宋体" w:hAnsi="宋体" w:eastAsia="宋体" w:cs="宋体"/>
                <w:color w:val="000000"/>
                <w:sz w:val="24"/>
                <w:highlight w:val="none"/>
              </w:rPr>
              <w:t>预算</w:t>
            </w:r>
          </w:p>
        </w:tc>
        <w:tc>
          <w:tcPr>
            <w:tcW w:w="5905" w:type="dxa"/>
            <w:tcBorders>
              <w:top w:val="nil"/>
              <w:left w:val="nil"/>
              <w:bottom w:val="single" w:color="auto" w:sz="4" w:space="0"/>
              <w:right w:val="single" w:color="auto" w:sz="4" w:space="0"/>
            </w:tcBorders>
            <w:noWrap w:val="0"/>
            <w:vAlign w:val="center"/>
          </w:tcPr>
          <w:p w14:paraId="2DFA6C0F">
            <w:pPr>
              <w:widowControl/>
              <w:jc w:val="left"/>
              <w:rPr>
                <w:rFonts w:hint="eastAsia" w:ascii="宋体" w:hAnsi="宋体" w:eastAsia="宋体" w:cs="宋体"/>
                <w:color w:val="000000"/>
                <w:sz w:val="24"/>
                <w:highlight w:val="none"/>
                <w:lang w:val="en-US" w:eastAsia="zh-CN"/>
              </w:rPr>
            </w:pPr>
            <w:r>
              <w:rPr>
                <w:rFonts w:hint="eastAsia" w:ascii="宋体" w:hAnsi="宋体" w:cs="宋体"/>
                <w:b/>
                <w:bCs/>
                <w:color w:val="auto"/>
                <w:sz w:val="24"/>
                <w:highlight w:val="none"/>
                <w:lang w:val="en-US" w:eastAsia="zh-CN"/>
              </w:rPr>
              <w:t>2000000.00元（超过项目预算的报价无效）</w:t>
            </w:r>
          </w:p>
        </w:tc>
      </w:tr>
      <w:tr w14:paraId="25562A67">
        <w:tblPrEx>
          <w:tblCellMar>
            <w:top w:w="0" w:type="dxa"/>
            <w:left w:w="108" w:type="dxa"/>
            <w:bottom w:w="0" w:type="dxa"/>
            <w:right w:w="108" w:type="dxa"/>
          </w:tblCellMar>
        </w:tblPrEx>
        <w:trPr>
          <w:trHeight w:val="689" w:hRule="atLeast"/>
          <w:jc w:val="center"/>
        </w:trPr>
        <w:tc>
          <w:tcPr>
            <w:tcW w:w="717" w:type="dxa"/>
            <w:vMerge w:val="continue"/>
            <w:tcBorders>
              <w:left w:val="single" w:color="auto" w:sz="4" w:space="0"/>
              <w:bottom w:val="single" w:color="000000" w:sz="4" w:space="0"/>
              <w:right w:val="single" w:color="auto" w:sz="4" w:space="0"/>
            </w:tcBorders>
            <w:noWrap w:val="0"/>
            <w:vAlign w:val="center"/>
          </w:tcPr>
          <w:p w14:paraId="5842AF6A">
            <w:pPr>
              <w:widowControl/>
              <w:jc w:val="left"/>
              <w:rPr>
                <w:rFonts w:hint="eastAsia" w:ascii="宋体" w:hAnsi="宋体" w:eastAsia="宋体" w:cs="宋体"/>
                <w:kern w:val="0"/>
                <w:sz w:val="24"/>
                <w:highlight w:val="none"/>
              </w:rPr>
            </w:pPr>
          </w:p>
        </w:tc>
        <w:tc>
          <w:tcPr>
            <w:tcW w:w="1930" w:type="dxa"/>
            <w:tcBorders>
              <w:top w:val="nil"/>
              <w:left w:val="nil"/>
              <w:bottom w:val="single" w:color="auto" w:sz="4" w:space="0"/>
              <w:right w:val="single" w:color="auto" w:sz="4" w:space="0"/>
            </w:tcBorders>
            <w:noWrap w:val="0"/>
            <w:vAlign w:val="center"/>
          </w:tcPr>
          <w:p w14:paraId="36D1639D">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资金来源及落实情况</w:t>
            </w:r>
          </w:p>
        </w:tc>
        <w:tc>
          <w:tcPr>
            <w:tcW w:w="5905" w:type="dxa"/>
            <w:tcBorders>
              <w:top w:val="nil"/>
              <w:left w:val="nil"/>
              <w:bottom w:val="single" w:color="auto" w:sz="4" w:space="0"/>
              <w:right w:val="single" w:color="auto" w:sz="4" w:space="0"/>
            </w:tcBorders>
            <w:noWrap w:val="0"/>
            <w:vAlign w:val="center"/>
          </w:tcPr>
          <w:p w14:paraId="773998CD">
            <w:pPr>
              <w:widowControl/>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资金来源：</w:t>
            </w:r>
            <w:r>
              <w:rPr>
                <w:rFonts w:hint="eastAsia" w:ascii="宋体" w:hAnsi="宋体" w:cs="宋体"/>
                <w:kern w:val="0"/>
                <w:sz w:val="24"/>
                <w:highlight w:val="none"/>
                <w:lang w:eastAsia="zh-CN"/>
              </w:rPr>
              <w:t>州本级配套资金</w:t>
            </w:r>
          </w:p>
          <w:p w14:paraId="2D150245">
            <w:pPr>
              <w:widowControl/>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落实情况：已落实</w:t>
            </w:r>
          </w:p>
        </w:tc>
      </w:tr>
      <w:tr w14:paraId="66C6A113">
        <w:tblPrEx>
          <w:tblCellMar>
            <w:top w:w="0" w:type="dxa"/>
            <w:left w:w="108" w:type="dxa"/>
            <w:bottom w:w="0" w:type="dxa"/>
            <w:right w:w="108" w:type="dxa"/>
          </w:tblCellMar>
        </w:tblPrEx>
        <w:trPr>
          <w:trHeight w:val="1762" w:hRule="atLeast"/>
          <w:jc w:val="center"/>
        </w:trPr>
        <w:tc>
          <w:tcPr>
            <w:tcW w:w="717" w:type="dxa"/>
            <w:vMerge w:val="restart"/>
            <w:tcBorders>
              <w:top w:val="single" w:color="auto" w:sz="4" w:space="0"/>
              <w:left w:val="single" w:color="auto" w:sz="4" w:space="0"/>
              <w:bottom w:val="single" w:color="000000" w:sz="4" w:space="0"/>
              <w:right w:val="single" w:color="auto" w:sz="4" w:space="0"/>
            </w:tcBorders>
            <w:noWrap w:val="0"/>
            <w:vAlign w:val="center"/>
          </w:tcPr>
          <w:p w14:paraId="2E78947B">
            <w:pPr>
              <w:widowControl/>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3</w:t>
            </w:r>
          </w:p>
        </w:tc>
        <w:tc>
          <w:tcPr>
            <w:tcW w:w="1930" w:type="dxa"/>
            <w:vMerge w:val="restart"/>
            <w:tcBorders>
              <w:top w:val="single" w:color="auto" w:sz="4" w:space="0"/>
              <w:left w:val="single" w:color="auto" w:sz="4" w:space="0"/>
              <w:bottom w:val="single" w:color="auto" w:sz="4" w:space="0"/>
              <w:right w:val="single" w:color="auto" w:sz="4" w:space="0"/>
            </w:tcBorders>
            <w:noWrap w:val="0"/>
            <w:vAlign w:val="center"/>
          </w:tcPr>
          <w:p w14:paraId="1368DF0D">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投标</w:t>
            </w:r>
            <w:r>
              <w:rPr>
                <w:rFonts w:hint="eastAsia" w:ascii="宋体" w:hAnsi="宋体" w:eastAsia="宋体" w:cs="宋体"/>
                <w:kern w:val="0"/>
                <w:sz w:val="24"/>
                <w:highlight w:val="none"/>
                <w:lang w:eastAsia="zh-CN"/>
              </w:rPr>
              <w:t>人</w:t>
            </w:r>
            <w:r>
              <w:rPr>
                <w:rFonts w:hint="eastAsia" w:ascii="宋体" w:hAnsi="宋体" w:eastAsia="宋体" w:cs="宋体"/>
                <w:kern w:val="0"/>
                <w:sz w:val="24"/>
                <w:highlight w:val="none"/>
              </w:rPr>
              <w:t>资格条件</w:t>
            </w:r>
          </w:p>
        </w:tc>
        <w:tc>
          <w:tcPr>
            <w:tcW w:w="5905" w:type="dxa"/>
            <w:vMerge w:val="restart"/>
            <w:tcBorders>
              <w:top w:val="single" w:color="auto" w:sz="4" w:space="0"/>
              <w:left w:val="single" w:color="auto" w:sz="4" w:space="0"/>
              <w:bottom w:val="single" w:color="auto" w:sz="4" w:space="0"/>
              <w:right w:val="single" w:color="auto" w:sz="4" w:space="0"/>
            </w:tcBorders>
            <w:noWrap w:val="0"/>
            <w:vAlign w:val="center"/>
          </w:tcPr>
          <w:p w14:paraId="5D88628C">
            <w:pPr>
              <w:widowControl/>
              <w:jc w:val="left"/>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w:t>
            </w:r>
            <w:r>
              <w:rPr>
                <w:rFonts w:hint="eastAsia" w:ascii="宋体" w:hAnsi="宋体" w:eastAsia="宋体" w:cs="宋体"/>
                <w:color w:val="000000"/>
                <w:kern w:val="0"/>
                <w:sz w:val="24"/>
                <w:highlight w:val="none"/>
                <w:lang w:val="en-US" w:eastAsia="zh-CN"/>
              </w:rPr>
              <w:t>供应商必须符合《中华人民共和国政府采购法》第二十二条规定的条件，提供以下材料：</w:t>
            </w:r>
          </w:p>
          <w:p w14:paraId="52BD9CA1">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具有独立承担民事责任的能力；（注：①供应商若为企业法人：提供“统一社会信用代码营业执照”；未换证的提供“营业执照、税务登记证、组织机构代码证”；②若为事业法人：提供“统一社会信用代码法人登记证书”；未换证的</w:t>
            </w:r>
            <w:r>
              <w:rPr>
                <w:rFonts w:hint="eastAsia" w:ascii="宋体" w:hAnsi="宋体" w:cs="宋体"/>
                <w:color w:val="000000"/>
                <w:kern w:val="0"/>
                <w:sz w:val="24"/>
                <w:highlight w:val="none"/>
                <w:lang w:val="en-US" w:eastAsia="zh-CN"/>
              </w:rPr>
              <w:t>提供</w:t>
            </w:r>
            <w:r>
              <w:rPr>
                <w:rFonts w:hint="eastAsia" w:ascii="宋体" w:hAnsi="宋体" w:eastAsia="宋体" w:cs="宋体"/>
                <w:color w:val="000000"/>
                <w:kern w:val="0"/>
                <w:sz w:val="24"/>
                <w:highlight w:val="none"/>
                <w:lang w:val="en-US" w:eastAsia="zh-CN"/>
              </w:rPr>
              <w:t>“事业法人登记证书、组织机构代码证”；③若为其他组织：提供“对应主管部门颁发的准许执业证明文件或营业执照”；④若为自然人：提供“身份证明文件”。以上均提供副本复印件）</w:t>
            </w:r>
          </w:p>
          <w:p w14:paraId="45B17614">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（2）具有良好的商业信誉和健全的财务会计制度；提供具备良好商业信誉的承诺函原件和（</w:t>
            </w:r>
            <w:r>
              <w:rPr>
                <w:rFonts w:hint="eastAsia" w:ascii="宋体" w:hAnsi="宋体" w:cs="宋体"/>
                <w:color w:val="000000"/>
                <w:kern w:val="0"/>
                <w:sz w:val="24"/>
                <w:highlight w:val="none"/>
                <w:lang w:val="en-US" w:eastAsia="zh-CN"/>
              </w:rPr>
              <w:t>①可提供2024年或2025年经审计的财务报告复印件（至少包含审计报告和审计报告中所涉及的财务报表和报表附注）；②也可提供2024年或2025年供应商内部的任意1个月财务报表复印件（至少包含资产负债表）；</w:t>
            </w:r>
            <w:r>
              <w:rPr>
                <w:rFonts w:hint="eastAsia" w:ascii="宋体" w:hAnsi="宋体" w:eastAsia="宋体" w:cs="宋体"/>
                <w:color w:val="000000"/>
                <w:kern w:val="0"/>
                <w:sz w:val="24"/>
                <w:highlight w:val="none"/>
                <w:lang w:val="en-US" w:eastAsia="zh-CN"/>
              </w:rPr>
              <w:t>③也可提供距文件递交截止日一年内银行出具的资信证明（复印件）；④供应商注册时间至文件递交截止日不足1年的，也可提供在工商备案的公司章程（复印件）</w:t>
            </w:r>
          </w:p>
          <w:p w14:paraId="0BF451E9">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（3）具有依法缴纳税收和社会保障资金的良好记录；（提供</w:t>
            </w:r>
            <w:r>
              <w:rPr>
                <w:rFonts w:hint="eastAsia" w:ascii="宋体" w:hAnsi="宋体" w:cs="宋体"/>
                <w:color w:val="000000"/>
                <w:kern w:val="0"/>
                <w:sz w:val="24"/>
                <w:highlight w:val="none"/>
                <w:lang w:val="en-US" w:eastAsia="zh-CN"/>
              </w:rPr>
              <w:t>2025年11月至今</w:t>
            </w:r>
            <w:r>
              <w:rPr>
                <w:rFonts w:hint="eastAsia" w:ascii="宋体" w:hAnsi="宋体" w:eastAsia="宋体" w:cs="宋体"/>
                <w:color w:val="000000"/>
                <w:kern w:val="0"/>
                <w:sz w:val="24"/>
                <w:highlight w:val="none"/>
                <w:lang w:val="en-US" w:eastAsia="zh-CN"/>
              </w:rPr>
              <w:t>任意一个月的依法缴纳税收的证明（纳税凭证）复印件，如依法免税的，应提供相应文件证明其依法免税；同时提供</w:t>
            </w:r>
            <w:r>
              <w:rPr>
                <w:rFonts w:hint="eastAsia" w:ascii="宋体" w:hAnsi="宋体" w:cs="宋体"/>
                <w:color w:val="000000"/>
                <w:kern w:val="0"/>
                <w:sz w:val="24"/>
                <w:highlight w:val="none"/>
                <w:lang w:val="en-US" w:eastAsia="zh-CN"/>
              </w:rPr>
              <w:t>2025年11月至今</w:t>
            </w:r>
            <w:r>
              <w:rPr>
                <w:rFonts w:hint="eastAsia" w:ascii="宋体" w:hAnsi="宋体" w:eastAsia="宋体" w:cs="宋体"/>
                <w:color w:val="000000"/>
                <w:kern w:val="0"/>
                <w:sz w:val="24"/>
                <w:highlight w:val="none"/>
                <w:lang w:val="en-US" w:eastAsia="zh-CN"/>
              </w:rPr>
              <w:t>任意一个月的依法缴纳社会保险的证明（缴费凭证）复印件，如依法不需要缴纳社会保障资金的，应提供相应文件证明其依法不需要缴纳社会保障资金）。</w:t>
            </w:r>
          </w:p>
          <w:p w14:paraId="2DFF556A">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（4）</w:t>
            </w:r>
            <w:r>
              <w:rPr>
                <w:rFonts w:hint="eastAsia" w:ascii="宋体" w:hAnsi="宋体" w:cs="宋体"/>
                <w:color w:val="000000"/>
                <w:kern w:val="0"/>
                <w:sz w:val="24"/>
                <w:highlight w:val="none"/>
                <w:lang w:val="en-US" w:eastAsia="zh-CN"/>
              </w:rPr>
              <w:t>具有履行合同所必需的设备和专业技术能力</w:t>
            </w:r>
            <w:r>
              <w:rPr>
                <w:rFonts w:hint="eastAsia" w:ascii="宋体" w:hAnsi="宋体" w:eastAsia="宋体" w:cs="宋体"/>
                <w:color w:val="000000"/>
                <w:kern w:val="0"/>
                <w:sz w:val="24"/>
                <w:highlight w:val="none"/>
                <w:lang w:val="en-US" w:eastAsia="zh-CN"/>
              </w:rPr>
              <w:t>（提供承诺函）；</w:t>
            </w:r>
          </w:p>
          <w:p w14:paraId="4E00800E">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（5）参加政府采购活动前三年内，在经营活动中没有重大违法记录；（提供参加政府采购活动前三年内在经营活动中没有重大违法记录的书面声明）</w:t>
            </w:r>
          </w:p>
          <w:p w14:paraId="21260154">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（6）法律、行政法规规定的其他条件。（提供具备法律、行政法规规定的其他条件的承诺函原件）</w:t>
            </w:r>
          </w:p>
          <w:p w14:paraId="2C28E402">
            <w:pPr>
              <w:widowControl/>
              <w:jc w:val="left"/>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2.</w:t>
            </w:r>
            <w:r>
              <w:rPr>
                <w:rFonts w:hint="eastAsia" w:ascii="宋体" w:hAnsi="宋体" w:eastAsia="宋体" w:cs="宋体"/>
                <w:color w:val="000000"/>
                <w:kern w:val="0"/>
                <w:sz w:val="24"/>
                <w:highlight w:val="none"/>
                <w:lang w:val="en-US" w:eastAsia="zh-CN"/>
              </w:rPr>
              <w:t>法定代表人身份证</w:t>
            </w:r>
            <w:r>
              <w:rPr>
                <w:rFonts w:hint="eastAsia" w:ascii="宋体" w:hAnsi="宋体" w:cs="宋体"/>
                <w:color w:val="000000"/>
                <w:kern w:val="0"/>
                <w:sz w:val="24"/>
                <w:highlight w:val="none"/>
                <w:lang w:val="en-US" w:eastAsia="zh-CN"/>
              </w:rPr>
              <w:t>复印件</w:t>
            </w:r>
            <w:r>
              <w:rPr>
                <w:rFonts w:hint="eastAsia" w:ascii="宋体" w:hAnsi="宋体" w:eastAsia="宋体" w:cs="宋体"/>
                <w:color w:val="000000"/>
                <w:kern w:val="0"/>
                <w:sz w:val="24"/>
                <w:highlight w:val="none"/>
                <w:lang w:val="en-US" w:eastAsia="zh-CN"/>
              </w:rPr>
              <w:t>或法定代表人授权委托书和委托代理人身份证</w:t>
            </w:r>
            <w:r>
              <w:rPr>
                <w:rFonts w:hint="eastAsia" w:ascii="宋体" w:hAnsi="宋体" w:cs="宋体"/>
                <w:color w:val="000000"/>
                <w:kern w:val="0"/>
                <w:sz w:val="24"/>
                <w:highlight w:val="none"/>
                <w:lang w:val="en-US" w:eastAsia="zh-CN"/>
              </w:rPr>
              <w:t>复印件</w:t>
            </w:r>
            <w:r>
              <w:rPr>
                <w:rFonts w:hint="eastAsia" w:ascii="宋体" w:hAnsi="宋体" w:eastAsia="宋体" w:cs="宋体"/>
                <w:color w:val="000000"/>
                <w:kern w:val="0"/>
                <w:sz w:val="24"/>
                <w:highlight w:val="none"/>
                <w:lang w:val="en-US" w:eastAsia="zh-CN"/>
              </w:rPr>
              <w:t>（授权委托书应附上法人和代理人身份证复印件）；</w:t>
            </w:r>
          </w:p>
          <w:p w14:paraId="599B36E5">
            <w:pPr>
              <w:widowControl/>
              <w:jc w:val="left"/>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3.</w:t>
            </w:r>
            <w:r>
              <w:rPr>
                <w:rFonts w:hint="eastAsia" w:ascii="宋体" w:hAnsi="宋体" w:eastAsia="宋体" w:cs="宋体"/>
                <w:color w:val="000000"/>
                <w:kern w:val="0"/>
                <w:sz w:val="24"/>
                <w:highlight w:val="none"/>
                <w:lang w:val="en-US" w:eastAsia="zh-CN"/>
              </w:rPr>
              <w:t>提供《公平竞争承诺书》；</w:t>
            </w:r>
          </w:p>
          <w:p w14:paraId="62B1DA33">
            <w:pPr>
              <w:widowControl/>
              <w:jc w:val="left"/>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4.</w:t>
            </w:r>
            <w:r>
              <w:rPr>
                <w:rFonts w:hint="eastAsia" w:ascii="宋体" w:hAnsi="宋体" w:eastAsia="宋体" w:cs="宋体"/>
                <w:color w:val="000000"/>
                <w:kern w:val="0"/>
                <w:sz w:val="24"/>
                <w:highlight w:val="none"/>
                <w:lang w:val="en-US" w:eastAsia="zh-CN"/>
              </w:rPr>
              <w:t>供应商未被列入失信被执行人、重大税收违法案件当事人名单、政府采购严重违法失信行为记录名单</w:t>
            </w:r>
            <w:r>
              <w:rPr>
                <w:rFonts w:hint="eastAsia" w:ascii="宋体" w:hAnsi="宋体" w:cs="宋体"/>
                <w:color w:val="000000"/>
                <w:kern w:val="0"/>
                <w:sz w:val="24"/>
                <w:highlight w:val="none"/>
                <w:lang w:val="en-US" w:eastAsia="zh-CN"/>
              </w:rPr>
              <w:t>（在</w:t>
            </w:r>
            <w:r>
              <w:rPr>
                <w:rFonts w:hint="eastAsia" w:ascii="宋体" w:hAnsi="宋体" w:eastAsia="宋体" w:cs="宋体"/>
                <w:color w:val="000000"/>
                <w:kern w:val="0"/>
                <w:sz w:val="24"/>
                <w:highlight w:val="none"/>
                <w:lang w:val="en-US" w:eastAsia="zh-CN"/>
              </w:rPr>
              <w:t>处罚决定规定的时间和地域范围内，根据《财政部关于在政府采购活动中查询及使用信用记录有关问题的通知》（财库﹝2016﹞125号）的要求，凡拟参加本次采购项目的供应商，如在“信用中国”网站（ www.creditchina.gov.cn） 被列入失信被执行人、重大税收违法案件当事人名单、中国政府采购网（http://www.ccgp.gov.cn/search/cr/）严重违法失信行为记录名单的（尚在处罚期内的），将拒绝其参加本次招标活动）。</w:t>
            </w:r>
          </w:p>
          <w:p w14:paraId="2EE7450C">
            <w:pPr>
              <w:widowControl/>
              <w:jc w:val="left"/>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5.供应商须为中小微企业（提供中小企业声明函）。</w:t>
            </w:r>
          </w:p>
          <w:p w14:paraId="24845B26">
            <w:pPr>
              <w:widowControl/>
              <w:jc w:val="left"/>
              <w:rPr>
                <w:rFonts w:hint="eastAsia" w:eastAsia="宋体"/>
                <w:highlight w:val="none"/>
                <w:lang w:val="en-US" w:eastAsia="zh-CN"/>
              </w:rPr>
            </w:pPr>
            <w:r>
              <w:rPr>
                <w:rFonts w:hint="eastAsia" w:ascii="宋体" w:hAnsi="宋体" w:cs="宋体"/>
                <w:color w:val="000000"/>
                <w:kern w:val="0"/>
                <w:sz w:val="24"/>
                <w:highlight w:val="none"/>
                <w:lang w:val="en-US" w:eastAsia="zh-CN"/>
              </w:rPr>
              <w:t>6.</w:t>
            </w:r>
            <w:r>
              <w:rPr>
                <w:rFonts w:hint="eastAsia" w:ascii="宋体" w:hAnsi="宋体" w:eastAsia="宋体" w:cs="宋体"/>
                <w:color w:val="000000"/>
                <w:kern w:val="0"/>
                <w:sz w:val="24"/>
                <w:highlight w:val="none"/>
                <w:lang w:val="en-US" w:eastAsia="zh-CN"/>
              </w:rPr>
              <w:t>本项目不接受联合体投标。</w:t>
            </w:r>
          </w:p>
        </w:tc>
      </w:tr>
      <w:tr w14:paraId="6455DA41">
        <w:tblPrEx>
          <w:tblCellMar>
            <w:top w:w="0" w:type="dxa"/>
            <w:left w:w="108" w:type="dxa"/>
            <w:bottom w:w="0" w:type="dxa"/>
            <w:right w:w="108" w:type="dxa"/>
          </w:tblCellMar>
        </w:tblPrEx>
        <w:trPr>
          <w:trHeight w:val="312" w:hRule="atLeast"/>
          <w:jc w:val="center"/>
        </w:trPr>
        <w:tc>
          <w:tcPr>
            <w:tcW w:w="717" w:type="dxa"/>
            <w:vMerge w:val="continue"/>
            <w:tcBorders>
              <w:top w:val="nil"/>
              <w:left w:val="single" w:color="auto" w:sz="4" w:space="0"/>
              <w:bottom w:val="single" w:color="auto" w:sz="4" w:space="0"/>
              <w:right w:val="single" w:color="auto" w:sz="4" w:space="0"/>
            </w:tcBorders>
            <w:noWrap w:val="0"/>
            <w:vAlign w:val="center"/>
          </w:tcPr>
          <w:p w14:paraId="535F57C8">
            <w:pPr>
              <w:widowControl/>
              <w:jc w:val="left"/>
              <w:rPr>
                <w:rFonts w:hint="eastAsia" w:ascii="宋体" w:hAnsi="宋体" w:eastAsia="宋体" w:cs="宋体"/>
                <w:kern w:val="0"/>
                <w:sz w:val="24"/>
                <w:highlight w:val="none"/>
              </w:rPr>
            </w:pPr>
          </w:p>
        </w:tc>
        <w:tc>
          <w:tcPr>
            <w:tcW w:w="1930" w:type="dxa"/>
            <w:vMerge w:val="continue"/>
            <w:tcBorders>
              <w:top w:val="nil"/>
              <w:left w:val="single" w:color="auto" w:sz="4" w:space="0"/>
              <w:bottom w:val="single" w:color="auto" w:sz="4" w:space="0"/>
              <w:right w:val="single" w:color="auto" w:sz="4" w:space="0"/>
            </w:tcBorders>
            <w:noWrap w:val="0"/>
            <w:vAlign w:val="center"/>
          </w:tcPr>
          <w:p w14:paraId="1BA4B185">
            <w:pPr>
              <w:widowControl/>
              <w:jc w:val="center"/>
              <w:rPr>
                <w:rFonts w:hint="eastAsia" w:ascii="宋体" w:hAnsi="宋体" w:eastAsia="宋体" w:cs="宋体"/>
                <w:kern w:val="0"/>
                <w:sz w:val="24"/>
                <w:highlight w:val="none"/>
              </w:rPr>
            </w:pPr>
          </w:p>
        </w:tc>
        <w:tc>
          <w:tcPr>
            <w:tcW w:w="5905" w:type="dxa"/>
            <w:vMerge w:val="continue"/>
            <w:tcBorders>
              <w:top w:val="nil"/>
              <w:left w:val="single" w:color="auto" w:sz="4" w:space="0"/>
              <w:bottom w:val="single" w:color="auto" w:sz="4" w:space="0"/>
              <w:right w:val="single" w:color="auto" w:sz="4" w:space="0"/>
            </w:tcBorders>
            <w:noWrap w:val="0"/>
            <w:vAlign w:val="center"/>
          </w:tcPr>
          <w:p w14:paraId="45AA9969">
            <w:pPr>
              <w:widowControl/>
              <w:jc w:val="left"/>
              <w:rPr>
                <w:rFonts w:hint="eastAsia" w:ascii="宋体" w:hAnsi="宋体" w:eastAsia="宋体" w:cs="宋体"/>
                <w:kern w:val="0"/>
                <w:sz w:val="24"/>
                <w:highlight w:val="none"/>
              </w:rPr>
            </w:pPr>
          </w:p>
        </w:tc>
      </w:tr>
      <w:tr w14:paraId="3FBC38B2">
        <w:tblPrEx>
          <w:tblCellMar>
            <w:top w:w="0" w:type="dxa"/>
            <w:left w:w="108" w:type="dxa"/>
            <w:bottom w:w="0" w:type="dxa"/>
            <w:right w:w="108" w:type="dxa"/>
          </w:tblCellMar>
        </w:tblPrEx>
        <w:trPr>
          <w:trHeight w:val="469"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232B1761">
            <w:pPr>
              <w:widowControl/>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4</w:t>
            </w:r>
          </w:p>
        </w:tc>
        <w:tc>
          <w:tcPr>
            <w:tcW w:w="1930" w:type="dxa"/>
            <w:tcBorders>
              <w:top w:val="single" w:color="auto" w:sz="4" w:space="0"/>
              <w:left w:val="nil"/>
              <w:bottom w:val="single" w:color="auto" w:sz="4" w:space="0"/>
              <w:right w:val="single" w:color="auto" w:sz="4" w:space="0"/>
            </w:tcBorders>
            <w:noWrap w:val="0"/>
            <w:vAlign w:val="center"/>
          </w:tcPr>
          <w:p w14:paraId="42513640">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投标有效期</w:t>
            </w:r>
          </w:p>
          <w:p w14:paraId="05209955">
            <w:pPr>
              <w:widowControl/>
              <w:jc w:val="center"/>
              <w:rPr>
                <w:rFonts w:hint="eastAsia" w:ascii="宋体" w:hAnsi="宋体" w:eastAsia="宋体" w:cs="宋体"/>
                <w:kern w:val="0"/>
                <w:sz w:val="24"/>
                <w:highlight w:val="none"/>
              </w:rPr>
            </w:pPr>
            <w:r>
              <w:rPr>
                <w:rFonts w:hint="eastAsia" w:ascii="宋体" w:hAnsi="宋体" w:eastAsia="宋体" w:cs="宋体"/>
                <w:b/>
                <w:bCs/>
                <w:kern w:val="0"/>
                <w:sz w:val="24"/>
                <w:highlight w:val="none"/>
                <w:lang w:eastAsia="zh-CN"/>
              </w:rPr>
              <w:t>（实质性要求）</w:t>
            </w:r>
          </w:p>
        </w:tc>
        <w:tc>
          <w:tcPr>
            <w:tcW w:w="5905" w:type="dxa"/>
            <w:tcBorders>
              <w:top w:val="single" w:color="auto" w:sz="4" w:space="0"/>
              <w:left w:val="nil"/>
              <w:bottom w:val="single" w:color="auto" w:sz="4" w:space="0"/>
              <w:right w:val="single" w:color="auto" w:sz="4" w:space="0"/>
            </w:tcBorders>
            <w:noWrap w:val="0"/>
            <w:vAlign w:val="center"/>
          </w:tcPr>
          <w:p w14:paraId="749A021D">
            <w:pPr>
              <w:widowControl/>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60日历天</w:t>
            </w:r>
          </w:p>
        </w:tc>
      </w:tr>
      <w:tr w14:paraId="3B76320A">
        <w:tblPrEx>
          <w:tblCellMar>
            <w:top w:w="0" w:type="dxa"/>
            <w:left w:w="108" w:type="dxa"/>
            <w:bottom w:w="0" w:type="dxa"/>
            <w:right w:w="108" w:type="dxa"/>
          </w:tblCellMar>
        </w:tblPrEx>
        <w:trPr>
          <w:trHeight w:val="489" w:hRule="atLeast"/>
          <w:jc w:val="center"/>
        </w:trPr>
        <w:tc>
          <w:tcPr>
            <w:tcW w:w="717" w:type="dxa"/>
            <w:tcBorders>
              <w:top w:val="nil"/>
              <w:left w:val="single" w:color="auto" w:sz="4" w:space="0"/>
              <w:bottom w:val="single" w:color="auto" w:sz="4" w:space="0"/>
              <w:right w:val="single" w:color="auto" w:sz="4" w:space="0"/>
            </w:tcBorders>
            <w:noWrap w:val="0"/>
            <w:vAlign w:val="center"/>
          </w:tcPr>
          <w:p w14:paraId="618A5F22">
            <w:pPr>
              <w:widowControl/>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5</w:t>
            </w:r>
          </w:p>
        </w:tc>
        <w:tc>
          <w:tcPr>
            <w:tcW w:w="1930" w:type="dxa"/>
            <w:tcBorders>
              <w:top w:val="nil"/>
              <w:left w:val="nil"/>
              <w:bottom w:val="single" w:color="auto" w:sz="4" w:space="0"/>
              <w:right w:val="single" w:color="auto" w:sz="4" w:space="0"/>
            </w:tcBorders>
            <w:noWrap w:val="0"/>
            <w:vAlign w:val="center"/>
          </w:tcPr>
          <w:p w14:paraId="22A6657D">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w:t>
            </w:r>
            <w:r>
              <w:rPr>
                <w:rFonts w:hint="eastAsia" w:ascii="宋体" w:hAnsi="宋体" w:eastAsia="宋体" w:cs="宋体"/>
                <w:color w:val="000000"/>
                <w:kern w:val="0"/>
                <w:sz w:val="24"/>
                <w:highlight w:val="none"/>
                <w:lang w:eastAsia="zh-CN"/>
              </w:rPr>
              <w:t>文件</w:t>
            </w:r>
            <w:r>
              <w:rPr>
                <w:rFonts w:hint="eastAsia" w:ascii="宋体" w:hAnsi="宋体" w:eastAsia="宋体" w:cs="宋体"/>
                <w:color w:val="000000"/>
                <w:kern w:val="0"/>
                <w:sz w:val="24"/>
                <w:highlight w:val="none"/>
              </w:rPr>
              <w:t>份数</w:t>
            </w:r>
            <w:r>
              <w:rPr>
                <w:rFonts w:hint="eastAsia" w:ascii="宋体" w:hAnsi="宋体" w:eastAsia="宋体" w:cs="宋体"/>
                <w:b/>
                <w:bCs/>
                <w:kern w:val="0"/>
                <w:sz w:val="24"/>
                <w:highlight w:val="none"/>
                <w:lang w:eastAsia="zh-CN"/>
              </w:rPr>
              <w:t>（实质性要求）</w:t>
            </w:r>
          </w:p>
        </w:tc>
        <w:tc>
          <w:tcPr>
            <w:tcW w:w="5905" w:type="dxa"/>
            <w:tcBorders>
              <w:top w:val="nil"/>
              <w:left w:val="nil"/>
              <w:bottom w:val="single" w:color="auto" w:sz="4" w:space="0"/>
              <w:right w:val="single" w:color="auto" w:sz="4" w:space="0"/>
            </w:tcBorders>
            <w:noWrap w:val="0"/>
            <w:vAlign w:val="center"/>
          </w:tcPr>
          <w:p w14:paraId="09E10D15">
            <w:pPr>
              <w:widowControl/>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eastAsia="zh-CN"/>
              </w:rPr>
              <w:t>1.</w:t>
            </w:r>
            <w:r>
              <w:rPr>
                <w:rFonts w:hint="eastAsia" w:ascii="宋体" w:hAnsi="宋体" w:eastAsia="宋体" w:cs="宋体"/>
                <w:color w:val="000000"/>
                <w:kern w:val="0"/>
                <w:sz w:val="24"/>
                <w:highlight w:val="none"/>
              </w:rPr>
              <w:t>本项目实行网上投标，采用电子投标文件，投标人需要使用CA加密设备，凡参加本项目投标人自行必须办理CA锁。</w:t>
            </w:r>
          </w:p>
          <w:p w14:paraId="1F545B11">
            <w:pPr>
              <w:widowControl/>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注：</w:t>
            </w:r>
          </w:p>
          <w:p w14:paraId="511BF36C">
            <w:pPr>
              <w:widowControl/>
              <w:rPr>
                <w:rFonts w:hint="eastAsia" w:ascii="宋体" w:hAnsi="宋体" w:eastAsia="宋体" w:cs="宋体"/>
                <w:color w:val="000000"/>
                <w:kern w:val="0"/>
                <w:sz w:val="24"/>
                <w:highlight w:val="none"/>
              </w:rPr>
            </w:pPr>
            <w:r>
              <w:rPr>
                <w:rFonts w:hint="eastAsia" w:ascii="宋体" w:hAnsi="宋体" w:cs="宋体"/>
                <w:b/>
                <w:bCs/>
                <w:color w:val="000000"/>
                <w:kern w:val="0"/>
                <w:sz w:val="24"/>
                <w:highlight w:val="none"/>
                <w:lang w:val="en-US" w:eastAsia="zh-CN"/>
              </w:rPr>
              <w:t>2.</w:t>
            </w:r>
            <w:r>
              <w:rPr>
                <w:rFonts w:hint="eastAsia" w:ascii="宋体" w:hAnsi="宋体" w:eastAsia="宋体" w:cs="宋体"/>
                <w:b/>
                <w:bCs/>
                <w:color w:val="000000"/>
                <w:kern w:val="0"/>
                <w:sz w:val="24"/>
                <w:highlight w:val="none"/>
              </w:rPr>
              <w:t>本项目</w:t>
            </w:r>
            <w:r>
              <w:rPr>
                <w:rFonts w:hint="eastAsia" w:ascii="宋体" w:hAnsi="宋体" w:cs="宋体"/>
                <w:b/>
                <w:bCs/>
                <w:color w:val="000000"/>
                <w:kern w:val="0"/>
                <w:sz w:val="24"/>
                <w:highlight w:val="none"/>
                <w:lang w:val="en-US" w:eastAsia="zh-CN"/>
              </w:rPr>
              <w:t>中标</w:t>
            </w:r>
            <w:r>
              <w:rPr>
                <w:rFonts w:hint="eastAsia" w:ascii="宋体" w:hAnsi="宋体" w:eastAsia="宋体" w:cs="宋体"/>
                <w:b/>
                <w:bCs/>
                <w:color w:val="000000"/>
                <w:kern w:val="0"/>
                <w:sz w:val="24"/>
                <w:highlight w:val="none"/>
              </w:rPr>
              <w:t>供应商</w:t>
            </w:r>
            <w:r>
              <w:rPr>
                <w:rFonts w:hint="eastAsia" w:ascii="宋体" w:hAnsi="宋体" w:cs="宋体"/>
                <w:b/>
                <w:bCs/>
                <w:color w:val="000000"/>
                <w:kern w:val="0"/>
                <w:sz w:val="24"/>
                <w:highlight w:val="none"/>
                <w:lang w:eastAsia="zh-CN"/>
              </w:rPr>
              <w:t>须</w:t>
            </w:r>
            <w:r>
              <w:rPr>
                <w:rFonts w:hint="eastAsia" w:ascii="宋体" w:hAnsi="宋体" w:eastAsia="宋体" w:cs="宋体"/>
                <w:b/>
                <w:bCs/>
                <w:color w:val="000000"/>
                <w:kern w:val="0"/>
                <w:sz w:val="24"/>
                <w:highlight w:val="none"/>
              </w:rPr>
              <w:t>在开标后</w:t>
            </w:r>
            <w:r>
              <w:rPr>
                <w:rFonts w:hint="eastAsia" w:ascii="宋体" w:hAnsi="宋体" w:cs="宋体"/>
                <w:b/>
                <w:bCs/>
                <w:color w:val="000000"/>
                <w:kern w:val="0"/>
                <w:sz w:val="24"/>
                <w:highlight w:val="none"/>
                <w:lang w:val="en-US" w:eastAsia="zh-CN"/>
              </w:rPr>
              <w:t>3</w:t>
            </w:r>
            <w:r>
              <w:rPr>
                <w:rFonts w:hint="eastAsia" w:ascii="宋体" w:hAnsi="宋体" w:eastAsia="宋体" w:cs="宋体"/>
                <w:b/>
                <w:bCs/>
                <w:color w:val="000000"/>
                <w:kern w:val="0"/>
                <w:sz w:val="24"/>
                <w:highlight w:val="none"/>
              </w:rPr>
              <w:t>个工作日内递交纸质版投标文件（1正2副）至采购代理机构。响应文件</w:t>
            </w:r>
            <w:r>
              <w:rPr>
                <w:rFonts w:hint="eastAsia" w:ascii="宋体" w:hAnsi="宋体" w:eastAsia="宋体" w:cs="宋体"/>
                <w:b/>
                <w:bCs/>
                <w:color w:val="000000"/>
                <w:kern w:val="0"/>
                <w:sz w:val="24"/>
                <w:highlight w:val="none"/>
                <w:lang w:val="en-US" w:eastAsia="zh-CN"/>
              </w:rPr>
              <w:t>纸质版</w:t>
            </w:r>
            <w:r>
              <w:rPr>
                <w:rFonts w:hint="eastAsia" w:ascii="宋体" w:hAnsi="宋体" w:eastAsia="宋体" w:cs="宋体"/>
                <w:b/>
                <w:bCs/>
                <w:color w:val="000000"/>
                <w:kern w:val="0"/>
                <w:sz w:val="24"/>
                <w:highlight w:val="none"/>
              </w:rPr>
              <w:t>封面应注明“正本</w:t>
            </w:r>
            <w:r>
              <w:rPr>
                <w:rFonts w:hint="eastAsia" w:ascii="宋体" w:hAnsi="宋体" w:cs="宋体"/>
                <w:b/>
                <w:bCs/>
                <w:color w:val="000000"/>
                <w:kern w:val="0"/>
                <w:sz w:val="24"/>
                <w:highlight w:val="none"/>
                <w:lang w:eastAsia="zh-CN"/>
              </w:rPr>
              <w:t>”“</w:t>
            </w:r>
            <w:r>
              <w:rPr>
                <w:rFonts w:hint="eastAsia" w:ascii="宋体" w:hAnsi="宋体" w:eastAsia="宋体" w:cs="宋体"/>
                <w:b/>
                <w:bCs/>
                <w:color w:val="000000"/>
                <w:kern w:val="0"/>
                <w:sz w:val="24"/>
                <w:highlight w:val="none"/>
              </w:rPr>
              <w:t>副本”字样，还应加盖法人公章及</w:t>
            </w:r>
            <w:r>
              <w:rPr>
                <w:rFonts w:hint="eastAsia" w:ascii="宋体" w:hAnsi="宋体" w:eastAsia="宋体" w:cs="宋体"/>
                <w:b/>
                <w:bCs/>
                <w:color w:val="000000"/>
                <w:kern w:val="0"/>
                <w:sz w:val="24"/>
                <w:highlight w:val="none"/>
                <w:lang w:eastAsia="zh-CN"/>
              </w:rPr>
              <w:t>法定代表人</w:t>
            </w:r>
            <w:r>
              <w:rPr>
                <w:rFonts w:hint="eastAsia" w:ascii="宋体" w:hAnsi="宋体" w:eastAsia="宋体" w:cs="宋体"/>
                <w:b/>
                <w:bCs/>
                <w:color w:val="000000"/>
                <w:kern w:val="0"/>
                <w:sz w:val="24"/>
                <w:highlight w:val="none"/>
              </w:rPr>
              <w:t>印章。“正本</w:t>
            </w:r>
            <w:r>
              <w:rPr>
                <w:rFonts w:hint="eastAsia" w:ascii="宋体" w:hAnsi="宋体" w:cs="宋体"/>
                <w:b/>
                <w:bCs/>
                <w:color w:val="000000"/>
                <w:kern w:val="0"/>
                <w:sz w:val="24"/>
                <w:highlight w:val="none"/>
                <w:lang w:eastAsia="zh-CN"/>
              </w:rPr>
              <w:t>”“</w:t>
            </w:r>
            <w:r>
              <w:rPr>
                <w:rFonts w:hint="eastAsia" w:ascii="宋体" w:hAnsi="宋体" w:eastAsia="宋体" w:cs="宋体"/>
                <w:b/>
                <w:bCs/>
                <w:color w:val="000000"/>
                <w:kern w:val="0"/>
                <w:sz w:val="24"/>
                <w:highlight w:val="none"/>
              </w:rPr>
              <w:t>副本”如有不一致时，以正本为准。采用</w:t>
            </w:r>
            <w:r>
              <w:rPr>
                <w:rFonts w:hint="eastAsia" w:ascii="宋体" w:hAnsi="宋体" w:eastAsia="宋体" w:cs="宋体"/>
                <w:b/>
                <w:bCs/>
                <w:color w:val="000000"/>
                <w:kern w:val="0"/>
                <w:sz w:val="24"/>
                <w:highlight w:val="none"/>
                <w:lang w:val="en-US" w:eastAsia="zh-CN"/>
              </w:rPr>
              <w:t>胶装</w:t>
            </w:r>
            <w:r>
              <w:rPr>
                <w:rFonts w:hint="eastAsia" w:ascii="宋体" w:hAnsi="宋体" w:eastAsia="宋体" w:cs="宋体"/>
                <w:b/>
                <w:bCs/>
                <w:color w:val="000000"/>
                <w:kern w:val="0"/>
                <w:sz w:val="24"/>
                <w:highlight w:val="none"/>
              </w:rPr>
              <w:t>方式装订</w:t>
            </w:r>
            <w:r>
              <w:rPr>
                <w:rFonts w:hint="eastAsia" w:ascii="宋体" w:hAnsi="宋体" w:cs="宋体"/>
                <w:b/>
                <w:bCs/>
                <w:color w:val="000000"/>
                <w:kern w:val="0"/>
                <w:sz w:val="24"/>
                <w:highlight w:val="none"/>
                <w:lang w:eastAsia="zh-CN"/>
              </w:rPr>
              <w:t>，</w:t>
            </w:r>
            <w:r>
              <w:rPr>
                <w:rFonts w:hint="eastAsia" w:ascii="宋体" w:hAnsi="宋体" w:eastAsia="宋体" w:cs="宋体"/>
                <w:b/>
                <w:bCs/>
                <w:color w:val="000000"/>
                <w:kern w:val="0"/>
                <w:sz w:val="24"/>
                <w:highlight w:val="none"/>
              </w:rPr>
              <w:t>装订应牢固、不易拆散和换页，不得采用活页装订</w:t>
            </w:r>
            <w:r>
              <w:rPr>
                <w:rFonts w:hint="eastAsia" w:ascii="宋体" w:hAnsi="宋体" w:eastAsia="宋体" w:cs="宋体"/>
                <w:color w:val="000000"/>
                <w:kern w:val="0"/>
                <w:sz w:val="24"/>
                <w:highlight w:val="none"/>
              </w:rPr>
              <w:t>。</w:t>
            </w:r>
          </w:p>
        </w:tc>
      </w:tr>
      <w:tr w14:paraId="76F93A15">
        <w:tblPrEx>
          <w:tblCellMar>
            <w:top w:w="0" w:type="dxa"/>
            <w:left w:w="108" w:type="dxa"/>
            <w:bottom w:w="0" w:type="dxa"/>
            <w:right w:w="108" w:type="dxa"/>
          </w:tblCellMar>
        </w:tblPrEx>
        <w:trPr>
          <w:trHeight w:val="489" w:hRule="atLeast"/>
          <w:jc w:val="center"/>
        </w:trPr>
        <w:tc>
          <w:tcPr>
            <w:tcW w:w="717" w:type="dxa"/>
            <w:tcBorders>
              <w:top w:val="nil"/>
              <w:left w:val="single" w:color="auto" w:sz="4" w:space="0"/>
              <w:bottom w:val="single" w:color="auto" w:sz="4" w:space="0"/>
              <w:right w:val="single" w:color="auto" w:sz="4" w:space="0"/>
            </w:tcBorders>
            <w:noWrap w:val="0"/>
            <w:vAlign w:val="center"/>
          </w:tcPr>
          <w:p w14:paraId="40A81EE6">
            <w:pPr>
              <w:widowControl/>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6</w:t>
            </w:r>
          </w:p>
        </w:tc>
        <w:tc>
          <w:tcPr>
            <w:tcW w:w="1930" w:type="dxa"/>
            <w:tcBorders>
              <w:top w:val="nil"/>
              <w:left w:val="nil"/>
              <w:bottom w:val="single" w:color="auto" w:sz="4" w:space="0"/>
              <w:right w:val="single" w:color="auto" w:sz="4" w:space="0"/>
            </w:tcBorders>
            <w:noWrap w:val="0"/>
            <w:vAlign w:val="center"/>
          </w:tcPr>
          <w:p w14:paraId="67415774">
            <w:pPr>
              <w:pStyle w:val="28"/>
              <w:spacing w:before="74" w:line="400" w:lineRule="exact"/>
              <w:ind w:left="42" w:leftChars="20" w:right="42" w:rightChars="20"/>
              <w:jc w:val="center"/>
              <w:rPr>
                <w:rFonts w:hint="eastAsia" w:ascii="宋体" w:hAnsi="宋体" w:eastAsia="宋体" w:cs="宋体"/>
                <w:color w:val="000000"/>
                <w:kern w:val="0"/>
                <w:sz w:val="24"/>
                <w:highlight w:val="none"/>
              </w:rPr>
            </w:pPr>
            <w:r>
              <w:rPr>
                <w:rFonts w:hint="eastAsia" w:ascii="宋体" w:hAnsi="宋体" w:eastAsia="宋体" w:cs="宋体"/>
                <w:sz w:val="24"/>
                <w:szCs w:val="24"/>
                <w:highlight w:val="none"/>
              </w:rPr>
              <w:t>是否允许递交备选投标方案</w:t>
            </w:r>
          </w:p>
        </w:tc>
        <w:tc>
          <w:tcPr>
            <w:tcW w:w="5905" w:type="dxa"/>
            <w:tcBorders>
              <w:top w:val="nil"/>
              <w:left w:val="nil"/>
              <w:bottom w:val="single" w:color="auto" w:sz="4" w:space="0"/>
              <w:right w:val="single" w:color="auto" w:sz="4" w:space="0"/>
            </w:tcBorders>
            <w:noWrap w:val="0"/>
            <w:vAlign w:val="center"/>
          </w:tcPr>
          <w:p w14:paraId="376CB40E">
            <w:pPr>
              <w:pStyle w:val="28"/>
              <w:spacing w:before="74" w:line="400" w:lineRule="exact"/>
              <w:ind w:left="42" w:leftChars="20" w:right="42" w:rightChars="20"/>
              <w:rPr>
                <w:rFonts w:hint="eastAsia" w:ascii="宋体" w:hAnsi="宋体" w:eastAsia="宋体" w:cs="宋体"/>
                <w:color w:val="000000"/>
                <w:kern w:val="0"/>
                <w:sz w:val="24"/>
                <w:highlight w:val="none"/>
                <w:lang w:val="en-US" w:eastAsia="zh-CN"/>
              </w:rPr>
            </w:pPr>
            <w:r>
              <w:rPr>
                <w:rFonts w:hint="eastAsia" w:ascii="宋体" w:hAnsi="宋体" w:eastAsia="宋体" w:cs="宋体"/>
                <w:kern w:val="2"/>
                <w:sz w:val="24"/>
                <w:szCs w:val="24"/>
                <w:highlight w:val="none"/>
                <w:lang w:val="en-US" w:bidi="ar-SA"/>
              </w:rPr>
              <w:t>不允许</w:t>
            </w:r>
          </w:p>
        </w:tc>
      </w:tr>
      <w:tr w14:paraId="125663E9">
        <w:tblPrEx>
          <w:tblCellMar>
            <w:top w:w="0" w:type="dxa"/>
            <w:left w:w="108" w:type="dxa"/>
            <w:bottom w:w="0" w:type="dxa"/>
            <w:right w:w="108" w:type="dxa"/>
          </w:tblCellMar>
        </w:tblPrEx>
        <w:trPr>
          <w:trHeight w:val="489" w:hRule="atLeast"/>
          <w:jc w:val="center"/>
        </w:trPr>
        <w:tc>
          <w:tcPr>
            <w:tcW w:w="717" w:type="dxa"/>
            <w:tcBorders>
              <w:top w:val="nil"/>
              <w:left w:val="single" w:color="auto" w:sz="4" w:space="0"/>
              <w:bottom w:val="single" w:color="auto" w:sz="4" w:space="0"/>
              <w:right w:val="single" w:color="auto" w:sz="4" w:space="0"/>
            </w:tcBorders>
            <w:noWrap w:val="0"/>
            <w:vAlign w:val="center"/>
          </w:tcPr>
          <w:p w14:paraId="471D51F4">
            <w:pPr>
              <w:widowControl/>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7</w:t>
            </w:r>
          </w:p>
        </w:tc>
        <w:tc>
          <w:tcPr>
            <w:tcW w:w="1930" w:type="dxa"/>
            <w:tcBorders>
              <w:top w:val="nil"/>
              <w:left w:val="nil"/>
              <w:bottom w:val="single" w:color="auto" w:sz="4" w:space="0"/>
              <w:right w:val="single" w:color="auto" w:sz="4" w:space="0"/>
            </w:tcBorders>
            <w:noWrap w:val="0"/>
            <w:vAlign w:val="center"/>
          </w:tcPr>
          <w:p w14:paraId="2D1720FE">
            <w:pPr>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投标截止时间</w:t>
            </w:r>
          </w:p>
        </w:tc>
        <w:tc>
          <w:tcPr>
            <w:tcW w:w="5905" w:type="dxa"/>
            <w:tcBorders>
              <w:top w:val="nil"/>
              <w:left w:val="nil"/>
              <w:bottom w:val="single" w:color="auto" w:sz="4" w:space="0"/>
              <w:right w:val="single" w:color="auto" w:sz="4" w:space="0"/>
            </w:tcBorders>
            <w:noWrap w:val="0"/>
            <w:vAlign w:val="center"/>
          </w:tcPr>
          <w:p w14:paraId="00C0DCA5">
            <w:pPr>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2026年4月27日15:30（北京时间）</w:t>
            </w:r>
          </w:p>
        </w:tc>
      </w:tr>
      <w:tr w14:paraId="51A8DD6A">
        <w:tblPrEx>
          <w:tblCellMar>
            <w:top w:w="0" w:type="dxa"/>
            <w:left w:w="108" w:type="dxa"/>
            <w:bottom w:w="0" w:type="dxa"/>
            <w:right w:w="108" w:type="dxa"/>
          </w:tblCellMar>
        </w:tblPrEx>
        <w:trPr>
          <w:trHeight w:val="489" w:hRule="atLeast"/>
          <w:jc w:val="center"/>
        </w:trPr>
        <w:tc>
          <w:tcPr>
            <w:tcW w:w="717" w:type="dxa"/>
            <w:tcBorders>
              <w:top w:val="nil"/>
              <w:left w:val="single" w:color="auto" w:sz="4" w:space="0"/>
              <w:bottom w:val="single" w:color="auto" w:sz="4" w:space="0"/>
              <w:right w:val="single" w:color="auto" w:sz="4" w:space="0"/>
            </w:tcBorders>
            <w:noWrap w:val="0"/>
            <w:vAlign w:val="center"/>
          </w:tcPr>
          <w:p w14:paraId="5BF40B0B">
            <w:pPr>
              <w:widowControl/>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8</w:t>
            </w:r>
          </w:p>
        </w:tc>
        <w:tc>
          <w:tcPr>
            <w:tcW w:w="1930" w:type="dxa"/>
            <w:tcBorders>
              <w:top w:val="nil"/>
              <w:left w:val="nil"/>
              <w:bottom w:val="single" w:color="auto" w:sz="4" w:space="0"/>
              <w:right w:val="single" w:color="auto" w:sz="4" w:space="0"/>
            </w:tcBorders>
            <w:noWrap w:val="0"/>
            <w:vAlign w:val="center"/>
          </w:tcPr>
          <w:p w14:paraId="03B637E9">
            <w:pPr>
              <w:jc w:val="center"/>
              <w:rPr>
                <w:rFonts w:hint="eastAsia" w:ascii="宋体" w:hAnsi="宋体" w:eastAsia="宋体" w:cs="宋体"/>
                <w:color w:val="000000"/>
                <w:kern w:val="0"/>
                <w:sz w:val="24"/>
                <w:highlight w:val="none"/>
              </w:rPr>
            </w:pPr>
            <w:r>
              <w:rPr>
                <w:rFonts w:hint="eastAsia" w:ascii="宋体" w:hAnsi="宋体" w:eastAsia="宋体" w:cs="宋体"/>
                <w:kern w:val="0"/>
                <w:sz w:val="24"/>
                <w:highlight w:val="none"/>
                <w:lang w:eastAsia="zh-CN"/>
              </w:rPr>
              <w:t>递交投标文件</w:t>
            </w:r>
          </w:p>
        </w:tc>
        <w:tc>
          <w:tcPr>
            <w:tcW w:w="5905" w:type="dxa"/>
            <w:tcBorders>
              <w:top w:val="nil"/>
              <w:left w:val="nil"/>
              <w:bottom w:val="single" w:color="auto" w:sz="4" w:space="0"/>
              <w:right w:val="single" w:color="auto" w:sz="4" w:space="0"/>
            </w:tcBorders>
            <w:noWrap w:val="0"/>
            <w:vAlign w:val="center"/>
          </w:tcPr>
          <w:p w14:paraId="3C638D04">
            <w:pPr>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政采云线上开标大厅（https://www.zcygov.cn在线投标）</w:t>
            </w:r>
          </w:p>
          <w:p w14:paraId="76CB1774">
            <w:pPr>
              <w:jc w:val="left"/>
              <w:rPr>
                <w:rFonts w:hint="eastAsia" w:ascii="宋体" w:hAnsi="宋体" w:eastAsia="宋体" w:cs="宋体"/>
                <w:color w:val="000000"/>
                <w:kern w:val="0"/>
                <w:sz w:val="24"/>
                <w:highlight w:val="none"/>
                <w:lang w:val="en-US" w:eastAsia="zh-CN"/>
              </w:rPr>
            </w:pPr>
            <w:r>
              <w:rPr>
                <w:rFonts w:hint="eastAsia" w:ascii="宋体" w:hAnsi="宋体" w:eastAsia="宋体" w:cs="宋体"/>
                <w:kern w:val="0"/>
                <w:sz w:val="24"/>
                <w:highlight w:val="none"/>
                <w:lang w:val="en-US" w:eastAsia="zh-CN"/>
              </w:rPr>
              <w:t xml:space="preserve">注：投标人需将加密的投标文件上传至政采云平台，开标后30分钟内供应商需在线解密投标文件。                     </w:t>
            </w:r>
          </w:p>
        </w:tc>
      </w:tr>
      <w:tr w14:paraId="2D969E7D">
        <w:tblPrEx>
          <w:tblCellMar>
            <w:top w:w="0" w:type="dxa"/>
            <w:left w:w="108" w:type="dxa"/>
            <w:bottom w:w="0" w:type="dxa"/>
            <w:right w:w="108" w:type="dxa"/>
          </w:tblCellMar>
        </w:tblPrEx>
        <w:trPr>
          <w:trHeight w:val="975"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64D04600">
            <w:pPr>
              <w:widowControl/>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9</w:t>
            </w:r>
          </w:p>
        </w:tc>
        <w:tc>
          <w:tcPr>
            <w:tcW w:w="1930" w:type="dxa"/>
            <w:tcBorders>
              <w:top w:val="single" w:color="auto" w:sz="4" w:space="0"/>
              <w:left w:val="single" w:color="auto" w:sz="4" w:space="0"/>
              <w:bottom w:val="single" w:color="auto" w:sz="4" w:space="0"/>
              <w:right w:val="single" w:color="auto" w:sz="4" w:space="0"/>
            </w:tcBorders>
            <w:noWrap w:val="0"/>
            <w:vAlign w:val="center"/>
          </w:tcPr>
          <w:p w14:paraId="719E3489">
            <w:pPr>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开标时间、地点</w:t>
            </w:r>
            <w:r>
              <w:rPr>
                <w:rFonts w:hint="eastAsia" w:ascii="宋体" w:hAnsi="宋体" w:eastAsia="宋体" w:cs="宋体"/>
                <w:b/>
                <w:bCs/>
                <w:kern w:val="0"/>
                <w:sz w:val="24"/>
                <w:highlight w:val="none"/>
                <w:lang w:eastAsia="zh-CN"/>
              </w:rPr>
              <w:t>（实质性要求）</w:t>
            </w:r>
          </w:p>
        </w:tc>
        <w:tc>
          <w:tcPr>
            <w:tcW w:w="5905" w:type="dxa"/>
            <w:tcBorders>
              <w:top w:val="single" w:color="auto" w:sz="4" w:space="0"/>
              <w:left w:val="nil"/>
              <w:bottom w:val="single" w:color="auto" w:sz="4" w:space="0"/>
              <w:right w:val="single" w:color="auto" w:sz="4" w:space="0"/>
            </w:tcBorders>
            <w:noWrap w:val="0"/>
            <w:vAlign w:val="center"/>
          </w:tcPr>
          <w:p w14:paraId="2B04B0B7">
            <w:pPr>
              <w:jc w:val="left"/>
              <w:rPr>
                <w:rFonts w:hint="eastAsia" w:ascii="宋体" w:hAnsi="宋体" w:eastAsia="宋体" w:cs="宋体"/>
                <w:kern w:val="0"/>
                <w:sz w:val="24"/>
                <w:highlight w:val="none"/>
              </w:rPr>
            </w:pPr>
            <w:r>
              <w:rPr>
                <w:rFonts w:hint="eastAsia" w:ascii="宋体" w:hAnsi="宋体" w:eastAsia="宋体" w:cs="宋体"/>
                <w:kern w:val="0"/>
                <w:sz w:val="24"/>
                <w:highlight w:val="none"/>
              </w:rPr>
              <w:t>开标时间：</w:t>
            </w:r>
            <w:r>
              <w:rPr>
                <w:rFonts w:hint="eastAsia" w:ascii="宋体" w:hAnsi="宋体" w:cs="宋体"/>
                <w:kern w:val="0"/>
                <w:sz w:val="24"/>
                <w:highlight w:val="none"/>
                <w:lang w:eastAsia="zh-CN"/>
              </w:rPr>
              <w:t>2026年4月27日15:30（北京时间）</w:t>
            </w:r>
            <w:r>
              <w:rPr>
                <w:rFonts w:hint="eastAsia" w:ascii="宋体" w:hAnsi="宋体" w:eastAsia="宋体" w:cs="宋体"/>
                <w:kern w:val="0"/>
                <w:sz w:val="24"/>
                <w:highlight w:val="none"/>
              </w:rPr>
              <w:t xml:space="preserve">   </w:t>
            </w:r>
          </w:p>
          <w:p w14:paraId="1C0AD881">
            <w:pPr>
              <w:jc w:val="left"/>
              <w:rPr>
                <w:rFonts w:hint="eastAsia" w:ascii="宋体" w:hAnsi="宋体" w:eastAsia="宋体" w:cs="宋体"/>
                <w:color w:val="FF0000"/>
                <w:kern w:val="0"/>
                <w:sz w:val="24"/>
                <w:highlight w:val="none"/>
                <w:lang w:val="en-US" w:eastAsia="zh-CN"/>
              </w:rPr>
            </w:pPr>
            <w:r>
              <w:rPr>
                <w:rFonts w:hint="eastAsia" w:ascii="宋体" w:hAnsi="宋体" w:eastAsia="宋体" w:cs="宋体"/>
                <w:kern w:val="0"/>
                <w:sz w:val="24"/>
                <w:highlight w:val="none"/>
              </w:rPr>
              <w:t>开标地点：</w:t>
            </w:r>
            <w:r>
              <w:rPr>
                <w:rFonts w:hint="eastAsia" w:ascii="宋体" w:hAnsi="宋体" w:eastAsia="宋体" w:cs="宋体"/>
                <w:kern w:val="0"/>
                <w:sz w:val="24"/>
                <w:highlight w:val="none"/>
                <w:lang w:val="en-US" w:eastAsia="zh-CN"/>
              </w:rPr>
              <w:t>政采云平台（https://www.zcygov.cn/）</w:t>
            </w:r>
          </w:p>
        </w:tc>
      </w:tr>
      <w:tr w14:paraId="0AA87280">
        <w:tblPrEx>
          <w:tblCellMar>
            <w:top w:w="0" w:type="dxa"/>
            <w:left w:w="108" w:type="dxa"/>
            <w:bottom w:w="0" w:type="dxa"/>
            <w:right w:w="108" w:type="dxa"/>
          </w:tblCellMar>
        </w:tblPrEx>
        <w:trPr>
          <w:trHeight w:val="975"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4AD25A36">
            <w:pPr>
              <w:widowControl/>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10</w:t>
            </w:r>
          </w:p>
        </w:tc>
        <w:tc>
          <w:tcPr>
            <w:tcW w:w="1930" w:type="dxa"/>
            <w:tcBorders>
              <w:top w:val="single" w:color="auto" w:sz="4" w:space="0"/>
              <w:left w:val="single" w:color="auto" w:sz="4" w:space="0"/>
              <w:bottom w:val="single" w:color="auto" w:sz="4" w:space="0"/>
              <w:right w:val="single" w:color="auto" w:sz="4" w:space="0"/>
            </w:tcBorders>
            <w:noWrap w:val="0"/>
            <w:vAlign w:val="center"/>
          </w:tcPr>
          <w:p w14:paraId="311DB6E2">
            <w:pPr>
              <w:adjustRightInd w:val="0"/>
              <w:snapToGrid w:val="0"/>
              <w:spacing w:before="120" w:beforeLines="50"/>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评审办法</w:t>
            </w:r>
          </w:p>
        </w:tc>
        <w:tc>
          <w:tcPr>
            <w:tcW w:w="5905" w:type="dxa"/>
            <w:tcBorders>
              <w:top w:val="single" w:color="auto" w:sz="4" w:space="0"/>
              <w:left w:val="nil"/>
              <w:bottom w:val="single" w:color="auto" w:sz="4" w:space="0"/>
              <w:right w:val="single" w:color="auto" w:sz="4" w:space="0"/>
            </w:tcBorders>
            <w:noWrap w:val="0"/>
            <w:vAlign w:val="center"/>
          </w:tcPr>
          <w:p w14:paraId="5E24F5D6">
            <w:pPr>
              <w:adjustRightInd w:val="0"/>
              <w:snapToGrid w:val="0"/>
              <w:spacing w:before="120" w:beforeLines="5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综合评分法，即指投标文件满足磋商文件全部实质性要求且按照评审因素的量化指标评审得分最高的投标人为中标候选人的评标方法。每一投标人的最终得分为所有评委评分的算术平均值。得分相同的，报价较低的一方为中标人。得分且投标报价相同的，</w:t>
            </w:r>
            <w:r>
              <w:rPr>
                <w:rFonts w:hint="eastAsia" w:ascii="宋体" w:hAnsi="宋体" w:eastAsia="宋体" w:cs="宋体"/>
                <w:sz w:val="24"/>
                <w:highlight w:val="none"/>
              </w:rPr>
              <w:t>由技术文件得分高的中标。</w:t>
            </w:r>
          </w:p>
        </w:tc>
      </w:tr>
      <w:tr w14:paraId="689DEE17">
        <w:tblPrEx>
          <w:tblCellMar>
            <w:top w:w="0" w:type="dxa"/>
            <w:left w:w="108" w:type="dxa"/>
            <w:bottom w:w="0" w:type="dxa"/>
            <w:right w:w="108" w:type="dxa"/>
          </w:tblCellMar>
        </w:tblPrEx>
        <w:trPr>
          <w:trHeight w:val="1553"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2E50CE9E">
            <w:pPr>
              <w:widowControl/>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11</w:t>
            </w:r>
          </w:p>
        </w:tc>
        <w:tc>
          <w:tcPr>
            <w:tcW w:w="1930" w:type="dxa"/>
            <w:tcBorders>
              <w:top w:val="single" w:color="auto" w:sz="4" w:space="0"/>
              <w:left w:val="nil"/>
              <w:bottom w:val="single" w:color="auto" w:sz="4" w:space="0"/>
              <w:right w:val="single" w:color="auto" w:sz="4" w:space="0"/>
            </w:tcBorders>
            <w:noWrap w:val="0"/>
            <w:vAlign w:val="center"/>
          </w:tcPr>
          <w:p w14:paraId="081D6EA0">
            <w:pPr>
              <w:adjustRightInd w:val="0"/>
              <w:snapToGrid w:val="0"/>
              <w:spacing w:before="120" w:beforeLines="5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磋商小组的组成</w:t>
            </w:r>
          </w:p>
        </w:tc>
        <w:tc>
          <w:tcPr>
            <w:tcW w:w="5905" w:type="dxa"/>
            <w:tcBorders>
              <w:top w:val="single" w:color="auto" w:sz="4" w:space="0"/>
              <w:left w:val="nil"/>
              <w:bottom w:val="single" w:color="auto" w:sz="4" w:space="0"/>
              <w:right w:val="single" w:color="auto" w:sz="4" w:space="0"/>
            </w:tcBorders>
            <w:noWrap w:val="0"/>
            <w:vAlign w:val="center"/>
          </w:tcPr>
          <w:p w14:paraId="07F5086C">
            <w:pPr>
              <w:adjustRightInd w:val="0"/>
              <w:snapToGrid w:val="0"/>
              <w:spacing w:before="120" w:beforeLines="5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招标采购单位依法组建评标小组，</w:t>
            </w:r>
            <w:r>
              <w:rPr>
                <w:rFonts w:hint="eastAsia" w:ascii="宋体" w:hAnsi="宋体" w:eastAsia="宋体" w:cs="宋体"/>
                <w:kern w:val="0"/>
                <w:sz w:val="24"/>
                <w:highlight w:val="none"/>
                <w:lang w:val="zh-CN" w:eastAsia="zh-CN"/>
              </w:rPr>
              <w:t>由采购人代表和有关专家共三人组成，其中专家的人数不得少于成员总数的三分之二。</w:t>
            </w:r>
          </w:p>
          <w:p w14:paraId="04EBEF22">
            <w:pPr>
              <w:adjustRightInd w:val="0"/>
              <w:snapToGrid w:val="0"/>
              <w:spacing w:before="120" w:beforeLines="5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小组确定方式：在新疆维吾尔自治区政府采购专家库巴州分库中随机抽取。</w:t>
            </w:r>
          </w:p>
        </w:tc>
      </w:tr>
      <w:tr w14:paraId="0AFBDBC8">
        <w:tblPrEx>
          <w:tblCellMar>
            <w:top w:w="0" w:type="dxa"/>
            <w:left w:w="108" w:type="dxa"/>
            <w:bottom w:w="0" w:type="dxa"/>
            <w:right w:w="108" w:type="dxa"/>
          </w:tblCellMar>
        </w:tblPrEx>
        <w:trPr>
          <w:trHeight w:val="1553"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3DE48489">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12</w:t>
            </w:r>
          </w:p>
        </w:tc>
        <w:tc>
          <w:tcPr>
            <w:tcW w:w="1930" w:type="dxa"/>
            <w:tcBorders>
              <w:top w:val="single" w:color="auto" w:sz="4" w:space="0"/>
              <w:left w:val="nil"/>
              <w:bottom w:val="single" w:color="auto" w:sz="4" w:space="0"/>
              <w:right w:val="single" w:color="auto" w:sz="4" w:space="0"/>
            </w:tcBorders>
            <w:noWrap w:val="0"/>
            <w:vAlign w:val="center"/>
          </w:tcPr>
          <w:p w14:paraId="71CC2B16">
            <w:pPr>
              <w:adjustRightInd w:val="0"/>
              <w:snapToGrid w:val="0"/>
              <w:spacing w:before="120" w:beforeLines="5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磋商轮数和最后报价的其他要求</w:t>
            </w:r>
            <w:r>
              <w:rPr>
                <w:rFonts w:hint="eastAsia" w:ascii="宋体" w:hAnsi="宋体" w:eastAsia="宋体" w:cs="宋体"/>
                <w:b/>
                <w:bCs/>
                <w:kern w:val="0"/>
                <w:sz w:val="24"/>
                <w:highlight w:val="none"/>
                <w:lang w:eastAsia="zh-CN"/>
              </w:rPr>
              <w:t>（实质性要求）</w:t>
            </w:r>
          </w:p>
        </w:tc>
        <w:tc>
          <w:tcPr>
            <w:tcW w:w="5905" w:type="dxa"/>
            <w:tcBorders>
              <w:top w:val="single" w:color="auto" w:sz="4" w:space="0"/>
              <w:left w:val="nil"/>
              <w:bottom w:val="single" w:color="auto" w:sz="4" w:space="0"/>
              <w:right w:val="single" w:color="auto" w:sz="4" w:space="0"/>
            </w:tcBorders>
            <w:noWrap w:val="0"/>
            <w:vAlign w:val="center"/>
          </w:tcPr>
          <w:p w14:paraId="67456B70">
            <w:pPr>
              <w:adjustRightInd w:val="0"/>
              <w:snapToGrid w:val="0"/>
              <w:spacing w:before="120" w:beforeLines="50"/>
              <w:rPr>
                <w:rFonts w:hint="eastAsia" w:ascii="宋体" w:hAnsi="宋体" w:eastAsia="宋体" w:cs="宋体"/>
                <w:kern w:val="0"/>
                <w:sz w:val="24"/>
                <w:highlight w:val="none"/>
                <w:lang w:val="zh-CN" w:eastAsia="zh-CN"/>
              </w:rPr>
            </w:pPr>
            <w:r>
              <w:rPr>
                <w:rFonts w:hint="eastAsia" w:ascii="宋体" w:hAnsi="宋体" w:cs="宋体"/>
                <w:kern w:val="0"/>
                <w:sz w:val="24"/>
                <w:highlight w:val="none"/>
                <w:lang w:val="zh-CN" w:eastAsia="zh-CN"/>
              </w:rPr>
              <w:t>1.</w:t>
            </w:r>
            <w:r>
              <w:rPr>
                <w:rFonts w:hint="eastAsia" w:ascii="宋体" w:hAnsi="宋体" w:eastAsia="宋体" w:cs="宋体"/>
                <w:kern w:val="0"/>
                <w:sz w:val="24"/>
                <w:highlight w:val="none"/>
                <w:lang w:val="zh-CN" w:eastAsia="zh-CN"/>
              </w:rPr>
              <w:t>磋商轮数：一轮磋商二次报价（第二次报价为最终报价</w:t>
            </w:r>
            <w:r>
              <w:rPr>
                <w:rFonts w:hint="eastAsia" w:ascii="宋体" w:hAnsi="宋体" w:cs="宋体"/>
                <w:kern w:val="0"/>
                <w:sz w:val="24"/>
                <w:highlight w:val="none"/>
                <w:lang w:val="zh-CN" w:eastAsia="zh-CN"/>
              </w:rPr>
              <w:t>且不得高于第一次报价</w:t>
            </w:r>
            <w:r>
              <w:rPr>
                <w:rFonts w:hint="eastAsia" w:ascii="宋体" w:hAnsi="宋体" w:eastAsia="宋体" w:cs="宋体"/>
                <w:kern w:val="0"/>
                <w:sz w:val="24"/>
                <w:highlight w:val="none"/>
                <w:lang w:val="zh-CN" w:eastAsia="zh-CN"/>
              </w:rPr>
              <w:t>）</w:t>
            </w:r>
          </w:p>
          <w:p w14:paraId="18F2A335">
            <w:pPr>
              <w:adjustRightInd w:val="0"/>
              <w:snapToGrid w:val="0"/>
              <w:spacing w:before="120" w:beforeLines="50"/>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zh-CN" w:eastAsia="zh-CN"/>
              </w:rPr>
              <w:t>2.</w:t>
            </w:r>
            <w:r>
              <w:rPr>
                <w:rFonts w:hint="eastAsia" w:ascii="宋体" w:hAnsi="宋体" w:eastAsia="宋体" w:cs="宋体"/>
                <w:kern w:val="0"/>
                <w:sz w:val="24"/>
                <w:highlight w:val="none"/>
                <w:lang w:val="zh-CN" w:eastAsia="zh-CN"/>
              </w:rPr>
              <w:t>磋商结束后，所有仍在参加磋商的供应商按照磋商小组的要求做最终报价（含修正的响应文件，如有）逐一展示、公布报价，</w:t>
            </w:r>
            <w:r>
              <w:rPr>
                <w:rFonts w:hint="eastAsia" w:ascii="宋体" w:hAnsi="宋体" w:eastAsia="宋体" w:cs="宋体"/>
                <w:kern w:val="0"/>
                <w:sz w:val="24"/>
                <w:highlight w:val="none"/>
                <w:lang w:val="en-US" w:eastAsia="zh-CN"/>
              </w:rPr>
              <w:t>并由供应商代表在政采云上签字确认以示公开。</w:t>
            </w:r>
          </w:p>
        </w:tc>
      </w:tr>
      <w:tr w14:paraId="7E7DCF04">
        <w:tblPrEx>
          <w:tblCellMar>
            <w:top w:w="0" w:type="dxa"/>
            <w:left w:w="108" w:type="dxa"/>
            <w:bottom w:w="0" w:type="dxa"/>
            <w:right w:w="108" w:type="dxa"/>
          </w:tblCellMar>
        </w:tblPrEx>
        <w:trPr>
          <w:trHeight w:val="768"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14A76F7C">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13</w:t>
            </w:r>
          </w:p>
        </w:tc>
        <w:tc>
          <w:tcPr>
            <w:tcW w:w="1930" w:type="dxa"/>
            <w:tcBorders>
              <w:top w:val="single" w:color="auto" w:sz="4" w:space="0"/>
              <w:left w:val="nil"/>
              <w:bottom w:val="single" w:color="auto" w:sz="4" w:space="0"/>
              <w:right w:val="single" w:color="auto" w:sz="4" w:space="0"/>
            </w:tcBorders>
            <w:noWrap w:val="0"/>
            <w:vAlign w:val="center"/>
          </w:tcPr>
          <w:p w14:paraId="1DF54501">
            <w:pPr>
              <w:adjustRightInd w:val="0"/>
              <w:snapToGrid w:val="0"/>
              <w:spacing w:before="120" w:beforeLines="50"/>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en-US" w:eastAsia="zh-CN"/>
              </w:rPr>
              <w:t>现场踏勘</w:t>
            </w:r>
          </w:p>
        </w:tc>
        <w:tc>
          <w:tcPr>
            <w:tcW w:w="5905" w:type="dxa"/>
            <w:tcBorders>
              <w:top w:val="single" w:color="auto" w:sz="4" w:space="0"/>
              <w:left w:val="nil"/>
              <w:bottom w:val="single" w:color="auto" w:sz="4" w:space="0"/>
              <w:right w:val="single" w:color="auto" w:sz="4" w:space="0"/>
            </w:tcBorders>
            <w:noWrap w:val="0"/>
            <w:vAlign w:val="center"/>
          </w:tcPr>
          <w:p w14:paraId="7A6E803A">
            <w:pPr>
              <w:adjustRightInd w:val="0"/>
              <w:snapToGrid w:val="0"/>
              <w:spacing w:before="120" w:beforeLines="5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不组织</w:t>
            </w:r>
            <w:r>
              <w:rPr>
                <w:rFonts w:hint="eastAsia" w:ascii="宋体" w:hAnsi="宋体" w:eastAsia="宋体" w:cs="宋体"/>
                <w:kern w:val="0"/>
                <w:sz w:val="24"/>
                <w:highlight w:val="none"/>
                <w:lang w:val="zh-CN" w:eastAsia="zh-CN"/>
              </w:rPr>
              <w:t>。</w:t>
            </w:r>
          </w:p>
        </w:tc>
      </w:tr>
      <w:tr w14:paraId="6DC189A1">
        <w:tblPrEx>
          <w:tblCellMar>
            <w:top w:w="0" w:type="dxa"/>
            <w:left w:w="108" w:type="dxa"/>
            <w:bottom w:w="0" w:type="dxa"/>
            <w:right w:w="108" w:type="dxa"/>
          </w:tblCellMar>
        </w:tblPrEx>
        <w:trPr>
          <w:trHeight w:val="90"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7A3BF071">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14</w:t>
            </w:r>
          </w:p>
        </w:tc>
        <w:tc>
          <w:tcPr>
            <w:tcW w:w="1930" w:type="dxa"/>
            <w:tcBorders>
              <w:top w:val="single" w:color="auto" w:sz="4" w:space="0"/>
              <w:left w:val="nil"/>
              <w:bottom w:val="single" w:color="auto" w:sz="4" w:space="0"/>
              <w:right w:val="single" w:color="auto" w:sz="4" w:space="0"/>
            </w:tcBorders>
            <w:noWrap w:val="0"/>
            <w:vAlign w:val="center"/>
          </w:tcPr>
          <w:p w14:paraId="665A8853">
            <w:pPr>
              <w:widowControl/>
              <w:jc w:val="center"/>
              <w:rPr>
                <w:rFonts w:hint="eastAsia" w:ascii="宋体" w:hAnsi="宋体" w:eastAsia="宋体" w:cs="宋体"/>
                <w:kern w:val="0"/>
                <w:sz w:val="24"/>
                <w:highlight w:val="none"/>
              </w:rPr>
            </w:pPr>
            <w:r>
              <w:rPr>
                <w:rFonts w:hint="eastAsia" w:ascii="宋体" w:hAnsi="宋体" w:cs="宋体"/>
                <w:kern w:val="0"/>
                <w:sz w:val="24"/>
                <w:highlight w:val="none"/>
                <w:lang w:eastAsia="zh-CN"/>
              </w:rPr>
              <w:t>磋商保证金</w:t>
            </w:r>
            <w:r>
              <w:rPr>
                <w:rFonts w:hint="eastAsia" w:ascii="宋体" w:hAnsi="宋体" w:eastAsia="宋体" w:cs="宋体"/>
                <w:kern w:val="0"/>
                <w:sz w:val="24"/>
                <w:highlight w:val="none"/>
              </w:rPr>
              <w:t>递交方式</w:t>
            </w:r>
            <w:r>
              <w:rPr>
                <w:rFonts w:hint="eastAsia" w:ascii="宋体" w:hAnsi="宋体" w:eastAsia="宋体" w:cs="宋体"/>
                <w:b/>
                <w:bCs/>
                <w:kern w:val="0"/>
                <w:sz w:val="24"/>
                <w:highlight w:val="none"/>
                <w:lang w:eastAsia="zh-CN"/>
              </w:rPr>
              <w:t>（实质性要求）</w:t>
            </w:r>
          </w:p>
        </w:tc>
        <w:tc>
          <w:tcPr>
            <w:tcW w:w="5905" w:type="dxa"/>
            <w:tcBorders>
              <w:top w:val="single" w:color="auto" w:sz="4" w:space="0"/>
              <w:left w:val="nil"/>
              <w:bottom w:val="single" w:color="auto" w:sz="4" w:space="0"/>
              <w:right w:val="single" w:color="auto" w:sz="4" w:space="0"/>
            </w:tcBorders>
            <w:noWrap w:val="0"/>
            <w:vAlign w:val="center"/>
          </w:tcPr>
          <w:p w14:paraId="2C4FBED3">
            <w:pPr>
              <w:widowControl/>
              <w:spacing w:afterAutospacing="0" w:line="24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磋商保证金金额：</w:t>
            </w:r>
            <w:r>
              <w:rPr>
                <w:rFonts w:hint="eastAsia" w:ascii="宋体" w:hAnsi="宋体" w:cs="宋体"/>
                <w:kern w:val="0"/>
                <w:sz w:val="24"/>
                <w:highlight w:val="none"/>
                <w:lang w:val="en-US" w:eastAsia="zh-CN"/>
              </w:rPr>
              <w:t>25000.00元（贰万伍仟元整）</w:t>
            </w:r>
          </w:p>
          <w:p w14:paraId="631C7D1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保证金缴纳方式：本项目保证金供应商自主选择以银行转账（仅支持平台电子保证金）、支票、汇票、本票、保函等非现金形式缴纳。以上方式投标人仅需选择其中一种即可。具体缴纳方式如下：</w:t>
            </w:r>
          </w:p>
          <w:p w14:paraId="707CEF0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一、电子保证金：</w:t>
            </w:r>
          </w:p>
          <w:p w14:paraId="485C7BE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按政采云平台系统自动生成的收款账号信息进行缴纳。具体操作在【保证金管理】页面，选择【电子保证金</w:t>
            </w:r>
            <w:r>
              <w:rPr>
                <w:rFonts w:hint="eastAsia" w:ascii="宋体" w:hAnsi="宋体" w:cs="宋体"/>
                <w:sz w:val="24"/>
                <w:highlight w:val="none"/>
                <w:lang w:eastAsia="zh-CN"/>
              </w:rPr>
              <w:t>（</w:t>
            </w:r>
            <w:r>
              <w:rPr>
                <w:rFonts w:hint="eastAsia" w:ascii="宋体" w:hAnsi="宋体" w:eastAsia="宋体" w:cs="宋体"/>
                <w:sz w:val="24"/>
                <w:highlight w:val="none"/>
              </w:rPr>
              <w:t>在线获取账号</w:t>
            </w:r>
            <w:r>
              <w:rPr>
                <w:rFonts w:hint="eastAsia" w:ascii="宋体" w:hAnsi="宋体" w:cs="宋体"/>
                <w:sz w:val="24"/>
                <w:highlight w:val="none"/>
                <w:lang w:eastAsia="zh-CN"/>
              </w:rPr>
              <w:t>）</w:t>
            </w:r>
            <w:r>
              <w:rPr>
                <w:rFonts w:hint="eastAsia" w:ascii="宋体" w:hAnsi="宋体" w:eastAsia="宋体" w:cs="宋体"/>
                <w:sz w:val="24"/>
                <w:highlight w:val="none"/>
              </w:rPr>
              <w:t>】，点击【新疆保证金平台】，自动从银行获取保证金的收款户名、收款账号、收款银行信息。供应商需将保证金转入获取到的收款账号。</w:t>
            </w:r>
          </w:p>
          <w:p w14:paraId="04954CD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24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二、保函（电子保函、纸质保函）</w:t>
            </w:r>
          </w:p>
          <w:p w14:paraId="2EF0A8B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24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保函推荐使用政采云电子保函，投标人通过政采云平台金融服务页面点击电子保函→立即申请，具体操作详见以下网址：https://jinrong.zcygov.cn/luban/finance/letter/xinjiang?pageModelFlag=650000&amp;utm=luban.luban-PC-42055.959-pc-websitegroup-navBar-front.6.7e243ab01fd611eeaa409fcd72e2594c</w:t>
            </w:r>
          </w:p>
        </w:tc>
      </w:tr>
      <w:tr w14:paraId="6B2E9F27">
        <w:tblPrEx>
          <w:tblCellMar>
            <w:top w:w="0" w:type="dxa"/>
            <w:left w:w="108" w:type="dxa"/>
            <w:bottom w:w="0" w:type="dxa"/>
            <w:right w:w="108" w:type="dxa"/>
          </w:tblCellMar>
        </w:tblPrEx>
        <w:trPr>
          <w:trHeight w:val="241"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74D5B810">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15</w:t>
            </w:r>
          </w:p>
        </w:tc>
        <w:tc>
          <w:tcPr>
            <w:tcW w:w="1930" w:type="dxa"/>
            <w:tcBorders>
              <w:top w:val="single" w:color="auto" w:sz="4" w:space="0"/>
              <w:left w:val="nil"/>
              <w:bottom w:val="single" w:color="auto" w:sz="4" w:space="0"/>
              <w:right w:val="single" w:color="auto" w:sz="4" w:space="0"/>
            </w:tcBorders>
            <w:noWrap w:val="0"/>
            <w:vAlign w:val="center"/>
          </w:tcPr>
          <w:p w14:paraId="3EA150BD">
            <w:pPr>
              <w:widowControl/>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服务期限</w:t>
            </w:r>
          </w:p>
          <w:p w14:paraId="7DF120D2">
            <w:pPr>
              <w:widowControl/>
              <w:jc w:val="center"/>
              <w:rPr>
                <w:rFonts w:hint="eastAsia"/>
                <w:highlight w:val="none"/>
                <w:lang w:eastAsia="zh-CN"/>
              </w:rPr>
            </w:pPr>
            <w:r>
              <w:rPr>
                <w:rFonts w:hint="eastAsia" w:ascii="宋体" w:hAnsi="宋体" w:eastAsia="宋体" w:cs="宋体"/>
                <w:b/>
                <w:bCs/>
                <w:kern w:val="0"/>
                <w:sz w:val="24"/>
                <w:highlight w:val="none"/>
                <w:lang w:eastAsia="zh-CN"/>
              </w:rPr>
              <w:t>（实质性要求）</w:t>
            </w:r>
          </w:p>
        </w:tc>
        <w:tc>
          <w:tcPr>
            <w:tcW w:w="5905" w:type="dxa"/>
            <w:tcBorders>
              <w:top w:val="single" w:color="auto" w:sz="4" w:space="0"/>
              <w:left w:val="nil"/>
              <w:bottom w:val="single" w:color="auto" w:sz="4" w:space="0"/>
              <w:right w:val="single" w:color="auto" w:sz="4" w:space="0"/>
            </w:tcBorders>
            <w:noWrap w:val="0"/>
            <w:vAlign w:val="center"/>
          </w:tcPr>
          <w:p w14:paraId="7CFE0017">
            <w:pPr>
              <w:widowControl/>
              <w:jc w:val="left"/>
              <w:rPr>
                <w:rFonts w:hint="eastAsia" w:ascii="宋体" w:hAnsi="宋体" w:eastAsia="宋体" w:cs="宋体"/>
                <w:kern w:val="0"/>
                <w:sz w:val="24"/>
                <w:highlight w:val="none"/>
              </w:rPr>
            </w:pPr>
            <w:r>
              <w:rPr>
                <w:rFonts w:hint="eastAsia" w:ascii="宋体" w:hAnsi="宋体" w:cs="宋体"/>
                <w:kern w:val="0"/>
                <w:sz w:val="24"/>
                <w:highlight w:val="none"/>
                <w:lang w:val="en-US" w:eastAsia="zh-CN"/>
              </w:rPr>
              <w:t>项目签订合同后，项目工期3个月，需在工期内安装部署及平台上线（包括系统对接与开发、部署调试、装备配备、测试运行等）并完成项目验收，验收合格之日起，开始为期36个月的正式服务及日常运行维护。服务期（运维租赁期）36个月，合同一签三年。（本项目预算金额为三年的预算）</w:t>
            </w:r>
          </w:p>
        </w:tc>
      </w:tr>
      <w:tr w14:paraId="49DBC60E">
        <w:tblPrEx>
          <w:tblCellMar>
            <w:top w:w="0" w:type="dxa"/>
            <w:left w:w="108" w:type="dxa"/>
            <w:bottom w:w="0" w:type="dxa"/>
            <w:right w:w="108" w:type="dxa"/>
          </w:tblCellMar>
        </w:tblPrEx>
        <w:trPr>
          <w:trHeight w:val="1115"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085EC93E">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16</w:t>
            </w:r>
          </w:p>
        </w:tc>
        <w:tc>
          <w:tcPr>
            <w:tcW w:w="1930" w:type="dxa"/>
            <w:tcBorders>
              <w:top w:val="single" w:color="auto" w:sz="4" w:space="0"/>
              <w:left w:val="nil"/>
              <w:bottom w:val="single" w:color="auto" w:sz="4" w:space="0"/>
              <w:right w:val="single" w:color="auto" w:sz="4" w:space="0"/>
            </w:tcBorders>
            <w:noWrap w:val="0"/>
            <w:vAlign w:val="center"/>
          </w:tcPr>
          <w:p w14:paraId="79303446">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质量标准</w:t>
            </w:r>
            <w:r>
              <w:rPr>
                <w:rFonts w:hint="eastAsia" w:ascii="宋体" w:hAnsi="宋体" w:eastAsia="宋体" w:cs="宋体"/>
                <w:b/>
                <w:bCs/>
                <w:kern w:val="0"/>
                <w:sz w:val="24"/>
                <w:highlight w:val="none"/>
                <w:lang w:eastAsia="zh-CN"/>
              </w:rPr>
              <w:t>（实质性要求）</w:t>
            </w:r>
          </w:p>
        </w:tc>
        <w:tc>
          <w:tcPr>
            <w:tcW w:w="5905" w:type="dxa"/>
            <w:tcBorders>
              <w:top w:val="single" w:color="auto" w:sz="4" w:space="0"/>
              <w:left w:val="nil"/>
              <w:bottom w:val="single" w:color="auto" w:sz="4" w:space="0"/>
              <w:right w:val="single" w:color="auto" w:sz="4" w:space="0"/>
            </w:tcBorders>
            <w:noWrap w:val="0"/>
            <w:vAlign w:val="center"/>
          </w:tcPr>
          <w:p w14:paraId="4B6CB8E7">
            <w:pPr>
              <w:widowControl/>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eastAsia="zh-CN"/>
              </w:rPr>
              <w:t>符合国家有关部门颁发的相关技术标准、规范及国家、地方有关规定和要求</w:t>
            </w:r>
          </w:p>
        </w:tc>
      </w:tr>
      <w:tr w14:paraId="4DA152DE">
        <w:tblPrEx>
          <w:tblCellMar>
            <w:top w:w="0" w:type="dxa"/>
            <w:left w:w="108" w:type="dxa"/>
            <w:bottom w:w="0" w:type="dxa"/>
            <w:right w:w="108" w:type="dxa"/>
          </w:tblCellMar>
        </w:tblPrEx>
        <w:trPr>
          <w:trHeight w:val="668"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166B2630">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17</w:t>
            </w:r>
          </w:p>
        </w:tc>
        <w:tc>
          <w:tcPr>
            <w:tcW w:w="1930" w:type="dxa"/>
            <w:tcBorders>
              <w:top w:val="single" w:color="auto" w:sz="4" w:space="0"/>
              <w:left w:val="nil"/>
              <w:bottom w:val="single" w:color="auto" w:sz="4" w:space="0"/>
              <w:right w:val="single" w:color="auto" w:sz="4" w:space="0"/>
            </w:tcBorders>
            <w:noWrap w:val="0"/>
            <w:vAlign w:val="center"/>
          </w:tcPr>
          <w:p w14:paraId="7680B12E">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付款方式</w:t>
            </w:r>
          </w:p>
        </w:tc>
        <w:tc>
          <w:tcPr>
            <w:tcW w:w="5905" w:type="dxa"/>
            <w:tcBorders>
              <w:top w:val="single" w:color="auto" w:sz="4" w:space="0"/>
              <w:left w:val="nil"/>
              <w:bottom w:val="single" w:color="auto" w:sz="4" w:space="0"/>
              <w:right w:val="single" w:color="auto" w:sz="4" w:space="0"/>
            </w:tcBorders>
            <w:noWrap w:val="0"/>
            <w:vAlign w:val="center"/>
          </w:tcPr>
          <w:p w14:paraId="44C0E5BA">
            <w:pPr>
              <w:widowControl/>
              <w:rPr>
                <w:rFonts w:hint="eastAsia" w:ascii="宋体" w:hAnsi="宋体" w:eastAsia="宋体" w:cs="宋体"/>
                <w:highlight w:val="none"/>
                <w:lang w:val="en-US" w:eastAsia="zh-CN"/>
              </w:rPr>
            </w:pPr>
            <w:r>
              <w:rPr>
                <w:rFonts w:hint="eastAsia" w:ascii="宋体" w:hAnsi="宋体" w:cs="宋体"/>
                <w:sz w:val="24"/>
                <w:szCs w:val="32"/>
                <w:highlight w:val="none"/>
                <w:lang w:val="en-US" w:eastAsia="zh-CN"/>
              </w:rPr>
              <w:t>中标方签订合同后，校方在15个工作日内向中标方支付教务管理服务平台、实验实训管理服务平台以及个性化功能定制项目建设总费用的总合同额的20％作为首付款，建设完成并通过验收合格后支付总合同额的40％，于2027年10月前支付总合同额的20％，2028年10月前支付总合同额的20％。</w:t>
            </w:r>
          </w:p>
        </w:tc>
      </w:tr>
      <w:tr w14:paraId="161A67E8">
        <w:tblPrEx>
          <w:tblCellMar>
            <w:top w:w="0" w:type="dxa"/>
            <w:left w:w="108" w:type="dxa"/>
            <w:bottom w:w="0" w:type="dxa"/>
            <w:right w:w="108" w:type="dxa"/>
          </w:tblCellMar>
        </w:tblPrEx>
        <w:trPr>
          <w:trHeight w:val="90"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04C481B8">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18</w:t>
            </w:r>
          </w:p>
        </w:tc>
        <w:tc>
          <w:tcPr>
            <w:tcW w:w="1930" w:type="dxa"/>
            <w:tcBorders>
              <w:top w:val="single" w:color="auto" w:sz="4" w:space="0"/>
              <w:left w:val="nil"/>
              <w:bottom w:val="single" w:color="auto" w:sz="4" w:space="0"/>
              <w:right w:val="single" w:color="auto" w:sz="4" w:space="0"/>
            </w:tcBorders>
            <w:noWrap w:val="0"/>
            <w:vAlign w:val="center"/>
          </w:tcPr>
          <w:p w14:paraId="55114346">
            <w:pPr>
              <w:adjustRightInd w:val="0"/>
              <w:snapToGrid w:val="0"/>
              <w:spacing w:before="120" w:beforeLines="5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需落实的政府采购政策</w:t>
            </w:r>
          </w:p>
        </w:tc>
        <w:tc>
          <w:tcPr>
            <w:tcW w:w="5905" w:type="dxa"/>
            <w:tcBorders>
              <w:top w:val="single" w:color="auto" w:sz="4" w:space="0"/>
              <w:left w:val="nil"/>
              <w:bottom w:val="single" w:color="auto" w:sz="4" w:space="0"/>
              <w:right w:val="single" w:color="auto" w:sz="4" w:space="0"/>
            </w:tcBorders>
            <w:noWrap w:val="0"/>
            <w:vAlign w:val="center"/>
          </w:tcPr>
          <w:p w14:paraId="10ABE67C">
            <w:pPr>
              <w:pStyle w:val="29"/>
              <w:snapToGrid w:val="0"/>
              <w:spacing w:line="288" w:lineRule="auto"/>
              <w:rPr>
                <w:rFonts w:hint="eastAsia" w:ascii="宋体" w:hAnsi="宋体" w:eastAsia="宋体" w:cs="宋体"/>
                <w:color w:val="auto"/>
                <w:szCs w:val="24"/>
                <w:highlight w:val="none"/>
              </w:rPr>
            </w:pPr>
            <w:r>
              <w:rPr>
                <w:rFonts w:hint="eastAsia" w:ascii="宋体" w:hAnsi="宋体" w:cs="宋体"/>
                <w:color w:val="auto"/>
                <w:szCs w:val="24"/>
                <w:highlight w:val="none"/>
                <w:lang w:val="en-US" w:eastAsia="zh-CN"/>
              </w:rPr>
              <w:t>1.</w:t>
            </w:r>
            <w:r>
              <w:rPr>
                <w:rFonts w:hint="eastAsia" w:ascii="宋体" w:hAnsi="宋体" w:eastAsia="宋体" w:cs="宋体"/>
                <w:color w:val="auto"/>
                <w:szCs w:val="24"/>
                <w:highlight w:val="none"/>
              </w:rPr>
              <w:t>所采购产品需符合国家节能环保要求。结合本项目具体情况，根据财政部的相关规定符合政府采购促进中小企业发展政策的</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为小、微型企业，产品有环境标志认证证书或节能标志认证证书的依据规定给予评审优惠。</w:t>
            </w:r>
          </w:p>
          <w:p w14:paraId="6D360A1A">
            <w:pPr>
              <w:pStyle w:val="29"/>
              <w:snapToGrid w:val="0"/>
              <w:spacing w:line="288" w:lineRule="auto"/>
              <w:rPr>
                <w:rFonts w:hint="eastAsia" w:ascii="宋体" w:hAnsi="宋体" w:eastAsia="宋体" w:cs="宋体"/>
                <w:color w:val="auto"/>
                <w:szCs w:val="24"/>
                <w:highlight w:val="none"/>
              </w:rPr>
            </w:pPr>
            <w:r>
              <w:rPr>
                <w:rFonts w:hint="eastAsia" w:ascii="宋体" w:hAnsi="宋体" w:cs="宋体"/>
                <w:color w:val="auto"/>
                <w:szCs w:val="24"/>
                <w:highlight w:val="none"/>
                <w:lang w:eastAsia="zh-CN"/>
              </w:rPr>
              <w:t>2.</w:t>
            </w:r>
            <w:r>
              <w:rPr>
                <w:rFonts w:hint="eastAsia" w:ascii="宋体" w:hAnsi="宋体" w:eastAsia="宋体" w:cs="宋体"/>
                <w:color w:val="auto"/>
                <w:szCs w:val="24"/>
                <w:highlight w:val="none"/>
              </w:rPr>
              <w:t>监狱企业及残疾人福利性单位视同小型、微型企业，享受预留份额、评审中价格扣除等政府采购促进中小企业发展的政府采购政策。</w:t>
            </w:r>
          </w:p>
          <w:p w14:paraId="5CADDACC">
            <w:pPr>
              <w:pStyle w:val="29"/>
              <w:snapToGrid w:val="0"/>
              <w:spacing w:line="288" w:lineRule="auto"/>
              <w:rPr>
                <w:rFonts w:hint="eastAsia" w:ascii="宋体" w:hAnsi="宋体" w:eastAsia="宋体" w:cs="宋体"/>
                <w:color w:val="auto"/>
                <w:szCs w:val="24"/>
                <w:highlight w:val="none"/>
              </w:rPr>
            </w:pPr>
            <w:r>
              <w:rPr>
                <w:rFonts w:hint="eastAsia" w:ascii="宋体" w:hAnsi="宋体" w:cs="宋体"/>
                <w:color w:val="auto"/>
                <w:szCs w:val="24"/>
                <w:highlight w:val="none"/>
                <w:lang w:val="en-US" w:eastAsia="zh-CN"/>
              </w:rPr>
              <w:t>3.</w:t>
            </w:r>
            <w:r>
              <w:rPr>
                <w:rFonts w:hint="eastAsia" w:ascii="宋体" w:hAnsi="宋体" w:eastAsia="宋体" w:cs="宋体"/>
                <w:color w:val="auto"/>
                <w:szCs w:val="24"/>
                <w:highlight w:val="none"/>
              </w:rPr>
              <w:t>中华人民共和国财政部、中华人民共和国工业和信息化部《政府采购促进中小企业发展管理办法》（财库〔2020〕46号）</w:t>
            </w:r>
            <w:r>
              <w:rPr>
                <w:rFonts w:hint="eastAsia" w:ascii="宋体" w:hAnsi="宋体" w:eastAsia="宋体" w:cs="宋体"/>
                <w:color w:val="auto"/>
                <w:szCs w:val="24"/>
                <w:highlight w:val="none"/>
                <w:lang w:eastAsia="zh-CN"/>
              </w:rPr>
              <w:t>、《关于进一步加大政府采购支持中小企业力度的通知》（财库〔2022〕19号）、《关于落实好政府采购支持中小企业发展的通知》（新财购〔2022〕22号）</w:t>
            </w:r>
            <w:r>
              <w:rPr>
                <w:rFonts w:hint="eastAsia" w:ascii="宋体" w:hAnsi="宋体" w:eastAsia="宋体" w:cs="宋体"/>
                <w:color w:val="auto"/>
                <w:szCs w:val="24"/>
                <w:highlight w:val="none"/>
              </w:rPr>
              <w:t>文件的规定。</w:t>
            </w:r>
          </w:p>
          <w:p w14:paraId="60147F3B">
            <w:pPr>
              <w:pStyle w:val="29"/>
              <w:snapToGrid w:val="0"/>
              <w:spacing w:line="288" w:lineRule="auto"/>
              <w:rPr>
                <w:rFonts w:hint="eastAsia" w:ascii="宋体" w:hAnsi="宋体" w:eastAsia="宋体" w:cs="宋体"/>
                <w:color w:val="auto"/>
                <w:szCs w:val="24"/>
                <w:highlight w:val="yellow"/>
                <w:lang w:eastAsia="zh-CN"/>
              </w:rPr>
            </w:pPr>
            <w:r>
              <w:rPr>
                <w:rFonts w:hint="eastAsia" w:ascii="宋体" w:hAnsi="宋体" w:cs="宋体"/>
                <w:color w:val="auto"/>
                <w:szCs w:val="24"/>
                <w:highlight w:val="none"/>
                <w:lang w:val="en-US" w:eastAsia="zh-CN"/>
              </w:rPr>
              <w:t>4.</w:t>
            </w:r>
            <w:r>
              <w:rPr>
                <w:rFonts w:hint="eastAsia" w:ascii="宋体" w:hAnsi="宋体" w:eastAsia="宋体" w:cs="宋体"/>
                <w:color w:val="auto"/>
                <w:szCs w:val="24"/>
                <w:highlight w:val="none"/>
              </w:rPr>
              <w:t>支持中小企业发展：给予小型、微型企业的价格给予</w:t>
            </w:r>
            <w:r>
              <w:rPr>
                <w:rFonts w:hint="eastAsia" w:ascii="宋体" w:hAnsi="宋体" w:cs="宋体"/>
                <w:color w:val="auto"/>
                <w:szCs w:val="24"/>
                <w:highlight w:val="none"/>
                <w:lang w:val="en-US" w:eastAsia="zh-CN"/>
              </w:rPr>
              <w:t>10%-20%</w:t>
            </w:r>
            <w:r>
              <w:rPr>
                <w:rFonts w:hint="eastAsia" w:ascii="宋体" w:hAnsi="宋体" w:eastAsia="宋体" w:cs="宋体"/>
                <w:color w:val="auto"/>
                <w:szCs w:val="24"/>
                <w:highlight w:val="none"/>
              </w:rPr>
              <w:t>的扣除，用扣除后的价格参与评审</w:t>
            </w:r>
            <w:r>
              <w:rPr>
                <w:rFonts w:hint="eastAsia" w:ascii="宋体" w:hAnsi="宋体" w:cs="宋体"/>
                <w:color w:val="auto"/>
                <w:szCs w:val="24"/>
                <w:highlight w:val="none"/>
                <w:lang w:eastAsia="zh-CN"/>
              </w:rPr>
              <w:t>。</w:t>
            </w:r>
          </w:p>
          <w:p w14:paraId="5EFACEC1">
            <w:pPr>
              <w:pStyle w:val="29"/>
              <w:snapToGrid w:val="0"/>
              <w:spacing w:line="288" w:lineRule="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lang w:val="en-US" w:eastAsia="zh-CN"/>
              </w:rPr>
              <w:t>注：专门面向（中小）企业的政府采购项目不再进行价格扣除。</w:t>
            </w:r>
          </w:p>
        </w:tc>
      </w:tr>
      <w:tr w14:paraId="3C3F8BB2">
        <w:tblPrEx>
          <w:tblCellMar>
            <w:top w:w="0" w:type="dxa"/>
            <w:left w:w="108" w:type="dxa"/>
            <w:bottom w:w="0" w:type="dxa"/>
            <w:right w:w="108" w:type="dxa"/>
          </w:tblCellMar>
        </w:tblPrEx>
        <w:trPr>
          <w:trHeight w:val="369"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037B7434">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19</w:t>
            </w:r>
          </w:p>
        </w:tc>
        <w:tc>
          <w:tcPr>
            <w:tcW w:w="1930" w:type="dxa"/>
            <w:tcBorders>
              <w:top w:val="single" w:color="auto" w:sz="4" w:space="0"/>
              <w:left w:val="nil"/>
              <w:bottom w:val="single" w:color="auto" w:sz="4" w:space="0"/>
              <w:right w:val="single" w:color="auto" w:sz="4" w:space="0"/>
            </w:tcBorders>
            <w:noWrap w:val="0"/>
            <w:vAlign w:val="center"/>
          </w:tcPr>
          <w:p w14:paraId="4286B479">
            <w:pPr>
              <w:pStyle w:val="28"/>
              <w:spacing w:before="74" w:line="400" w:lineRule="exact"/>
              <w:ind w:left="42" w:leftChars="20" w:right="42" w:rightChars="20"/>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eastAsia="zh-CN"/>
              </w:rPr>
              <w:t>电子投标注意事项</w:t>
            </w:r>
          </w:p>
        </w:tc>
        <w:tc>
          <w:tcPr>
            <w:tcW w:w="5905" w:type="dxa"/>
            <w:tcBorders>
              <w:top w:val="single" w:color="auto" w:sz="4" w:space="0"/>
              <w:left w:val="nil"/>
              <w:bottom w:val="single" w:color="auto" w:sz="4" w:space="0"/>
              <w:right w:val="single" w:color="auto" w:sz="4" w:space="0"/>
            </w:tcBorders>
            <w:noWrap w:val="0"/>
            <w:vAlign w:val="center"/>
          </w:tcPr>
          <w:p w14:paraId="7FB2FAC2">
            <w:pPr>
              <w:pStyle w:val="28"/>
              <w:numPr>
                <w:ilvl w:val="0"/>
                <w:numId w:val="2"/>
              </w:numPr>
              <w:spacing w:before="74" w:line="360" w:lineRule="auto"/>
              <w:ind w:left="42" w:leftChars="20"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本项目实行网上投标，采用电子投标文件。若投标人参与投标，自行承担投标一切费用。</w:t>
            </w:r>
          </w:p>
          <w:p w14:paraId="0FA9A347">
            <w:pPr>
              <w:pStyle w:val="28"/>
              <w:numPr>
                <w:ilvl w:val="0"/>
                <w:numId w:val="2"/>
              </w:numPr>
              <w:spacing w:before="74" w:line="360" w:lineRule="auto"/>
              <w:ind w:left="42" w:leftChars="20"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cs="宋体"/>
                <w:kern w:val="2"/>
                <w:sz w:val="24"/>
                <w:szCs w:val="24"/>
                <w:highlight w:val="none"/>
                <w:lang w:val="en-US" w:eastAsia="zh-CN" w:bidi="ar-SA"/>
              </w:rPr>
              <w:t>95763</w:t>
            </w:r>
            <w:r>
              <w:rPr>
                <w:rFonts w:hint="eastAsia" w:ascii="宋体" w:hAnsi="宋体" w:eastAsia="宋体" w:cs="宋体"/>
                <w:kern w:val="2"/>
                <w:sz w:val="24"/>
                <w:szCs w:val="24"/>
                <w:highlight w:val="none"/>
                <w:lang w:val="en-US" w:eastAsia="zh-CN" w:bidi="ar-SA"/>
              </w:rPr>
              <w:t>进行咨询。</w:t>
            </w:r>
          </w:p>
          <w:p w14:paraId="0E5451E9">
            <w:pPr>
              <w:pStyle w:val="28"/>
              <w:numPr>
                <w:ilvl w:val="0"/>
                <w:numId w:val="2"/>
              </w:numPr>
              <w:spacing w:before="74" w:line="360" w:lineRule="auto"/>
              <w:ind w:left="42" w:leftChars="20" w:right="42" w:rightChars="20"/>
              <w:rPr>
                <w:rFonts w:hint="eastAsia" w:ascii="宋体" w:hAnsi="宋体" w:eastAsia="宋体" w:cs="宋体"/>
                <w:color w:val="auto"/>
                <w:sz w:val="24"/>
                <w:szCs w:val="24"/>
                <w:highlight w:val="none"/>
              </w:rPr>
            </w:pPr>
            <w:r>
              <w:rPr>
                <w:rFonts w:hint="eastAsia" w:ascii="宋体" w:hAnsi="宋体" w:eastAsia="宋体" w:cs="宋体"/>
                <w:kern w:val="2"/>
                <w:sz w:val="24"/>
                <w:szCs w:val="24"/>
                <w:highlight w:val="none"/>
                <w:lang w:val="en-US" w:eastAsia="zh-CN" w:bidi="ar-SA"/>
              </w:rPr>
              <w:t>各政府采购代理机构（含集采机构）及供应商对不见面开评标系统的技术操作咨询，可通过https://edu.zcygov.cn/luban/xinjiang-e-biding自助查询，也可在政采云帮助中心常见问题解答和操作流程讲解视频中自助查询，网址为：</w:t>
            </w:r>
            <w:r>
              <w:rPr>
                <w:rFonts w:hint="eastAsia" w:ascii="宋体" w:hAnsi="宋体" w:eastAsia="宋体" w:cs="宋体"/>
                <w:color w:val="auto"/>
                <w:kern w:val="2"/>
                <w:sz w:val="24"/>
                <w:szCs w:val="24"/>
                <w:highlight w:val="none"/>
                <w:u w:val="none"/>
                <w:lang w:val="en-US" w:eastAsia="zh-CN" w:bidi="ar-SA"/>
              </w:rPr>
              <w:fldChar w:fldCharType="begin"/>
            </w:r>
            <w:r>
              <w:rPr>
                <w:rFonts w:hint="eastAsia" w:ascii="宋体" w:hAnsi="宋体" w:eastAsia="宋体" w:cs="宋体"/>
                <w:color w:val="auto"/>
                <w:kern w:val="2"/>
                <w:sz w:val="24"/>
                <w:szCs w:val="24"/>
                <w:highlight w:val="none"/>
                <w:u w:val="none"/>
                <w:lang w:val="en-US" w:eastAsia="zh-CN" w:bidi="ar-SA"/>
              </w:rPr>
              <w:instrText xml:space="preserve"> HYPERLINK "https://service.zcygov.cn/#help，\“项目采购\”-\“操作流程-电子招投标\”-\“政府采购项目电子交易管理操作指南-供应商\”版面获取操作指南，同事对自助查询无法解决的问题可通过钉钉群及政采云在线客服获取服务支持。" </w:instrText>
            </w:r>
            <w:r>
              <w:rPr>
                <w:rFonts w:hint="eastAsia" w:ascii="宋体" w:hAnsi="宋体" w:eastAsia="宋体" w:cs="宋体"/>
                <w:color w:val="auto"/>
                <w:kern w:val="2"/>
                <w:sz w:val="24"/>
                <w:szCs w:val="24"/>
                <w:highlight w:val="none"/>
                <w:u w:val="none"/>
                <w:lang w:val="en-US" w:eastAsia="zh-CN" w:bidi="ar-SA"/>
              </w:rPr>
              <w:fldChar w:fldCharType="separate"/>
            </w:r>
            <w:r>
              <w:rPr>
                <w:rStyle w:val="26"/>
                <w:rFonts w:hint="eastAsia" w:ascii="宋体" w:hAnsi="宋体" w:eastAsia="宋体" w:cs="宋体"/>
                <w:color w:val="auto"/>
                <w:kern w:val="2"/>
                <w:sz w:val="24"/>
                <w:szCs w:val="24"/>
                <w:highlight w:val="none"/>
                <w:u w:val="none"/>
                <w:lang w:val="en-US" w:eastAsia="zh-CN" w:bidi="ar-SA"/>
              </w:rPr>
              <w:t>https://service.zcygov.cn/#help，“项目采购”</w:t>
            </w:r>
            <w:r>
              <w:rPr>
                <w:rStyle w:val="26"/>
                <w:rFonts w:hint="eastAsia" w:cs="宋体"/>
                <w:color w:val="auto"/>
                <w:kern w:val="2"/>
                <w:sz w:val="24"/>
                <w:szCs w:val="24"/>
                <w:highlight w:val="none"/>
                <w:u w:val="none"/>
                <w:lang w:val="en-US" w:eastAsia="zh-CN" w:bidi="ar-SA"/>
              </w:rPr>
              <w:t>－</w:t>
            </w:r>
            <w:r>
              <w:rPr>
                <w:rStyle w:val="26"/>
                <w:rFonts w:hint="eastAsia" w:ascii="宋体" w:hAnsi="宋体" w:eastAsia="宋体" w:cs="宋体"/>
                <w:color w:val="auto"/>
                <w:kern w:val="2"/>
                <w:sz w:val="24"/>
                <w:szCs w:val="24"/>
                <w:highlight w:val="none"/>
                <w:u w:val="none"/>
                <w:lang w:val="en-US" w:eastAsia="zh-CN" w:bidi="ar-SA"/>
              </w:rPr>
              <w:t>“操作流程</w:t>
            </w:r>
            <w:r>
              <w:rPr>
                <w:rStyle w:val="26"/>
                <w:rFonts w:hint="eastAsia" w:cs="宋体"/>
                <w:color w:val="auto"/>
                <w:kern w:val="2"/>
                <w:sz w:val="24"/>
                <w:szCs w:val="24"/>
                <w:highlight w:val="none"/>
                <w:u w:val="none"/>
                <w:lang w:val="en-US" w:eastAsia="zh-CN" w:bidi="ar-SA"/>
              </w:rPr>
              <w:t>－</w:t>
            </w:r>
            <w:r>
              <w:rPr>
                <w:rStyle w:val="26"/>
                <w:rFonts w:hint="eastAsia" w:ascii="宋体" w:hAnsi="宋体" w:eastAsia="宋体" w:cs="宋体"/>
                <w:color w:val="auto"/>
                <w:kern w:val="2"/>
                <w:sz w:val="24"/>
                <w:szCs w:val="24"/>
                <w:highlight w:val="none"/>
                <w:u w:val="none"/>
                <w:lang w:val="en-US" w:eastAsia="zh-CN" w:bidi="ar-SA"/>
              </w:rPr>
              <w:t>电子招投标”</w:t>
            </w:r>
            <w:r>
              <w:rPr>
                <w:rStyle w:val="26"/>
                <w:rFonts w:hint="eastAsia" w:cs="宋体"/>
                <w:color w:val="auto"/>
                <w:kern w:val="2"/>
                <w:sz w:val="24"/>
                <w:szCs w:val="24"/>
                <w:highlight w:val="none"/>
                <w:u w:val="none"/>
                <w:lang w:val="en-US" w:eastAsia="zh-CN" w:bidi="ar-SA"/>
              </w:rPr>
              <w:t>－</w:t>
            </w:r>
            <w:r>
              <w:rPr>
                <w:rStyle w:val="26"/>
                <w:rFonts w:hint="eastAsia" w:ascii="宋体" w:hAnsi="宋体" w:eastAsia="宋体" w:cs="宋体"/>
                <w:color w:val="auto"/>
                <w:kern w:val="2"/>
                <w:sz w:val="24"/>
                <w:szCs w:val="24"/>
                <w:highlight w:val="none"/>
                <w:u w:val="none"/>
                <w:lang w:val="en-US" w:eastAsia="zh-CN" w:bidi="ar-SA"/>
              </w:rPr>
              <w:t>“政府采购项目电子交易管理操作指南</w:t>
            </w:r>
            <w:r>
              <w:rPr>
                <w:rStyle w:val="26"/>
                <w:rFonts w:hint="eastAsia" w:cs="宋体"/>
                <w:color w:val="auto"/>
                <w:kern w:val="2"/>
                <w:sz w:val="24"/>
                <w:szCs w:val="24"/>
                <w:highlight w:val="none"/>
                <w:u w:val="none"/>
                <w:lang w:val="en-US" w:eastAsia="zh-CN" w:bidi="ar-SA"/>
              </w:rPr>
              <w:t>－</w:t>
            </w:r>
            <w:r>
              <w:rPr>
                <w:rStyle w:val="26"/>
                <w:rFonts w:hint="eastAsia" w:ascii="宋体" w:hAnsi="宋体" w:eastAsia="宋体" w:cs="宋体"/>
                <w:color w:val="auto"/>
                <w:kern w:val="2"/>
                <w:sz w:val="24"/>
                <w:szCs w:val="24"/>
                <w:highlight w:val="none"/>
                <w:u w:val="none"/>
                <w:lang w:val="en-US" w:eastAsia="zh-CN" w:bidi="ar-SA"/>
              </w:rPr>
              <w:t>供应商”版面获取操作指南，同时对自助查询无法解决的问题可通过钉钉群及政采云在线客服获取服务支持。</w:t>
            </w:r>
            <w:r>
              <w:rPr>
                <w:rFonts w:hint="eastAsia" w:ascii="宋体" w:hAnsi="宋体" w:eastAsia="宋体" w:cs="宋体"/>
                <w:color w:val="auto"/>
                <w:kern w:val="2"/>
                <w:sz w:val="24"/>
                <w:szCs w:val="24"/>
                <w:highlight w:val="none"/>
                <w:u w:val="none"/>
                <w:lang w:val="en-US" w:eastAsia="zh-CN" w:bidi="ar-SA"/>
              </w:rPr>
              <w:fldChar w:fldCharType="end"/>
            </w:r>
          </w:p>
        </w:tc>
      </w:tr>
      <w:tr w14:paraId="63DDDC97">
        <w:tblPrEx>
          <w:tblCellMar>
            <w:top w:w="0" w:type="dxa"/>
            <w:left w:w="108" w:type="dxa"/>
            <w:bottom w:w="0" w:type="dxa"/>
            <w:right w:w="108" w:type="dxa"/>
          </w:tblCellMar>
        </w:tblPrEx>
        <w:trPr>
          <w:trHeight w:val="148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01CC48BA">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20</w:t>
            </w:r>
          </w:p>
        </w:tc>
        <w:tc>
          <w:tcPr>
            <w:tcW w:w="1930" w:type="dxa"/>
            <w:tcBorders>
              <w:top w:val="single" w:color="auto" w:sz="4" w:space="0"/>
              <w:left w:val="nil"/>
              <w:bottom w:val="single" w:color="auto" w:sz="4" w:space="0"/>
              <w:right w:val="single" w:color="auto" w:sz="4" w:space="0"/>
            </w:tcBorders>
            <w:noWrap w:val="0"/>
            <w:vAlign w:val="center"/>
          </w:tcPr>
          <w:p w14:paraId="736B2FDB">
            <w:pPr>
              <w:pStyle w:val="28"/>
              <w:spacing w:before="74" w:line="400" w:lineRule="exact"/>
              <w:ind w:left="42" w:leftChars="20" w:right="42" w:rightChars="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p w14:paraId="6E3991F4">
            <w:pPr>
              <w:pStyle w:val="28"/>
              <w:spacing w:before="74" w:line="400" w:lineRule="exact"/>
              <w:ind w:left="42" w:leftChars="20" w:right="42" w:rightChars="20"/>
              <w:jc w:val="center"/>
              <w:rPr>
                <w:rFonts w:hint="eastAsia" w:ascii="宋体" w:hAnsi="宋体" w:eastAsia="宋体" w:cs="宋体"/>
                <w:sz w:val="24"/>
                <w:szCs w:val="24"/>
                <w:highlight w:val="none"/>
                <w:lang w:eastAsia="zh-CN"/>
              </w:rPr>
            </w:pPr>
          </w:p>
        </w:tc>
        <w:tc>
          <w:tcPr>
            <w:tcW w:w="5905" w:type="dxa"/>
            <w:tcBorders>
              <w:top w:val="single" w:color="auto" w:sz="4" w:space="0"/>
              <w:left w:val="nil"/>
              <w:bottom w:val="single" w:color="auto" w:sz="4" w:space="0"/>
              <w:right w:val="single" w:color="auto" w:sz="4" w:space="0"/>
            </w:tcBorders>
            <w:noWrap w:val="0"/>
            <w:vAlign w:val="center"/>
          </w:tcPr>
          <w:p w14:paraId="6BF25A09">
            <w:pPr>
              <w:pStyle w:val="28"/>
              <w:spacing w:before="74" w:line="400" w:lineRule="exact"/>
              <w:ind w:left="42" w:leftChars="20" w:right="42" w:rightChars="20"/>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要求中标人提交履约保证金：</w:t>
            </w:r>
          </w:p>
          <w:p w14:paraId="0D5480E3">
            <w:pPr>
              <w:pStyle w:val="28"/>
              <w:spacing w:before="74" w:line="400" w:lineRule="exact"/>
              <w:ind w:left="42" w:leftChars="20" w:right="42" w:rightChars="20"/>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形式：</w:t>
            </w:r>
            <w:r>
              <w:rPr>
                <w:rFonts w:hint="eastAsia" w:cs="宋体"/>
                <w:kern w:val="2"/>
                <w:sz w:val="24"/>
                <w:szCs w:val="24"/>
                <w:highlight w:val="none"/>
                <w:lang w:val="en-US" w:eastAsia="zh-CN" w:bidi="ar-SA"/>
              </w:rPr>
              <w:t>保函、</w:t>
            </w:r>
            <w:r>
              <w:rPr>
                <w:rFonts w:hint="eastAsia" w:ascii="宋体" w:hAnsi="宋体" w:eastAsia="宋体" w:cs="宋体"/>
                <w:kern w:val="2"/>
                <w:sz w:val="24"/>
                <w:szCs w:val="24"/>
                <w:highlight w:val="none"/>
                <w:lang w:val="en-US" w:bidi="ar-SA"/>
              </w:rPr>
              <w:t>支票、汇票、本票等非现金形式</w:t>
            </w:r>
          </w:p>
          <w:p w14:paraId="53DEDC38">
            <w:pPr>
              <w:pStyle w:val="28"/>
              <w:spacing w:before="74" w:line="400" w:lineRule="exact"/>
              <w:ind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bidi="ar-SA"/>
              </w:rPr>
              <w:t>金额：中标金额的</w:t>
            </w:r>
            <w:r>
              <w:rPr>
                <w:rFonts w:hint="eastAsia" w:ascii="宋体" w:hAnsi="宋体" w:eastAsia="宋体" w:cs="宋体"/>
                <w:kern w:val="2"/>
                <w:sz w:val="24"/>
                <w:szCs w:val="24"/>
                <w:highlight w:val="none"/>
                <w:u w:val="single"/>
                <w:lang w:val="en-US" w:bidi="ar-SA"/>
              </w:rPr>
              <w:t xml:space="preserve"> </w:t>
            </w:r>
            <w:r>
              <w:rPr>
                <w:rFonts w:hint="eastAsia" w:cs="宋体"/>
                <w:kern w:val="2"/>
                <w:sz w:val="24"/>
                <w:szCs w:val="24"/>
                <w:highlight w:val="none"/>
                <w:u w:val="single"/>
                <w:lang w:val="en-US" w:eastAsia="zh-CN" w:bidi="ar-SA"/>
              </w:rPr>
              <w:t>/</w:t>
            </w:r>
            <w:r>
              <w:rPr>
                <w:rFonts w:hint="eastAsia" w:ascii="宋体" w:hAnsi="宋体" w:eastAsia="宋体" w:cs="宋体"/>
                <w:kern w:val="2"/>
                <w:sz w:val="24"/>
                <w:szCs w:val="24"/>
                <w:highlight w:val="none"/>
                <w:u w:val="single"/>
                <w:lang w:val="en-US" w:bidi="ar-SA"/>
              </w:rPr>
              <w:t xml:space="preserve"> </w:t>
            </w:r>
            <w:r>
              <w:rPr>
                <w:rFonts w:hint="eastAsia" w:ascii="宋体" w:hAnsi="宋体" w:eastAsia="宋体" w:cs="宋体"/>
                <w:kern w:val="2"/>
                <w:sz w:val="24"/>
                <w:szCs w:val="24"/>
                <w:highlight w:val="none"/>
                <w:lang w:val="en-US" w:bidi="ar-SA"/>
              </w:rPr>
              <w:t>%</w:t>
            </w:r>
          </w:p>
        </w:tc>
      </w:tr>
      <w:tr w14:paraId="72A15F1D">
        <w:tblPrEx>
          <w:tblCellMar>
            <w:top w:w="0" w:type="dxa"/>
            <w:left w:w="108" w:type="dxa"/>
            <w:bottom w:w="0" w:type="dxa"/>
            <w:right w:w="108" w:type="dxa"/>
          </w:tblCellMar>
        </w:tblPrEx>
        <w:trPr>
          <w:trHeight w:val="343"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5619C791">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21</w:t>
            </w:r>
          </w:p>
        </w:tc>
        <w:tc>
          <w:tcPr>
            <w:tcW w:w="1930" w:type="dxa"/>
            <w:tcBorders>
              <w:top w:val="single" w:color="auto" w:sz="4" w:space="0"/>
              <w:left w:val="nil"/>
              <w:bottom w:val="single" w:color="auto" w:sz="4" w:space="0"/>
              <w:right w:val="single" w:color="auto" w:sz="4" w:space="0"/>
            </w:tcBorders>
            <w:noWrap w:val="0"/>
            <w:vAlign w:val="center"/>
          </w:tcPr>
          <w:p w14:paraId="50CCD970">
            <w:pPr>
              <w:widowControl/>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代理服务费</w:t>
            </w:r>
          </w:p>
        </w:tc>
        <w:tc>
          <w:tcPr>
            <w:tcW w:w="5905" w:type="dxa"/>
            <w:tcBorders>
              <w:top w:val="single" w:color="auto" w:sz="4" w:space="0"/>
              <w:left w:val="nil"/>
              <w:bottom w:val="single" w:color="auto" w:sz="4" w:space="0"/>
              <w:right w:val="single" w:color="auto" w:sz="4" w:space="0"/>
            </w:tcBorders>
            <w:noWrap w:val="0"/>
            <w:vAlign w:val="center"/>
          </w:tcPr>
          <w:p w14:paraId="1DE8477B">
            <w:pPr>
              <w:pStyle w:val="28"/>
              <w:spacing w:before="74" w:line="360" w:lineRule="auto"/>
              <w:ind w:left="42" w:leftChars="20" w:right="42" w:rightChars="20"/>
              <w:rPr>
                <w:rFonts w:hint="eastAsia" w:ascii="宋体" w:hAnsi="宋体" w:eastAsia="宋体" w:cs="宋体"/>
                <w:sz w:val="24"/>
                <w:highlight w:val="none"/>
                <w:lang w:val="en-US"/>
              </w:rPr>
            </w:pPr>
            <w:r>
              <w:rPr>
                <w:rFonts w:hint="eastAsia" w:ascii="宋体" w:hAnsi="宋体" w:cs="宋体"/>
                <w:sz w:val="24"/>
                <w:szCs w:val="24"/>
                <w:highlight w:val="none"/>
                <w:lang w:val="zh-CN"/>
              </w:rPr>
              <w:t>代理</w:t>
            </w:r>
            <w:r>
              <w:rPr>
                <w:rFonts w:hint="eastAsia" w:ascii="宋体" w:hAnsi="宋体" w:cs="宋体"/>
                <w:sz w:val="24"/>
                <w:szCs w:val="24"/>
                <w:highlight w:val="none"/>
                <w:lang w:val="en-US" w:eastAsia="zh-CN"/>
              </w:rPr>
              <w:t>服务</w:t>
            </w:r>
            <w:r>
              <w:rPr>
                <w:rFonts w:hint="eastAsia" w:ascii="宋体" w:hAnsi="宋体" w:cs="宋体"/>
                <w:sz w:val="24"/>
                <w:szCs w:val="24"/>
                <w:highlight w:val="none"/>
                <w:lang w:val="zh-CN"/>
              </w:rPr>
              <w:t>费由</w:t>
            </w: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lang w:val="zh-CN"/>
              </w:rPr>
              <w:t>支付</w:t>
            </w:r>
            <w:r>
              <w:rPr>
                <w:rFonts w:hint="eastAsia" w:ascii="宋体" w:hAnsi="宋体" w:cs="宋体"/>
                <w:sz w:val="24"/>
                <w:szCs w:val="24"/>
                <w:highlight w:val="none"/>
                <w:lang w:val="zh-CN"/>
              </w:rPr>
              <w:t>：采购代理</w:t>
            </w:r>
            <w:r>
              <w:rPr>
                <w:rFonts w:hint="eastAsia" w:ascii="宋体" w:hAnsi="宋体" w:cs="宋体"/>
                <w:sz w:val="24"/>
                <w:szCs w:val="24"/>
                <w:highlight w:val="none"/>
                <w:lang w:val="en-US" w:eastAsia="zh-CN"/>
              </w:rPr>
              <w:t>服务费参照</w:t>
            </w:r>
            <w:r>
              <w:rPr>
                <w:rFonts w:hint="eastAsia" w:ascii="宋体" w:hAnsi="宋体" w:cs="宋体"/>
                <w:sz w:val="24"/>
                <w:szCs w:val="24"/>
                <w:highlight w:val="none"/>
                <w:lang w:val="zh-CN"/>
              </w:rPr>
              <w:t>计价格</w:t>
            </w:r>
            <w:r>
              <w:rPr>
                <w:rFonts w:hint="eastAsia" w:cs="宋体"/>
                <w:sz w:val="24"/>
                <w:szCs w:val="24"/>
                <w:highlight w:val="none"/>
                <w:lang w:val="zh-CN"/>
              </w:rPr>
              <w:t>〔2015〕299号</w:t>
            </w:r>
            <w:r>
              <w:rPr>
                <w:rFonts w:hint="eastAsia" w:ascii="宋体" w:hAnsi="宋体" w:eastAsia="宋体" w:cs="宋体"/>
                <w:sz w:val="24"/>
                <w:szCs w:val="24"/>
                <w:highlight w:val="none"/>
                <w:lang w:val="zh-CN"/>
              </w:rPr>
              <w:t>文件</w:t>
            </w:r>
            <w:r>
              <w:rPr>
                <w:rFonts w:hint="eastAsia" w:ascii="宋体" w:hAnsi="宋体" w:cs="宋体"/>
                <w:sz w:val="24"/>
                <w:szCs w:val="24"/>
                <w:highlight w:val="none"/>
                <w:lang w:val="zh-CN"/>
              </w:rPr>
              <w:t>计取。</w:t>
            </w:r>
          </w:p>
        </w:tc>
      </w:tr>
      <w:tr w14:paraId="264D8830">
        <w:tblPrEx>
          <w:tblCellMar>
            <w:top w:w="0" w:type="dxa"/>
            <w:left w:w="108" w:type="dxa"/>
            <w:bottom w:w="0" w:type="dxa"/>
            <w:right w:w="108" w:type="dxa"/>
          </w:tblCellMar>
        </w:tblPrEx>
        <w:trPr>
          <w:trHeight w:val="343"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376A81B5">
            <w:pPr>
              <w:widowControl/>
              <w:jc w:val="center"/>
              <w:rPr>
                <w:rFonts w:hint="default" w:ascii="宋体" w:hAnsi="宋体" w:cs="宋体"/>
                <w:kern w:val="0"/>
                <w:sz w:val="24"/>
                <w:highlight w:val="none"/>
                <w:lang w:val="en-US" w:eastAsia="zh-CN"/>
              </w:rPr>
            </w:pPr>
            <w:bookmarkStart w:id="33" w:name="_Toc20291"/>
            <w:bookmarkStart w:id="34" w:name="_Toc1873"/>
            <w:bookmarkStart w:id="35" w:name="_Toc518912731"/>
            <w:bookmarkStart w:id="36" w:name="_Toc498871240"/>
            <w:bookmarkStart w:id="37" w:name="_Toc298829716"/>
            <w:bookmarkStart w:id="38" w:name="_Toc479325588"/>
            <w:bookmarkStart w:id="39" w:name="_Toc364846096"/>
            <w:bookmarkStart w:id="40" w:name="_Toc439679264"/>
            <w:bookmarkStart w:id="41" w:name="_Toc477879836"/>
            <w:bookmarkStart w:id="42" w:name="_Toc438513730"/>
            <w:bookmarkStart w:id="43" w:name="_Toc297209415"/>
            <w:bookmarkStart w:id="44" w:name="_Toc439513441"/>
            <w:bookmarkStart w:id="45" w:name="_Toc498899367"/>
            <w:bookmarkStart w:id="46" w:name="_Toc439513157"/>
            <w:bookmarkStart w:id="47" w:name="_Toc343857022"/>
            <w:bookmarkStart w:id="48" w:name="_Toc494832083"/>
            <w:bookmarkStart w:id="49" w:name="_Toc383124044"/>
            <w:bookmarkStart w:id="50" w:name="_Toc418023329"/>
            <w:bookmarkStart w:id="51" w:name="_Toc414510776"/>
            <w:bookmarkStart w:id="52" w:name="_Toc458635592"/>
            <w:bookmarkStart w:id="53" w:name="_Toc435629788"/>
            <w:bookmarkStart w:id="54" w:name="_Toc416208482"/>
            <w:bookmarkStart w:id="55" w:name="_Toc49135195"/>
            <w:bookmarkStart w:id="56" w:name="_Toc438508593"/>
            <w:bookmarkStart w:id="57" w:name="_Toc479340785"/>
            <w:bookmarkStart w:id="58" w:name="_Toc425347658"/>
            <w:bookmarkStart w:id="59" w:name="_Toc486969375"/>
            <w:bookmarkStart w:id="60" w:name="_Toc298829957"/>
            <w:bookmarkStart w:id="61" w:name="_Toc356489049"/>
            <w:bookmarkStart w:id="62" w:name="_Toc380533806"/>
            <w:bookmarkStart w:id="63" w:name="_Toc298190380"/>
            <w:bookmarkStart w:id="64" w:name="_Toc458980389"/>
            <w:bookmarkStart w:id="65" w:name="_Toc365033702"/>
            <w:bookmarkStart w:id="66" w:name="_Toc470184437"/>
            <w:bookmarkStart w:id="67" w:name="_Toc350417820"/>
            <w:bookmarkStart w:id="68" w:name="_Toc435687345"/>
            <w:bookmarkStart w:id="69" w:name="_Toc438722126"/>
            <w:bookmarkStart w:id="70" w:name="_Toc422865417"/>
            <w:bookmarkStart w:id="71" w:name="_Toc299108386"/>
            <w:bookmarkStart w:id="72" w:name="_Toc435629834"/>
            <w:bookmarkStart w:id="73" w:name="_Toc487044248"/>
            <w:bookmarkStart w:id="74" w:name="_Toc435623750"/>
            <w:bookmarkStart w:id="75" w:name="_Toc422161988"/>
            <w:bookmarkStart w:id="76" w:name="_Toc49082409"/>
            <w:bookmarkStart w:id="77" w:name="_Toc435686976"/>
            <w:bookmarkStart w:id="78" w:name="_Toc298920088"/>
            <w:bookmarkStart w:id="79" w:name="_Toc438641461"/>
            <w:bookmarkStart w:id="80" w:name="_Toc435687271"/>
            <w:r>
              <w:rPr>
                <w:rFonts w:hint="eastAsia" w:ascii="宋体" w:hAnsi="宋体" w:cs="宋体"/>
                <w:kern w:val="0"/>
                <w:sz w:val="24"/>
                <w:highlight w:val="none"/>
                <w:lang w:val="en-US" w:eastAsia="zh-CN"/>
              </w:rPr>
              <w:t>22</w:t>
            </w:r>
          </w:p>
        </w:tc>
        <w:tc>
          <w:tcPr>
            <w:tcW w:w="1930" w:type="dxa"/>
            <w:tcBorders>
              <w:top w:val="single" w:color="auto" w:sz="4" w:space="0"/>
              <w:left w:val="nil"/>
              <w:bottom w:val="single" w:color="auto" w:sz="4" w:space="0"/>
              <w:right w:val="single" w:color="auto" w:sz="4" w:space="0"/>
            </w:tcBorders>
            <w:noWrap w:val="0"/>
            <w:vAlign w:val="center"/>
          </w:tcPr>
          <w:p w14:paraId="58F5A472">
            <w:pPr>
              <w:pStyle w:val="28"/>
              <w:spacing w:before="74" w:line="400" w:lineRule="exact"/>
              <w:ind w:left="42" w:leftChars="20" w:right="42" w:rightChars="20"/>
              <w:jc w:val="center"/>
              <w:rPr>
                <w:rFonts w:hint="eastAsia" w:ascii="宋体" w:hAnsi="宋体" w:eastAsia="宋体" w:cs="宋体"/>
                <w:kern w:val="0"/>
                <w:sz w:val="24"/>
                <w:highlight w:val="none"/>
              </w:rPr>
            </w:pPr>
            <w:r>
              <w:rPr>
                <w:rFonts w:hint="eastAsia" w:ascii="宋体" w:hAnsi="宋体" w:eastAsia="宋体" w:cs="宋体"/>
                <w:b/>
                <w:bCs/>
                <w:kern w:val="2"/>
                <w:sz w:val="24"/>
                <w:szCs w:val="24"/>
                <w:highlight w:val="none"/>
                <w:lang w:val="en-US" w:eastAsia="zh-CN" w:bidi="ar-SA"/>
              </w:rPr>
              <w:t>本项目所属行业</w:t>
            </w:r>
          </w:p>
        </w:tc>
        <w:tc>
          <w:tcPr>
            <w:tcW w:w="5905" w:type="dxa"/>
            <w:tcBorders>
              <w:top w:val="single" w:color="auto" w:sz="4" w:space="0"/>
              <w:left w:val="nil"/>
              <w:bottom w:val="single" w:color="auto" w:sz="4" w:space="0"/>
              <w:right w:val="single" w:color="auto" w:sz="4" w:space="0"/>
            </w:tcBorders>
            <w:noWrap w:val="0"/>
            <w:vAlign w:val="center"/>
          </w:tcPr>
          <w:p w14:paraId="57A88FE5">
            <w:pPr>
              <w:pStyle w:val="28"/>
              <w:spacing w:before="74" w:line="400" w:lineRule="exact"/>
              <w:ind w:left="42" w:leftChars="20" w:right="42" w:rightChars="2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bidi="ar-SA"/>
              </w:rPr>
              <w:t>本项目所属行业为</w:t>
            </w:r>
            <w:r>
              <w:rPr>
                <w:rFonts w:hint="eastAsia" w:ascii="宋体" w:hAnsi="宋体" w:eastAsia="宋体" w:cs="宋体"/>
                <w:kern w:val="2"/>
                <w:sz w:val="24"/>
                <w:szCs w:val="24"/>
                <w:highlight w:val="none"/>
                <w:u w:val="single"/>
                <w:lang w:val="en-US" w:bidi="ar-SA"/>
              </w:rPr>
              <w:t>软件和信息技术服务业</w:t>
            </w:r>
            <w:r>
              <w:rPr>
                <w:rFonts w:hint="eastAsia" w:ascii="宋体" w:hAnsi="宋体" w:eastAsia="宋体" w:cs="宋体"/>
                <w:b w:val="0"/>
                <w:bCs w:val="0"/>
                <w:sz w:val="24"/>
                <w:szCs w:val="24"/>
                <w:highlight w:val="none"/>
                <w:lang w:eastAsia="zh-CN"/>
              </w:rPr>
              <w:t>。</w:t>
            </w:r>
          </w:p>
          <w:p w14:paraId="1D3F6E5A">
            <w:pPr>
              <w:pStyle w:val="28"/>
              <w:spacing w:before="74" w:line="360" w:lineRule="auto"/>
              <w:ind w:left="42" w:leftChars="20" w:right="42" w:rightChars="20"/>
              <w:rPr>
                <w:rFonts w:hint="eastAsia" w:ascii="宋体" w:hAnsi="宋体" w:cs="宋体"/>
                <w:sz w:val="24"/>
                <w:szCs w:val="24"/>
                <w:highlight w:val="none"/>
                <w:lang w:val="zh-CN"/>
              </w:rPr>
            </w:pPr>
            <w:r>
              <w:rPr>
                <w:rFonts w:hint="eastAsia" w:ascii="宋体" w:hAnsi="宋体" w:eastAsia="宋体" w:cs="宋体"/>
                <w:kern w:val="2"/>
                <w:sz w:val="24"/>
                <w:szCs w:val="24"/>
                <w:highlight w:val="none"/>
                <w:lang w:val="en-US" w:bidi="ar-SA"/>
              </w:rPr>
              <w:t>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 公共设施管理业，居民服务、修理和其他服务业，社会工作，文化、体育和娱乐业等）。</w:t>
            </w:r>
          </w:p>
        </w:tc>
      </w:tr>
      <w:tr w14:paraId="02D3744F">
        <w:tblPrEx>
          <w:tblCellMar>
            <w:top w:w="0" w:type="dxa"/>
            <w:left w:w="108" w:type="dxa"/>
            <w:bottom w:w="0" w:type="dxa"/>
            <w:right w:w="108" w:type="dxa"/>
          </w:tblCellMar>
        </w:tblPrEx>
        <w:trPr>
          <w:trHeight w:val="343"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517FB312">
            <w:pPr>
              <w:widowControl/>
              <w:jc w:val="center"/>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23</w:t>
            </w:r>
          </w:p>
        </w:tc>
        <w:tc>
          <w:tcPr>
            <w:tcW w:w="1930" w:type="dxa"/>
            <w:tcBorders>
              <w:top w:val="single" w:color="auto" w:sz="4" w:space="0"/>
              <w:left w:val="nil"/>
              <w:bottom w:val="single" w:color="auto" w:sz="4" w:space="0"/>
              <w:right w:val="single" w:color="auto" w:sz="4" w:space="0"/>
            </w:tcBorders>
            <w:noWrap w:val="0"/>
            <w:vAlign w:val="center"/>
          </w:tcPr>
          <w:p w14:paraId="5DAAEFF2">
            <w:pPr>
              <w:pStyle w:val="28"/>
              <w:spacing w:before="74" w:line="400" w:lineRule="exact"/>
              <w:ind w:left="42" w:leftChars="20" w:right="42" w:rightChars="2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kern w:val="0"/>
                <w:sz w:val="24"/>
                <w:szCs w:val="24"/>
                <w:highlight w:val="none"/>
                <w:lang w:val="en-US" w:eastAsia="zh-CN" w:bidi="ar-SA"/>
              </w:rPr>
              <w:t>政府采购异常低价审查</w:t>
            </w:r>
            <w:r>
              <w:rPr>
                <w:rFonts w:hint="eastAsia" w:ascii="宋体" w:hAnsi="宋体" w:eastAsia="宋体" w:cs="宋体"/>
                <w:b/>
                <w:bCs/>
                <w:sz w:val="24"/>
                <w:szCs w:val="24"/>
                <w:highlight w:val="none"/>
              </w:rPr>
              <w:t>（实质性要求）</w:t>
            </w:r>
          </w:p>
        </w:tc>
        <w:tc>
          <w:tcPr>
            <w:tcW w:w="5905" w:type="dxa"/>
            <w:tcBorders>
              <w:top w:val="single" w:color="auto" w:sz="4" w:space="0"/>
              <w:left w:val="nil"/>
              <w:bottom w:val="single" w:color="auto" w:sz="4" w:space="0"/>
              <w:right w:val="single" w:color="auto" w:sz="4" w:space="0"/>
            </w:tcBorders>
            <w:noWrap w:val="0"/>
            <w:vAlign w:val="center"/>
          </w:tcPr>
          <w:p w14:paraId="70DC2B40">
            <w:pPr>
              <w:pStyle w:val="28"/>
              <w:spacing w:before="74" w:line="400" w:lineRule="exact"/>
              <w:ind w:left="42" w:leftChars="20"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采购人应当在采购文件中明确</w:t>
            </w:r>
            <w:r>
              <w:rPr>
                <w:rFonts w:hint="eastAsia" w:cs="宋体"/>
                <w:kern w:val="2"/>
                <w:sz w:val="24"/>
                <w:szCs w:val="24"/>
                <w:highlight w:val="none"/>
                <w:lang w:val="en-US" w:eastAsia="zh-CN" w:bidi="ar-SA"/>
              </w:rPr>
              <w:t>，在</w:t>
            </w:r>
            <w:r>
              <w:rPr>
                <w:rFonts w:hint="eastAsia" w:ascii="宋体" w:hAnsi="宋体" w:eastAsia="宋体" w:cs="宋体"/>
                <w:kern w:val="2"/>
                <w:sz w:val="24"/>
                <w:szCs w:val="24"/>
                <w:highlight w:val="none"/>
                <w:lang w:val="en-US" w:eastAsia="zh-CN" w:bidi="ar-SA"/>
              </w:rPr>
              <w:t>政府采购评审中出现下列情形之一的，评审委员会应当启动异常低价投标（响应）审查程序：</w:t>
            </w:r>
          </w:p>
          <w:p w14:paraId="4CD4DC83">
            <w:pPr>
              <w:pStyle w:val="28"/>
              <w:spacing w:before="74" w:line="400" w:lineRule="exact"/>
              <w:ind w:left="42" w:leftChars="20" w:right="42" w:rightChars="20"/>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投标（响应）报价低于全部通过符合性审查供应商投标（响应）报价平均值50%的，即投标（响应）报价</w:t>
            </w:r>
            <w:r>
              <w:rPr>
                <w:rFonts w:hint="eastAsia"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全部通过符合性审查供应商投标（响应）报价平均值×50%； </w:t>
            </w:r>
          </w:p>
          <w:p w14:paraId="6E1D03B1">
            <w:pPr>
              <w:pStyle w:val="28"/>
              <w:spacing w:before="74" w:line="400" w:lineRule="exact"/>
              <w:ind w:left="42" w:leftChars="20" w:right="42" w:rightChars="20"/>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投标（响应）报价低于通过符合性审查的次低报价供应商投标（响应）报价50%的，即投标（响应）报价</w:t>
            </w:r>
            <w:r>
              <w:rPr>
                <w:rFonts w:hint="eastAsia"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通过符合性审查的次低报价供应商投标（响应）报价×50%； </w:t>
            </w:r>
          </w:p>
          <w:p w14:paraId="7172F8D5">
            <w:pPr>
              <w:pStyle w:val="28"/>
              <w:spacing w:before="74" w:line="400" w:lineRule="exact"/>
              <w:ind w:left="42" w:leftChars="20" w:right="42" w:rightChars="20"/>
              <w:rPr>
                <w:rFonts w:hint="eastAsia" w:ascii="宋体" w:hAnsi="宋体" w:eastAsia="宋体" w:cs="宋体"/>
                <w:kern w:val="2"/>
                <w:sz w:val="24"/>
                <w:szCs w:val="24"/>
                <w:highlight w:val="none"/>
                <w:lang w:val="en-US" w:eastAsia="zh-CN" w:bidi="ar-SA"/>
              </w:rPr>
            </w:pPr>
            <w:r>
              <w:rPr>
                <w:rFonts w:hint="eastAsia"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投标（响应）报价低于采购项目最高限价45%的，即投标（响应）报价</w:t>
            </w:r>
            <w:r>
              <w:rPr>
                <w:rFonts w:hint="eastAsia"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采购项目最高限价×45%； </w:t>
            </w:r>
          </w:p>
          <w:p w14:paraId="4BB0EB80">
            <w:pPr>
              <w:pStyle w:val="28"/>
              <w:spacing w:before="74" w:line="400" w:lineRule="exact"/>
              <w:ind w:left="42" w:leftChars="20"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4.评审委员会基于专业判断，认为供应商报价过低，有可能影响产品质量或者不能诚信履约的其他情形。</w:t>
            </w:r>
          </w:p>
          <w:p w14:paraId="37B87A40">
            <w:pPr>
              <w:pStyle w:val="28"/>
              <w:spacing w:before="74" w:line="400" w:lineRule="exact"/>
              <w:ind w:left="42" w:leftChars="20"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E9CBE1E">
            <w:pPr>
              <w:pStyle w:val="28"/>
              <w:spacing w:before="74" w:line="400" w:lineRule="exact"/>
              <w:ind w:left="42" w:leftChars="20" w:right="42" w:rightChars="2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7896B182">
        <w:tblPrEx>
          <w:tblCellMar>
            <w:top w:w="0" w:type="dxa"/>
            <w:left w:w="108" w:type="dxa"/>
            <w:bottom w:w="0" w:type="dxa"/>
            <w:right w:w="108" w:type="dxa"/>
          </w:tblCellMar>
        </w:tblPrEx>
        <w:trPr>
          <w:trHeight w:val="343"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481FA084">
            <w:pPr>
              <w:widowControl/>
              <w:jc w:val="center"/>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24</w:t>
            </w:r>
          </w:p>
        </w:tc>
        <w:tc>
          <w:tcPr>
            <w:tcW w:w="1930" w:type="dxa"/>
            <w:tcBorders>
              <w:top w:val="single" w:color="auto" w:sz="4" w:space="0"/>
              <w:left w:val="nil"/>
              <w:bottom w:val="single" w:color="auto" w:sz="4" w:space="0"/>
              <w:right w:val="single" w:color="auto" w:sz="4" w:space="0"/>
            </w:tcBorders>
            <w:noWrap w:val="0"/>
            <w:vAlign w:val="center"/>
          </w:tcPr>
          <w:p w14:paraId="0D2A27A8">
            <w:pPr>
              <w:pStyle w:val="28"/>
              <w:spacing w:before="74" w:line="400" w:lineRule="exact"/>
              <w:ind w:left="42" w:leftChars="20" w:right="42" w:rightChars="2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sz w:val="24"/>
                <w:szCs w:val="24"/>
                <w:highlight w:val="none"/>
              </w:rPr>
              <w:t>实质性要求和条件</w:t>
            </w:r>
          </w:p>
        </w:tc>
        <w:tc>
          <w:tcPr>
            <w:tcW w:w="5905" w:type="dxa"/>
            <w:tcBorders>
              <w:top w:val="single" w:color="auto" w:sz="4" w:space="0"/>
              <w:left w:val="nil"/>
              <w:bottom w:val="single" w:color="auto" w:sz="4" w:space="0"/>
              <w:right w:val="single" w:color="auto" w:sz="4" w:space="0"/>
            </w:tcBorders>
            <w:noWrap w:val="0"/>
            <w:vAlign w:val="center"/>
          </w:tcPr>
          <w:p w14:paraId="397E2885">
            <w:pPr>
              <w:pStyle w:val="28"/>
              <w:spacing w:before="74" w:line="400" w:lineRule="exact"/>
              <w:ind w:left="42" w:leftChars="20" w:right="42" w:rightChars="20"/>
              <w:rPr>
                <w:rFonts w:hint="eastAsia" w:ascii="宋体" w:hAnsi="宋体" w:eastAsia="宋体" w:cs="宋体"/>
                <w:b/>
                <w:bCs/>
                <w:kern w:val="2"/>
                <w:sz w:val="24"/>
                <w:szCs w:val="24"/>
                <w:highlight w:val="none"/>
                <w:lang w:val="en-US" w:bidi="ar-SA"/>
              </w:rPr>
            </w:pPr>
            <w:r>
              <w:rPr>
                <w:rFonts w:hint="eastAsia" w:ascii="宋体" w:hAnsi="宋体" w:eastAsia="宋体" w:cs="宋体"/>
                <w:kern w:val="2"/>
                <w:sz w:val="24"/>
                <w:szCs w:val="24"/>
                <w:highlight w:val="none"/>
                <w:lang w:val="en-US" w:eastAsia="zh-CN" w:bidi="ar-SA"/>
              </w:rPr>
              <w:t>详见全文“</w:t>
            </w:r>
            <w:r>
              <w:rPr>
                <w:rFonts w:hint="eastAsia" w:ascii="宋体" w:cs="宋体"/>
                <w:b/>
                <w:bCs/>
                <w:color w:val="auto"/>
                <w:kern w:val="0"/>
                <w:sz w:val="24"/>
                <w:szCs w:val="24"/>
                <w:highlight w:val="none"/>
                <w:lang w:val="en-US" w:eastAsia="zh-CN"/>
              </w:rPr>
              <w:t>（实质性要求）</w:t>
            </w:r>
            <w:r>
              <w:rPr>
                <w:rFonts w:hint="eastAsia" w:ascii="宋体" w:hAnsi="宋体" w:eastAsia="宋体" w:cs="宋体"/>
                <w:kern w:val="2"/>
                <w:sz w:val="24"/>
                <w:szCs w:val="24"/>
                <w:highlight w:val="none"/>
                <w:lang w:val="en-US" w:eastAsia="zh-CN" w:bidi="ar-SA"/>
              </w:rPr>
              <w:t>”</w:t>
            </w:r>
          </w:p>
        </w:tc>
      </w:tr>
      <w:tr w14:paraId="6362F7D9">
        <w:tblPrEx>
          <w:tblCellMar>
            <w:top w:w="0" w:type="dxa"/>
            <w:left w:w="108" w:type="dxa"/>
            <w:bottom w:w="0" w:type="dxa"/>
            <w:right w:w="108" w:type="dxa"/>
          </w:tblCellMar>
        </w:tblPrEx>
        <w:trPr>
          <w:trHeight w:val="717"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08B56985">
            <w:pPr>
              <w:widowControl/>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25</w:t>
            </w:r>
          </w:p>
        </w:tc>
        <w:tc>
          <w:tcPr>
            <w:tcW w:w="1930" w:type="dxa"/>
            <w:tcBorders>
              <w:top w:val="single" w:color="auto" w:sz="4" w:space="0"/>
              <w:left w:val="nil"/>
              <w:bottom w:val="single" w:color="auto" w:sz="4" w:space="0"/>
              <w:right w:val="single" w:color="auto" w:sz="4" w:space="0"/>
            </w:tcBorders>
            <w:noWrap w:val="0"/>
            <w:vAlign w:val="center"/>
          </w:tcPr>
          <w:p w14:paraId="32E497BC">
            <w:pPr>
              <w:pStyle w:val="28"/>
              <w:spacing w:before="74" w:line="400" w:lineRule="exact"/>
              <w:ind w:left="42" w:leftChars="20" w:right="42" w:rightChars="2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备注</w:t>
            </w:r>
          </w:p>
        </w:tc>
        <w:tc>
          <w:tcPr>
            <w:tcW w:w="5905" w:type="dxa"/>
            <w:tcBorders>
              <w:top w:val="single" w:color="auto" w:sz="4" w:space="0"/>
              <w:left w:val="nil"/>
              <w:bottom w:val="single" w:color="auto" w:sz="4" w:space="0"/>
              <w:right w:val="single" w:color="auto" w:sz="4" w:space="0"/>
            </w:tcBorders>
            <w:noWrap w:val="0"/>
            <w:vAlign w:val="center"/>
          </w:tcPr>
          <w:p w14:paraId="0A70DEBE">
            <w:pPr>
              <w:pStyle w:val="28"/>
              <w:spacing w:before="74" w:line="400" w:lineRule="exact"/>
              <w:ind w:left="42" w:leftChars="20"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解释权：</w:t>
            </w:r>
          </w:p>
          <w:p w14:paraId="1E08B61B">
            <w:pPr>
              <w:pStyle w:val="28"/>
              <w:spacing w:before="74" w:line="400" w:lineRule="exact"/>
              <w:ind w:left="42" w:leftChars="20" w:right="42" w:rightChars="2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构成磋商文件的各个组成文件应互为解释，互为说明；除磋商文件中有特别规定外，按磋商公告、磋商须知、响应文件格式的先后顺序解释；同一组成文件中就同一事项的规定或约定不一致的，以编排顺序在后者为准；按本款前述规定仍不能形成结论的，由采购代理机构和采购人负责解释。</w:t>
            </w:r>
          </w:p>
        </w:tc>
      </w:tr>
    </w:tbl>
    <w:p w14:paraId="6F455D87">
      <w:pPr>
        <w:pStyle w:val="4"/>
        <w:numPr>
          <w:ilvl w:val="0"/>
          <w:numId w:val="3"/>
        </w:numPr>
        <w:tabs>
          <w:tab w:val="left" w:pos="425"/>
          <w:tab w:val="clear" w:pos="147"/>
        </w:tabs>
        <w:ind w:left="4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总体说明</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1DF5D006">
      <w:pPr>
        <w:numPr>
          <w:ilvl w:val="1"/>
          <w:numId w:val="3"/>
        </w:numPr>
        <w:tabs>
          <w:tab w:val="left" w:pos="525"/>
          <w:tab w:val="left" w:pos="567"/>
          <w:tab w:val="left" w:pos="630"/>
          <w:tab w:val="clear" w:pos="289"/>
        </w:tabs>
        <w:spacing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资金来源</w:t>
      </w:r>
    </w:p>
    <w:p w14:paraId="781BA81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州本级配套资金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（已落实）</w:t>
      </w:r>
    </w:p>
    <w:p w14:paraId="28363146">
      <w:pPr>
        <w:numPr>
          <w:ilvl w:val="1"/>
          <w:numId w:val="3"/>
        </w:numPr>
        <w:tabs>
          <w:tab w:val="left" w:pos="525"/>
          <w:tab w:val="left" w:pos="567"/>
          <w:tab w:val="left" w:pos="630"/>
          <w:tab w:val="clear" w:pos="289"/>
        </w:tabs>
        <w:spacing w:line="360" w:lineRule="auto"/>
        <w:ind w:left="567"/>
        <w:outlineLvl w:val="3"/>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适用范围</w:t>
      </w:r>
    </w:p>
    <w:p w14:paraId="08189D00">
      <w:pPr>
        <w:numPr>
          <w:ilvl w:val="2"/>
          <w:numId w:val="3"/>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依据《中华人民共和国政府采购法》等有关政府采购的法律法规制定本须知。</w:t>
      </w:r>
    </w:p>
    <w:p w14:paraId="1DFBDD2B">
      <w:pPr>
        <w:numPr>
          <w:ilvl w:val="2"/>
          <w:numId w:val="3"/>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采购人、采购代理机构、供应商及各方当事人适用本须知。</w:t>
      </w:r>
    </w:p>
    <w:p w14:paraId="3B117C08">
      <w:pPr>
        <w:numPr>
          <w:ilvl w:val="1"/>
          <w:numId w:val="3"/>
        </w:numPr>
        <w:tabs>
          <w:tab w:val="left" w:pos="525"/>
          <w:tab w:val="left" w:pos="567"/>
          <w:tab w:val="left" w:pos="630"/>
          <w:tab w:val="clear" w:pos="289"/>
        </w:tabs>
        <w:spacing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关于定标方式</w:t>
      </w:r>
    </w:p>
    <w:p w14:paraId="287687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本次招标采用</w:t>
      </w:r>
      <w:r>
        <w:rPr>
          <w:rFonts w:hint="eastAsia" w:ascii="宋体" w:hAnsi="宋体" w:eastAsia="宋体" w:cs="宋体"/>
          <w:bCs/>
          <w:color w:val="auto"/>
          <w:sz w:val="24"/>
          <w:szCs w:val="24"/>
          <w:highlight w:val="none"/>
          <w:lang w:eastAsia="zh-CN"/>
        </w:rPr>
        <w:t>二</w:t>
      </w:r>
      <w:r>
        <w:rPr>
          <w:rFonts w:hint="eastAsia" w:ascii="宋体" w:hAnsi="宋体" w:eastAsia="宋体" w:cs="宋体"/>
          <w:bCs/>
          <w:color w:val="auto"/>
          <w:sz w:val="24"/>
          <w:szCs w:val="24"/>
          <w:highlight w:val="none"/>
        </w:rPr>
        <w:t>次报价一次评标定标的方式；</w:t>
      </w:r>
    </w:p>
    <w:p w14:paraId="2B6F4E9A">
      <w:pPr>
        <w:numPr>
          <w:ilvl w:val="1"/>
          <w:numId w:val="3"/>
        </w:numPr>
        <w:tabs>
          <w:tab w:val="left" w:pos="525"/>
          <w:tab w:val="left" w:pos="567"/>
          <w:tab w:val="left" w:pos="630"/>
          <w:tab w:val="clear" w:pos="289"/>
        </w:tabs>
        <w:spacing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定义</w:t>
      </w:r>
    </w:p>
    <w:p w14:paraId="73D5352D">
      <w:pPr>
        <w:numPr>
          <w:ilvl w:val="2"/>
          <w:numId w:val="3"/>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采购人：是指</w:t>
      </w:r>
      <w:r>
        <w:rPr>
          <w:rFonts w:hint="eastAsia" w:ascii="宋体" w:hAnsi="宋体" w:cs="宋体"/>
          <w:color w:val="auto"/>
          <w:sz w:val="24"/>
          <w:szCs w:val="24"/>
          <w:highlight w:val="none"/>
          <w:lang w:eastAsia="zh-CN"/>
        </w:rPr>
        <w:t xml:space="preserve"> 巴音郭楞职业技术学院</w:t>
      </w:r>
      <w:r>
        <w:rPr>
          <w:rFonts w:hint="eastAsia" w:ascii="宋体" w:hAnsi="宋体" w:eastAsia="宋体" w:cs="宋体"/>
          <w:color w:val="auto"/>
          <w:sz w:val="24"/>
          <w:szCs w:val="24"/>
          <w:highlight w:val="none"/>
        </w:rPr>
        <w:t>。</w:t>
      </w:r>
    </w:p>
    <w:p w14:paraId="7C457976">
      <w:pPr>
        <w:numPr>
          <w:ilvl w:val="2"/>
          <w:numId w:val="3"/>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采购代理机构：是指</w:t>
      </w:r>
      <w:r>
        <w:rPr>
          <w:rFonts w:hint="eastAsia" w:ascii="宋体" w:hAnsi="宋体" w:cs="宋体"/>
          <w:color w:val="auto"/>
          <w:sz w:val="24"/>
          <w:szCs w:val="24"/>
          <w:highlight w:val="none"/>
          <w:lang w:eastAsia="zh-CN"/>
        </w:rPr>
        <w:t>新疆众想丰华工程造价咨询有限公司</w:t>
      </w:r>
      <w:r>
        <w:rPr>
          <w:rFonts w:hint="eastAsia" w:ascii="宋体" w:hAnsi="宋体" w:eastAsia="宋体" w:cs="宋体"/>
          <w:color w:val="auto"/>
          <w:sz w:val="24"/>
          <w:szCs w:val="24"/>
          <w:highlight w:val="none"/>
        </w:rPr>
        <w:t>。</w:t>
      </w:r>
    </w:p>
    <w:p w14:paraId="2938B4AD">
      <w:pPr>
        <w:numPr>
          <w:ilvl w:val="2"/>
          <w:numId w:val="3"/>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投标人：是指向采购代理机构提交投标文件的供应商。</w:t>
      </w:r>
    </w:p>
    <w:p w14:paraId="667C1D0C">
      <w:pPr>
        <w:numPr>
          <w:ilvl w:val="2"/>
          <w:numId w:val="3"/>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中标人：是指经合法招、投标程序评选出来的投标人。</w:t>
      </w:r>
    </w:p>
    <w:p w14:paraId="797AEAC5">
      <w:pPr>
        <w:numPr>
          <w:ilvl w:val="2"/>
          <w:numId w:val="3"/>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货物：是指投标人按</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规定，</w:t>
      </w:r>
      <w:r>
        <w:rPr>
          <w:rFonts w:hint="eastAsia" w:ascii="宋体" w:hAnsi="宋体" w:cs="宋体"/>
          <w:color w:val="auto"/>
          <w:sz w:val="24"/>
          <w:szCs w:val="24"/>
          <w:highlight w:val="none"/>
          <w:lang w:eastAsia="zh-CN"/>
        </w:rPr>
        <w:t>需</w:t>
      </w:r>
      <w:r>
        <w:rPr>
          <w:rFonts w:hint="eastAsia" w:ascii="宋体" w:hAnsi="宋体" w:eastAsia="宋体" w:cs="宋体"/>
          <w:color w:val="auto"/>
          <w:sz w:val="24"/>
          <w:szCs w:val="24"/>
          <w:highlight w:val="none"/>
        </w:rPr>
        <w:t>向采购人提供的</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、备件、工具、手册及其它技术资料和材料。</w:t>
      </w:r>
    </w:p>
    <w:p w14:paraId="3B9717C1">
      <w:pPr>
        <w:numPr>
          <w:ilvl w:val="2"/>
          <w:numId w:val="3"/>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服务：是指</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规定投标人须承担的有关服务。</w:t>
      </w:r>
    </w:p>
    <w:p w14:paraId="2C9395BB">
      <w:pPr>
        <w:numPr>
          <w:ilvl w:val="2"/>
          <w:numId w:val="3"/>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实质性响应：是指符合</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的要求、条款、条件和规定，且没有重大偏离或保留。</w:t>
      </w:r>
    </w:p>
    <w:p w14:paraId="358555BB">
      <w:pPr>
        <w:numPr>
          <w:ilvl w:val="2"/>
          <w:numId w:val="3"/>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重大偏离或保留：是指投标文件中影响到</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规定的货物和服务质量或限制了采购人的权利/投标人的义务的规定，而认可该等规定偏离将影响到其他投标人的公平竞争地位。</w:t>
      </w:r>
    </w:p>
    <w:p w14:paraId="5798F339">
      <w:pPr>
        <w:numPr>
          <w:ilvl w:val="2"/>
          <w:numId w:val="3"/>
        </w:numPr>
        <w:tabs>
          <w:tab w:val="left" w:pos="624"/>
          <w:tab w:val="left" w:pos="840"/>
          <w:tab w:val="clear" w:pos="1050"/>
        </w:tabs>
        <w:spacing w:line="360" w:lineRule="auto"/>
        <w:ind w:left="840" w:hanging="84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：指投标人按照本</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规定向采购代理机构或采购人提交的款项。采购代理机构或者采购人因投标人的行为而蒙受损失之时，采购代理机构和采购人可根据规定予以没收的款项。</w:t>
      </w:r>
    </w:p>
    <w:p w14:paraId="6D729630">
      <w:pPr>
        <w:numPr>
          <w:ilvl w:val="2"/>
          <w:numId w:val="3"/>
        </w:numPr>
        <w:tabs>
          <w:tab w:val="left" w:pos="624"/>
          <w:tab w:val="left" w:pos="840"/>
          <w:tab w:val="clear" w:pos="1050"/>
        </w:tabs>
        <w:spacing w:line="360" w:lineRule="auto"/>
        <w:ind w:left="840" w:hanging="8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合同期、</w:t>
      </w:r>
      <w:r>
        <w:rPr>
          <w:rFonts w:hint="eastAsia" w:ascii="宋体" w:hAnsi="宋体" w:eastAsia="宋体" w:cs="宋体"/>
          <w:color w:val="auto"/>
          <w:sz w:val="24"/>
          <w:szCs w:val="24"/>
          <w:highlight w:val="none"/>
          <w:lang w:eastAsia="zh-CN"/>
        </w:rPr>
        <w:t>服务期限</w:t>
      </w:r>
      <w:r>
        <w:rPr>
          <w:rFonts w:hint="eastAsia" w:ascii="宋体" w:hAnsi="宋体" w:eastAsia="宋体" w:cs="宋体"/>
          <w:color w:val="auto"/>
          <w:sz w:val="24"/>
          <w:szCs w:val="24"/>
          <w:highlight w:val="none"/>
        </w:rPr>
        <w:t>：是指签订采购合同之日起至按要求交货并通过验收的期限。</w:t>
      </w:r>
    </w:p>
    <w:p w14:paraId="31A7ED17">
      <w:pPr>
        <w:numPr>
          <w:ilvl w:val="2"/>
          <w:numId w:val="3"/>
        </w:numPr>
        <w:tabs>
          <w:tab w:val="left" w:pos="624"/>
          <w:tab w:val="left" w:pos="840"/>
          <w:tab w:val="clear" w:pos="1050"/>
        </w:tabs>
        <w:spacing w:line="360" w:lineRule="auto"/>
        <w:ind w:left="840" w:hanging="8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日期、天数、时间：无特别说明时是指公历日及北京时间。</w:t>
      </w:r>
    </w:p>
    <w:p w14:paraId="7E385288">
      <w:pPr>
        <w:numPr>
          <w:ilvl w:val="2"/>
          <w:numId w:val="3"/>
        </w:numPr>
        <w:tabs>
          <w:tab w:val="left" w:pos="624"/>
          <w:tab w:val="left" w:pos="840"/>
          <w:tab w:val="clear" w:pos="1050"/>
        </w:tabs>
        <w:spacing w:line="360" w:lineRule="auto"/>
        <w:ind w:left="840" w:hanging="84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中的标题或题名仅起引导作用，而不应该作为对</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内容的理解或解释。</w:t>
      </w:r>
    </w:p>
    <w:p w14:paraId="27714131">
      <w:pPr>
        <w:numPr>
          <w:ilvl w:val="1"/>
          <w:numId w:val="3"/>
        </w:numPr>
        <w:tabs>
          <w:tab w:val="left" w:pos="525"/>
          <w:tab w:val="left" w:pos="567"/>
          <w:tab w:val="left" w:pos="630"/>
          <w:tab w:val="clear" w:pos="289"/>
        </w:tabs>
        <w:spacing w:line="360" w:lineRule="auto"/>
        <w:ind w:left="567"/>
        <w:outlineLvl w:val="3"/>
        <w:rPr>
          <w:rFonts w:hint="eastAsia" w:ascii="宋体" w:hAnsi="宋体" w:eastAsia="宋体" w:cs="宋体"/>
          <w:b/>
          <w:color w:val="auto"/>
          <w:sz w:val="24"/>
          <w:szCs w:val="24"/>
          <w:highlight w:val="none"/>
        </w:rPr>
      </w:pPr>
      <w:bookmarkStart w:id="81" w:name="_Toc264616629"/>
      <w:r>
        <w:rPr>
          <w:rFonts w:hint="eastAsia" w:ascii="宋体" w:hAnsi="宋体" w:eastAsia="宋体" w:cs="宋体"/>
          <w:b/>
          <w:color w:val="auto"/>
          <w:sz w:val="24"/>
          <w:szCs w:val="24"/>
          <w:highlight w:val="none"/>
        </w:rPr>
        <w:t>应遵循的原则</w:t>
      </w:r>
      <w:bookmarkEnd w:id="81"/>
    </w:p>
    <w:p w14:paraId="35BC108E">
      <w:pPr>
        <w:numPr>
          <w:ilvl w:val="2"/>
          <w:numId w:val="3"/>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遵循公开、公平、公正和诚实信用原则。</w:t>
      </w:r>
    </w:p>
    <w:p w14:paraId="431E688E">
      <w:pPr>
        <w:numPr>
          <w:ilvl w:val="2"/>
          <w:numId w:val="3"/>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坚持价格合理、质量优先、服务优质。</w:t>
      </w:r>
    </w:p>
    <w:p w14:paraId="35FD6A28">
      <w:pPr>
        <w:numPr>
          <w:ilvl w:val="2"/>
          <w:numId w:val="3"/>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利用法律手段强化竞争机制，贯彻统一、规范、简化、高效的要求。</w:t>
      </w:r>
    </w:p>
    <w:p w14:paraId="7EC29E1C">
      <w:pPr>
        <w:numPr>
          <w:ilvl w:val="1"/>
          <w:numId w:val="3"/>
        </w:numPr>
        <w:tabs>
          <w:tab w:val="left" w:pos="525"/>
          <w:tab w:val="left" w:pos="567"/>
          <w:tab w:val="left" w:pos="630"/>
          <w:tab w:val="clear" w:pos="289"/>
        </w:tabs>
        <w:snapToGrid w:val="0"/>
        <w:spacing w:line="360" w:lineRule="auto"/>
        <w:ind w:left="567"/>
        <w:outlineLvl w:val="3"/>
        <w:rPr>
          <w:rFonts w:hint="eastAsia" w:ascii="宋体" w:hAnsi="宋体" w:eastAsia="宋体" w:cs="宋体"/>
          <w:b/>
          <w:color w:val="auto"/>
          <w:sz w:val="24"/>
          <w:szCs w:val="24"/>
          <w:highlight w:val="none"/>
        </w:rPr>
      </w:pPr>
      <w:bookmarkStart w:id="82" w:name="_Toc264616632"/>
      <w:r>
        <w:rPr>
          <w:rFonts w:hint="eastAsia" w:ascii="宋体" w:hAnsi="宋体" w:eastAsia="宋体" w:cs="宋体"/>
          <w:b/>
          <w:color w:val="auto"/>
          <w:sz w:val="24"/>
          <w:szCs w:val="24"/>
          <w:highlight w:val="none"/>
        </w:rPr>
        <w:t>合格的货物和服务</w:t>
      </w:r>
      <w:bookmarkEnd w:id="82"/>
    </w:p>
    <w:p w14:paraId="3B32A4FD">
      <w:pPr>
        <w:numPr>
          <w:ilvl w:val="2"/>
          <w:numId w:val="3"/>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投标人提供的所有货物及服务，其来源地均应为中华人民共和国或与中华人民共和国有官方贸易关系的国家或地区。</w:t>
      </w:r>
    </w:p>
    <w:p w14:paraId="30134891">
      <w:pPr>
        <w:numPr>
          <w:ilvl w:val="2"/>
          <w:numId w:val="3"/>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投标人提供的所有货物和服务，其质量、技术等特征必须符合国家、行业现行的标准及采购人需求。</w:t>
      </w:r>
    </w:p>
    <w:p w14:paraId="73B1B03C">
      <w:pPr>
        <w:numPr>
          <w:ilvl w:val="2"/>
          <w:numId w:val="3"/>
        </w:numPr>
        <w:tabs>
          <w:tab w:val="left" w:pos="624"/>
          <w:tab w:val="left" w:pos="735"/>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采购人将拒绝接受不合格的货物和服务，由此产生的费用及相关后果均由投标人自行承担。</w:t>
      </w:r>
    </w:p>
    <w:p w14:paraId="785EC499">
      <w:pPr>
        <w:numPr>
          <w:ilvl w:val="2"/>
          <w:numId w:val="3"/>
        </w:numPr>
        <w:tabs>
          <w:tab w:val="left" w:pos="624"/>
          <w:tab w:val="left" w:pos="735"/>
          <w:tab w:val="clear" w:pos="1050"/>
        </w:tabs>
        <w:spacing w:line="360" w:lineRule="auto"/>
        <w:ind w:left="735" w:hanging="735"/>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标人应保证本项目下提供的服务或其任何一部分不会产生因第三方依法享有的专利权、商标权或其他知识产权；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r>
        <w:rPr>
          <w:rFonts w:hint="eastAsia" w:ascii="宋体" w:hAnsi="宋体" w:eastAsia="宋体" w:cs="宋体"/>
          <w:kern w:val="0"/>
          <w:sz w:val="24"/>
          <w:highlight w:val="none"/>
          <w:lang w:eastAsia="zh-CN"/>
        </w:rPr>
        <w:t>（</w:t>
      </w:r>
      <w:r>
        <w:rPr>
          <w:rFonts w:hint="eastAsia" w:ascii="宋体" w:hAnsi="宋体" w:eastAsia="宋体" w:cs="宋体"/>
          <w:b/>
          <w:bCs/>
          <w:kern w:val="0"/>
          <w:sz w:val="24"/>
          <w:highlight w:val="none"/>
          <w:lang w:eastAsia="zh-CN"/>
        </w:rPr>
        <w:t>实质性要求</w:t>
      </w:r>
      <w:r>
        <w:rPr>
          <w:rFonts w:hint="eastAsia" w:ascii="宋体" w:hAnsi="宋体" w:eastAsia="宋体" w:cs="宋体"/>
          <w:kern w:val="0"/>
          <w:sz w:val="24"/>
          <w:highlight w:val="none"/>
          <w:lang w:eastAsia="zh-CN"/>
        </w:rPr>
        <w:t>）</w:t>
      </w:r>
    </w:p>
    <w:p w14:paraId="01FB5710">
      <w:pPr>
        <w:numPr>
          <w:ilvl w:val="1"/>
          <w:numId w:val="3"/>
        </w:numPr>
        <w:tabs>
          <w:tab w:val="left" w:pos="525"/>
          <w:tab w:val="left" w:pos="567"/>
          <w:tab w:val="left" w:pos="630"/>
          <w:tab w:val="clear" w:pos="289"/>
        </w:tabs>
        <w:snapToGrid w:val="0"/>
        <w:spacing w:line="240" w:lineRule="auto"/>
        <w:ind w:left="567"/>
        <w:outlineLvl w:val="3"/>
        <w:rPr>
          <w:rFonts w:hint="eastAsia" w:ascii="宋体" w:hAnsi="宋体" w:eastAsia="宋体" w:cs="宋体"/>
          <w:b/>
          <w:color w:val="auto"/>
          <w:sz w:val="24"/>
          <w:szCs w:val="24"/>
          <w:highlight w:val="none"/>
        </w:rPr>
      </w:pPr>
      <w:bookmarkStart w:id="83" w:name="_Toc264616633"/>
      <w:r>
        <w:rPr>
          <w:rFonts w:hint="eastAsia" w:ascii="宋体" w:hAnsi="宋体" w:eastAsia="宋体" w:cs="宋体"/>
          <w:b/>
          <w:color w:val="auto"/>
          <w:sz w:val="24"/>
          <w:szCs w:val="24"/>
          <w:highlight w:val="none"/>
        </w:rPr>
        <w:t>保密</w:t>
      </w:r>
      <w:bookmarkEnd w:id="83"/>
    </w:p>
    <w:p w14:paraId="1EE607A4">
      <w:pPr>
        <w:pStyle w:val="10"/>
        <w:keepNext w:val="0"/>
        <w:keepLines w:val="0"/>
        <w:pageBreakBefore w:val="0"/>
        <w:widowControl w:val="0"/>
        <w:tabs>
          <w:tab w:val="left" w:pos="978"/>
        </w:tabs>
        <w:kinsoku/>
        <w:wordWrap/>
        <w:overflowPunct/>
        <w:topLinePunct w:val="0"/>
        <w:autoSpaceDE/>
        <w:autoSpaceDN/>
        <w:bidi w:val="0"/>
        <w:adjustRightInd/>
        <w:snapToGrid/>
        <w:spacing w:after="60" w:afterLines="25"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招投标双方应分别为对方在投标文件和</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中涉及的商业和技术等秘密保密，违者应对由此造成的后果承担责任。投标方不得将参加此次投标活动的事实进行商业性宣传。</w:t>
      </w:r>
    </w:p>
    <w:p w14:paraId="44A8F992">
      <w:pPr>
        <w:numPr>
          <w:ilvl w:val="1"/>
          <w:numId w:val="3"/>
        </w:numPr>
        <w:tabs>
          <w:tab w:val="left" w:pos="567"/>
          <w:tab w:val="left" w:pos="630"/>
          <w:tab w:val="clear" w:pos="289"/>
        </w:tabs>
        <w:spacing w:line="360" w:lineRule="auto"/>
        <w:ind w:left="567"/>
        <w:outlineLvl w:val="3"/>
        <w:rPr>
          <w:rFonts w:hint="eastAsia" w:ascii="宋体" w:hAnsi="宋体" w:eastAsia="宋体" w:cs="宋体"/>
          <w:b/>
          <w:color w:val="auto"/>
          <w:sz w:val="24"/>
          <w:szCs w:val="24"/>
          <w:highlight w:val="none"/>
        </w:rPr>
      </w:pPr>
      <w:bookmarkStart w:id="84" w:name="_Toc278459939"/>
      <w:bookmarkStart w:id="85" w:name="_Toc278962736"/>
      <w:r>
        <w:rPr>
          <w:rFonts w:hint="eastAsia" w:ascii="宋体" w:hAnsi="宋体" w:eastAsia="宋体" w:cs="宋体"/>
          <w:b/>
          <w:color w:val="auto"/>
          <w:sz w:val="24"/>
          <w:szCs w:val="24"/>
          <w:highlight w:val="none"/>
        </w:rPr>
        <w:t>质疑与</w:t>
      </w:r>
      <w:bookmarkEnd w:id="84"/>
      <w:bookmarkEnd w:id="85"/>
      <w:r>
        <w:rPr>
          <w:rFonts w:hint="eastAsia" w:ascii="宋体" w:hAnsi="宋体" w:eastAsia="宋体" w:cs="宋体"/>
          <w:b/>
          <w:color w:val="auto"/>
          <w:sz w:val="24"/>
          <w:szCs w:val="24"/>
          <w:highlight w:val="none"/>
        </w:rPr>
        <w:t>投诉</w:t>
      </w:r>
    </w:p>
    <w:p w14:paraId="2DA02DD7">
      <w:pPr>
        <w:numPr>
          <w:ilvl w:val="2"/>
          <w:numId w:val="3"/>
        </w:numPr>
        <w:tabs>
          <w:tab w:val="left" w:pos="624"/>
          <w:tab w:val="left" w:pos="735"/>
          <w:tab w:val="left" w:pos="840"/>
          <w:tab w:val="left" w:pos="1455"/>
          <w:tab w:val="clear" w:pos="1050"/>
        </w:tabs>
        <w:spacing w:line="360" w:lineRule="auto"/>
        <w:ind w:left="840" w:hanging="840" w:hangingChars="350"/>
        <w:rPr>
          <w:rFonts w:hint="eastAsia" w:ascii="宋体" w:hAnsi="宋体" w:eastAsia="宋体" w:cs="宋体"/>
          <w:color w:val="auto"/>
          <w:sz w:val="24"/>
          <w:szCs w:val="24"/>
          <w:highlight w:val="none"/>
        </w:rPr>
      </w:pPr>
      <w:bookmarkStart w:id="86" w:name="_Toc264616637"/>
      <w:r>
        <w:rPr>
          <w:rFonts w:hint="eastAsia" w:ascii="宋体" w:hAnsi="宋体" w:eastAsia="宋体" w:cs="宋体"/>
          <w:color w:val="auto"/>
          <w:sz w:val="24"/>
          <w:szCs w:val="24"/>
          <w:highlight w:val="none"/>
        </w:rPr>
        <w:t xml:space="preserve"> 供应商认为</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的内容损害其权益的，可以在</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公示期间或者自期满之日起7个工作日内以书面形式向采购人或采购代理机构提出质疑，逾期质疑无效。</w:t>
      </w:r>
    </w:p>
    <w:p w14:paraId="5AB054C2">
      <w:pPr>
        <w:numPr>
          <w:ilvl w:val="2"/>
          <w:numId w:val="3"/>
        </w:numPr>
        <w:tabs>
          <w:tab w:val="left" w:pos="624"/>
          <w:tab w:val="left" w:pos="735"/>
          <w:tab w:val="left" w:pos="840"/>
          <w:tab w:val="left" w:pos="1455"/>
          <w:tab w:val="clear" w:pos="1050"/>
        </w:tabs>
        <w:spacing w:line="360" w:lineRule="auto"/>
        <w:ind w:left="840" w:hanging="840" w:hanging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供应商认为采购过程和中标结果使自己的权益受到损害的，可以在知道或者应知其权益受到损害之日起7个工作日内，以书面形式向采购人或采购代理机构提出质疑，逾期质疑无效。</w:t>
      </w:r>
    </w:p>
    <w:p w14:paraId="4F004C97">
      <w:pPr>
        <w:numPr>
          <w:ilvl w:val="2"/>
          <w:numId w:val="3"/>
        </w:numPr>
        <w:tabs>
          <w:tab w:val="left" w:pos="624"/>
          <w:tab w:val="left" w:pos="735"/>
          <w:tab w:val="left" w:pos="840"/>
          <w:tab w:val="left" w:pos="1455"/>
          <w:tab w:val="clear" w:pos="1050"/>
        </w:tabs>
        <w:spacing w:line="360" w:lineRule="auto"/>
        <w:ind w:left="840" w:hanging="840" w:hanging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有质疑时，应当以书面形式在质疑有效期限内向采购代理机构提交质疑书原件，逾期质疑无效。质疑书应当署名。质疑供应商为自然人的，应当由本人签字；质疑供应商为法人或者其他组织的，应当由法定代表人或者主要负责人签字盖章并加盖公章，同时注明联系人、联系电话与质疑时间。供应商以电话、传真或电邮形式提交的质疑书属于无效质疑。</w:t>
      </w:r>
    </w:p>
    <w:p w14:paraId="5D07A925">
      <w:pPr>
        <w:numPr>
          <w:ilvl w:val="2"/>
          <w:numId w:val="3"/>
        </w:numPr>
        <w:tabs>
          <w:tab w:val="left" w:pos="624"/>
          <w:tab w:val="left" w:pos="735"/>
          <w:tab w:val="left" w:pos="840"/>
          <w:tab w:val="left" w:pos="1455"/>
          <w:tab w:val="clear" w:pos="1050"/>
        </w:tabs>
        <w:spacing w:line="360" w:lineRule="auto"/>
        <w:ind w:left="840" w:hanging="840" w:hanging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质疑内容不得含有虚假、恶意成分。依据谁主张谁举证的原则，质疑者提供的质疑书应当明确具体的质疑事项、事实依据，同时提交相关确凿的证明材料和注明证据的确切来源、证据来源必须合法，采购代理机构有权将质疑函转发质疑事项各关联方，请其作出解释说明。对捏造事实、</w:t>
      </w:r>
      <w:r>
        <w:rPr>
          <w:rFonts w:hint="eastAsia" w:ascii="宋体" w:hAnsi="宋体" w:cs="宋体"/>
          <w:color w:val="auto"/>
          <w:sz w:val="24"/>
          <w:szCs w:val="24"/>
          <w:highlight w:val="none"/>
          <w:lang w:eastAsia="zh-CN"/>
        </w:rPr>
        <w:t>滥用职权</w:t>
      </w:r>
      <w:r>
        <w:rPr>
          <w:rFonts w:hint="eastAsia" w:ascii="宋体" w:hAnsi="宋体" w:eastAsia="宋体" w:cs="宋体"/>
          <w:color w:val="auto"/>
          <w:sz w:val="24"/>
          <w:szCs w:val="24"/>
          <w:highlight w:val="none"/>
        </w:rPr>
        <w:t>扰乱采购秩序的恶意质疑者，将上报采购监督管理部门依法处理。</w:t>
      </w:r>
    </w:p>
    <w:p w14:paraId="44F56AB5">
      <w:pPr>
        <w:numPr>
          <w:ilvl w:val="2"/>
          <w:numId w:val="3"/>
        </w:numPr>
        <w:tabs>
          <w:tab w:val="left" w:pos="624"/>
          <w:tab w:val="left" w:pos="735"/>
          <w:tab w:val="left" w:pos="840"/>
          <w:tab w:val="left" w:pos="1455"/>
          <w:tab w:val="clear" w:pos="1050"/>
        </w:tabs>
        <w:spacing w:line="360" w:lineRule="auto"/>
        <w:ind w:left="840" w:hanging="840" w:hanging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代理机构在收到投标人的有效书面质疑后七个工作日内作出答复，但答复的内容不涉及商业秘密，质疑投标人对采购人、采购代理机构的质疑答复不满意，或采购人、采购代理机构未在规定期限内作出答复的，可以在答复期满后15个工作日内向采购监督管理部门提起投诉。</w:t>
      </w:r>
    </w:p>
    <w:p w14:paraId="60434302">
      <w:pPr>
        <w:numPr>
          <w:ilvl w:val="1"/>
          <w:numId w:val="3"/>
        </w:numPr>
        <w:tabs>
          <w:tab w:val="left" w:pos="525"/>
          <w:tab w:val="left" w:pos="567"/>
          <w:tab w:val="left" w:pos="630"/>
          <w:tab w:val="clear" w:pos="289"/>
        </w:tabs>
        <w:spacing w:line="360" w:lineRule="auto"/>
        <w:ind w:left="567"/>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不得参与同一采购项目竞争的</w:t>
      </w:r>
      <w:bookmarkEnd w:id="86"/>
      <w:r>
        <w:rPr>
          <w:rFonts w:hint="eastAsia" w:ascii="宋体" w:hAnsi="宋体" w:eastAsia="宋体" w:cs="宋体"/>
          <w:b/>
          <w:color w:val="auto"/>
          <w:sz w:val="24"/>
          <w:szCs w:val="24"/>
          <w:highlight w:val="none"/>
        </w:rPr>
        <w:t>投标人</w:t>
      </w:r>
    </w:p>
    <w:p w14:paraId="3C82083E">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单位负责人为同一人或者存在直接控股、管理关系的不同供应商，不得参加同一合同项下的采购活动。</w:t>
      </w:r>
    </w:p>
    <w:p w14:paraId="72F9FB41">
      <w:pPr>
        <w:numPr>
          <w:ilvl w:val="1"/>
          <w:numId w:val="3"/>
        </w:numPr>
        <w:tabs>
          <w:tab w:val="left" w:pos="567"/>
          <w:tab w:val="left" w:pos="630"/>
          <w:tab w:val="clear" w:pos="289"/>
        </w:tabs>
        <w:spacing w:line="360" w:lineRule="auto"/>
        <w:ind w:left="567"/>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关于分公司投标</w:t>
      </w:r>
    </w:p>
    <w:p w14:paraId="7F4BCD93">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公司投标的，需提供具有法人资格的总公司的营业执照副本复印件及授权书。总公司可就本项目或此类项目在一定范围或时间内出具授权书。已由总公司授权的，总公司取得的相关资质证书对分公司有效，法律法规或者行业另有规定的除外。</w:t>
      </w:r>
    </w:p>
    <w:p w14:paraId="7A00E361">
      <w:pPr>
        <w:numPr>
          <w:ilvl w:val="1"/>
          <w:numId w:val="3"/>
        </w:numPr>
        <w:tabs>
          <w:tab w:val="left" w:pos="567"/>
          <w:tab w:val="left" w:pos="630"/>
          <w:tab w:val="clear" w:pos="289"/>
        </w:tabs>
        <w:spacing w:line="360" w:lineRule="auto"/>
        <w:ind w:left="567"/>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关于中小企业投标</w:t>
      </w:r>
    </w:p>
    <w:p w14:paraId="7006173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投标是指符合《中小企业划型标准规定》的投标人，通过投标提供本企业制造的货物、承担的工程或者服务，或者提供其他中小企业制造的货物。本项所指货物不包括使用大型企业注册商标的货物。中小企业投标应提供《中小企业声明函》。</w:t>
      </w:r>
    </w:p>
    <w:p w14:paraId="716AF294">
      <w:pPr>
        <w:numPr>
          <w:ilvl w:val="1"/>
          <w:numId w:val="3"/>
        </w:numPr>
        <w:tabs>
          <w:tab w:val="left" w:pos="567"/>
          <w:tab w:val="left" w:pos="630"/>
          <w:tab w:val="clear" w:pos="289"/>
        </w:tabs>
        <w:spacing w:line="360" w:lineRule="auto"/>
        <w:ind w:left="567"/>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关于政府采购信用担保</w:t>
      </w:r>
    </w:p>
    <w:p w14:paraId="7CEE5802">
      <w:pPr>
        <w:pStyle w:val="7"/>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本项目可采用的信用担保形式包括：</w:t>
      </w:r>
    </w:p>
    <w:p w14:paraId="3081526C">
      <w:pPr>
        <w:pStyle w:val="7"/>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（1）投标担保。指由专业担保机构为供应商履行支付</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的义务向采购代理机构提供的保证担保。供应商在投标有效期内发生的撤回投标文件，或中标后因自身原因不签署合同等行为而应实际支付保证金的，由专业担保机构按照《政府采购投标担保函》的约定履行担保责任。供应商可以自愿选择是否采取《政府采购投标担保函》的形式</w:t>
      </w:r>
      <w:r>
        <w:rPr>
          <w:rFonts w:hint="eastAsia" w:ascii="宋体" w:hAnsi="宋体" w:eastAsia="宋体" w:cs="宋体"/>
          <w:color w:val="auto"/>
          <w:sz w:val="24"/>
          <w:szCs w:val="24"/>
          <w:highlight w:val="none"/>
          <w:lang w:eastAsia="zh-CN"/>
        </w:rPr>
        <w:t>缴纳</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w:t>
      </w:r>
    </w:p>
    <w:p w14:paraId="25F92125">
      <w:pPr>
        <w:pStyle w:val="7"/>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（2）融资担保。指由专业担保机构为供应商向银行融资提供的保证担保。供应商可以自愿选择是否采取融资担保的形式为采购履约进行融资，详情请供应商自行咨询专业担保机构。</w:t>
      </w:r>
    </w:p>
    <w:p w14:paraId="2D98B24C">
      <w:pPr>
        <w:numPr>
          <w:ilvl w:val="1"/>
          <w:numId w:val="3"/>
        </w:numPr>
        <w:tabs>
          <w:tab w:val="left" w:pos="525"/>
          <w:tab w:val="left" w:pos="567"/>
          <w:tab w:val="left" w:pos="630"/>
          <w:tab w:val="clear" w:pos="289"/>
        </w:tabs>
        <w:spacing w:line="360" w:lineRule="auto"/>
        <w:ind w:left="567"/>
        <w:outlineLvl w:val="3"/>
        <w:rPr>
          <w:rFonts w:hint="eastAsia" w:ascii="宋体" w:hAnsi="宋体" w:eastAsia="宋体" w:cs="宋体"/>
          <w:b/>
          <w:color w:val="auto"/>
          <w:sz w:val="24"/>
          <w:szCs w:val="24"/>
          <w:highlight w:val="none"/>
        </w:rPr>
      </w:pPr>
      <w:bookmarkStart w:id="87" w:name="_Toc264616638"/>
      <w:r>
        <w:rPr>
          <w:rFonts w:hint="eastAsia" w:ascii="宋体" w:hAnsi="宋体" w:eastAsia="宋体" w:cs="宋体"/>
          <w:b/>
          <w:color w:val="auto"/>
          <w:sz w:val="24"/>
          <w:szCs w:val="24"/>
          <w:highlight w:val="none"/>
        </w:rPr>
        <w:t>通知</w:t>
      </w:r>
      <w:bookmarkEnd w:id="87"/>
    </w:p>
    <w:p w14:paraId="479820BF">
      <w:pPr>
        <w:tabs>
          <w:tab w:val="left" w:pos="900"/>
        </w:tabs>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对与本项目有关的通知，采购代理机构将以书面（包括书面材料、信函、传真等，下同）或在本次</w:t>
      </w:r>
      <w:r>
        <w:rPr>
          <w:rFonts w:hint="eastAsia" w:ascii="宋体" w:hAnsi="宋体" w:eastAsia="宋体" w:cs="宋体"/>
          <w:color w:val="auto"/>
          <w:sz w:val="24"/>
          <w:szCs w:val="24"/>
          <w:highlight w:val="none"/>
          <w:lang w:eastAsia="zh-CN"/>
        </w:rPr>
        <w:t>采购公告</w:t>
      </w:r>
      <w:r>
        <w:rPr>
          <w:rFonts w:hint="eastAsia" w:ascii="宋体" w:hAnsi="宋体" w:eastAsia="宋体" w:cs="宋体"/>
          <w:color w:val="auto"/>
          <w:sz w:val="24"/>
          <w:szCs w:val="24"/>
          <w:highlight w:val="none"/>
        </w:rPr>
        <w:t>刊登的媒体上以发布公告的形式，送达所有与通知有关的已领取了</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的投标人</w:t>
      </w:r>
      <w:r>
        <w:rPr>
          <w:rFonts w:hint="eastAsia" w:ascii="宋体" w:hAnsi="宋体" w:cs="宋体"/>
          <w:color w:val="auto"/>
          <w:sz w:val="24"/>
          <w:szCs w:val="24"/>
          <w:highlight w:val="none"/>
          <w:lang w:eastAsia="zh-CN"/>
        </w:rPr>
        <w:t>。</w:t>
      </w:r>
    </w:p>
    <w:p w14:paraId="609E7FF6">
      <w:pPr>
        <w:keepNext w:val="0"/>
        <w:keepLines w:val="0"/>
        <w:pageBreakBefore w:val="0"/>
        <w:widowControl w:val="0"/>
        <w:numPr>
          <w:ilvl w:val="1"/>
          <w:numId w:val="3"/>
        </w:numPr>
        <w:tabs>
          <w:tab w:val="left" w:pos="525"/>
          <w:tab w:val="left" w:pos="567"/>
          <w:tab w:val="left" w:pos="630"/>
          <w:tab w:val="clear" w:pos="289"/>
        </w:tabs>
        <w:kinsoku/>
        <w:wordWrap/>
        <w:overflowPunct/>
        <w:topLinePunct w:val="0"/>
        <w:autoSpaceDE/>
        <w:autoSpaceDN/>
        <w:bidi w:val="0"/>
        <w:adjustRightInd/>
        <w:snapToGrid/>
        <w:spacing w:line="360" w:lineRule="auto"/>
        <w:ind w:left="0" w:firstLine="0"/>
        <w:textAlignment w:val="auto"/>
        <w:outlineLvl w:val="3"/>
        <w:rPr>
          <w:rFonts w:hint="eastAsia" w:ascii="宋体" w:hAnsi="宋体" w:eastAsia="宋体" w:cs="宋体"/>
          <w:b w:val="0"/>
          <w:bCs/>
          <w:color w:val="auto"/>
          <w:sz w:val="24"/>
          <w:szCs w:val="24"/>
          <w:highlight w:val="none"/>
          <w:u w:val="none"/>
        </w:rPr>
      </w:pPr>
      <w:bookmarkStart w:id="88" w:name="_Toc264616639"/>
      <w:r>
        <w:rPr>
          <w:rFonts w:hint="eastAsia" w:ascii="宋体" w:hAnsi="宋体" w:eastAsia="宋体" w:cs="宋体"/>
          <w:b w:val="0"/>
          <w:bCs/>
          <w:color w:val="auto"/>
          <w:sz w:val="24"/>
          <w:szCs w:val="24"/>
          <w:highlight w:val="none"/>
          <w:u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cs="宋体"/>
          <w:b w:val="0"/>
          <w:bCs/>
          <w:color w:val="auto"/>
          <w:sz w:val="24"/>
          <w:szCs w:val="24"/>
          <w:highlight w:val="none"/>
          <w:u w:val="none"/>
          <w:lang w:eastAsia="zh-CN"/>
        </w:rPr>
        <w:t>磋商文件</w:t>
      </w:r>
      <w:r>
        <w:rPr>
          <w:rFonts w:hint="eastAsia" w:ascii="宋体" w:hAnsi="宋体" w:eastAsia="宋体" w:cs="宋体"/>
          <w:b w:val="0"/>
          <w:bCs/>
          <w:color w:val="auto"/>
          <w:sz w:val="24"/>
          <w:szCs w:val="24"/>
          <w:highlight w:val="none"/>
          <w:u w:val="none"/>
        </w:rPr>
        <w:t>规定的方式确定一个投标人获得中标人推荐资格，</w:t>
      </w:r>
      <w:r>
        <w:rPr>
          <w:rFonts w:hint="eastAsia" w:ascii="宋体" w:hAnsi="宋体" w:cs="宋体"/>
          <w:b w:val="0"/>
          <w:bCs/>
          <w:color w:val="auto"/>
          <w:sz w:val="24"/>
          <w:szCs w:val="24"/>
          <w:highlight w:val="none"/>
          <w:u w:val="none"/>
          <w:lang w:eastAsia="zh-CN"/>
        </w:rPr>
        <w:t>磋商文件</w:t>
      </w:r>
      <w:r>
        <w:rPr>
          <w:rFonts w:hint="eastAsia" w:ascii="宋体" w:hAnsi="宋体" w:eastAsia="宋体" w:cs="宋体"/>
          <w:b w:val="0"/>
          <w:bCs/>
          <w:color w:val="auto"/>
          <w:sz w:val="24"/>
          <w:szCs w:val="24"/>
          <w:highlight w:val="none"/>
          <w:u w:val="none"/>
        </w:rPr>
        <w:t>未规定的采取随机抽取方式确定，其他同品牌投标人不作为中标候选人。</w:t>
      </w:r>
    </w:p>
    <w:p w14:paraId="76DCCCBD">
      <w:pPr>
        <w:numPr>
          <w:ilvl w:val="1"/>
          <w:numId w:val="3"/>
        </w:numPr>
        <w:tabs>
          <w:tab w:val="left" w:pos="525"/>
          <w:tab w:val="left" w:pos="567"/>
          <w:tab w:val="left" w:pos="630"/>
          <w:tab w:val="clear" w:pos="289"/>
        </w:tabs>
        <w:spacing w:line="360" w:lineRule="auto"/>
        <w:ind w:left="567"/>
        <w:outlineLvl w:val="3"/>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磋商文件</w:t>
      </w:r>
      <w:r>
        <w:rPr>
          <w:rFonts w:hint="eastAsia" w:ascii="宋体" w:hAnsi="宋体" w:eastAsia="宋体" w:cs="宋体"/>
          <w:b/>
          <w:color w:val="auto"/>
          <w:sz w:val="24"/>
          <w:szCs w:val="24"/>
          <w:highlight w:val="none"/>
        </w:rPr>
        <w:t>的解释权</w:t>
      </w:r>
      <w:bookmarkEnd w:id="88"/>
    </w:p>
    <w:p w14:paraId="5D856013">
      <w:pPr>
        <w:pStyle w:val="7"/>
        <w:keepNext w:val="0"/>
        <w:keepLines w:val="0"/>
        <w:pageBreakBefore w:val="0"/>
        <w:kinsoku/>
        <w:overflowPunct/>
        <w:topLinePunct w:val="0"/>
        <w:autoSpaceDE/>
        <w:autoSpaceDN/>
        <w:bidi w:val="0"/>
        <w:adjustRightInd/>
        <w:snapToGrid/>
        <w:spacing w:afterAutospacing="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的解释权归“</w:t>
      </w:r>
      <w:r>
        <w:rPr>
          <w:rFonts w:hint="eastAsia" w:ascii="宋体" w:hAnsi="宋体" w:cs="宋体"/>
          <w:color w:val="auto"/>
          <w:kern w:val="0"/>
          <w:sz w:val="24"/>
          <w:szCs w:val="24"/>
          <w:highlight w:val="none"/>
          <w:lang w:eastAsia="zh-CN"/>
        </w:rPr>
        <w:t>新疆众想丰华工程造价咨询有限公司</w:t>
      </w:r>
      <w:r>
        <w:rPr>
          <w:rFonts w:hint="eastAsia" w:ascii="宋体" w:hAnsi="宋体" w:eastAsia="宋体" w:cs="宋体"/>
          <w:color w:val="auto"/>
          <w:sz w:val="24"/>
          <w:szCs w:val="24"/>
          <w:highlight w:val="none"/>
        </w:rPr>
        <w:t>”所有。</w:t>
      </w:r>
    </w:p>
    <w:p w14:paraId="01131CB1">
      <w:pPr>
        <w:pStyle w:val="4"/>
        <w:numPr>
          <w:ilvl w:val="0"/>
          <w:numId w:val="3"/>
        </w:numPr>
        <w:tabs>
          <w:tab w:val="left" w:pos="425"/>
          <w:tab w:val="clear" w:pos="147"/>
        </w:tabs>
        <w:spacing w:before="0" w:beforeLines="0" w:beforeAutospacing="0" w:after="0" w:afterLines="0" w:afterAutospacing="0" w:line="360" w:lineRule="auto"/>
        <w:ind w:left="42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磋商文件</w:t>
      </w:r>
    </w:p>
    <w:p w14:paraId="0341CBAB">
      <w:pPr>
        <w:numPr>
          <w:ilvl w:val="1"/>
          <w:numId w:val="3"/>
        </w:numPr>
        <w:tabs>
          <w:tab w:val="left" w:pos="567"/>
          <w:tab w:val="clear" w:pos="289"/>
        </w:tabs>
        <w:spacing w:beforeAutospacing="0" w:line="360" w:lineRule="auto"/>
        <w:ind w:left="567"/>
        <w:outlineLvl w:val="3"/>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的组成</w:t>
      </w:r>
    </w:p>
    <w:p w14:paraId="2E767ECC">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_Toc397 </w:instrText>
      </w:r>
      <w:r>
        <w:rPr>
          <w:rFonts w:hint="eastAsia" w:ascii="宋体" w:hAnsi="宋体" w:eastAsia="宋体" w:cs="宋体"/>
          <w:color w:val="auto"/>
          <w:sz w:val="24"/>
          <w:szCs w:val="24"/>
          <w:highlight w:val="none"/>
        </w:rPr>
        <w:fldChar w:fldCharType="separate"/>
      </w:r>
      <w:r>
        <w:rPr>
          <w:rFonts w:hint="eastAsia" w:ascii="宋体" w:hAnsi="宋体" w:cs="宋体"/>
          <w:color w:val="auto"/>
          <w:sz w:val="24"/>
          <w:szCs w:val="24"/>
          <w:highlight w:val="none"/>
          <w:lang w:val="en-US" w:eastAsia="zh-CN"/>
        </w:rPr>
        <w:t>磋商公告</w:t>
      </w:r>
      <w:r>
        <w:rPr>
          <w:rFonts w:hint="eastAsia" w:ascii="宋体" w:hAnsi="宋体" w:eastAsia="宋体" w:cs="宋体"/>
          <w:color w:val="auto"/>
          <w:sz w:val="24"/>
          <w:szCs w:val="24"/>
          <w:highlight w:val="none"/>
        </w:rPr>
        <w:fldChar w:fldCharType="end"/>
      </w:r>
    </w:p>
    <w:p w14:paraId="7603AF7B">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_Toc16734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须知</w:t>
      </w:r>
      <w:r>
        <w:rPr>
          <w:rFonts w:hint="eastAsia" w:ascii="宋体" w:hAnsi="宋体" w:eastAsia="宋体" w:cs="宋体"/>
          <w:color w:val="auto"/>
          <w:sz w:val="24"/>
          <w:szCs w:val="24"/>
          <w:highlight w:val="none"/>
        </w:rPr>
        <w:fldChar w:fldCharType="end"/>
      </w:r>
    </w:p>
    <w:p w14:paraId="41E8D065">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_Toc16087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合同主要条款</w:t>
      </w:r>
      <w:r>
        <w:rPr>
          <w:rFonts w:hint="eastAsia" w:ascii="宋体" w:hAnsi="宋体" w:eastAsia="宋体" w:cs="宋体"/>
          <w:color w:val="auto"/>
          <w:sz w:val="24"/>
          <w:szCs w:val="24"/>
          <w:highlight w:val="none"/>
        </w:rPr>
        <w:fldChar w:fldCharType="end"/>
      </w:r>
    </w:p>
    <w:p w14:paraId="6ED139D9">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_Toc23189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采购需求</w:t>
      </w:r>
      <w:r>
        <w:rPr>
          <w:rFonts w:hint="eastAsia" w:ascii="宋体" w:hAnsi="宋体" w:eastAsia="宋体" w:cs="宋体"/>
          <w:color w:val="auto"/>
          <w:sz w:val="24"/>
          <w:szCs w:val="24"/>
          <w:highlight w:val="none"/>
        </w:rPr>
        <w:fldChar w:fldCharType="end"/>
      </w:r>
    </w:p>
    <w:p w14:paraId="23F1D489">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_Toc12685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标办法</w:t>
      </w:r>
      <w:r>
        <w:rPr>
          <w:rFonts w:hint="eastAsia" w:ascii="宋体" w:hAnsi="宋体" w:eastAsia="宋体" w:cs="宋体"/>
          <w:color w:val="auto"/>
          <w:sz w:val="24"/>
          <w:szCs w:val="24"/>
          <w:highlight w:val="none"/>
        </w:rPr>
        <w:fldChar w:fldCharType="end"/>
      </w:r>
    </w:p>
    <w:p w14:paraId="6DA01BE3">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投标文件格式</w:t>
      </w:r>
    </w:p>
    <w:p w14:paraId="7DF6FCAE">
      <w:pPr>
        <w:numPr>
          <w:ilvl w:val="1"/>
          <w:numId w:val="3"/>
        </w:numPr>
        <w:tabs>
          <w:tab w:val="left" w:pos="567"/>
          <w:tab w:val="clear" w:pos="289"/>
        </w:tabs>
        <w:spacing w:line="360" w:lineRule="auto"/>
        <w:ind w:left="567"/>
        <w:outlineLvl w:val="3"/>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的澄清</w:t>
      </w:r>
      <w:r>
        <w:rPr>
          <w:rFonts w:hint="eastAsia" w:ascii="宋体" w:hAnsi="宋体" w:eastAsia="宋体" w:cs="宋体"/>
          <w:b/>
          <w:bCs/>
          <w:color w:val="auto"/>
          <w:sz w:val="24"/>
          <w:szCs w:val="24"/>
          <w:highlight w:val="none"/>
          <w:lang w:val="en-US" w:eastAsia="zh-CN"/>
        </w:rPr>
        <w:t>和修改</w:t>
      </w:r>
      <w:r>
        <w:rPr>
          <w:rFonts w:hint="eastAsia" w:ascii="宋体" w:hAnsi="宋体" w:eastAsia="宋体" w:cs="宋体"/>
          <w:kern w:val="0"/>
          <w:sz w:val="24"/>
          <w:highlight w:val="none"/>
          <w:lang w:eastAsia="zh-CN"/>
        </w:rPr>
        <w:t>（</w:t>
      </w:r>
      <w:r>
        <w:rPr>
          <w:rFonts w:hint="eastAsia" w:ascii="宋体" w:hAnsi="宋体" w:eastAsia="宋体" w:cs="宋体"/>
          <w:b/>
          <w:bCs/>
          <w:kern w:val="0"/>
          <w:sz w:val="24"/>
          <w:highlight w:val="none"/>
          <w:lang w:eastAsia="zh-CN"/>
        </w:rPr>
        <w:t>实质性要求</w:t>
      </w:r>
      <w:r>
        <w:rPr>
          <w:rFonts w:hint="eastAsia" w:ascii="宋体" w:hAnsi="宋体" w:eastAsia="宋体" w:cs="宋体"/>
          <w:kern w:val="0"/>
          <w:sz w:val="24"/>
          <w:highlight w:val="none"/>
          <w:lang w:eastAsia="zh-CN"/>
        </w:rPr>
        <w:t>）</w:t>
      </w:r>
    </w:p>
    <w:p w14:paraId="11C6B2C6">
      <w:pPr>
        <w:pStyle w:val="35"/>
        <w:spacing w:line="360" w:lineRule="auto"/>
        <w:ind w:firstLine="480" w:firstLineChars="200"/>
        <w:rPr>
          <w:rFonts w:hint="eastAsia" w:ascii="宋体" w:hAnsi="宋体" w:cs="宋体"/>
          <w:sz w:val="24"/>
          <w:highlight w:val="none"/>
        </w:rPr>
      </w:pPr>
      <w:bookmarkStart w:id="89" w:name="_Toc479340787"/>
      <w:bookmarkStart w:id="90" w:name="_Toc438508595"/>
      <w:bookmarkStart w:id="91" w:name="_Toc479325590"/>
      <w:bookmarkStart w:id="92" w:name="_Toc298829718"/>
      <w:bookmarkStart w:id="93" w:name="_Toc494832085"/>
      <w:bookmarkStart w:id="94" w:name="_Toc477879838"/>
      <w:bookmarkStart w:id="95" w:name="_Toc486969377"/>
      <w:bookmarkStart w:id="96" w:name="_Toc364846098"/>
      <w:bookmarkStart w:id="97" w:name="_Toc298190382"/>
      <w:bookmarkStart w:id="98" w:name="_Toc380533808"/>
      <w:bookmarkStart w:id="99" w:name="_Toc458980391"/>
      <w:bookmarkStart w:id="100" w:name="_Toc365033704"/>
      <w:bookmarkStart w:id="101" w:name="_Toc414510778"/>
      <w:bookmarkStart w:id="102" w:name="_Toc435687273"/>
      <w:bookmarkStart w:id="103" w:name="_Toc297209417"/>
      <w:bookmarkStart w:id="104" w:name="_Toc438513732"/>
      <w:bookmarkStart w:id="105" w:name="_Toc298920090"/>
      <w:bookmarkStart w:id="106" w:name="_Toc416208484"/>
      <w:bookmarkStart w:id="107" w:name="_Toc422865419"/>
      <w:bookmarkStart w:id="108" w:name="_Toc498899369"/>
      <w:bookmarkStart w:id="109" w:name="_Toc4382"/>
      <w:bookmarkStart w:id="110" w:name="_Toc435629790"/>
      <w:bookmarkStart w:id="111" w:name="_Toc425347660"/>
      <w:bookmarkStart w:id="112" w:name="_Toc20625"/>
      <w:bookmarkStart w:id="113" w:name="_Toc498871242"/>
      <w:bookmarkStart w:id="114" w:name="_Toc439679266"/>
      <w:bookmarkStart w:id="115" w:name="_Toc299108388"/>
      <w:bookmarkStart w:id="116" w:name="_Toc298829959"/>
      <w:bookmarkStart w:id="117" w:name="_Toc350417822"/>
      <w:bookmarkStart w:id="118" w:name="_Toc438641463"/>
      <w:bookmarkStart w:id="119" w:name="_Toc383124046"/>
      <w:bookmarkStart w:id="120" w:name="_Toc470184439"/>
      <w:bookmarkStart w:id="121" w:name="_Toc422161990"/>
      <w:bookmarkStart w:id="122" w:name="_Toc439513443"/>
      <w:bookmarkStart w:id="123" w:name="_Toc418023331"/>
      <w:bookmarkStart w:id="124" w:name="_Toc343857024"/>
      <w:bookmarkStart w:id="125" w:name="_Toc439513159"/>
      <w:bookmarkStart w:id="126" w:name="_Toc487044250"/>
      <w:bookmarkStart w:id="127" w:name="_Toc518912733"/>
      <w:bookmarkStart w:id="128" w:name="_Toc458635594"/>
      <w:bookmarkStart w:id="129" w:name="_Toc356489051"/>
      <w:bookmarkStart w:id="130" w:name="_Toc438722128"/>
      <w:bookmarkStart w:id="131" w:name="_Toc435629836"/>
      <w:bookmarkStart w:id="132" w:name="_Toc435623752"/>
      <w:bookmarkStart w:id="133" w:name="_Toc435687347"/>
      <w:bookmarkStart w:id="134" w:name="_Toc435686978"/>
      <w:bookmarkStart w:id="135" w:name="_Toc49082411"/>
      <w:bookmarkStart w:id="136" w:name="_Toc49135197"/>
      <w:r>
        <w:rPr>
          <w:rFonts w:hint="eastAsia" w:ascii="宋体" w:hAnsi="宋体" w:cs="宋体"/>
          <w:sz w:val="24"/>
          <w:highlight w:val="none"/>
        </w:rPr>
        <w:t>提交首次响应文件截止之日前，采购</w:t>
      </w:r>
      <w:r>
        <w:rPr>
          <w:rFonts w:hint="eastAsia" w:ascii="宋体" w:hAnsi="宋体" w:cs="宋体"/>
          <w:sz w:val="24"/>
          <w:highlight w:val="none"/>
          <w:lang w:val="en-US" w:eastAsia="zh-CN"/>
        </w:rPr>
        <w:t>人、采购代理机构</w:t>
      </w:r>
      <w:r>
        <w:rPr>
          <w:rFonts w:hint="eastAsia" w:ascii="宋体" w:hAnsi="宋体" w:cs="宋体"/>
          <w:sz w:val="24"/>
          <w:highlight w:val="none"/>
        </w:rPr>
        <w:t>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14:paraId="378F1F70">
      <w:pPr>
        <w:pStyle w:val="4"/>
        <w:numPr>
          <w:ilvl w:val="0"/>
          <w:numId w:val="3"/>
        </w:numPr>
        <w:tabs>
          <w:tab w:val="left" w:pos="425"/>
          <w:tab w:val="clear" w:pos="147"/>
        </w:tabs>
        <w:spacing w:before="0" w:beforeLines="0" w:beforeAutospacing="0" w:after="0" w:afterLines="0" w:afterAutospacing="0" w:line="360" w:lineRule="auto"/>
        <w:ind w:left="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6996F64B">
      <w:pPr>
        <w:numPr>
          <w:ilvl w:val="1"/>
          <w:numId w:val="3"/>
        </w:numPr>
        <w:tabs>
          <w:tab w:val="left" w:pos="567"/>
          <w:tab w:val="clear" w:pos="289"/>
        </w:tabs>
        <w:spacing w:beforeAutospacing="0"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投标文件的编写</w:t>
      </w:r>
      <w:r>
        <w:rPr>
          <w:rFonts w:hint="eastAsia" w:ascii="宋体" w:hAnsi="宋体" w:eastAsia="宋体" w:cs="宋体"/>
          <w:kern w:val="0"/>
          <w:sz w:val="24"/>
          <w:highlight w:val="none"/>
          <w:lang w:eastAsia="zh-CN"/>
        </w:rPr>
        <w:t>（</w:t>
      </w:r>
      <w:r>
        <w:rPr>
          <w:rFonts w:hint="eastAsia" w:ascii="宋体" w:hAnsi="宋体" w:eastAsia="宋体" w:cs="宋体"/>
          <w:b/>
          <w:bCs/>
          <w:kern w:val="0"/>
          <w:sz w:val="24"/>
          <w:highlight w:val="none"/>
          <w:lang w:eastAsia="zh-CN"/>
        </w:rPr>
        <w:t>实质性要求</w:t>
      </w:r>
      <w:r>
        <w:rPr>
          <w:rFonts w:hint="eastAsia" w:ascii="宋体" w:hAnsi="宋体" w:eastAsia="宋体" w:cs="宋体"/>
          <w:kern w:val="0"/>
          <w:sz w:val="24"/>
          <w:highlight w:val="none"/>
          <w:lang w:eastAsia="zh-CN"/>
        </w:rPr>
        <w:t>）</w:t>
      </w:r>
    </w:p>
    <w:p w14:paraId="29EE7DA9">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投标人应仔细阅读</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的所有内容，</w:t>
      </w:r>
      <w:r>
        <w:rPr>
          <w:rFonts w:hint="eastAsia" w:ascii="宋体" w:hAnsi="宋体" w:eastAsia="宋体" w:cs="宋体"/>
          <w:bCs/>
          <w:color w:val="auto"/>
          <w:sz w:val="24"/>
          <w:szCs w:val="24"/>
          <w:highlight w:val="none"/>
        </w:rPr>
        <w:t>按</w:t>
      </w:r>
      <w:r>
        <w:rPr>
          <w:rFonts w:hint="eastAsia" w:ascii="宋体" w:hAnsi="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的要求制作并递交投标文件，并保证所提供的全部资料的真实性、准确性，以确保其投标对</w:t>
      </w:r>
      <w:r>
        <w:rPr>
          <w:rFonts w:hint="eastAsia" w:ascii="宋体" w:hAnsi="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做出实质性响应；否则，将拒绝其投标。投标人在投标中提供不真实的材料，无论其材料是否重要，都将直接导致投标文件无效，并承担由此产生的法律责任。</w:t>
      </w:r>
    </w:p>
    <w:p w14:paraId="08818A9C">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投标语言和计量单位</w:t>
      </w:r>
    </w:p>
    <w:p w14:paraId="7911DDCA">
      <w:pPr>
        <w:spacing w:line="360" w:lineRule="auto"/>
        <w:ind w:left="718" w:left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投标文件和来往函件应用中文书写，投标人提供的支持文件、技术资料和印刷的文献可以用</w:t>
      </w:r>
      <w:r>
        <w:rPr>
          <w:rFonts w:hint="eastAsia" w:ascii="宋体" w:hAnsi="宋体" w:cs="宋体"/>
          <w:color w:val="auto"/>
          <w:sz w:val="24"/>
          <w:szCs w:val="24"/>
          <w:highlight w:val="none"/>
          <w:lang w:eastAsia="zh-CN"/>
        </w:rPr>
        <w:t>其他语言</w:t>
      </w:r>
      <w:r>
        <w:rPr>
          <w:rFonts w:hint="eastAsia" w:ascii="宋体" w:hAnsi="宋体" w:eastAsia="宋体" w:cs="宋体"/>
          <w:color w:val="auto"/>
          <w:sz w:val="24"/>
          <w:szCs w:val="24"/>
          <w:highlight w:val="none"/>
        </w:rPr>
        <w:t>，但相应内容应附有中文翻译本（经公证处公证），以中文为准，计量单位应使用国际公制单位。</w:t>
      </w:r>
    </w:p>
    <w:p w14:paraId="7A126450">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必须以人民币报价，并保留小数点后两位。投标文件中开标一览表内容与投标文件中相应内容不一致的，以开标一览表为准；投标文件中的大写金额和小写金额不一致的，以大写金额为准；单价金额小数点或者百分比有明显错位的，以开标一览表为准，并修改单价；总价金额与单价金额和数量乘积不一致的，以单价金额计算结果为准；对不同文字文本投标文件的解释发生异议的，以中文文本为准。</w:t>
      </w:r>
    </w:p>
    <w:p w14:paraId="2B580792">
      <w:pPr>
        <w:numPr>
          <w:ilvl w:val="1"/>
          <w:numId w:val="3"/>
        </w:numPr>
        <w:tabs>
          <w:tab w:val="left" w:pos="567"/>
          <w:tab w:val="clear" w:pos="289"/>
        </w:tabs>
        <w:spacing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投标文件的组成</w:t>
      </w:r>
      <w:r>
        <w:rPr>
          <w:rFonts w:hint="eastAsia" w:ascii="宋体" w:hAnsi="宋体" w:eastAsia="宋体" w:cs="宋体"/>
          <w:kern w:val="0"/>
          <w:sz w:val="24"/>
          <w:highlight w:val="none"/>
          <w:lang w:eastAsia="zh-CN"/>
        </w:rPr>
        <w:t>（</w:t>
      </w:r>
      <w:r>
        <w:rPr>
          <w:rFonts w:hint="eastAsia" w:ascii="宋体" w:hAnsi="宋体" w:eastAsia="宋体" w:cs="宋体"/>
          <w:b/>
          <w:bCs/>
          <w:kern w:val="0"/>
          <w:sz w:val="24"/>
          <w:highlight w:val="none"/>
          <w:lang w:eastAsia="zh-CN"/>
        </w:rPr>
        <w:t>实质性要求</w:t>
      </w:r>
      <w:r>
        <w:rPr>
          <w:rFonts w:hint="eastAsia" w:ascii="宋体" w:hAnsi="宋体" w:eastAsia="宋体" w:cs="宋体"/>
          <w:kern w:val="0"/>
          <w:sz w:val="24"/>
          <w:highlight w:val="none"/>
          <w:lang w:eastAsia="zh-CN"/>
        </w:rPr>
        <w:t>）</w:t>
      </w:r>
    </w:p>
    <w:p w14:paraId="5C74E89C">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投标人准备的投标文件应包括《第六</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 xml:space="preserve"> 投标文件格式》。</w:t>
      </w:r>
    </w:p>
    <w:p w14:paraId="700348BA">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u w:val="double"/>
        </w:rPr>
      </w:pPr>
      <w:r>
        <w:rPr>
          <w:rFonts w:hint="eastAsia" w:ascii="宋体" w:hAnsi="宋体" w:eastAsia="宋体" w:cs="宋体"/>
          <w:b/>
          <w:color w:val="auto"/>
          <w:sz w:val="24"/>
          <w:szCs w:val="24"/>
          <w:highlight w:val="none"/>
          <w:u w:val="double"/>
        </w:rPr>
        <w:t>投标人必须</w:t>
      </w:r>
      <w:r>
        <w:rPr>
          <w:rFonts w:hint="eastAsia" w:ascii="宋体" w:hAnsi="宋体" w:eastAsia="宋体" w:cs="宋体"/>
          <w:b/>
          <w:color w:val="auto"/>
          <w:sz w:val="24"/>
          <w:szCs w:val="24"/>
          <w:highlight w:val="none"/>
          <w:u w:val="double"/>
          <w:lang w:eastAsia="zh-CN"/>
        </w:rPr>
        <w:t>响应</w:t>
      </w:r>
      <w:r>
        <w:rPr>
          <w:rFonts w:hint="eastAsia" w:ascii="宋体" w:hAnsi="宋体" w:cs="宋体"/>
          <w:b/>
          <w:color w:val="auto"/>
          <w:sz w:val="24"/>
          <w:szCs w:val="24"/>
          <w:highlight w:val="none"/>
          <w:u w:val="double"/>
          <w:lang w:eastAsia="zh-CN"/>
        </w:rPr>
        <w:t>磋商文件</w:t>
      </w:r>
      <w:r>
        <w:rPr>
          <w:rFonts w:hint="eastAsia" w:ascii="宋体" w:hAnsi="宋体" w:eastAsia="宋体" w:cs="宋体"/>
          <w:b/>
          <w:color w:val="auto"/>
          <w:sz w:val="24"/>
          <w:szCs w:val="24"/>
          <w:highlight w:val="none"/>
          <w:u w:val="double"/>
          <w:lang w:eastAsia="zh-CN"/>
        </w:rPr>
        <w:t>的要求，在政采云供应商客户端</w:t>
      </w:r>
      <w:r>
        <w:rPr>
          <w:rFonts w:hint="eastAsia" w:ascii="宋体" w:hAnsi="宋体" w:eastAsia="宋体" w:cs="宋体"/>
          <w:b/>
          <w:color w:val="auto"/>
          <w:sz w:val="24"/>
          <w:szCs w:val="24"/>
          <w:highlight w:val="none"/>
          <w:u w:val="double"/>
        </w:rPr>
        <w:t>编制完整的投标文件</w:t>
      </w:r>
      <w:r>
        <w:rPr>
          <w:rFonts w:hint="eastAsia" w:ascii="宋体" w:hAnsi="宋体" w:eastAsia="宋体" w:cs="宋体"/>
          <w:b/>
          <w:color w:val="auto"/>
          <w:sz w:val="24"/>
          <w:szCs w:val="24"/>
          <w:highlight w:val="none"/>
          <w:u w:val="double"/>
          <w:lang w:eastAsia="zh-CN"/>
        </w:rPr>
        <w:t>并在规定的时间内投标，投标文件含有多个组成部分，投标人须对每个部分进行响应。</w:t>
      </w:r>
    </w:p>
    <w:p w14:paraId="2EF8B356">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投标人必须自行承担因其投标文件的任何错漏而导致的一切后果</w:t>
      </w:r>
      <w:r>
        <w:rPr>
          <w:rFonts w:hint="eastAsia" w:ascii="宋体" w:hAnsi="宋体" w:eastAsia="宋体" w:cs="宋体"/>
          <w:b/>
          <w:color w:val="auto"/>
          <w:sz w:val="24"/>
          <w:szCs w:val="24"/>
          <w:highlight w:val="none"/>
          <w:u w:val="none"/>
        </w:rPr>
        <w:t>。</w:t>
      </w:r>
    </w:p>
    <w:p w14:paraId="155B8BA4">
      <w:pPr>
        <w:numPr>
          <w:ilvl w:val="1"/>
          <w:numId w:val="3"/>
        </w:numPr>
        <w:tabs>
          <w:tab w:val="left" w:pos="567"/>
          <w:tab w:val="clear" w:pos="289"/>
        </w:tabs>
        <w:spacing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投标的修改和撤回</w:t>
      </w:r>
    </w:p>
    <w:p w14:paraId="0E53DE9C">
      <w:pPr>
        <w:pStyle w:val="7"/>
        <w:spacing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在投标截止时间前投标人可以修改和</w:t>
      </w:r>
      <w:r>
        <w:rPr>
          <w:rFonts w:hint="eastAsia" w:ascii="宋体" w:hAnsi="宋体" w:eastAsia="宋体" w:cs="宋体"/>
          <w:bCs/>
          <w:color w:val="auto"/>
          <w:sz w:val="24"/>
          <w:szCs w:val="24"/>
          <w:highlight w:val="none"/>
        </w:rPr>
        <w:t>撤回</w:t>
      </w:r>
      <w:r>
        <w:rPr>
          <w:rFonts w:hint="eastAsia" w:ascii="宋体" w:hAnsi="宋体" w:eastAsia="宋体" w:cs="宋体"/>
          <w:color w:val="auto"/>
          <w:sz w:val="24"/>
          <w:szCs w:val="24"/>
          <w:highlight w:val="none"/>
        </w:rPr>
        <w:t>其投标文件，投标截止后不得修改和</w:t>
      </w:r>
      <w:r>
        <w:rPr>
          <w:rFonts w:hint="eastAsia" w:ascii="宋体" w:hAnsi="宋体" w:eastAsia="宋体" w:cs="宋体"/>
          <w:bCs/>
          <w:color w:val="auto"/>
          <w:sz w:val="24"/>
          <w:szCs w:val="24"/>
          <w:highlight w:val="none"/>
        </w:rPr>
        <w:t>撤回</w:t>
      </w:r>
      <w:r>
        <w:rPr>
          <w:rFonts w:hint="eastAsia" w:ascii="宋体" w:hAnsi="宋体" w:eastAsia="宋体" w:cs="宋体"/>
          <w:color w:val="auto"/>
          <w:sz w:val="24"/>
          <w:szCs w:val="24"/>
          <w:highlight w:val="none"/>
        </w:rPr>
        <w:t>其投标文件。</w:t>
      </w:r>
    </w:p>
    <w:p w14:paraId="2A6A7C01">
      <w:pPr>
        <w:pStyle w:val="4"/>
        <w:numPr>
          <w:ilvl w:val="0"/>
          <w:numId w:val="3"/>
        </w:numPr>
        <w:tabs>
          <w:tab w:val="left" w:pos="425"/>
          <w:tab w:val="clear" w:pos="147"/>
        </w:tabs>
        <w:spacing w:before="0" w:beforeLines="0" w:beforeAutospacing="0" w:after="0" w:afterLines="0" w:afterAutospacing="0" w:line="360" w:lineRule="auto"/>
        <w:ind w:left="425"/>
        <w:rPr>
          <w:rFonts w:hint="eastAsia" w:ascii="宋体" w:hAnsi="宋体" w:eastAsia="宋体" w:cs="宋体"/>
          <w:color w:val="auto"/>
          <w:sz w:val="24"/>
          <w:szCs w:val="24"/>
          <w:highlight w:val="none"/>
        </w:rPr>
      </w:pPr>
      <w:bookmarkStart w:id="137" w:name="_Toc383124047"/>
      <w:bookmarkStart w:id="138" w:name="_Toc343857025"/>
      <w:bookmarkStart w:id="139" w:name="_Toc298190383"/>
      <w:bookmarkStart w:id="140" w:name="_Toc435687274"/>
      <w:bookmarkStart w:id="141" w:name="_Toc364846099"/>
      <w:bookmarkStart w:id="142" w:name="_Toc470184440"/>
      <w:bookmarkStart w:id="143" w:name="_Toc298829960"/>
      <w:bookmarkStart w:id="144" w:name="_Toc438508596"/>
      <w:bookmarkStart w:id="145" w:name="_Toc498899370"/>
      <w:bookmarkStart w:id="146" w:name="_Toc487044251"/>
      <w:bookmarkStart w:id="147" w:name="_Toc458635595"/>
      <w:bookmarkStart w:id="148" w:name="_Toc439679267"/>
      <w:bookmarkStart w:id="149" w:name="_Toc422161991"/>
      <w:bookmarkStart w:id="150" w:name="_Toc486969378"/>
      <w:bookmarkStart w:id="151" w:name="_Toc498871243"/>
      <w:bookmarkStart w:id="152" w:name="_Toc439513444"/>
      <w:bookmarkStart w:id="153" w:name="_Toc298920091"/>
      <w:bookmarkStart w:id="154" w:name="_Toc297209418"/>
      <w:bookmarkStart w:id="155" w:name="_Toc458980392"/>
      <w:bookmarkStart w:id="156" w:name="_Toc438641464"/>
      <w:bookmarkStart w:id="157" w:name="_Toc435687348"/>
      <w:bookmarkStart w:id="158" w:name="_Toc439513160"/>
      <w:bookmarkStart w:id="159" w:name="_Toc494832086"/>
      <w:bookmarkStart w:id="160" w:name="_Toc518912734"/>
      <w:bookmarkStart w:id="161" w:name="_Toc22582"/>
      <w:bookmarkStart w:id="162" w:name="_Toc435629837"/>
      <w:bookmarkStart w:id="163" w:name="_Toc418023332"/>
      <w:bookmarkStart w:id="164" w:name="_Toc8622"/>
      <w:bookmarkStart w:id="165" w:name="_Toc479340788"/>
      <w:bookmarkStart w:id="166" w:name="_Toc435686979"/>
      <w:bookmarkStart w:id="167" w:name="_Toc380533809"/>
      <w:bookmarkStart w:id="168" w:name="_Toc479325591"/>
      <w:bookmarkStart w:id="169" w:name="_Toc438513733"/>
      <w:bookmarkStart w:id="170" w:name="_Toc422865420"/>
      <w:bookmarkStart w:id="171" w:name="_Toc435623753"/>
      <w:bookmarkStart w:id="172" w:name="_Toc350417823"/>
      <w:bookmarkStart w:id="173" w:name="_Toc425347661"/>
      <w:bookmarkStart w:id="174" w:name="_Toc356489052"/>
      <w:bookmarkStart w:id="175" w:name="_Toc414510779"/>
      <w:bookmarkStart w:id="176" w:name="_Toc435629791"/>
      <w:bookmarkStart w:id="177" w:name="_Toc416208485"/>
      <w:bookmarkStart w:id="178" w:name="_Toc365033705"/>
      <w:bookmarkStart w:id="179" w:name="_Toc298829719"/>
      <w:bookmarkStart w:id="180" w:name="_Toc438722129"/>
      <w:bookmarkStart w:id="181" w:name="_Toc299108389"/>
      <w:bookmarkStart w:id="182" w:name="_Toc477879839"/>
      <w:r>
        <w:rPr>
          <w:rFonts w:hint="eastAsia" w:ascii="宋体" w:hAnsi="宋体" w:eastAsia="宋体" w:cs="宋体"/>
          <w:color w:val="auto"/>
          <w:sz w:val="24"/>
          <w:szCs w:val="24"/>
          <w:highlight w:val="none"/>
        </w:rPr>
        <w:t>投标总则</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585E7374">
      <w:pPr>
        <w:numPr>
          <w:ilvl w:val="1"/>
          <w:numId w:val="3"/>
        </w:numPr>
        <w:tabs>
          <w:tab w:val="left" w:pos="567"/>
          <w:tab w:val="clear" w:pos="289"/>
        </w:tabs>
        <w:spacing w:beforeAutospacing="0"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w:t>
      </w:r>
    </w:p>
    <w:p w14:paraId="7543AC3D">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所</w:t>
      </w:r>
      <w:r>
        <w:rPr>
          <w:rFonts w:hint="eastAsia" w:ascii="宋体" w:hAnsi="宋体" w:eastAsia="宋体" w:cs="宋体"/>
          <w:color w:val="auto"/>
          <w:sz w:val="24"/>
          <w:szCs w:val="24"/>
          <w:highlight w:val="none"/>
        </w:rPr>
        <w:t>有投标文件应在投标截止时间前</w:t>
      </w:r>
      <w:r>
        <w:rPr>
          <w:rFonts w:hint="eastAsia" w:ascii="宋体" w:hAnsi="宋体" w:eastAsia="宋体" w:cs="宋体"/>
          <w:color w:val="auto"/>
          <w:sz w:val="24"/>
          <w:szCs w:val="24"/>
          <w:highlight w:val="none"/>
          <w:lang w:eastAsia="zh-CN"/>
        </w:rPr>
        <w:t>提交至政采云平台（https://www.zcygov.cn），</w:t>
      </w:r>
      <w:r>
        <w:rPr>
          <w:rFonts w:hint="eastAsia" w:ascii="宋体" w:hAnsi="宋体" w:eastAsia="宋体" w:cs="宋体"/>
          <w:color w:val="auto"/>
          <w:sz w:val="24"/>
          <w:szCs w:val="24"/>
          <w:highlight w:val="none"/>
        </w:rPr>
        <w:t>任何迟于这个时间的投标将被拒绝。</w:t>
      </w:r>
    </w:p>
    <w:p w14:paraId="0132617F">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所有投标文件的备份文件可自愿在采购代理机构规定时间内以U盘邮寄或电子邮件方式提供给代理机构，</w:t>
      </w:r>
      <w:r>
        <w:rPr>
          <w:rFonts w:hint="eastAsia" w:ascii="宋体" w:hAnsi="宋体" w:eastAsia="宋体" w:cs="宋体"/>
          <w:color w:val="auto"/>
          <w:sz w:val="24"/>
          <w:szCs w:val="24"/>
          <w:highlight w:val="none"/>
        </w:rPr>
        <w:t>任何迟于这个时间的</w:t>
      </w:r>
      <w:r>
        <w:rPr>
          <w:rFonts w:hint="eastAsia" w:ascii="宋体" w:hAnsi="宋体" w:eastAsia="宋体" w:cs="宋体"/>
          <w:color w:val="auto"/>
          <w:sz w:val="24"/>
          <w:szCs w:val="24"/>
          <w:highlight w:val="none"/>
          <w:lang w:eastAsia="zh-CN"/>
        </w:rPr>
        <w:t>备份</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将被拒绝。</w:t>
      </w:r>
    </w:p>
    <w:p w14:paraId="2FBE67C4">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采购代理机构不接受电话、传真投标。</w:t>
      </w:r>
    </w:p>
    <w:p w14:paraId="576A55CA">
      <w:pPr>
        <w:numPr>
          <w:ilvl w:val="1"/>
          <w:numId w:val="3"/>
        </w:numPr>
        <w:tabs>
          <w:tab w:val="left" w:pos="567"/>
          <w:tab w:val="clear" w:pos="289"/>
        </w:tabs>
        <w:spacing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投标有效期</w:t>
      </w:r>
      <w:r>
        <w:rPr>
          <w:rFonts w:hint="eastAsia" w:ascii="宋体" w:hAnsi="宋体" w:eastAsia="宋体" w:cs="宋体"/>
          <w:kern w:val="0"/>
          <w:sz w:val="24"/>
          <w:highlight w:val="none"/>
          <w:lang w:eastAsia="zh-CN"/>
        </w:rPr>
        <w:t>（</w:t>
      </w:r>
      <w:r>
        <w:rPr>
          <w:rFonts w:hint="eastAsia" w:ascii="宋体" w:hAnsi="宋体" w:eastAsia="宋体" w:cs="宋体"/>
          <w:b/>
          <w:bCs/>
          <w:kern w:val="0"/>
          <w:sz w:val="24"/>
          <w:highlight w:val="none"/>
          <w:lang w:eastAsia="zh-CN"/>
        </w:rPr>
        <w:t>实质性要求</w:t>
      </w:r>
      <w:r>
        <w:rPr>
          <w:rFonts w:hint="eastAsia" w:ascii="宋体" w:hAnsi="宋体" w:eastAsia="宋体" w:cs="宋体"/>
          <w:kern w:val="0"/>
          <w:sz w:val="24"/>
          <w:highlight w:val="none"/>
          <w:lang w:eastAsia="zh-CN"/>
        </w:rPr>
        <w:t>）</w:t>
      </w:r>
    </w:p>
    <w:p w14:paraId="3671A5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从投标截止日起，投标有效期为</w:t>
      </w:r>
      <w:r>
        <w:rPr>
          <w:rFonts w:hint="eastAsia" w:ascii="宋体" w:hAnsi="宋体" w:cs="宋体"/>
          <w:color w:val="auto"/>
          <w:sz w:val="24"/>
          <w:szCs w:val="24"/>
          <w:highlight w:val="none"/>
          <w:lang w:eastAsia="zh-CN"/>
        </w:rPr>
        <w:t>60天</w:t>
      </w:r>
      <w:r>
        <w:rPr>
          <w:rFonts w:hint="eastAsia" w:ascii="宋体" w:hAnsi="宋体" w:eastAsia="宋体" w:cs="宋体"/>
          <w:color w:val="auto"/>
          <w:sz w:val="24"/>
          <w:szCs w:val="24"/>
          <w:highlight w:val="none"/>
        </w:rPr>
        <w:t>。在特殊情况下，采购人可于投标有效期日满之前要求投标人同意延长有效日期，要求与答复均应以书面形式。投标人可以拒绝上述要求而其</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不被没收，同意延期的投标人根据原截止日期应负之权利及责任相应也延至新的截止日期。</w:t>
      </w:r>
    </w:p>
    <w:p w14:paraId="264D8DBE">
      <w:pPr>
        <w:numPr>
          <w:ilvl w:val="1"/>
          <w:numId w:val="3"/>
        </w:numPr>
        <w:tabs>
          <w:tab w:val="left" w:pos="567"/>
          <w:tab w:val="clear" w:pos="289"/>
        </w:tabs>
        <w:spacing w:line="360" w:lineRule="auto"/>
        <w:ind w:left="567"/>
        <w:outlineLvl w:val="3"/>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磋商保证金</w:t>
      </w:r>
      <w:r>
        <w:rPr>
          <w:rFonts w:hint="eastAsia" w:ascii="宋体" w:hAnsi="宋体" w:eastAsia="宋体" w:cs="宋体"/>
          <w:kern w:val="0"/>
          <w:sz w:val="24"/>
          <w:highlight w:val="none"/>
          <w:lang w:eastAsia="zh-CN"/>
        </w:rPr>
        <w:t>（</w:t>
      </w:r>
      <w:r>
        <w:rPr>
          <w:rFonts w:hint="eastAsia" w:ascii="宋体" w:hAnsi="宋体" w:eastAsia="宋体" w:cs="宋体"/>
          <w:b/>
          <w:bCs/>
          <w:kern w:val="0"/>
          <w:sz w:val="24"/>
          <w:highlight w:val="none"/>
          <w:lang w:eastAsia="zh-CN"/>
        </w:rPr>
        <w:t>实质性要求</w:t>
      </w:r>
      <w:r>
        <w:rPr>
          <w:rFonts w:hint="eastAsia" w:ascii="宋体" w:hAnsi="宋体" w:eastAsia="宋体" w:cs="宋体"/>
          <w:kern w:val="0"/>
          <w:sz w:val="24"/>
          <w:highlight w:val="none"/>
          <w:lang w:eastAsia="zh-CN"/>
        </w:rPr>
        <w:t>）</w:t>
      </w:r>
    </w:p>
    <w:p w14:paraId="20F5185D">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投标人应向采购代理机构提交</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25000.00元（贰万伍仟元整）</w:t>
      </w:r>
      <w:r>
        <w:rPr>
          <w:rFonts w:hint="eastAsia" w:ascii="宋体" w:hAnsi="宋体" w:eastAsia="宋体" w:cs="宋体"/>
          <w:color w:val="auto"/>
          <w:sz w:val="24"/>
          <w:szCs w:val="24"/>
          <w:highlight w:val="none"/>
        </w:rPr>
        <w:t>。</w:t>
      </w:r>
    </w:p>
    <w:p w14:paraId="5B4FFE3B">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本项目保证金供应商自主选择以银行转账（仅支持平台电子保证金）、支票、汇票、本票、保函等非现金形式缴纳。以上方式投标人仅需选择其中一种即可。磋商保证金</w:t>
      </w:r>
      <w:r>
        <w:rPr>
          <w:rFonts w:hint="eastAsia" w:ascii="宋体" w:hAnsi="宋体" w:eastAsia="宋体" w:cs="宋体"/>
          <w:color w:val="auto"/>
          <w:sz w:val="24"/>
          <w:szCs w:val="24"/>
          <w:highlight w:val="none"/>
        </w:rPr>
        <w:t>是投标的组成部分，递交</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的证明文件与投标文件一同递交。</w:t>
      </w:r>
    </w:p>
    <w:p w14:paraId="7E884745">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是投标的组成部分，递交</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的证明文件与投标文件一同递交。</w:t>
      </w:r>
    </w:p>
    <w:p w14:paraId="0C6D08F0">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lang w:eastAsia="zh-CN"/>
        </w:rPr>
        <w:t>的账户</w:t>
      </w:r>
      <w:r>
        <w:rPr>
          <w:rFonts w:hint="eastAsia" w:ascii="宋体" w:hAnsi="宋体" w:eastAsia="宋体" w:cs="宋体"/>
          <w:color w:val="auto"/>
          <w:sz w:val="24"/>
          <w:szCs w:val="24"/>
          <w:highlight w:val="none"/>
        </w:rPr>
        <w:t>：</w:t>
      </w:r>
    </w:p>
    <w:p w14:paraId="50BB33B1">
      <w:pPr>
        <w:numPr>
          <w:ilvl w:val="0"/>
          <w:numId w:val="0"/>
        </w:numPr>
        <w:spacing w:line="360" w:lineRule="auto"/>
        <w:ind w:leftChars="34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一、电子保证金：</w:t>
      </w:r>
    </w:p>
    <w:p w14:paraId="7DCE31EB">
      <w:pPr>
        <w:numPr>
          <w:ilvl w:val="0"/>
          <w:numId w:val="0"/>
        </w:numPr>
        <w:spacing w:line="360" w:lineRule="auto"/>
        <w:ind w:leftChars="34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政采云平台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53D4A89C">
      <w:pPr>
        <w:numPr>
          <w:ilvl w:val="0"/>
          <w:numId w:val="0"/>
        </w:numPr>
        <w:spacing w:line="360" w:lineRule="auto"/>
        <w:ind w:leftChars="34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二、保函（电子保函、纸质保函）</w:t>
      </w:r>
    </w:p>
    <w:p w14:paraId="28E4903E">
      <w:pPr>
        <w:numPr>
          <w:ilvl w:val="0"/>
          <w:numId w:val="0"/>
        </w:numPr>
        <w:spacing w:line="360" w:lineRule="auto"/>
        <w:ind w:leftChars="34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函推荐使用政采云电子保函，投标人通过政采云平台金融服务页面点击电子保函→立即申请，具体操作详见以下网址：https://jinrong.zcygov.cn/luban/finance/letter/xinjiang?pageModelFlag=650000&amp;utm=luban.luban-PC-42055.959-pc-websitegroup-navBar-front.6.7e243ab01fd611eeaa409fcd72e2594c</w:t>
      </w:r>
    </w:p>
    <w:p w14:paraId="3C7FF473">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如投标人未按上述规定提交</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，其投标文件将被拒绝。</w:t>
      </w:r>
    </w:p>
    <w:p w14:paraId="0FB32FC0">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未中标的投标人的</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将在</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发出后5个工作日内无息退还。</w:t>
      </w:r>
    </w:p>
    <w:p w14:paraId="6FEF6E4C">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下列任一情况发生时，</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将不予退还：</w:t>
      </w:r>
    </w:p>
    <w:p w14:paraId="77C76312">
      <w:pPr>
        <w:spacing w:line="360" w:lineRule="auto"/>
        <w:ind w:left="1075" w:leftChars="215" w:hanging="624" w:hanging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投标人在</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中规定的投标有效期内撤销其投标文件；</w:t>
      </w:r>
    </w:p>
    <w:p w14:paraId="65C58458">
      <w:pPr>
        <w:spacing w:line="360" w:lineRule="auto"/>
        <w:ind w:left="1075" w:leftChars="215" w:hanging="624" w:hanging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中标后无正当理由放弃中标或中标人拒绝与采购人签订合同。</w:t>
      </w:r>
    </w:p>
    <w:p w14:paraId="0E59A566">
      <w:pPr>
        <w:numPr>
          <w:ilvl w:val="1"/>
          <w:numId w:val="3"/>
        </w:numPr>
        <w:tabs>
          <w:tab w:val="left" w:pos="567"/>
          <w:tab w:val="clear" w:pos="289"/>
        </w:tabs>
        <w:spacing w:line="360" w:lineRule="auto"/>
        <w:ind w:left="567"/>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开标</w:t>
      </w:r>
    </w:p>
    <w:p w14:paraId="16173FB1">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开标在</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确定的提交投标文件截止时间的同一时间公开进行，开标地点为</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预先确定的地点。</w:t>
      </w:r>
    </w:p>
    <w:p w14:paraId="0A36EAAB">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要求提交投标文件的截止时间前收到的所有投标文件，</w:t>
      </w:r>
      <w:r>
        <w:rPr>
          <w:rFonts w:hint="eastAsia" w:ascii="宋体" w:hAnsi="宋体" w:eastAsia="宋体" w:cs="宋体"/>
          <w:color w:val="auto"/>
          <w:sz w:val="24"/>
          <w:szCs w:val="24"/>
          <w:highlight w:val="none"/>
          <w:lang w:eastAsia="zh-CN"/>
        </w:rPr>
        <w:t>供应商须</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开标时</w:t>
      </w:r>
      <w:r>
        <w:rPr>
          <w:rFonts w:hint="eastAsia" w:ascii="宋体" w:hAnsi="宋体" w:eastAsia="宋体" w:cs="宋体"/>
          <w:color w:val="auto"/>
          <w:sz w:val="24"/>
          <w:szCs w:val="24"/>
          <w:highlight w:val="none"/>
          <w:lang w:val="en-US" w:eastAsia="zh-CN"/>
        </w:rPr>
        <w:t>按</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lang w:val="en-US" w:eastAsia="zh-CN"/>
        </w:rPr>
        <w:t>规定的时间内</w:t>
      </w:r>
      <w:r>
        <w:rPr>
          <w:rFonts w:hint="eastAsia" w:ascii="宋体" w:hAnsi="宋体" w:eastAsia="宋体" w:cs="宋体"/>
          <w:color w:val="auto"/>
          <w:sz w:val="24"/>
          <w:szCs w:val="24"/>
          <w:highlight w:val="none"/>
          <w:lang w:eastAsia="zh-CN"/>
        </w:rPr>
        <w:t>解密投标文件</w:t>
      </w:r>
      <w:r>
        <w:rPr>
          <w:rFonts w:hint="eastAsia" w:ascii="宋体" w:hAnsi="宋体" w:eastAsia="宋体" w:cs="宋体"/>
          <w:color w:val="auto"/>
          <w:sz w:val="24"/>
          <w:szCs w:val="24"/>
          <w:highlight w:val="none"/>
        </w:rPr>
        <w:t>。当投标人少于三家时，则招标失败，采购代理机构将重新招标</w:t>
      </w:r>
      <w:r>
        <w:rPr>
          <w:rFonts w:hint="eastAsia" w:ascii="宋体" w:hAnsi="宋体" w:eastAsia="宋体" w:cs="宋体"/>
          <w:color w:val="auto"/>
          <w:sz w:val="24"/>
          <w:szCs w:val="24"/>
          <w:highlight w:val="none"/>
          <w:lang w:eastAsia="zh-CN"/>
        </w:rPr>
        <w:t>。</w:t>
      </w:r>
    </w:p>
    <w:p w14:paraId="35BA71F2">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参与本次采购活动的各个供应商</w:t>
      </w:r>
      <w:r>
        <w:rPr>
          <w:rFonts w:hint="eastAsia" w:ascii="宋体" w:hAnsi="宋体" w:eastAsia="宋体" w:cs="宋体"/>
          <w:b w:val="0"/>
          <w:bCs w:val="0"/>
          <w:color w:val="auto"/>
          <w:sz w:val="24"/>
          <w:szCs w:val="24"/>
          <w:highlight w:val="none"/>
          <w:lang w:val="en-US" w:eastAsia="zh-CN"/>
        </w:rPr>
        <w:t>须</w:t>
      </w:r>
      <w:r>
        <w:rPr>
          <w:rFonts w:hint="eastAsia" w:ascii="宋体" w:hAnsi="宋体" w:eastAsia="宋体" w:cs="宋体"/>
          <w:b w:val="0"/>
          <w:bCs w:val="0"/>
          <w:color w:val="auto"/>
          <w:sz w:val="24"/>
          <w:szCs w:val="24"/>
          <w:highlight w:val="none"/>
          <w:lang w:eastAsia="zh-CN"/>
        </w:rPr>
        <w:t>提前自行配置好硬件货物（电脑、摄像头、麦克风、谷歌浏览器（</w:t>
      </w:r>
      <w:r>
        <w:rPr>
          <w:rFonts w:hint="eastAsia" w:ascii="宋体" w:hAnsi="宋体" w:eastAsia="宋体" w:cs="宋体"/>
          <w:b w:val="0"/>
          <w:bCs w:val="0"/>
          <w:color w:val="auto"/>
          <w:sz w:val="24"/>
          <w:szCs w:val="24"/>
          <w:highlight w:val="none"/>
          <w:lang w:val="en-US" w:eastAsia="zh-CN"/>
        </w:rPr>
        <w:t>建议</w:t>
      </w:r>
      <w:r>
        <w:rPr>
          <w:rFonts w:hint="eastAsia" w:ascii="宋体" w:hAnsi="宋体" w:eastAsia="宋体" w:cs="宋体"/>
          <w:b w:val="0"/>
          <w:bCs w:val="0"/>
          <w:color w:val="auto"/>
          <w:sz w:val="24"/>
          <w:szCs w:val="24"/>
          <w:highlight w:val="none"/>
          <w:lang w:eastAsia="zh-CN"/>
        </w:rPr>
        <w:t>）、政采云招投标系统），登录政采云平台</w:t>
      </w:r>
      <w:r>
        <w:rPr>
          <w:rFonts w:hint="eastAsia" w:ascii="宋体" w:hAnsi="宋体" w:eastAsia="宋体" w:cs="宋体"/>
          <w:b w:val="0"/>
          <w:bCs w:val="0"/>
          <w:color w:val="auto"/>
          <w:sz w:val="24"/>
          <w:szCs w:val="24"/>
          <w:highlight w:val="none"/>
          <w:lang w:val="en-US" w:eastAsia="zh-CN"/>
        </w:rPr>
        <w:t>开标大厅</w:t>
      </w:r>
      <w:r>
        <w:rPr>
          <w:rFonts w:hint="eastAsia" w:ascii="宋体" w:hAnsi="宋体" w:eastAsia="宋体" w:cs="宋体"/>
          <w:b w:val="0"/>
          <w:bCs w:val="0"/>
          <w:color w:val="auto"/>
          <w:sz w:val="24"/>
          <w:szCs w:val="24"/>
          <w:highlight w:val="none"/>
          <w:lang w:eastAsia="zh-CN"/>
        </w:rPr>
        <w:t>，并确保</w:t>
      </w:r>
      <w:r>
        <w:rPr>
          <w:rFonts w:hint="eastAsia" w:ascii="宋体" w:hAnsi="宋体" w:eastAsia="宋体" w:cs="宋体"/>
          <w:b w:val="0"/>
          <w:bCs w:val="0"/>
          <w:color w:val="auto"/>
          <w:sz w:val="24"/>
          <w:szCs w:val="24"/>
          <w:highlight w:val="none"/>
          <w:lang w:val="en-US" w:eastAsia="zh-CN"/>
        </w:rPr>
        <w:t>所有</w:t>
      </w:r>
      <w:r>
        <w:rPr>
          <w:rFonts w:hint="eastAsia" w:ascii="宋体" w:hAnsi="宋体" w:eastAsia="宋体" w:cs="宋体"/>
          <w:b w:val="0"/>
          <w:bCs w:val="0"/>
          <w:color w:val="auto"/>
          <w:sz w:val="24"/>
          <w:szCs w:val="24"/>
          <w:highlight w:val="none"/>
          <w:lang w:eastAsia="zh-CN"/>
        </w:rPr>
        <w:t>货物</w:t>
      </w:r>
      <w:r>
        <w:rPr>
          <w:rFonts w:hint="eastAsia" w:ascii="宋体" w:hAnsi="宋体" w:eastAsia="宋体" w:cs="宋体"/>
          <w:b w:val="0"/>
          <w:bCs w:val="0"/>
          <w:color w:val="auto"/>
          <w:sz w:val="24"/>
          <w:szCs w:val="24"/>
          <w:highlight w:val="none"/>
          <w:lang w:val="en-US" w:eastAsia="zh-CN"/>
        </w:rPr>
        <w:t>可</w:t>
      </w:r>
      <w:r>
        <w:rPr>
          <w:rFonts w:hint="eastAsia" w:ascii="宋体" w:hAnsi="宋体" w:eastAsia="宋体" w:cs="宋体"/>
          <w:b w:val="0"/>
          <w:bCs w:val="0"/>
          <w:color w:val="auto"/>
          <w:sz w:val="24"/>
          <w:szCs w:val="24"/>
          <w:highlight w:val="none"/>
          <w:lang w:eastAsia="zh-CN"/>
        </w:rPr>
        <w:t>正常</w:t>
      </w:r>
      <w:r>
        <w:rPr>
          <w:rFonts w:hint="eastAsia" w:ascii="宋体" w:hAnsi="宋体" w:eastAsia="宋体" w:cs="宋体"/>
          <w:b w:val="0"/>
          <w:bCs w:val="0"/>
          <w:color w:val="auto"/>
          <w:sz w:val="24"/>
          <w:szCs w:val="24"/>
          <w:highlight w:val="none"/>
          <w:lang w:val="en-US" w:eastAsia="zh-CN"/>
        </w:rPr>
        <w:t>使用</w:t>
      </w:r>
      <w:r>
        <w:rPr>
          <w:rFonts w:hint="eastAsia" w:ascii="宋体" w:hAnsi="宋体" w:eastAsia="宋体" w:cs="宋体"/>
          <w:b w:val="0"/>
          <w:bCs w:val="0"/>
          <w:color w:val="auto"/>
          <w:sz w:val="24"/>
          <w:szCs w:val="24"/>
          <w:highlight w:val="none"/>
          <w:lang w:eastAsia="zh-CN"/>
        </w:rPr>
        <w:t>。到达开标时间，待</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lang w:eastAsia="zh-CN"/>
        </w:rPr>
        <w:t>代理机构开启解密标书后，投标人进行标书解密。</w:t>
      </w:r>
    </w:p>
    <w:p w14:paraId="6BA7167D">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w:t>
      </w:r>
      <w:r>
        <w:rPr>
          <w:rFonts w:hint="eastAsia" w:ascii="宋体" w:hAnsi="宋体" w:eastAsia="宋体" w:cs="宋体"/>
          <w:color w:val="auto"/>
          <w:sz w:val="24"/>
          <w:szCs w:val="24"/>
          <w:highlight w:val="none"/>
          <w:lang w:eastAsia="zh-CN"/>
        </w:rPr>
        <w:t>会主持人介绍参加会议的人员</w:t>
      </w:r>
      <w:r>
        <w:rPr>
          <w:rFonts w:hint="eastAsia" w:ascii="宋体" w:hAnsi="宋体" w:eastAsia="宋体" w:cs="宋体"/>
          <w:color w:val="auto"/>
          <w:sz w:val="24"/>
          <w:szCs w:val="24"/>
          <w:highlight w:val="none"/>
        </w:rPr>
        <w:t>。</w:t>
      </w:r>
    </w:p>
    <w:p w14:paraId="27E79E6F">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投标人进入项目即自行签到。</w:t>
      </w:r>
    </w:p>
    <w:p w14:paraId="3C7DD8C5">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开标会主持人宣布投标文件上传时间和地点是否符合</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lang w:eastAsia="zh-CN"/>
        </w:rPr>
        <w:t>要求。</w:t>
      </w:r>
    </w:p>
    <w:p w14:paraId="66818BB2">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w:t>
      </w:r>
      <w:r>
        <w:rPr>
          <w:rFonts w:hint="eastAsia" w:ascii="宋体" w:hAnsi="宋体" w:eastAsia="宋体" w:cs="宋体"/>
          <w:color w:val="auto"/>
          <w:sz w:val="24"/>
          <w:szCs w:val="24"/>
          <w:highlight w:val="none"/>
          <w:lang w:eastAsia="zh-CN"/>
        </w:rPr>
        <w:t>会主持人开启报价文件，宣布投标文件中的投标报价、交货期、质量等级等内容</w:t>
      </w:r>
      <w:r>
        <w:rPr>
          <w:rFonts w:hint="eastAsia" w:ascii="宋体" w:hAnsi="宋体" w:eastAsia="宋体" w:cs="宋体"/>
          <w:color w:val="auto"/>
          <w:sz w:val="24"/>
          <w:szCs w:val="24"/>
          <w:highlight w:val="none"/>
        </w:rPr>
        <w:t>。</w:t>
      </w:r>
    </w:p>
    <w:p w14:paraId="2BE5D3AB">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投标</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szCs w:val="24"/>
          <w:highlight w:val="none"/>
          <w:lang w:eastAsia="zh-CN"/>
        </w:rPr>
        <w:t>对开标报价记录表确认无误后，代理机构开启报价签字时段</w:t>
      </w:r>
      <w:r>
        <w:rPr>
          <w:rFonts w:hint="eastAsia" w:ascii="宋体" w:hAnsi="宋体" w:eastAsia="宋体" w:cs="宋体"/>
          <w:b/>
          <w:bCs/>
          <w:color w:val="auto"/>
          <w:sz w:val="24"/>
          <w:szCs w:val="24"/>
          <w:highlight w:val="none"/>
          <w:lang w:val="en-US" w:eastAsia="zh-CN"/>
        </w:rPr>
        <w:t>30分钟内进行CA签字确认，投标单位在此期间未进行CA签字确认的视为默认此报价</w:t>
      </w:r>
      <w:r>
        <w:rPr>
          <w:rFonts w:hint="eastAsia" w:ascii="宋体" w:hAnsi="宋体" w:eastAsia="宋体" w:cs="宋体"/>
          <w:b/>
          <w:bCs/>
          <w:color w:val="auto"/>
          <w:sz w:val="24"/>
          <w:szCs w:val="24"/>
          <w:highlight w:val="none"/>
        </w:rPr>
        <w:t>。</w:t>
      </w:r>
    </w:p>
    <w:p w14:paraId="036064C2">
      <w:pPr>
        <w:numPr>
          <w:ilvl w:val="2"/>
          <w:numId w:val="3"/>
        </w:numPr>
        <w:tabs>
          <w:tab w:val="left" w:pos="624"/>
          <w:tab w:val="left" w:pos="735"/>
          <w:tab w:val="left" w:pos="1254"/>
          <w:tab w:val="clear" w:pos="1050"/>
        </w:tabs>
        <w:spacing w:line="360" w:lineRule="auto"/>
        <w:ind w:left="735" w:hanging="735"/>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进入评标阶段。</w:t>
      </w:r>
    </w:p>
    <w:p w14:paraId="43A30037">
      <w:pPr>
        <w:numPr>
          <w:ilvl w:val="0"/>
          <w:numId w:val="0"/>
        </w:numPr>
        <w:tabs>
          <w:tab w:val="left" w:pos="624"/>
          <w:tab w:val="left" w:pos="735"/>
          <w:tab w:val="left" w:pos="1254"/>
        </w:tabs>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4.5 评标准备会</w:t>
      </w:r>
    </w:p>
    <w:p w14:paraId="47182EEF">
      <w:pPr>
        <w:keepNext w:val="0"/>
        <w:keepLines w:val="0"/>
        <w:pageBreakBefore w:val="0"/>
        <w:widowControl w:val="0"/>
        <w:numPr>
          <w:ilvl w:val="0"/>
          <w:numId w:val="0"/>
        </w:numPr>
        <w:tabs>
          <w:tab w:val="left" w:pos="624"/>
          <w:tab w:val="left" w:pos="735"/>
          <w:tab w:val="left" w:pos="1254"/>
        </w:tabs>
        <w:kinsoku/>
        <w:wordWrap/>
        <w:overflowPunct/>
        <w:topLinePunct w:val="0"/>
        <w:autoSpaceDE/>
        <w:autoSpaceDN/>
        <w:bidi w:val="0"/>
        <w:adjustRightInd/>
        <w:snapToGrid/>
        <w:spacing w:line="360" w:lineRule="auto"/>
        <w:ind w:left="720" w:leftChars="0" w:hanging="720" w:hangingChars="3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4.5.1 采购代理机构向评标专家提供评标时的重要信息和数据。其中包括：采购的目标、范围和性质；</w:t>
      </w:r>
      <w:r>
        <w:rPr>
          <w:rFonts w:hint="eastAsia" w:ascii="宋体" w:hAnsi="宋体" w:cs="宋体"/>
          <w:b w:val="0"/>
          <w:bCs w:val="0"/>
          <w:color w:val="auto"/>
          <w:sz w:val="24"/>
          <w:szCs w:val="24"/>
          <w:highlight w:val="none"/>
          <w:lang w:val="en-US" w:eastAsia="zh-CN"/>
        </w:rPr>
        <w:t>磋商文件</w:t>
      </w:r>
      <w:r>
        <w:rPr>
          <w:rFonts w:hint="eastAsia" w:ascii="宋体" w:hAnsi="宋体" w:eastAsia="宋体" w:cs="宋体"/>
          <w:b w:val="0"/>
          <w:bCs w:val="0"/>
          <w:color w:val="auto"/>
          <w:sz w:val="24"/>
          <w:szCs w:val="24"/>
          <w:highlight w:val="none"/>
          <w:lang w:val="en-US" w:eastAsia="zh-CN"/>
        </w:rPr>
        <w:t>中规定的主要技术要求、标准和商务条款；</w:t>
      </w:r>
      <w:r>
        <w:rPr>
          <w:rFonts w:hint="eastAsia" w:ascii="宋体" w:hAnsi="宋体" w:cs="宋体"/>
          <w:b w:val="0"/>
          <w:bCs w:val="0"/>
          <w:color w:val="auto"/>
          <w:sz w:val="24"/>
          <w:szCs w:val="24"/>
          <w:highlight w:val="none"/>
          <w:lang w:val="en-US" w:eastAsia="zh-CN"/>
        </w:rPr>
        <w:t>磋商文件中</w:t>
      </w:r>
      <w:r>
        <w:rPr>
          <w:rFonts w:hint="eastAsia" w:ascii="宋体" w:hAnsi="宋体" w:eastAsia="宋体" w:cs="宋体"/>
          <w:b w:val="0"/>
          <w:bCs w:val="0"/>
          <w:color w:val="auto"/>
          <w:sz w:val="24"/>
          <w:szCs w:val="24"/>
          <w:highlight w:val="none"/>
          <w:lang w:val="en-US" w:eastAsia="zh-CN"/>
        </w:rPr>
        <w:t>规定的评标标准、评标方法和在评标过程中考虑的相关因素。</w:t>
      </w:r>
    </w:p>
    <w:p w14:paraId="11CBD46B">
      <w:pPr>
        <w:pStyle w:val="6"/>
        <w:keepNext w:val="0"/>
        <w:keepLines w:val="0"/>
        <w:pageBreakBefore w:val="0"/>
        <w:widowControl w:val="0"/>
        <w:kinsoku/>
        <w:wordWrap/>
        <w:overflowPunct/>
        <w:topLinePunct w:val="0"/>
        <w:autoSpaceDE/>
        <w:autoSpaceDN/>
        <w:bidi w:val="0"/>
        <w:adjustRightInd/>
        <w:snapToGrid/>
        <w:spacing w:line="360" w:lineRule="auto"/>
        <w:ind w:left="723" w:hanging="720" w:hangingChars="3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4.5.2 评标委员会对投标文件依据《资格审查标准</w:t>
      </w:r>
      <w:r>
        <w:rPr>
          <w:rFonts w:hint="eastAsia" w:cs="宋体"/>
          <w:b w:val="0"/>
          <w:bCs w:val="0"/>
          <w:color w:val="auto"/>
          <w:sz w:val="24"/>
          <w:szCs w:val="24"/>
          <w:highlight w:val="none"/>
          <w:lang w:val="en-US" w:eastAsia="zh-CN"/>
        </w:rPr>
        <w:t>》和</w:t>
      </w:r>
      <w:r>
        <w:rPr>
          <w:rFonts w:hint="eastAsia" w:ascii="宋体" w:hAnsi="宋体" w:eastAsia="宋体" w:cs="宋体"/>
          <w:b w:val="0"/>
          <w:bCs w:val="0"/>
          <w:color w:val="auto"/>
          <w:sz w:val="24"/>
          <w:szCs w:val="24"/>
          <w:highlight w:val="none"/>
          <w:lang w:val="en-US" w:eastAsia="zh-CN"/>
        </w:rPr>
        <w:t>《符合性审查标准》进行初评。</w:t>
      </w:r>
    </w:p>
    <w:p w14:paraId="38B57F2F">
      <w:pPr>
        <w:keepNext w:val="0"/>
        <w:keepLines w:val="0"/>
        <w:pageBreakBefore w:val="0"/>
        <w:widowControl w:val="0"/>
        <w:kinsoku/>
        <w:wordWrap/>
        <w:overflowPunct/>
        <w:topLinePunct w:val="0"/>
        <w:autoSpaceDE/>
        <w:autoSpaceDN/>
        <w:bidi w:val="0"/>
        <w:adjustRightInd/>
        <w:snapToGrid/>
        <w:spacing w:line="360" w:lineRule="auto"/>
        <w:ind w:left="723" w:hanging="720" w:hangingChars="3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4.5.3 评标委员会对通过初评的投标文件依据《投标文件评审标准》进行详评。</w:t>
      </w:r>
    </w:p>
    <w:p w14:paraId="223E4D54">
      <w:pPr>
        <w:spacing w:afterAutospacing="0"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4.5.4 投标人应保持通讯货物的畅通，以方便在评标过程中评标委员会要求投标人对投标文件的必要澄清、说明和纠正。</w:t>
      </w:r>
    </w:p>
    <w:p w14:paraId="51DCB203">
      <w:pPr>
        <w:pStyle w:val="4"/>
        <w:numPr>
          <w:ilvl w:val="0"/>
          <w:numId w:val="3"/>
        </w:numPr>
        <w:tabs>
          <w:tab w:val="left" w:pos="425"/>
          <w:tab w:val="clear" w:pos="147"/>
        </w:tabs>
        <w:snapToGrid/>
        <w:spacing w:before="0" w:beforeLines="0" w:beforeAutospacing="0" w:after="0" w:afterLines="0" w:afterAutospacing="0" w:line="360" w:lineRule="auto"/>
        <w:ind w:left="425"/>
        <w:rPr>
          <w:rFonts w:hint="eastAsia" w:ascii="宋体" w:hAnsi="宋体" w:eastAsia="宋体" w:cs="宋体"/>
          <w:color w:val="auto"/>
          <w:sz w:val="24"/>
          <w:szCs w:val="24"/>
          <w:highlight w:val="none"/>
        </w:rPr>
      </w:pPr>
      <w:bookmarkStart w:id="183" w:name="_Toc479340789"/>
      <w:bookmarkStart w:id="184" w:name="_Toc479325592"/>
      <w:bookmarkStart w:id="185" w:name="_Toc490645938"/>
      <w:bookmarkStart w:id="186" w:name="_Toc438513734"/>
      <w:bookmarkStart w:id="187" w:name="_Toc486969379"/>
      <w:bookmarkStart w:id="188" w:name="_Toc401655774"/>
      <w:bookmarkStart w:id="189" w:name="_Toc422865421"/>
      <w:bookmarkStart w:id="190" w:name="_Toc399415363"/>
      <w:bookmarkStart w:id="191" w:name="_Toc42952419"/>
      <w:bookmarkStart w:id="192" w:name="_Toc487044252"/>
      <w:bookmarkStart w:id="193" w:name="_Toc435629838"/>
      <w:bookmarkStart w:id="194" w:name="_Toc416208486"/>
      <w:bookmarkStart w:id="195" w:name="_Toc435623754"/>
      <w:bookmarkStart w:id="196" w:name="_Toc435629792"/>
      <w:bookmarkStart w:id="197" w:name="_Toc439513445"/>
      <w:bookmarkStart w:id="198" w:name="_Toc438641465"/>
      <w:bookmarkStart w:id="199" w:name="_Toc458635596"/>
      <w:bookmarkStart w:id="200" w:name="_Toc498899371"/>
      <w:bookmarkStart w:id="201" w:name="_Toc391418659"/>
      <w:bookmarkStart w:id="202" w:name="_Toc391419532"/>
      <w:bookmarkStart w:id="203" w:name="_Toc470184441"/>
      <w:bookmarkStart w:id="204" w:name="_Toc439513161"/>
      <w:bookmarkStart w:id="205" w:name="_Toc9797"/>
      <w:bookmarkStart w:id="206" w:name="_Toc19947"/>
      <w:bookmarkStart w:id="207" w:name="_Toc425347662"/>
      <w:bookmarkStart w:id="208" w:name="_Toc422161992"/>
      <w:bookmarkStart w:id="209" w:name="_Toc418023333"/>
      <w:bookmarkStart w:id="210" w:name="_Toc435686980"/>
      <w:bookmarkStart w:id="211" w:name="_Toc498871244"/>
      <w:bookmarkStart w:id="212" w:name="_Toc403072942"/>
      <w:bookmarkStart w:id="213" w:name="_Toc414510780"/>
      <w:bookmarkStart w:id="214" w:name="_Toc518912735"/>
      <w:bookmarkStart w:id="215" w:name="_Toc494832087"/>
      <w:bookmarkStart w:id="216" w:name="_Toc435687275"/>
      <w:bookmarkStart w:id="217" w:name="_Toc438508597"/>
      <w:bookmarkStart w:id="218" w:name="_Toc435687349"/>
      <w:bookmarkStart w:id="219" w:name="_Toc438722130"/>
      <w:bookmarkStart w:id="220" w:name="_Toc403830754"/>
      <w:bookmarkStart w:id="221" w:name="_Toc477879840"/>
      <w:bookmarkStart w:id="222" w:name="_Toc439679268"/>
      <w:bookmarkStart w:id="223" w:name="_Toc403580038"/>
      <w:bookmarkStart w:id="224" w:name="_Toc458980393"/>
      <w:bookmarkStart w:id="225" w:name="_Toc399775413"/>
      <w:r>
        <w:rPr>
          <w:rFonts w:hint="eastAsia" w:ascii="宋体" w:hAnsi="宋体" w:eastAsia="宋体" w:cs="宋体"/>
          <w:color w:val="auto"/>
          <w:sz w:val="24"/>
          <w:szCs w:val="24"/>
          <w:highlight w:val="none"/>
        </w:rPr>
        <w:t>授予合同</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rFonts w:hint="eastAsia" w:ascii="宋体" w:hAnsi="宋体" w:eastAsia="宋体" w:cs="宋体"/>
          <w:color w:val="auto"/>
          <w:sz w:val="24"/>
          <w:szCs w:val="24"/>
          <w:highlight w:val="none"/>
        </w:rPr>
        <w:t xml:space="preserve">                                                    </w:t>
      </w:r>
    </w:p>
    <w:p w14:paraId="3362EF8E">
      <w:pPr>
        <w:numPr>
          <w:ilvl w:val="1"/>
          <w:numId w:val="3"/>
        </w:numPr>
        <w:tabs>
          <w:tab w:val="left" w:pos="567"/>
          <w:tab w:val="clear" w:pos="289"/>
        </w:tabs>
        <w:spacing w:line="360" w:lineRule="auto"/>
        <w:ind w:left="567"/>
        <w:outlineLvl w:val="3"/>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采购人确定中标人过程中，发现中标候选人有下列情形之一的，应当不予确定其为中</w:t>
      </w:r>
      <w:r>
        <w:rPr>
          <w:rFonts w:hint="eastAsia" w:ascii="宋体" w:hAnsi="宋体" w:eastAsia="宋体" w:cs="宋体"/>
          <w:b/>
          <w:color w:val="auto"/>
          <w:sz w:val="24"/>
          <w:szCs w:val="24"/>
          <w:highlight w:val="none"/>
        </w:rPr>
        <w:t>标人</w:t>
      </w:r>
      <w:r>
        <w:rPr>
          <w:rFonts w:hint="eastAsia" w:ascii="宋体" w:hAnsi="宋体" w:eastAsia="宋体" w:cs="宋体"/>
          <w:b/>
          <w:color w:val="auto"/>
          <w:sz w:val="24"/>
          <w:szCs w:val="24"/>
          <w:highlight w:val="none"/>
          <w:lang w:eastAsia="zh-CN"/>
        </w:rPr>
        <w:t>：</w:t>
      </w:r>
    </w:p>
    <w:p w14:paraId="2F1161E0">
      <w:pPr>
        <w:keepNext w:val="0"/>
        <w:keepLines w:val="0"/>
        <w:pageBreakBefore w:val="0"/>
        <w:widowControl w:val="0"/>
        <w:numPr>
          <w:ilvl w:val="0"/>
          <w:numId w:val="4"/>
        </w:numPr>
        <w:tabs>
          <w:tab w:val="left" w:pos="624"/>
          <w:tab w:val="left" w:pos="735"/>
          <w:tab w:val="left" w:pos="1571"/>
        </w:tabs>
        <w:kinsoku/>
        <w:wordWrap/>
        <w:overflowPunct/>
        <w:topLinePunct w:val="0"/>
        <w:autoSpaceDE/>
        <w:autoSpaceDN/>
        <w:bidi w:val="0"/>
        <w:adjustRightInd/>
        <w:snapToGrid/>
        <w:spacing w:line="360" w:lineRule="auto"/>
        <w:ind w:left="0" w:leftChars="0" w:firstLine="85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发现中标候选人存在禁止参加本项目采购活动的违法行为的；</w:t>
      </w:r>
    </w:p>
    <w:p w14:paraId="05376F9F">
      <w:pPr>
        <w:keepNext w:val="0"/>
        <w:keepLines w:val="0"/>
        <w:pageBreakBefore w:val="0"/>
        <w:widowControl w:val="0"/>
        <w:numPr>
          <w:ilvl w:val="0"/>
          <w:numId w:val="4"/>
        </w:numPr>
        <w:tabs>
          <w:tab w:val="left" w:pos="624"/>
          <w:tab w:val="left" w:pos="735"/>
          <w:tab w:val="left" w:pos="1571"/>
        </w:tabs>
        <w:kinsoku/>
        <w:wordWrap/>
        <w:overflowPunct/>
        <w:topLinePunct w:val="0"/>
        <w:autoSpaceDE/>
        <w:autoSpaceDN/>
        <w:bidi w:val="0"/>
        <w:adjustRightInd/>
        <w:snapToGrid/>
        <w:spacing w:line="360" w:lineRule="auto"/>
        <w:ind w:left="0" w:leftChars="0" w:firstLine="85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中标候选人因不可抗力，不能继续参加政府采购活动；</w:t>
      </w:r>
    </w:p>
    <w:p w14:paraId="2BE8AB94">
      <w:pPr>
        <w:keepNext w:val="0"/>
        <w:keepLines w:val="0"/>
        <w:pageBreakBefore w:val="0"/>
        <w:widowControl w:val="0"/>
        <w:numPr>
          <w:ilvl w:val="0"/>
          <w:numId w:val="4"/>
        </w:numPr>
        <w:tabs>
          <w:tab w:val="left" w:pos="624"/>
          <w:tab w:val="left" w:pos="735"/>
          <w:tab w:val="left" w:pos="1571"/>
        </w:tabs>
        <w:kinsoku/>
        <w:wordWrap/>
        <w:overflowPunct/>
        <w:topLinePunct w:val="0"/>
        <w:autoSpaceDE/>
        <w:autoSpaceDN/>
        <w:bidi w:val="0"/>
        <w:adjustRightInd/>
        <w:snapToGrid/>
        <w:spacing w:line="360" w:lineRule="auto"/>
        <w:ind w:left="0" w:leftChars="0" w:firstLine="85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中标候选人无偿赠与或者低于成本价竞争；</w:t>
      </w:r>
    </w:p>
    <w:p w14:paraId="2F3C0F90">
      <w:pPr>
        <w:keepNext w:val="0"/>
        <w:keepLines w:val="0"/>
        <w:pageBreakBefore w:val="0"/>
        <w:widowControl w:val="0"/>
        <w:numPr>
          <w:ilvl w:val="0"/>
          <w:numId w:val="4"/>
        </w:numPr>
        <w:tabs>
          <w:tab w:val="left" w:pos="624"/>
          <w:tab w:val="left" w:pos="735"/>
          <w:tab w:val="left" w:pos="1571"/>
        </w:tabs>
        <w:kinsoku/>
        <w:wordWrap/>
        <w:overflowPunct/>
        <w:topLinePunct w:val="0"/>
        <w:autoSpaceDE/>
        <w:autoSpaceDN/>
        <w:bidi w:val="0"/>
        <w:adjustRightInd/>
        <w:snapToGrid/>
        <w:spacing w:line="360" w:lineRule="auto"/>
        <w:ind w:left="0" w:leftChars="0" w:firstLine="85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中标候选人提供虚假材料；</w:t>
      </w:r>
    </w:p>
    <w:p w14:paraId="20F8ABFF">
      <w:pPr>
        <w:keepNext w:val="0"/>
        <w:keepLines w:val="0"/>
        <w:pageBreakBefore w:val="0"/>
        <w:widowControl w:val="0"/>
        <w:numPr>
          <w:ilvl w:val="0"/>
          <w:numId w:val="4"/>
        </w:numPr>
        <w:tabs>
          <w:tab w:val="left" w:pos="624"/>
          <w:tab w:val="left" w:pos="735"/>
          <w:tab w:val="left" w:pos="1571"/>
        </w:tabs>
        <w:kinsoku/>
        <w:wordWrap/>
        <w:overflowPunct/>
        <w:topLinePunct w:val="0"/>
        <w:autoSpaceDE/>
        <w:autoSpaceDN/>
        <w:bidi w:val="0"/>
        <w:adjustRightInd/>
        <w:snapToGrid/>
        <w:spacing w:line="360" w:lineRule="auto"/>
        <w:ind w:left="0" w:leftChars="0" w:firstLine="85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中标候选人恶意串通。</w:t>
      </w:r>
    </w:p>
    <w:p w14:paraId="2AEF609A">
      <w:pPr>
        <w:numPr>
          <w:ilvl w:val="1"/>
          <w:numId w:val="3"/>
        </w:numPr>
        <w:tabs>
          <w:tab w:val="left" w:pos="567"/>
          <w:tab w:val="clear" w:pos="289"/>
        </w:tabs>
        <w:spacing w:line="360" w:lineRule="auto"/>
        <w:ind w:left="567"/>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中标结果公告</w:t>
      </w:r>
    </w:p>
    <w:p w14:paraId="196942BB">
      <w:pPr>
        <w:numPr>
          <w:ilvl w:val="0"/>
          <w:numId w:val="0"/>
        </w:numPr>
        <w:tabs>
          <w:tab w:val="left" w:pos="360"/>
        </w:tabs>
        <w:spacing w:line="360" w:lineRule="auto"/>
        <w:ind w:leftChars="0" w:firstLine="720" w:firstLineChars="3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采购代理机构将在</w:t>
      </w:r>
      <w:r>
        <w:rPr>
          <w:rFonts w:hint="eastAsia" w:ascii="宋体" w:hAnsi="宋体" w:eastAsia="宋体" w:cs="宋体"/>
          <w:color w:val="auto"/>
          <w:sz w:val="24"/>
          <w:szCs w:val="24"/>
          <w:highlight w:val="none"/>
          <w:lang w:eastAsia="zh-CN"/>
        </w:rPr>
        <w:t>新疆政府采购网上</w:t>
      </w:r>
      <w:r>
        <w:rPr>
          <w:rFonts w:hint="eastAsia" w:ascii="宋体" w:hAnsi="宋体" w:eastAsia="宋体" w:cs="宋体"/>
          <w:color w:val="auto"/>
          <w:sz w:val="24"/>
          <w:szCs w:val="24"/>
          <w:highlight w:val="none"/>
        </w:rPr>
        <w:t>公示中标结果公告。</w:t>
      </w:r>
    </w:p>
    <w:p w14:paraId="2697925D">
      <w:pPr>
        <w:numPr>
          <w:ilvl w:val="1"/>
          <w:numId w:val="3"/>
        </w:numPr>
        <w:tabs>
          <w:tab w:val="left" w:pos="567"/>
          <w:tab w:val="clear" w:pos="289"/>
        </w:tabs>
        <w:spacing w:line="360" w:lineRule="auto"/>
        <w:ind w:left="567"/>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质疑和投诉</w:t>
      </w:r>
    </w:p>
    <w:p w14:paraId="5D1CB3CB">
      <w:pPr>
        <w:numPr>
          <w:ilvl w:val="2"/>
          <w:numId w:val="3"/>
        </w:numPr>
        <w:tabs>
          <w:tab w:val="left" w:pos="624"/>
          <w:tab w:val="left" w:pos="735"/>
          <w:tab w:val="left" w:pos="1571"/>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投标人对评标结果有质疑或投诉的，可根据《中华人民共和国政府采购法》及有关政府采购法规的规定，向相关部门书面提出，但需对质疑或投诉内容的真实性承担责任。</w:t>
      </w:r>
    </w:p>
    <w:p w14:paraId="494B5351">
      <w:pPr>
        <w:numPr>
          <w:ilvl w:val="2"/>
          <w:numId w:val="3"/>
        </w:numPr>
        <w:tabs>
          <w:tab w:val="left" w:pos="624"/>
          <w:tab w:val="left" w:pos="735"/>
          <w:tab w:val="left" w:pos="1571"/>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中标公告内容有异议的，应在公告发布之日起7个工作日内，按如下联系方式以书面形式向采购人或采购代理机构提出质疑。采购人或采购代理机构应在收到投标人书面质疑后7个工作日内，对质疑内容作出答复。</w:t>
      </w:r>
    </w:p>
    <w:p w14:paraId="2746C7DA">
      <w:pPr>
        <w:snapToGrid w:val="0"/>
        <w:spacing w:before="50" w:line="360" w:lineRule="auto"/>
        <w:ind w:firstLine="752" w:firstLineChars="31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质疑联系方式：</w:t>
      </w:r>
    </w:p>
    <w:p w14:paraId="6041F6CD">
      <w:pPr>
        <w:pStyle w:val="7"/>
        <w:keepNext w:val="0"/>
        <w:keepLines w:val="0"/>
        <w:pageBreakBefore w:val="0"/>
        <w:kinsoku/>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采购人名称：</w:t>
      </w:r>
      <w:r>
        <w:rPr>
          <w:rFonts w:hint="eastAsia" w:ascii="宋体" w:hAnsi="宋体" w:cs="宋体"/>
          <w:color w:val="auto"/>
          <w:sz w:val="24"/>
          <w:szCs w:val="24"/>
          <w:highlight w:val="none"/>
          <w:lang w:eastAsia="zh-CN"/>
        </w:rPr>
        <w:t xml:space="preserve"> 巴音郭楞职业技术学院</w:t>
      </w:r>
    </w:p>
    <w:p w14:paraId="0C31C7FA">
      <w:pPr>
        <w:snapToGrid w:val="0"/>
        <w:spacing w:before="50" w:line="360" w:lineRule="auto"/>
        <w:ind w:firstLine="748" w:firstLineChars="312"/>
        <w:rPr>
          <w:rFonts w:hint="default" w:ascii="宋体" w:hAnsi="宋体" w:eastAsia="宋体" w:cs="宋体"/>
          <w:bCs/>
          <w:color w:val="auto"/>
          <w:kern w:val="28"/>
          <w:sz w:val="24"/>
          <w:szCs w:val="24"/>
          <w:highlight w:val="none"/>
          <w:lang w:val="en-US" w:eastAsia="zh-CN"/>
        </w:rPr>
      </w:pPr>
      <w:r>
        <w:rPr>
          <w:rFonts w:hint="eastAsia" w:ascii="宋体" w:hAnsi="宋体" w:eastAsia="宋体" w:cs="宋体"/>
          <w:color w:val="auto"/>
          <w:sz w:val="24"/>
          <w:szCs w:val="24"/>
          <w:highlight w:val="none"/>
        </w:rPr>
        <w:t>采购人地址：</w:t>
      </w:r>
      <w:r>
        <w:rPr>
          <w:rFonts w:hint="eastAsia" w:ascii="宋体" w:hAnsi="宋体" w:cs="宋体"/>
          <w:color w:val="auto"/>
          <w:sz w:val="24"/>
          <w:szCs w:val="24"/>
          <w:highlight w:val="none"/>
          <w:lang w:eastAsia="zh-CN"/>
        </w:rPr>
        <w:t>新疆库尔勒经济技术开发区乐悟路36号</w:t>
      </w:r>
    </w:p>
    <w:p w14:paraId="43FD64A9">
      <w:pPr>
        <w:snapToGrid w:val="0"/>
        <w:spacing w:before="50" w:line="360" w:lineRule="auto"/>
        <w:ind w:firstLine="748" w:firstLineChars="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采购单位联系人：</w:t>
      </w:r>
      <w:r>
        <w:rPr>
          <w:rFonts w:hint="eastAsia" w:ascii="宋体" w:hAnsi="宋体" w:cs="宋体"/>
          <w:color w:val="auto"/>
          <w:sz w:val="24"/>
          <w:szCs w:val="24"/>
          <w:highlight w:val="none"/>
          <w:lang w:eastAsia="zh-CN"/>
        </w:rPr>
        <w:t>田睿涵</w:t>
      </w:r>
      <w:r>
        <w:rPr>
          <w:rFonts w:hint="eastAsia" w:ascii="宋体" w:hAnsi="宋体" w:eastAsia="宋体" w:cs="宋体"/>
          <w:color w:val="auto"/>
          <w:sz w:val="24"/>
          <w:szCs w:val="24"/>
          <w:highlight w:val="none"/>
        </w:rPr>
        <w:t xml:space="preserve"> </w:t>
      </w:r>
    </w:p>
    <w:p w14:paraId="01332BFA">
      <w:pPr>
        <w:spacing w:line="440" w:lineRule="exact"/>
        <w:ind w:firstLine="720" w:firstLineChars="3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采购单位联系电话：</w:t>
      </w:r>
      <w:r>
        <w:rPr>
          <w:rFonts w:hint="eastAsia" w:ascii="宋体" w:hAnsi="宋体" w:cs="宋体"/>
          <w:color w:val="auto"/>
          <w:sz w:val="24"/>
          <w:szCs w:val="24"/>
          <w:highlight w:val="none"/>
          <w:lang w:val="en-US" w:eastAsia="zh-CN"/>
        </w:rPr>
        <w:t>15999012276</w:t>
      </w:r>
    </w:p>
    <w:p w14:paraId="1B3873CC">
      <w:pPr>
        <w:pStyle w:val="7"/>
        <w:rPr>
          <w:rFonts w:hint="eastAsia" w:ascii="宋体" w:hAnsi="宋体" w:eastAsia="宋体" w:cs="宋体"/>
          <w:color w:val="auto"/>
          <w:sz w:val="24"/>
          <w:szCs w:val="24"/>
          <w:highlight w:val="none"/>
        </w:rPr>
      </w:pPr>
    </w:p>
    <w:p w14:paraId="0841D150">
      <w:pPr>
        <w:pStyle w:val="7"/>
        <w:keepNext w:val="0"/>
        <w:keepLines w:val="0"/>
        <w:pageBreakBefore w:val="0"/>
        <w:kinsoku/>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采购代理机构：</w:t>
      </w:r>
      <w:r>
        <w:rPr>
          <w:rFonts w:hint="eastAsia" w:ascii="宋体" w:hAnsi="宋体" w:cs="宋体"/>
          <w:color w:val="auto"/>
          <w:kern w:val="0"/>
          <w:sz w:val="24"/>
          <w:szCs w:val="24"/>
          <w:highlight w:val="none"/>
          <w:lang w:eastAsia="zh-CN"/>
        </w:rPr>
        <w:t>新疆众想丰华工程造价咨询有限公司</w:t>
      </w:r>
    </w:p>
    <w:p w14:paraId="3D49A142">
      <w:pPr>
        <w:snapToGrid w:val="0"/>
        <w:spacing w:before="50" w:line="360" w:lineRule="auto"/>
        <w:ind w:firstLine="748" w:firstLineChars="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采购代理机构地址：</w:t>
      </w:r>
      <w:r>
        <w:rPr>
          <w:rFonts w:hint="eastAsia" w:ascii="宋体" w:hAnsi="宋体" w:cs="宋体"/>
          <w:color w:val="auto"/>
          <w:kern w:val="2"/>
          <w:sz w:val="24"/>
          <w:szCs w:val="24"/>
          <w:highlight w:val="none"/>
          <w:lang w:val="en-US" w:eastAsia="zh-CN" w:bidi="ar-SA"/>
        </w:rPr>
        <w:t>新疆库尔勒市延安路丽枫酒店18楼1810室</w:t>
      </w:r>
    </w:p>
    <w:p w14:paraId="614D8AA6">
      <w:pPr>
        <w:shd w:val="clear" w:color="auto" w:fill="auto"/>
        <w:snapToGrid w:val="0"/>
        <w:spacing w:before="50" w:line="360" w:lineRule="auto"/>
        <w:ind w:firstLine="748" w:firstLineChars="31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eastAsia="zh-CN"/>
        </w:rPr>
        <w:t>19915127272</w:t>
      </w:r>
    </w:p>
    <w:p w14:paraId="2A2CB120">
      <w:pPr>
        <w:shd w:val="clear" w:color="auto" w:fill="auto"/>
        <w:snapToGrid w:val="0"/>
        <w:spacing w:before="50" w:line="360" w:lineRule="auto"/>
        <w:ind w:firstLine="748" w:firstLineChars="31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张倩</w:t>
      </w:r>
    </w:p>
    <w:p w14:paraId="26666FB2">
      <w:pPr>
        <w:snapToGrid w:val="0"/>
        <w:spacing w:before="50" w:line="360" w:lineRule="auto"/>
        <w:ind w:firstLine="748" w:firstLineChars="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邮编：841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00</w:t>
      </w:r>
    </w:p>
    <w:p w14:paraId="53B877F5">
      <w:pPr>
        <w:numPr>
          <w:ilvl w:val="1"/>
          <w:numId w:val="3"/>
        </w:numPr>
        <w:tabs>
          <w:tab w:val="left" w:pos="567"/>
          <w:tab w:val="clear" w:pos="289"/>
        </w:tabs>
        <w:spacing w:line="360" w:lineRule="auto"/>
        <w:ind w:left="567"/>
        <w:outlineLvl w:val="3"/>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成交通知书</w:t>
      </w:r>
    </w:p>
    <w:p w14:paraId="0558C012">
      <w:pPr>
        <w:numPr>
          <w:ilvl w:val="2"/>
          <w:numId w:val="3"/>
        </w:numPr>
        <w:tabs>
          <w:tab w:val="left" w:pos="624"/>
          <w:tab w:val="left" w:pos="735"/>
          <w:tab w:val="left" w:pos="1571"/>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中标结果公告发布的同时，采购代理机构以书面形式向中标投标人发出依法确认的《</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w:t>
      </w:r>
    </w:p>
    <w:p w14:paraId="41FF2BC0">
      <w:pPr>
        <w:numPr>
          <w:ilvl w:val="2"/>
          <w:numId w:val="3"/>
        </w:numPr>
        <w:tabs>
          <w:tab w:val="left" w:pos="624"/>
          <w:tab w:val="left" w:pos="735"/>
          <w:tab w:val="left" w:pos="1571"/>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》将是合同的一个组成部分，对采购人和中标投标人具有同等法律效力；《</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》发出后，采购人改变中标结果，或者中标投标人放弃中标的，均应承担相应的法律责任。</w:t>
      </w:r>
    </w:p>
    <w:p w14:paraId="3E178F4A">
      <w:pPr>
        <w:numPr>
          <w:ilvl w:val="2"/>
          <w:numId w:val="3"/>
        </w:numPr>
        <w:tabs>
          <w:tab w:val="left" w:pos="624"/>
          <w:tab w:val="left" w:pos="735"/>
          <w:tab w:val="left" w:pos="1571"/>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采购代理机构在向中标投标人发出《</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》的同时，发布《结果公告》，将招标结果通知未中标投标人。</w:t>
      </w:r>
    </w:p>
    <w:p w14:paraId="10A049D1">
      <w:pPr>
        <w:numPr>
          <w:ilvl w:val="1"/>
          <w:numId w:val="3"/>
        </w:numPr>
        <w:tabs>
          <w:tab w:val="left" w:pos="567"/>
          <w:tab w:val="clear" w:pos="289"/>
        </w:tabs>
        <w:spacing w:line="360" w:lineRule="auto"/>
        <w:ind w:left="567"/>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签订合同</w:t>
      </w:r>
    </w:p>
    <w:p w14:paraId="49085D86">
      <w:pPr>
        <w:numPr>
          <w:ilvl w:val="2"/>
          <w:numId w:val="3"/>
        </w:numPr>
        <w:tabs>
          <w:tab w:val="left" w:pos="624"/>
          <w:tab w:val="left" w:pos="735"/>
          <w:tab w:val="left" w:pos="1571"/>
          <w:tab w:val="clear" w:pos="1050"/>
        </w:tabs>
        <w:spacing w:line="36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中标投标人在收到《</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》后，应按照《</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》指定的时间、地点，派遣其授权代表与采购人签署合同。</w:t>
      </w:r>
    </w:p>
    <w:p w14:paraId="0C877120">
      <w:pPr>
        <w:numPr>
          <w:ilvl w:val="2"/>
          <w:numId w:val="3"/>
        </w:numPr>
        <w:tabs>
          <w:tab w:val="left" w:pos="624"/>
          <w:tab w:val="left" w:pos="735"/>
          <w:tab w:val="left" w:pos="1571"/>
          <w:tab w:val="clear" w:pos="1050"/>
        </w:tabs>
        <w:snapToGrid w:val="0"/>
        <w:spacing w:line="240" w:lineRule="auto"/>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合同的组成基于但不限于以下部分：</w:t>
      </w:r>
    </w:p>
    <w:p w14:paraId="5940EADA">
      <w:pPr>
        <w:widowControl/>
        <w:numPr>
          <w:ilvl w:val="0"/>
          <w:numId w:val="5"/>
        </w:numPr>
        <w:tabs>
          <w:tab w:val="left" w:pos="720"/>
          <w:tab w:val="left" w:pos="1418"/>
          <w:tab w:val="clear" w:pos="1080"/>
        </w:tabs>
        <w:spacing w:line="480" w:lineRule="exact"/>
        <w:ind w:left="1148" w:leftChars="356" w:hanging="400" w:hangingChars="16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w:t>
      </w:r>
    </w:p>
    <w:p w14:paraId="5B42990E">
      <w:pPr>
        <w:widowControl/>
        <w:numPr>
          <w:ilvl w:val="0"/>
          <w:numId w:val="5"/>
        </w:numPr>
        <w:tabs>
          <w:tab w:val="left" w:pos="720"/>
          <w:tab w:val="left" w:pos="1418"/>
          <w:tab w:val="clear" w:pos="1080"/>
        </w:tabs>
        <w:spacing w:line="480" w:lineRule="exact"/>
        <w:ind w:left="1148" w:leftChars="356" w:hanging="400" w:hangingChars="167"/>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及其澄清、补充文件；</w:t>
      </w:r>
    </w:p>
    <w:p w14:paraId="5107144D">
      <w:pPr>
        <w:widowControl/>
        <w:numPr>
          <w:ilvl w:val="0"/>
          <w:numId w:val="5"/>
        </w:numPr>
        <w:tabs>
          <w:tab w:val="left" w:pos="720"/>
          <w:tab w:val="left" w:pos="1418"/>
          <w:tab w:val="clear" w:pos="1080"/>
        </w:tabs>
        <w:spacing w:line="480" w:lineRule="exact"/>
        <w:ind w:left="1148" w:leftChars="356" w:hanging="400" w:hangingChars="16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中标投标人的投标文件及其澄清、补充文件；</w:t>
      </w:r>
    </w:p>
    <w:p w14:paraId="06DBB2F5">
      <w:pPr>
        <w:widowControl/>
        <w:numPr>
          <w:ilvl w:val="0"/>
          <w:numId w:val="5"/>
        </w:numPr>
        <w:tabs>
          <w:tab w:val="left" w:pos="720"/>
          <w:tab w:val="left" w:pos="1418"/>
          <w:tab w:val="clear" w:pos="1080"/>
        </w:tabs>
        <w:spacing w:afterAutospacing="0" w:line="480" w:lineRule="exact"/>
        <w:ind w:left="1148" w:leftChars="356" w:hanging="400" w:hangingChars="167"/>
        <w:jc w:val="left"/>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w:t>
      </w:r>
    </w:p>
    <w:p w14:paraId="14EC7521">
      <w:pPr>
        <w:pStyle w:val="4"/>
        <w:numPr>
          <w:ilvl w:val="0"/>
          <w:numId w:val="3"/>
        </w:numPr>
        <w:tabs>
          <w:tab w:val="left" w:pos="425"/>
          <w:tab w:val="clear" w:pos="147"/>
        </w:tabs>
        <w:spacing w:before="0" w:beforeLines="0" w:beforeAutospacing="0" w:after="0" w:afterLines="0" w:afterAutospacing="0"/>
        <w:ind w:left="425"/>
        <w:rPr>
          <w:rFonts w:hint="eastAsia" w:ascii="宋体" w:hAnsi="宋体" w:eastAsia="宋体" w:cs="宋体"/>
          <w:bCs/>
          <w:color w:val="auto"/>
          <w:sz w:val="24"/>
          <w:szCs w:val="24"/>
          <w:highlight w:val="none"/>
        </w:rPr>
      </w:pPr>
      <w:bookmarkStart w:id="226" w:name="_Toc298829722"/>
      <w:bookmarkStart w:id="227" w:name="_Toc418023334"/>
      <w:bookmarkStart w:id="228" w:name="_Toc435629839"/>
      <w:bookmarkStart w:id="229" w:name="_Toc297209420"/>
      <w:bookmarkStart w:id="230" w:name="_Toc380533811"/>
      <w:bookmarkStart w:id="231" w:name="_Toc299108392"/>
      <w:bookmarkStart w:id="232" w:name="_Toc494832088"/>
      <w:bookmarkStart w:id="233" w:name="_Toc356489054"/>
      <w:bookmarkStart w:id="234" w:name="_Toc365033707"/>
      <w:bookmarkStart w:id="235" w:name="_Toc498899372"/>
      <w:bookmarkStart w:id="236" w:name="_Toc422161993"/>
      <w:bookmarkStart w:id="237" w:name="_Toc435686981"/>
      <w:bookmarkStart w:id="238" w:name="_Toc435629793"/>
      <w:bookmarkStart w:id="239" w:name="_Toc414510781"/>
      <w:bookmarkStart w:id="240" w:name="_Toc435623755"/>
      <w:bookmarkStart w:id="241" w:name="_Toc343857028"/>
      <w:bookmarkStart w:id="242" w:name="_Toc298920094"/>
      <w:bookmarkStart w:id="243" w:name="_Toc486969380"/>
      <w:bookmarkStart w:id="244" w:name="_Toc498871245"/>
      <w:bookmarkStart w:id="245" w:name="_Toc416208487"/>
      <w:bookmarkStart w:id="246" w:name="_Toc438641466"/>
      <w:bookmarkStart w:id="247" w:name="_Toc435687276"/>
      <w:bookmarkStart w:id="248" w:name="_Toc477879841"/>
      <w:bookmarkStart w:id="249" w:name="_Toc435687350"/>
      <w:bookmarkStart w:id="250" w:name="_Toc479325593"/>
      <w:bookmarkStart w:id="251" w:name="_Toc425347663"/>
      <w:bookmarkStart w:id="252" w:name="_Toc364846101"/>
      <w:bookmarkStart w:id="253" w:name="_Toc439513446"/>
      <w:bookmarkStart w:id="254" w:name="_Toc350417826"/>
      <w:bookmarkStart w:id="255" w:name="_Toc458635597"/>
      <w:bookmarkStart w:id="256" w:name="_Toc298190386"/>
      <w:bookmarkStart w:id="257" w:name="_Toc439513162"/>
      <w:bookmarkStart w:id="258" w:name="_Toc518912736"/>
      <w:bookmarkStart w:id="259" w:name="_Toc12802"/>
      <w:bookmarkStart w:id="260" w:name="_Toc438513735"/>
      <w:bookmarkStart w:id="261" w:name="_Toc383124049"/>
      <w:bookmarkStart w:id="262" w:name="_Toc479340790"/>
      <w:bookmarkStart w:id="263" w:name="_Toc487044253"/>
      <w:bookmarkStart w:id="264" w:name="_Toc470184442"/>
      <w:bookmarkStart w:id="265" w:name="_Toc23657"/>
      <w:bookmarkStart w:id="266" w:name="_Toc438508598"/>
      <w:bookmarkStart w:id="267" w:name="_Toc458980394"/>
      <w:bookmarkStart w:id="268" w:name="_Toc298829963"/>
      <w:bookmarkStart w:id="269" w:name="_Toc439679269"/>
      <w:bookmarkStart w:id="270" w:name="_Toc438722131"/>
      <w:bookmarkStart w:id="271" w:name="_Toc422865422"/>
      <w:r>
        <w:rPr>
          <w:rFonts w:hint="eastAsia" w:ascii="宋体" w:hAnsi="宋体" w:eastAsia="宋体" w:cs="宋体"/>
          <w:bCs/>
          <w:color w:val="auto"/>
          <w:sz w:val="24"/>
          <w:szCs w:val="24"/>
          <w:highlight w:val="none"/>
        </w:rPr>
        <w:t>招标服务费</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62F9A91B">
      <w:pPr>
        <w:spacing w:beforeAutospacing="0" w:after="50" w:line="400" w:lineRule="exact"/>
        <w:ind w:firstLine="523" w:firstLineChars="21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中标人须向采购代理机构</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的招标服务费，根据《国家发展改革委关于进一步放开建设项目专业服务价格的通知发改价格》</w:t>
      </w:r>
      <w:r>
        <w:rPr>
          <w:rFonts w:hint="eastAsia" w:ascii="宋体" w:hAnsi="宋体" w:cs="宋体"/>
          <w:color w:val="auto"/>
          <w:sz w:val="24"/>
          <w:szCs w:val="24"/>
          <w:highlight w:val="none"/>
          <w:lang w:eastAsia="zh-CN"/>
        </w:rPr>
        <w:t>〔2015〕299号</w:t>
      </w:r>
      <w:r>
        <w:rPr>
          <w:rFonts w:hint="eastAsia" w:ascii="宋体" w:hAnsi="宋体" w:eastAsia="宋体" w:cs="宋体"/>
          <w:color w:val="auto"/>
          <w:sz w:val="24"/>
          <w:szCs w:val="24"/>
          <w:highlight w:val="none"/>
        </w:rPr>
        <w:t>的通知实行市场调节价，按差额定率累进法计算</w:t>
      </w:r>
      <w:r>
        <w:rPr>
          <w:rFonts w:hint="eastAsia" w:ascii="宋体" w:hAnsi="宋体" w:cs="宋体"/>
          <w:color w:val="auto"/>
          <w:sz w:val="24"/>
          <w:szCs w:val="24"/>
          <w:highlight w:val="none"/>
          <w:lang w:eastAsia="zh-CN"/>
        </w:rPr>
        <w:t>。</w:t>
      </w:r>
    </w:p>
    <w:p w14:paraId="33A2506C">
      <w:pPr>
        <w:pStyle w:val="18"/>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bookmarkStart w:id="272" w:name="_Toc1532"/>
      <w:r>
        <w:rPr>
          <w:rFonts w:hint="eastAsia" w:ascii="宋体" w:hAnsi="宋体" w:eastAsia="宋体" w:cs="宋体"/>
          <w:sz w:val="44"/>
          <w:szCs w:val="44"/>
          <w:highlight w:val="none"/>
        </w:rPr>
        <w:t>第三部分</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rPr>
        <w:t>合同主要条款</w:t>
      </w:r>
      <w:bookmarkEnd w:id="272"/>
    </w:p>
    <w:p w14:paraId="1052D94A">
      <w:pPr>
        <w:pStyle w:val="18"/>
        <w:jc w:val="center"/>
        <w:rPr>
          <w:rFonts w:hint="eastAsia" w:ascii="宋体" w:hAnsi="宋体" w:eastAsia="宋体" w:cs="宋体"/>
          <w:sz w:val="32"/>
          <w:szCs w:val="32"/>
          <w:highlight w:val="none"/>
          <w:lang w:eastAsia="zh-CN"/>
        </w:rPr>
      </w:pPr>
      <w:r>
        <w:rPr>
          <w:rFonts w:hint="eastAsia" w:ascii="宋体" w:hAnsi="宋体" w:cs="宋体"/>
          <w:sz w:val="32"/>
          <w:szCs w:val="32"/>
          <w:highlight w:val="none"/>
          <w:lang w:eastAsia="zh-CN"/>
        </w:rPr>
        <w:t>（</w:t>
      </w:r>
      <w:r>
        <w:rPr>
          <w:rFonts w:hint="eastAsia" w:ascii="宋体" w:hAnsi="宋体" w:cs="宋体"/>
          <w:sz w:val="32"/>
          <w:szCs w:val="32"/>
          <w:highlight w:val="none"/>
          <w:lang w:val="en-US" w:eastAsia="zh-CN"/>
        </w:rPr>
        <w:t>仅供参考</w:t>
      </w:r>
      <w:r>
        <w:rPr>
          <w:rFonts w:hint="eastAsia" w:ascii="宋体" w:hAnsi="宋体" w:cs="宋体"/>
          <w:sz w:val="32"/>
          <w:szCs w:val="32"/>
          <w:highlight w:val="none"/>
          <w:lang w:eastAsia="zh-CN"/>
        </w:rPr>
        <w:t>）</w:t>
      </w:r>
    </w:p>
    <w:p w14:paraId="710802E8">
      <w:pPr>
        <w:spacing w:line="360" w:lineRule="auto"/>
        <w:ind w:left="1919" w:leftChars="228" w:hanging="1440" w:hangingChars="6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 xml:space="preserve">巴音郭楞职业技术学院教务管理服务平台、实验实训管理服务平台以及个性化功能定制建设项目 </w:t>
      </w:r>
    </w:p>
    <w:p w14:paraId="3D0ABC9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合同编号：</w:t>
      </w:r>
    </w:p>
    <w:p w14:paraId="00A781C8">
      <w:pPr>
        <w:spacing w:line="360" w:lineRule="auto"/>
        <w:ind w:firstLine="480" w:firstLineChars="200"/>
        <w:rPr>
          <w:rFonts w:hint="eastAsia" w:ascii="宋体" w:hAnsi="宋体" w:eastAsia="宋体" w:cs="宋体"/>
          <w:color w:val="FF0000"/>
          <w:sz w:val="24"/>
          <w:highlight w:val="none"/>
        </w:rPr>
      </w:pPr>
      <w:r>
        <w:rPr>
          <w:rFonts w:hint="eastAsia" w:ascii="宋体" w:hAnsi="宋体" w:eastAsia="宋体" w:cs="宋体"/>
          <w:sz w:val="24"/>
          <w:highlight w:val="none"/>
        </w:rPr>
        <w:t>采购单位（以下简称甲方）：</w:t>
      </w:r>
      <w:r>
        <w:rPr>
          <w:rFonts w:hint="eastAsia" w:ascii="宋体" w:hAnsi="宋体" w:cs="宋体"/>
          <w:sz w:val="24"/>
          <w:highlight w:val="none"/>
          <w:lang w:eastAsia="zh-CN"/>
        </w:rPr>
        <w:t xml:space="preserve"> 巴音郭楞职业技术学院</w:t>
      </w:r>
      <w:r>
        <w:rPr>
          <w:rFonts w:hint="eastAsia" w:ascii="宋体" w:hAnsi="宋体" w:eastAsia="宋体" w:cs="宋体"/>
          <w:sz w:val="24"/>
          <w:highlight w:val="none"/>
          <w:lang w:eastAsia="zh-CN"/>
        </w:rPr>
        <w:t xml:space="preserve"> </w:t>
      </w:r>
      <w:r>
        <w:rPr>
          <w:rFonts w:hint="eastAsia" w:ascii="宋体" w:hAnsi="宋体" w:eastAsia="宋体" w:cs="宋体"/>
          <w:color w:val="FF0000"/>
          <w:sz w:val="24"/>
          <w:highlight w:val="none"/>
        </w:rPr>
        <w:t xml:space="preserve"> </w:t>
      </w:r>
    </w:p>
    <w:p w14:paraId="1086E90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中标单位（以下简称乙方）： </w:t>
      </w:r>
    </w:p>
    <w:p w14:paraId="57928B8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甲、乙双方根据</w:t>
      </w:r>
      <w:r>
        <w:rPr>
          <w:rFonts w:hint="eastAsia" w:ascii="宋体" w:hAnsi="宋体" w:eastAsia="宋体" w:cs="宋体"/>
          <w:sz w:val="24"/>
          <w:highlight w:val="none"/>
          <w:lang w:val="en-US" w:eastAsia="zh-CN"/>
        </w:rPr>
        <w:t xml:space="preserve"> </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年</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 xml:space="preserve"> 月 </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日</w:t>
      </w:r>
      <w:r>
        <w:rPr>
          <w:rFonts w:hint="eastAsia" w:ascii="宋体" w:hAnsi="宋体" w:eastAsia="宋体" w:cs="宋体"/>
          <w:sz w:val="24"/>
          <w:highlight w:val="none"/>
        </w:rPr>
        <w:t>对</w:t>
      </w:r>
      <w:r>
        <w:rPr>
          <w:rFonts w:hint="eastAsia" w:ascii="宋体" w:hAnsi="宋体" w:cs="宋体"/>
          <w:sz w:val="24"/>
          <w:highlight w:val="none"/>
          <w:lang w:eastAsia="zh-CN"/>
        </w:rPr>
        <w:t>巴音郭楞职业技术学院教务管理服务平台、实验实训管理服务平台以及个性化功能定制建设项目</w:t>
      </w:r>
      <w:r>
        <w:rPr>
          <w:rFonts w:hint="eastAsia" w:ascii="宋体" w:hAnsi="宋体" w:eastAsia="宋体" w:cs="宋体"/>
          <w:color w:val="000000"/>
          <w:sz w:val="24"/>
          <w:highlight w:val="none"/>
        </w:rPr>
        <w:t>招</w:t>
      </w:r>
      <w:r>
        <w:rPr>
          <w:rFonts w:hint="eastAsia" w:ascii="宋体" w:hAnsi="宋体" w:eastAsia="宋体" w:cs="宋体"/>
          <w:sz w:val="24"/>
          <w:highlight w:val="none"/>
        </w:rPr>
        <w:t>标结果和</w:t>
      </w:r>
      <w:r>
        <w:rPr>
          <w:rFonts w:hint="eastAsia" w:ascii="宋体" w:hAnsi="宋体" w:cs="宋体"/>
          <w:sz w:val="24"/>
          <w:highlight w:val="none"/>
          <w:lang w:eastAsia="zh-CN"/>
        </w:rPr>
        <w:t>磋商文件</w:t>
      </w:r>
      <w:r>
        <w:rPr>
          <w:rFonts w:hint="eastAsia" w:ascii="宋体" w:hAnsi="宋体" w:eastAsia="宋体" w:cs="宋体"/>
          <w:sz w:val="24"/>
          <w:highlight w:val="none"/>
        </w:rPr>
        <w:t>的要求，经双方协商一致，达成如下合同条款，共同遵守。</w:t>
      </w:r>
    </w:p>
    <w:p w14:paraId="633381AC">
      <w:pPr>
        <w:adjustRightInd w:val="0"/>
        <w:snapToGrid w:val="0"/>
        <w:spacing w:line="360" w:lineRule="auto"/>
        <w:ind w:firstLine="480" w:firstLineChars="200"/>
        <w:rPr>
          <w:rFonts w:hint="eastAsia" w:ascii="宋体" w:hAnsi="宋体" w:eastAsia="宋体" w:cs="宋体"/>
          <w:sz w:val="28"/>
          <w:szCs w:val="28"/>
          <w:highlight w:val="none"/>
        </w:rPr>
      </w:pPr>
      <w:r>
        <w:rPr>
          <w:rFonts w:hint="eastAsia" w:ascii="宋体" w:hAnsi="宋体" w:eastAsia="宋体" w:cs="宋体"/>
          <w:sz w:val="24"/>
          <w:highlight w:val="none"/>
        </w:rPr>
        <w:t>一、项目概况</w:t>
      </w:r>
    </w:p>
    <w:p w14:paraId="4C760C2D">
      <w:pPr>
        <w:spacing w:line="360" w:lineRule="auto"/>
        <w:ind w:left="1919" w:leftChars="228" w:hanging="1440" w:hangingChars="600"/>
        <w:rPr>
          <w:rFonts w:hint="eastAsia" w:ascii="宋体" w:hAnsi="宋体" w:eastAsia="宋体" w:cs="宋体"/>
          <w:color w:val="auto"/>
          <w:sz w:val="28"/>
          <w:szCs w:val="28"/>
          <w:highlight w:val="none"/>
          <w:lang w:eastAsia="zh-CN"/>
        </w:rPr>
      </w:pPr>
      <w:r>
        <w:rPr>
          <w:rFonts w:hint="eastAsia" w:ascii="宋体" w:hAnsi="宋体" w:eastAsia="宋体" w:cs="宋体"/>
          <w:sz w:val="24"/>
          <w:highlight w:val="none"/>
        </w:rPr>
        <w:t>项目名称：</w:t>
      </w:r>
      <w:r>
        <w:rPr>
          <w:rFonts w:hint="eastAsia" w:ascii="宋体" w:hAnsi="宋体" w:cs="宋体"/>
          <w:color w:val="auto"/>
          <w:sz w:val="24"/>
          <w:highlight w:val="none"/>
          <w:lang w:eastAsia="zh-CN"/>
        </w:rPr>
        <w:t xml:space="preserve">巴音郭楞职业技术学院教务管理服务平台、实验实训管理服务平台以及个性化功能定制建设项目 </w:t>
      </w:r>
    </w:p>
    <w:p w14:paraId="263DE1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项目地址：</w:t>
      </w:r>
      <w:r>
        <w:rPr>
          <w:rFonts w:hint="eastAsia" w:ascii="宋体" w:hAnsi="宋体" w:cs="宋体"/>
          <w:color w:val="auto"/>
          <w:sz w:val="24"/>
          <w:highlight w:val="none"/>
          <w:lang w:val="en-US" w:eastAsia="zh-CN"/>
        </w:rPr>
        <w:t>巴音郭楞蒙古自治州</w:t>
      </w:r>
    </w:p>
    <w:p w14:paraId="34C963B3">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工作内容：</w:t>
      </w:r>
      <w:r>
        <w:rPr>
          <w:rFonts w:hint="eastAsia" w:ascii="宋体" w:hAnsi="宋体" w:cs="宋体"/>
          <w:color w:val="000000"/>
          <w:sz w:val="24"/>
          <w:highlight w:val="none"/>
          <w:lang w:val="en-US" w:eastAsia="zh-CN"/>
        </w:rPr>
        <w:t>拟采购教务管理服务平台、实验实训管理服务平台及个性化功能定制建设服务。平台需满足日常教学运行、排课选课、成绩管理、实验实训管理、设备管理、数据统计等核心功能，支持系统对接与数据互通，提供部署、调试、培训及运维保障。确保系统稳定、安全合规、操作便捷，全面支撑学院精细化管理与数字化转型。</w:t>
      </w:r>
    </w:p>
    <w:p w14:paraId="1684449F">
      <w:pPr>
        <w:adjustRightInd w:val="0"/>
        <w:snapToGrid w:val="0"/>
        <w:spacing w:line="360" w:lineRule="auto"/>
        <w:ind w:firstLine="480" w:firstLineChars="200"/>
        <w:rPr>
          <w:rFonts w:hint="eastAsia" w:ascii="宋体" w:hAnsi="宋体" w:eastAsia="宋体" w:cs="宋体"/>
          <w:sz w:val="28"/>
          <w:szCs w:val="28"/>
          <w:highlight w:val="none"/>
          <w:lang w:eastAsia="zh-CN"/>
        </w:rPr>
      </w:pP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、合同</w:t>
      </w:r>
      <w:r>
        <w:rPr>
          <w:rFonts w:hint="eastAsia" w:ascii="宋体" w:hAnsi="宋体" w:eastAsia="宋体" w:cs="宋体"/>
          <w:sz w:val="24"/>
          <w:highlight w:val="none"/>
          <w:lang w:eastAsia="zh-CN"/>
        </w:rPr>
        <w:t>服务期限</w:t>
      </w:r>
    </w:p>
    <w:p w14:paraId="27E7EBD0">
      <w:pPr>
        <w:spacing w:line="360" w:lineRule="auto"/>
        <w:ind w:firstLine="480" w:firstLineChars="200"/>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项目签订合同后，项目工期3个月，需在工期内安装部署及平台上线（包括系统对接与开发、部署调试、装备配备、测试运行等）并完成项目验收，验收合格之日起，开始为期36个月的正式服务及日常运行维护。服务期（运维租赁期）36个月，合同一签三年。（本项目预算金额为三年的预算）</w:t>
      </w:r>
    </w:p>
    <w:p w14:paraId="35140AD0">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三</w:t>
      </w:r>
      <w:r>
        <w:rPr>
          <w:rFonts w:hint="eastAsia" w:ascii="宋体" w:hAnsi="宋体" w:eastAsia="宋体" w:cs="宋体"/>
          <w:sz w:val="24"/>
          <w:highlight w:val="none"/>
        </w:rPr>
        <w:t>、质量标准</w:t>
      </w:r>
    </w:p>
    <w:p w14:paraId="0A145EDE">
      <w:pPr>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lang w:eastAsia="zh-CN"/>
        </w:rPr>
        <w:t>服务质量标准</w:t>
      </w:r>
      <w:r>
        <w:rPr>
          <w:rFonts w:hint="eastAsia" w:ascii="宋体" w:hAnsi="宋体" w:eastAsia="宋体" w:cs="宋体"/>
          <w:sz w:val="24"/>
          <w:highlight w:val="none"/>
        </w:rPr>
        <w:t>：</w:t>
      </w:r>
      <w:r>
        <w:rPr>
          <w:rFonts w:hint="eastAsia" w:ascii="宋体" w:hAnsi="宋体" w:cs="宋体"/>
          <w:color w:val="auto"/>
          <w:kern w:val="0"/>
          <w:sz w:val="24"/>
          <w:highlight w:val="none"/>
          <w:lang w:eastAsia="zh-CN"/>
        </w:rPr>
        <w:t>符合国家有关部门颁发的相关技术标准、规范及国家、地方有关规定和要求。</w:t>
      </w:r>
    </w:p>
    <w:p w14:paraId="577C2454">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、合同价款</w:t>
      </w:r>
    </w:p>
    <w:p w14:paraId="5BBAB6AE">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甲方同意在乙方完成本合同全部义务后向其支付合同价款，本合同价款为人民币</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08718BFE">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五</w:t>
      </w:r>
      <w:r>
        <w:rPr>
          <w:rFonts w:hint="eastAsia" w:ascii="宋体" w:hAnsi="宋体" w:eastAsia="宋体" w:cs="宋体"/>
          <w:sz w:val="24"/>
          <w:highlight w:val="none"/>
        </w:rPr>
        <w:t>、甲方向乙方承诺严格按照合同约定的期限和方式支付合同价款。</w:t>
      </w:r>
    </w:p>
    <w:p w14:paraId="3003FB77">
      <w:pPr>
        <w:spacing w:line="360" w:lineRule="auto"/>
        <w:ind w:firstLine="480" w:firstLineChars="200"/>
        <w:jc w:val="left"/>
        <w:rPr>
          <w:rFonts w:hint="eastAsia" w:ascii="宋体" w:hAnsi="宋体" w:eastAsia="宋体" w:cs="宋体"/>
          <w:sz w:val="24"/>
          <w:highlight w:val="none"/>
        </w:rPr>
      </w:pPr>
      <w:r>
        <w:rPr>
          <w:rFonts w:hint="eastAsia" w:ascii="宋体" w:hAnsi="宋体" w:cs="宋体"/>
          <w:sz w:val="24"/>
          <w:highlight w:val="none"/>
          <w:lang w:eastAsia="zh-CN"/>
        </w:rPr>
        <w:t>1.</w:t>
      </w:r>
      <w:r>
        <w:rPr>
          <w:rFonts w:hint="eastAsia" w:ascii="宋体" w:hAnsi="宋体" w:eastAsia="宋体" w:cs="宋体"/>
          <w:sz w:val="24"/>
          <w:highlight w:val="none"/>
        </w:rPr>
        <w:t>合同价款总额为人民币</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整）。该合同价款</w:t>
      </w:r>
      <w:r>
        <w:rPr>
          <w:rFonts w:hint="eastAsia" w:ascii="宋体" w:hAnsi="宋体" w:eastAsia="宋体" w:cs="宋体"/>
          <w:sz w:val="24"/>
          <w:highlight w:val="none"/>
          <w:lang w:val="en-US" w:eastAsia="zh-CN"/>
        </w:rPr>
        <w:t>为</w:t>
      </w:r>
      <w:r>
        <w:rPr>
          <w:rFonts w:hint="eastAsia" w:ascii="宋体" w:hAnsi="宋体" w:eastAsia="宋体" w:cs="宋体"/>
          <w:color w:val="000000"/>
          <w:sz w:val="24"/>
          <w:szCs w:val="24"/>
          <w:highlight w:val="none"/>
          <w:lang w:val="zh-CN"/>
        </w:rPr>
        <w:t>含税全</w:t>
      </w:r>
      <w:r>
        <w:rPr>
          <w:rFonts w:hint="eastAsia" w:ascii="宋体" w:hAnsi="宋体" w:eastAsia="宋体" w:cs="宋体"/>
          <w:color w:val="000000"/>
          <w:sz w:val="24"/>
          <w:szCs w:val="24"/>
          <w:highlight w:val="none"/>
        </w:rPr>
        <w:t>报</w:t>
      </w:r>
      <w:r>
        <w:rPr>
          <w:rFonts w:hint="eastAsia" w:ascii="宋体" w:hAnsi="宋体" w:eastAsia="宋体" w:cs="宋体"/>
          <w:color w:val="000000"/>
          <w:sz w:val="24"/>
          <w:szCs w:val="24"/>
          <w:highlight w:val="none"/>
          <w:lang w:val="zh-CN"/>
        </w:rPr>
        <w:t>价</w:t>
      </w:r>
      <w:r>
        <w:rPr>
          <w:rFonts w:hint="eastAsia" w:ascii="宋体" w:hAnsi="宋体" w:eastAsia="宋体" w:cs="宋体"/>
          <w:color w:val="000000"/>
          <w:sz w:val="24"/>
          <w:highlight w:val="none"/>
          <w:lang w:val="zh-CN"/>
        </w:rPr>
        <w:t>，包含提供相关服务的所有费用</w:t>
      </w:r>
      <w:r>
        <w:rPr>
          <w:rFonts w:hint="eastAsia" w:ascii="宋体" w:hAnsi="宋体" w:eastAsia="宋体" w:cs="宋体"/>
          <w:sz w:val="24"/>
          <w:highlight w:val="none"/>
        </w:rPr>
        <w:t>。</w:t>
      </w:r>
    </w:p>
    <w:p w14:paraId="61B606F5">
      <w:pPr>
        <w:spacing w:line="360" w:lineRule="auto"/>
        <w:ind w:firstLine="480" w:firstLineChars="200"/>
        <w:jc w:val="left"/>
        <w:rPr>
          <w:rFonts w:hint="eastAsia" w:ascii="宋体" w:hAnsi="宋体" w:eastAsia="宋体" w:cs="宋体"/>
          <w:sz w:val="24"/>
          <w:highlight w:val="none"/>
        </w:rPr>
      </w:pPr>
      <w:r>
        <w:rPr>
          <w:rFonts w:hint="eastAsia" w:ascii="宋体" w:hAnsi="宋体" w:cs="宋体"/>
          <w:sz w:val="24"/>
          <w:highlight w:val="none"/>
          <w:lang w:eastAsia="zh-CN"/>
        </w:rPr>
        <w:t>2.</w:t>
      </w:r>
      <w:r>
        <w:rPr>
          <w:rFonts w:hint="eastAsia" w:ascii="宋体" w:hAnsi="宋体" w:eastAsia="宋体" w:cs="宋体"/>
          <w:sz w:val="24"/>
          <w:highlight w:val="none"/>
        </w:rPr>
        <w:t>支付方式：</w:t>
      </w:r>
    </w:p>
    <w:p w14:paraId="27FE679B">
      <w:pPr>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分期付款</w:t>
      </w:r>
    </w:p>
    <w:p w14:paraId="0F772414">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乙方开户银行名称、地址和账号为：</w:t>
      </w:r>
    </w:p>
    <w:p w14:paraId="0B27CEF8">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开户银行：                                   </w:t>
      </w:r>
    </w:p>
    <w:p w14:paraId="20FB4D6A">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地址：                                     </w:t>
      </w:r>
    </w:p>
    <w:p w14:paraId="2029DD65">
      <w:pPr>
        <w:spacing w:line="360" w:lineRule="auto"/>
        <w:ind w:firstLine="480" w:firstLineChars="200"/>
        <w:jc w:val="left"/>
        <w:rPr>
          <w:rFonts w:hint="eastAsia" w:ascii="宋体" w:hAnsi="宋体" w:eastAsia="宋体" w:cs="宋体"/>
          <w:sz w:val="28"/>
          <w:szCs w:val="28"/>
          <w:highlight w:val="none"/>
        </w:rPr>
      </w:pPr>
      <w:r>
        <w:rPr>
          <w:rFonts w:hint="eastAsia" w:ascii="宋体" w:hAnsi="宋体" w:eastAsia="宋体" w:cs="宋体"/>
          <w:sz w:val="24"/>
          <w:highlight w:val="none"/>
          <w:lang w:eastAsia="zh-CN"/>
        </w:rPr>
        <w:t>账号</w:t>
      </w:r>
      <w:r>
        <w:rPr>
          <w:rFonts w:hint="eastAsia" w:ascii="宋体" w:hAnsi="宋体" w:eastAsia="宋体" w:cs="宋体"/>
          <w:sz w:val="24"/>
          <w:highlight w:val="none"/>
        </w:rPr>
        <w:t>：</w:t>
      </w:r>
      <w:r>
        <w:rPr>
          <w:rFonts w:hint="eastAsia" w:ascii="宋体" w:hAnsi="宋体" w:eastAsia="宋体" w:cs="宋体"/>
          <w:sz w:val="28"/>
          <w:szCs w:val="28"/>
          <w:highlight w:val="none"/>
        </w:rPr>
        <w:t xml:space="preserve">                                      </w:t>
      </w:r>
    </w:p>
    <w:p w14:paraId="475E4849">
      <w:pPr>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六</w:t>
      </w:r>
      <w:r>
        <w:rPr>
          <w:rFonts w:hint="eastAsia" w:ascii="宋体" w:hAnsi="宋体" w:eastAsia="宋体" w:cs="宋体"/>
          <w:sz w:val="24"/>
          <w:highlight w:val="none"/>
        </w:rPr>
        <w:t>、</w:t>
      </w:r>
      <w:r>
        <w:rPr>
          <w:rFonts w:hint="eastAsia" w:ascii="宋体" w:hAnsi="宋体" w:eastAsia="宋体" w:cs="宋体"/>
          <w:sz w:val="24"/>
          <w:highlight w:val="none"/>
          <w:lang w:eastAsia="zh-CN"/>
        </w:rPr>
        <w:t>付款方式</w:t>
      </w:r>
    </w:p>
    <w:p w14:paraId="0D51A240">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 xml:space="preserve">                            </w:t>
      </w:r>
    </w:p>
    <w:p w14:paraId="5346252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七</w:t>
      </w:r>
      <w:r>
        <w:rPr>
          <w:rFonts w:hint="eastAsia" w:ascii="宋体" w:hAnsi="宋体" w:eastAsia="宋体" w:cs="宋体"/>
          <w:sz w:val="24"/>
          <w:highlight w:val="none"/>
        </w:rPr>
        <w:t>、违约责任：</w:t>
      </w:r>
    </w:p>
    <w:p w14:paraId="44A290B2">
      <w:p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eastAsia="zh-CN"/>
        </w:rPr>
        <w:t>1.</w:t>
      </w:r>
      <w:r>
        <w:rPr>
          <w:rFonts w:hint="eastAsia" w:ascii="宋体" w:hAnsi="宋体" w:eastAsia="宋体" w:cs="宋体"/>
          <w:sz w:val="24"/>
          <w:highlight w:val="none"/>
        </w:rPr>
        <w:t>乙方违约</w:t>
      </w:r>
    </w:p>
    <w:p w14:paraId="438F0EA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倘若乙方发生下列情况之一，视为乙方违约：</w:t>
      </w:r>
    </w:p>
    <w:p w14:paraId="1631F39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（1）未经甲方同意，将</w:t>
      </w:r>
      <w:r>
        <w:rPr>
          <w:rFonts w:hint="eastAsia" w:ascii="宋体" w:hAnsi="宋体" w:cs="宋体"/>
          <w:sz w:val="24"/>
          <w:highlight w:val="none"/>
          <w:lang w:val="en-US" w:eastAsia="zh-CN"/>
        </w:rPr>
        <w:t>项目</w:t>
      </w:r>
      <w:r>
        <w:rPr>
          <w:rFonts w:hint="eastAsia" w:ascii="宋体" w:hAnsi="宋体" w:eastAsia="宋体" w:cs="宋体"/>
          <w:sz w:val="24"/>
          <w:highlight w:val="none"/>
        </w:rPr>
        <w:t>交给第三方完成的；</w:t>
      </w:r>
    </w:p>
    <w:p w14:paraId="38F34F6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（2）乙方在履行期间没有正当理由而中止的；</w:t>
      </w:r>
    </w:p>
    <w:p w14:paraId="2E48A3F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（3）不履行合同其他条款的。</w:t>
      </w:r>
    </w:p>
    <w:p w14:paraId="4B7BBC5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若乙方发生以上情况，甲方有权终止合同，乙方须承担甲方为继续完成该</w:t>
      </w:r>
      <w:r>
        <w:rPr>
          <w:rFonts w:hint="eastAsia" w:ascii="宋体" w:hAnsi="宋体" w:cs="宋体"/>
          <w:sz w:val="24"/>
          <w:highlight w:val="none"/>
          <w:lang w:val="en-US" w:eastAsia="zh-CN"/>
        </w:rPr>
        <w:t>项目</w:t>
      </w:r>
      <w:r>
        <w:rPr>
          <w:rFonts w:hint="eastAsia" w:ascii="宋体" w:hAnsi="宋体" w:eastAsia="宋体" w:cs="宋体"/>
          <w:sz w:val="24"/>
          <w:highlight w:val="none"/>
        </w:rPr>
        <w:t>而发生的直接损失。</w:t>
      </w:r>
    </w:p>
    <w:p w14:paraId="4B82F7C6">
      <w:p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eastAsia="zh-CN"/>
        </w:rPr>
        <w:t>2.</w:t>
      </w:r>
      <w:r>
        <w:rPr>
          <w:rFonts w:hint="eastAsia" w:ascii="宋体" w:hAnsi="宋体" w:eastAsia="宋体" w:cs="宋体"/>
          <w:sz w:val="24"/>
          <w:highlight w:val="none"/>
        </w:rPr>
        <w:t>甲方违约</w:t>
      </w:r>
    </w:p>
    <w:p w14:paraId="0BAFA13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甲方未按照本合同履行责任，乙方应予以提醒，甲方应在乙方提醒后7日内履行职责或给予解释。否则，甲方应给予乙方合理的补偿。</w:t>
      </w:r>
    </w:p>
    <w:p w14:paraId="7236983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八</w:t>
      </w:r>
      <w:r>
        <w:rPr>
          <w:rFonts w:hint="eastAsia" w:ascii="宋体" w:hAnsi="宋体" w:eastAsia="宋体" w:cs="宋体"/>
          <w:sz w:val="24"/>
          <w:highlight w:val="none"/>
        </w:rPr>
        <w:t>、争议</w:t>
      </w:r>
    </w:p>
    <w:p w14:paraId="1AC8F28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本合同发生纠纷，由双方协商解决，协商不能解决的，任何一方均可向国家规定的合同管理机关申请调解仲裁，如一方对仲裁不服，接到仲裁后十五日内向当地人民法院起诉。</w:t>
      </w:r>
    </w:p>
    <w:p w14:paraId="472819F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九</w:t>
      </w:r>
      <w:r>
        <w:rPr>
          <w:rFonts w:hint="eastAsia" w:ascii="宋体" w:hAnsi="宋体" w:eastAsia="宋体" w:cs="宋体"/>
          <w:sz w:val="24"/>
          <w:highlight w:val="none"/>
        </w:rPr>
        <w:t>、合同的生效和终止</w:t>
      </w:r>
    </w:p>
    <w:p w14:paraId="6698CDA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本合同经双方签字盖章后生效，由乙方将</w:t>
      </w:r>
      <w:r>
        <w:rPr>
          <w:rFonts w:hint="eastAsia" w:ascii="宋体" w:hAnsi="宋体" w:cs="宋体"/>
          <w:sz w:val="24"/>
          <w:highlight w:val="none"/>
          <w:lang w:val="en-US" w:eastAsia="zh-CN"/>
        </w:rPr>
        <w:t>项目</w:t>
      </w:r>
      <w:r>
        <w:rPr>
          <w:rFonts w:hint="eastAsia" w:ascii="宋体" w:hAnsi="宋体" w:eastAsia="宋体" w:cs="宋体"/>
          <w:sz w:val="24"/>
          <w:highlight w:val="none"/>
        </w:rPr>
        <w:t>交付给甲方并进行</w:t>
      </w:r>
      <w:r>
        <w:rPr>
          <w:rFonts w:hint="eastAsia" w:ascii="宋体" w:hAnsi="宋体" w:cs="宋体"/>
          <w:sz w:val="24"/>
          <w:highlight w:val="none"/>
          <w:lang w:val="en-US" w:eastAsia="zh-CN"/>
        </w:rPr>
        <w:t>评审</w:t>
      </w:r>
      <w:r>
        <w:rPr>
          <w:rFonts w:hint="eastAsia" w:ascii="宋体" w:hAnsi="宋体" w:eastAsia="宋体" w:cs="宋体"/>
          <w:sz w:val="24"/>
          <w:highlight w:val="none"/>
        </w:rPr>
        <w:t>，甲方付款完毕后终止。</w:t>
      </w:r>
    </w:p>
    <w:p w14:paraId="6671A3E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十、附则</w:t>
      </w:r>
    </w:p>
    <w:p w14:paraId="0F241703">
      <w:p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eastAsia="zh-CN"/>
        </w:rPr>
        <w:t>1.</w:t>
      </w:r>
      <w:r>
        <w:rPr>
          <w:rFonts w:hint="eastAsia" w:ascii="宋体" w:hAnsi="宋体" w:eastAsia="宋体" w:cs="宋体"/>
          <w:sz w:val="24"/>
          <w:highlight w:val="none"/>
        </w:rPr>
        <w:t>本次招标所有资料、乙方投标文件及中标资料均为本合同的构成部分。</w:t>
      </w:r>
    </w:p>
    <w:p w14:paraId="14C2D355">
      <w:p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eastAsia="zh-CN"/>
        </w:rPr>
        <w:t>2.</w:t>
      </w:r>
      <w:r>
        <w:rPr>
          <w:rFonts w:hint="eastAsia" w:ascii="宋体" w:hAnsi="宋体" w:eastAsia="宋体" w:cs="宋体"/>
          <w:sz w:val="24"/>
          <w:highlight w:val="none"/>
        </w:rPr>
        <w:t>合同中未尽事宜，双方按《</w:t>
      </w:r>
      <w:r>
        <w:rPr>
          <w:rFonts w:hint="eastAsia" w:ascii="宋体" w:hAnsi="宋体" w:cs="宋体"/>
          <w:sz w:val="24"/>
          <w:highlight w:val="none"/>
          <w:lang w:val="en-US" w:eastAsia="zh-CN"/>
        </w:rPr>
        <w:t>中华人民共和国民法典</w:t>
      </w:r>
      <w:r>
        <w:rPr>
          <w:rFonts w:hint="eastAsia" w:ascii="宋体" w:hAnsi="宋体" w:eastAsia="宋体" w:cs="宋体"/>
          <w:sz w:val="24"/>
          <w:highlight w:val="none"/>
        </w:rPr>
        <w:t>》的规定协商解决，并以补充协议的形式加以补充，补充协议具有与本合同同等的法律效力。</w:t>
      </w:r>
    </w:p>
    <w:p w14:paraId="3E44CF07">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lang w:eastAsia="zh-CN"/>
        </w:rPr>
        <w:t>3.</w:t>
      </w:r>
      <w:r>
        <w:rPr>
          <w:rFonts w:hint="eastAsia" w:ascii="宋体" w:hAnsi="宋体" w:eastAsia="宋体" w:cs="宋体"/>
          <w:sz w:val="24"/>
          <w:highlight w:val="none"/>
        </w:rPr>
        <w:t>本合同一式八份，甲、乙双方各执四</w:t>
      </w:r>
      <w:r>
        <w:rPr>
          <w:rFonts w:hint="eastAsia" w:ascii="宋体" w:hAnsi="宋体" w:cs="宋体"/>
          <w:sz w:val="24"/>
          <w:highlight w:val="none"/>
          <w:lang w:eastAsia="zh-CN"/>
        </w:rPr>
        <w:t>份。</w:t>
      </w:r>
    </w:p>
    <w:p w14:paraId="4764FFFF">
      <w:pPr>
        <w:numPr>
          <w:ilvl w:val="0"/>
          <w:numId w:val="0"/>
        </w:numPr>
        <w:spacing w:line="360" w:lineRule="auto"/>
        <w:ind w:firstLine="480" w:firstLineChars="200"/>
        <w:jc w:val="left"/>
        <w:rPr>
          <w:rFonts w:hint="eastAsia" w:ascii="宋体" w:hAnsi="宋体" w:eastAsia="宋体" w:cs="宋体"/>
          <w:sz w:val="24"/>
          <w:highlight w:val="none"/>
        </w:rPr>
      </w:pPr>
      <w:r>
        <w:rPr>
          <w:rFonts w:hint="eastAsia" w:ascii="宋体" w:hAnsi="宋体" w:cs="宋体"/>
          <w:sz w:val="24"/>
          <w:highlight w:val="none"/>
          <w:lang w:val="en-US" w:eastAsia="zh-CN"/>
        </w:rPr>
        <w:t>4.</w:t>
      </w:r>
      <w:r>
        <w:rPr>
          <w:rFonts w:hint="eastAsia" w:ascii="宋体" w:hAnsi="宋体" w:eastAsia="宋体" w:cs="宋体"/>
          <w:sz w:val="24"/>
          <w:highlight w:val="none"/>
        </w:rPr>
        <w:t>参与本项目的人员均须对本项目的任何信息进行保密。</w:t>
      </w:r>
    </w:p>
    <w:p w14:paraId="507A1A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甲方：                                 乙方：</w:t>
      </w:r>
    </w:p>
    <w:p w14:paraId="417544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法定代表人：                           法定代表人：</w:t>
      </w:r>
    </w:p>
    <w:p w14:paraId="52B7A6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委托代理人：                           委托代理人：</w:t>
      </w:r>
    </w:p>
    <w:p w14:paraId="0EA86B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电      话：                           电      话：</w:t>
      </w:r>
    </w:p>
    <w:p w14:paraId="42F88E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开户银行：                             开户银行：</w:t>
      </w:r>
    </w:p>
    <w:p w14:paraId="42204D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cs="宋体"/>
          <w:sz w:val="24"/>
          <w:highlight w:val="none"/>
          <w:lang w:eastAsia="zh-CN"/>
        </w:rPr>
        <w:t>账</w:t>
      </w:r>
      <w:r>
        <w:rPr>
          <w:rFonts w:hint="eastAsia" w:ascii="宋体" w:hAnsi="宋体" w:eastAsia="宋体" w:cs="宋体"/>
          <w:sz w:val="24"/>
          <w:highlight w:val="none"/>
        </w:rPr>
        <w:t xml:space="preserve">      号：                           </w:t>
      </w:r>
      <w:r>
        <w:rPr>
          <w:rFonts w:hint="eastAsia" w:ascii="宋体" w:hAnsi="宋体" w:cs="宋体"/>
          <w:sz w:val="24"/>
          <w:highlight w:val="none"/>
          <w:lang w:eastAsia="zh-CN"/>
        </w:rPr>
        <w:t>账</w:t>
      </w:r>
      <w:r>
        <w:rPr>
          <w:rFonts w:hint="eastAsia" w:ascii="宋体" w:hAnsi="宋体" w:eastAsia="宋体" w:cs="宋体"/>
          <w:sz w:val="24"/>
          <w:highlight w:val="none"/>
        </w:rPr>
        <w:t xml:space="preserve">      号：</w:t>
      </w:r>
    </w:p>
    <w:p w14:paraId="4733AEE8">
      <w:pPr>
        <w:rPr>
          <w:rFonts w:hint="eastAsia" w:ascii="宋体" w:hAnsi="宋体" w:eastAsia="宋体" w:cs="宋体"/>
          <w:b/>
          <w:bCs/>
          <w:kern w:val="2"/>
          <w:sz w:val="44"/>
          <w:szCs w:val="44"/>
          <w:highlight w:val="none"/>
          <w:lang w:val="en-US" w:eastAsia="zh-CN" w:bidi="ar-SA"/>
        </w:rPr>
      </w:pPr>
      <w:bookmarkStart w:id="273" w:name="_Toc9635"/>
      <w:r>
        <w:rPr>
          <w:rFonts w:hint="eastAsia" w:ascii="宋体" w:hAnsi="宋体" w:eastAsia="宋体" w:cs="宋体"/>
          <w:b/>
          <w:bCs/>
          <w:kern w:val="2"/>
          <w:sz w:val="44"/>
          <w:szCs w:val="44"/>
          <w:highlight w:val="none"/>
          <w:lang w:val="en-US" w:eastAsia="zh-CN" w:bidi="ar-SA"/>
        </w:rPr>
        <w:br w:type="page"/>
      </w:r>
    </w:p>
    <w:p w14:paraId="185973A2">
      <w:pPr>
        <w:autoSpaceDE w:val="0"/>
        <w:autoSpaceDN w:val="0"/>
        <w:spacing w:line="360" w:lineRule="auto"/>
        <w:jc w:val="center"/>
        <w:outlineLvl w:val="0"/>
        <w:rPr>
          <w:rFonts w:hint="eastAsia" w:ascii="宋体" w:hAnsi="宋体" w:eastAsia="宋体" w:cs="宋体"/>
          <w:sz w:val="24"/>
          <w:highlight w:val="none"/>
        </w:rPr>
      </w:pPr>
      <w:r>
        <w:rPr>
          <w:rFonts w:hint="eastAsia" w:ascii="宋体" w:hAnsi="宋体" w:eastAsia="宋体" w:cs="宋体"/>
          <w:b/>
          <w:bCs/>
          <w:kern w:val="2"/>
          <w:sz w:val="44"/>
          <w:szCs w:val="44"/>
          <w:highlight w:val="none"/>
          <w:lang w:val="en-US" w:eastAsia="zh-CN" w:bidi="ar-SA"/>
        </w:rPr>
        <w:t>第四部分  采购需求</w:t>
      </w:r>
      <w:bookmarkEnd w:id="273"/>
    </w:p>
    <w:p w14:paraId="60D3C5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说明：投标人须对本项目的货物及服务进行整体响应，任何只对其中的一部分内容进行的响应都被视为无效响应。</w:t>
      </w:r>
    </w:p>
    <w:p w14:paraId="6520B1D0">
      <w:pPr>
        <w:pStyle w:val="42"/>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lang w:val="en-US" w:eastAsia="zh-CN"/>
        </w:rPr>
      </w:pPr>
      <w:bookmarkStart w:id="274" w:name="_Toc5622"/>
      <w:r>
        <w:rPr>
          <w:rFonts w:hint="eastAsia" w:asciiTheme="minorEastAsia" w:hAnsiTheme="minorEastAsia" w:eastAsiaTheme="minorEastAsia" w:cstheme="minorEastAsia"/>
          <w:b/>
          <w:bCs/>
          <w:color w:val="auto"/>
          <w:sz w:val="24"/>
          <w:szCs w:val="24"/>
          <w:lang w:val="en-US" w:eastAsia="zh-CN"/>
        </w:rPr>
        <w:t>一、建设概要</w:t>
      </w:r>
    </w:p>
    <w:p w14:paraId="59235BD9">
      <w:pPr>
        <w:pStyle w:val="5"/>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1.技术服务</w:t>
      </w:r>
    </w:p>
    <w:p w14:paraId="29DD58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rPr>
        <w:t>（1）教务管理：资源管理、师资管理、学生管理、课程库管理、人才培养方案管理、开课管理、排课管理、选课管理、考务管理、成绩管理、毕业管理、学生端、教师端、通知公告、技能大赛、</w:t>
      </w:r>
      <w:r>
        <w:rPr>
          <w:rFonts w:hint="eastAsia" w:asciiTheme="minorEastAsia" w:hAnsiTheme="minorEastAsia" w:eastAsiaTheme="minorEastAsia" w:cstheme="minorEastAsia"/>
          <w:color w:val="auto"/>
          <w:sz w:val="24"/>
          <w:szCs w:val="24"/>
          <w:highlight w:val="none"/>
          <w:lang w:val="en-US" w:eastAsia="zh-CN"/>
        </w:rPr>
        <w:t>教材管理</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highlight w:val="none"/>
          <w:lang w:val="en-US" w:eastAsia="zh-CN"/>
        </w:rPr>
        <w:t>数据分析</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highlight w:val="none"/>
          <w:lang w:val="en-US" w:eastAsia="zh-CN"/>
        </w:rPr>
        <w:t>实验教学</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highlight w:val="none"/>
          <w:lang w:val="en-US" w:eastAsia="zh-CN"/>
        </w:rPr>
        <w:t>学分认定。</w:t>
      </w:r>
    </w:p>
    <w:p w14:paraId="7F7D83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lang w:val="en-US" w:eastAsia="zh-CN"/>
        </w:rPr>
        <w:t>实验实训管</w:t>
      </w:r>
      <w:r>
        <w:rPr>
          <w:rFonts w:hint="eastAsia" w:asciiTheme="minorEastAsia" w:hAnsiTheme="minorEastAsia" w:eastAsiaTheme="minorEastAsia" w:cstheme="minorEastAsia"/>
          <w:color w:val="auto"/>
          <w:sz w:val="24"/>
          <w:szCs w:val="24"/>
          <w:highlight w:val="none"/>
          <w:lang w:val="en-US" w:eastAsia="zh-CN"/>
        </w:rPr>
        <w:t>理：</w:t>
      </w:r>
      <w:r>
        <w:rPr>
          <w:rFonts w:hint="eastAsia" w:asciiTheme="minorEastAsia" w:hAnsiTheme="minorEastAsia" w:eastAsiaTheme="minorEastAsia" w:cstheme="minorEastAsia"/>
          <w:color w:val="auto"/>
          <w:sz w:val="24"/>
          <w:szCs w:val="24"/>
          <w:lang w:val="en-US" w:eastAsia="zh-CN"/>
        </w:rPr>
        <w:t>实验室信息管理、实验室日常巡检、实验室专项检查、隐患上报、实验室预约、实验室耗材管理、危化品管理、实验室基础信息及报表管理、实验室分级分类</w:t>
      </w:r>
      <w:r>
        <w:rPr>
          <w:rFonts w:hint="eastAsia" w:asciiTheme="minorEastAsia" w:hAnsiTheme="minorEastAsia" w:eastAsiaTheme="minorEastAsia" w:cstheme="minorEastAsia"/>
          <w:color w:val="auto"/>
          <w:sz w:val="24"/>
          <w:szCs w:val="24"/>
          <w:lang w:val="en-US" w:eastAsia="zh-Hans"/>
        </w:rPr>
        <w:t>管理</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Hans"/>
        </w:rPr>
        <w:t>仪器设备管理</w:t>
      </w:r>
      <w:r>
        <w:rPr>
          <w:rFonts w:hint="eastAsia" w:asciiTheme="minorEastAsia" w:hAnsiTheme="minorEastAsia" w:eastAsiaTheme="minorEastAsia" w:cstheme="minorEastAsia"/>
          <w:color w:val="auto"/>
          <w:sz w:val="24"/>
          <w:szCs w:val="24"/>
          <w:lang w:val="en-US" w:eastAsia="zh-CN"/>
        </w:rPr>
        <w:t>：可增删改设备基本信息。</w:t>
      </w:r>
    </w:p>
    <w:p w14:paraId="3DBC19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（3）平台升级：</w:t>
      </w:r>
    </w:p>
    <w:p w14:paraId="127D335A">
      <w:pPr>
        <w:pStyle w:val="5"/>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中标方在服务期的使用期间需免费为学校提供系统升级服务，并对新增加的功能和优化部分有义务对学校进行培训和告知。</w:t>
      </w:r>
    </w:p>
    <w:p w14:paraId="202323E5">
      <w:pPr>
        <w:pStyle w:val="5"/>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2.功能定制</w:t>
      </w:r>
      <w:r>
        <w:rPr>
          <w:rFonts w:hint="eastAsia" w:asciiTheme="minorEastAsia" w:hAnsiTheme="minorEastAsia" w:eastAsiaTheme="minorEastAsia" w:cstheme="minorEastAsia"/>
          <w:b/>
          <w:bCs/>
          <w:color w:val="auto"/>
          <w:kern w:val="2"/>
          <w:sz w:val="24"/>
          <w:szCs w:val="24"/>
          <w:highlight w:val="none"/>
          <w:lang w:val="en-US" w:eastAsia="zh-CN" w:bidi="ar-SA"/>
        </w:rPr>
        <w:t>（实质性要求）</w:t>
      </w:r>
    </w:p>
    <w:p w14:paraId="4DCF2473">
      <w:pPr>
        <w:pStyle w:val="5"/>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服务期内对于系统所产生的业务问题和个性化需求，</w:t>
      </w:r>
      <w:r>
        <w:rPr>
          <w:rFonts w:hint="eastAsia" w:asciiTheme="minorEastAsia" w:hAnsiTheme="minorEastAsia" w:eastAsiaTheme="minorEastAsia" w:cstheme="minorEastAsia"/>
          <w:color w:val="auto"/>
          <w:sz w:val="24"/>
          <w:szCs w:val="24"/>
          <w:lang w:val="en-US" w:eastAsia="zh-CN"/>
        </w:rPr>
        <w:t>供应商</w:t>
      </w:r>
      <w:r>
        <w:rPr>
          <w:rFonts w:hint="eastAsia" w:asciiTheme="minorEastAsia" w:hAnsiTheme="minorEastAsia" w:eastAsiaTheme="minorEastAsia" w:cstheme="minorEastAsia"/>
          <w:b w:val="0"/>
          <w:bCs w:val="0"/>
          <w:color w:val="auto"/>
          <w:kern w:val="2"/>
          <w:sz w:val="24"/>
          <w:szCs w:val="24"/>
          <w:highlight w:val="none"/>
          <w:lang w:val="en-US" w:eastAsia="zh-CN" w:bidi="ar-SA"/>
        </w:rPr>
        <w:t>需免费定制需求，以保证学校的业务正常运行。</w:t>
      </w:r>
    </w:p>
    <w:p w14:paraId="6F3DA325">
      <w:pPr>
        <w:pStyle w:val="5"/>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3.服务技术支持</w:t>
      </w:r>
      <w:r>
        <w:rPr>
          <w:rFonts w:hint="eastAsia" w:asciiTheme="minorEastAsia" w:hAnsiTheme="minorEastAsia" w:eastAsiaTheme="minorEastAsia" w:cstheme="minorEastAsia"/>
          <w:b/>
          <w:bCs/>
          <w:color w:val="auto"/>
          <w:kern w:val="2"/>
          <w:sz w:val="24"/>
          <w:szCs w:val="24"/>
          <w:highlight w:val="none"/>
          <w:lang w:val="en-US" w:eastAsia="zh-CN" w:bidi="ar-SA"/>
        </w:rPr>
        <w:t>（实质性要求）</w:t>
      </w:r>
    </w:p>
    <w:p w14:paraId="18A79B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（1）平台需提供至少3年运维服务。</w:t>
      </w:r>
    </w:p>
    <w:p w14:paraId="57FF8F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（2）运维期内，所有软件的更新、维护、升级均为免费。</w:t>
      </w:r>
    </w:p>
    <w:p w14:paraId="1644B4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（3）设备故障报修的响应时间：2小时。若电话无法解决，12小时内到达现场进行维护，24小时内解决问题。</w:t>
      </w:r>
    </w:p>
    <w:p w14:paraId="6646CE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（4）运维期内，所有软件维修服务均为原厂上门服务，由此产生的费用均不再收取。</w:t>
      </w:r>
    </w:p>
    <w:p w14:paraId="35F22A72">
      <w:pPr>
        <w:pStyle w:val="5"/>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4.系统培训</w:t>
      </w:r>
      <w:r>
        <w:rPr>
          <w:rFonts w:hint="eastAsia" w:asciiTheme="minorEastAsia" w:hAnsiTheme="minorEastAsia" w:eastAsiaTheme="minorEastAsia" w:cstheme="minorEastAsia"/>
          <w:b/>
          <w:bCs/>
          <w:color w:val="auto"/>
          <w:kern w:val="2"/>
          <w:sz w:val="24"/>
          <w:szCs w:val="24"/>
          <w:highlight w:val="none"/>
          <w:lang w:val="en-US" w:eastAsia="zh-CN" w:bidi="ar-SA"/>
        </w:rPr>
        <w:t>（实质性要求）</w:t>
      </w:r>
    </w:p>
    <w:p w14:paraId="57C6317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（1）教务处：全面了解教务系统的整体架构、功能模块及业务流程，重点掌握系统如何支持学校的整体教学战略规划和决策，包括对各类数据的统计分析功能、业务流程的监控与管理等。</w:t>
      </w:r>
    </w:p>
    <w:p w14:paraId="3240C2F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学籍管理工作人员：掌握学籍信息管理模块的所有功能，包括学生基本信息的导入导出、维护、授权、数据校验、快照生成，以及学籍信息修改操作日志的查询与管理，了解如何处理特殊学籍情况和应对学籍信息变化对其他业务的影响。</w:t>
      </w:r>
    </w:p>
    <w:p w14:paraId="7DBFA06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（3）教学秘书：了解系统的人培录入与教学工作安排等工作流程，对学生的专业培养方案、大类培养方案和学生个人方案录入有详细了解。熟悉课程分配和课程管理，管理各自专业的课程。</w:t>
      </w:r>
    </w:p>
    <w:p w14:paraId="078EB5E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4）考务工作人员：熟悉考试相关的功能，如成绩管理模块中的成绩录入准备、录入与审核、复查、变更、认定等操作流程，以及重修管理模块中的重修报名、开课、选课等相关流程和参数设置，确保考试和成绩相关业务的顺利开展。</w:t>
      </w:r>
    </w:p>
    <w:p w14:paraId="7D7E42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5）毕业与学位管理工作人员：重点掌握培养方案管理模块，包括培养方案的制定、审核、变更，以及如何依据培养方案进行毕业资格审查、学位授予资格审查，了解成绩管理和学业预警管理对毕业与学位管理的影响。掌握系统排课管理，操作对教师课表的调停补设置。</w:t>
      </w:r>
    </w:p>
    <w:p w14:paraId="07B999C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（6）教材工作人员：了解课程管理模块中课程信息的维护和查询功能，因为教材的选用和课程信息相关联，掌握课程变化如何在系统中体现，以便更好地配合教学安排进行教材管理。</w:t>
      </w:r>
    </w:p>
    <w:p w14:paraId="23DE431D">
      <w:pPr>
        <w:pStyle w:val="5"/>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5.平台运行技术服务</w:t>
      </w:r>
      <w:r>
        <w:rPr>
          <w:rFonts w:hint="eastAsia" w:asciiTheme="minorEastAsia" w:hAnsiTheme="minorEastAsia" w:eastAsiaTheme="minorEastAsia" w:cstheme="minorEastAsia"/>
          <w:b/>
          <w:bCs/>
          <w:color w:val="auto"/>
          <w:kern w:val="2"/>
          <w:sz w:val="24"/>
          <w:szCs w:val="24"/>
          <w:highlight w:val="none"/>
          <w:lang w:val="en-US" w:eastAsia="zh-CN" w:bidi="ar-SA"/>
        </w:rPr>
        <w:t>（实质性要求）</w:t>
      </w:r>
    </w:p>
    <w:p w14:paraId="31ADA3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（1）对于校内其他平台供应商需免费对接，支持学校的智慧校园建设和信息化建设支持。</w:t>
      </w:r>
    </w:p>
    <w:p w14:paraId="1E10F2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（2）供应商需支持学校多轮次的培训工作，保证我校工作人员能熟练掌握该平台。</w:t>
      </w:r>
    </w:p>
    <w:p w14:paraId="4A5B79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（3）供应商需免费对之前的平台所产生的数据进行免费清洗和迁移，使学校做到换平台而不导致信息的断代。</w:t>
      </w:r>
    </w:p>
    <w:p w14:paraId="6F1583E9">
      <w:pPr>
        <w:pStyle w:val="5"/>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6.付款方式</w:t>
      </w:r>
      <w:r>
        <w:rPr>
          <w:rFonts w:hint="eastAsia" w:asciiTheme="minorEastAsia" w:hAnsiTheme="minorEastAsia" w:eastAsiaTheme="minorEastAsia" w:cstheme="minorEastAsia"/>
          <w:b/>
          <w:bCs/>
          <w:color w:val="auto"/>
          <w:kern w:val="2"/>
          <w:sz w:val="24"/>
          <w:szCs w:val="24"/>
          <w:highlight w:val="none"/>
          <w:lang w:val="en-US" w:eastAsia="zh-CN" w:bidi="ar-SA"/>
        </w:rPr>
        <w:t>（实质性要求）</w:t>
      </w:r>
    </w:p>
    <w:p w14:paraId="46A95E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方签订合同后，校方在15个工作日内向中标方支付教务管理服务平台、实验实训管理服务平台以及个性化功能定制项目建设总费用的总合同额的20％作为首付款，建设完成并通过验收合格后支付总合同额的40％，于2027年10月前支付总合同额的20％，2028年10月前支付总合同额的20％。</w:t>
      </w:r>
    </w:p>
    <w:p w14:paraId="5A49C21A">
      <w:pPr>
        <w:pStyle w:val="5"/>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7.违约责任</w:t>
      </w:r>
      <w:r>
        <w:rPr>
          <w:rFonts w:hint="eastAsia" w:asciiTheme="minorEastAsia" w:hAnsiTheme="minorEastAsia" w:eastAsiaTheme="minorEastAsia" w:cstheme="minorEastAsia"/>
          <w:b/>
          <w:bCs/>
          <w:color w:val="auto"/>
          <w:kern w:val="2"/>
          <w:sz w:val="24"/>
          <w:szCs w:val="24"/>
          <w:highlight w:val="none"/>
          <w:lang w:val="en-US" w:eastAsia="zh-CN" w:bidi="ar-SA"/>
        </w:rPr>
        <w:t>（实质性要求）</w:t>
      </w:r>
    </w:p>
    <w:p w14:paraId="31C52E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zh-TW" w:eastAsia="zh-CN"/>
        </w:rPr>
      </w:pPr>
      <w:r>
        <w:rPr>
          <w:rFonts w:hint="eastAsia" w:asciiTheme="minorEastAsia" w:hAnsiTheme="minorEastAsia" w:eastAsiaTheme="minorEastAsia" w:cstheme="minorEastAsia"/>
          <w:color w:val="auto"/>
          <w:sz w:val="24"/>
          <w:szCs w:val="24"/>
          <w:lang w:val="zh-TW" w:eastAsia="zh-CN"/>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zh-TW" w:eastAsia="zh-CN"/>
        </w:rPr>
        <w:t>）除发生不可抗力事实外，</w:t>
      </w:r>
      <w:r>
        <w:rPr>
          <w:rFonts w:hint="eastAsia" w:asciiTheme="minorEastAsia" w:hAnsiTheme="minorEastAsia" w:eastAsiaTheme="minorEastAsia" w:cstheme="minorEastAsia"/>
          <w:color w:val="auto"/>
          <w:sz w:val="24"/>
          <w:szCs w:val="24"/>
          <w:lang w:val="en-US" w:eastAsia="zh-CN"/>
        </w:rPr>
        <w:t>中标</w:t>
      </w:r>
      <w:r>
        <w:rPr>
          <w:rFonts w:hint="eastAsia" w:asciiTheme="minorEastAsia" w:hAnsiTheme="minorEastAsia" w:eastAsiaTheme="minorEastAsia" w:cstheme="minorEastAsia"/>
          <w:color w:val="auto"/>
          <w:sz w:val="24"/>
          <w:szCs w:val="24"/>
          <w:lang w:val="zh-TW" w:eastAsia="zh-CN"/>
        </w:rPr>
        <w:t>方所提供的服务与合同标准不相符合的，均视为</w:t>
      </w:r>
      <w:r>
        <w:rPr>
          <w:rFonts w:hint="eastAsia" w:asciiTheme="minorEastAsia" w:hAnsiTheme="minorEastAsia" w:eastAsiaTheme="minorEastAsia" w:cstheme="minorEastAsia"/>
          <w:color w:val="auto"/>
          <w:sz w:val="24"/>
          <w:szCs w:val="24"/>
          <w:lang w:val="en-US" w:eastAsia="zh-CN"/>
        </w:rPr>
        <w:t>中标</w:t>
      </w:r>
      <w:r>
        <w:rPr>
          <w:rFonts w:hint="eastAsia" w:asciiTheme="minorEastAsia" w:hAnsiTheme="minorEastAsia" w:eastAsiaTheme="minorEastAsia" w:cstheme="minorEastAsia"/>
          <w:color w:val="auto"/>
          <w:sz w:val="24"/>
          <w:szCs w:val="24"/>
          <w:lang w:val="zh-TW" w:eastAsia="zh-CN"/>
        </w:rPr>
        <w:t>方违约，校方有权解除本合同，中标方应向校方偿付合同款总价</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TW" w:eastAsia="zh-CN"/>
        </w:rPr>
        <w:t>%的违约金，并返还校方已支付的全部款项。</w:t>
      </w:r>
    </w:p>
    <w:p w14:paraId="628D5B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zh-TW" w:eastAsia="zh-CN"/>
        </w:rPr>
      </w:pPr>
      <w:r>
        <w:rPr>
          <w:rFonts w:hint="eastAsia" w:asciiTheme="minorEastAsia" w:hAnsiTheme="minorEastAsia" w:eastAsiaTheme="minorEastAsia" w:cstheme="minorEastAsia"/>
          <w:color w:val="auto"/>
          <w:sz w:val="24"/>
          <w:szCs w:val="24"/>
          <w:lang w:val="zh-TW" w:eastAsia="zh-CN"/>
        </w:rPr>
        <w:t>（</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zh-TW" w:eastAsia="zh-CN"/>
        </w:rPr>
        <w:t>）</w:t>
      </w:r>
      <w:r>
        <w:rPr>
          <w:rFonts w:hint="eastAsia" w:asciiTheme="minorEastAsia" w:hAnsiTheme="minorEastAsia" w:eastAsiaTheme="minorEastAsia" w:cstheme="minorEastAsia"/>
          <w:color w:val="auto"/>
          <w:sz w:val="24"/>
          <w:szCs w:val="24"/>
          <w:lang w:val="en-US" w:eastAsia="zh-CN"/>
        </w:rPr>
        <w:t>校</w:t>
      </w:r>
      <w:r>
        <w:rPr>
          <w:rFonts w:hint="eastAsia" w:asciiTheme="minorEastAsia" w:hAnsiTheme="minorEastAsia" w:eastAsiaTheme="minorEastAsia" w:cstheme="minorEastAsia"/>
          <w:color w:val="auto"/>
          <w:sz w:val="24"/>
          <w:szCs w:val="24"/>
          <w:lang w:val="zh-TW" w:eastAsia="zh-CN"/>
        </w:rPr>
        <w:t>方无正当理由不支付合同款，视为</w:t>
      </w:r>
      <w:r>
        <w:rPr>
          <w:rFonts w:hint="eastAsia" w:asciiTheme="minorEastAsia" w:hAnsiTheme="minorEastAsia" w:eastAsiaTheme="minorEastAsia" w:cstheme="minorEastAsia"/>
          <w:color w:val="auto"/>
          <w:sz w:val="24"/>
          <w:szCs w:val="24"/>
          <w:lang w:val="en-US" w:eastAsia="zh-CN"/>
        </w:rPr>
        <w:t>校</w:t>
      </w:r>
      <w:r>
        <w:rPr>
          <w:rFonts w:hint="eastAsia" w:asciiTheme="minorEastAsia" w:hAnsiTheme="minorEastAsia" w:eastAsiaTheme="minorEastAsia" w:cstheme="minorEastAsia"/>
          <w:color w:val="auto"/>
          <w:sz w:val="24"/>
          <w:szCs w:val="24"/>
          <w:lang w:val="zh-TW" w:eastAsia="zh-CN"/>
        </w:rPr>
        <w:t>方违约，</w:t>
      </w:r>
      <w:r>
        <w:rPr>
          <w:rFonts w:hint="eastAsia" w:asciiTheme="minorEastAsia" w:hAnsiTheme="minorEastAsia" w:eastAsiaTheme="minorEastAsia" w:cstheme="minorEastAsia"/>
          <w:color w:val="auto"/>
          <w:sz w:val="24"/>
          <w:szCs w:val="24"/>
          <w:lang w:val="en-US" w:eastAsia="zh-CN"/>
        </w:rPr>
        <w:t>校</w:t>
      </w:r>
      <w:r>
        <w:rPr>
          <w:rFonts w:hint="eastAsia" w:asciiTheme="minorEastAsia" w:hAnsiTheme="minorEastAsia" w:eastAsiaTheme="minorEastAsia" w:cstheme="minorEastAsia"/>
          <w:color w:val="auto"/>
          <w:sz w:val="24"/>
          <w:szCs w:val="24"/>
          <w:lang w:val="zh-TW" w:eastAsia="zh-CN"/>
        </w:rPr>
        <w:t>方应向中标方偿付违约金（合同总额的一年期</w:t>
      </w:r>
      <w:r>
        <w:rPr>
          <w:rFonts w:hint="eastAsia" w:asciiTheme="minorEastAsia" w:hAnsiTheme="minorEastAsia" w:eastAsiaTheme="minorEastAsia" w:cstheme="minorEastAsia"/>
          <w:color w:val="auto"/>
          <w:sz w:val="24"/>
          <w:szCs w:val="24"/>
          <w:lang w:val="en-US" w:eastAsia="zh-CN"/>
        </w:rPr>
        <w:t>LPR</w:t>
      </w:r>
      <w:r>
        <w:rPr>
          <w:rFonts w:hint="eastAsia" w:asciiTheme="minorEastAsia" w:hAnsiTheme="minorEastAsia" w:eastAsiaTheme="minorEastAsia" w:cstheme="minorEastAsia"/>
          <w:color w:val="auto"/>
          <w:sz w:val="24"/>
          <w:szCs w:val="24"/>
          <w:lang w:val="zh-TW" w:eastAsia="zh-CN"/>
        </w:rPr>
        <w:t>计算，</w:t>
      </w:r>
      <w:r>
        <w:rPr>
          <w:rFonts w:hint="eastAsia" w:asciiTheme="minorEastAsia" w:hAnsiTheme="minorEastAsia" w:eastAsiaTheme="minorEastAsia" w:cstheme="minorEastAsia"/>
          <w:color w:val="auto"/>
          <w:sz w:val="24"/>
          <w:szCs w:val="24"/>
          <w:lang w:val="en-US" w:eastAsia="zh-CN"/>
        </w:rPr>
        <w:t>校</w:t>
      </w:r>
      <w:r>
        <w:rPr>
          <w:rFonts w:hint="eastAsia" w:asciiTheme="minorEastAsia" w:hAnsiTheme="minorEastAsia" w:eastAsiaTheme="minorEastAsia" w:cstheme="minorEastAsia"/>
          <w:color w:val="auto"/>
          <w:sz w:val="24"/>
          <w:szCs w:val="24"/>
          <w:lang w:val="zh-TW" w:eastAsia="zh-CN"/>
        </w:rPr>
        <w:t>方应在付款条件成就后7个工作日内支付相应款项，逾期未支付的，自付款期限届满次日起计算违约金），上限不超过本合同总额的1%。</w:t>
      </w:r>
    </w:p>
    <w:p w14:paraId="5D3BEB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zh-TW" w:eastAsia="zh-CN"/>
        </w:rPr>
      </w:pPr>
      <w:r>
        <w:rPr>
          <w:rFonts w:hint="eastAsia" w:asciiTheme="minorEastAsia" w:hAnsiTheme="minorEastAsia" w:eastAsiaTheme="minorEastAsia" w:cstheme="minorEastAsia"/>
          <w:color w:val="auto"/>
          <w:sz w:val="24"/>
          <w:szCs w:val="24"/>
          <w:lang w:val="zh-TW" w:eastAsia="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zh-TW" w:eastAsia="zh-CN"/>
        </w:rPr>
        <w:t>）中标方应完成</w:t>
      </w:r>
      <w:r>
        <w:rPr>
          <w:rFonts w:hint="eastAsia" w:asciiTheme="minorEastAsia" w:hAnsiTheme="minorEastAsia" w:eastAsiaTheme="minorEastAsia" w:cstheme="minorEastAsia"/>
          <w:color w:val="auto"/>
          <w:sz w:val="24"/>
          <w:szCs w:val="24"/>
          <w:lang w:val="en-US" w:eastAsia="zh-CN"/>
        </w:rPr>
        <w:t>校</w:t>
      </w:r>
      <w:r>
        <w:rPr>
          <w:rFonts w:hint="eastAsia" w:asciiTheme="minorEastAsia" w:hAnsiTheme="minorEastAsia" w:eastAsiaTheme="minorEastAsia" w:cstheme="minorEastAsia"/>
          <w:color w:val="auto"/>
          <w:sz w:val="24"/>
          <w:szCs w:val="24"/>
          <w:lang w:val="zh-TW" w:eastAsia="zh-CN"/>
        </w:rPr>
        <w:t>方项目目标实现所需的全部服务，</w:t>
      </w:r>
      <w:r>
        <w:rPr>
          <w:rFonts w:hint="eastAsia" w:asciiTheme="minorEastAsia" w:hAnsiTheme="minorEastAsia" w:eastAsiaTheme="minorEastAsia" w:cstheme="minorEastAsia"/>
          <w:color w:val="auto"/>
          <w:sz w:val="24"/>
          <w:szCs w:val="24"/>
          <w:lang w:val="en-US" w:eastAsia="zh-CN"/>
        </w:rPr>
        <w:t>校</w:t>
      </w:r>
      <w:r>
        <w:rPr>
          <w:rFonts w:hint="eastAsia" w:asciiTheme="minorEastAsia" w:hAnsiTheme="minorEastAsia" w:eastAsiaTheme="minorEastAsia" w:cstheme="minorEastAsia"/>
          <w:color w:val="auto"/>
          <w:sz w:val="24"/>
          <w:szCs w:val="24"/>
          <w:lang w:val="zh-TW" w:eastAsia="zh-CN"/>
        </w:rPr>
        <w:t>方无需另行支付其他任何费用。</w:t>
      </w:r>
    </w:p>
    <w:p w14:paraId="47E3B1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zh-TW" w:eastAsia="zh-CN"/>
        </w:rPr>
      </w:pPr>
      <w:r>
        <w:rPr>
          <w:rFonts w:hint="eastAsia" w:asciiTheme="minorEastAsia" w:hAnsiTheme="minorEastAsia" w:eastAsiaTheme="minorEastAsia" w:cstheme="minorEastAsia"/>
          <w:color w:val="auto"/>
          <w:sz w:val="24"/>
          <w:szCs w:val="24"/>
          <w:lang w:val="zh-TW" w:eastAsia="zh-CN"/>
        </w:rPr>
        <w:t>（</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val="zh-TW" w:eastAsia="zh-CN"/>
        </w:rPr>
        <w:t>）中标方若未按时交付工作成果的，每逾期一日按合同金额的0.05%承担违约金，逾期超过15天，校方有权单方解除协议，要求中标方按照合同金额</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TW" w:eastAsia="zh-CN"/>
        </w:rPr>
        <w:t>%承担违约金，并返还已支付费用。中标方若违约，应当赔偿</w:t>
      </w:r>
      <w:r>
        <w:rPr>
          <w:rFonts w:hint="eastAsia" w:asciiTheme="minorEastAsia" w:hAnsiTheme="minorEastAsia" w:eastAsiaTheme="minorEastAsia" w:cstheme="minorEastAsia"/>
          <w:color w:val="auto"/>
          <w:sz w:val="24"/>
          <w:szCs w:val="24"/>
          <w:lang w:val="en-US" w:eastAsia="zh-CN"/>
        </w:rPr>
        <w:t>校</w:t>
      </w:r>
      <w:r>
        <w:rPr>
          <w:rFonts w:hint="eastAsia" w:asciiTheme="minorEastAsia" w:hAnsiTheme="minorEastAsia" w:eastAsiaTheme="minorEastAsia" w:cstheme="minorEastAsia"/>
          <w:color w:val="auto"/>
          <w:sz w:val="24"/>
          <w:szCs w:val="24"/>
          <w:lang w:val="zh-TW" w:eastAsia="zh-CN"/>
        </w:rPr>
        <w:t>方相关损失，损失包括但不限于因此产生的律师费、诉讼费、保全费、鉴定费等费用。</w:t>
      </w:r>
    </w:p>
    <w:p w14:paraId="0F6EAE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TW" w:eastAsia="zh-CN"/>
        </w:rPr>
        <w:t>（</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TW" w:eastAsia="zh-CN"/>
        </w:rPr>
        <w:t>）如因中标方原因造成合同无法履行、履行不完全、履行不符合约定、合同履行过程中造成的侵权等，中标方应赔偿由此给</w:t>
      </w:r>
      <w:r>
        <w:rPr>
          <w:rFonts w:hint="eastAsia" w:asciiTheme="minorEastAsia" w:hAnsiTheme="minorEastAsia" w:eastAsiaTheme="minorEastAsia" w:cstheme="minorEastAsia"/>
          <w:color w:val="auto"/>
          <w:sz w:val="24"/>
          <w:szCs w:val="24"/>
          <w:lang w:val="en-US" w:eastAsia="zh-CN"/>
        </w:rPr>
        <w:t>校</w:t>
      </w:r>
      <w:r>
        <w:rPr>
          <w:rFonts w:hint="eastAsia" w:asciiTheme="minorEastAsia" w:hAnsiTheme="minorEastAsia" w:eastAsiaTheme="minorEastAsia" w:cstheme="minorEastAsia"/>
          <w:color w:val="auto"/>
          <w:sz w:val="24"/>
          <w:szCs w:val="24"/>
          <w:lang w:val="zh-TW" w:eastAsia="zh-CN"/>
        </w:rPr>
        <w:t>方或第三方造成的一切损失，损失包括但不限于诉讼费、律师费、交通费、差旅费等，并按照合同总价款</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zh-TW" w:eastAsia="zh-CN"/>
        </w:rPr>
        <w:t>%的标准承担违约责任。且</w:t>
      </w:r>
      <w:r>
        <w:rPr>
          <w:rFonts w:hint="eastAsia" w:asciiTheme="minorEastAsia" w:hAnsiTheme="minorEastAsia" w:eastAsiaTheme="minorEastAsia" w:cstheme="minorEastAsia"/>
          <w:color w:val="auto"/>
          <w:sz w:val="24"/>
          <w:szCs w:val="24"/>
          <w:lang w:val="en-US" w:eastAsia="zh-CN"/>
        </w:rPr>
        <w:t>校</w:t>
      </w:r>
      <w:r>
        <w:rPr>
          <w:rFonts w:hint="eastAsia" w:asciiTheme="minorEastAsia" w:hAnsiTheme="minorEastAsia" w:eastAsiaTheme="minorEastAsia" w:cstheme="minorEastAsia"/>
          <w:color w:val="auto"/>
          <w:sz w:val="24"/>
          <w:szCs w:val="24"/>
          <w:lang w:val="zh-TW" w:eastAsia="zh-CN"/>
        </w:rPr>
        <w:t>方有权单方解除合同，并不承担任何责任。若校方因此承担责任，</w:t>
      </w:r>
      <w:r>
        <w:rPr>
          <w:rFonts w:hint="eastAsia" w:asciiTheme="minorEastAsia" w:hAnsiTheme="minorEastAsia" w:eastAsiaTheme="minorEastAsia" w:cstheme="minorEastAsia"/>
          <w:color w:val="auto"/>
          <w:sz w:val="24"/>
          <w:szCs w:val="24"/>
          <w:lang w:val="en-US" w:eastAsia="zh-CN"/>
        </w:rPr>
        <w:t>校</w:t>
      </w:r>
      <w:r>
        <w:rPr>
          <w:rFonts w:hint="eastAsia" w:asciiTheme="minorEastAsia" w:hAnsiTheme="minorEastAsia" w:eastAsiaTheme="minorEastAsia" w:cstheme="minorEastAsia"/>
          <w:color w:val="auto"/>
          <w:sz w:val="24"/>
          <w:szCs w:val="24"/>
          <w:lang w:val="zh-TW" w:eastAsia="zh-CN"/>
        </w:rPr>
        <w:t>方有权向中标方追偿，违约金不足以弥补</w:t>
      </w:r>
      <w:r>
        <w:rPr>
          <w:rFonts w:hint="eastAsia" w:asciiTheme="minorEastAsia" w:hAnsiTheme="minorEastAsia" w:eastAsiaTheme="minorEastAsia" w:cstheme="minorEastAsia"/>
          <w:color w:val="auto"/>
          <w:sz w:val="24"/>
          <w:szCs w:val="24"/>
          <w:lang w:val="en-US" w:eastAsia="zh-CN"/>
        </w:rPr>
        <w:t>校</w:t>
      </w:r>
      <w:r>
        <w:rPr>
          <w:rFonts w:hint="eastAsia" w:asciiTheme="minorEastAsia" w:hAnsiTheme="minorEastAsia" w:eastAsiaTheme="minorEastAsia" w:cstheme="minorEastAsia"/>
          <w:color w:val="auto"/>
          <w:sz w:val="24"/>
          <w:szCs w:val="24"/>
          <w:lang w:val="zh-TW" w:eastAsia="zh-CN"/>
        </w:rPr>
        <w:t>方损失的，中标方应当按照上述约定予以补足。</w:t>
      </w:r>
    </w:p>
    <w:p w14:paraId="677DFB2E">
      <w:pPr>
        <w:pStyle w:val="42"/>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二、功能详情(实质性要求）</w:t>
      </w:r>
    </w:p>
    <w:p w14:paraId="70A9B5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1.资源管理：对教学功能区、教学楼以及教室信息进行管理和维护。支持按照树状结构显示教学楼与教室之间的归属关系；可自定义设置教室类型，提供修改教室各项信息的功能等</w:t>
      </w:r>
      <w:r>
        <w:rPr>
          <w:rFonts w:hint="eastAsia" w:asciiTheme="minorEastAsia" w:hAnsiTheme="minorEastAsia" w:eastAsiaTheme="minorEastAsia" w:cstheme="minorEastAsia"/>
          <w:color w:val="auto"/>
          <w:sz w:val="24"/>
          <w:szCs w:val="24"/>
          <w:highlight w:val="none"/>
          <w:lang w:val="en-US" w:eastAsia="zh-CN"/>
        </w:rPr>
        <w:t>。教室信息管理透明，空白教室一键即查，便于教室的使用管理。可自定义设置教室借用的审批流程。</w:t>
      </w:r>
    </w:p>
    <w:p w14:paraId="6D6810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师资管理：师资管理主要对教师的基本信息，教师卡片等信息进行管理及维护，同时统计教师教学过程中的各项数据。教师信息核心数据可从后台导入，实现信息初始化，也可通过教务处来维护上课教师的信息。</w:t>
      </w:r>
    </w:p>
    <w:p w14:paraId="255B5E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3.学生管理：学生基本信息维护列入，如：订单班，学徒制单列等；学籍异动处理、学生信息导入导出、报到注册服务、学生奖惩管理、学分预警、学业信息查询、学生数据统计、打印报表等。</w:t>
      </w:r>
    </w:p>
    <w:p w14:paraId="2B08C0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4.课程库管理：对课程信息进行维护，支持多种格式导入，同时具有增加、修改、查看、删除和组合查询的功能，课程信息包括课程名称、课程编号、课程性质、课程类别等。</w:t>
      </w:r>
    </w:p>
    <w:p w14:paraId="0AF12E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人才培养方案管理模块：方案差异化支持：同一专业下，允许为不同班级配置不同的人才培养方案，满足个性化教学需求。批量导入功能：支持以专业为单位，直接导入对应的人才培养方案，无需逐字段手动输入，提升操作效率。</w:t>
      </w:r>
    </w:p>
    <w:p w14:paraId="15E5A3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6.教学计划：培养方案通过审核生成执行计划后，可以查看该教学计划下的班级，也可以对教学计划进行微调。</w:t>
      </w:r>
    </w:p>
    <w:p w14:paraId="633B36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开课管理：在专业教学计划制定完成后，在开课管理中根据学时类型自动生成每一学期的开课通知，可以形成合班、添加任课教师信息，生成最终开课通知单，形成“实际开课表”和排课系统原始的排课数据，并转出到选课系统完成选操作。</w:t>
      </w:r>
    </w:p>
    <w:p w14:paraId="15B437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8.排课管理：排课系统既能支持学年制、学年学分制下的排课要求，也能支持完全学分制下对排课的要求。</w:t>
      </w:r>
    </w:p>
    <w:p w14:paraId="5BB676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9.选课管理：具有设置各类选修课程模块及应修学分功能，包括选修课程模块、公共选修课程模块、专业选修课程模块等，可按学期、分批次进行选课设置，进行时间控制、专业限制等。</w:t>
      </w:r>
    </w:p>
    <w:p w14:paraId="6B102F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10.考务管理：可在设置考务信息后进行自动排考，针对性进行考试时间、区域、教室、监考师资、考试班级设置和考试安排查询，并自动进行考试漏排、考务冲突检查。提供补考、重修考试、缓考等。</w:t>
      </w:r>
    </w:p>
    <w:p w14:paraId="5B636B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11.成绩管理：具有任课教师网上成绩录入功能，可提供正考、重修、补考成绩的标识。</w:t>
      </w:r>
    </w:p>
    <w:p w14:paraId="6D356C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成绩项目比例控制：可编辑各成绩项目所占总成绩的百分比范围；支持教师网上修改成绩构成系数，网上录入分项成绩，自动计算出总成绩。</w:t>
      </w:r>
    </w:p>
    <w:p w14:paraId="1F0E7B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毕业管理：毕业管理模块结合各专业学业修读要求，提供灵活的毕业资格审查条件设置、学位资格审查条件设置功能，能够方便地按条件审查出学生的学业修读状态（予以结业，准予毕业，是否获学证等），并实现相关证书的管理，毕业生数据处理，以及毕业学生查询等功能。</w:t>
      </w:r>
    </w:p>
    <w:p w14:paraId="7B7C98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13.系统设置：系统可进行角色权限设置，可进行角色管理和权限分配。</w:t>
      </w:r>
    </w:p>
    <w:p w14:paraId="44EF09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14.学生端：学生角色所具有的功能包括：个人信息查询、课程信息查询、课表查询、成绩查询、校历查询、空闲教室查询、在线选课、缓考申请、补考/重修申请和学籍异动申请等。</w:t>
      </w:r>
    </w:p>
    <w:p w14:paraId="15FAA7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15.教师端：教师角色所具有信息查询功能包括：个人信息查询、校历查询、考务查询、教师教学任务查询、教师课表查询、调停补课申请、各类信息反馈等。</w:t>
      </w:r>
    </w:p>
    <w:p w14:paraId="12EE07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16.通知公告：管理员进行通知公告发送操作，可群发也可指定单独群体发送。可查看该通知公告的已读未读、具体查看时间等。  </w:t>
      </w:r>
    </w:p>
    <w:p w14:paraId="234F21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rPr>
        <w:t>17.技能大赛模块：支持导入技能大赛项目库，供老师、学生选择参赛。实现学生、老师登录功能，自动关联教务系统中的学号</w:t>
      </w:r>
      <w:r>
        <w:rPr>
          <w:rFonts w:hint="eastAsia" w:asciiTheme="minorEastAsia" w:hAnsiTheme="minorEastAsia" w:eastAsiaTheme="minorEastAsia" w:cstheme="minorEastAsia"/>
          <w:color w:val="auto"/>
          <w:sz w:val="24"/>
          <w:szCs w:val="24"/>
          <w:highlight w:val="none"/>
          <w:lang w:val="en-US" w:eastAsia="zh-CN"/>
        </w:rPr>
        <w:t>、身份证号等基础信息。系统也可自动识别参赛的获奖信息，自动换取学生学分。</w:t>
      </w:r>
    </w:p>
    <w:p w14:paraId="010890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18.教材管理与审批模块：支持导入“十四五”等国家规划教材目录。老师可按专业、学期筛选并选择所需教材，提交申请。搭建分级审批流程：老师提交 → 二级学院审批 → 教务处审批，全程线上流转。</w:t>
      </w:r>
    </w:p>
    <w:p w14:paraId="5444ED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19.签到与课时费核算模块：包含学生签到、老师签到功能。自动核算老师课时量，并根据上课学生人数计算系数，最终生成课时费数据。 </w:t>
      </w:r>
    </w:p>
    <w:p w14:paraId="6E762B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20.普通话考试报名模块：支持管理员发布普通话考试时间、场次等信息。学生可在系统内查看考试信息并提交报名，自动留存报名学生的具体信息，便于统计。</w:t>
      </w:r>
    </w:p>
    <w:p w14:paraId="751138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21.数据整体流通，清洗。可与学校教学管理系统进行对接。</w:t>
      </w:r>
    </w:p>
    <w:p w14:paraId="1C38B9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22.数据分析：将教务系统内的数据做可视化处理，在界面以图表的形式展现。</w:t>
      </w:r>
    </w:p>
    <w:p w14:paraId="44054E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23.免费开放系统接口，可与校内各平台进行对接。也可对接智慧大脑等其他对接。</w:t>
      </w:r>
    </w:p>
    <w:p w14:paraId="768862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24.实验教学：管理实验室和各类实验用品，建立独立的实验项目，并将实验进行分组，对分组的项目进行排课。</w:t>
      </w:r>
    </w:p>
    <w:p w14:paraId="3672C0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25.学分认定：可由学生申请各类证书和比赛等换取课程学分。</w:t>
      </w:r>
    </w:p>
    <w:p w14:paraId="598BD6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26.超融合服务器一套。</w:t>
      </w:r>
    </w:p>
    <w:p w14:paraId="6A6BD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27.实验室信息管理：信息管理，实现学校内各二级单位的设定及二级管理员的设定、实验室信息的规范并与负责人对应、设定对应的实验室检查标准，主要依据国家检查标准进行设定。</w:t>
      </w:r>
    </w:p>
    <w:p w14:paraId="14A747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28.实验室日常巡检：日常巡检包含管理员通过PC端进行巡检设定及检查情况管理，巡检员通过移动端进行工作。</w:t>
      </w:r>
    </w:p>
    <w:p w14:paraId="735352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29.实验室专项检查：主要针对各类专项活动而设定的在某一时间段的专项检查。</w:t>
      </w:r>
    </w:p>
    <w:p w14:paraId="292B35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30.隐患上报：主要是给校内实验室的使用人员在使用过程中发现的实验室异常隐患提供一个在线反馈的途径。</w:t>
      </w:r>
    </w:p>
    <w:p w14:paraId="731D34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实验室预约：校内实验室首先保障日常实训课程需求，在实训课以外的空闲时间开放实验室预约，从而有效提高实验室利用率。依据教务课表数据、实训项目安排情况，整合人员、时间、场地、设备等多种资源的实验室开放信息化管理。实现开放预约管理，实现实训室自主预约。</w:t>
      </w:r>
    </w:p>
    <w:p w14:paraId="389DDF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实验室耗材管理：建立相应信息化实验室耗材管理平台，对实验室耗材的入库、存储以及使用查询等过程进行管理。耗材管理的模式分为院级、系部和实验室三个层级，每个层级都有各自专属的耗材管理库，各级管理人员进行日常的维护。</w:t>
      </w:r>
    </w:p>
    <w:p w14:paraId="6A6C2E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危化品管理：针对易制易爆危险化学品灾害事故特点和实验室运行情况，建设危化品管理系统平台，将顶层设计与具体措施相结合，信息化手段与传统管理方法相结合，实现从危险化学品从入口到库存、再到处置的全流程监控，实现危险化学品全程可追溯、全程闭环管理，确保危险化学品潜在危害降到最小。通过加强危险化学品精细化管理，促进学院学科建设和人才培养。</w:t>
      </w:r>
    </w:p>
    <w:p w14:paraId="3DBD38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实验室基础信息及报表管理：管理实验室、实验人员队伍、获奖成果、安全和评估、实验室环境检测等基本实验室事务。主要包括：实验室管理（实验室建立、实验用房、实验室汇总、规章制度、用房占用情况）、实验队伍管理（实验人员管理、人员变动管理、实验岗位职责、实验岗位日志）、获奖成果管理（论文、著作及实验教材、奖励及科研成果、发明与专利、人员培训、科研与社会服务、学生获奖成果管理、软件著作权、标准与规范、参加技能竞赛训练学生管理、参加技能竞赛学生情况统计）、安全和环境（安全预案管理、安全检查管理、危险品管理、安全事故备案）。实现无纸化办公和减少手工失误：通过信息化管理，可以避免手工测量、检测和分析数据的误差，提高工作效率和准确性。统计分析优势突出：实验室基础信息管理模块可以对实验室数据进行全面、准确、快速地统计和分析，为管理决策提供数据支持，同时可以减少人工统计和分析的错误和延迟。实现全方位的管理：实验室基础信息管理模块可以将实验室人员、设备、材料、安全等各方面信息进行全面、准确地记录和管理，实现信息的集中管理和控制，提高实验室运营效率和管理水平。积累技术和经验：通过信息化管理系统，可以将实验室涉及的数据进行保存和传承，避免技术流失和人员变动对实验室的影响。提高资源整合优势：实验室基础信息管理模块可以对实验室资源进行全面整合，实现资源的优化配置和共享，提高资源利用效率和管理水平。</w:t>
      </w:r>
    </w:p>
    <w:p w14:paraId="5B6C6D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35.实验室分级分类</w:t>
      </w:r>
      <w:r>
        <w:rPr>
          <w:rFonts w:hint="eastAsia" w:asciiTheme="minorEastAsia" w:hAnsiTheme="minorEastAsia" w:eastAsiaTheme="minorEastAsia" w:cstheme="minorEastAsia"/>
          <w:color w:val="auto"/>
          <w:sz w:val="24"/>
          <w:szCs w:val="24"/>
          <w:lang w:val="en-US" w:eastAsia="zh-Hans"/>
        </w:rPr>
        <w:t>管理</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Hans"/>
        </w:rPr>
        <w:t>以实验室为单位</w:t>
      </w:r>
      <w:r>
        <w:rPr>
          <w:rFonts w:hint="eastAsia" w:asciiTheme="minorEastAsia" w:hAnsiTheme="minorEastAsia" w:eastAsiaTheme="minorEastAsia" w:cstheme="minorEastAsia"/>
          <w:color w:val="auto"/>
          <w:sz w:val="24"/>
          <w:szCs w:val="24"/>
          <w:lang w:val="en-US" w:eastAsia="zh-CN"/>
        </w:rPr>
        <w:t>，建立健全</w:t>
      </w:r>
      <w:r>
        <w:rPr>
          <w:rFonts w:hint="eastAsia" w:asciiTheme="minorEastAsia" w:hAnsiTheme="minorEastAsia" w:eastAsiaTheme="minorEastAsia" w:cstheme="minorEastAsia"/>
          <w:color w:val="auto"/>
          <w:sz w:val="24"/>
          <w:szCs w:val="24"/>
          <w:lang w:val="en-US" w:eastAsia="zh-Hans"/>
        </w:rPr>
        <w:t>实验室安全分级分类管理体系</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Hans"/>
        </w:rPr>
        <w:t>通过系统危险源库和分级规则</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Hans"/>
        </w:rPr>
        <w:t>智能判定实验室的等级</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Hans"/>
        </w:rPr>
        <w:t>推进实验室安全精细化管理工作</w:t>
      </w:r>
      <w:r>
        <w:rPr>
          <w:rFonts w:hint="eastAsia" w:asciiTheme="minorEastAsia" w:hAnsiTheme="minorEastAsia" w:eastAsiaTheme="minorEastAsia" w:cstheme="minorEastAsia"/>
          <w:color w:val="auto"/>
          <w:sz w:val="24"/>
          <w:szCs w:val="24"/>
          <w:lang w:val="en-US" w:eastAsia="zh-CN"/>
        </w:rPr>
        <w:t>。高危实验室管理，高危工种实训实现操作追踪。</w:t>
      </w:r>
    </w:p>
    <w:p w14:paraId="3CC9B0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36.</w:t>
      </w:r>
      <w:r>
        <w:rPr>
          <w:rFonts w:hint="eastAsia" w:asciiTheme="minorEastAsia" w:hAnsiTheme="minorEastAsia" w:eastAsiaTheme="minorEastAsia" w:cstheme="minorEastAsia"/>
          <w:color w:val="auto"/>
          <w:sz w:val="24"/>
          <w:szCs w:val="24"/>
          <w:lang w:val="en-US" w:eastAsia="zh-Hans"/>
        </w:rPr>
        <w:t>仪器设备管理</w:t>
      </w:r>
      <w:r>
        <w:rPr>
          <w:rFonts w:hint="eastAsia" w:asciiTheme="minorEastAsia" w:hAnsiTheme="minorEastAsia" w:eastAsiaTheme="minorEastAsia" w:cstheme="minorEastAsia"/>
          <w:color w:val="auto"/>
          <w:sz w:val="24"/>
          <w:szCs w:val="24"/>
          <w:lang w:val="en-US" w:eastAsia="zh-CN"/>
        </w:rPr>
        <w:t>：可增删改设备基本信息：设备编号、设备种类、设备类别、设备品种、设备名称、设备代码、型号（规格）、设计使用年限、设计单位名称、制造单位名称、施工单位名称、监督检验机构名称、型式试验机构名称、所属二级单位、所在校区、所在楼宇、实验室房间号、投入使用日期、安全管理员、移动电话、检验机构名称、检验类别、检验报告编号、检验日期、检验结论、下次检验日期、设备状态、附件上传等。所登记字段，可根据学校情况灵活调整，分为：大型设备、小型设备、通用设备等分类管理。对于以上的设备资料，进行统一管理规划，系统能够快速调出相应设备详情资料内容。</w:t>
      </w:r>
    </w:p>
    <w:p w14:paraId="7F7606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37.</w:t>
      </w:r>
      <w:r>
        <w:rPr>
          <w:rFonts w:hint="eastAsia" w:asciiTheme="minorEastAsia" w:hAnsiTheme="minorEastAsia" w:eastAsiaTheme="minorEastAsia" w:cstheme="minorEastAsia"/>
          <w:color w:val="auto"/>
          <w:sz w:val="24"/>
          <w:szCs w:val="24"/>
          <w:lang w:val="en-US" w:eastAsia="zh-Hans"/>
        </w:rPr>
        <w:t>实验室工作日志管理实验室工作日志提供前台应用与后台数据记录的管理模式。</w:t>
      </w:r>
      <w:r>
        <w:rPr>
          <w:rFonts w:hint="eastAsia" w:asciiTheme="minorEastAsia" w:hAnsiTheme="minorEastAsia" w:eastAsiaTheme="minorEastAsia" w:cstheme="minorEastAsia"/>
          <w:color w:val="auto"/>
          <w:sz w:val="24"/>
          <w:szCs w:val="24"/>
          <w:lang w:val="en-US" w:eastAsia="zh-CN"/>
        </w:rPr>
        <w:t>与传统的纸质实验室日志相比，</w:t>
      </w:r>
      <w:r>
        <w:rPr>
          <w:rFonts w:hint="eastAsia" w:asciiTheme="minorEastAsia" w:hAnsiTheme="minorEastAsia" w:eastAsiaTheme="minorEastAsia" w:cstheme="minorEastAsia"/>
          <w:color w:val="auto"/>
          <w:sz w:val="24"/>
          <w:szCs w:val="24"/>
          <w:lang w:val="en-US" w:eastAsia="zh-Hans"/>
        </w:rPr>
        <w:t>实验室工作日志管理模块</w:t>
      </w:r>
      <w:r>
        <w:rPr>
          <w:rFonts w:hint="eastAsia" w:asciiTheme="minorEastAsia" w:hAnsiTheme="minorEastAsia" w:eastAsiaTheme="minorEastAsia" w:cstheme="minorEastAsia"/>
          <w:color w:val="auto"/>
          <w:sz w:val="24"/>
          <w:szCs w:val="24"/>
          <w:lang w:val="en-US" w:eastAsia="zh-CN"/>
        </w:rPr>
        <w:t>具有实时动态的数据反馈，便于实验室管理人员实时掌握实验室使用情况进而更好地管理实验室。</w:t>
      </w:r>
      <w:r>
        <w:rPr>
          <w:rFonts w:hint="eastAsia" w:asciiTheme="minorEastAsia" w:hAnsiTheme="minorEastAsia" w:eastAsiaTheme="minorEastAsia" w:cstheme="minorEastAsia"/>
          <w:color w:val="auto"/>
          <w:sz w:val="24"/>
          <w:szCs w:val="24"/>
          <w:lang w:val="en-US" w:eastAsia="zh-Hans"/>
        </w:rPr>
        <w:t>前台应用</w:t>
      </w:r>
      <w:r>
        <w:rPr>
          <w:rFonts w:hint="eastAsia" w:asciiTheme="minorEastAsia" w:hAnsiTheme="minorEastAsia" w:eastAsiaTheme="minorEastAsia" w:cstheme="minorEastAsia"/>
          <w:color w:val="auto"/>
          <w:sz w:val="24"/>
          <w:szCs w:val="24"/>
          <w:lang w:val="en-US" w:eastAsia="zh-CN"/>
        </w:rPr>
        <w:t>中的实验室日志主要包括：上课时间（星期、节次）、课程名称、姓名、教学班级、设备状况、卫生情况、班级人数等相关信息，为了更便于任课老师填写，任课老师可提前导入自己的课表（上课时间、课程名称、教学班级、班级人数）后续只需要对设备状况、卫生情况进行填写即可。</w:t>
      </w:r>
    </w:p>
    <w:p w14:paraId="32B578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38.实验室管理平台，实训过程管理支持与虚拟仿真和实操设备进行数据对接。</w:t>
      </w:r>
    </w:p>
    <w:p w14:paraId="7D88C8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39.教学教务一体化，旨在构建一个统一的校级门户，该门户能够集中展示教学教务相关的各类系统与信息，并支持通过文本、图文、轮播图、图表等多种模块灵活呈现内容，同时允许用户自定义调整门户的背景与主题色彩。平台集成了强大的统一身份认证中心，为门户及所有接入系统提供安全的访问入口，不仅支持账号密码、手机验证码、App扫码等多种登录方式与健全的账号激活、密码找回机制，还通过密码强度校验、登录保护策略（如验证码验证和自动冻结）全面保障用户安全。用户可在个人中心查看和修改个人信息，而管理后台则具备数据统计、用户与角色管理、系统权限分配、应用接入管理以及全链路操作日志监控等功能，实现对全校教学教务数字生态的统</w:t>
      </w:r>
    </w:p>
    <w:p w14:paraId="23175B29">
      <w:pPr>
        <w:pStyle w:val="42"/>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三、平台服务支持（实质性要求）</w:t>
      </w:r>
    </w:p>
    <w:p w14:paraId="49F107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1.平台需提供至少3年运维服务。</w:t>
      </w:r>
    </w:p>
    <w:p w14:paraId="754F70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2.运维期内，所有软件的更新、维护、升级均为免费。</w:t>
      </w:r>
    </w:p>
    <w:p w14:paraId="7A36A2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3.设备故障报修的响应时间：2小时。若电话无法解决，12小时内到达现场进行维护，24小时内解决问题。</w:t>
      </w:r>
    </w:p>
    <w:p w14:paraId="04491E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4.运维期内，所有软件维修服务均为原厂上门服务，由此产生的费用均不再收取。</w:t>
      </w:r>
    </w:p>
    <w:p w14:paraId="061DC3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5.服务期内对于系统所产生的业务问题，供应商需免费定制部分需求，以保证学校的业务正常运行。</w:t>
      </w:r>
    </w:p>
    <w:p w14:paraId="2773D8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6.对于校内其他平台供应商需免费对接，支持学校的智慧校园建设和信息化建设支持。</w:t>
      </w:r>
    </w:p>
    <w:p w14:paraId="526588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7.供应商需支持学校多轮次的培训工作，保证我校工作人员能熟练掌握该平台。</w:t>
      </w:r>
    </w:p>
    <w:p w14:paraId="71F4FD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8.供应商需免费对之前的平台所产生的数据进行免费清洗和迁移，使学校做到换平台而不导致信息的断代。</w:t>
      </w:r>
    </w:p>
    <w:p w14:paraId="3482524E">
      <w:pPr>
        <w:pStyle w:val="42"/>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四、具体功能要求（参数）：</w:t>
      </w:r>
    </w:p>
    <w:p w14:paraId="543E31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（一）基本要求</w:t>
      </w:r>
    </w:p>
    <w:tbl>
      <w:tblPr>
        <w:tblStyle w:val="21"/>
        <w:tblW w:w="8767" w:type="dxa"/>
        <w:tblInd w:w="155"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
      <w:tblGrid>
        <w:gridCol w:w="662"/>
        <w:gridCol w:w="1788"/>
        <w:gridCol w:w="6317"/>
      </w:tblGrid>
      <w:tr w14:paraId="416B39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21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3ACBE53C">
            <w:pPr>
              <w:pStyle w:val="43"/>
              <w:framePr w:wrap="auto" w:vAnchor="margin" w:hAnchor="text" w:yAlign="inline"/>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TW" w:eastAsia="zh-TW"/>
              </w:rPr>
              <w:t>序号</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F3A7185">
            <w:pPr>
              <w:pStyle w:val="43"/>
              <w:framePr w:wrap="auto" w:vAnchor="margin" w:hAnchor="text" w:yAlign="inline"/>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TW" w:eastAsia="zh-TW"/>
              </w:rPr>
              <w:t>系统设计</w:t>
            </w:r>
          </w:p>
        </w:tc>
        <w:tc>
          <w:tcPr>
            <w:tcW w:w="631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62307CBA">
            <w:pPr>
              <w:pStyle w:val="43"/>
              <w:framePr w:wrap="auto" w:vAnchor="margin" w:hAnchor="text" w:yAlign="inline"/>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具体内容</w:t>
            </w:r>
          </w:p>
        </w:tc>
      </w:tr>
      <w:tr w14:paraId="7073C82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10" w:hRule="atLeast"/>
        </w:trPr>
        <w:tc>
          <w:tcPr>
            <w:tcW w:w="8767"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20BF404D">
            <w:pPr>
              <w:pStyle w:val="43"/>
              <w:framePr w:wrap="auto" w:vAnchor="margin" w:hAnchor="text" w:yAlign="inline"/>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系统整体设计概述</w:t>
            </w:r>
          </w:p>
        </w:tc>
      </w:tr>
      <w:tr w14:paraId="4ECD3D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DE9BE21">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57A7651">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TW" w:eastAsia="zh-TW"/>
              </w:rPr>
              <w:t>运行环境</w:t>
            </w:r>
          </w:p>
        </w:tc>
        <w:tc>
          <w:tcPr>
            <w:tcW w:w="631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7767BBF2">
            <w:pPr>
              <w:pStyle w:val="43"/>
              <w:pageBreakBefore w:val="0"/>
              <w:framePr w:wrap="auto" w:vAnchor="margin" w:hAnchor="text" w:yAlign="inline"/>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TW" w:eastAsia="zh-TW"/>
              </w:rPr>
              <w:t>教务软件支持</w:t>
            </w:r>
            <w:r>
              <w:rPr>
                <w:rFonts w:hint="eastAsia" w:asciiTheme="minorEastAsia" w:hAnsiTheme="minorEastAsia" w:eastAsiaTheme="minorEastAsia" w:cstheme="minorEastAsia"/>
                <w:color w:val="auto"/>
                <w:kern w:val="0"/>
                <w:sz w:val="24"/>
                <w:szCs w:val="24"/>
              </w:rPr>
              <w:t>Linux</w:t>
            </w:r>
            <w:r>
              <w:rPr>
                <w:rFonts w:hint="eastAsia" w:asciiTheme="minorEastAsia" w:hAnsiTheme="minorEastAsia" w:eastAsiaTheme="minorEastAsia" w:cstheme="minorEastAsia"/>
                <w:color w:val="auto"/>
                <w:kern w:val="0"/>
                <w:sz w:val="24"/>
                <w:szCs w:val="24"/>
                <w:lang w:val="zh-TW" w:eastAsia="zh-TW"/>
              </w:rPr>
              <w:t>以及</w:t>
            </w:r>
            <w:r>
              <w:rPr>
                <w:rFonts w:hint="eastAsia" w:asciiTheme="minorEastAsia" w:hAnsiTheme="minorEastAsia" w:eastAsiaTheme="minorEastAsia" w:cstheme="minorEastAsia"/>
                <w:color w:val="auto"/>
                <w:kern w:val="0"/>
                <w:sz w:val="24"/>
                <w:szCs w:val="24"/>
              </w:rPr>
              <w:t>Windows</w:t>
            </w:r>
            <w:r>
              <w:rPr>
                <w:rFonts w:hint="eastAsia" w:asciiTheme="minorEastAsia" w:hAnsiTheme="minorEastAsia" w:eastAsiaTheme="minorEastAsia" w:cstheme="minorEastAsia"/>
                <w:color w:val="auto"/>
                <w:kern w:val="0"/>
                <w:sz w:val="24"/>
                <w:szCs w:val="24"/>
                <w:lang w:val="zh-TW" w:eastAsia="zh-TW"/>
              </w:rPr>
              <w:t>操作系统。系统采用</w:t>
            </w:r>
            <w:r>
              <w:rPr>
                <w:rFonts w:hint="eastAsia" w:asciiTheme="minorEastAsia" w:hAnsiTheme="minorEastAsia" w:eastAsiaTheme="minorEastAsia" w:cstheme="minorEastAsia"/>
                <w:color w:val="auto"/>
                <w:kern w:val="0"/>
                <w:sz w:val="24"/>
                <w:szCs w:val="24"/>
              </w:rPr>
              <w:t>B/S</w:t>
            </w:r>
            <w:r>
              <w:rPr>
                <w:rFonts w:hint="eastAsia" w:asciiTheme="minorEastAsia" w:hAnsiTheme="minorEastAsia" w:eastAsiaTheme="minorEastAsia" w:cstheme="minorEastAsia"/>
                <w:color w:val="auto"/>
                <w:kern w:val="0"/>
                <w:sz w:val="24"/>
                <w:szCs w:val="24"/>
                <w:lang w:val="zh-TW" w:eastAsia="zh-TW"/>
              </w:rPr>
              <w:t>架构，支持版本自动更新功能。</w:t>
            </w:r>
          </w:p>
        </w:tc>
      </w:tr>
      <w:tr w14:paraId="0538CF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61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EA2EFE8">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016CD26">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TW" w:eastAsia="zh-TW"/>
              </w:rPr>
              <w:t>文档</w:t>
            </w:r>
          </w:p>
        </w:tc>
        <w:tc>
          <w:tcPr>
            <w:tcW w:w="631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4AFBB507">
            <w:pPr>
              <w:pStyle w:val="43"/>
              <w:pageBreakBefore w:val="0"/>
              <w:framePr w:wrap="auto" w:vAnchor="margin" w:hAnchor="text" w:yAlign="inline"/>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TW" w:eastAsia="zh-TW"/>
              </w:rPr>
              <w:t>提供概要设计和详细设计文档，同时提供数据库表结构、表间关联关系、自定义函数、存储过程和系统接口说明文档，同时提供系统部署说明文档。</w:t>
            </w:r>
          </w:p>
        </w:tc>
      </w:tr>
      <w:tr w14:paraId="4F788A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0395349">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52B3E87">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TW" w:eastAsia="zh-TW"/>
              </w:rPr>
              <w:t>移动教务</w:t>
            </w:r>
            <w:r>
              <w:rPr>
                <w:rFonts w:hint="eastAsia" w:asciiTheme="minorEastAsia" w:hAnsiTheme="minorEastAsia" w:eastAsiaTheme="minorEastAsia" w:cstheme="minorEastAsia"/>
                <w:color w:val="auto"/>
                <w:kern w:val="0"/>
                <w:sz w:val="24"/>
                <w:szCs w:val="24"/>
              </w:rPr>
              <w:t>教学</w:t>
            </w:r>
          </w:p>
        </w:tc>
        <w:tc>
          <w:tcPr>
            <w:tcW w:w="631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45F99A99">
            <w:pPr>
              <w:pStyle w:val="43"/>
              <w:pageBreakBefore w:val="0"/>
              <w:framePr w:wrap="auto" w:vAnchor="margin" w:hAnchor="text" w:yAlign="inline"/>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auto"/>
                <w:kern w:val="0"/>
                <w:sz w:val="24"/>
                <w:szCs w:val="24"/>
                <w:lang w:val="zh-TW"/>
              </w:rPr>
            </w:pPr>
            <w:r>
              <w:rPr>
                <w:rFonts w:hint="eastAsia" w:asciiTheme="minorEastAsia" w:hAnsiTheme="minorEastAsia" w:eastAsiaTheme="minorEastAsia" w:cstheme="minorEastAsia"/>
                <w:color w:val="auto"/>
                <w:kern w:val="0"/>
                <w:sz w:val="24"/>
                <w:szCs w:val="24"/>
                <w:lang w:val="zh-TW" w:eastAsia="zh-TW"/>
              </w:rPr>
              <w:t>凡是</w:t>
            </w:r>
            <w:r>
              <w:rPr>
                <w:rFonts w:hint="eastAsia" w:asciiTheme="minorEastAsia" w:hAnsiTheme="minorEastAsia" w:eastAsiaTheme="minorEastAsia" w:cstheme="minorEastAsia"/>
                <w:color w:val="auto"/>
                <w:kern w:val="0"/>
                <w:sz w:val="24"/>
                <w:szCs w:val="24"/>
                <w:lang w:val="zh-TW" w:eastAsia="zh-CN"/>
              </w:rPr>
              <w:t>涉及</w:t>
            </w:r>
            <w:r>
              <w:rPr>
                <w:rFonts w:hint="eastAsia" w:asciiTheme="minorEastAsia" w:hAnsiTheme="minorEastAsia" w:eastAsiaTheme="minorEastAsia" w:cstheme="minorEastAsia"/>
                <w:color w:val="auto"/>
                <w:kern w:val="0"/>
                <w:sz w:val="24"/>
                <w:szCs w:val="24"/>
                <w:lang w:val="zh-TW" w:eastAsia="zh-TW"/>
              </w:rPr>
              <w:t>学生和教师角色的查询、申请，系统</w:t>
            </w:r>
            <w:r>
              <w:rPr>
                <w:rFonts w:hint="eastAsia" w:asciiTheme="minorEastAsia" w:hAnsiTheme="minorEastAsia" w:eastAsiaTheme="minorEastAsia" w:cstheme="minorEastAsia"/>
                <w:color w:val="auto"/>
                <w:kern w:val="0"/>
                <w:sz w:val="24"/>
                <w:szCs w:val="24"/>
                <w:lang w:val="zh-TW"/>
              </w:rPr>
              <w:t>支持</w:t>
            </w:r>
            <w:r>
              <w:rPr>
                <w:rFonts w:hint="eastAsia" w:asciiTheme="minorEastAsia" w:hAnsiTheme="minorEastAsia" w:eastAsiaTheme="minorEastAsia" w:cstheme="minorEastAsia"/>
                <w:color w:val="auto"/>
                <w:kern w:val="0"/>
                <w:sz w:val="24"/>
                <w:szCs w:val="24"/>
                <w:lang w:val="zh-TW" w:eastAsia="zh-TW"/>
              </w:rPr>
              <w:t>在手机、平板电脑等移动终端上使用</w:t>
            </w:r>
            <w:r>
              <w:rPr>
                <w:rFonts w:hint="eastAsia" w:asciiTheme="minorEastAsia" w:hAnsiTheme="minorEastAsia" w:eastAsiaTheme="minorEastAsia" w:cstheme="minorEastAsia"/>
                <w:color w:val="auto"/>
                <w:kern w:val="0"/>
                <w:sz w:val="24"/>
                <w:szCs w:val="24"/>
                <w:lang w:val="zh-TW"/>
              </w:rPr>
              <w:t>。</w:t>
            </w:r>
          </w:p>
        </w:tc>
      </w:tr>
      <w:tr w14:paraId="071473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83EA25F">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B038EF8">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TW" w:eastAsia="zh-TW"/>
              </w:rPr>
              <w:t>并发用户数</w:t>
            </w:r>
          </w:p>
        </w:tc>
        <w:tc>
          <w:tcPr>
            <w:tcW w:w="631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3AAF20E9">
            <w:pPr>
              <w:pStyle w:val="43"/>
              <w:pageBreakBefore w:val="0"/>
              <w:framePr w:wrap="auto" w:vAnchor="margin" w:hAnchor="text" w:yAlign="inline"/>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highlight w:val="none"/>
                <w:lang w:val="zh-TW" w:eastAsia="zh-TW"/>
              </w:rPr>
              <w:t>支持</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0000</w:t>
            </w:r>
            <w:r>
              <w:rPr>
                <w:rFonts w:hint="eastAsia" w:asciiTheme="minorEastAsia" w:hAnsiTheme="minorEastAsia" w:eastAsiaTheme="minorEastAsia" w:cstheme="minorEastAsia"/>
                <w:color w:val="auto"/>
                <w:kern w:val="0"/>
                <w:sz w:val="24"/>
                <w:szCs w:val="24"/>
                <w:highlight w:val="none"/>
                <w:lang w:val="zh-TW" w:eastAsia="zh-TW"/>
              </w:rPr>
              <w:t>名学生</w:t>
            </w:r>
            <w:r>
              <w:rPr>
                <w:rFonts w:hint="eastAsia" w:asciiTheme="minorEastAsia" w:hAnsiTheme="minorEastAsia" w:eastAsiaTheme="minorEastAsia" w:cstheme="minorEastAsia"/>
                <w:color w:val="auto"/>
                <w:kern w:val="0"/>
                <w:sz w:val="24"/>
                <w:szCs w:val="24"/>
                <w:highlight w:val="none"/>
                <w:lang w:val="zh-TW"/>
              </w:rPr>
              <w:t>、</w:t>
            </w:r>
            <w:r>
              <w:rPr>
                <w:rFonts w:hint="eastAsia" w:asciiTheme="minorEastAsia" w:hAnsiTheme="minorEastAsia" w:eastAsiaTheme="minorEastAsia" w:cstheme="minorEastAsia"/>
                <w:color w:val="auto"/>
                <w:kern w:val="0"/>
                <w:sz w:val="24"/>
                <w:szCs w:val="24"/>
                <w:highlight w:val="none"/>
              </w:rPr>
              <w:t>3000</w:t>
            </w:r>
            <w:r>
              <w:rPr>
                <w:rFonts w:hint="eastAsia" w:asciiTheme="minorEastAsia" w:hAnsiTheme="minorEastAsia" w:eastAsiaTheme="minorEastAsia" w:cstheme="minorEastAsia"/>
                <w:color w:val="auto"/>
                <w:kern w:val="0"/>
                <w:sz w:val="24"/>
                <w:szCs w:val="24"/>
                <w:highlight w:val="none"/>
                <w:lang w:val="zh-TW" w:eastAsia="zh-TW"/>
              </w:rPr>
              <w:t>名教师同时在线进行成绩录入</w:t>
            </w:r>
            <w:r>
              <w:rPr>
                <w:rFonts w:hint="eastAsia" w:asciiTheme="minorEastAsia" w:hAnsiTheme="minorEastAsia" w:eastAsiaTheme="minorEastAsia" w:cstheme="minorEastAsia"/>
                <w:color w:val="auto"/>
                <w:kern w:val="0"/>
                <w:sz w:val="24"/>
                <w:szCs w:val="24"/>
                <w:highlight w:val="none"/>
                <w:lang w:val="zh-TW"/>
              </w:rPr>
              <w:t>、选课</w:t>
            </w:r>
            <w:r>
              <w:rPr>
                <w:rFonts w:hint="eastAsia" w:asciiTheme="minorEastAsia" w:hAnsiTheme="minorEastAsia" w:eastAsiaTheme="minorEastAsia" w:cstheme="minorEastAsia"/>
                <w:color w:val="auto"/>
                <w:kern w:val="0"/>
                <w:sz w:val="24"/>
                <w:szCs w:val="24"/>
                <w:highlight w:val="none"/>
                <w:lang w:val="zh-TW" w:eastAsia="zh-TW"/>
              </w:rPr>
              <w:t>等操作。</w:t>
            </w:r>
          </w:p>
        </w:tc>
      </w:tr>
      <w:tr w14:paraId="2F321A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61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4888BEF">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A330719">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TW" w:eastAsia="zh-TW"/>
              </w:rPr>
              <w:t>数据同步</w:t>
            </w:r>
          </w:p>
        </w:tc>
        <w:tc>
          <w:tcPr>
            <w:tcW w:w="631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1765C8B9">
            <w:pPr>
              <w:pStyle w:val="43"/>
              <w:pageBreakBefore w:val="0"/>
              <w:framePr w:wrap="auto" w:vAnchor="margin" w:hAnchor="text" w:yAlign="inline"/>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TW" w:eastAsia="zh-TW"/>
              </w:rPr>
              <w:t>系统定期自动完成教务数据库与学校数据中心的比对操作，对组织结构、专业和班级信息、教师（含兼职教师系统）异动信息等完成自动抓取，完成数据同步操作。</w:t>
            </w:r>
          </w:p>
        </w:tc>
      </w:tr>
      <w:tr w14:paraId="7050B8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81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009344C">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013A86A">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TW" w:eastAsia="zh-TW"/>
              </w:rPr>
              <w:t>身份认证</w:t>
            </w:r>
          </w:p>
        </w:tc>
        <w:tc>
          <w:tcPr>
            <w:tcW w:w="631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2BE019C8">
            <w:pPr>
              <w:pStyle w:val="43"/>
              <w:pageBreakBefore w:val="0"/>
              <w:framePr w:wrap="auto" w:vAnchor="margin" w:hAnchor="text" w:yAlign="inline"/>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auto"/>
                <w:kern w:val="0"/>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bidi="ar-SA"/>
              </w:rPr>
              <w:t>教务系统能与学校现有的统一身份认证平台对接，对接统一身份认证平台灵活方便，无需修改程序代码，只需要进行配置参数设置，对于教务系统单个学生用户的添加操作时，同时具有统一身份认证平台新增用户的操作功能。</w:t>
            </w:r>
          </w:p>
        </w:tc>
      </w:tr>
      <w:tr w14:paraId="01A910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40BBAEC">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E49E068">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TW" w:eastAsia="zh-TW"/>
              </w:rPr>
              <w:t>通用数据接口</w:t>
            </w:r>
          </w:p>
        </w:tc>
        <w:tc>
          <w:tcPr>
            <w:tcW w:w="631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481FA0E3">
            <w:pPr>
              <w:pStyle w:val="43"/>
              <w:pageBreakBefore w:val="0"/>
              <w:framePr w:wrap="auto" w:vAnchor="margin" w:hAnchor="text" w:yAlign="inline"/>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auto"/>
                <w:kern w:val="0"/>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bidi="ar-SA"/>
              </w:rPr>
              <w:t>教务系统开放部分接口，提供第三方应用系统轻量级查询与数据更新操作功能。</w:t>
            </w:r>
          </w:p>
        </w:tc>
      </w:tr>
      <w:tr w14:paraId="36D0F0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124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A4E9EE9">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EDB9F06">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TW" w:eastAsia="zh-TW"/>
              </w:rPr>
              <w:t>门户平台</w:t>
            </w:r>
          </w:p>
        </w:tc>
        <w:tc>
          <w:tcPr>
            <w:tcW w:w="631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02D926AE">
            <w:pPr>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kern w:val="0"/>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bidi="ar-SA"/>
              </w:rPr>
              <w:t>提供门户平台，将教务系统中针对教师和学生开发的查询、统计等程序接入门户平台。要求门户网站可以进行自定义配置栏目布局和栏目内容，支持自定义设置栏目内容。</w:t>
            </w:r>
          </w:p>
        </w:tc>
      </w:tr>
      <w:tr w14:paraId="0EBF4C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1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C5E06A8">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6885FE5">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TW" w:eastAsia="zh-TW"/>
              </w:rPr>
              <w:t>数据迁移</w:t>
            </w:r>
          </w:p>
        </w:tc>
        <w:tc>
          <w:tcPr>
            <w:tcW w:w="631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71A56DAA">
            <w:pPr>
              <w:pStyle w:val="43"/>
              <w:pageBreakBefore w:val="0"/>
              <w:framePr w:wrap="auto" w:vAnchor="margin" w:hAnchor="text" w:yAlign="inline"/>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auto"/>
                <w:kern w:val="0"/>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bidi="ar-SA"/>
              </w:rPr>
              <w:t>本次项目建设将学校原有教务管理系统中的数据迁移到新平台中，能顺利正常工作。</w:t>
            </w:r>
          </w:p>
        </w:tc>
      </w:tr>
      <w:tr w14:paraId="512105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81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60F88D9">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E0712D3">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TW" w:eastAsia="zh-TW"/>
              </w:rPr>
              <w:t>安全</w:t>
            </w:r>
            <w:r>
              <w:rPr>
                <w:rFonts w:hint="eastAsia" w:asciiTheme="minorEastAsia" w:hAnsiTheme="minorEastAsia" w:eastAsiaTheme="minorEastAsia" w:cstheme="minorEastAsia"/>
                <w:color w:val="auto"/>
                <w:kern w:val="0"/>
                <w:sz w:val="24"/>
                <w:szCs w:val="24"/>
                <w:lang w:val="zh-TW"/>
              </w:rPr>
              <w:t>性</w:t>
            </w:r>
          </w:p>
        </w:tc>
        <w:tc>
          <w:tcPr>
            <w:tcW w:w="631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7DB28E5F">
            <w:pPr>
              <w:pStyle w:val="43"/>
              <w:pageBreakBefore w:val="0"/>
              <w:framePr w:wrap="auto" w:vAnchor="margin" w:hAnchor="text" w:yAlign="inline"/>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auto"/>
                <w:kern w:val="0"/>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bidi="ar-SA"/>
              </w:rPr>
              <w:t>具有严格的安全机制，包括真正的三层结构（数据层、应用层、WEB层）、严格的身份授权机制（绑定MAC地址、按角色、数据表、字段等授权）、敏感数据的监控预警（成绩异常修改监控）等。</w:t>
            </w:r>
          </w:p>
        </w:tc>
      </w:tr>
      <w:tr w14:paraId="57E2FF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689ECAE">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2830BC1">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TW" w:eastAsia="zh-TW"/>
              </w:rPr>
              <w:t>兼容性</w:t>
            </w:r>
          </w:p>
        </w:tc>
        <w:tc>
          <w:tcPr>
            <w:tcW w:w="631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475AB406">
            <w:pPr>
              <w:pStyle w:val="43"/>
              <w:pageBreakBefore w:val="0"/>
              <w:framePr w:wrap="auto" w:vAnchor="margin" w:hAnchor="text" w:yAlign="inline"/>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auto"/>
                <w:kern w:val="0"/>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bidi="ar-SA"/>
              </w:rPr>
              <w:t>保证对各种浏览器（如：IE9及以上版本，firefox，chrome等）的兼容。</w:t>
            </w:r>
          </w:p>
        </w:tc>
      </w:tr>
      <w:tr w14:paraId="5D44E9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FDA2385">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F68A139">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TW"/>
              </w:rPr>
              <w:t>数据</w:t>
            </w:r>
            <w:r>
              <w:rPr>
                <w:rFonts w:hint="eastAsia" w:asciiTheme="minorEastAsia" w:hAnsiTheme="minorEastAsia" w:eastAsiaTheme="minorEastAsia" w:cstheme="minorEastAsia"/>
                <w:color w:val="auto"/>
                <w:kern w:val="0"/>
                <w:sz w:val="24"/>
                <w:szCs w:val="24"/>
                <w:lang w:val="zh-TW" w:eastAsia="zh-TW"/>
              </w:rPr>
              <w:t>备份</w:t>
            </w:r>
          </w:p>
        </w:tc>
        <w:tc>
          <w:tcPr>
            <w:tcW w:w="631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767C5188">
            <w:pPr>
              <w:pStyle w:val="43"/>
              <w:pageBreakBefore w:val="0"/>
              <w:framePr w:wrap="auto" w:vAnchor="margin" w:hAnchor="text" w:yAlign="inline"/>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auto"/>
                <w:kern w:val="0"/>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bidi="ar-SA"/>
              </w:rPr>
              <w:t>提供可靠的服务器架构方案，可实现服务器系统和数据库的优化、安全冗余、备份，可实现双机热备。</w:t>
            </w:r>
          </w:p>
        </w:tc>
      </w:tr>
      <w:tr w14:paraId="4A3B2F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1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16D7429">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80B09B0">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微服务架构</w:t>
            </w:r>
          </w:p>
        </w:tc>
        <w:tc>
          <w:tcPr>
            <w:tcW w:w="631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69967390">
            <w:pPr>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采用微服务架构，供应商可提供微服务公共服务平台，支持微服务门户设置，支持通过微服务平台自主搭建门户。</w:t>
            </w:r>
          </w:p>
        </w:tc>
      </w:tr>
    </w:tbl>
    <w:p w14:paraId="22C19C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en-US" w:eastAsia="zh-CN"/>
        </w:rPr>
        <w:t>（二）功能</w:t>
      </w:r>
      <w:r>
        <w:rPr>
          <w:rFonts w:hint="eastAsia" w:asciiTheme="minorEastAsia" w:hAnsiTheme="minorEastAsia" w:eastAsiaTheme="minorEastAsia" w:cstheme="minorEastAsia"/>
          <w:color w:val="auto"/>
          <w:sz w:val="24"/>
          <w:szCs w:val="24"/>
          <w:lang w:val="zh-CN" w:eastAsia="zh-CN"/>
        </w:rPr>
        <w:t>要求</w:t>
      </w:r>
    </w:p>
    <w:tbl>
      <w:tblPr>
        <w:tblStyle w:val="21"/>
        <w:tblW w:w="8856" w:type="dxa"/>
        <w:tblInd w:w="74"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
      <w:tblGrid>
        <w:gridCol w:w="743"/>
        <w:gridCol w:w="1800"/>
        <w:gridCol w:w="6313"/>
      </w:tblGrid>
      <w:tr w14:paraId="3E8501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8856"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66D4EDB">
            <w:pPr>
              <w:pStyle w:val="43"/>
              <w:pageBreakBefore w:val="0"/>
              <w:framePr w:wrap="auto" w:vAnchor="margin" w:hAnchor="text" w:yAlign="inline"/>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auto"/>
                <w:kern w:val="0"/>
                <w:sz w:val="24"/>
                <w:szCs w:val="24"/>
                <w:highlight w:val="none"/>
                <w:lang w:val="zh-TW" w:eastAsia="zh-TW"/>
              </w:rPr>
            </w:pPr>
            <w:r>
              <w:rPr>
                <w:rFonts w:hint="eastAsia" w:asciiTheme="minorEastAsia" w:hAnsiTheme="minorEastAsia" w:eastAsiaTheme="minorEastAsia" w:cstheme="minorEastAsia"/>
                <w:b/>
                <w:bCs/>
                <w:color w:val="auto"/>
                <w:sz w:val="24"/>
                <w:szCs w:val="24"/>
                <w:highlight w:val="none"/>
                <w:lang w:val="zh-TW" w:eastAsia="zh-TW"/>
              </w:rPr>
              <w:t>教务管理</w:t>
            </w:r>
            <w:r>
              <w:rPr>
                <w:rFonts w:hint="eastAsia" w:asciiTheme="minorEastAsia" w:hAnsiTheme="minorEastAsia" w:eastAsiaTheme="minorEastAsia" w:cstheme="minorEastAsia"/>
                <w:b/>
                <w:bCs/>
                <w:color w:val="auto"/>
                <w:sz w:val="24"/>
                <w:szCs w:val="24"/>
                <w:highlight w:val="none"/>
              </w:rPr>
              <w:t>模块</w:t>
            </w:r>
          </w:p>
        </w:tc>
      </w:tr>
      <w:tr w14:paraId="3DD50E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07B5A278">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5C45B0BE">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lang w:val="zh-TW" w:eastAsia="zh-TW"/>
              </w:rPr>
            </w:pPr>
            <w:r>
              <w:rPr>
                <w:rFonts w:hint="eastAsia" w:asciiTheme="minorEastAsia" w:hAnsiTheme="minorEastAsia" w:eastAsiaTheme="minorEastAsia" w:cstheme="minorEastAsia"/>
                <w:color w:val="auto"/>
                <w:sz w:val="24"/>
                <w:szCs w:val="24"/>
                <w:highlight w:val="none"/>
                <w:lang w:val="zh-TW" w:eastAsia="zh-TW"/>
              </w:rPr>
              <w:t>系统管理</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75C84E1D">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CN" w:eastAsia="zh-TW" w:bidi="ar-SA"/>
              </w:rPr>
            </w:pPr>
            <w:r>
              <w:rPr>
                <w:rFonts w:hint="eastAsia" w:asciiTheme="minorEastAsia" w:hAnsiTheme="minorEastAsia" w:eastAsiaTheme="minorEastAsia" w:cstheme="minorEastAsia"/>
                <w:color w:val="auto"/>
                <w:sz w:val="24"/>
                <w:szCs w:val="24"/>
                <w:highlight w:val="none"/>
                <w:lang w:val="zh-CN" w:eastAsia="zh-CN" w:bidi="ar-SA"/>
              </w:rPr>
              <w:t>1.</w:t>
            </w:r>
            <w:r>
              <w:rPr>
                <w:rFonts w:hint="eastAsia" w:asciiTheme="minorEastAsia" w:hAnsiTheme="minorEastAsia" w:eastAsiaTheme="minorEastAsia" w:cstheme="minorEastAsia"/>
                <w:color w:val="auto"/>
                <w:sz w:val="24"/>
                <w:szCs w:val="24"/>
                <w:highlight w:val="none"/>
                <w:lang w:val="zh-TW" w:eastAsia="zh-TW" w:bidi="ar-SA"/>
              </w:rPr>
              <w:t>★</w:t>
            </w:r>
            <w:r>
              <w:rPr>
                <w:rFonts w:hint="eastAsia" w:asciiTheme="minorEastAsia" w:hAnsiTheme="minorEastAsia" w:eastAsiaTheme="minorEastAsia" w:cstheme="minorEastAsia"/>
                <w:color w:val="auto"/>
                <w:sz w:val="24"/>
                <w:szCs w:val="24"/>
                <w:highlight w:val="none"/>
                <w:lang w:val="zh-CN" w:eastAsia="zh-TW" w:bidi="ar-SA"/>
              </w:rPr>
              <w:t>支持登录页面流程化管理，可根据首页不同模块功能设置的流程图点击进入相应页面，方便熟悉系统操作流程，且受权限配置的限制，无相应操作权限的用户无法进入。</w:t>
            </w:r>
          </w:p>
          <w:p w14:paraId="298D914B">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CN" w:eastAsia="zh-TW" w:bidi="ar-SA"/>
              </w:rPr>
            </w:pPr>
            <w:r>
              <w:rPr>
                <w:rFonts w:hint="eastAsia" w:asciiTheme="minorEastAsia" w:hAnsiTheme="minorEastAsia" w:eastAsiaTheme="minorEastAsia" w:cstheme="minorEastAsia"/>
                <w:color w:val="auto"/>
                <w:sz w:val="24"/>
                <w:szCs w:val="24"/>
                <w:highlight w:val="none"/>
                <w:lang w:val="zh-CN" w:eastAsia="zh-CN" w:bidi="ar-SA"/>
              </w:rPr>
              <w:t>2.</w:t>
            </w:r>
            <w:r>
              <w:rPr>
                <w:rFonts w:hint="eastAsia" w:asciiTheme="minorEastAsia" w:hAnsiTheme="minorEastAsia" w:eastAsiaTheme="minorEastAsia" w:cstheme="minorEastAsia"/>
                <w:color w:val="auto"/>
                <w:sz w:val="24"/>
                <w:szCs w:val="24"/>
                <w:highlight w:val="none"/>
                <w:lang w:val="zh-CN" w:eastAsia="zh-TW" w:bidi="ar-SA"/>
              </w:rPr>
              <w:t>系统支持用户登录后不通过角色界面灵活切换；</w:t>
            </w:r>
          </w:p>
          <w:p w14:paraId="01194B0D">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CN" w:eastAsia="zh-TW" w:bidi="ar-SA"/>
              </w:rPr>
            </w:pPr>
            <w:r>
              <w:rPr>
                <w:rFonts w:hint="eastAsia" w:asciiTheme="minorEastAsia" w:hAnsiTheme="minorEastAsia" w:eastAsiaTheme="minorEastAsia" w:cstheme="minorEastAsia"/>
                <w:color w:val="auto"/>
                <w:sz w:val="24"/>
                <w:szCs w:val="24"/>
                <w:highlight w:val="none"/>
                <w:lang w:val="zh-CN" w:eastAsia="zh-CN" w:bidi="ar-SA"/>
              </w:rPr>
              <w:t>3.</w:t>
            </w:r>
            <w:r>
              <w:rPr>
                <w:rFonts w:hint="eastAsia" w:asciiTheme="minorEastAsia" w:hAnsiTheme="minorEastAsia" w:eastAsiaTheme="minorEastAsia" w:cstheme="minorEastAsia"/>
                <w:color w:val="auto"/>
                <w:sz w:val="24"/>
                <w:szCs w:val="24"/>
                <w:highlight w:val="none"/>
                <w:lang w:val="zh-CN" w:eastAsia="zh-TW" w:bidi="ar-SA"/>
              </w:rPr>
              <w:t>支持系统不同角色功能权限的灵活设置，每个角色的功能权限设置可精细到页面的功能点；</w:t>
            </w:r>
          </w:p>
          <w:p w14:paraId="6892AA66">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CN" w:eastAsia="zh-TW" w:bidi="ar-SA"/>
              </w:rPr>
            </w:pPr>
            <w:r>
              <w:rPr>
                <w:rFonts w:hint="eastAsia" w:asciiTheme="minorEastAsia" w:hAnsiTheme="minorEastAsia" w:eastAsiaTheme="minorEastAsia" w:cstheme="minorEastAsia"/>
                <w:color w:val="auto"/>
                <w:sz w:val="24"/>
                <w:szCs w:val="24"/>
                <w:highlight w:val="none"/>
                <w:lang w:val="zh-CN" w:eastAsia="zh-CN" w:bidi="ar-SA"/>
              </w:rPr>
              <w:t>4.</w:t>
            </w:r>
            <w:r>
              <w:rPr>
                <w:rFonts w:hint="eastAsia" w:asciiTheme="minorEastAsia" w:hAnsiTheme="minorEastAsia" w:eastAsiaTheme="minorEastAsia" w:cstheme="minorEastAsia"/>
                <w:color w:val="auto"/>
                <w:sz w:val="24"/>
                <w:szCs w:val="24"/>
                <w:highlight w:val="none"/>
                <w:lang w:val="zh-CN" w:eastAsia="zh-TW" w:bidi="ar-SA"/>
              </w:rPr>
              <w:t>系统界面提供智能引导</w:t>
            </w:r>
            <w:r>
              <w:rPr>
                <w:rFonts w:hint="eastAsia" w:asciiTheme="minorEastAsia" w:hAnsiTheme="minorEastAsia" w:eastAsiaTheme="minorEastAsia" w:cstheme="minorEastAsia"/>
                <w:color w:val="auto"/>
                <w:sz w:val="24"/>
                <w:szCs w:val="24"/>
                <w:highlight w:val="none"/>
                <w:lang w:val="en-US" w:eastAsia="zh-CN" w:bidi="ar-SA"/>
              </w:rPr>
              <w:t>机器人</w:t>
            </w:r>
            <w:r>
              <w:rPr>
                <w:rFonts w:hint="eastAsia" w:asciiTheme="minorEastAsia" w:hAnsiTheme="minorEastAsia" w:eastAsiaTheme="minorEastAsia" w:cstheme="minorEastAsia"/>
                <w:color w:val="auto"/>
                <w:sz w:val="24"/>
                <w:szCs w:val="24"/>
                <w:highlight w:val="none"/>
                <w:lang w:val="zh-CN" w:eastAsia="zh-TW" w:bidi="ar-SA"/>
              </w:rPr>
              <w:t>，既可以在线与智能</w:t>
            </w:r>
            <w:r>
              <w:rPr>
                <w:rFonts w:hint="eastAsia" w:asciiTheme="minorEastAsia" w:hAnsiTheme="minorEastAsia" w:eastAsiaTheme="minorEastAsia" w:cstheme="minorEastAsia"/>
                <w:color w:val="auto"/>
                <w:sz w:val="24"/>
                <w:szCs w:val="24"/>
                <w:highlight w:val="none"/>
                <w:lang w:val="en-US" w:eastAsia="zh-CN" w:bidi="ar-SA"/>
              </w:rPr>
              <w:t>引导机器人</w:t>
            </w:r>
            <w:r>
              <w:rPr>
                <w:rFonts w:hint="eastAsia" w:asciiTheme="minorEastAsia" w:hAnsiTheme="minorEastAsia" w:eastAsiaTheme="minorEastAsia" w:cstheme="minorEastAsia"/>
                <w:color w:val="auto"/>
                <w:sz w:val="24"/>
                <w:szCs w:val="24"/>
                <w:highlight w:val="none"/>
                <w:lang w:val="zh-CN" w:eastAsia="zh-TW" w:bidi="ar-SA"/>
              </w:rPr>
              <w:t>解决系统操作和使用问题，也可以转人工在线，为操作员和师生提供便捷。</w:t>
            </w:r>
          </w:p>
          <w:p w14:paraId="54745811">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CN" w:eastAsia="zh-TW" w:bidi="ar-SA"/>
              </w:rPr>
            </w:pPr>
            <w:r>
              <w:rPr>
                <w:rFonts w:hint="eastAsia" w:asciiTheme="minorEastAsia" w:hAnsiTheme="minorEastAsia" w:eastAsiaTheme="minorEastAsia" w:cstheme="minorEastAsia"/>
                <w:color w:val="auto"/>
                <w:sz w:val="24"/>
                <w:szCs w:val="24"/>
                <w:highlight w:val="none"/>
                <w:lang w:val="en-US" w:eastAsia="zh-CN" w:bidi="ar-SA"/>
              </w:rPr>
              <w:t>5.</w:t>
            </w:r>
            <w:r>
              <w:rPr>
                <w:rFonts w:hint="eastAsia" w:asciiTheme="minorEastAsia" w:hAnsiTheme="minorEastAsia" w:eastAsiaTheme="minorEastAsia" w:cstheme="minorEastAsia"/>
                <w:color w:val="auto"/>
                <w:sz w:val="24"/>
                <w:szCs w:val="24"/>
                <w:highlight w:val="none"/>
                <w:lang w:val="zh-TW" w:eastAsia="zh-TW" w:bidi="ar-SA"/>
              </w:rPr>
              <w:t>系统能支持工作流引擎，实现流程的动态配置。支持系统内各项审批流程的自定义，如：调停课流程、成绩录入流程、教室借用流程、缓考申请流程、培养方案审核流程。</w:t>
            </w:r>
          </w:p>
          <w:p w14:paraId="40E8D85B">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CN" w:eastAsia="zh-TW" w:bidi="ar-SA"/>
              </w:rPr>
            </w:pPr>
            <w:r>
              <w:rPr>
                <w:rFonts w:hint="eastAsia" w:asciiTheme="minorEastAsia" w:hAnsiTheme="minorEastAsia" w:eastAsiaTheme="minorEastAsia" w:cstheme="minorEastAsia"/>
                <w:color w:val="auto"/>
                <w:sz w:val="24"/>
                <w:szCs w:val="24"/>
                <w:highlight w:val="none"/>
                <w:lang w:val="en-US" w:eastAsia="zh-CN" w:bidi="ar-SA"/>
              </w:rPr>
              <w:t>6</w:t>
            </w:r>
            <w:r>
              <w:rPr>
                <w:rFonts w:hint="eastAsia" w:asciiTheme="minorEastAsia" w:hAnsiTheme="minorEastAsia" w:eastAsiaTheme="minorEastAsia" w:cstheme="minorEastAsia"/>
                <w:color w:val="auto"/>
                <w:sz w:val="24"/>
                <w:szCs w:val="24"/>
                <w:highlight w:val="none"/>
                <w:lang w:val="zh-CN" w:eastAsia="zh-CN" w:bidi="ar-SA"/>
              </w:rPr>
              <w:t>.</w:t>
            </w:r>
            <w:r>
              <w:rPr>
                <w:rFonts w:hint="eastAsia" w:asciiTheme="minorEastAsia" w:hAnsiTheme="minorEastAsia" w:eastAsiaTheme="minorEastAsia" w:cstheme="minorEastAsia"/>
                <w:color w:val="auto"/>
                <w:sz w:val="24"/>
                <w:szCs w:val="24"/>
                <w:highlight w:val="none"/>
                <w:lang w:val="zh-TW" w:eastAsia="zh-TW" w:bidi="ar-SA"/>
              </w:rPr>
              <w:t>权限管理：</w:t>
            </w:r>
            <w:r>
              <w:rPr>
                <w:rFonts w:hint="eastAsia" w:asciiTheme="minorEastAsia" w:hAnsiTheme="minorEastAsia" w:eastAsiaTheme="minorEastAsia" w:cstheme="minorEastAsia"/>
                <w:color w:val="auto"/>
                <w:sz w:val="24"/>
                <w:szCs w:val="24"/>
                <w:highlight w:val="none"/>
                <w:lang w:val="zh-CN" w:eastAsia="zh-TW" w:bidi="ar-SA"/>
              </w:rPr>
              <w:t>支持数据权限设置到用户的不同角色。</w:t>
            </w:r>
          </w:p>
          <w:p w14:paraId="19F4143F">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CN" w:eastAsia="zh-TW" w:bidi="ar-SA"/>
              </w:rPr>
            </w:pPr>
            <w:r>
              <w:rPr>
                <w:rFonts w:hint="eastAsia" w:asciiTheme="minorEastAsia" w:hAnsiTheme="minorEastAsia" w:eastAsiaTheme="minorEastAsia" w:cstheme="minorEastAsia"/>
                <w:color w:val="auto"/>
                <w:sz w:val="24"/>
                <w:szCs w:val="24"/>
                <w:highlight w:val="none"/>
                <w:lang w:val="en-US" w:eastAsia="zh-CN" w:bidi="ar-SA"/>
              </w:rPr>
              <w:t>7</w:t>
            </w:r>
            <w:r>
              <w:rPr>
                <w:rFonts w:hint="eastAsia" w:asciiTheme="minorEastAsia" w:hAnsiTheme="minorEastAsia" w:eastAsiaTheme="minorEastAsia" w:cstheme="minorEastAsia"/>
                <w:color w:val="auto"/>
                <w:sz w:val="24"/>
                <w:szCs w:val="24"/>
                <w:highlight w:val="none"/>
                <w:lang w:val="zh-CN" w:eastAsia="zh-CN" w:bidi="ar-SA"/>
              </w:rPr>
              <w:t>.</w:t>
            </w:r>
            <w:r>
              <w:rPr>
                <w:rFonts w:hint="eastAsia" w:asciiTheme="minorEastAsia" w:hAnsiTheme="minorEastAsia" w:eastAsiaTheme="minorEastAsia" w:cstheme="minorEastAsia"/>
                <w:color w:val="auto"/>
                <w:sz w:val="24"/>
                <w:szCs w:val="24"/>
                <w:highlight w:val="none"/>
                <w:lang w:val="en-US" w:eastAsia="zh-CN" w:bidi="ar-SA"/>
              </w:rPr>
              <w:t>为了方便我校的工作划分和流程管理，系统授权除了功能精确授权外还需对数据进行角色以及个人的授权。</w:t>
            </w:r>
          </w:p>
          <w:p w14:paraId="742E3EF9">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CN" w:eastAsia="zh-TW" w:bidi="ar-SA"/>
              </w:rPr>
            </w:pPr>
            <w:r>
              <w:rPr>
                <w:rFonts w:hint="eastAsia" w:asciiTheme="minorEastAsia" w:hAnsiTheme="minorEastAsia" w:eastAsiaTheme="minorEastAsia" w:cstheme="minorEastAsia"/>
                <w:color w:val="auto"/>
                <w:sz w:val="24"/>
                <w:szCs w:val="24"/>
                <w:highlight w:val="none"/>
                <w:lang w:val="zh-CN" w:eastAsia="zh-TW" w:bidi="ar-SA"/>
              </w:rPr>
              <w:t>（</w:t>
            </w:r>
            <w:r>
              <w:rPr>
                <w:rFonts w:hint="eastAsia" w:asciiTheme="minorEastAsia" w:hAnsiTheme="minorEastAsia" w:eastAsiaTheme="minorEastAsia" w:cstheme="minorEastAsia"/>
                <w:color w:val="auto"/>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lang w:val="zh-CN" w:eastAsia="zh-TW" w:bidi="ar-SA"/>
              </w:rPr>
              <w:t>）课程数据权限可实现对院系和专业、教研室权限的管理，方便把课程管理和开课管理、排课管理等权限分配给院系。</w:t>
            </w:r>
          </w:p>
          <w:p w14:paraId="5399C156">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CN" w:eastAsia="zh-TW" w:bidi="ar-SA"/>
              </w:rPr>
            </w:pPr>
            <w:r>
              <w:rPr>
                <w:rFonts w:hint="eastAsia" w:asciiTheme="minorEastAsia" w:hAnsiTheme="minorEastAsia" w:eastAsiaTheme="minorEastAsia" w:cstheme="minorEastAsia"/>
                <w:color w:val="auto"/>
                <w:sz w:val="24"/>
                <w:szCs w:val="24"/>
                <w:highlight w:val="none"/>
                <w:lang w:val="zh-CN" w:eastAsia="zh-TW" w:bidi="ar-SA"/>
              </w:rPr>
              <w:t>（</w:t>
            </w:r>
            <w:r>
              <w:rPr>
                <w:rFonts w:hint="eastAsia" w:asciiTheme="minorEastAsia" w:hAnsiTheme="minorEastAsia" w:eastAsiaTheme="minorEastAsia" w:cstheme="minorEastAsia"/>
                <w:color w:val="auto"/>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lang w:val="zh-CN" w:eastAsia="zh-TW" w:bidi="ar-SA"/>
              </w:rPr>
              <w:t>）学生数据权限，方便按照校区、院系、专业、班级、</w:t>
            </w:r>
            <w:r>
              <w:rPr>
                <w:rFonts w:hint="eastAsia" w:asciiTheme="minorEastAsia" w:hAnsiTheme="minorEastAsia" w:eastAsiaTheme="minorEastAsia" w:cstheme="minorEastAsia"/>
                <w:color w:val="auto"/>
                <w:sz w:val="24"/>
                <w:szCs w:val="24"/>
                <w:highlight w:val="none"/>
                <w:lang w:val="zh-TW" w:eastAsia="zh-TW" w:bidi="ar-SA"/>
              </w:rPr>
              <w:t>年级</w:t>
            </w:r>
            <w:r>
              <w:rPr>
                <w:rFonts w:hint="eastAsia" w:asciiTheme="minorEastAsia" w:hAnsiTheme="minorEastAsia" w:eastAsiaTheme="minorEastAsia" w:cstheme="minorEastAsia"/>
                <w:color w:val="auto"/>
                <w:sz w:val="24"/>
                <w:szCs w:val="24"/>
                <w:highlight w:val="none"/>
                <w:lang w:val="zh-CN" w:eastAsia="zh-TW" w:bidi="ar-SA"/>
              </w:rPr>
              <w:t>等对学生进行有效管理。</w:t>
            </w:r>
          </w:p>
          <w:p w14:paraId="1AE3B833">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CN" w:eastAsia="zh-TW" w:bidi="ar-SA"/>
              </w:rPr>
            </w:pPr>
            <w:r>
              <w:rPr>
                <w:rFonts w:hint="eastAsia" w:asciiTheme="minorEastAsia" w:hAnsiTheme="minorEastAsia" w:eastAsiaTheme="minorEastAsia" w:cstheme="minorEastAsia"/>
                <w:color w:val="auto"/>
                <w:sz w:val="24"/>
                <w:szCs w:val="24"/>
                <w:highlight w:val="none"/>
                <w:lang w:val="zh-CN" w:eastAsia="zh-TW" w:bidi="ar-SA"/>
              </w:rPr>
              <w:t>（</w:t>
            </w:r>
            <w:r>
              <w:rPr>
                <w:rFonts w:hint="eastAsia" w:asciiTheme="minorEastAsia" w:hAnsiTheme="minorEastAsia" w:eastAsiaTheme="minorEastAsia" w:cstheme="minorEastAsia"/>
                <w:color w:val="auto"/>
                <w:sz w:val="24"/>
                <w:szCs w:val="24"/>
                <w:highlight w:val="none"/>
                <w:lang w:val="en-US" w:eastAsia="zh-CN" w:bidi="ar-SA"/>
              </w:rPr>
              <w:t>3</w:t>
            </w:r>
            <w:r>
              <w:rPr>
                <w:rFonts w:hint="eastAsia" w:asciiTheme="minorEastAsia" w:hAnsiTheme="minorEastAsia" w:eastAsiaTheme="minorEastAsia" w:cstheme="minorEastAsia"/>
                <w:color w:val="auto"/>
                <w:sz w:val="24"/>
                <w:szCs w:val="24"/>
                <w:highlight w:val="none"/>
                <w:lang w:val="zh-CN" w:eastAsia="zh-TW" w:bidi="ar-SA"/>
              </w:rPr>
              <w:t>）师资数据权限，方便对教师信息进行分配和维护。</w:t>
            </w:r>
          </w:p>
          <w:p w14:paraId="02D2AE01">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CN" w:eastAsia="zh-TW" w:bidi="ar-SA"/>
              </w:rPr>
            </w:pPr>
            <w:r>
              <w:rPr>
                <w:rFonts w:hint="eastAsia" w:asciiTheme="minorEastAsia" w:hAnsiTheme="minorEastAsia" w:eastAsiaTheme="minorEastAsia" w:cstheme="minorEastAsia"/>
                <w:color w:val="auto"/>
                <w:sz w:val="24"/>
                <w:szCs w:val="24"/>
                <w:highlight w:val="none"/>
                <w:lang w:val="en-US" w:eastAsia="zh-CN" w:bidi="ar-SA"/>
              </w:rPr>
              <w:t>8</w:t>
            </w:r>
            <w:r>
              <w:rPr>
                <w:rFonts w:hint="eastAsia" w:asciiTheme="minorEastAsia" w:hAnsiTheme="minorEastAsia" w:eastAsiaTheme="minorEastAsia" w:cstheme="minorEastAsia"/>
                <w:color w:val="auto"/>
                <w:sz w:val="24"/>
                <w:szCs w:val="24"/>
                <w:highlight w:val="none"/>
                <w:lang w:val="zh-CN" w:eastAsia="zh-CN" w:bidi="ar-SA"/>
              </w:rPr>
              <w:t>.</w:t>
            </w:r>
            <w:r>
              <w:rPr>
                <w:rFonts w:hint="eastAsia" w:asciiTheme="minorEastAsia" w:hAnsiTheme="minorEastAsia" w:eastAsiaTheme="minorEastAsia" w:cstheme="minorEastAsia"/>
                <w:color w:val="auto"/>
                <w:sz w:val="24"/>
                <w:szCs w:val="24"/>
                <w:highlight w:val="none"/>
                <w:lang w:val="zh-CN" w:eastAsia="zh-TW" w:bidi="ar-SA"/>
              </w:rPr>
              <w:t>支持菜单自定义管理，可自定义设置菜单显示的顺序、菜单名称及是否需要该菜单、是否显示等，方便按照学校的使用习惯和命名习惯进行设置。</w:t>
            </w:r>
          </w:p>
          <w:p w14:paraId="3E91A0ED">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CN" w:eastAsia="zh-TW" w:bidi="ar-SA"/>
              </w:rPr>
            </w:pPr>
            <w:r>
              <w:rPr>
                <w:rFonts w:hint="eastAsia" w:asciiTheme="minorEastAsia" w:hAnsiTheme="minorEastAsia" w:eastAsiaTheme="minorEastAsia" w:cstheme="minorEastAsia"/>
                <w:color w:val="auto"/>
                <w:sz w:val="24"/>
                <w:szCs w:val="24"/>
                <w:highlight w:val="none"/>
                <w:lang w:val="en-US" w:eastAsia="zh-CN" w:bidi="ar-SA"/>
              </w:rPr>
              <w:t>9</w:t>
            </w:r>
            <w:r>
              <w:rPr>
                <w:rFonts w:hint="eastAsia" w:asciiTheme="minorEastAsia" w:hAnsiTheme="minorEastAsia" w:eastAsiaTheme="minorEastAsia" w:cstheme="minorEastAsia"/>
                <w:color w:val="auto"/>
                <w:sz w:val="24"/>
                <w:szCs w:val="24"/>
                <w:highlight w:val="none"/>
                <w:lang w:val="zh-CN" w:eastAsia="zh-CN" w:bidi="ar-SA"/>
              </w:rPr>
              <w:t>.</w:t>
            </w:r>
            <w:r>
              <w:rPr>
                <w:rFonts w:hint="eastAsia" w:asciiTheme="minorEastAsia" w:hAnsiTheme="minorEastAsia" w:eastAsiaTheme="minorEastAsia" w:cstheme="minorEastAsia"/>
                <w:color w:val="auto"/>
                <w:sz w:val="24"/>
                <w:szCs w:val="24"/>
                <w:highlight w:val="none"/>
                <w:lang w:val="zh-CN" w:eastAsia="zh-TW" w:bidi="ar-SA"/>
              </w:rPr>
              <w:t>支持登录状态的灵活设置，如根据学生的注册状态、离校状态、教师在职状态、离线时间等设置登录情况；</w:t>
            </w:r>
          </w:p>
          <w:p w14:paraId="4070104A">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TW" w:eastAsia="zh-TW" w:bidi="ar-SA"/>
              </w:rPr>
            </w:pPr>
            <w:r>
              <w:rPr>
                <w:rFonts w:hint="eastAsia" w:asciiTheme="minorEastAsia" w:hAnsiTheme="minorEastAsia" w:eastAsiaTheme="minorEastAsia" w:cstheme="minorEastAsia"/>
                <w:color w:val="auto"/>
                <w:sz w:val="24"/>
                <w:szCs w:val="24"/>
                <w:highlight w:val="none"/>
                <w:lang w:val="en-US" w:eastAsia="zh-CN" w:bidi="ar-SA"/>
              </w:rPr>
              <w:t>10</w:t>
            </w:r>
            <w:r>
              <w:rPr>
                <w:rFonts w:hint="eastAsia" w:asciiTheme="minorEastAsia" w:hAnsiTheme="minorEastAsia" w:eastAsiaTheme="minorEastAsia" w:cstheme="minorEastAsia"/>
                <w:color w:val="auto"/>
                <w:sz w:val="24"/>
                <w:szCs w:val="24"/>
                <w:highlight w:val="none"/>
                <w:lang w:val="zh-CN" w:eastAsia="zh-CN" w:bidi="ar-SA"/>
              </w:rPr>
              <w:t>.</w:t>
            </w:r>
            <w:r>
              <w:rPr>
                <w:rFonts w:hint="eastAsia" w:asciiTheme="minorEastAsia" w:hAnsiTheme="minorEastAsia" w:eastAsiaTheme="minorEastAsia" w:cstheme="minorEastAsia"/>
                <w:color w:val="auto"/>
                <w:sz w:val="24"/>
                <w:szCs w:val="24"/>
                <w:highlight w:val="none"/>
                <w:lang w:val="zh-CN" w:eastAsia="zh-TW" w:bidi="ar-SA"/>
              </w:rPr>
              <w:t>支持通知公告的发送和管理，通知公告可针对不同的角色、个人或分组进行发布（可根据需要对用户进行分组）。</w:t>
            </w:r>
          </w:p>
        </w:tc>
      </w:tr>
      <w:tr w14:paraId="4D776C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298348F0">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403545FF">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lang w:val="zh-TW" w:eastAsia="zh-TW"/>
              </w:rPr>
            </w:pPr>
            <w:r>
              <w:rPr>
                <w:rFonts w:hint="eastAsia" w:asciiTheme="minorEastAsia" w:hAnsiTheme="minorEastAsia" w:eastAsiaTheme="minorEastAsia" w:cstheme="minorEastAsia"/>
                <w:color w:val="auto"/>
                <w:kern w:val="0"/>
                <w:sz w:val="24"/>
                <w:szCs w:val="24"/>
                <w:highlight w:val="none"/>
                <w:lang w:val="zh-CN"/>
              </w:rPr>
              <w:t>基本数据</w:t>
            </w:r>
            <w:r>
              <w:rPr>
                <w:rFonts w:hint="eastAsia" w:asciiTheme="minorEastAsia" w:hAnsiTheme="minorEastAsia" w:eastAsiaTheme="minorEastAsia" w:cstheme="minorEastAsia"/>
                <w:color w:val="auto"/>
                <w:kern w:val="0"/>
                <w:sz w:val="24"/>
                <w:szCs w:val="24"/>
                <w:highlight w:val="none"/>
                <w:lang w:val="zh-TW" w:eastAsia="zh-TW"/>
              </w:rPr>
              <w:t>管理</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4011A3E9">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CN" w:eastAsia="zh-TW" w:bidi="ar-SA"/>
              </w:rPr>
            </w:pPr>
            <w:r>
              <w:rPr>
                <w:rFonts w:hint="eastAsia" w:asciiTheme="minorEastAsia" w:hAnsiTheme="minorEastAsia" w:eastAsiaTheme="minorEastAsia" w:cstheme="minorEastAsia"/>
                <w:color w:val="auto"/>
                <w:sz w:val="24"/>
                <w:szCs w:val="24"/>
                <w:highlight w:val="none"/>
                <w:lang w:val="zh-CN" w:eastAsia="zh-CN" w:bidi="ar-SA"/>
              </w:rPr>
              <w:t>1.</w:t>
            </w:r>
            <w:r>
              <w:rPr>
                <w:rFonts w:hint="eastAsia" w:asciiTheme="minorEastAsia" w:hAnsiTheme="minorEastAsia" w:eastAsiaTheme="minorEastAsia" w:cstheme="minorEastAsia"/>
                <w:color w:val="auto"/>
                <w:sz w:val="24"/>
                <w:szCs w:val="24"/>
                <w:highlight w:val="none"/>
                <w:lang w:val="zh-TW" w:eastAsia="zh-TW" w:bidi="ar-SA"/>
              </w:rPr>
              <w:t>对公共信息如</w:t>
            </w:r>
            <w:r>
              <w:rPr>
                <w:rFonts w:hint="eastAsia" w:asciiTheme="minorEastAsia" w:hAnsiTheme="minorEastAsia" w:eastAsiaTheme="minorEastAsia" w:cstheme="minorEastAsia"/>
                <w:color w:val="auto"/>
                <w:sz w:val="24"/>
                <w:szCs w:val="24"/>
                <w:highlight w:val="none"/>
                <w:lang w:val="zh-CN" w:eastAsia="zh-TW" w:bidi="ar-SA"/>
              </w:rPr>
              <w:t>学校信息、校区信息、部门信息、学年学期、专业信息、学信专业、班级等</w:t>
            </w:r>
            <w:r>
              <w:rPr>
                <w:rFonts w:hint="eastAsia" w:asciiTheme="minorEastAsia" w:hAnsiTheme="minorEastAsia" w:eastAsiaTheme="minorEastAsia" w:cstheme="minorEastAsia"/>
                <w:color w:val="auto"/>
                <w:sz w:val="24"/>
                <w:szCs w:val="24"/>
                <w:highlight w:val="none"/>
                <w:lang w:val="zh-TW" w:eastAsia="zh-TW" w:bidi="ar-SA"/>
              </w:rPr>
              <w:t>信息进行管理和维护。</w:t>
            </w:r>
          </w:p>
          <w:p w14:paraId="4456A957">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CN" w:eastAsia="zh-TW" w:bidi="ar-SA"/>
              </w:rPr>
            </w:pPr>
            <w:r>
              <w:rPr>
                <w:rFonts w:hint="eastAsia" w:asciiTheme="minorEastAsia" w:hAnsiTheme="minorEastAsia" w:eastAsiaTheme="minorEastAsia" w:cstheme="minorEastAsia"/>
                <w:color w:val="auto"/>
                <w:sz w:val="24"/>
                <w:szCs w:val="24"/>
                <w:highlight w:val="none"/>
                <w:lang w:val="zh-CN" w:eastAsia="zh-CN" w:bidi="ar-SA"/>
              </w:rPr>
              <w:t>2.</w:t>
            </w:r>
            <w:r>
              <w:rPr>
                <w:rFonts w:hint="eastAsia" w:asciiTheme="minorEastAsia" w:hAnsiTheme="minorEastAsia" w:eastAsiaTheme="minorEastAsia" w:cstheme="minorEastAsia"/>
                <w:color w:val="auto"/>
                <w:sz w:val="24"/>
                <w:szCs w:val="24"/>
                <w:highlight w:val="none"/>
                <w:lang w:val="zh-TW" w:eastAsia="zh-TW" w:bidi="ar-SA"/>
              </w:rPr>
              <w:t>对资源信息如学校的教学楼、功能区、教室等基础资源进行管理和维护，可自定义设置教室类型</w:t>
            </w:r>
            <w:r>
              <w:rPr>
                <w:rFonts w:hint="eastAsia" w:asciiTheme="minorEastAsia" w:hAnsiTheme="minorEastAsia" w:eastAsiaTheme="minorEastAsia" w:cstheme="minorEastAsia"/>
                <w:color w:val="auto"/>
                <w:sz w:val="24"/>
                <w:szCs w:val="24"/>
                <w:highlight w:val="none"/>
                <w:lang w:val="zh-CN" w:eastAsia="zh-TW" w:bidi="ar-SA"/>
              </w:rPr>
              <w:t>；</w:t>
            </w:r>
          </w:p>
          <w:p w14:paraId="2D3A8106">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TW" w:eastAsia="zh-TW" w:bidi="ar-SA"/>
              </w:rPr>
            </w:pPr>
            <w:r>
              <w:rPr>
                <w:rFonts w:hint="eastAsia" w:asciiTheme="minorEastAsia" w:hAnsiTheme="minorEastAsia" w:eastAsiaTheme="minorEastAsia" w:cstheme="minorEastAsia"/>
                <w:color w:val="auto"/>
                <w:sz w:val="24"/>
                <w:szCs w:val="24"/>
                <w:highlight w:val="none"/>
                <w:lang w:val="zh-TW" w:eastAsia="zh-TW" w:bidi="ar-SA"/>
              </w:rPr>
              <w:t>3.</w:t>
            </w:r>
            <w:r>
              <w:rPr>
                <w:rFonts w:hint="eastAsia" w:asciiTheme="minorEastAsia" w:hAnsiTheme="minorEastAsia" w:eastAsiaTheme="minorEastAsia" w:cstheme="minorEastAsia"/>
                <w:color w:val="auto"/>
                <w:sz w:val="24"/>
                <w:szCs w:val="24"/>
                <w:highlight w:val="none"/>
                <w:lang w:val="zh-CN" w:eastAsia="zh-TW" w:bidi="ar-SA"/>
              </w:rPr>
              <w:t>支持学校专业和学信专业的对照，方便直接导出报表。</w:t>
            </w:r>
          </w:p>
        </w:tc>
      </w:tr>
      <w:tr w14:paraId="22843C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2B837CB6">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069F4619">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lang w:val="zh-TW" w:eastAsia="zh-TW"/>
              </w:rPr>
            </w:pPr>
            <w:r>
              <w:rPr>
                <w:rFonts w:hint="eastAsia" w:asciiTheme="minorEastAsia" w:hAnsiTheme="minorEastAsia" w:eastAsiaTheme="minorEastAsia" w:cstheme="minorEastAsia"/>
                <w:color w:val="auto"/>
                <w:kern w:val="0"/>
                <w:sz w:val="24"/>
                <w:szCs w:val="24"/>
                <w:highlight w:val="none"/>
                <w:lang w:val="zh-TW" w:eastAsia="zh-TW"/>
              </w:rPr>
              <w:t>师资管理</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7756A6EA">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TW" w:eastAsia="zh-TW" w:bidi="ar-SA"/>
              </w:rPr>
            </w:pPr>
            <w:r>
              <w:rPr>
                <w:rFonts w:hint="eastAsia" w:asciiTheme="minorEastAsia" w:hAnsiTheme="minorEastAsia" w:eastAsiaTheme="minorEastAsia" w:cstheme="minorEastAsia"/>
                <w:color w:val="auto"/>
                <w:sz w:val="24"/>
                <w:szCs w:val="24"/>
                <w:highlight w:val="none"/>
                <w:lang w:val="zh-TW" w:eastAsia="zh-TW" w:bidi="ar-SA"/>
              </w:rPr>
              <w:t>1.师资管理主要对教师的基本信息，教师卡片等信息进行管理及维护。教师信息核心数据可批量导入，实现信息初始化，也可通过教务处</w:t>
            </w:r>
            <w:r>
              <w:rPr>
                <w:rFonts w:hint="eastAsia" w:asciiTheme="minorEastAsia" w:hAnsiTheme="minorEastAsia" w:eastAsiaTheme="minorEastAsia" w:cstheme="minorEastAsia"/>
                <w:color w:val="auto"/>
                <w:sz w:val="24"/>
                <w:szCs w:val="24"/>
                <w:highlight w:val="none"/>
                <w:lang w:val="zh-CN" w:eastAsia="zh-TW" w:bidi="ar-SA"/>
              </w:rPr>
              <w:t>和院系</w:t>
            </w:r>
            <w:r>
              <w:rPr>
                <w:rFonts w:hint="eastAsia" w:asciiTheme="minorEastAsia" w:hAnsiTheme="minorEastAsia" w:eastAsiaTheme="minorEastAsia" w:cstheme="minorEastAsia"/>
                <w:color w:val="auto"/>
                <w:sz w:val="24"/>
                <w:szCs w:val="24"/>
                <w:highlight w:val="none"/>
                <w:lang w:val="zh-TW" w:eastAsia="zh-TW" w:bidi="ar-SA"/>
              </w:rPr>
              <w:t>来维护上课教师的信息。</w:t>
            </w:r>
          </w:p>
          <w:p w14:paraId="41428A65">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TW" w:eastAsia="zh-TW" w:bidi="ar-SA"/>
              </w:rPr>
            </w:pPr>
            <w:r>
              <w:rPr>
                <w:rFonts w:hint="eastAsia" w:asciiTheme="minorEastAsia" w:hAnsiTheme="minorEastAsia" w:eastAsiaTheme="minorEastAsia" w:cstheme="minorEastAsia"/>
                <w:color w:val="auto"/>
                <w:sz w:val="24"/>
                <w:szCs w:val="24"/>
                <w:highlight w:val="none"/>
                <w:lang w:val="zh-TW" w:eastAsia="zh-TW" w:bidi="ar-SA"/>
              </w:rPr>
              <w:t>2.支持师资信息学年学期库管理，可对不同学年学期的师资信息进行继承、维护管理，方便进行查询和工作量统计。</w:t>
            </w:r>
          </w:p>
          <w:p w14:paraId="32F9E944">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TW" w:eastAsia="zh-TW" w:bidi="ar-SA"/>
              </w:rPr>
            </w:pPr>
            <w:r>
              <w:rPr>
                <w:rFonts w:hint="eastAsia" w:asciiTheme="minorEastAsia" w:hAnsiTheme="minorEastAsia" w:eastAsiaTheme="minorEastAsia" w:cstheme="minorEastAsia"/>
                <w:color w:val="auto"/>
                <w:sz w:val="24"/>
                <w:szCs w:val="24"/>
                <w:highlight w:val="none"/>
                <w:lang w:val="zh-TW" w:eastAsia="zh-TW" w:bidi="ar-SA"/>
              </w:rPr>
              <w:t>3.提供教师在线填写教学文件功能，包含教学日历和教学日志等，也可在移动端APP进行填写。</w:t>
            </w:r>
          </w:p>
          <w:p w14:paraId="18677E6E">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TW" w:eastAsia="zh-TW" w:bidi="ar-SA"/>
              </w:rPr>
            </w:pPr>
            <w:r>
              <w:rPr>
                <w:rFonts w:hint="eastAsia" w:asciiTheme="minorEastAsia" w:hAnsiTheme="minorEastAsia" w:eastAsiaTheme="minorEastAsia" w:cstheme="minorEastAsia"/>
                <w:color w:val="auto"/>
                <w:sz w:val="24"/>
                <w:szCs w:val="24"/>
                <w:highlight w:val="none"/>
                <w:lang w:val="en-US" w:eastAsia="zh-CN" w:bidi="ar-SA"/>
              </w:rPr>
              <w:t>4.教师可以在系统上传</w:t>
            </w:r>
            <w:r>
              <w:rPr>
                <w:rFonts w:hint="eastAsia" w:asciiTheme="minorEastAsia" w:hAnsiTheme="minorEastAsia" w:eastAsiaTheme="minorEastAsia" w:cstheme="minorEastAsia"/>
                <w:color w:val="auto"/>
                <w:sz w:val="24"/>
                <w:szCs w:val="24"/>
                <w:highlight w:val="none"/>
                <w:lang w:val="zh-TW" w:eastAsia="zh-TW" w:bidi="ar-SA"/>
              </w:rPr>
              <w:t>每一堂课的教案、授课计划、授课内容等详细信息；</w:t>
            </w:r>
            <w:r>
              <w:rPr>
                <w:rFonts w:hint="eastAsia" w:asciiTheme="minorEastAsia" w:hAnsiTheme="minorEastAsia" w:eastAsiaTheme="minorEastAsia" w:cstheme="minorEastAsia"/>
                <w:color w:val="auto"/>
                <w:sz w:val="24"/>
                <w:szCs w:val="24"/>
                <w:highlight w:val="none"/>
                <w:lang w:val="en-US" w:eastAsia="zh-CN" w:bidi="ar-SA"/>
              </w:rPr>
              <w:t>管理人员可以对上传的文件进行审批。</w:t>
            </w:r>
          </w:p>
        </w:tc>
      </w:tr>
      <w:tr w14:paraId="4B75B8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0DC6A250">
            <w:pPr>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16505B7B">
            <w:pPr>
              <w:pStyle w:val="44"/>
              <w:pageBreakBefore w:val="0"/>
              <w:framePr w:wrap="auto" w:vAnchor="margin" w:hAnchor="text" w:yAlign="inline"/>
              <w:widowControl w:val="0"/>
              <w:kinsoku/>
              <w:wordWrap/>
              <w:overflowPunct/>
              <w:topLinePunct w:val="0"/>
              <w:autoSpaceDE/>
              <w:autoSpaceDN/>
              <w:bidi w:val="0"/>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学籍管理</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1421ED72">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lang w:val="zh-CN" w:eastAsia="zh-CN" w:bidi="ar-SA"/>
              </w:rPr>
              <w:t>基本功能：包括</w:t>
            </w:r>
            <w:r>
              <w:rPr>
                <w:rFonts w:hint="eastAsia" w:asciiTheme="minorEastAsia" w:hAnsiTheme="minorEastAsia" w:eastAsiaTheme="minorEastAsia" w:cstheme="minorEastAsia"/>
                <w:color w:val="auto"/>
                <w:sz w:val="24"/>
                <w:szCs w:val="24"/>
                <w:highlight w:val="none"/>
                <w:lang w:val="en-US" w:eastAsia="zh-CN" w:bidi="ar-SA"/>
              </w:rPr>
              <w:t>学生基本信息维护、学籍卡打印、异动处理、专业分流、学生信息导入导出、报到注册服务、学生奖惩管理、学分及学业预警、学业信息查询、学生数据统计、打印报表、专业大类分流等。</w:t>
            </w:r>
          </w:p>
          <w:p w14:paraId="54E54F70">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2.系统支持学生照片的批量上传或单个学生照片上传功能，针对批量上传学生照片功能，可以按学生的学号、考生号、身份证号等关键属性进行关联匹配，针对已有的学生照片，进行单个或批量上传更新。照片可根据需要随时进行维护和导出。人像对比部分可添加四张照片（入学前，入学后，身份证，毕业照）。</w:t>
            </w:r>
          </w:p>
          <w:p w14:paraId="4BD31AFB">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3.通过与教学平台数据对接，支持学生学习全过程的记录与统计。</w:t>
            </w:r>
          </w:p>
          <w:p w14:paraId="32C7602D">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4.</w:t>
            </w:r>
            <w:r>
              <w:rPr>
                <w:rFonts w:hint="eastAsia" w:asciiTheme="minorEastAsia" w:hAnsiTheme="minorEastAsia" w:eastAsiaTheme="minorEastAsia" w:cstheme="minorEastAsia"/>
                <w:color w:val="auto"/>
                <w:sz w:val="24"/>
                <w:szCs w:val="24"/>
                <w:highlight w:val="none"/>
                <w:lang w:val="zh-CN" w:eastAsia="zh-CN" w:bidi="ar-SA"/>
              </w:rPr>
              <w:t>支持学业情况和学籍预警管理，进行学分统计、学籍预警、学业进程监控，</w:t>
            </w:r>
            <w:r>
              <w:rPr>
                <w:rFonts w:hint="eastAsia" w:asciiTheme="minorEastAsia" w:hAnsiTheme="minorEastAsia" w:eastAsiaTheme="minorEastAsia" w:cstheme="minorEastAsia"/>
                <w:color w:val="auto"/>
                <w:sz w:val="24"/>
                <w:szCs w:val="24"/>
                <w:highlight w:val="none"/>
                <w:lang w:val="en-US" w:eastAsia="zh-CN" w:bidi="ar-SA"/>
              </w:rPr>
              <w:t>可以自定义设置预警类型，针对各种类型的预警提供灵活的预警条件设置功能，支持多个条件组合进行预警。可控制计算对象的学期范围、课程类别范围、课程属性范围（与学分制改革下的培养方案和课程模块化相关联）</w:t>
            </w:r>
            <w:r>
              <w:rPr>
                <w:rFonts w:hint="eastAsia" w:asciiTheme="minorEastAsia" w:hAnsiTheme="minorEastAsia" w:eastAsiaTheme="minorEastAsia" w:cstheme="minorEastAsia"/>
                <w:color w:val="auto"/>
                <w:sz w:val="24"/>
                <w:szCs w:val="24"/>
                <w:highlight w:val="none"/>
                <w:lang w:val="zh-CN" w:eastAsia="zh-CN" w:bidi="ar-SA"/>
              </w:rPr>
              <w:t>，一键生成预警信息通知学生空间。</w:t>
            </w:r>
          </w:p>
          <w:p w14:paraId="5DAE96CD">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5.</w:t>
            </w:r>
            <w:r>
              <w:rPr>
                <w:rFonts w:hint="eastAsia" w:asciiTheme="minorEastAsia" w:hAnsiTheme="minorEastAsia" w:eastAsiaTheme="minorEastAsia" w:cstheme="minorEastAsia"/>
                <w:color w:val="auto"/>
                <w:sz w:val="24"/>
                <w:szCs w:val="24"/>
                <w:highlight w:val="none"/>
                <w:lang w:val="zh-CN" w:eastAsia="zh-CN" w:bidi="ar-SA"/>
              </w:rPr>
              <w:t>学籍异动管理和审批。</w:t>
            </w:r>
            <w:r>
              <w:rPr>
                <w:rFonts w:hint="eastAsia" w:asciiTheme="minorEastAsia" w:hAnsiTheme="minorEastAsia" w:eastAsiaTheme="minorEastAsia" w:cstheme="minorEastAsia"/>
                <w:color w:val="auto"/>
                <w:sz w:val="24"/>
                <w:szCs w:val="24"/>
                <w:highlight w:val="none"/>
                <w:lang w:val="en-US" w:eastAsia="zh-CN" w:bidi="ar-SA"/>
              </w:rPr>
              <w:t>包括转专业、交流生、升降级、参军、休学复学等，异动名称由学校自行配置，方便灵活。学籍异动既可由学籍管理人员直接进行学籍异动操作，也可按照异动流程由学生提交异动申请进行各级审批处理后完成异动。</w:t>
            </w:r>
            <w:r>
              <w:rPr>
                <w:rFonts w:hint="eastAsia" w:asciiTheme="minorEastAsia" w:hAnsiTheme="minorEastAsia" w:eastAsiaTheme="minorEastAsia" w:cstheme="minorEastAsia"/>
                <w:color w:val="auto"/>
                <w:sz w:val="24"/>
                <w:szCs w:val="24"/>
                <w:highlight w:val="none"/>
                <w:lang w:val="zh-CN" w:eastAsia="zh-CN" w:bidi="ar-SA"/>
              </w:rPr>
              <w:t>异动关联模块灵活设置，</w:t>
            </w:r>
            <w:r>
              <w:rPr>
                <w:rFonts w:hint="eastAsia" w:asciiTheme="minorEastAsia" w:hAnsiTheme="minorEastAsia" w:eastAsiaTheme="minorEastAsia" w:cstheme="minorEastAsia"/>
                <w:color w:val="auto"/>
                <w:sz w:val="24"/>
                <w:szCs w:val="24"/>
                <w:highlight w:val="none"/>
                <w:lang w:val="en-US" w:eastAsia="zh-CN" w:bidi="ar-SA"/>
              </w:rPr>
              <w:t>学籍异动后，针对一些关联模块会产生影响，系统提供相应的异动联动处理功能，包括：异动后的成绩处理、异动后选课处理等。</w:t>
            </w:r>
          </w:p>
          <w:p w14:paraId="148EA7FA">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6.学籍异动可以对学生过程性数据进行调整，如（选课、成绩、学籍状态），确保后续数据的准确性。</w:t>
            </w:r>
          </w:p>
          <w:p w14:paraId="7179BFD1">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7.学籍异动可以对异动的原因做统计，并以图表的形式展示。</w:t>
            </w:r>
          </w:p>
          <w:p w14:paraId="12625D6D">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8.专业大类分流：可控制学生大类分流的报名范围及平均学分绩点的算法、报名人数、报名时间等；按照志愿优先、成绩排序的原则，充分遵照学生意愿进行分流；提供系统自动编班、手动编班功能。</w:t>
            </w:r>
          </w:p>
          <w:p w14:paraId="7648EE1F">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9.学生奖惩录入，可以录入学生奖惩信息，并可关联毕业审核。</w:t>
            </w:r>
          </w:p>
        </w:tc>
      </w:tr>
      <w:tr w14:paraId="190AA0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4FCC7AC7">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1DD6D3F4">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lang w:val="zh-TW" w:eastAsia="zh-TW"/>
              </w:rPr>
            </w:pPr>
            <w:r>
              <w:rPr>
                <w:rFonts w:hint="eastAsia" w:asciiTheme="minorEastAsia" w:hAnsiTheme="minorEastAsia" w:eastAsiaTheme="minorEastAsia" w:cstheme="minorEastAsia"/>
                <w:color w:val="auto"/>
                <w:kern w:val="0"/>
                <w:sz w:val="24"/>
                <w:szCs w:val="24"/>
                <w:highlight w:val="none"/>
                <w:lang w:val="zh-TW" w:eastAsia="zh-TW"/>
              </w:rPr>
              <w:t>课程库管理</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2AD1FBCE">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TW" w:eastAsia="zh-TW" w:bidi="ar-SA"/>
              </w:rPr>
            </w:pPr>
            <w:r>
              <w:rPr>
                <w:rFonts w:hint="eastAsia" w:asciiTheme="minorEastAsia" w:hAnsiTheme="minorEastAsia" w:eastAsiaTheme="minorEastAsia" w:cstheme="minorEastAsia"/>
                <w:color w:val="auto"/>
                <w:sz w:val="24"/>
                <w:szCs w:val="24"/>
                <w:highlight w:val="none"/>
                <w:lang w:val="zh-TW" w:eastAsia="zh-TW" w:bidi="ar-SA"/>
              </w:rPr>
              <w:t>1.对课程信息进行维护，支持多种格式导入，同时具有增加、修改、查看、删除和组合查询的功能，课程信息包括课程名称、课程编号、课程性质、课程类别等。</w:t>
            </w:r>
          </w:p>
          <w:p w14:paraId="45736DAF">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TW" w:eastAsia="zh-TW" w:bidi="ar-SA"/>
              </w:rPr>
            </w:pPr>
            <w:r>
              <w:rPr>
                <w:rFonts w:hint="eastAsia" w:asciiTheme="minorEastAsia" w:hAnsiTheme="minorEastAsia" w:eastAsiaTheme="minorEastAsia" w:cstheme="minorEastAsia"/>
                <w:color w:val="auto"/>
                <w:sz w:val="24"/>
                <w:szCs w:val="24"/>
                <w:highlight w:val="none"/>
                <w:lang w:val="zh-TW" w:eastAsia="zh-TW" w:bidi="ar-SA"/>
              </w:rPr>
              <w:t>2.提供课程自定义分组功能，根据不同的专业、课程类别定义课程分组</w:t>
            </w:r>
            <w:r>
              <w:rPr>
                <w:rFonts w:hint="eastAsia" w:asciiTheme="minorEastAsia" w:hAnsiTheme="minorEastAsia" w:eastAsiaTheme="minorEastAsia" w:cstheme="minorEastAsia"/>
                <w:color w:val="auto"/>
                <w:sz w:val="24"/>
                <w:szCs w:val="24"/>
                <w:highlight w:val="none"/>
                <w:lang w:val="zh-TW" w:eastAsia="zh-CN" w:bidi="ar-SA"/>
              </w:rPr>
              <w:t>，</w:t>
            </w:r>
            <w:r>
              <w:rPr>
                <w:rFonts w:hint="eastAsia" w:asciiTheme="minorEastAsia" w:hAnsiTheme="minorEastAsia" w:eastAsiaTheme="minorEastAsia" w:cstheme="minorEastAsia"/>
                <w:color w:val="auto"/>
                <w:sz w:val="24"/>
                <w:szCs w:val="24"/>
                <w:highlight w:val="none"/>
                <w:lang w:val="en-US" w:eastAsia="zh-CN" w:bidi="ar-SA"/>
              </w:rPr>
              <w:t>形成一个有固定课程的课程组（包），在后续添加培养方案和教学计划的时候可以直接添加课程组，减少教师工作量</w:t>
            </w:r>
            <w:r>
              <w:rPr>
                <w:rFonts w:hint="eastAsia" w:asciiTheme="minorEastAsia" w:hAnsiTheme="minorEastAsia" w:eastAsiaTheme="minorEastAsia" w:cstheme="minorEastAsia"/>
                <w:color w:val="auto"/>
                <w:sz w:val="24"/>
                <w:szCs w:val="24"/>
                <w:highlight w:val="none"/>
                <w:lang w:val="zh-TW" w:eastAsia="zh-TW" w:bidi="ar-SA"/>
              </w:rPr>
              <w:t>。</w:t>
            </w:r>
          </w:p>
          <w:p w14:paraId="1E5653DB">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zh-CN" w:eastAsia="zh-CN" w:bidi="ar-SA"/>
              </w:rPr>
              <w:t>3.课程数据统计，课程数据统计可</w:t>
            </w:r>
            <w:r>
              <w:rPr>
                <w:rFonts w:hint="eastAsia" w:asciiTheme="minorEastAsia" w:hAnsiTheme="minorEastAsia" w:eastAsiaTheme="minorEastAsia" w:cstheme="minorEastAsia"/>
                <w:color w:val="auto"/>
                <w:sz w:val="24"/>
                <w:szCs w:val="24"/>
                <w:highlight w:val="none"/>
                <w:lang w:val="zh-TW" w:eastAsia="zh-TW" w:bidi="ar-SA"/>
              </w:rPr>
              <w:t>统计每个课程在不同专业培养方案中的使用情况</w:t>
            </w:r>
            <w:r>
              <w:rPr>
                <w:rFonts w:hint="eastAsia" w:asciiTheme="minorEastAsia" w:hAnsiTheme="minorEastAsia" w:eastAsiaTheme="minorEastAsia" w:cstheme="minorEastAsia"/>
                <w:color w:val="auto"/>
                <w:sz w:val="24"/>
                <w:szCs w:val="24"/>
                <w:highlight w:val="none"/>
                <w:lang w:val="zh-CN" w:eastAsia="zh-CN" w:bidi="ar-SA"/>
              </w:rPr>
              <w:t>。</w:t>
            </w:r>
          </w:p>
        </w:tc>
      </w:tr>
      <w:tr w14:paraId="2FF12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4AEC970D">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6880D425">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lang w:val="zh-TW" w:eastAsia="zh-TW"/>
              </w:rPr>
            </w:pPr>
            <w:r>
              <w:rPr>
                <w:rFonts w:hint="eastAsia" w:asciiTheme="minorEastAsia" w:hAnsiTheme="minorEastAsia" w:eastAsiaTheme="minorEastAsia" w:cstheme="minorEastAsia"/>
                <w:color w:val="auto"/>
                <w:sz w:val="24"/>
                <w:szCs w:val="24"/>
                <w:highlight w:val="none"/>
                <w:lang w:val="zh-TW" w:eastAsia="zh-TW"/>
              </w:rPr>
              <w:t>培养方案</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7D0D33A0">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lang w:val="zh-TW" w:eastAsia="zh-TW" w:bidi="ar-SA"/>
              </w:rPr>
              <w:t>培养方案制定后支持导入</w:t>
            </w:r>
            <w:r>
              <w:rPr>
                <w:rFonts w:hint="eastAsia" w:asciiTheme="minorEastAsia" w:hAnsiTheme="minorEastAsia" w:eastAsiaTheme="minorEastAsia" w:cstheme="minorEastAsia"/>
                <w:color w:val="auto"/>
                <w:sz w:val="24"/>
                <w:szCs w:val="24"/>
                <w:highlight w:val="none"/>
                <w:lang w:val="zh-CN" w:eastAsia="zh-CN" w:bidi="ar-SA"/>
              </w:rPr>
              <w:t>和录入</w:t>
            </w:r>
            <w:r>
              <w:rPr>
                <w:rFonts w:hint="eastAsia" w:asciiTheme="minorEastAsia" w:hAnsiTheme="minorEastAsia" w:eastAsiaTheme="minorEastAsia" w:cstheme="minorEastAsia"/>
                <w:color w:val="auto"/>
                <w:sz w:val="24"/>
                <w:szCs w:val="24"/>
                <w:highlight w:val="none"/>
                <w:lang w:val="zh-TW" w:eastAsia="zh-TW" w:bidi="ar-SA"/>
              </w:rPr>
              <w:t>，对培养方案的审核可分学期进行审核</w:t>
            </w:r>
            <w:r>
              <w:rPr>
                <w:rFonts w:hint="eastAsia" w:asciiTheme="minorEastAsia" w:hAnsiTheme="minorEastAsia" w:eastAsiaTheme="minorEastAsia" w:cstheme="minorEastAsia"/>
                <w:color w:val="auto"/>
                <w:sz w:val="24"/>
                <w:szCs w:val="24"/>
                <w:highlight w:val="none"/>
                <w:lang w:val="zh-TW" w:eastAsia="zh-CN" w:bidi="ar-SA"/>
              </w:rPr>
              <w:t>，对未审核的学期可提交修改后再审核，</w:t>
            </w:r>
            <w:r>
              <w:rPr>
                <w:rFonts w:hint="eastAsia" w:asciiTheme="minorEastAsia" w:hAnsiTheme="minorEastAsia" w:eastAsiaTheme="minorEastAsia" w:cstheme="minorEastAsia"/>
                <w:color w:val="auto"/>
                <w:sz w:val="24"/>
                <w:szCs w:val="24"/>
                <w:highlight w:val="none"/>
                <w:lang w:val="zh-TW" w:eastAsia="zh-TW" w:bidi="ar-SA"/>
              </w:rPr>
              <w:t>自动生成人才培养方案，并可对专业课程、教学进程、毕业学分要求等进行设置和管理</w:t>
            </w:r>
            <w:r>
              <w:rPr>
                <w:rFonts w:hint="eastAsia" w:asciiTheme="minorEastAsia" w:hAnsiTheme="minorEastAsia" w:eastAsiaTheme="minorEastAsia" w:cstheme="minorEastAsia"/>
                <w:color w:val="auto"/>
                <w:sz w:val="24"/>
                <w:szCs w:val="24"/>
                <w:highlight w:val="none"/>
                <w:lang w:val="zh-TW" w:eastAsia="zh-CN" w:bidi="ar-SA"/>
              </w:rPr>
              <w:t>；</w:t>
            </w:r>
            <w:r>
              <w:rPr>
                <w:rFonts w:hint="eastAsia" w:asciiTheme="minorEastAsia" w:hAnsiTheme="minorEastAsia" w:eastAsiaTheme="minorEastAsia" w:cstheme="minorEastAsia"/>
                <w:color w:val="auto"/>
                <w:sz w:val="24"/>
                <w:szCs w:val="24"/>
                <w:highlight w:val="none"/>
                <w:lang w:val="en-US" w:eastAsia="zh-CN" w:bidi="ar-SA"/>
              </w:rPr>
              <w:t>设定后可以输入人才培养方案。</w:t>
            </w:r>
          </w:p>
          <w:p w14:paraId="66332700">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TW" w:eastAsia="zh-TW" w:bidi="ar-SA"/>
              </w:rPr>
            </w:pPr>
            <w:r>
              <w:rPr>
                <w:rFonts w:hint="eastAsia" w:asciiTheme="minorEastAsia" w:hAnsiTheme="minorEastAsia" w:eastAsiaTheme="minorEastAsia" w:cstheme="minorEastAsia"/>
                <w:color w:val="auto"/>
                <w:sz w:val="24"/>
                <w:szCs w:val="24"/>
                <w:highlight w:val="none"/>
                <w:lang w:val="zh-TW" w:eastAsia="zh-TW" w:bidi="ar-SA"/>
              </w:rPr>
              <w:t>2.支持设置培养方案的课程体系、课程模块、课程组，提供课程组内课程的批量直接引用，方便培养方案的快速制定。</w:t>
            </w:r>
          </w:p>
          <w:p w14:paraId="29AE6200">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TW" w:eastAsia="zh-TW" w:bidi="ar-SA"/>
              </w:rPr>
            </w:pPr>
            <w:r>
              <w:rPr>
                <w:rFonts w:hint="eastAsia" w:asciiTheme="minorEastAsia" w:hAnsiTheme="minorEastAsia" w:eastAsiaTheme="minorEastAsia" w:cstheme="minorEastAsia"/>
                <w:color w:val="auto"/>
                <w:sz w:val="24"/>
                <w:szCs w:val="24"/>
                <w:highlight w:val="none"/>
                <w:lang w:val="zh-TW" w:eastAsia="zh-TW" w:bidi="ar-SA"/>
              </w:rPr>
              <w:t>3.可以通过培养方案的复制功能把以往的培养方案复制到新学年使用，可</w:t>
            </w:r>
            <w:r>
              <w:rPr>
                <w:rFonts w:hint="eastAsia" w:asciiTheme="minorEastAsia" w:hAnsiTheme="minorEastAsia" w:eastAsiaTheme="minorEastAsia" w:cstheme="minorEastAsia"/>
                <w:color w:val="auto"/>
                <w:sz w:val="24"/>
                <w:szCs w:val="24"/>
                <w:highlight w:val="none"/>
                <w:lang w:val="zh-TW" w:eastAsia="zh-CN" w:bidi="ar-SA"/>
              </w:rPr>
              <w:t>按照年级、院系、专业灵活复制，</w:t>
            </w:r>
            <w:r>
              <w:rPr>
                <w:rFonts w:hint="eastAsia" w:asciiTheme="minorEastAsia" w:hAnsiTheme="minorEastAsia" w:eastAsiaTheme="minorEastAsia" w:cstheme="minorEastAsia"/>
                <w:color w:val="auto"/>
                <w:sz w:val="24"/>
                <w:szCs w:val="24"/>
                <w:highlight w:val="none"/>
                <w:lang w:val="zh-TW" w:eastAsia="zh-TW" w:bidi="ar-SA"/>
              </w:rPr>
              <w:t>使用前支持培养方案的自定义调整，如学时构成、考查方式等。</w:t>
            </w:r>
          </w:p>
          <w:p w14:paraId="21A45653">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TW" w:eastAsia="zh-TW" w:bidi="ar-SA"/>
              </w:rPr>
            </w:pPr>
            <w:r>
              <w:rPr>
                <w:rFonts w:hint="eastAsia" w:asciiTheme="minorEastAsia" w:hAnsiTheme="minorEastAsia" w:eastAsiaTheme="minorEastAsia" w:cstheme="minorEastAsia"/>
                <w:color w:val="auto"/>
                <w:sz w:val="24"/>
                <w:szCs w:val="24"/>
                <w:highlight w:val="none"/>
                <w:lang w:val="zh-TW" w:eastAsia="zh-TW" w:bidi="ar-SA"/>
              </w:rPr>
              <w:t>4.培养方案课程设置内的统计功能，可以统计专业每学期每周的周学时数量</w:t>
            </w:r>
            <w:r>
              <w:rPr>
                <w:rFonts w:hint="eastAsia" w:asciiTheme="minorEastAsia" w:hAnsiTheme="minorEastAsia" w:eastAsiaTheme="minorEastAsia" w:cstheme="minorEastAsia"/>
                <w:color w:val="auto"/>
                <w:sz w:val="24"/>
                <w:szCs w:val="24"/>
                <w:highlight w:val="none"/>
                <w:lang w:val="zh-TW" w:eastAsia="zh-CN" w:bidi="ar-SA"/>
              </w:rPr>
              <w:t>，可统计根据行政班、教师、课程、学时类型、开课周次等不同的维度查看开课统计情况</w:t>
            </w:r>
            <w:r>
              <w:rPr>
                <w:rFonts w:hint="eastAsia" w:asciiTheme="minorEastAsia" w:hAnsiTheme="minorEastAsia" w:eastAsiaTheme="minorEastAsia" w:cstheme="minorEastAsia"/>
                <w:color w:val="auto"/>
                <w:sz w:val="24"/>
                <w:szCs w:val="24"/>
                <w:highlight w:val="none"/>
                <w:lang w:val="zh-TW" w:eastAsia="zh-TW" w:bidi="ar-SA"/>
              </w:rPr>
              <w:t>。</w:t>
            </w:r>
          </w:p>
          <w:p w14:paraId="59250887">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TW" w:eastAsia="zh-TW" w:bidi="ar-SA"/>
              </w:rPr>
            </w:pPr>
            <w:r>
              <w:rPr>
                <w:rFonts w:hint="eastAsia" w:asciiTheme="minorEastAsia" w:hAnsiTheme="minorEastAsia" w:eastAsiaTheme="minorEastAsia" w:cstheme="minorEastAsia"/>
                <w:color w:val="auto"/>
                <w:sz w:val="24"/>
                <w:szCs w:val="24"/>
                <w:highlight w:val="none"/>
                <w:lang w:val="zh-TW" w:eastAsia="zh-TW" w:bidi="ar-SA"/>
              </w:rPr>
              <w:t>5.根据国家文件要求和学校实际情况，学校可自行</w:t>
            </w:r>
            <w:r>
              <w:rPr>
                <w:rFonts w:hint="eastAsia" w:asciiTheme="minorEastAsia" w:hAnsiTheme="minorEastAsia" w:eastAsiaTheme="minorEastAsia" w:cstheme="minorEastAsia"/>
                <w:color w:val="auto"/>
                <w:sz w:val="24"/>
                <w:szCs w:val="24"/>
                <w:highlight w:val="none"/>
                <w:lang w:val="zh-CN" w:eastAsia="zh-CN" w:bidi="ar-SA"/>
              </w:rPr>
              <w:t>设置</w:t>
            </w:r>
            <w:r>
              <w:rPr>
                <w:rFonts w:hint="eastAsia" w:asciiTheme="minorEastAsia" w:hAnsiTheme="minorEastAsia" w:eastAsiaTheme="minorEastAsia" w:cstheme="minorEastAsia"/>
                <w:color w:val="auto"/>
                <w:sz w:val="24"/>
                <w:szCs w:val="24"/>
                <w:highlight w:val="none"/>
                <w:lang w:val="zh-TW" w:eastAsia="zh-TW" w:bidi="ar-SA"/>
              </w:rPr>
              <w:t>学生毕业学分要求，学生只要修满包括通识必修、通识选修、专业基础、专业核心、专业拓展、实践环节等各部分相应学分，即可毕业。</w:t>
            </w:r>
          </w:p>
          <w:p w14:paraId="17E8C380">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TW" w:eastAsia="zh-TW" w:bidi="ar-SA"/>
              </w:rPr>
            </w:pPr>
            <w:r>
              <w:rPr>
                <w:rFonts w:hint="eastAsia" w:asciiTheme="minorEastAsia" w:hAnsiTheme="minorEastAsia" w:eastAsiaTheme="minorEastAsia" w:cstheme="minorEastAsia"/>
                <w:color w:val="auto"/>
                <w:sz w:val="24"/>
                <w:szCs w:val="24"/>
                <w:highlight w:val="none"/>
                <w:lang w:val="zh-TW" w:eastAsia="zh-TW" w:bidi="ar-SA"/>
              </w:rPr>
              <w:t>6.系统应支持对学生和与其匹配的专业培养方案进行绑定，应支持自动绑定和手动绑定两种方式，当学生对应多个培养方案时，可以手动选择一个培养方案进行绑定。自动绑定时的关联条件应包括：年级、院系、专业、学历层次、学生类别、方向等；</w:t>
            </w:r>
          </w:p>
          <w:p w14:paraId="2C162CC8">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7.</w:t>
            </w:r>
            <w:r>
              <w:rPr>
                <w:rFonts w:hint="eastAsia" w:asciiTheme="minorEastAsia" w:hAnsiTheme="minorEastAsia" w:eastAsiaTheme="minorEastAsia" w:cstheme="minorEastAsia"/>
                <w:color w:val="auto"/>
                <w:sz w:val="24"/>
                <w:szCs w:val="24"/>
                <w:highlight w:val="none"/>
                <w:lang w:val="zh-TW" w:eastAsia="zh-TW" w:bidi="ar-SA"/>
              </w:rPr>
              <w:t>我校近几年通过对人才培养模式的探索与改革，对部分学生量身打造符合其个人能力、特长的教学计划，以更有针对性的方式对学生进行培养，</w:t>
            </w:r>
            <w:r>
              <w:rPr>
                <w:rFonts w:hint="eastAsia" w:asciiTheme="minorEastAsia" w:hAnsiTheme="minorEastAsia" w:eastAsiaTheme="minorEastAsia" w:cstheme="minorEastAsia"/>
                <w:color w:val="auto"/>
                <w:sz w:val="24"/>
                <w:szCs w:val="24"/>
                <w:highlight w:val="none"/>
                <w:lang w:val="zh-TW" w:eastAsia="zh-CN" w:bidi="ar-SA"/>
              </w:rPr>
              <w:t>增强</w:t>
            </w:r>
            <w:r>
              <w:rPr>
                <w:rFonts w:hint="eastAsia" w:asciiTheme="minorEastAsia" w:hAnsiTheme="minorEastAsia" w:eastAsiaTheme="minorEastAsia" w:cstheme="minorEastAsia"/>
                <w:color w:val="auto"/>
                <w:sz w:val="24"/>
                <w:szCs w:val="24"/>
                <w:highlight w:val="none"/>
                <w:lang w:val="zh-TW" w:eastAsia="zh-TW" w:bidi="ar-SA"/>
              </w:rPr>
              <w:t>培养效果。因此，要求系统支持为学生制定个人培养方案。</w:t>
            </w:r>
          </w:p>
        </w:tc>
      </w:tr>
      <w:tr w14:paraId="758D27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4F4561D2">
            <w:pPr>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1A421834">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lang w:val="zh-TW" w:eastAsia="zh-TW"/>
              </w:rPr>
            </w:pPr>
            <w:r>
              <w:rPr>
                <w:rFonts w:hint="eastAsia" w:asciiTheme="minorEastAsia" w:hAnsiTheme="minorEastAsia" w:eastAsiaTheme="minorEastAsia" w:cstheme="minorEastAsia"/>
                <w:color w:val="auto"/>
                <w:kern w:val="0"/>
                <w:sz w:val="24"/>
                <w:szCs w:val="24"/>
                <w:highlight w:val="none"/>
                <w:lang w:val="zh-TW" w:eastAsia="zh-TW"/>
              </w:rPr>
              <w:t>教学计划</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4CB6A286">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TW" w:eastAsia="zh-TW" w:bidi="ar-SA"/>
              </w:rPr>
            </w:pPr>
            <w:r>
              <w:rPr>
                <w:rFonts w:hint="eastAsia" w:asciiTheme="minorEastAsia" w:hAnsiTheme="minorEastAsia" w:eastAsiaTheme="minorEastAsia" w:cstheme="minorEastAsia"/>
                <w:color w:val="auto"/>
                <w:sz w:val="24"/>
                <w:szCs w:val="24"/>
                <w:highlight w:val="none"/>
                <w:lang w:val="zh-TW" w:eastAsia="zh-TW" w:bidi="ar-SA"/>
              </w:rPr>
              <w:t>1.培养方案通过审核生成执行计划后，可以查看该教学计划下的班级，也可以对教学计划进行微调和审批。</w:t>
            </w:r>
          </w:p>
          <w:p w14:paraId="41D7C431">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TW" w:eastAsia="zh-TW" w:bidi="ar-SA"/>
              </w:rPr>
            </w:pPr>
            <w:r>
              <w:rPr>
                <w:rFonts w:hint="eastAsia" w:asciiTheme="minorEastAsia" w:hAnsiTheme="minorEastAsia" w:eastAsiaTheme="minorEastAsia" w:cstheme="minorEastAsia"/>
                <w:color w:val="auto"/>
                <w:sz w:val="24"/>
                <w:szCs w:val="24"/>
                <w:highlight w:val="none"/>
                <w:lang w:val="zh-TW" w:eastAsia="zh-TW" w:bidi="ar-SA"/>
              </w:rPr>
              <w:t>2.可以提供添加、生成计划，修改、是否执行、删除、搜索、重置等操作，可对操作、变更情况进行查询。</w:t>
            </w:r>
          </w:p>
        </w:tc>
      </w:tr>
      <w:tr w14:paraId="714677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46B4F771">
            <w:pPr>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3D4B8054">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lang w:val="zh-TW" w:eastAsia="zh-TW"/>
              </w:rPr>
            </w:pPr>
            <w:r>
              <w:rPr>
                <w:rFonts w:hint="eastAsia" w:asciiTheme="minorEastAsia" w:hAnsiTheme="minorEastAsia" w:eastAsiaTheme="minorEastAsia" w:cstheme="minorEastAsia"/>
                <w:color w:val="auto"/>
                <w:kern w:val="0"/>
                <w:sz w:val="24"/>
                <w:szCs w:val="24"/>
                <w:highlight w:val="none"/>
                <w:lang w:val="zh-TW" w:eastAsia="zh-TW"/>
              </w:rPr>
              <w:t>开课管理</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3ADDDCAF">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TW" w:eastAsia="zh-TW" w:bidi="ar-SA"/>
              </w:rPr>
            </w:pPr>
            <w:r>
              <w:rPr>
                <w:rFonts w:hint="eastAsia" w:asciiTheme="minorEastAsia" w:hAnsiTheme="minorEastAsia" w:eastAsiaTheme="minorEastAsia" w:cstheme="minorEastAsia"/>
                <w:color w:val="auto"/>
                <w:sz w:val="24"/>
                <w:szCs w:val="24"/>
                <w:highlight w:val="none"/>
                <w:lang w:val="zh-TW" w:eastAsia="zh-TW" w:bidi="ar-SA"/>
              </w:rPr>
              <w:t>1.在专业教学计划</w:t>
            </w:r>
            <w:r>
              <w:rPr>
                <w:rFonts w:hint="eastAsia" w:asciiTheme="minorEastAsia" w:hAnsiTheme="minorEastAsia" w:eastAsiaTheme="minorEastAsia" w:cstheme="minorEastAsia"/>
                <w:color w:val="auto"/>
                <w:sz w:val="24"/>
                <w:szCs w:val="24"/>
                <w:highlight w:val="none"/>
                <w:lang w:val="zh-TW" w:eastAsia="zh-CN" w:bidi="ar-SA"/>
              </w:rPr>
              <w:t>制订完成</w:t>
            </w:r>
            <w:r>
              <w:rPr>
                <w:rFonts w:hint="eastAsia" w:asciiTheme="minorEastAsia" w:hAnsiTheme="minorEastAsia" w:eastAsiaTheme="minorEastAsia" w:cstheme="minorEastAsia"/>
                <w:color w:val="auto"/>
                <w:sz w:val="24"/>
                <w:szCs w:val="24"/>
                <w:highlight w:val="none"/>
                <w:lang w:val="zh-TW" w:eastAsia="zh-TW" w:bidi="ar-SA"/>
              </w:rPr>
              <w:t>后，在开课管理中根据学时类型自动生成每一学期的开课通知，可以形成合班、添加任课教师信息，生成最终开课通知单，形成“实际开课表”和排课系统原始的排课数据，并转出到选课系统完成选</w:t>
            </w:r>
            <w:r>
              <w:rPr>
                <w:rFonts w:hint="eastAsia" w:asciiTheme="minorEastAsia" w:hAnsiTheme="minorEastAsia" w:eastAsiaTheme="minorEastAsia" w:cstheme="minorEastAsia"/>
                <w:color w:val="auto"/>
                <w:sz w:val="24"/>
                <w:szCs w:val="24"/>
                <w:highlight w:val="none"/>
                <w:lang w:val="zh-TW" w:eastAsia="zh-CN" w:bidi="ar-SA"/>
              </w:rPr>
              <w:t>课</w:t>
            </w:r>
            <w:r>
              <w:rPr>
                <w:rFonts w:hint="eastAsia" w:asciiTheme="minorEastAsia" w:hAnsiTheme="minorEastAsia" w:eastAsiaTheme="minorEastAsia" w:cstheme="minorEastAsia"/>
                <w:color w:val="auto"/>
                <w:sz w:val="24"/>
                <w:szCs w:val="24"/>
                <w:highlight w:val="none"/>
                <w:lang w:val="zh-TW" w:eastAsia="zh-TW" w:bidi="ar-SA"/>
              </w:rPr>
              <w:t>操作。</w:t>
            </w:r>
          </w:p>
          <w:p w14:paraId="77644472">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lang w:val="zh-CN" w:eastAsia="zh-CN" w:bidi="ar-SA"/>
              </w:rPr>
              <w:t>2.</w:t>
            </w:r>
            <w:r>
              <w:rPr>
                <w:rFonts w:hint="eastAsia" w:asciiTheme="minorEastAsia" w:hAnsiTheme="minorEastAsia" w:eastAsiaTheme="minorEastAsia" w:cstheme="minorEastAsia"/>
                <w:color w:val="auto"/>
                <w:sz w:val="24"/>
                <w:szCs w:val="24"/>
                <w:highlight w:val="none"/>
                <w:lang w:val="zh-TW" w:eastAsia="zh-TW" w:bidi="ar-SA"/>
              </w:rPr>
              <w:t>★支持</w:t>
            </w:r>
            <w:r>
              <w:rPr>
                <w:rFonts w:hint="eastAsia" w:asciiTheme="minorEastAsia" w:hAnsiTheme="minorEastAsia" w:eastAsiaTheme="minorEastAsia" w:cstheme="minorEastAsia"/>
                <w:color w:val="auto"/>
                <w:sz w:val="24"/>
                <w:szCs w:val="24"/>
                <w:highlight w:val="none"/>
                <w:lang w:val="zh-CN" w:eastAsia="zh-CN" w:bidi="ar-SA"/>
              </w:rPr>
              <w:t>同一门课程多名教师</w:t>
            </w:r>
            <w:r>
              <w:rPr>
                <w:rFonts w:hint="eastAsia" w:asciiTheme="minorEastAsia" w:hAnsiTheme="minorEastAsia" w:eastAsiaTheme="minorEastAsia" w:cstheme="minorEastAsia"/>
                <w:color w:val="auto"/>
                <w:sz w:val="24"/>
                <w:szCs w:val="24"/>
                <w:highlight w:val="none"/>
                <w:lang w:val="zh-TW" w:eastAsia="zh-TW" w:bidi="ar-SA"/>
              </w:rPr>
              <w:t>不规则周学时的自定义设置</w:t>
            </w:r>
            <w:r>
              <w:rPr>
                <w:rFonts w:hint="eastAsia" w:asciiTheme="minorEastAsia" w:hAnsiTheme="minorEastAsia" w:eastAsiaTheme="minorEastAsia" w:cstheme="minorEastAsia"/>
                <w:color w:val="auto"/>
                <w:sz w:val="24"/>
                <w:szCs w:val="24"/>
                <w:highlight w:val="none"/>
                <w:lang w:val="zh-TW" w:eastAsia="zh-CN" w:bidi="ar-SA"/>
              </w:rPr>
              <w:t>，以</w:t>
            </w:r>
            <w:r>
              <w:rPr>
                <w:rFonts w:hint="eastAsia" w:asciiTheme="minorEastAsia" w:hAnsiTheme="minorEastAsia" w:eastAsiaTheme="minorEastAsia" w:cstheme="minorEastAsia"/>
                <w:color w:val="auto"/>
                <w:sz w:val="24"/>
                <w:szCs w:val="24"/>
                <w:highlight w:val="none"/>
                <w:lang w:val="zh-CN" w:eastAsia="zh-CN" w:bidi="ar-SA"/>
              </w:rPr>
              <w:t>及单双周开课等设置，可通过拖拽进行连、批量的周课时数的设置。一门课程设置两个或两个以上老师上课，后面老师填写周次的时候前面老师已选的周次不可选取或者选取的时候有提醒。</w:t>
            </w:r>
          </w:p>
          <w:p w14:paraId="0B64892B">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TW" w:eastAsia="zh-TW" w:bidi="ar-SA"/>
              </w:rPr>
            </w:pPr>
            <w:r>
              <w:rPr>
                <w:rFonts w:hint="eastAsia" w:asciiTheme="minorEastAsia" w:hAnsiTheme="minorEastAsia" w:eastAsiaTheme="minorEastAsia" w:cstheme="minorEastAsia"/>
                <w:color w:val="auto"/>
                <w:sz w:val="24"/>
                <w:szCs w:val="24"/>
                <w:highlight w:val="none"/>
                <w:lang w:val="zh-TW" w:eastAsia="zh-TW" w:bidi="ar-SA"/>
              </w:rPr>
              <w:t>3.针对现有教学模式可设置一门课多名教师，提供指定主辅讲教师以及成绩录入教师功能。</w:t>
            </w:r>
          </w:p>
          <w:p w14:paraId="72CD7548">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4.针对一门课程既有理论学时又有实践学时的情况，在生成开课任务时，可选择将理论学时和实践学时分开，自动根据拆分的学时类型，生成多个开课任务，支持理论班带实践分组。</w:t>
            </w:r>
          </w:p>
          <w:p w14:paraId="76B9DC51">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TW" w:eastAsia="zh-TW" w:bidi="ar-SA"/>
              </w:rPr>
            </w:pPr>
            <w:r>
              <w:rPr>
                <w:rFonts w:hint="eastAsia" w:asciiTheme="minorEastAsia" w:hAnsiTheme="minorEastAsia" w:eastAsiaTheme="minorEastAsia" w:cstheme="minorEastAsia"/>
                <w:color w:val="auto"/>
                <w:sz w:val="24"/>
                <w:szCs w:val="24"/>
                <w:highlight w:val="none"/>
                <w:lang w:val="zh-TW" w:eastAsia="zh-TW" w:bidi="ar-SA"/>
              </w:rPr>
              <w:t>5.系统可自由拆分现有行政班，合班形成新教学班；可实现一门课程灵活</w:t>
            </w:r>
            <w:r>
              <w:rPr>
                <w:rFonts w:hint="eastAsia" w:asciiTheme="minorEastAsia" w:hAnsiTheme="minorEastAsia" w:eastAsiaTheme="minorEastAsia" w:cstheme="minorEastAsia"/>
                <w:color w:val="auto"/>
                <w:sz w:val="24"/>
                <w:szCs w:val="24"/>
                <w:highlight w:val="none"/>
                <w:lang w:val="zh-TW" w:eastAsia="zh-CN" w:bidi="ar-SA"/>
              </w:rPr>
              <w:t>设置多条开课信息，</w:t>
            </w:r>
            <w:r>
              <w:rPr>
                <w:rFonts w:hint="eastAsia" w:asciiTheme="minorEastAsia" w:hAnsiTheme="minorEastAsia" w:eastAsiaTheme="minorEastAsia" w:cstheme="minorEastAsia"/>
                <w:color w:val="auto"/>
                <w:sz w:val="24"/>
                <w:szCs w:val="24"/>
                <w:highlight w:val="none"/>
                <w:lang w:val="zh-TW" w:eastAsia="zh-TW" w:bidi="ar-SA"/>
              </w:rPr>
              <w:t>多个任务分组，支持不同老师分管不同学生</w:t>
            </w:r>
            <w:r>
              <w:rPr>
                <w:rFonts w:hint="eastAsia" w:asciiTheme="minorEastAsia" w:hAnsiTheme="minorEastAsia" w:eastAsiaTheme="minorEastAsia" w:cstheme="minorEastAsia"/>
                <w:color w:val="auto"/>
                <w:sz w:val="24"/>
                <w:szCs w:val="24"/>
                <w:highlight w:val="none"/>
                <w:lang w:val="zh-TW" w:eastAsia="zh-CN" w:bidi="ar-SA"/>
              </w:rPr>
              <w:t>并分别录入成绩</w:t>
            </w:r>
            <w:r>
              <w:rPr>
                <w:rFonts w:hint="eastAsia" w:asciiTheme="minorEastAsia" w:hAnsiTheme="minorEastAsia" w:eastAsiaTheme="minorEastAsia" w:cstheme="minorEastAsia"/>
                <w:color w:val="auto"/>
                <w:sz w:val="24"/>
                <w:szCs w:val="24"/>
                <w:highlight w:val="none"/>
                <w:lang w:val="zh-TW" w:eastAsia="zh-TW" w:bidi="ar-SA"/>
              </w:rPr>
              <w:t>。</w:t>
            </w:r>
          </w:p>
          <w:p w14:paraId="281D5174">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zh-TW" w:eastAsia="zh-TW" w:bidi="ar-SA"/>
              </w:rPr>
            </w:pPr>
            <w:r>
              <w:rPr>
                <w:rFonts w:hint="eastAsia" w:asciiTheme="minorEastAsia" w:hAnsiTheme="minorEastAsia" w:eastAsiaTheme="minorEastAsia" w:cstheme="minorEastAsia"/>
                <w:color w:val="auto"/>
                <w:sz w:val="24"/>
                <w:szCs w:val="24"/>
                <w:highlight w:val="none"/>
                <w:lang w:val="zh-TW" w:eastAsia="zh-TW" w:bidi="ar-SA"/>
              </w:rPr>
              <w:t>6.★为解决教学安排中大班上课编排的要求，系统提供的合班功能可以对“课程相同及教学安排中的学时类型和周次相同”的开课任务进行合班操作。同一门课程上课周次不一样，</w:t>
            </w:r>
            <w:r>
              <w:rPr>
                <w:rFonts w:hint="eastAsia" w:asciiTheme="minorEastAsia" w:hAnsiTheme="minorEastAsia" w:eastAsiaTheme="minorEastAsia" w:cstheme="minorEastAsia"/>
                <w:color w:val="auto"/>
                <w:sz w:val="24"/>
                <w:szCs w:val="24"/>
                <w:highlight w:val="none"/>
                <w:lang w:val="en-US" w:eastAsia="zh-CN" w:bidi="ar-SA"/>
              </w:rPr>
              <w:t>也</w:t>
            </w:r>
            <w:r>
              <w:rPr>
                <w:rFonts w:hint="eastAsia" w:asciiTheme="minorEastAsia" w:hAnsiTheme="minorEastAsia" w:eastAsiaTheme="minorEastAsia" w:cstheme="minorEastAsia"/>
                <w:color w:val="auto"/>
                <w:sz w:val="24"/>
                <w:szCs w:val="24"/>
                <w:highlight w:val="none"/>
                <w:lang w:val="zh-TW" w:eastAsia="zh-TW" w:bidi="ar-SA"/>
              </w:rPr>
              <w:t>可以合班。（A班1—7，B班2—5，可以合班）。</w:t>
            </w:r>
          </w:p>
          <w:p w14:paraId="76628298">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zh-TW" w:eastAsia="zh-TW" w:bidi="ar-SA"/>
              </w:rPr>
              <w:t>7.根据专业及行政班级的人数生成教学班人数，方便提前进行课程人数的统计和安排。</w:t>
            </w:r>
          </w:p>
        </w:tc>
      </w:tr>
      <w:tr w14:paraId="639D44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1E1DA6D6">
            <w:pPr>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7B9DD54B">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lang w:val="zh-TW" w:eastAsia="zh-TW"/>
              </w:rPr>
            </w:pPr>
            <w:r>
              <w:rPr>
                <w:rFonts w:hint="eastAsia" w:asciiTheme="minorEastAsia" w:hAnsiTheme="minorEastAsia" w:eastAsiaTheme="minorEastAsia" w:cstheme="minorEastAsia"/>
                <w:color w:val="auto"/>
                <w:kern w:val="0"/>
                <w:sz w:val="24"/>
                <w:szCs w:val="24"/>
                <w:highlight w:val="none"/>
                <w:lang w:val="zh-TW" w:eastAsia="zh-TW"/>
              </w:rPr>
              <w:t>教学日历</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591C41F2">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CN" w:bidi="ar-SA"/>
              </w:rPr>
              <w:t>1.</w:t>
            </w:r>
            <w:r>
              <w:rPr>
                <w:rFonts w:hint="eastAsia" w:asciiTheme="minorEastAsia" w:hAnsiTheme="minorEastAsia" w:eastAsiaTheme="minorEastAsia" w:cstheme="minorEastAsia"/>
                <w:color w:val="auto"/>
                <w:sz w:val="24"/>
                <w:szCs w:val="24"/>
                <w:highlight w:val="none"/>
                <w:lang w:eastAsia="zh-CN"/>
              </w:rPr>
              <w:t>老师可在线填写教学日志及上传相关附件，</w:t>
            </w:r>
            <w:r>
              <w:rPr>
                <w:rFonts w:hint="eastAsia" w:asciiTheme="minorEastAsia" w:hAnsiTheme="minorEastAsia" w:eastAsiaTheme="minorEastAsia" w:cstheme="minorEastAsia"/>
                <w:color w:val="auto"/>
                <w:sz w:val="24"/>
                <w:szCs w:val="24"/>
                <w:highlight w:val="none"/>
                <w:lang w:val="en-US" w:eastAsia="en-US"/>
              </w:rPr>
              <w:t>支持教学日志可视化字段配置引擎，允许自定义教学日志字段填写模板。教师授课结束后，在教学日志填写时，系统支持自动同步考勤数据至教学日志列表中。</w:t>
            </w:r>
          </w:p>
          <w:p w14:paraId="632E14E1">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CN" w:bidi="ar-SA"/>
              </w:rPr>
              <w:t>2.</w:t>
            </w:r>
            <w:r>
              <w:rPr>
                <w:rFonts w:hint="eastAsia" w:asciiTheme="minorEastAsia" w:hAnsiTheme="minorEastAsia" w:eastAsiaTheme="minorEastAsia" w:cstheme="minorEastAsia"/>
                <w:color w:val="auto"/>
                <w:sz w:val="24"/>
                <w:szCs w:val="24"/>
                <w:highlight w:val="none"/>
              </w:rPr>
              <w:t>可在线记录老师上课的考勤状态</w:t>
            </w:r>
          </w:p>
          <w:p w14:paraId="7D78FDE2">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CN" w:bidi="ar-SA"/>
              </w:rPr>
              <w:t>3.</w:t>
            </w:r>
            <w:r>
              <w:rPr>
                <w:rFonts w:hint="eastAsia" w:asciiTheme="minorEastAsia" w:hAnsiTheme="minorEastAsia" w:eastAsiaTheme="minorEastAsia" w:cstheme="minorEastAsia"/>
                <w:color w:val="auto"/>
                <w:sz w:val="24"/>
                <w:szCs w:val="24"/>
                <w:highlight w:val="none"/>
                <w:lang w:eastAsia="zh-CN"/>
              </w:rPr>
              <w:t>可在线统计学生每节课的考勤状态</w:t>
            </w:r>
          </w:p>
        </w:tc>
      </w:tr>
      <w:tr w14:paraId="6600BE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4B4D97FA">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23AA23C5">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lang w:val="zh-TW" w:eastAsia="zh-TW"/>
              </w:rPr>
            </w:pPr>
            <w:r>
              <w:rPr>
                <w:rFonts w:hint="eastAsia" w:asciiTheme="minorEastAsia" w:hAnsiTheme="minorEastAsia" w:eastAsiaTheme="minorEastAsia" w:cstheme="minorEastAsia"/>
                <w:color w:val="auto"/>
                <w:kern w:val="0"/>
                <w:sz w:val="24"/>
                <w:szCs w:val="24"/>
                <w:highlight w:val="none"/>
                <w:lang w:val="zh-TW" w:eastAsia="zh-TW"/>
              </w:rPr>
              <w:t>排课管理</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36EA11CB">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1.</w:t>
            </w:r>
            <w:r>
              <w:rPr>
                <w:rFonts w:hint="eastAsia" w:asciiTheme="minorEastAsia" w:hAnsiTheme="minorEastAsia" w:eastAsiaTheme="minorEastAsia" w:cstheme="minorEastAsia"/>
                <w:color w:val="auto"/>
                <w:sz w:val="24"/>
                <w:szCs w:val="24"/>
                <w:highlight w:val="none"/>
              </w:rPr>
              <w:t>排课系统既能支持学年制、学年学分制下的排课要求，也能支持完全学分制下对排课的要求。</w:t>
            </w:r>
          </w:p>
          <w:p w14:paraId="6E911695">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2.</w:t>
            </w:r>
            <w:r>
              <w:rPr>
                <w:rFonts w:hint="eastAsia" w:asciiTheme="minorEastAsia" w:hAnsiTheme="minorEastAsia" w:eastAsiaTheme="minorEastAsia" w:cstheme="minorEastAsia"/>
                <w:color w:val="auto"/>
                <w:sz w:val="24"/>
                <w:szCs w:val="24"/>
                <w:highlight w:val="none"/>
              </w:rPr>
              <w:t>为满足二级排课的管理需要：可针对不同院系设置不同的排课类别，每个类别对应的排课部门、排课教室、开课数据，依据排课算法分类分批次实现课表编排。</w:t>
            </w:r>
          </w:p>
          <w:p w14:paraId="70424073">
            <w:pPr>
              <w:pStyle w:val="44"/>
              <w:pageBreakBefore w:val="0"/>
              <w:framePr w:wrap="auto" w:vAnchor="margin" w:hAnchor="text" w:yAlign="inline"/>
              <w:widowControl w:val="0"/>
              <w:numPr>
                <w:ilvl w:val="0"/>
                <w:numId w:val="6"/>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教室时间指定：可指定课程在某个时间或者某个教室排课，时间设置允许排课到小节。</w:t>
            </w:r>
          </w:p>
          <w:p w14:paraId="0404BA59">
            <w:pPr>
              <w:pStyle w:val="44"/>
              <w:pageBreakBefore w:val="0"/>
              <w:framePr w:wrap="auto" w:vAnchor="margin" w:hAnchor="text" w:yAlign="inline"/>
              <w:widowControl w:val="0"/>
              <w:numPr>
                <w:ilvl w:val="0"/>
                <w:numId w:val="6"/>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对应教室管理：可设置学院、专业、班级在某固定教室进行排课，同时可设定预留少量的督导听课、学生旁听的空闲座位。</w:t>
            </w:r>
            <w:r>
              <w:rPr>
                <w:rFonts w:hint="eastAsia" w:asciiTheme="minorEastAsia" w:hAnsiTheme="minorEastAsia" w:eastAsiaTheme="minorEastAsia" w:cstheme="minorEastAsia"/>
                <w:color w:val="auto"/>
                <w:sz w:val="24"/>
                <w:szCs w:val="24"/>
                <w:highlight w:val="none"/>
                <w:lang w:val="zh-TW"/>
              </w:rPr>
              <w:t>支持对体育馆、田径场进行重复利用排课参数的设置；可设置教室排课优先级、座位数、考试座位数、是否有空调的信息，</w:t>
            </w:r>
            <w:r>
              <w:rPr>
                <w:rFonts w:hint="eastAsia" w:asciiTheme="minorEastAsia" w:hAnsiTheme="minorEastAsia" w:eastAsiaTheme="minorEastAsia" w:cstheme="minorEastAsia"/>
                <w:color w:val="auto"/>
                <w:sz w:val="24"/>
                <w:szCs w:val="24"/>
                <w:highlight w:val="none"/>
                <w:lang w:val="en-US"/>
              </w:rPr>
              <w:t>能够打印教室门贴（每间教室生成一张二维码）的功能，通过微信扫码查看当日教室占用情况</w:t>
            </w:r>
            <w:r>
              <w:rPr>
                <w:rFonts w:hint="eastAsia" w:asciiTheme="minorEastAsia" w:hAnsiTheme="minorEastAsia" w:eastAsiaTheme="minorEastAsia" w:cstheme="minorEastAsia"/>
                <w:color w:val="auto"/>
                <w:sz w:val="24"/>
                <w:szCs w:val="24"/>
                <w:highlight w:val="none"/>
              </w:rPr>
              <w:t>。</w:t>
            </w:r>
          </w:p>
          <w:p w14:paraId="646A3B3C">
            <w:pPr>
              <w:pStyle w:val="44"/>
              <w:pageBreakBefore w:val="0"/>
              <w:framePr w:wrap="auto" w:vAnchor="margin" w:hAnchor="text" w:yAlign="inline"/>
              <w:widowControl w:val="0"/>
              <w:numPr>
                <w:ilvl w:val="0"/>
                <w:numId w:val="6"/>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节次时间设置</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可对学校课表进行分割，确定开课的大节数以及每个大节对应的小节数，确定每小节对应的时间。</w:t>
            </w:r>
          </w:p>
          <w:p w14:paraId="254F6549">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3.</w:t>
            </w:r>
            <w:r>
              <w:rPr>
                <w:rFonts w:hint="eastAsia" w:asciiTheme="minorEastAsia" w:hAnsiTheme="minorEastAsia" w:eastAsiaTheme="minorEastAsia" w:cstheme="minorEastAsia"/>
                <w:color w:val="auto"/>
                <w:sz w:val="24"/>
                <w:szCs w:val="24"/>
                <w:highlight w:val="none"/>
              </w:rPr>
              <w:t>支持自动排课参数的灵活设置：</w:t>
            </w:r>
          </w:p>
          <w:p w14:paraId="683F0F46">
            <w:pPr>
              <w:pStyle w:val="45"/>
              <w:pageBreakBefore w:val="0"/>
              <w:numPr>
                <w:ilvl w:val="0"/>
                <w:numId w:val="7"/>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lang w:val="zh-TW" w:eastAsia="zh-TW"/>
              </w:rPr>
            </w:pPr>
            <w:r>
              <w:rPr>
                <w:rFonts w:hint="eastAsia" w:asciiTheme="minorEastAsia" w:hAnsiTheme="minorEastAsia" w:eastAsiaTheme="minorEastAsia" w:cstheme="minorEastAsia"/>
                <w:color w:val="auto"/>
                <w:kern w:val="0"/>
                <w:sz w:val="24"/>
                <w:szCs w:val="24"/>
                <w:highlight w:val="none"/>
                <w:lang w:val="zh-TW" w:eastAsia="zh-TW"/>
              </w:rPr>
              <w:t>按照设置好的排课基本数据设置以及禁排时间管理界面的指定参数，系统按照最优方式自动进行编排课表。</w:t>
            </w:r>
          </w:p>
          <w:p w14:paraId="7928A39A">
            <w:pPr>
              <w:pStyle w:val="45"/>
              <w:pageBreakBefore w:val="0"/>
              <w:numPr>
                <w:ilvl w:val="0"/>
                <w:numId w:val="7"/>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lang w:val="zh-TW" w:eastAsia="zh-TW"/>
              </w:rPr>
            </w:pPr>
            <w:r>
              <w:rPr>
                <w:rFonts w:hint="eastAsia" w:asciiTheme="minorEastAsia" w:hAnsiTheme="minorEastAsia" w:eastAsiaTheme="minorEastAsia" w:cstheme="minorEastAsia"/>
                <w:color w:val="auto"/>
                <w:kern w:val="0"/>
                <w:sz w:val="24"/>
                <w:szCs w:val="24"/>
                <w:highlight w:val="none"/>
                <w:lang w:val="zh-TW" w:eastAsia="zh-TW"/>
              </w:rPr>
              <w:t>可为自动排课指定教室</w:t>
            </w:r>
            <w:r>
              <w:rPr>
                <w:rFonts w:hint="eastAsia" w:asciiTheme="minorEastAsia" w:hAnsiTheme="minorEastAsia" w:eastAsiaTheme="minorEastAsia" w:cstheme="minorEastAsia"/>
                <w:color w:val="auto"/>
                <w:kern w:val="0"/>
                <w:sz w:val="24"/>
                <w:szCs w:val="24"/>
                <w:highlight w:val="none"/>
                <w:lang w:val="zh-TW"/>
              </w:rPr>
              <w:t>，不同课程排课时间优先级，联排节次、排课时间优先级等各类参数，对不同课程分批排课。</w:t>
            </w:r>
          </w:p>
          <w:p w14:paraId="0815C246">
            <w:pPr>
              <w:pStyle w:val="45"/>
              <w:pageBreakBefore w:val="0"/>
              <w:numPr>
                <w:ilvl w:val="0"/>
                <w:numId w:val="7"/>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lang w:val="zh-TW" w:eastAsia="zh-TW"/>
              </w:rPr>
            </w:pPr>
            <w:r>
              <w:rPr>
                <w:rFonts w:hint="eastAsia" w:asciiTheme="minorEastAsia" w:hAnsiTheme="minorEastAsia" w:eastAsiaTheme="minorEastAsia" w:cstheme="minorEastAsia"/>
                <w:color w:val="auto"/>
                <w:kern w:val="0"/>
                <w:sz w:val="24"/>
                <w:szCs w:val="24"/>
                <w:highlight w:val="none"/>
                <w:lang w:val="zh-TW" w:eastAsia="zh-TW"/>
              </w:rPr>
              <w:t>可根据设置好的排课模型，智能编排课表，自动匹配教室、时间，以及进行冲突检测，可查看排课进程和排课结果</w:t>
            </w:r>
            <w:r>
              <w:rPr>
                <w:rFonts w:hint="eastAsia" w:asciiTheme="minorEastAsia" w:hAnsiTheme="minorEastAsia" w:eastAsiaTheme="minorEastAsia" w:cstheme="minorEastAsia"/>
                <w:color w:val="auto"/>
                <w:kern w:val="0"/>
                <w:sz w:val="24"/>
                <w:szCs w:val="24"/>
                <w:highlight w:val="none"/>
                <w:lang w:val="zh-TW"/>
              </w:rPr>
              <w:t>统计，</w:t>
            </w:r>
            <w:r>
              <w:rPr>
                <w:rFonts w:hint="eastAsia" w:asciiTheme="minorEastAsia" w:hAnsiTheme="minorEastAsia" w:eastAsiaTheme="minorEastAsia" w:cstheme="minorEastAsia"/>
                <w:color w:val="auto"/>
                <w:kern w:val="0"/>
                <w:sz w:val="24"/>
                <w:szCs w:val="24"/>
                <w:highlight w:val="none"/>
                <w:lang w:val="zh-TW" w:eastAsia="zh-TW"/>
              </w:rPr>
              <w:t>确保课表输出准确</w:t>
            </w:r>
            <w:r>
              <w:rPr>
                <w:rFonts w:hint="eastAsia" w:asciiTheme="minorEastAsia" w:hAnsiTheme="minorEastAsia" w:eastAsiaTheme="minorEastAsia" w:cstheme="minorEastAsia"/>
                <w:color w:val="auto"/>
                <w:kern w:val="0"/>
                <w:sz w:val="24"/>
                <w:szCs w:val="24"/>
                <w:highlight w:val="none"/>
                <w:lang w:val="zh-TW"/>
              </w:rPr>
              <w:t>。</w:t>
            </w:r>
          </w:p>
          <w:p w14:paraId="273B2A4B">
            <w:pPr>
              <w:pStyle w:val="45"/>
              <w:pageBreakBefore w:val="0"/>
              <w:numPr>
                <w:ilvl w:val="0"/>
                <w:numId w:val="7"/>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lang w:val="zh-TW" w:eastAsia="zh-TW"/>
              </w:rPr>
            </w:pPr>
            <w:r>
              <w:rPr>
                <w:rFonts w:hint="eastAsia" w:asciiTheme="minorEastAsia" w:hAnsiTheme="minorEastAsia" w:eastAsiaTheme="minorEastAsia" w:cstheme="minorEastAsia"/>
                <w:color w:val="auto"/>
                <w:kern w:val="0"/>
                <w:sz w:val="24"/>
                <w:szCs w:val="24"/>
                <w:highlight w:val="none"/>
                <w:lang w:val="zh-TW" w:eastAsia="zh-TW"/>
              </w:rPr>
              <w:t>支持多轮次自动排课，可在上一次排课的基础上继续排课。对已经排好的课表可进行手动调整。</w:t>
            </w:r>
          </w:p>
          <w:p w14:paraId="69EFA80F">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lang w:val="zh-TW" w:eastAsia="zh-TW"/>
              </w:rPr>
            </w:pPr>
            <w:r>
              <w:rPr>
                <w:rFonts w:hint="eastAsia" w:asciiTheme="minorEastAsia" w:hAnsiTheme="minorEastAsia" w:eastAsiaTheme="minorEastAsia" w:cstheme="minorEastAsia"/>
                <w:color w:val="auto"/>
                <w:kern w:val="0"/>
                <w:sz w:val="24"/>
                <w:szCs w:val="24"/>
                <w:highlight w:val="none"/>
                <w:lang w:val="zh-TW" w:eastAsia="zh-TW" w:bidi="ar-SA"/>
              </w:rPr>
              <w:t>4.</w:t>
            </w:r>
            <w:r>
              <w:rPr>
                <w:rFonts w:hint="eastAsia" w:asciiTheme="minorEastAsia" w:hAnsiTheme="minorEastAsia" w:eastAsiaTheme="minorEastAsia" w:cstheme="minorEastAsia"/>
                <w:color w:val="auto"/>
                <w:kern w:val="0"/>
                <w:sz w:val="24"/>
                <w:szCs w:val="24"/>
                <w:highlight w:val="none"/>
                <w:lang w:val="zh-TW" w:eastAsia="zh-TW"/>
              </w:rPr>
              <w:t>禁排时间个性化设置：</w:t>
            </w:r>
            <w:r>
              <w:rPr>
                <w:rFonts w:hint="eastAsia" w:asciiTheme="minorEastAsia" w:hAnsiTheme="minorEastAsia" w:eastAsiaTheme="minorEastAsia" w:cstheme="minorEastAsia"/>
                <w:color w:val="auto"/>
                <w:sz w:val="24"/>
                <w:szCs w:val="24"/>
                <w:highlight w:val="none"/>
              </w:rPr>
              <w:t>禁排时间设置提供了继承功能，可对个学期设置的禁排情况进行复制并继承；</w:t>
            </w:r>
          </w:p>
          <w:p w14:paraId="2375D69E">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5.</w:t>
            </w:r>
            <w:r>
              <w:rPr>
                <w:rFonts w:hint="eastAsia" w:asciiTheme="minorEastAsia" w:hAnsiTheme="minorEastAsia" w:eastAsiaTheme="minorEastAsia" w:cstheme="minorEastAsia"/>
                <w:color w:val="auto"/>
                <w:sz w:val="24"/>
                <w:szCs w:val="24"/>
                <w:highlight w:val="none"/>
              </w:rPr>
              <w:t>可生成班级、课程、教师、教室、学生、全校等多维度的课表，方便课表的查询、打印，可生成多种格式，自动适应表格宽度，多选打印。</w:t>
            </w:r>
          </w:p>
          <w:p w14:paraId="0F14DADE">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6.</w:t>
            </w:r>
            <w:r>
              <w:rPr>
                <w:rFonts w:hint="eastAsia" w:asciiTheme="minorEastAsia" w:hAnsiTheme="minorEastAsia" w:eastAsiaTheme="minorEastAsia" w:cstheme="minorEastAsia"/>
                <w:color w:val="auto"/>
                <w:sz w:val="24"/>
                <w:szCs w:val="24"/>
                <w:highlight w:val="none"/>
              </w:rPr>
              <w:t>可实现根据班级、教师、教室、课程等多维度排课，一门课程多个教师不同时间不同地点排课。</w:t>
            </w:r>
          </w:p>
          <w:p w14:paraId="3BA17E24">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CN" w:bidi="ar-SA"/>
              </w:rPr>
              <w:t>7.</w:t>
            </w:r>
            <w:r>
              <w:rPr>
                <w:rFonts w:hint="eastAsia" w:asciiTheme="minorEastAsia" w:hAnsiTheme="minorEastAsia" w:eastAsiaTheme="minorEastAsia" w:cstheme="minorEastAsia"/>
                <w:color w:val="auto"/>
                <w:sz w:val="24"/>
                <w:szCs w:val="24"/>
                <w:highlight w:val="none"/>
              </w:rPr>
              <w:t>可实现在同一排课界面实现班级</w:t>
            </w:r>
            <w:r>
              <w:rPr>
                <w:rFonts w:hint="eastAsia" w:asciiTheme="minorEastAsia" w:hAnsiTheme="minorEastAsia" w:eastAsiaTheme="minorEastAsia" w:cstheme="minorEastAsia"/>
                <w:color w:val="auto"/>
                <w:sz w:val="24"/>
                <w:szCs w:val="24"/>
                <w:highlight w:val="none"/>
                <w:lang w:eastAsia="zh-CN"/>
              </w:rPr>
              <w:t>、教师、教室、课程等</w:t>
            </w:r>
            <w:r>
              <w:rPr>
                <w:rFonts w:hint="eastAsia" w:asciiTheme="minorEastAsia" w:hAnsiTheme="minorEastAsia" w:eastAsiaTheme="minorEastAsia" w:cstheme="minorEastAsia"/>
                <w:color w:val="auto"/>
                <w:sz w:val="24"/>
                <w:szCs w:val="24"/>
                <w:highlight w:val="none"/>
              </w:rPr>
              <w:t>不同维度课表的任意切换和冲突信息的切换显示</w:t>
            </w:r>
            <w:r>
              <w:rPr>
                <w:rFonts w:hint="eastAsia" w:asciiTheme="minorEastAsia" w:hAnsiTheme="minorEastAsia" w:eastAsiaTheme="minorEastAsia" w:cstheme="minorEastAsia"/>
                <w:color w:val="auto"/>
                <w:sz w:val="24"/>
                <w:szCs w:val="24"/>
                <w:highlight w:val="none"/>
                <w:lang w:eastAsia="zh-CN"/>
              </w:rPr>
              <w:t>；并可实现锁定任意课程，避免排课教师随意调整课程安排；方便排课和灵活地调课；</w:t>
            </w:r>
          </w:p>
          <w:p w14:paraId="410665D2">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CN" w:bidi="ar-SA"/>
              </w:rPr>
              <w:t>8.</w:t>
            </w:r>
            <w:r>
              <w:rPr>
                <w:rFonts w:hint="eastAsia" w:asciiTheme="minorEastAsia" w:hAnsiTheme="minorEastAsia" w:eastAsiaTheme="minorEastAsia" w:cstheme="minorEastAsia"/>
                <w:color w:val="auto"/>
                <w:sz w:val="24"/>
                <w:szCs w:val="24"/>
                <w:highlight w:val="none"/>
              </w:rPr>
              <w:t>可实现在课表中显示不同维度的冲突课程信息</w:t>
            </w:r>
            <w:r>
              <w:rPr>
                <w:rFonts w:hint="eastAsia" w:asciiTheme="minorEastAsia" w:hAnsiTheme="minorEastAsia" w:eastAsiaTheme="minorEastAsia" w:cstheme="minorEastAsia"/>
                <w:color w:val="auto"/>
                <w:sz w:val="24"/>
                <w:szCs w:val="24"/>
                <w:highlight w:val="none"/>
                <w:lang w:eastAsia="zh-CN"/>
              </w:rPr>
              <w:t>；</w:t>
            </w:r>
          </w:p>
          <w:p w14:paraId="658147FB">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CN" w:bidi="ar-SA"/>
              </w:rPr>
              <w:t>9.</w:t>
            </w:r>
            <w:r>
              <w:rPr>
                <w:rFonts w:hint="eastAsia" w:asciiTheme="minorEastAsia" w:hAnsiTheme="minorEastAsia" w:eastAsiaTheme="minorEastAsia" w:cstheme="minorEastAsia"/>
                <w:color w:val="auto"/>
                <w:sz w:val="24"/>
                <w:szCs w:val="24"/>
                <w:highlight w:val="none"/>
                <w:lang w:eastAsia="zh-CN"/>
              </w:rPr>
              <w:t>可根据不同周次排课的需要，调整不规则周学时在每周的排课课时，支持不规则周学时或单双周排课、排教室；</w:t>
            </w:r>
          </w:p>
          <w:p w14:paraId="6C96DB60">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CN" w:bidi="ar-SA"/>
              </w:rPr>
              <w:t>10.</w:t>
            </w:r>
            <w:r>
              <w:rPr>
                <w:rFonts w:hint="eastAsia" w:asciiTheme="minorEastAsia" w:hAnsiTheme="minorEastAsia" w:eastAsiaTheme="minorEastAsia" w:cstheme="minorEastAsia"/>
                <w:color w:val="auto"/>
                <w:sz w:val="24"/>
                <w:szCs w:val="24"/>
                <w:highlight w:val="none"/>
              </w:rPr>
              <w:t>可在同一界面根据不同的搜索条件</w:t>
            </w:r>
            <w:r>
              <w:rPr>
                <w:rFonts w:hint="eastAsia" w:asciiTheme="minorEastAsia" w:hAnsiTheme="minorEastAsia" w:eastAsiaTheme="minorEastAsia" w:cstheme="minorEastAsia"/>
                <w:color w:val="auto"/>
                <w:sz w:val="24"/>
                <w:szCs w:val="24"/>
                <w:highlight w:val="none"/>
                <w:lang w:eastAsia="zh-CN"/>
              </w:rPr>
              <w:t>，行政班、课程、教学班、教师、开课单位、学时类型、排课时间、课程性质、锁定状态等搜索排课任务；</w:t>
            </w:r>
          </w:p>
          <w:p w14:paraId="456394FB">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CN" w:bidi="ar-SA"/>
              </w:rPr>
              <w:t>11.</w:t>
            </w:r>
            <w:r>
              <w:rPr>
                <w:rFonts w:hint="eastAsia" w:asciiTheme="minorEastAsia" w:hAnsiTheme="minorEastAsia" w:eastAsiaTheme="minorEastAsia" w:cstheme="minorEastAsia"/>
                <w:color w:val="auto"/>
                <w:sz w:val="24"/>
                <w:szCs w:val="24"/>
                <w:highlight w:val="none"/>
                <w:lang w:eastAsia="zh-CN"/>
              </w:rPr>
              <w:t>自动检测和显示排课课时状态，如未排、部分排、多排、已排；</w:t>
            </w:r>
          </w:p>
          <w:p w14:paraId="6AAC9FD9">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CN" w:bidi="ar-SA"/>
              </w:rPr>
              <w:t>12.</w:t>
            </w:r>
            <w:r>
              <w:rPr>
                <w:rFonts w:hint="eastAsia" w:asciiTheme="minorEastAsia" w:hAnsiTheme="minorEastAsia" w:eastAsiaTheme="minorEastAsia" w:cstheme="minorEastAsia"/>
                <w:color w:val="auto"/>
                <w:sz w:val="24"/>
                <w:szCs w:val="24"/>
                <w:highlight w:val="none"/>
                <w:lang w:eastAsia="zh-CN"/>
              </w:rPr>
              <w:t>自动检测和显示排课地点状态，如已排、未排等</w:t>
            </w:r>
          </w:p>
          <w:p w14:paraId="5249897C">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13.</w:t>
            </w:r>
            <w:r>
              <w:rPr>
                <w:rFonts w:hint="eastAsia" w:asciiTheme="minorEastAsia" w:hAnsiTheme="minorEastAsia" w:eastAsiaTheme="minorEastAsia" w:cstheme="minorEastAsia"/>
                <w:color w:val="auto"/>
                <w:sz w:val="24"/>
                <w:szCs w:val="24"/>
                <w:highlight w:val="none"/>
              </w:rPr>
              <w:t>可对空教室进行查询和借用：</w:t>
            </w:r>
          </w:p>
          <w:p w14:paraId="2F63BDC8">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14.</w:t>
            </w:r>
            <w:r>
              <w:rPr>
                <w:rFonts w:hint="eastAsia" w:asciiTheme="minorEastAsia" w:hAnsiTheme="minorEastAsia" w:eastAsiaTheme="minorEastAsia" w:cstheme="minorEastAsia"/>
                <w:color w:val="auto"/>
                <w:sz w:val="24"/>
                <w:szCs w:val="24"/>
                <w:highlight w:val="none"/>
              </w:rPr>
              <w:t>可以对全校教室使用情况进行查询，可根据学年学期、校区、教学区、教学楼、教室等进行分类检索，显示教室使用情况，显示是否可用等信息；</w:t>
            </w:r>
          </w:p>
          <w:p w14:paraId="1A241A09">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TW" w:bidi="ar-SA"/>
              </w:rPr>
              <w:t>15.</w:t>
            </w:r>
            <w:r>
              <w:rPr>
                <w:rFonts w:hint="eastAsia" w:asciiTheme="minorEastAsia" w:hAnsiTheme="minorEastAsia" w:eastAsiaTheme="minorEastAsia" w:cstheme="minorEastAsia"/>
                <w:color w:val="auto"/>
                <w:sz w:val="24"/>
                <w:szCs w:val="24"/>
                <w:highlight w:val="none"/>
              </w:rPr>
              <w:t>空教室借用权限和排课权限分开设置</w:t>
            </w:r>
            <w:r>
              <w:rPr>
                <w:rFonts w:hint="eastAsia" w:asciiTheme="minorEastAsia" w:hAnsiTheme="minorEastAsia" w:eastAsiaTheme="minorEastAsia" w:cstheme="minorEastAsia"/>
                <w:color w:val="auto"/>
                <w:sz w:val="24"/>
                <w:szCs w:val="24"/>
                <w:highlight w:val="none"/>
                <w:lang w:eastAsia="zh-CN"/>
              </w:rPr>
              <w:t>，可对</w:t>
            </w:r>
            <w:r>
              <w:rPr>
                <w:rFonts w:hint="eastAsia" w:asciiTheme="minorEastAsia" w:hAnsiTheme="minorEastAsia" w:eastAsiaTheme="minorEastAsia" w:cstheme="minorEastAsia"/>
                <w:color w:val="auto"/>
                <w:sz w:val="24"/>
                <w:szCs w:val="24"/>
                <w:highlight w:val="none"/>
              </w:rPr>
              <w:t>空教室借用的权限单独进行</w:t>
            </w:r>
            <w:r>
              <w:rPr>
                <w:rFonts w:hint="eastAsia" w:asciiTheme="minorEastAsia" w:hAnsiTheme="minorEastAsia" w:eastAsiaTheme="minorEastAsia" w:cstheme="minorEastAsia"/>
                <w:color w:val="auto"/>
                <w:sz w:val="24"/>
                <w:szCs w:val="24"/>
                <w:highlight w:val="none"/>
                <w:lang w:eastAsia="zh-CN"/>
              </w:rPr>
              <w:t>设置，设置空教室借用的院系权限</w:t>
            </w:r>
            <w:r>
              <w:rPr>
                <w:rFonts w:hint="eastAsia" w:asciiTheme="minorEastAsia" w:hAnsiTheme="minorEastAsia" w:eastAsiaTheme="minorEastAsia" w:cstheme="minorEastAsia"/>
                <w:color w:val="auto"/>
                <w:sz w:val="24"/>
                <w:szCs w:val="24"/>
                <w:highlight w:val="none"/>
              </w:rPr>
              <w:t>。</w:t>
            </w:r>
          </w:p>
        </w:tc>
      </w:tr>
      <w:tr w14:paraId="79BBD7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4AE41002">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rPr>
              <w:t>1</w:t>
            </w:r>
            <w:r>
              <w:rPr>
                <w:rFonts w:hint="eastAsia" w:asciiTheme="minorEastAsia" w:hAnsiTheme="minorEastAsia" w:eastAsiaTheme="minorEastAsia" w:cstheme="minorEastAsia"/>
                <w:color w:val="auto"/>
                <w:sz w:val="24"/>
                <w:szCs w:val="24"/>
                <w:highlight w:val="none"/>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0289BA77">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lang w:val="zh-TW" w:eastAsia="zh-TW"/>
              </w:rPr>
            </w:pPr>
            <w:r>
              <w:rPr>
                <w:rFonts w:hint="eastAsia" w:asciiTheme="minorEastAsia" w:hAnsiTheme="minorEastAsia" w:eastAsiaTheme="minorEastAsia" w:cstheme="minorEastAsia"/>
                <w:color w:val="auto"/>
                <w:kern w:val="0"/>
                <w:sz w:val="24"/>
                <w:szCs w:val="24"/>
                <w:highlight w:val="none"/>
                <w:lang w:val="zh-TW" w:eastAsia="zh-TW"/>
              </w:rPr>
              <w:t>选课管理</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52831CCC">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1.</w:t>
            </w:r>
            <w:r>
              <w:rPr>
                <w:rFonts w:hint="eastAsia" w:asciiTheme="minorEastAsia" w:hAnsiTheme="minorEastAsia" w:eastAsiaTheme="minorEastAsia" w:cstheme="minorEastAsia"/>
                <w:color w:val="auto"/>
                <w:sz w:val="24"/>
                <w:szCs w:val="24"/>
                <w:highlight w:val="none"/>
              </w:rPr>
              <w:t>具有设置各类选修课程模块及应修学分功能，包括选修课程模块、公共选修课程模块、专业选修课程模块等，可按学期、分批次进行选课设置，进行时间控制、专业限制等。</w:t>
            </w:r>
          </w:p>
          <w:p w14:paraId="0DE47475">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2.</w:t>
            </w:r>
            <w:r>
              <w:rPr>
                <w:rFonts w:hint="eastAsia" w:asciiTheme="minorEastAsia" w:hAnsiTheme="minorEastAsia" w:eastAsiaTheme="minorEastAsia" w:cstheme="minorEastAsia"/>
                <w:color w:val="auto"/>
                <w:sz w:val="24"/>
                <w:szCs w:val="24"/>
                <w:highlight w:val="none"/>
              </w:rPr>
              <w:t>选课批次维护可自由定义各学年学期的选课轮次，可根据学校实际情况需要在同一学期开展多批次选课，并进行不同批次条件的设置：</w:t>
            </w:r>
          </w:p>
          <w:p w14:paraId="40B9B1F3">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3.</w:t>
            </w:r>
            <w:r>
              <w:rPr>
                <w:rFonts w:hint="eastAsia" w:asciiTheme="minorEastAsia" w:hAnsiTheme="minorEastAsia" w:eastAsiaTheme="minorEastAsia" w:cstheme="minorEastAsia"/>
                <w:color w:val="auto"/>
                <w:sz w:val="24"/>
                <w:szCs w:val="24"/>
                <w:highlight w:val="none"/>
              </w:rPr>
              <w:t>可关联学生注册状态、先修课程、每学期选课门数和学分控制、退课及容量控制、结业学生允许重修次数、退课人数控制、冲突选课控制、退选容量释放控制等参数。</w:t>
            </w:r>
          </w:p>
          <w:p w14:paraId="4346AC64">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4.</w:t>
            </w:r>
            <w:r>
              <w:rPr>
                <w:rFonts w:hint="eastAsia" w:asciiTheme="minorEastAsia" w:hAnsiTheme="minorEastAsia" w:eastAsiaTheme="minorEastAsia" w:cstheme="minorEastAsia"/>
                <w:color w:val="auto"/>
                <w:sz w:val="24"/>
                <w:szCs w:val="24"/>
                <w:highlight w:val="none"/>
              </w:rPr>
              <w:t>重修选课条件可灵活设置</w:t>
            </w:r>
            <w:r>
              <w:rPr>
                <w:rFonts w:hint="eastAsia" w:asciiTheme="minorEastAsia" w:hAnsiTheme="minorEastAsia" w:eastAsiaTheme="minorEastAsia" w:cstheme="minorEastAsia"/>
                <w:color w:val="auto"/>
                <w:sz w:val="24"/>
                <w:szCs w:val="24"/>
                <w:highlight w:val="none"/>
                <w:lang w:eastAsia="zh-CN"/>
              </w:rPr>
              <w:t>，满足学校学分制改革中重修选课的需求，如非别对毕业生和非毕业生进行选课时间冲突比例的灵活设置，实践环节是否允许重修选课，是否优先选择重修组班教学班，公选课重修选课时列出同学分公选课等。</w:t>
            </w:r>
          </w:p>
          <w:p w14:paraId="01897CC9">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5.</w:t>
            </w:r>
            <w:r>
              <w:rPr>
                <w:rFonts w:hint="eastAsia" w:asciiTheme="minorEastAsia" w:hAnsiTheme="minorEastAsia" w:eastAsiaTheme="minorEastAsia" w:cstheme="minorEastAsia"/>
                <w:color w:val="auto"/>
                <w:sz w:val="24"/>
                <w:szCs w:val="24"/>
                <w:highlight w:val="none"/>
              </w:rPr>
              <w:t>可灵活设置每个轮次可选课的课程范围和学生范围。</w:t>
            </w:r>
          </w:p>
          <w:p w14:paraId="78A17B52">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6.</w:t>
            </w:r>
            <w:r>
              <w:rPr>
                <w:rFonts w:hint="eastAsia" w:asciiTheme="minorEastAsia" w:hAnsiTheme="minorEastAsia" w:eastAsiaTheme="minorEastAsia" w:cstheme="minorEastAsia"/>
                <w:color w:val="auto"/>
                <w:sz w:val="24"/>
                <w:szCs w:val="24"/>
                <w:highlight w:val="none"/>
              </w:rPr>
              <w:t>可限制每个年级、专业的不同课程性质（如通识选修课、专业任选课、专业限选课等）选课的学分、门数，实现各专业不同课程性质的不同需求，满足多种课程性质同时选课。</w:t>
            </w:r>
          </w:p>
          <w:p w14:paraId="6CA773BD">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7.</w:t>
            </w:r>
            <w:r>
              <w:rPr>
                <w:rFonts w:hint="eastAsia" w:asciiTheme="minorEastAsia" w:hAnsiTheme="minorEastAsia" w:eastAsiaTheme="minorEastAsia" w:cstheme="minorEastAsia"/>
                <w:color w:val="auto"/>
                <w:sz w:val="24"/>
                <w:szCs w:val="24"/>
                <w:highlight w:val="none"/>
              </w:rPr>
              <w:t>在学分制选课模式中，学校所有课程可参与选课，一般先对各专业学生预置基本课表，学生根据教学计划要求和自身发展的需要来调整个人课表，必修课可以在不冲突的情况下自主选择不同授课教师，并在规定范围内选修有兴趣的课程。</w:t>
            </w:r>
          </w:p>
          <w:p w14:paraId="7309BDCE">
            <w:pPr>
              <w:pStyle w:val="46"/>
              <w:pageBreakBefore w:val="0"/>
              <w:numPr>
                <w:ilvl w:val="0"/>
                <w:numId w:val="0"/>
              </w:numPr>
              <w:kinsoku/>
              <w:wordWrap/>
              <w:overflowPunct/>
              <w:topLinePunct w:val="0"/>
              <w:autoSpaceDE/>
              <w:autoSpaceDN/>
              <w:bidi w:val="0"/>
              <w:spacing w:line="360" w:lineRule="auto"/>
              <w:ind w:left="0" w:leftChars="0" w:right="181" w:rightChars="0" w:firstLine="0" w:firstLineChars="0"/>
              <w:textAlignment w:val="auto"/>
              <w:rPr>
                <w:rFonts w:hint="eastAsia" w:asciiTheme="minorEastAsia" w:hAnsiTheme="minorEastAsia" w:eastAsiaTheme="minorEastAsia" w:cstheme="minorEastAsia"/>
                <w:color w:val="auto"/>
                <w:kern w:val="0"/>
                <w:sz w:val="24"/>
                <w:szCs w:val="24"/>
                <w:highlight w:val="none"/>
                <w:lang w:val="zh-TW"/>
              </w:rPr>
            </w:pPr>
            <w:r>
              <w:rPr>
                <w:rFonts w:hint="eastAsia" w:asciiTheme="minorEastAsia" w:hAnsiTheme="minorEastAsia" w:eastAsiaTheme="minorEastAsia" w:cstheme="minorEastAsia"/>
                <w:color w:val="auto"/>
                <w:kern w:val="0"/>
                <w:sz w:val="24"/>
                <w:szCs w:val="24"/>
                <w:highlight w:val="none"/>
                <w:lang w:val="en-US" w:eastAsia="zh-CN" w:bidi="ar-SA"/>
              </w:rPr>
              <w:t>8</w:t>
            </w:r>
            <w:r>
              <w:rPr>
                <w:rFonts w:hint="eastAsia" w:asciiTheme="minorEastAsia" w:hAnsiTheme="minorEastAsia" w:eastAsiaTheme="minorEastAsia" w:cstheme="minorEastAsia"/>
                <w:color w:val="auto"/>
                <w:kern w:val="0"/>
                <w:sz w:val="24"/>
                <w:szCs w:val="24"/>
                <w:highlight w:val="none"/>
                <w:lang w:val="zh-TW" w:eastAsia="zh-CN" w:bidi="ar-SA"/>
              </w:rPr>
              <w:t>.</w:t>
            </w:r>
            <w:r>
              <w:rPr>
                <w:rFonts w:hint="eastAsia" w:asciiTheme="minorEastAsia" w:hAnsiTheme="minorEastAsia" w:eastAsiaTheme="minorEastAsia" w:cstheme="minorEastAsia"/>
                <w:color w:val="auto"/>
                <w:kern w:val="0"/>
                <w:sz w:val="24"/>
                <w:szCs w:val="24"/>
                <w:highlight w:val="none"/>
                <w:lang w:val="zh-TW" w:eastAsia="zh-TW"/>
              </w:rPr>
              <w:t>支持选课数据与网络课程选课数据对接，</w:t>
            </w:r>
            <w:r>
              <w:rPr>
                <w:rFonts w:hint="eastAsia" w:asciiTheme="minorEastAsia" w:hAnsiTheme="minorEastAsia" w:eastAsiaTheme="minorEastAsia" w:cstheme="minorEastAsia"/>
                <w:color w:val="auto"/>
                <w:kern w:val="0"/>
                <w:sz w:val="24"/>
                <w:szCs w:val="24"/>
                <w:highlight w:val="none"/>
                <w:lang w:val="en-US" w:eastAsia="zh-CN"/>
              </w:rPr>
              <w:t>可以把教务系统的课程一键推送至教学平台。教学平台支持免开课，可以直接获取到课程的基础信息和班级信息</w:t>
            </w:r>
            <w:r>
              <w:rPr>
                <w:rFonts w:hint="eastAsia" w:asciiTheme="minorEastAsia" w:hAnsiTheme="minorEastAsia" w:eastAsiaTheme="minorEastAsia" w:cstheme="minorEastAsia"/>
                <w:color w:val="auto"/>
                <w:kern w:val="0"/>
                <w:sz w:val="24"/>
                <w:szCs w:val="24"/>
                <w:highlight w:val="none"/>
                <w:lang w:val="zh-TW" w:eastAsia="zh-TW"/>
              </w:rPr>
              <w:t>。</w:t>
            </w:r>
            <w:r>
              <w:rPr>
                <w:rFonts w:hint="eastAsia" w:asciiTheme="minorEastAsia" w:hAnsiTheme="minorEastAsia" w:eastAsiaTheme="minorEastAsia" w:cstheme="minorEastAsia"/>
                <w:color w:val="auto"/>
                <w:kern w:val="0"/>
                <w:sz w:val="24"/>
                <w:szCs w:val="24"/>
                <w:highlight w:val="none"/>
                <w:lang w:val="en-US" w:eastAsia="zh-CN"/>
              </w:rPr>
              <w:t>教务系统也可以直接获取到教学平台所开的课程，教务系统不需要再次开课。</w:t>
            </w:r>
          </w:p>
        </w:tc>
      </w:tr>
      <w:tr w14:paraId="6347F3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37F5F007">
            <w:pPr>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787B9E13">
            <w:pPr>
              <w:pageBreakBefore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lang w:val="zh-TW" w:eastAsia="zh-TW"/>
              </w:rPr>
            </w:pPr>
            <w:r>
              <w:rPr>
                <w:rFonts w:hint="eastAsia" w:asciiTheme="minorEastAsia" w:hAnsiTheme="minorEastAsia" w:eastAsiaTheme="minorEastAsia" w:cstheme="minorEastAsia"/>
                <w:color w:val="auto"/>
                <w:sz w:val="24"/>
                <w:szCs w:val="24"/>
                <w:highlight w:val="none"/>
                <w:lang w:val="zh-CN"/>
              </w:rPr>
              <w:t>考务管理</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5C1C8DED">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1.</w:t>
            </w:r>
            <w:r>
              <w:rPr>
                <w:rFonts w:hint="eastAsia" w:asciiTheme="minorEastAsia" w:hAnsiTheme="minorEastAsia" w:eastAsiaTheme="minorEastAsia" w:cstheme="minorEastAsia"/>
                <w:color w:val="auto"/>
                <w:spacing w:val="-6"/>
                <w:sz w:val="24"/>
                <w:szCs w:val="24"/>
                <w:highlight w:val="none"/>
              </w:rPr>
              <w:t>★</w:t>
            </w:r>
            <w:r>
              <w:rPr>
                <w:rFonts w:hint="eastAsia" w:asciiTheme="minorEastAsia" w:hAnsiTheme="minorEastAsia" w:eastAsiaTheme="minorEastAsia" w:cstheme="minorEastAsia"/>
                <w:color w:val="auto"/>
                <w:sz w:val="24"/>
                <w:szCs w:val="24"/>
                <w:highlight w:val="none"/>
                <w:lang w:val="en-US"/>
              </w:rPr>
              <w:t>可多重维度生成试卷编号（按课程编号、教师、校区、年级、教学班、院系），可以自定义试卷编号。</w:t>
            </w:r>
          </w:p>
          <w:p w14:paraId="550EC709">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CN" w:bidi="ar-SA"/>
              </w:rPr>
              <w:t>2.</w:t>
            </w:r>
            <w:r>
              <w:rPr>
                <w:rFonts w:hint="eastAsia" w:asciiTheme="minorEastAsia" w:hAnsiTheme="minorEastAsia" w:eastAsiaTheme="minorEastAsia" w:cstheme="minorEastAsia"/>
                <w:color w:val="auto"/>
                <w:sz w:val="24"/>
                <w:szCs w:val="24"/>
                <w:highlight w:val="none"/>
                <w:lang w:eastAsia="zh-CN"/>
              </w:rPr>
              <w:t>支持对考试场次进行灵活的分割和设置：可设置考试场次占用的排课节次或起始时间，避免产生与排课时间的冲突；</w:t>
            </w:r>
          </w:p>
          <w:p w14:paraId="2389D129">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CN" w:bidi="ar-SA"/>
              </w:rPr>
              <w:t>3.</w:t>
            </w:r>
            <w:r>
              <w:rPr>
                <w:rFonts w:hint="eastAsia" w:asciiTheme="minorEastAsia" w:hAnsiTheme="minorEastAsia" w:eastAsiaTheme="minorEastAsia" w:cstheme="minorEastAsia"/>
                <w:color w:val="auto"/>
                <w:sz w:val="24"/>
                <w:szCs w:val="24"/>
                <w:highlight w:val="none"/>
                <w:lang w:eastAsia="zh-CN"/>
              </w:rPr>
              <w:t>支持对排考的教室进行针对性分配和设置；</w:t>
            </w:r>
          </w:p>
          <w:p w14:paraId="1A43272E">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CN" w:bidi="ar-SA"/>
              </w:rPr>
              <w:t>4.</w:t>
            </w:r>
            <w:r>
              <w:rPr>
                <w:rFonts w:hint="eastAsia" w:asciiTheme="minorEastAsia" w:hAnsiTheme="minorEastAsia" w:eastAsiaTheme="minorEastAsia" w:cstheme="minorEastAsia"/>
                <w:color w:val="auto"/>
                <w:sz w:val="24"/>
                <w:szCs w:val="24"/>
                <w:highlight w:val="none"/>
                <w:lang w:eastAsia="zh-CN"/>
              </w:rPr>
              <w:t>教室可批量或单独设置使用单位，实现院系排考；</w:t>
            </w:r>
          </w:p>
          <w:p w14:paraId="4B5A1FDE">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CN" w:bidi="ar-SA"/>
              </w:rPr>
              <w:t>5.</w:t>
            </w:r>
            <w:r>
              <w:rPr>
                <w:rFonts w:hint="eastAsia" w:asciiTheme="minorEastAsia" w:hAnsiTheme="minorEastAsia" w:eastAsiaTheme="minorEastAsia" w:cstheme="minorEastAsia"/>
                <w:color w:val="auto"/>
                <w:sz w:val="24"/>
                <w:szCs w:val="24"/>
                <w:highlight w:val="none"/>
                <w:lang w:eastAsia="zh-CN"/>
              </w:rPr>
              <w:t>教室可批量或单独设置排考容量以及可用状态；</w:t>
            </w:r>
          </w:p>
          <w:p w14:paraId="65491472">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CN" w:bidi="ar-SA"/>
              </w:rPr>
              <w:t>6.</w:t>
            </w:r>
            <w:r>
              <w:rPr>
                <w:rFonts w:hint="eastAsia" w:asciiTheme="minorEastAsia" w:hAnsiTheme="minorEastAsia" w:eastAsiaTheme="minorEastAsia" w:cstheme="minorEastAsia"/>
                <w:color w:val="auto"/>
                <w:sz w:val="24"/>
                <w:szCs w:val="24"/>
                <w:highlight w:val="none"/>
                <w:lang w:val="en-US" w:eastAsia="zh-CN"/>
              </w:rPr>
              <w:t>对设置好的教室可以进行继承操作，将其他考试批次设置的教室使用状态继承到本次的考试教室设置中来；</w:t>
            </w:r>
          </w:p>
          <w:p w14:paraId="4FCA3B50">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CN" w:bidi="ar-SA"/>
              </w:rPr>
              <w:t>7.</w:t>
            </w:r>
            <w:r>
              <w:rPr>
                <w:rFonts w:hint="eastAsia" w:asciiTheme="minorEastAsia" w:hAnsiTheme="minorEastAsia" w:eastAsiaTheme="minorEastAsia" w:cstheme="minorEastAsia"/>
                <w:color w:val="auto"/>
                <w:spacing w:val="-6"/>
                <w:sz w:val="24"/>
                <w:szCs w:val="24"/>
                <w:highlight w:val="none"/>
              </w:rPr>
              <w:t>可</w:t>
            </w:r>
            <w:r>
              <w:rPr>
                <w:rFonts w:hint="eastAsia" w:asciiTheme="minorEastAsia" w:hAnsiTheme="minorEastAsia" w:eastAsiaTheme="minorEastAsia" w:cstheme="minorEastAsia"/>
                <w:color w:val="auto"/>
                <w:sz w:val="24"/>
                <w:szCs w:val="24"/>
                <w:highlight w:val="none"/>
                <w:lang w:eastAsia="zh-CN"/>
              </w:rPr>
              <w:t>对考试任务进行灵活设置；</w:t>
            </w:r>
          </w:p>
          <w:p w14:paraId="7B6BD0CE">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CN" w:bidi="ar-SA"/>
              </w:rPr>
              <w:t>8.</w:t>
            </w:r>
            <w:r>
              <w:rPr>
                <w:rFonts w:hint="eastAsia" w:asciiTheme="minorEastAsia" w:hAnsiTheme="minorEastAsia" w:eastAsiaTheme="minorEastAsia" w:cstheme="minorEastAsia"/>
                <w:color w:val="auto"/>
                <w:sz w:val="24"/>
                <w:szCs w:val="24"/>
                <w:highlight w:val="none"/>
                <w:lang w:eastAsia="zh-CN"/>
              </w:rPr>
              <w:t>支持分批次根据开课院系、课程性质、考试形式、授课方式、是否转入等条件对课程进行查询及实现批量或单门课程的转入；</w:t>
            </w:r>
          </w:p>
          <w:p w14:paraId="54489FA5">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CN" w:bidi="ar-SA"/>
              </w:rPr>
              <w:t>9.</w:t>
            </w:r>
            <w:r>
              <w:rPr>
                <w:rFonts w:hint="eastAsia" w:asciiTheme="minorEastAsia" w:hAnsiTheme="minorEastAsia" w:eastAsiaTheme="minorEastAsia" w:cstheme="minorEastAsia"/>
                <w:color w:val="auto"/>
                <w:sz w:val="24"/>
                <w:szCs w:val="24"/>
                <w:highlight w:val="none"/>
              </w:rPr>
              <w:t>可</w:t>
            </w:r>
            <w:r>
              <w:rPr>
                <w:rFonts w:hint="eastAsia" w:asciiTheme="minorEastAsia" w:hAnsiTheme="minorEastAsia" w:eastAsiaTheme="minorEastAsia" w:cstheme="minorEastAsia"/>
                <w:color w:val="auto"/>
                <w:sz w:val="24"/>
                <w:szCs w:val="24"/>
                <w:highlight w:val="none"/>
                <w:lang w:eastAsia="zh-CN"/>
              </w:rPr>
              <w:t>对课程进行单个或批量排考状态的设置，如安排、不安排、未安排等状态</w:t>
            </w:r>
          </w:p>
          <w:p w14:paraId="205B642C">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CN" w:bidi="ar-SA"/>
              </w:rPr>
              <w:t>10.</w:t>
            </w:r>
            <w:r>
              <w:rPr>
                <w:rFonts w:hint="eastAsia" w:asciiTheme="minorEastAsia" w:hAnsiTheme="minorEastAsia" w:eastAsiaTheme="minorEastAsia" w:cstheme="minorEastAsia"/>
                <w:color w:val="auto"/>
                <w:sz w:val="24"/>
                <w:szCs w:val="24"/>
                <w:highlight w:val="none"/>
                <w:lang w:eastAsia="zh-CN"/>
              </w:rPr>
              <w:t>可对课程进行单个或批量考试形式的安排，如集中考试或分散考试；</w:t>
            </w:r>
          </w:p>
          <w:p w14:paraId="616EEEB4">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CN" w:bidi="ar-SA"/>
              </w:rPr>
              <w:t>11.</w:t>
            </w:r>
            <w:r>
              <w:rPr>
                <w:rFonts w:hint="eastAsia" w:asciiTheme="minorEastAsia" w:hAnsiTheme="minorEastAsia" w:eastAsiaTheme="minorEastAsia" w:cstheme="minorEastAsia"/>
                <w:color w:val="auto"/>
                <w:sz w:val="24"/>
                <w:szCs w:val="24"/>
                <w:highlight w:val="none"/>
                <w:lang w:eastAsia="zh-CN"/>
              </w:rPr>
              <w:t>可对课程进行单个或批量排考状态的设置，如可设置按照行政班排考、按照教学班排考、按照试卷号排考或按照院系排考等；</w:t>
            </w:r>
          </w:p>
          <w:p w14:paraId="4900BF82">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CN" w:bidi="ar-SA"/>
              </w:rPr>
              <w:t>12.</w:t>
            </w:r>
            <w:r>
              <w:rPr>
                <w:rFonts w:hint="eastAsia" w:asciiTheme="minorEastAsia" w:hAnsiTheme="minorEastAsia" w:eastAsiaTheme="minorEastAsia" w:cstheme="minorEastAsia"/>
                <w:color w:val="auto"/>
                <w:sz w:val="24"/>
                <w:szCs w:val="24"/>
                <w:highlight w:val="none"/>
                <w:lang w:val="en-US" w:eastAsia="zh-CN"/>
              </w:rPr>
              <w:t>学生可使用手机进行线上考试，并且考试具有人脸识别、前后摄像头抓拍，切屏监控等防作弊措施；</w:t>
            </w:r>
          </w:p>
        </w:tc>
      </w:tr>
      <w:tr w14:paraId="17B4D4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05552551">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rPr>
              <w:t>1</w:t>
            </w:r>
            <w:r>
              <w:rPr>
                <w:rFonts w:hint="eastAsia" w:asciiTheme="minorEastAsia" w:hAnsiTheme="minorEastAsia" w:eastAsiaTheme="minorEastAsia" w:cstheme="minorEastAsia"/>
                <w:color w:val="auto"/>
                <w:sz w:val="24"/>
                <w:szCs w:val="24"/>
                <w:highlight w:val="none"/>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35ED358A">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lang w:val="zh-TW" w:eastAsia="zh-TW"/>
              </w:rPr>
            </w:pPr>
            <w:r>
              <w:rPr>
                <w:rFonts w:hint="eastAsia" w:asciiTheme="minorEastAsia" w:hAnsiTheme="minorEastAsia" w:eastAsiaTheme="minorEastAsia" w:cstheme="minorEastAsia"/>
                <w:color w:val="auto"/>
                <w:kern w:val="0"/>
                <w:sz w:val="24"/>
                <w:szCs w:val="24"/>
                <w:highlight w:val="none"/>
                <w:lang w:val="zh-TW" w:eastAsia="zh-TW"/>
              </w:rPr>
              <w:t>成绩管理</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3F25BFDD">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1.</w:t>
            </w:r>
            <w:r>
              <w:rPr>
                <w:rFonts w:hint="eastAsia" w:asciiTheme="minorEastAsia" w:hAnsiTheme="minorEastAsia" w:eastAsiaTheme="minorEastAsia" w:cstheme="minorEastAsia"/>
                <w:color w:val="auto"/>
                <w:sz w:val="24"/>
                <w:szCs w:val="24"/>
                <w:highlight w:val="none"/>
              </w:rPr>
              <w:t>具有任课教师网上成绩录入功能，可提供正考、重修、补考成绩</w:t>
            </w:r>
            <w:r>
              <w:rPr>
                <w:rFonts w:hint="eastAsia" w:asciiTheme="minorEastAsia" w:hAnsiTheme="minorEastAsia" w:eastAsiaTheme="minorEastAsia" w:cstheme="minorEastAsia"/>
                <w:color w:val="auto"/>
                <w:sz w:val="24"/>
                <w:szCs w:val="24"/>
                <w:highlight w:val="none"/>
                <w:lang w:val="zh-CN" w:eastAsia="zh-CN"/>
              </w:rPr>
              <w:t>等</w:t>
            </w:r>
            <w:r>
              <w:rPr>
                <w:rFonts w:hint="eastAsia" w:asciiTheme="minorEastAsia" w:hAnsiTheme="minorEastAsia" w:eastAsiaTheme="minorEastAsia" w:cstheme="minorEastAsia"/>
                <w:color w:val="auto"/>
                <w:sz w:val="24"/>
                <w:szCs w:val="24"/>
                <w:highlight w:val="none"/>
              </w:rPr>
              <w:t>标识。</w:t>
            </w:r>
          </w:p>
          <w:p w14:paraId="367C8A36">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2.</w:t>
            </w:r>
            <w:r>
              <w:rPr>
                <w:rFonts w:hint="eastAsia" w:asciiTheme="minorEastAsia" w:hAnsiTheme="minorEastAsia" w:eastAsiaTheme="minorEastAsia" w:cstheme="minorEastAsia"/>
                <w:color w:val="auto"/>
                <w:sz w:val="24"/>
                <w:szCs w:val="24"/>
                <w:highlight w:val="none"/>
              </w:rPr>
              <w:t>成绩项目比例控制：</w:t>
            </w:r>
          </w:p>
          <w:p w14:paraId="12145269">
            <w:pPr>
              <w:pStyle w:val="44"/>
              <w:pageBreakBefore w:val="0"/>
              <w:framePr w:wrap="auto" w:vAnchor="margin" w:hAnchor="text" w:yAlign="inline"/>
              <w:widowControl w:val="0"/>
              <w:numPr>
                <w:ilvl w:val="0"/>
                <w:numId w:val="8"/>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支持</w:t>
            </w:r>
            <w:r>
              <w:rPr>
                <w:rFonts w:hint="eastAsia" w:asciiTheme="minorEastAsia" w:hAnsiTheme="minorEastAsia" w:eastAsiaTheme="minorEastAsia" w:cstheme="minorEastAsia"/>
                <w:color w:val="auto"/>
                <w:sz w:val="24"/>
                <w:szCs w:val="24"/>
                <w:highlight w:val="none"/>
                <w:lang w:eastAsia="zh-CN"/>
              </w:rPr>
              <w:t>灵活设置成绩分项及成绩分项名称；</w:t>
            </w:r>
          </w:p>
          <w:p w14:paraId="3A2DFE6D">
            <w:pPr>
              <w:pStyle w:val="44"/>
              <w:pageBreakBefore w:val="0"/>
              <w:framePr w:wrap="auto" w:vAnchor="margin" w:hAnchor="text" w:yAlign="inline"/>
              <w:widowControl w:val="0"/>
              <w:numPr>
                <w:ilvl w:val="0"/>
                <w:numId w:val="8"/>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可编辑各成绩项目所占总成绩的百分比范围；</w:t>
            </w:r>
          </w:p>
          <w:p w14:paraId="4297D68B">
            <w:pPr>
              <w:pStyle w:val="44"/>
              <w:pageBreakBefore w:val="0"/>
              <w:framePr w:wrap="auto" w:vAnchor="margin" w:hAnchor="text" w:yAlign="inline"/>
              <w:widowControl w:val="0"/>
              <w:numPr>
                <w:ilvl w:val="0"/>
                <w:numId w:val="8"/>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支持教师网上修改成绩构成系数，网上录入分项成绩，自动计算出总成绩。</w:t>
            </w:r>
          </w:p>
          <w:p w14:paraId="3E48931F">
            <w:pPr>
              <w:pStyle w:val="44"/>
              <w:pageBreakBefore w:val="0"/>
              <w:framePr w:wrap="auto" w:vAnchor="margin" w:hAnchor="text" w:yAlign="inline"/>
              <w:widowControl w:val="0"/>
              <w:numPr>
                <w:ilvl w:val="0"/>
                <w:numId w:val="8"/>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支持多种成绩标准：百分制、五级制、两档制及其他级制等成绩计分机制，学校</w:t>
            </w:r>
            <w:r>
              <w:rPr>
                <w:rFonts w:hint="eastAsia" w:asciiTheme="minorEastAsia" w:hAnsiTheme="minorEastAsia" w:eastAsiaTheme="minorEastAsia" w:cstheme="minorEastAsia"/>
                <w:color w:val="auto"/>
                <w:sz w:val="24"/>
                <w:szCs w:val="24"/>
                <w:highlight w:val="none"/>
                <w:lang w:eastAsia="zh-CN"/>
              </w:rPr>
              <w:t>可根据课程需要自行设置成绩级制及其与百分制的范围关系</w:t>
            </w:r>
            <w:r>
              <w:rPr>
                <w:rFonts w:hint="eastAsia" w:asciiTheme="minorEastAsia" w:hAnsiTheme="minorEastAsia" w:eastAsiaTheme="minorEastAsia" w:cstheme="minorEastAsia"/>
                <w:color w:val="auto"/>
                <w:sz w:val="24"/>
                <w:szCs w:val="24"/>
                <w:highlight w:val="none"/>
              </w:rPr>
              <w:t>；</w:t>
            </w:r>
          </w:p>
          <w:p w14:paraId="2CDD2C88">
            <w:pPr>
              <w:pStyle w:val="44"/>
              <w:pageBreakBefore w:val="0"/>
              <w:framePr w:wrap="auto" w:vAnchor="margin" w:hAnchor="text" w:yAlign="inline"/>
              <w:widowControl w:val="0"/>
              <w:numPr>
                <w:ilvl w:val="0"/>
                <w:numId w:val="8"/>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支持灵活设置特殊成绩标识，如舞弊、缺考、缓考、免考以及自定义添加特殊成绩标识，</w:t>
            </w:r>
            <w:r>
              <w:rPr>
                <w:rFonts w:hint="eastAsia" w:asciiTheme="minorEastAsia" w:hAnsiTheme="minorEastAsia" w:eastAsiaTheme="minorEastAsia" w:cstheme="minorEastAsia"/>
                <w:color w:val="auto"/>
                <w:sz w:val="24"/>
                <w:szCs w:val="24"/>
                <w:highlight w:val="none"/>
                <w:lang w:val="en-US" w:eastAsia="zh-CN"/>
              </w:rPr>
              <w:t>且对应的特殊标识可以设置对应的考试性质（如：期中、期末）；支持对应的特殊成绩标识设置对应的分数，以及特殊成绩标识是否可以直接让录入教师指定。</w:t>
            </w:r>
          </w:p>
          <w:p w14:paraId="430A3D53">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CN" w:bidi="ar-SA"/>
              </w:rPr>
              <w:t>3.</w:t>
            </w:r>
            <w:r>
              <w:rPr>
                <w:rFonts w:hint="eastAsia" w:asciiTheme="minorEastAsia" w:hAnsiTheme="minorEastAsia" w:eastAsiaTheme="minorEastAsia" w:cstheme="minorEastAsia"/>
                <w:color w:val="auto"/>
                <w:sz w:val="24"/>
                <w:szCs w:val="24"/>
                <w:highlight w:val="none"/>
                <w:lang w:eastAsia="zh-CN"/>
              </w:rPr>
              <w:t>支持成绩录入的灵活设置：</w:t>
            </w:r>
          </w:p>
          <w:p w14:paraId="40872D5A">
            <w:pPr>
              <w:pStyle w:val="44"/>
              <w:pageBreakBefore w:val="0"/>
              <w:framePr w:wrap="auto" w:vAnchor="margin" w:hAnchor="text" w:yAlign="inline"/>
              <w:widowControl w:val="0"/>
              <w:numPr>
                <w:ilvl w:val="0"/>
                <w:numId w:val="9"/>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可根据院系、教研室、课程性质、考试形式、录入分项、录入状态、教师、课程等对课程进行灵活筛选，以方便批量或单独设置课程录入规则，及查询各门课程录入情况；</w:t>
            </w:r>
          </w:p>
          <w:p w14:paraId="4B56775A">
            <w:pPr>
              <w:pStyle w:val="44"/>
              <w:pageBreakBefore w:val="0"/>
              <w:framePr w:wrap="auto" w:vAnchor="margin" w:hAnchor="text" w:yAlign="inline"/>
              <w:widowControl w:val="0"/>
              <w:numPr>
                <w:ilvl w:val="0"/>
                <w:numId w:val="9"/>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支持单独或批量设置每一门课程的录入时间；</w:t>
            </w:r>
          </w:p>
          <w:p w14:paraId="56564150">
            <w:pPr>
              <w:pStyle w:val="44"/>
              <w:pageBreakBefore w:val="0"/>
              <w:framePr w:wrap="auto" w:vAnchor="margin" w:hAnchor="text" w:yAlign="inline"/>
              <w:widowControl w:val="0"/>
              <w:numPr>
                <w:ilvl w:val="0"/>
                <w:numId w:val="9"/>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支持单独或批量设置每一门课程的成绩分项及成绩分项占比；</w:t>
            </w:r>
          </w:p>
          <w:p w14:paraId="1E925886">
            <w:pPr>
              <w:pStyle w:val="44"/>
              <w:pageBreakBefore w:val="0"/>
              <w:framePr w:wrap="auto" w:vAnchor="margin" w:hAnchor="text" w:yAlign="inline"/>
              <w:widowControl w:val="0"/>
              <w:numPr>
                <w:ilvl w:val="0"/>
                <w:numId w:val="9"/>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支持每门课程录入级制的灵活设置；</w:t>
            </w:r>
          </w:p>
          <w:p w14:paraId="1E2D2E99">
            <w:pPr>
              <w:pStyle w:val="44"/>
              <w:pageBreakBefore w:val="0"/>
              <w:framePr w:wrap="auto" w:vAnchor="margin" w:hAnchor="text" w:yAlign="inline"/>
              <w:widowControl w:val="0"/>
              <w:numPr>
                <w:ilvl w:val="0"/>
                <w:numId w:val="9"/>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支持每门课程录入状态的灵活设置；</w:t>
            </w:r>
          </w:p>
          <w:p w14:paraId="5379AE53">
            <w:pPr>
              <w:pStyle w:val="44"/>
              <w:pageBreakBefore w:val="0"/>
              <w:framePr w:wrap="auto" w:vAnchor="margin" w:hAnchor="text" w:yAlign="inline"/>
              <w:widowControl w:val="0"/>
              <w:numPr>
                <w:ilvl w:val="0"/>
                <w:numId w:val="9"/>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支持一门课程根据教学情况、分组情况拆分为多个教师分别录入成绩；</w:t>
            </w:r>
          </w:p>
          <w:p w14:paraId="65B5B439">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CN" w:bidi="ar-SA"/>
              </w:rPr>
              <w:t>4.</w:t>
            </w:r>
            <w:r>
              <w:rPr>
                <w:rFonts w:hint="eastAsia" w:asciiTheme="minorEastAsia" w:hAnsiTheme="minorEastAsia" w:eastAsiaTheme="minorEastAsia" w:cstheme="minorEastAsia"/>
                <w:color w:val="auto"/>
                <w:sz w:val="24"/>
                <w:szCs w:val="24"/>
                <w:highlight w:val="none"/>
                <w:lang w:eastAsia="zh-CN"/>
              </w:rPr>
              <w:t>支持每门课程分项录入时间的灵活设置，如平时成绩分项、实验成绩分项、期末成绩分项可在不同的时间录入，不同分项可由不同老师录入，记分级制及锁定状态均可单独设置。</w:t>
            </w:r>
          </w:p>
          <w:p w14:paraId="5EA07648">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TW" w:eastAsia="zh-CN" w:bidi="ar-SA"/>
              </w:rPr>
              <w:t>5.</w:t>
            </w:r>
            <w:r>
              <w:rPr>
                <w:rFonts w:hint="eastAsia" w:asciiTheme="minorEastAsia" w:hAnsiTheme="minorEastAsia" w:eastAsiaTheme="minorEastAsia" w:cstheme="minorEastAsia"/>
                <w:color w:val="auto"/>
                <w:spacing w:val="-6"/>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为了方便老师对学生学习过程的管理，须提供过程性的成绩管理，最终可以合成为学生的平时成绩。如：平时成绩可以细分为作业完成度、到课率等等。</w:t>
            </w:r>
          </w:p>
          <w:p w14:paraId="249BF41B">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6.</w:t>
            </w:r>
            <w:r>
              <w:rPr>
                <w:rFonts w:hint="eastAsia" w:asciiTheme="minorEastAsia" w:hAnsiTheme="minorEastAsia" w:eastAsiaTheme="minorEastAsia" w:cstheme="minorEastAsia"/>
                <w:color w:val="auto"/>
                <w:spacing w:val="-6"/>
                <w:sz w:val="24"/>
                <w:szCs w:val="24"/>
                <w:highlight w:val="none"/>
                <w:lang w:val="en-US" w:eastAsia="zh-CN"/>
              </w:rPr>
              <w:t>教师在录入成绩的时候可以</w:t>
            </w:r>
            <w:r>
              <w:rPr>
                <w:rFonts w:hint="eastAsia" w:asciiTheme="minorEastAsia" w:hAnsiTheme="minorEastAsia" w:eastAsiaTheme="minorEastAsia" w:cstheme="minorEastAsia"/>
                <w:color w:val="auto"/>
                <w:sz w:val="24"/>
                <w:szCs w:val="24"/>
                <w:highlight w:val="none"/>
              </w:rPr>
              <w:t>一键</w:t>
            </w:r>
            <w:r>
              <w:rPr>
                <w:rFonts w:hint="eastAsia" w:asciiTheme="minorEastAsia" w:hAnsiTheme="minorEastAsia" w:eastAsiaTheme="minorEastAsia" w:cstheme="minorEastAsia"/>
                <w:color w:val="auto"/>
                <w:sz w:val="24"/>
                <w:szCs w:val="24"/>
                <w:highlight w:val="none"/>
                <w:lang w:val="en-US" w:eastAsia="zh-CN"/>
              </w:rPr>
              <w:t>获取学生教学平台的成绩，同步到教务系统</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无需通过中间库进行数据中转，无缝</w:t>
            </w:r>
            <w:r>
              <w:rPr>
                <w:rFonts w:hint="eastAsia" w:asciiTheme="minorEastAsia" w:hAnsiTheme="minorEastAsia" w:eastAsiaTheme="minorEastAsia" w:cstheme="minorEastAsia"/>
                <w:color w:val="auto"/>
                <w:sz w:val="24"/>
                <w:szCs w:val="24"/>
                <w:highlight w:val="none"/>
              </w:rPr>
              <w:t>实现</w:t>
            </w:r>
            <w:r>
              <w:rPr>
                <w:rFonts w:hint="eastAsia" w:asciiTheme="minorEastAsia" w:hAnsiTheme="minorEastAsia" w:eastAsiaTheme="minorEastAsia" w:cstheme="minorEastAsia"/>
                <w:color w:val="auto"/>
                <w:sz w:val="24"/>
                <w:szCs w:val="24"/>
                <w:highlight w:val="none"/>
                <w:lang w:eastAsia="zh-CN"/>
              </w:rPr>
              <w:t>网络课程成绩的便捷对接和统一管理</w:t>
            </w:r>
            <w:r>
              <w:rPr>
                <w:rFonts w:hint="eastAsia" w:asciiTheme="minorEastAsia" w:hAnsiTheme="minorEastAsia" w:eastAsiaTheme="minorEastAsia" w:cstheme="minorEastAsia"/>
                <w:color w:val="auto"/>
                <w:sz w:val="24"/>
                <w:szCs w:val="24"/>
                <w:highlight w:val="none"/>
              </w:rPr>
              <w:t>。</w:t>
            </w:r>
          </w:p>
          <w:p w14:paraId="47FB9F41">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bidi="ar-SA"/>
              </w:rPr>
              <w:t>7.</w:t>
            </w:r>
            <w:r>
              <w:rPr>
                <w:rFonts w:hint="eastAsia" w:asciiTheme="minorEastAsia" w:hAnsiTheme="minorEastAsia" w:eastAsiaTheme="minorEastAsia" w:cstheme="minorEastAsia"/>
                <w:color w:val="auto"/>
                <w:sz w:val="24"/>
                <w:szCs w:val="24"/>
                <w:highlight w:val="none"/>
                <w:lang w:val="zh-CN" w:eastAsia="zh-CN"/>
              </w:rPr>
              <w:t>管理人员可以筛选出未及时录入学生成绩的老师，批量发送督促登分提醒通知功能，对于系统发送的通知未读的人员，可以再次使用电话、短信的方式自动提醒。</w:t>
            </w:r>
          </w:p>
          <w:p w14:paraId="31517493">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8.</w:t>
            </w:r>
            <w:r>
              <w:rPr>
                <w:rFonts w:hint="eastAsia" w:asciiTheme="minorEastAsia" w:hAnsiTheme="minorEastAsia" w:eastAsiaTheme="minorEastAsia" w:cstheme="minorEastAsia"/>
                <w:color w:val="auto"/>
                <w:sz w:val="24"/>
                <w:szCs w:val="24"/>
                <w:highlight w:val="none"/>
              </w:rPr>
              <w:t>支持成绩二次录入功能，确保成绩的正确性；</w:t>
            </w:r>
          </w:p>
          <w:p w14:paraId="0A9F609D">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9.</w:t>
            </w:r>
            <w:r>
              <w:rPr>
                <w:rFonts w:hint="eastAsia" w:asciiTheme="minorEastAsia" w:hAnsiTheme="minorEastAsia" w:eastAsiaTheme="minorEastAsia" w:cstheme="minorEastAsia"/>
                <w:color w:val="auto"/>
                <w:sz w:val="24"/>
                <w:szCs w:val="24"/>
                <w:highlight w:val="none"/>
              </w:rPr>
              <w:t>学校</w:t>
            </w:r>
            <w:r>
              <w:rPr>
                <w:rFonts w:hint="eastAsia" w:asciiTheme="minorEastAsia" w:hAnsiTheme="minorEastAsia" w:eastAsiaTheme="minorEastAsia" w:cstheme="minorEastAsia"/>
                <w:color w:val="auto"/>
                <w:sz w:val="24"/>
                <w:szCs w:val="24"/>
                <w:highlight w:val="none"/>
                <w:lang w:eastAsia="zh-CN"/>
              </w:rPr>
              <w:t>可灵活设置是否需要录入两次成绩，</w:t>
            </w:r>
          </w:p>
          <w:p w14:paraId="612F6904">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10.</w:t>
            </w:r>
            <w:r>
              <w:rPr>
                <w:rFonts w:hint="eastAsia" w:asciiTheme="minorEastAsia" w:hAnsiTheme="minorEastAsia" w:eastAsiaTheme="minorEastAsia" w:cstheme="minorEastAsia"/>
                <w:color w:val="auto"/>
                <w:sz w:val="24"/>
                <w:szCs w:val="24"/>
                <w:highlight w:val="none"/>
                <w:lang w:eastAsia="zh-CN"/>
              </w:rPr>
              <w:t>成绩二录功能可确保录入两次成绩且两次成绩完全一致后，教师才可提交录入成绩为总成绩，避免出现一次录入成绩后出现错误</w:t>
            </w:r>
            <w:r>
              <w:rPr>
                <w:rFonts w:hint="eastAsia" w:asciiTheme="minorEastAsia" w:hAnsiTheme="minorEastAsia" w:eastAsiaTheme="minorEastAsia" w:cstheme="minorEastAsia"/>
                <w:color w:val="auto"/>
                <w:sz w:val="24"/>
                <w:szCs w:val="24"/>
                <w:highlight w:val="none"/>
              </w:rPr>
              <w:t>。</w:t>
            </w:r>
          </w:p>
          <w:p w14:paraId="6C2AF219">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11.</w:t>
            </w:r>
            <w:r>
              <w:rPr>
                <w:rFonts w:hint="eastAsia" w:asciiTheme="minorEastAsia" w:hAnsiTheme="minorEastAsia" w:eastAsiaTheme="minorEastAsia" w:cstheme="minorEastAsia"/>
                <w:color w:val="auto"/>
                <w:sz w:val="24"/>
                <w:szCs w:val="24"/>
                <w:highlight w:val="none"/>
              </w:rPr>
              <w:t>可以灵活维护补录成绩，如批量导入、添加、删除等。</w:t>
            </w:r>
          </w:p>
          <w:p w14:paraId="662AD756">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12.</w:t>
            </w:r>
            <w:r>
              <w:rPr>
                <w:rFonts w:hint="eastAsia" w:asciiTheme="minorEastAsia" w:hAnsiTheme="minorEastAsia" w:eastAsiaTheme="minorEastAsia" w:cstheme="minorEastAsia"/>
                <w:color w:val="auto"/>
                <w:sz w:val="24"/>
                <w:szCs w:val="24"/>
                <w:highlight w:val="none"/>
              </w:rPr>
              <w:t>正考成绩、重修成绩、补考成绩可根据实际操作学年学期录入，可根据实际情况导出报表；</w:t>
            </w:r>
          </w:p>
        </w:tc>
      </w:tr>
      <w:tr w14:paraId="3571A5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43" w:type="dxa"/>
            <w:vMerge w:val="restart"/>
            <w:tcBorders>
              <w:top w:val="single" w:color="000000" w:sz="4" w:space="0"/>
              <w:left w:val="single" w:color="000000" w:sz="4" w:space="0"/>
              <w:right w:val="single" w:color="000000" w:sz="4" w:space="0"/>
            </w:tcBorders>
            <w:shd w:val="clear" w:color="auto" w:fill="auto"/>
            <w:noWrap w:val="0"/>
            <w:tcMar>
              <w:top w:w="80" w:type="dxa"/>
              <w:left w:w="80" w:type="dxa"/>
              <w:bottom w:w="80" w:type="dxa"/>
              <w:right w:w="80" w:type="dxa"/>
            </w:tcMar>
            <w:vAlign w:val="top"/>
          </w:tcPr>
          <w:p w14:paraId="3C02F359">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lang w:val="zh-TW" w:eastAsia="zh-TW"/>
              </w:rPr>
            </w:pPr>
            <w:r>
              <w:rPr>
                <w:rFonts w:hint="eastAsia" w:asciiTheme="minorEastAsia" w:hAnsiTheme="minorEastAsia" w:eastAsiaTheme="minorEastAsia" w:cstheme="minorEastAsia"/>
                <w:color w:val="auto"/>
                <w:sz w:val="24"/>
                <w:szCs w:val="24"/>
                <w:highlight w:val="none"/>
                <w:lang w:val="zh-TW"/>
              </w:rPr>
              <w:t>1</w:t>
            </w:r>
            <w:r>
              <w:rPr>
                <w:rFonts w:hint="eastAsia" w:asciiTheme="minorEastAsia" w:hAnsiTheme="minorEastAsia" w:eastAsiaTheme="minorEastAsia" w:cstheme="minorEastAsia"/>
                <w:color w:val="auto"/>
                <w:sz w:val="24"/>
                <w:szCs w:val="24"/>
                <w:highlight w:val="none"/>
                <w:lang w:val="zh-TW" w:eastAsia="zh-TW"/>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45EDDE3A">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lang w:val="zh-TW" w:eastAsia="zh-TW"/>
              </w:rPr>
            </w:pPr>
            <w:r>
              <w:rPr>
                <w:rFonts w:hint="eastAsia" w:asciiTheme="minorEastAsia" w:hAnsiTheme="minorEastAsia" w:eastAsiaTheme="minorEastAsia" w:cstheme="minorEastAsia"/>
                <w:color w:val="auto"/>
                <w:kern w:val="0"/>
                <w:sz w:val="24"/>
                <w:szCs w:val="24"/>
                <w:highlight w:val="none"/>
                <w:lang w:val="zh-TW" w:eastAsia="zh-TW"/>
              </w:rPr>
              <w:t>重修管理</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31D59F3E">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1.</w:t>
            </w:r>
            <w:r>
              <w:rPr>
                <w:rFonts w:hint="eastAsia" w:asciiTheme="minorEastAsia" w:hAnsiTheme="minorEastAsia" w:eastAsiaTheme="minorEastAsia" w:cstheme="minorEastAsia"/>
                <w:color w:val="auto"/>
                <w:sz w:val="24"/>
                <w:szCs w:val="24"/>
                <w:highlight w:val="none"/>
              </w:rPr>
              <w:t>重修参数控制</w:t>
            </w:r>
          </w:p>
          <w:p w14:paraId="51CB1EB0">
            <w:pPr>
              <w:pStyle w:val="44"/>
              <w:pageBreakBefore w:val="0"/>
              <w:framePr w:wrap="auto" w:vAnchor="margin" w:hAnchor="text" w:yAlign="inline"/>
              <w:widowControl w:val="0"/>
              <w:numPr>
                <w:ilvl w:val="0"/>
                <w:numId w:val="1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可对重修报名的条件进行控制，如重修报名的时间，允许报名的人数等；</w:t>
            </w:r>
          </w:p>
          <w:p w14:paraId="2ABFE4BE">
            <w:pPr>
              <w:pStyle w:val="44"/>
              <w:pageBreakBefore w:val="0"/>
              <w:framePr w:wrap="auto" w:vAnchor="margin" w:hAnchor="text" w:yAlign="inline"/>
              <w:widowControl w:val="0"/>
              <w:numPr>
                <w:ilvl w:val="0"/>
                <w:numId w:val="1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可对重修选修的条件进行控制，如重修选课的时间，是否允许冲突选课，是否允许毕业生冲突选课，选课是否允许突破教学班人数上限</w:t>
            </w:r>
            <w:r>
              <w:rPr>
                <w:rFonts w:hint="eastAsia" w:asciiTheme="minorEastAsia" w:hAnsiTheme="minorEastAsia" w:eastAsiaTheme="minorEastAsia" w:cstheme="minorEastAsia"/>
                <w:color w:val="auto"/>
                <w:sz w:val="24"/>
                <w:szCs w:val="24"/>
                <w:highlight w:val="none"/>
                <w:lang w:eastAsia="zh-CN"/>
              </w:rPr>
              <w:t>，重修冲突时间范围</w:t>
            </w:r>
            <w:r>
              <w:rPr>
                <w:rFonts w:hint="eastAsia" w:asciiTheme="minorEastAsia" w:hAnsiTheme="minorEastAsia" w:eastAsiaTheme="minorEastAsia" w:cstheme="minorEastAsia"/>
                <w:color w:val="auto"/>
                <w:sz w:val="24"/>
                <w:szCs w:val="24"/>
                <w:highlight w:val="none"/>
              </w:rPr>
              <w:t>等。</w:t>
            </w:r>
          </w:p>
          <w:p w14:paraId="39AFA22F">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2.</w:t>
            </w:r>
            <w:r>
              <w:rPr>
                <w:rFonts w:hint="eastAsia" w:asciiTheme="minorEastAsia" w:hAnsiTheme="minorEastAsia" w:eastAsiaTheme="minorEastAsia" w:cstheme="minorEastAsia"/>
                <w:color w:val="auto"/>
                <w:sz w:val="24"/>
                <w:szCs w:val="24"/>
                <w:highlight w:val="none"/>
              </w:rPr>
              <w:t>重修名单生成</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可根据不同条件生成需要重修的课程及学生名单，可根据学年学期、培养层次、年级、学生范围（如是否在校、是否注册、是否含往届未通过学生）、学生重修次数、成绩范围（如补考成绩、未参加补考的正考成绩范围）、特殊情况重修（如缓考、缺考、作弊、扰乱考场秩序）、是否实践环节、课程性质等生成课程及学生名单。</w:t>
            </w:r>
          </w:p>
          <w:p w14:paraId="5AAE88FE">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TW" w:eastAsia="zh-TW" w:bidi="ar-SA"/>
              </w:rPr>
              <w:t>3.</w:t>
            </w:r>
            <w:r>
              <w:rPr>
                <w:rFonts w:hint="eastAsia" w:asciiTheme="minorEastAsia" w:hAnsiTheme="minorEastAsia" w:eastAsiaTheme="minorEastAsia" w:cstheme="minorEastAsia"/>
                <w:color w:val="auto"/>
                <w:sz w:val="24"/>
                <w:szCs w:val="24"/>
                <w:highlight w:val="none"/>
              </w:rPr>
              <w:t>重修课程设置</w:t>
            </w:r>
          </w:p>
          <w:p w14:paraId="3241BB89">
            <w:pPr>
              <w:pStyle w:val="44"/>
              <w:pageBreakBefore w:val="0"/>
              <w:framePr w:wrap="auto" w:vAnchor="margin" w:hAnchor="text" w:yAlign="inline"/>
              <w:widowControl w:val="0"/>
              <w:numPr>
                <w:ilvl w:val="0"/>
                <w:numId w:val="11"/>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提供课程替换、报名状态设置的功能；</w:t>
            </w:r>
          </w:p>
          <w:p w14:paraId="2B127C57">
            <w:pPr>
              <w:pStyle w:val="44"/>
              <w:pageBreakBefore w:val="0"/>
              <w:framePr w:wrap="auto" w:vAnchor="margin" w:hAnchor="text" w:yAlign="inline"/>
              <w:widowControl w:val="0"/>
              <w:numPr>
                <w:ilvl w:val="0"/>
                <w:numId w:val="11"/>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★可对未开课且不准备开课，且有重修学生的学生进行课程替换，替换为本</w:t>
            </w:r>
            <w:r>
              <w:rPr>
                <w:rFonts w:hint="eastAsia" w:asciiTheme="minorEastAsia" w:hAnsiTheme="minorEastAsia" w:eastAsiaTheme="minorEastAsia" w:cstheme="minorEastAsia"/>
                <w:color w:val="auto"/>
                <w:sz w:val="24"/>
                <w:szCs w:val="24"/>
                <w:highlight w:val="none"/>
                <w:lang w:val="en-US" w:eastAsia="zh-CN"/>
              </w:rPr>
              <w:t>学期</w:t>
            </w:r>
            <w:r>
              <w:rPr>
                <w:rFonts w:hint="eastAsia" w:asciiTheme="minorEastAsia" w:hAnsiTheme="minorEastAsia" w:eastAsiaTheme="minorEastAsia" w:cstheme="minorEastAsia"/>
                <w:color w:val="auto"/>
                <w:sz w:val="24"/>
                <w:szCs w:val="24"/>
                <w:highlight w:val="none"/>
              </w:rPr>
              <w:t>开课的课程，替换后关联学生的成绩和学分；</w:t>
            </w:r>
          </w:p>
          <w:p w14:paraId="655F7C3B">
            <w:pPr>
              <w:pStyle w:val="44"/>
              <w:pageBreakBefore w:val="0"/>
              <w:framePr w:wrap="auto" w:vAnchor="margin" w:hAnchor="text" w:yAlign="inline"/>
              <w:widowControl w:val="0"/>
              <w:numPr>
                <w:ilvl w:val="0"/>
                <w:numId w:val="11"/>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可设置课程的报名状态，即是否允许学生报名。</w:t>
            </w:r>
          </w:p>
          <w:p w14:paraId="4DBB7866">
            <w:pPr>
              <w:pStyle w:val="44"/>
              <w:pageBreakBefore w:val="0"/>
              <w:framePr w:wrap="auto" w:vAnchor="margin" w:hAnchor="text" w:yAlign="inline"/>
              <w:widowControl w:val="0"/>
              <w:numPr>
                <w:ilvl w:val="0"/>
                <w:numId w:val="11"/>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重修报名管理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可对重修课程的报名情况进行管理，包括批量报名和单独调整；</w:t>
            </w:r>
          </w:p>
          <w:p w14:paraId="53563026">
            <w:pPr>
              <w:pStyle w:val="44"/>
              <w:pageBreakBefore w:val="0"/>
              <w:framePr w:wrap="auto" w:vAnchor="margin" w:hAnchor="text" w:yAlign="inline"/>
              <w:widowControl w:val="0"/>
              <w:numPr>
                <w:ilvl w:val="0"/>
                <w:numId w:val="11"/>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批量报名即可批量处理需要重修的课程内包含的学生，为学生直接批量报名和取消报名；</w:t>
            </w:r>
          </w:p>
          <w:p w14:paraId="15037418">
            <w:pPr>
              <w:pStyle w:val="44"/>
              <w:pageBreakBefore w:val="0"/>
              <w:framePr w:wrap="auto" w:vAnchor="margin" w:hAnchor="text" w:yAlign="inline"/>
              <w:widowControl w:val="0"/>
              <w:numPr>
                <w:ilvl w:val="0"/>
                <w:numId w:val="11"/>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单独调整即可针对单个学生进行重修课程的调整。</w:t>
            </w:r>
          </w:p>
          <w:p w14:paraId="6E0757DD">
            <w:pPr>
              <w:pStyle w:val="44"/>
              <w:pageBreakBefore w:val="0"/>
              <w:framePr w:wrap="auto" w:vAnchor="margin" w:hAnchor="text" w:yAlign="inline"/>
              <w:widowControl w:val="0"/>
              <w:numPr>
                <w:ilvl w:val="0"/>
                <w:numId w:val="11"/>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重修开课管理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可对未在教学计划中，但是需要重修的课程进行开课处理。</w:t>
            </w:r>
          </w:p>
          <w:p w14:paraId="2748BB21">
            <w:pPr>
              <w:pStyle w:val="44"/>
              <w:pageBreakBefore w:val="0"/>
              <w:framePr w:wrap="auto" w:vAnchor="margin" w:hAnchor="text" w:yAlign="inline"/>
              <w:widowControl w:val="0"/>
              <w:numPr>
                <w:ilvl w:val="0"/>
                <w:numId w:val="11"/>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重修配课管理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可根据教学班对需要重修的学生直接批量配课，避免学生选课，可批量导出配课情况。</w:t>
            </w:r>
          </w:p>
          <w:p w14:paraId="036BA847">
            <w:pPr>
              <w:pStyle w:val="44"/>
              <w:pageBreakBefore w:val="0"/>
              <w:framePr w:wrap="auto" w:vAnchor="margin" w:hAnchor="text" w:yAlign="inline"/>
              <w:widowControl w:val="0"/>
              <w:numPr>
                <w:ilvl w:val="0"/>
                <w:numId w:val="11"/>
              </w:numPr>
              <w:kinsoku/>
              <w:wordWrap/>
              <w:overflowPunct/>
              <w:topLinePunct w:val="0"/>
              <w:autoSpaceDE/>
              <w:autoSpaceDN/>
              <w:bidi w:val="0"/>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重修选课管理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可对重修选课的情况按照开课院系、课程、教学班、院系、专业、学生等条件进行查询及批量导出，对学生重修选课情况进行分析。</w:t>
            </w:r>
          </w:p>
        </w:tc>
      </w:tr>
      <w:tr w14:paraId="487330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43" w:type="dxa"/>
            <w:vMerge w:val="continue"/>
            <w:tcBorders>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16D4D68A">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lang w:val="zh-TW"/>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76222EBC">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毕业论文</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4D1E18F0">
            <w:pPr>
              <w:pStyle w:val="44"/>
              <w:pageBreakBefore w:val="0"/>
              <w:framePr w:wrap="auto" w:vAnchor="margin" w:hAnchor="text" w:yAlign="inline"/>
              <w:widowControl w:val="0"/>
              <w:kinsoku/>
              <w:wordWrap/>
              <w:overflowPunct/>
              <w:topLinePunct w:val="0"/>
              <w:autoSpaceDE/>
              <w:autoSpaceDN/>
              <w:bidi w:val="0"/>
              <w:spacing w:line="360" w:lineRule="auto"/>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eastAsia="zh-CN"/>
              </w:rPr>
              <w:t>毕业设计管理需要包括：毕业选题管理、开题管理、中期检查、论文审核、毕业答辩安排、成绩管理。</w:t>
            </w:r>
          </w:p>
          <w:p w14:paraId="6CE07743">
            <w:pPr>
              <w:pStyle w:val="44"/>
              <w:pageBreakBefore w:val="0"/>
              <w:framePr w:wrap="auto" w:vAnchor="margin" w:hAnchor="text" w:yAlign="inline"/>
              <w:widowControl w:val="0"/>
              <w:kinsoku/>
              <w:wordWrap/>
              <w:overflowPunct/>
              <w:topLinePunct w:val="0"/>
              <w:autoSpaceDE/>
              <w:autoSpaceDN/>
              <w:bidi w:val="0"/>
              <w:spacing w:line="360" w:lineRule="auto"/>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2.论文查重功能：</w:t>
            </w:r>
            <w:r>
              <w:rPr>
                <w:rFonts w:hint="eastAsia" w:asciiTheme="minorEastAsia" w:hAnsiTheme="minorEastAsia" w:eastAsiaTheme="minorEastAsia" w:cstheme="minorEastAsia"/>
                <w:color w:val="auto"/>
                <w:sz w:val="24"/>
                <w:szCs w:val="24"/>
                <w:highlight w:val="none"/>
                <w:lang w:val="zh-CN" w:eastAsia="zh-CN"/>
              </w:rPr>
              <w:t>查重系统主要是通过与第三方数据库的对接，实现论文、期刊等科研成果的相似度查询，包括专利的查新功能。</w:t>
            </w:r>
          </w:p>
          <w:p w14:paraId="686A4E9B">
            <w:pPr>
              <w:pStyle w:val="44"/>
              <w:pageBreakBefore w:val="0"/>
              <w:framePr w:wrap="auto" w:vAnchor="margin" w:hAnchor="text" w:yAlign="inline"/>
              <w:widowControl w:val="0"/>
              <w:kinsoku/>
              <w:wordWrap/>
              <w:overflowPunct/>
              <w:topLinePunct w:val="0"/>
              <w:autoSpaceDE/>
              <w:autoSpaceDN/>
              <w:bidi w:val="0"/>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zh-CN" w:eastAsia="zh-CN"/>
              </w:rPr>
              <w:t>成果查重：可与期刊、论文、专利库等数字资源库无缝对接，为用户提供文献相似度比较与揭示，并生成分析报告。从而实现为用户提供学术分析即文献相似度分析工具；</w:t>
            </w:r>
          </w:p>
        </w:tc>
      </w:tr>
      <w:tr w14:paraId="49EDF1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1E5873B2">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lang w:val="zh-TW"/>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70F9EEE5">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学科竞赛</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5E75C5A0">
            <w:pPr>
              <w:pStyle w:val="46"/>
              <w:pageBreakBefore w:val="0"/>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 xml:space="preserve">1.学校可自定义维护竞赛项目相关的字典信息，包括：比赛级别（如：国家级、省级、市级、校级、院级）、项目类型（如：大学生数学建模竞赛、大学生工业设计竞赛、英语演讲竞赛）、获奖等级（如：一等奖、二等奖、三等奖）等。 </w:t>
            </w:r>
          </w:p>
          <w:p w14:paraId="23F8E78C">
            <w:pPr>
              <w:pStyle w:val="46"/>
              <w:pageBreakBefore w:val="0"/>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bidi="ar-SA"/>
              </w:rPr>
              <w:t xml:space="preserve">2.系统支持管理人员通过新增或导入完成项目创建，也支持院系提交项目创建申请，各级管理人员审核通过后，项目信息正式进入项目总库。 </w:t>
            </w:r>
          </w:p>
        </w:tc>
      </w:tr>
      <w:tr w14:paraId="4B1CC9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231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3C909DF4">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11056AC9">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lang w:val="zh-TW" w:eastAsia="zh-TW"/>
              </w:rPr>
            </w:pPr>
            <w:r>
              <w:rPr>
                <w:rFonts w:hint="eastAsia" w:asciiTheme="minorEastAsia" w:hAnsiTheme="minorEastAsia" w:eastAsiaTheme="minorEastAsia" w:cstheme="minorEastAsia"/>
                <w:color w:val="auto"/>
                <w:kern w:val="0"/>
                <w:sz w:val="24"/>
                <w:szCs w:val="24"/>
                <w:highlight w:val="none"/>
                <w:lang w:val="zh-TW" w:eastAsia="zh-TW"/>
              </w:rPr>
              <w:t>毕业管理</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1D21D8C7">
            <w:pPr>
              <w:pStyle w:val="43"/>
              <w:pageBreakBefore w:val="0"/>
              <w:framePr w:wrap="auto" w:vAnchor="margin" w:hAnchor="text" w:yAlign="inline"/>
              <w:widowControl/>
              <w:numPr>
                <w:ilvl w:val="0"/>
                <w:numId w:val="0"/>
              </w:numPr>
              <w:pBdr>
                <w:bottom w:val="single" w:color="auto" w:sz="6" w:space="1"/>
              </w:pBdr>
              <w:kinsoku/>
              <w:wordWrap/>
              <w:overflowPunct/>
              <w:topLinePunct w:val="0"/>
              <w:autoSpaceDE/>
              <w:autoSpaceDN/>
              <w:bidi w:val="0"/>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zh-TW" w:eastAsia="zh-TW"/>
              </w:rPr>
            </w:pPr>
            <w:r>
              <w:rPr>
                <w:rFonts w:hint="eastAsia" w:asciiTheme="minorEastAsia" w:hAnsiTheme="minorEastAsia" w:eastAsiaTheme="minorEastAsia" w:cstheme="minorEastAsia"/>
                <w:color w:val="auto"/>
                <w:kern w:val="0"/>
                <w:sz w:val="24"/>
                <w:szCs w:val="24"/>
                <w:highlight w:val="none"/>
                <w:lang w:val="zh-TW" w:eastAsia="zh-TW" w:bidi="ar-SA"/>
              </w:rPr>
              <w:t>1.</w:t>
            </w:r>
            <w:r>
              <w:rPr>
                <w:rFonts w:hint="eastAsia" w:asciiTheme="minorEastAsia" w:hAnsiTheme="minorEastAsia" w:eastAsiaTheme="minorEastAsia" w:cstheme="minorEastAsia"/>
                <w:color w:val="auto"/>
                <w:kern w:val="0"/>
                <w:sz w:val="24"/>
                <w:szCs w:val="24"/>
                <w:highlight w:val="none"/>
                <w:lang w:val="zh-TW" w:eastAsia="zh-TW"/>
              </w:rPr>
              <w:t>支持一键审核毕业学生的毕业情况和学位情况，或单独处理某个毕业生的毕业情况，同时显示审核通过或不通过原因</w:t>
            </w:r>
          </w:p>
          <w:p w14:paraId="0F952B17">
            <w:pPr>
              <w:pStyle w:val="43"/>
              <w:pageBreakBefore w:val="0"/>
              <w:framePr w:wrap="auto" w:vAnchor="margin" w:hAnchor="text" w:yAlign="inline"/>
              <w:widowControl/>
              <w:numPr>
                <w:ilvl w:val="0"/>
                <w:numId w:val="0"/>
              </w:numPr>
              <w:pBdr>
                <w:bottom w:val="single" w:color="auto" w:sz="6" w:space="1"/>
              </w:pBdr>
              <w:kinsoku/>
              <w:wordWrap/>
              <w:overflowPunct/>
              <w:topLinePunct w:val="0"/>
              <w:autoSpaceDE/>
              <w:autoSpaceDN/>
              <w:bidi w:val="0"/>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u w:val="none" w:color="auto"/>
                <w:lang w:val="zh-TW" w:eastAsia="zh-TW"/>
              </w:rPr>
            </w:pPr>
            <w:r>
              <w:rPr>
                <w:rFonts w:hint="eastAsia" w:asciiTheme="minorEastAsia" w:hAnsiTheme="minorEastAsia" w:eastAsiaTheme="minorEastAsia" w:cstheme="minorEastAsia"/>
                <w:color w:val="auto"/>
                <w:kern w:val="0"/>
                <w:sz w:val="24"/>
                <w:szCs w:val="24"/>
                <w:highlight w:val="none"/>
                <w:lang w:val="zh-TW" w:eastAsia="zh-TW" w:bidi="ar-SA"/>
              </w:rPr>
              <w:t>2.</w:t>
            </w:r>
            <w:r>
              <w:rPr>
                <w:rFonts w:hint="eastAsia" w:asciiTheme="minorEastAsia" w:hAnsiTheme="minorEastAsia" w:eastAsiaTheme="minorEastAsia" w:cstheme="minorEastAsia"/>
                <w:color w:val="auto"/>
                <w:kern w:val="0"/>
                <w:sz w:val="24"/>
                <w:szCs w:val="24"/>
                <w:highlight w:val="none"/>
                <w:lang w:val="zh-TW" w:eastAsia="zh-TW"/>
              </w:rPr>
              <w:t>可由教务处设置毕业学分要求和毕业条件。可批量设置毕业审核条件，也可为单个学生设置毕业审核条件，符合学分</w:t>
            </w:r>
            <w:r>
              <w:rPr>
                <w:rFonts w:hint="eastAsia" w:asciiTheme="minorEastAsia" w:hAnsiTheme="minorEastAsia" w:eastAsiaTheme="minorEastAsia" w:cstheme="minorEastAsia"/>
                <w:color w:val="auto"/>
                <w:kern w:val="0"/>
                <w:sz w:val="24"/>
                <w:szCs w:val="24"/>
                <w:highlight w:val="none"/>
                <w:u w:val="none"/>
                <w:lang w:val="zh-TW" w:eastAsia="zh-TW"/>
              </w:rPr>
              <w:t>制要求。</w:t>
            </w:r>
          </w:p>
        </w:tc>
      </w:tr>
      <w:tr w14:paraId="556A39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252A5399">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0AF857FA">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教学质量管理</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04C66D98">
            <w:pPr>
              <w:pStyle w:val="9"/>
              <w:pageBreakBefore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lang w:val="zh-TW" w:eastAsia="zh-TW" w:bidi="ar-SA"/>
              </w:rPr>
            </w:pPr>
            <w:r>
              <w:rPr>
                <w:rFonts w:hint="eastAsia" w:asciiTheme="minorEastAsia" w:hAnsiTheme="minorEastAsia" w:eastAsiaTheme="minorEastAsia" w:cstheme="minorEastAsia"/>
                <w:color w:val="auto"/>
                <w:kern w:val="0"/>
                <w:sz w:val="24"/>
                <w:szCs w:val="24"/>
                <w:highlight w:val="none"/>
                <w:lang w:val="zh-TW" w:eastAsia="zh-TW" w:bidi="ar-SA"/>
              </w:rPr>
              <w:t>1.评价设置：评价主体，评价主体权重，评价主体成员及评价范围，评价问卷题目，评价指标等级，评价质量等级，评价量化办法，评价指标体系。</w:t>
            </w:r>
          </w:p>
          <w:p w14:paraId="33E3E822">
            <w:pPr>
              <w:pStyle w:val="9"/>
              <w:pageBreakBefore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lang w:val="zh-TW" w:eastAsia="zh-TW" w:bidi="ar-SA"/>
              </w:rPr>
            </w:pPr>
            <w:r>
              <w:rPr>
                <w:rFonts w:hint="eastAsia" w:asciiTheme="minorEastAsia" w:hAnsiTheme="minorEastAsia" w:eastAsiaTheme="minorEastAsia" w:cstheme="minorEastAsia"/>
                <w:color w:val="auto"/>
                <w:kern w:val="0"/>
                <w:sz w:val="24"/>
                <w:szCs w:val="24"/>
                <w:highlight w:val="none"/>
                <w:lang w:val="zh-TW" w:eastAsia="zh-TW" w:bidi="ar-SA"/>
              </w:rPr>
              <w:t>2.评价安排：设置评价轮次，分现行评价轮次设置评价主体成员的评价范围、生成评价主体成员的评价安排。评价范围关联学期教学进度表。</w:t>
            </w:r>
          </w:p>
          <w:p w14:paraId="53D634D5">
            <w:pPr>
              <w:pStyle w:val="9"/>
              <w:pageBreakBefore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lang w:val="zh-TW" w:eastAsia="zh-TW" w:bidi="ar-SA"/>
              </w:rPr>
            </w:pPr>
            <w:r>
              <w:rPr>
                <w:rFonts w:hint="eastAsia" w:asciiTheme="minorEastAsia" w:hAnsiTheme="minorEastAsia" w:eastAsiaTheme="minorEastAsia" w:cstheme="minorEastAsia"/>
                <w:color w:val="auto"/>
                <w:kern w:val="0"/>
                <w:sz w:val="24"/>
                <w:szCs w:val="24"/>
                <w:highlight w:val="none"/>
                <w:lang w:val="zh-TW" w:eastAsia="zh-TW" w:bidi="ar-SA"/>
              </w:rPr>
              <w:t>3.评价处理：各个评价主体成员通过校园网/互联网、依据教学质量评价指标体系与问卷题目，</w:t>
            </w:r>
            <w:r>
              <w:rPr>
                <w:rFonts w:hint="eastAsia" w:asciiTheme="minorEastAsia" w:hAnsiTheme="minorEastAsia" w:eastAsiaTheme="minorEastAsia" w:cstheme="minorEastAsia"/>
                <w:color w:val="auto"/>
                <w:kern w:val="0"/>
                <w:sz w:val="24"/>
                <w:szCs w:val="24"/>
                <w:highlight w:val="none"/>
                <w:lang w:val="zh-TW" w:eastAsia="zh-CN" w:bidi="ar-SA"/>
              </w:rPr>
              <w:t>对</w:t>
            </w:r>
            <w:r>
              <w:rPr>
                <w:rFonts w:hint="eastAsia" w:asciiTheme="minorEastAsia" w:hAnsiTheme="minorEastAsia" w:eastAsiaTheme="minorEastAsia" w:cstheme="minorEastAsia"/>
                <w:color w:val="auto"/>
                <w:kern w:val="0"/>
                <w:sz w:val="24"/>
                <w:szCs w:val="24"/>
                <w:highlight w:val="none"/>
                <w:lang w:val="zh-TW" w:eastAsia="zh-TW" w:bidi="ar-SA"/>
              </w:rPr>
              <w:t>相应评价范围内的课程/环节</w:t>
            </w:r>
            <w:r>
              <w:rPr>
                <w:rFonts w:hint="eastAsia" w:asciiTheme="minorEastAsia" w:hAnsiTheme="minorEastAsia" w:eastAsiaTheme="minorEastAsia" w:cstheme="minorEastAsia"/>
                <w:color w:val="auto"/>
                <w:kern w:val="0"/>
                <w:sz w:val="24"/>
                <w:szCs w:val="24"/>
                <w:highlight w:val="none"/>
                <w:lang w:val="zh-TW" w:eastAsia="zh-TW" w:bidi="ar-SA"/>
              </w:rPr>
              <w:sym w:font="Symbol" w:char="F0AE"/>
            </w:r>
            <w:r>
              <w:rPr>
                <w:rFonts w:hint="eastAsia" w:asciiTheme="minorEastAsia" w:hAnsiTheme="minorEastAsia" w:eastAsiaTheme="minorEastAsia" w:cstheme="minorEastAsia"/>
                <w:color w:val="auto"/>
                <w:kern w:val="0"/>
                <w:sz w:val="24"/>
                <w:szCs w:val="24"/>
                <w:highlight w:val="none"/>
                <w:lang w:val="zh-TW" w:eastAsia="zh-TW" w:bidi="ar-SA"/>
              </w:rPr>
              <w:t>教师进行评价；录入评价主体成员的评价信息；按学生或按课程/环节处理学生的评价信息。</w:t>
            </w:r>
          </w:p>
        </w:tc>
      </w:tr>
      <w:tr w14:paraId="535FD7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67220817">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69E7963E">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个人</w:t>
            </w:r>
            <w:r>
              <w:rPr>
                <w:rFonts w:hint="eastAsia" w:asciiTheme="minorEastAsia" w:hAnsiTheme="minorEastAsia" w:eastAsiaTheme="minorEastAsia" w:cstheme="minorEastAsia"/>
                <w:color w:val="auto"/>
                <w:kern w:val="0"/>
                <w:sz w:val="24"/>
                <w:szCs w:val="24"/>
                <w:highlight w:val="none"/>
              </w:rPr>
              <w:t>平台</w:t>
            </w:r>
          </w:p>
          <w:p w14:paraId="64965491">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PC端</w:t>
            </w:r>
            <w:r>
              <w:rPr>
                <w:rFonts w:hint="eastAsia" w:asciiTheme="minorEastAsia" w:hAnsiTheme="minorEastAsia" w:eastAsiaTheme="minorEastAsia" w:cstheme="minorEastAsia"/>
                <w:color w:val="auto"/>
                <w:kern w:val="0"/>
                <w:sz w:val="24"/>
                <w:szCs w:val="24"/>
                <w:highlight w:val="none"/>
                <w:lang w:eastAsia="zh-CN"/>
              </w:rPr>
              <w:t>）</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0BAB4CEF">
            <w:pPr>
              <w:pStyle w:val="9"/>
              <w:pageBreakBefore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lang w:val="zh-TW" w:eastAsia="zh-TW" w:bidi="ar-SA"/>
              </w:rPr>
            </w:pPr>
            <w:r>
              <w:rPr>
                <w:rFonts w:hint="eastAsia" w:asciiTheme="minorEastAsia" w:hAnsiTheme="minorEastAsia" w:eastAsiaTheme="minorEastAsia" w:cstheme="minorEastAsia"/>
                <w:color w:val="auto"/>
                <w:kern w:val="0"/>
                <w:sz w:val="24"/>
                <w:szCs w:val="24"/>
                <w:highlight w:val="none"/>
                <w:lang w:val="zh-TW" w:eastAsia="zh-TW" w:bidi="ar-SA"/>
              </w:rPr>
              <w:t>1.</w:t>
            </w:r>
            <w:r>
              <w:rPr>
                <w:rFonts w:hint="eastAsia" w:asciiTheme="minorEastAsia" w:hAnsiTheme="minorEastAsia" w:eastAsiaTheme="minorEastAsia" w:cstheme="minorEastAsia"/>
                <w:color w:val="auto"/>
                <w:kern w:val="0"/>
                <w:sz w:val="24"/>
                <w:szCs w:val="24"/>
                <w:highlight w:val="none"/>
                <w:lang w:val="en-US" w:eastAsia="zh-CN" w:bidi="ar-SA"/>
              </w:rPr>
              <w:t>学生空间：</w:t>
            </w:r>
            <w:r>
              <w:rPr>
                <w:rFonts w:hint="eastAsia" w:asciiTheme="minorEastAsia" w:hAnsiTheme="minorEastAsia" w:eastAsiaTheme="minorEastAsia" w:cstheme="minorEastAsia"/>
                <w:color w:val="auto"/>
                <w:kern w:val="0"/>
                <w:sz w:val="24"/>
                <w:szCs w:val="24"/>
                <w:highlight w:val="none"/>
                <w:lang w:val="zh-TW" w:eastAsia="zh-TW" w:bidi="ar-SA"/>
              </w:rPr>
              <w:t>学生角色所具有的功能包括：个人信息查询、</w:t>
            </w:r>
            <w:r>
              <w:rPr>
                <w:rFonts w:hint="eastAsia" w:asciiTheme="minorEastAsia" w:hAnsiTheme="minorEastAsia" w:eastAsiaTheme="minorEastAsia" w:cstheme="minorEastAsia"/>
                <w:color w:val="auto"/>
                <w:kern w:val="0"/>
                <w:sz w:val="24"/>
                <w:szCs w:val="24"/>
                <w:highlight w:val="none"/>
                <w:lang w:val="en-US" w:eastAsia="zh-CN" w:bidi="ar-SA"/>
              </w:rPr>
              <w:t>培养方案查询、个人修习进程查询、</w:t>
            </w:r>
            <w:r>
              <w:rPr>
                <w:rFonts w:hint="eastAsia" w:asciiTheme="minorEastAsia" w:hAnsiTheme="minorEastAsia" w:eastAsiaTheme="minorEastAsia" w:cstheme="minorEastAsia"/>
                <w:color w:val="auto"/>
                <w:kern w:val="0"/>
                <w:sz w:val="24"/>
                <w:szCs w:val="24"/>
                <w:highlight w:val="none"/>
                <w:lang w:val="zh-TW" w:eastAsia="zh-TW" w:bidi="ar-SA"/>
              </w:rPr>
              <w:t>课程信息查询、课表查询、成绩查询、校历查询、空闲教室查询、在线选课、</w:t>
            </w:r>
            <w:r>
              <w:rPr>
                <w:rFonts w:hint="eastAsia" w:asciiTheme="minorEastAsia" w:hAnsiTheme="minorEastAsia" w:eastAsiaTheme="minorEastAsia" w:cstheme="minorEastAsia"/>
                <w:color w:val="auto"/>
                <w:kern w:val="0"/>
                <w:sz w:val="24"/>
                <w:szCs w:val="24"/>
                <w:highlight w:val="none"/>
                <w:lang w:val="en-US" w:eastAsia="zh-CN" w:bidi="ar-SA"/>
              </w:rPr>
              <w:t>网上评教、</w:t>
            </w:r>
            <w:r>
              <w:rPr>
                <w:rFonts w:hint="eastAsia" w:asciiTheme="minorEastAsia" w:hAnsiTheme="minorEastAsia" w:eastAsiaTheme="minorEastAsia" w:cstheme="minorEastAsia"/>
                <w:color w:val="auto"/>
                <w:kern w:val="0"/>
                <w:sz w:val="24"/>
                <w:szCs w:val="24"/>
                <w:highlight w:val="none"/>
                <w:lang w:val="zh-TW" w:eastAsia="zh-TW" w:bidi="ar-SA"/>
              </w:rPr>
              <w:t>缓考申请、补考/重修申</w:t>
            </w:r>
            <w:r>
              <w:rPr>
                <w:rFonts w:hint="eastAsia" w:asciiTheme="minorEastAsia" w:hAnsiTheme="minorEastAsia" w:eastAsiaTheme="minorEastAsia" w:cstheme="minorEastAsia"/>
                <w:color w:val="auto"/>
                <w:kern w:val="0"/>
                <w:sz w:val="24"/>
                <w:szCs w:val="24"/>
                <w:highlight w:val="none"/>
                <w:lang w:val="zh-TW" w:eastAsia="zh-CN" w:bidi="ar-SA"/>
              </w:rPr>
              <w:t>请和</w:t>
            </w:r>
            <w:r>
              <w:rPr>
                <w:rFonts w:hint="eastAsia" w:asciiTheme="minorEastAsia" w:hAnsiTheme="minorEastAsia" w:eastAsiaTheme="minorEastAsia" w:cstheme="minorEastAsia"/>
                <w:color w:val="auto"/>
                <w:kern w:val="0"/>
                <w:sz w:val="24"/>
                <w:szCs w:val="24"/>
                <w:highlight w:val="none"/>
                <w:lang w:val="zh-TW" w:eastAsia="zh-TW" w:bidi="ar-SA"/>
              </w:rPr>
              <w:t>学籍异动申请等。</w:t>
            </w:r>
          </w:p>
          <w:p w14:paraId="0A2360FB">
            <w:pPr>
              <w:pStyle w:val="9"/>
              <w:pageBreakBefore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2.教师空间：</w:t>
            </w:r>
            <w:r>
              <w:rPr>
                <w:rFonts w:hint="eastAsia" w:asciiTheme="minorEastAsia" w:hAnsiTheme="minorEastAsia" w:eastAsiaTheme="minorEastAsia" w:cstheme="minorEastAsia"/>
                <w:color w:val="auto"/>
                <w:kern w:val="0"/>
                <w:sz w:val="24"/>
                <w:szCs w:val="24"/>
                <w:highlight w:val="none"/>
                <w:lang w:val="zh-TW" w:eastAsia="zh-TW" w:bidi="ar-SA"/>
              </w:rPr>
              <w:t>教师角色所具有信息查询功能包括：个人信息查询、校历查询、考务查询、</w:t>
            </w:r>
            <w:r>
              <w:rPr>
                <w:rFonts w:hint="eastAsia" w:asciiTheme="minorEastAsia" w:hAnsiTheme="minorEastAsia" w:eastAsiaTheme="minorEastAsia" w:cstheme="minorEastAsia"/>
                <w:color w:val="auto"/>
                <w:kern w:val="0"/>
                <w:sz w:val="24"/>
                <w:szCs w:val="24"/>
                <w:highlight w:val="none"/>
                <w:lang w:val="en-US" w:eastAsia="zh-CN" w:bidi="ar-SA"/>
              </w:rPr>
              <w:t>同行评教、</w:t>
            </w:r>
            <w:r>
              <w:rPr>
                <w:rFonts w:hint="eastAsia" w:asciiTheme="minorEastAsia" w:hAnsiTheme="minorEastAsia" w:eastAsiaTheme="minorEastAsia" w:cstheme="minorEastAsia"/>
                <w:color w:val="auto"/>
                <w:kern w:val="0"/>
                <w:sz w:val="24"/>
                <w:szCs w:val="24"/>
                <w:highlight w:val="none"/>
                <w:lang w:val="zh-TW" w:eastAsia="zh-TW" w:bidi="ar-SA"/>
              </w:rPr>
              <w:t>教师教学任务查询</w:t>
            </w:r>
            <w:r>
              <w:rPr>
                <w:rFonts w:hint="eastAsia" w:asciiTheme="minorEastAsia" w:hAnsiTheme="minorEastAsia" w:eastAsiaTheme="minorEastAsia" w:cstheme="minorEastAsia"/>
                <w:color w:val="auto"/>
                <w:kern w:val="0"/>
                <w:sz w:val="24"/>
                <w:szCs w:val="24"/>
                <w:highlight w:val="none"/>
                <w:lang w:val="en-US" w:eastAsia="zh-CN" w:bidi="ar-SA"/>
              </w:rPr>
              <w:t>修改</w:t>
            </w:r>
            <w:r>
              <w:rPr>
                <w:rFonts w:hint="eastAsia" w:asciiTheme="minorEastAsia" w:hAnsiTheme="minorEastAsia" w:eastAsiaTheme="minorEastAsia" w:cstheme="minorEastAsia"/>
                <w:color w:val="auto"/>
                <w:kern w:val="0"/>
                <w:sz w:val="24"/>
                <w:szCs w:val="24"/>
                <w:highlight w:val="none"/>
                <w:lang w:val="zh-TW" w:eastAsia="zh-TW" w:bidi="ar-SA"/>
              </w:rPr>
              <w:t>、教师课表查询、调停补课申请、各类信息反馈等。</w:t>
            </w:r>
          </w:p>
        </w:tc>
      </w:tr>
      <w:tr w14:paraId="02F352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078C02CC">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2467BCD2">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移动教务</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79C55098">
            <w:pPr>
              <w:pStyle w:val="47"/>
              <w:keepNext w:val="0"/>
              <w:keepLines w:val="0"/>
              <w:pageBreakBefore w:val="0"/>
              <w:widowControl w:val="0"/>
              <w:numPr>
                <w:ilvl w:val="0"/>
                <w:numId w:val="0"/>
              </w:numPr>
              <w:kinsoku/>
              <w:wordWrap/>
              <w:overflowPunct/>
              <w:topLinePunct w:val="0"/>
              <w:autoSpaceDE/>
              <w:autoSpaceDN/>
              <w:bidi w:val="0"/>
              <w:adjustRightInd/>
              <w:spacing w:before="156" w:beforeLines="50" w:line="360" w:lineRule="auto"/>
              <w:ind w:left="0" w:leftChars="0" w:firstLine="0" w:firstLineChars="0"/>
              <w:jc w:val="left"/>
              <w:textAlignment w:val="auto"/>
              <w:outlineLvl w:val="2"/>
              <w:rPr>
                <w:rFonts w:hint="eastAsia" w:asciiTheme="minorEastAsia" w:hAnsiTheme="minorEastAsia" w:eastAsiaTheme="minorEastAsia" w:cstheme="minorEastAsia"/>
                <w:color w:val="auto"/>
                <w:sz w:val="24"/>
                <w:szCs w:val="24"/>
                <w:highlight w:val="none"/>
                <w:lang w:val="en-US" w:eastAsia="zh-CN"/>
              </w:rPr>
            </w:pPr>
            <w:bookmarkStart w:id="275" w:name="_Toc5401"/>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kern w:val="0"/>
                <w:sz w:val="24"/>
                <w:szCs w:val="24"/>
                <w:highlight w:val="none"/>
                <w:lang w:val="zh-TW" w:eastAsia="zh-TW" w:bidi="ar-SA"/>
              </w:rPr>
              <w:t>移动教务</w:t>
            </w:r>
            <w:bookmarkEnd w:id="275"/>
            <w:r>
              <w:rPr>
                <w:rFonts w:hint="eastAsia" w:asciiTheme="minorEastAsia" w:hAnsiTheme="minorEastAsia" w:eastAsiaTheme="minorEastAsia" w:cstheme="minorEastAsia"/>
                <w:color w:val="auto"/>
                <w:kern w:val="0"/>
                <w:sz w:val="24"/>
                <w:szCs w:val="24"/>
                <w:highlight w:val="none"/>
                <w:lang w:val="en-US" w:eastAsia="zh-CN" w:bidi="ar-SA"/>
              </w:rPr>
              <w:t>管理</w:t>
            </w:r>
          </w:p>
          <w:p w14:paraId="1ECC08A7">
            <w:pPr>
              <w:pStyle w:val="44"/>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lang w:val="en-US" w:eastAsia="zh-CN"/>
              </w:rPr>
              <w:t>管理员端功能：</w:t>
            </w:r>
          </w:p>
          <w:p w14:paraId="683A729E">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bidi="ar-SA"/>
              </w:rPr>
              <w:t>①　</w:t>
            </w:r>
            <w:r>
              <w:rPr>
                <w:rFonts w:hint="eastAsia" w:asciiTheme="minorEastAsia" w:hAnsiTheme="minorEastAsia" w:eastAsiaTheme="minorEastAsia" w:cstheme="minorEastAsia"/>
                <w:color w:val="auto"/>
                <w:sz w:val="24"/>
                <w:szCs w:val="24"/>
                <w:highlight w:val="none"/>
                <w:lang w:val="en-US" w:eastAsia="zh-CN"/>
              </w:rPr>
              <w:t>管理人员可查看全校教务教学运行的数据情况，如学生、教师、课程、考务、成绩和评教信息等教务系统主线模块的数据分析。</w:t>
            </w:r>
          </w:p>
          <w:p w14:paraId="044BD9F7">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bidi="ar-SA"/>
              </w:rPr>
              <w:t>②　</w:t>
            </w:r>
            <w:r>
              <w:rPr>
                <w:rFonts w:hint="eastAsia" w:asciiTheme="minorEastAsia" w:hAnsiTheme="minorEastAsia" w:eastAsiaTheme="minorEastAsia" w:cstheme="minorEastAsia"/>
                <w:color w:val="auto"/>
                <w:sz w:val="24"/>
                <w:szCs w:val="24"/>
                <w:highlight w:val="none"/>
                <w:lang w:val="en-US" w:eastAsia="zh-CN"/>
              </w:rPr>
              <w:t>管理人员可以对所有教师和学生发送的申请进行审批。审批流程可以自定义。</w:t>
            </w:r>
          </w:p>
          <w:p w14:paraId="59928B13">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lang w:val="en-US" w:eastAsia="zh-CN"/>
              </w:rPr>
              <w:t>教师端功能</w:t>
            </w:r>
          </w:p>
          <w:p w14:paraId="2B6F1871">
            <w:pPr>
              <w:pStyle w:val="44"/>
              <w:pageBreakBefore w:val="0"/>
              <w:framePr w:wrap="auto" w:vAnchor="margin" w:hAnchor="text" w:yAlign="inline"/>
              <w:widowControl w:val="0"/>
              <w:numPr>
                <w:ilvl w:val="0"/>
                <w:numId w:val="12"/>
              </w:numPr>
              <w:kinsoku/>
              <w:wordWrap/>
              <w:overflowPunct/>
              <w:topLinePunct w:val="0"/>
              <w:autoSpaceDE/>
              <w:autoSpaceDN/>
              <w:bidi w:val="0"/>
              <w:spacing w:line="360" w:lineRule="auto"/>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教师端可进行个人信息查询和修改</w:t>
            </w:r>
          </w:p>
          <w:p w14:paraId="40E9F50E">
            <w:pPr>
              <w:pStyle w:val="44"/>
              <w:pageBreakBefore w:val="0"/>
              <w:framePr w:wrap="auto" w:vAnchor="margin" w:hAnchor="text" w:yAlign="inline"/>
              <w:widowControl w:val="0"/>
              <w:numPr>
                <w:ilvl w:val="0"/>
                <w:numId w:val="12"/>
              </w:numPr>
              <w:kinsoku/>
              <w:wordWrap/>
              <w:overflowPunct/>
              <w:topLinePunct w:val="0"/>
              <w:autoSpaceDE/>
              <w:autoSpaceDN/>
              <w:bidi w:val="0"/>
              <w:spacing w:line="360" w:lineRule="auto"/>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查看和发送教务通知</w:t>
            </w:r>
          </w:p>
          <w:p w14:paraId="57D064AC">
            <w:pPr>
              <w:pStyle w:val="44"/>
              <w:pageBreakBefore w:val="0"/>
              <w:framePr w:wrap="auto" w:vAnchor="margin" w:hAnchor="text" w:yAlign="inline"/>
              <w:widowControl w:val="0"/>
              <w:numPr>
                <w:ilvl w:val="0"/>
                <w:numId w:val="12"/>
              </w:numPr>
              <w:kinsoku/>
              <w:wordWrap/>
              <w:overflowPunct/>
              <w:topLinePunct w:val="0"/>
              <w:autoSpaceDE/>
              <w:autoSpaceDN/>
              <w:bidi w:val="0"/>
              <w:spacing w:line="360" w:lineRule="auto"/>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查看课表，课表界面可进行教学日志填写，教师打卡和教学资源查看</w:t>
            </w:r>
          </w:p>
          <w:p w14:paraId="6F90512D">
            <w:pPr>
              <w:pStyle w:val="44"/>
              <w:pageBreakBefore w:val="0"/>
              <w:framePr w:wrap="auto" w:vAnchor="margin" w:hAnchor="text" w:yAlign="inline"/>
              <w:widowControl w:val="0"/>
              <w:numPr>
                <w:ilvl w:val="0"/>
                <w:numId w:val="12"/>
              </w:numPr>
              <w:kinsoku/>
              <w:wordWrap/>
              <w:overflowPunct/>
              <w:topLinePunct w:val="0"/>
              <w:autoSpaceDE/>
              <w:autoSpaceDN/>
              <w:bidi w:val="0"/>
              <w:spacing w:line="360" w:lineRule="auto"/>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教师可在线查看自己的监考信息</w:t>
            </w:r>
          </w:p>
          <w:p w14:paraId="7D2F6AA2">
            <w:pPr>
              <w:pStyle w:val="44"/>
              <w:pageBreakBefore w:val="0"/>
              <w:framePr w:wrap="auto" w:vAnchor="margin" w:hAnchor="text" w:yAlign="inline"/>
              <w:widowControl w:val="0"/>
              <w:numPr>
                <w:ilvl w:val="0"/>
                <w:numId w:val="12"/>
              </w:numPr>
              <w:kinsoku/>
              <w:wordWrap/>
              <w:overflowPunct/>
              <w:topLinePunct w:val="0"/>
              <w:autoSpaceDE/>
              <w:autoSpaceDN/>
              <w:bidi w:val="0"/>
              <w:spacing w:line="360" w:lineRule="auto"/>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可以查看自己教学班的学生成绩</w:t>
            </w:r>
          </w:p>
          <w:p w14:paraId="2044E386">
            <w:pPr>
              <w:pStyle w:val="44"/>
              <w:pageBreakBefore w:val="0"/>
              <w:framePr w:wrap="auto" w:vAnchor="margin" w:hAnchor="text" w:yAlign="inline"/>
              <w:widowControl w:val="0"/>
              <w:numPr>
                <w:ilvl w:val="0"/>
                <w:numId w:val="12"/>
              </w:numPr>
              <w:kinsoku/>
              <w:wordWrap/>
              <w:overflowPunct/>
              <w:topLinePunct w:val="0"/>
              <w:autoSpaceDE/>
              <w:autoSpaceDN/>
              <w:bidi w:val="0"/>
              <w:spacing w:line="360" w:lineRule="auto"/>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教师可查看空教室</w:t>
            </w:r>
          </w:p>
          <w:p w14:paraId="012DD7DD">
            <w:pPr>
              <w:pStyle w:val="44"/>
              <w:pageBreakBefore w:val="0"/>
              <w:framePr w:wrap="auto" w:vAnchor="margin" w:hAnchor="text" w:yAlign="inline"/>
              <w:widowControl w:val="0"/>
              <w:numPr>
                <w:ilvl w:val="0"/>
                <w:numId w:val="12"/>
              </w:numPr>
              <w:kinsoku/>
              <w:wordWrap/>
              <w:overflowPunct/>
              <w:topLinePunct w:val="0"/>
              <w:autoSpaceDE/>
              <w:autoSpaceDN/>
              <w:bidi w:val="0"/>
              <w:spacing w:line="360" w:lineRule="auto"/>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全校性课表的查询；</w:t>
            </w:r>
          </w:p>
          <w:p w14:paraId="493C22E2">
            <w:pPr>
              <w:pStyle w:val="44"/>
              <w:pageBreakBefore w:val="0"/>
              <w:framePr w:wrap="auto" w:vAnchor="margin" w:hAnchor="text" w:yAlign="inline"/>
              <w:widowControl w:val="0"/>
              <w:numPr>
                <w:ilvl w:val="0"/>
                <w:numId w:val="0"/>
              </w:numPr>
              <w:kinsoku/>
              <w:wordWrap/>
              <w:overflowPunct/>
              <w:topLinePunct w:val="0"/>
              <w:autoSpaceDE/>
              <w:autoSpaceDN/>
              <w:bidi w:val="0"/>
              <w:spacing w:line="360" w:lineRule="auto"/>
              <w:ind w:left="425" w:leftChars="0" w:hanging="425" w:firstLine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bidi="ar-SA"/>
              </w:rPr>
              <w:t>（3）</w:t>
            </w:r>
            <w:r>
              <w:rPr>
                <w:rFonts w:hint="eastAsia" w:asciiTheme="minorEastAsia" w:hAnsiTheme="minorEastAsia" w:eastAsiaTheme="minorEastAsia" w:cstheme="minorEastAsia"/>
                <w:color w:val="auto"/>
                <w:sz w:val="24"/>
                <w:szCs w:val="24"/>
                <w:highlight w:val="none"/>
                <w:lang w:val="en-US" w:eastAsia="zh-CN"/>
              </w:rPr>
              <w:t>学生端功能：</w:t>
            </w:r>
          </w:p>
          <w:p w14:paraId="51E26E55">
            <w:pPr>
              <w:pStyle w:val="44"/>
              <w:pageBreakBefore w:val="0"/>
              <w:framePr w:wrap="auto" w:vAnchor="margin" w:hAnchor="text" w:yAlign="inline"/>
              <w:widowControl w:val="0"/>
              <w:numPr>
                <w:ilvl w:val="0"/>
                <w:numId w:val="13"/>
              </w:numPr>
              <w:kinsoku/>
              <w:wordWrap/>
              <w:overflowPunct/>
              <w:topLinePunct w:val="0"/>
              <w:autoSpaceDE/>
              <w:autoSpaceDN/>
              <w:bidi w:val="0"/>
              <w:spacing w:line="360" w:lineRule="auto"/>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学生可以查看课表，课表页面也可以查看相关的课程资源（图书、期刊、论文等）。</w:t>
            </w:r>
          </w:p>
          <w:p w14:paraId="3C1AA5E5">
            <w:pPr>
              <w:pStyle w:val="44"/>
              <w:pageBreakBefore w:val="0"/>
              <w:framePr w:wrap="auto" w:vAnchor="margin" w:hAnchor="text" w:yAlign="inline"/>
              <w:widowControl w:val="0"/>
              <w:numPr>
                <w:ilvl w:val="0"/>
                <w:numId w:val="13"/>
              </w:numPr>
              <w:kinsoku/>
              <w:wordWrap/>
              <w:overflowPunct/>
              <w:topLinePunct w:val="0"/>
              <w:autoSpaceDE/>
              <w:autoSpaceDN/>
              <w:bidi w:val="0"/>
              <w:spacing w:line="360" w:lineRule="auto"/>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学生可查看自己的个人信息和修改个人信息。</w:t>
            </w:r>
          </w:p>
          <w:p w14:paraId="50ECA39F">
            <w:pPr>
              <w:pStyle w:val="44"/>
              <w:pageBreakBefore w:val="0"/>
              <w:framePr w:wrap="auto" w:vAnchor="margin" w:hAnchor="text" w:yAlign="inline"/>
              <w:widowControl w:val="0"/>
              <w:numPr>
                <w:ilvl w:val="0"/>
                <w:numId w:val="13"/>
              </w:numPr>
              <w:kinsoku/>
              <w:wordWrap/>
              <w:overflowPunct/>
              <w:topLinePunct w:val="0"/>
              <w:autoSpaceDE/>
              <w:autoSpaceDN/>
              <w:bidi w:val="0"/>
              <w:spacing w:line="360" w:lineRule="auto"/>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学生可以查看自己的个人奖惩信息，考试安排，成绩信息等。</w:t>
            </w:r>
          </w:p>
          <w:p w14:paraId="0651E597">
            <w:pPr>
              <w:pStyle w:val="47"/>
              <w:pageBreakBefore w:val="0"/>
              <w:numPr>
                <w:ilvl w:val="0"/>
                <w:numId w:val="0"/>
              </w:numPr>
              <w:kinsoku/>
              <w:wordWrap/>
              <w:overflowPunct/>
              <w:topLinePunct w:val="0"/>
              <w:autoSpaceDE/>
              <w:autoSpaceDN/>
              <w:bidi w:val="0"/>
              <w:spacing w:before="156" w:beforeLines="50" w:line="360" w:lineRule="auto"/>
              <w:ind w:left="425" w:leftChars="0" w:hanging="425" w:firstLineChars="0"/>
              <w:jc w:val="left"/>
              <w:textAlignment w:val="auto"/>
              <w:outlineLvl w:val="2"/>
              <w:rPr>
                <w:rFonts w:hint="eastAsia" w:asciiTheme="minorEastAsia" w:hAnsiTheme="minorEastAsia" w:eastAsiaTheme="minorEastAsia" w:cstheme="minorEastAsia"/>
                <w:color w:val="auto"/>
                <w:kern w:val="0"/>
                <w:sz w:val="24"/>
                <w:szCs w:val="24"/>
                <w:highlight w:val="none"/>
                <w:lang w:val="zh-TW" w:eastAsia="zh-TW" w:bidi="ar-SA"/>
              </w:rPr>
            </w:pPr>
            <w:bookmarkStart w:id="276" w:name="_Toc10013"/>
            <w:r>
              <w:rPr>
                <w:rFonts w:hint="eastAsia" w:asciiTheme="minorEastAsia" w:hAnsiTheme="minorEastAsia" w:eastAsiaTheme="minorEastAsia" w:cstheme="minorEastAsia"/>
                <w:color w:val="auto"/>
                <w:kern w:val="0"/>
                <w:sz w:val="24"/>
                <w:szCs w:val="24"/>
                <w:highlight w:val="none"/>
                <w:lang w:val="zh-TW" w:eastAsia="zh-TW" w:bidi="ar-SA"/>
              </w:rPr>
              <w:t>2.移动通知</w:t>
            </w:r>
            <w:bookmarkEnd w:id="276"/>
          </w:p>
          <w:p w14:paraId="04041937">
            <w:pPr>
              <w:pStyle w:val="47"/>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zh-TW" w:eastAsia="zh-TW" w:bidi="ar-SA"/>
              </w:rPr>
            </w:pPr>
            <w:r>
              <w:rPr>
                <w:rFonts w:hint="eastAsia" w:asciiTheme="minorEastAsia" w:hAnsiTheme="minorEastAsia" w:eastAsiaTheme="minorEastAsia" w:cstheme="minorEastAsia"/>
                <w:color w:val="auto"/>
                <w:kern w:val="0"/>
                <w:sz w:val="24"/>
                <w:szCs w:val="24"/>
                <w:highlight w:val="none"/>
                <w:lang w:val="zh-TW" w:eastAsia="zh-TW" w:bidi="ar-SA"/>
              </w:rPr>
              <w:t>教务通知和教学通知实时发送，实时接收，并可查看通知阅读状态，已读和未读名单。</w:t>
            </w:r>
          </w:p>
          <w:p w14:paraId="7970853A">
            <w:pPr>
              <w:pStyle w:val="47"/>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zh-TW" w:eastAsia="zh-TW" w:bidi="ar-SA"/>
              </w:rPr>
            </w:pPr>
            <w:r>
              <w:rPr>
                <w:rFonts w:hint="eastAsia" w:asciiTheme="minorEastAsia" w:hAnsiTheme="minorEastAsia" w:eastAsiaTheme="minorEastAsia" w:cstheme="minorEastAsia"/>
                <w:color w:val="auto"/>
                <w:kern w:val="0"/>
                <w:sz w:val="24"/>
                <w:szCs w:val="24"/>
                <w:highlight w:val="none"/>
                <w:lang w:val="zh-CN" w:eastAsia="zh-TW" w:bidi="ar-SA"/>
              </w:rPr>
              <w:t>可以在移动客户端选择给指定的人发送相关管理通知，并统计已读和未读名单。</w:t>
            </w:r>
          </w:p>
          <w:p w14:paraId="1CCE3CFF">
            <w:pPr>
              <w:pStyle w:val="47"/>
              <w:pageBreakBefore w:val="0"/>
              <w:numPr>
                <w:ilvl w:val="0"/>
                <w:numId w:val="0"/>
              </w:numPr>
              <w:kinsoku/>
              <w:wordWrap/>
              <w:overflowPunct/>
              <w:topLinePunct w:val="0"/>
              <w:autoSpaceDE/>
              <w:autoSpaceDN/>
              <w:bidi w:val="0"/>
              <w:spacing w:before="156" w:beforeLines="50" w:line="360" w:lineRule="auto"/>
              <w:ind w:left="425" w:leftChars="0" w:hanging="425" w:firstLineChars="0"/>
              <w:jc w:val="left"/>
              <w:textAlignment w:val="auto"/>
              <w:outlineLvl w:val="2"/>
              <w:rPr>
                <w:rFonts w:hint="eastAsia" w:asciiTheme="minorEastAsia" w:hAnsiTheme="minorEastAsia" w:eastAsiaTheme="minorEastAsia" w:cstheme="minorEastAsia"/>
                <w:color w:val="auto"/>
                <w:kern w:val="0"/>
                <w:sz w:val="24"/>
                <w:szCs w:val="24"/>
                <w:highlight w:val="none"/>
                <w:lang w:val="zh-TW" w:eastAsia="zh-TW" w:bidi="ar-SA"/>
              </w:rPr>
            </w:pPr>
            <w:bookmarkStart w:id="277" w:name="_Toc27159"/>
            <w:r>
              <w:rPr>
                <w:rFonts w:hint="eastAsia" w:asciiTheme="minorEastAsia" w:hAnsiTheme="minorEastAsia" w:eastAsiaTheme="minorEastAsia" w:cstheme="minorEastAsia"/>
                <w:color w:val="auto"/>
                <w:kern w:val="0"/>
                <w:sz w:val="24"/>
                <w:szCs w:val="24"/>
                <w:highlight w:val="none"/>
                <w:lang w:val="zh-TW" w:eastAsia="zh-TW" w:bidi="ar-SA"/>
              </w:rPr>
              <w:t>3.移动社交</w:t>
            </w:r>
            <w:bookmarkEnd w:id="277"/>
          </w:p>
          <w:p w14:paraId="2627F3E7">
            <w:pPr>
              <w:pStyle w:val="47"/>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zh-TW" w:eastAsia="zh-TW" w:bidi="ar-SA"/>
              </w:rPr>
            </w:pPr>
            <w:r>
              <w:rPr>
                <w:rFonts w:hint="eastAsia" w:asciiTheme="minorEastAsia" w:hAnsiTheme="minorEastAsia" w:eastAsiaTheme="minorEastAsia" w:cstheme="minorEastAsia"/>
                <w:color w:val="auto"/>
                <w:kern w:val="0"/>
                <w:sz w:val="24"/>
                <w:szCs w:val="24"/>
                <w:highlight w:val="none"/>
                <w:lang w:val="zh-TW" w:eastAsia="zh-TW" w:bidi="ar-SA"/>
              </w:rPr>
              <w:t>基于真实身份、课程、读书等学习行为及学生活动的社交互动，形成趣味式的成长花瓣，引发学习激励。</w:t>
            </w:r>
          </w:p>
          <w:p w14:paraId="5E556AB9">
            <w:pPr>
              <w:pStyle w:val="47"/>
              <w:pageBreakBefore w:val="0"/>
              <w:numPr>
                <w:ilvl w:val="0"/>
                <w:numId w:val="0"/>
              </w:numPr>
              <w:kinsoku/>
              <w:wordWrap/>
              <w:overflowPunct/>
              <w:topLinePunct w:val="0"/>
              <w:autoSpaceDE/>
              <w:autoSpaceDN/>
              <w:bidi w:val="0"/>
              <w:spacing w:before="156" w:beforeLines="50" w:line="360" w:lineRule="auto"/>
              <w:ind w:left="425" w:leftChars="0" w:hanging="425" w:firstLineChars="0"/>
              <w:jc w:val="left"/>
              <w:textAlignment w:val="auto"/>
              <w:outlineLvl w:val="2"/>
              <w:rPr>
                <w:rFonts w:hint="eastAsia" w:asciiTheme="minorEastAsia" w:hAnsiTheme="minorEastAsia" w:eastAsiaTheme="minorEastAsia" w:cstheme="minorEastAsia"/>
                <w:color w:val="auto"/>
                <w:kern w:val="0"/>
                <w:sz w:val="24"/>
                <w:szCs w:val="24"/>
                <w:highlight w:val="none"/>
                <w:lang w:val="zh-TW" w:eastAsia="zh-TW" w:bidi="ar-SA"/>
              </w:rPr>
            </w:pPr>
            <w:bookmarkStart w:id="278" w:name="_Toc27093"/>
            <w:r>
              <w:rPr>
                <w:rFonts w:hint="eastAsia" w:asciiTheme="minorEastAsia" w:hAnsiTheme="minorEastAsia" w:eastAsiaTheme="minorEastAsia" w:cstheme="minorEastAsia"/>
                <w:color w:val="auto"/>
                <w:kern w:val="0"/>
                <w:sz w:val="24"/>
                <w:szCs w:val="24"/>
                <w:highlight w:val="none"/>
                <w:lang w:val="zh-TW" w:eastAsia="zh-TW" w:bidi="ar-SA"/>
              </w:rPr>
              <w:t>4.移动阅读</w:t>
            </w:r>
            <w:bookmarkEnd w:id="278"/>
          </w:p>
          <w:p w14:paraId="6AA5610C">
            <w:pPr>
              <w:pStyle w:val="47"/>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zh-TW" w:eastAsia="zh-TW" w:bidi="ar-SA"/>
              </w:rPr>
            </w:pPr>
            <w:r>
              <w:rPr>
                <w:rFonts w:hint="eastAsia" w:asciiTheme="minorEastAsia" w:hAnsiTheme="minorEastAsia" w:eastAsiaTheme="minorEastAsia" w:cstheme="minorEastAsia"/>
                <w:color w:val="auto"/>
                <w:kern w:val="0"/>
                <w:sz w:val="24"/>
                <w:szCs w:val="24"/>
                <w:highlight w:val="none"/>
                <w:lang w:val="zh-TW" w:eastAsia="zh-TW" w:bidi="ar-SA"/>
              </w:rPr>
              <w:t>可以阅读海量电子图书、报纸、期刊、专题等资源，可以订阅到自己的空间，并进行分类管理；</w:t>
            </w:r>
          </w:p>
          <w:p w14:paraId="7E4A2F0A">
            <w:pPr>
              <w:pStyle w:val="47"/>
              <w:pageBreakBefore w:val="0"/>
              <w:numPr>
                <w:ilvl w:val="0"/>
                <w:numId w:val="0"/>
              </w:numPr>
              <w:kinsoku/>
              <w:wordWrap/>
              <w:overflowPunct/>
              <w:topLinePunct w:val="0"/>
              <w:autoSpaceDE/>
              <w:autoSpaceDN/>
              <w:bidi w:val="0"/>
              <w:spacing w:before="156" w:beforeLines="50" w:line="360" w:lineRule="auto"/>
              <w:ind w:left="425" w:leftChars="0" w:hanging="425" w:firstLineChars="0"/>
              <w:jc w:val="left"/>
              <w:textAlignment w:val="auto"/>
              <w:outlineLvl w:val="2"/>
              <w:rPr>
                <w:rFonts w:hint="eastAsia" w:asciiTheme="minorEastAsia" w:hAnsiTheme="minorEastAsia" w:eastAsiaTheme="minorEastAsia" w:cstheme="minorEastAsia"/>
                <w:color w:val="auto"/>
                <w:kern w:val="0"/>
                <w:sz w:val="24"/>
                <w:szCs w:val="24"/>
                <w:highlight w:val="none"/>
                <w:lang w:val="zh-TW" w:eastAsia="zh-TW" w:bidi="ar-SA"/>
              </w:rPr>
            </w:pPr>
            <w:bookmarkStart w:id="279" w:name="_Toc15032"/>
            <w:r>
              <w:rPr>
                <w:rFonts w:hint="eastAsia" w:asciiTheme="minorEastAsia" w:hAnsiTheme="minorEastAsia" w:eastAsiaTheme="minorEastAsia" w:cstheme="minorEastAsia"/>
                <w:color w:val="auto"/>
                <w:kern w:val="0"/>
                <w:sz w:val="24"/>
                <w:szCs w:val="24"/>
                <w:highlight w:val="none"/>
                <w:lang w:val="zh-TW" w:eastAsia="zh-TW" w:bidi="ar-SA"/>
              </w:rPr>
              <w:t>5.移动云盘</w:t>
            </w:r>
            <w:bookmarkEnd w:id="279"/>
          </w:p>
          <w:p w14:paraId="55313AEB">
            <w:pPr>
              <w:pStyle w:val="47"/>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zh-TW" w:eastAsia="zh-CN" w:bidi="ar-SA"/>
              </w:rPr>
              <w:t>★</w:t>
            </w:r>
            <w:r>
              <w:rPr>
                <w:rFonts w:hint="eastAsia" w:asciiTheme="minorEastAsia" w:hAnsiTheme="minorEastAsia" w:eastAsiaTheme="minorEastAsia" w:cstheme="minorEastAsia"/>
                <w:color w:val="auto"/>
                <w:kern w:val="0"/>
                <w:sz w:val="24"/>
                <w:szCs w:val="24"/>
                <w:highlight w:val="none"/>
                <w:lang w:val="zh-TW" w:eastAsia="zh-TW" w:bidi="ar-SA"/>
              </w:rPr>
              <w:t>支持云盘功能，手机端与pc端无缝连接，随时调取或存储资料。</w:t>
            </w:r>
          </w:p>
        </w:tc>
      </w:tr>
      <w:tr w14:paraId="335A0A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100C427C">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5C815AD3">
            <w:pPr>
              <w:pStyle w:val="46"/>
              <w:pageBreakBefore w:val="0"/>
              <w:kinsoku/>
              <w:wordWrap/>
              <w:overflowPunct/>
              <w:topLinePunct w:val="0"/>
              <w:autoSpaceDE/>
              <w:autoSpaceDN/>
              <w:bidi w:val="0"/>
              <w:spacing w:line="360" w:lineRule="auto"/>
              <w:ind w:firstLine="0" w:firstLine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zh-TW" w:eastAsia="zh-TW"/>
              </w:rPr>
              <w:t>教务教学</w:t>
            </w:r>
            <w:r>
              <w:rPr>
                <w:rFonts w:hint="eastAsia" w:asciiTheme="minorEastAsia" w:hAnsiTheme="minorEastAsia" w:eastAsiaTheme="minorEastAsia" w:cstheme="minorEastAsia"/>
                <w:color w:val="auto"/>
                <w:kern w:val="0"/>
                <w:sz w:val="24"/>
                <w:szCs w:val="24"/>
                <w:highlight w:val="none"/>
                <w:lang w:val="en-US" w:eastAsia="zh-CN"/>
              </w:rPr>
              <w:t>教管</w:t>
            </w:r>
            <w:r>
              <w:rPr>
                <w:rFonts w:hint="eastAsia" w:asciiTheme="minorEastAsia" w:hAnsiTheme="minorEastAsia" w:eastAsiaTheme="minorEastAsia" w:cstheme="minorEastAsia"/>
                <w:color w:val="auto"/>
                <w:kern w:val="0"/>
                <w:sz w:val="24"/>
                <w:szCs w:val="24"/>
                <w:highlight w:val="none"/>
                <w:lang w:val="zh-TW" w:eastAsia="zh-TW"/>
              </w:rPr>
              <w:t>一体化</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34C48BF3">
            <w:pPr>
              <w:pStyle w:val="46"/>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zh-TW" w:eastAsia="zh-TW"/>
              </w:rPr>
              <w:t>提供融合现代教育理念、教学内容和现代信息技术的具有多种功能的开放式的教务教学一体化管理系统，支持学校混合式教学改革，及课程共享。同时与教务系统打通，实现数据互通，为学校整合教学过程数据、教学全过程精细化管理提供方便，为学校提供教学全过程管理与数据分析，可以与学校网络教学平台进行无缝对接，所有在教学系统中完成课堂互动内容均可以转化为积分，可以作为学生课中环节的成绩。支持网络教学、混合课堂建设，以及学生、教师日常学习、教学轨迹的记录。</w:t>
            </w:r>
          </w:p>
        </w:tc>
      </w:tr>
      <w:tr w14:paraId="177227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263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5223DB6E">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6DDC76A8">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教务</w:t>
            </w:r>
            <w:r>
              <w:rPr>
                <w:rFonts w:hint="eastAsia" w:asciiTheme="minorEastAsia" w:hAnsiTheme="minorEastAsia" w:eastAsiaTheme="minorEastAsia" w:cstheme="minorEastAsia"/>
                <w:color w:val="auto"/>
                <w:kern w:val="0"/>
                <w:sz w:val="24"/>
                <w:szCs w:val="24"/>
                <w:highlight w:val="none"/>
              </w:rPr>
              <w:t>数据分析</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7247D272">
            <w:pPr>
              <w:pStyle w:val="4"/>
              <w:pageBreakBefore w:val="0"/>
              <w:numPr>
                <w:ilvl w:val="0"/>
                <w:numId w:val="0"/>
              </w:numPr>
              <w:kinsoku/>
              <w:wordWrap/>
              <w:overflowPunct/>
              <w:topLinePunct w:val="0"/>
              <w:autoSpaceDE/>
              <w:autoSpaceDN/>
              <w:bidi w:val="0"/>
              <w:spacing w:before="0" w:beforeLines="0" w:beforeAutospacing="0" w:after="0" w:afterLines="0" w:afterAutospacing="0" w:line="360" w:lineRule="auto"/>
              <w:ind w:left="0" w:leftChars="0" w:firstLine="0" w:firstLineChars="0"/>
              <w:textAlignment w:val="auto"/>
              <w:rPr>
                <w:rFonts w:hint="eastAsia" w:asciiTheme="minorEastAsia" w:hAnsiTheme="minorEastAsia" w:eastAsiaTheme="minorEastAsia" w:cstheme="minorEastAsia"/>
                <w:b w:val="0"/>
                <w:bCs/>
                <w:color w:val="auto"/>
                <w:kern w:val="0"/>
                <w:sz w:val="24"/>
                <w:szCs w:val="24"/>
                <w:highlight w:val="none"/>
                <w:lang w:val="zh-TW" w:eastAsia="zh-TW" w:bidi="ar-SA"/>
              </w:rPr>
            </w:pPr>
            <w:r>
              <w:rPr>
                <w:rFonts w:hint="eastAsia" w:asciiTheme="minorEastAsia" w:hAnsiTheme="minorEastAsia" w:eastAsiaTheme="minorEastAsia" w:cstheme="minorEastAsia"/>
                <w:b w:val="0"/>
                <w:bCs/>
                <w:color w:val="auto"/>
                <w:kern w:val="0"/>
                <w:sz w:val="24"/>
                <w:szCs w:val="24"/>
                <w:highlight w:val="none"/>
                <w:lang w:val="zh-TW" w:eastAsia="zh-TW" w:bidi="ar-SA"/>
              </w:rPr>
              <w:t>1.支持全校学生基本数据、学生异动数据等图形分析和导出；</w:t>
            </w:r>
          </w:p>
          <w:p w14:paraId="539C2B92">
            <w:pPr>
              <w:pStyle w:val="4"/>
              <w:pageBreakBefore w:val="0"/>
              <w:numPr>
                <w:ilvl w:val="0"/>
                <w:numId w:val="0"/>
              </w:numPr>
              <w:kinsoku/>
              <w:wordWrap/>
              <w:overflowPunct/>
              <w:topLinePunct w:val="0"/>
              <w:autoSpaceDE/>
              <w:autoSpaceDN/>
              <w:bidi w:val="0"/>
              <w:spacing w:before="0" w:beforeLines="0" w:beforeAutospacing="0" w:after="0" w:afterLines="0" w:afterAutospacing="0" w:line="360" w:lineRule="auto"/>
              <w:ind w:left="425" w:leftChars="0" w:hanging="425" w:firstLineChars="0"/>
              <w:textAlignment w:val="auto"/>
              <w:rPr>
                <w:rFonts w:hint="eastAsia" w:asciiTheme="minorEastAsia" w:hAnsiTheme="minorEastAsia" w:eastAsiaTheme="minorEastAsia" w:cstheme="minorEastAsia"/>
                <w:b w:val="0"/>
                <w:bCs/>
                <w:color w:val="auto"/>
                <w:kern w:val="0"/>
                <w:sz w:val="24"/>
                <w:szCs w:val="24"/>
                <w:highlight w:val="none"/>
                <w:lang w:val="zh-TW" w:eastAsia="zh-TW" w:bidi="ar-SA"/>
              </w:rPr>
            </w:pPr>
            <w:r>
              <w:rPr>
                <w:rFonts w:hint="eastAsia" w:asciiTheme="minorEastAsia" w:hAnsiTheme="minorEastAsia" w:eastAsiaTheme="minorEastAsia" w:cstheme="minorEastAsia"/>
                <w:b w:val="0"/>
                <w:bCs/>
                <w:color w:val="auto"/>
                <w:kern w:val="0"/>
                <w:sz w:val="24"/>
                <w:szCs w:val="24"/>
                <w:highlight w:val="none"/>
                <w:lang w:val="zh-TW" w:eastAsia="zh-TW" w:bidi="ar-SA"/>
              </w:rPr>
              <w:t>2.对教师数据进行分析，可生成饼状图、条形图等不同分析；</w:t>
            </w:r>
          </w:p>
          <w:p w14:paraId="44599D9D">
            <w:pPr>
              <w:pStyle w:val="4"/>
              <w:pageBreakBefore w:val="0"/>
              <w:numPr>
                <w:ilvl w:val="0"/>
                <w:numId w:val="0"/>
              </w:numPr>
              <w:kinsoku/>
              <w:wordWrap/>
              <w:overflowPunct/>
              <w:topLinePunct w:val="0"/>
              <w:autoSpaceDE/>
              <w:autoSpaceDN/>
              <w:bidi w:val="0"/>
              <w:spacing w:before="0" w:beforeLines="0" w:beforeAutospacing="0" w:after="0" w:afterLines="0" w:afterAutospacing="0" w:line="360" w:lineRule="auto"/>
              <w:ind w:left="0" w:leftChars="0" w:firstLine="0" w:firstLineChars="0"/>
              <w:textAlignment w:val="auto"/>
              <w:rPr>
                <w:rFonts w:hint="eastAsia" w:asciiTheme="minorEastAsia" w:hAnsiTheme="minorEastAsia" w:eastAsiaTheme="minorEastAsia" w:cstheme="minorEastAsia"/>
                <w:b w:val="0"/>
                <w:bCs/>
                <w:color w:val="auto"/>
                <w:kern w:val="0"/>
                <w:sz w:val="24"/>
                <w:szCs w:val="24"/>
                <w:highlight w:val="none"/>
                <w:lang w:val="zh-TW" w:eastAsia="zh-TW" w:bidi="ar-SA"/>
              </w:rPr>
            </w:pPr>
            <w:r>
              <w:rPr>
                <w:rFonts w:hint="eastAsia" w:asciiTheme="minorEastAsia" w:hAnsiTheme="minorEastAsia" w:eastAsiaTheme="minorEastAsia" w:cstheme="minorEastAsia"/>
                <w:b w:val="0"/>
                <w:bCs/>
                <w:color w:val="auto"/>
                <w:kern w:val="0"/>
                <w:sz w:val="24"/>
                <w:szCs w:val="24"/>
                <w:highlight w:val="none"/>
                <w:lang w:val="zh-TW" w:eastAsia="zh-TW" w:bidi="ar-SA"/>
              </w:rPr>
              <w:t>3.可对全校专业数据、各系部和不同培养层次专业数据进行分析统计，如专业结构、专业变化、专业布局等；</w:t>
            </w:r>
          </w:p>
          <w:p w14:paraId="12A63122">
            <w:pPr>
              <w:pStyle w:val="4"/>
              <w:pageBreakBefore w:val="0"/>
              <w:numPr>
                <w:ilvl w:val="0"/>
                <w:numId w:val="0"/>
              </w:numPr>
              <w:kinsoku/>
              <w:wordWrap/>
              <w:overflowPunct/>
              <w:topLinePunct w:val="0"/>
              <w:autoSpaceDE/>
              <w:autoSpaceDN/>
              <w:bidi w:val="0"/>
              <w:spacing w:before="0" w:beforeLines="0" w:beforeAutospacing="0" w:after="0" w:afterLines="0"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lang w:val="zh-TW"/>
              </w:rPr>
            </w:pPr>
            <w:r>
              <w:rPr>
                <w:rFonts w:hint="eastAsia" w:asciiTheme="minorEastAsia" w:hAnsiTheme="minorEastAsia" w:eastAsiaTheme="minorEastAsia" w:cstheme="minorEastAsia"/>
                <w:b w:val="0"/>
                <w:bCs/>
                <w:color w:val="auto"/>
                <w:kern w:val="0"/>
                <w:sz w:val="24"/>
                <w:szCs w:val="24"/>
                <w:highlight w:val="none"/>
                <w:lang w:val="zh-TW" w:eastAsia="zh-CN" w:bidi="ar-SA"/>
              </w:rPr>
              <w:t>4.</w:t>
            </w:r>
            <w:r>
              <w:rPr>
                <w:rFonts w:hint="eastAsia" w:asciiTheme="minorEastAsia" w:hAnsiTheme="minorEastAsia" w:eastAsiaTheme="minorEastAsia" w:cstheme="minorEastAsia"/>
                <w:b w:val="0"/>
                <w:bCs/>
                <w:color w:val="auto"/>
                <w:kern w:val="0"/>
                <w:sz w:val="24"/>
                <w:szCs w:val="24"/>
                <w:highlight w:val="none"/>
                <w:lang w:val="zh-TW" w:eastAsia="zh-TW" w:bidi="ar-SA"/>
              </w:rPr>
              <w:t>可对不同学期的各院系开课数据和选课数据进行分析对比。</w:t>
            </w:r>
          </w:p>
        </w:tc>
      </w:tr>
      <w:tr w14:paraId="70617F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43532F98">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5B61292E">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教材管理</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06C2CEBB">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TW" w:eastAsia="zh-CN" w:bidi="ar-SA"/>
              </w:rPr>
            </w:pPr>
            <w:r>
              <w:rPr>
                <w:rFonts w:hint="eastAsia" w:asciiTheme="minorEastAsia" w:hAnsiTheme="minorEastAsia" w:eastAsiaTheme="minorEastAsia" w:cstheme="minorEastAsia"/>
                <w:color w:val="auto"/>
                <w:kern w:val="2"/>
                <w:sz w:val="24"/>
                <w:szCs w:val="24"/>
                <w:highlight w:val="none"/>
                <w:lang w:val="zh-TW" w:eastAsia="zh-CN" w:bidi="ar-SA"/>
              </w:rPr>
              <w:t>1.</w:t>
            </w:r>
            <w:r>
              <w:rPr>
                <w:rFonts w:hint="eastAsia" w:asciiTheme="minorEastAsia" w:hAnsiTheme="minorEastAsia" w:eastAsiaTheme="minorEastAsia" w:cstheme="minorEastAsia"/>
                <w:color w:val="auto"/>
                <w:kern w:val="2"/>
                <w:sz w:val="24"/>
                <w:szCs w:val="24"/>
                <w:highlight w:val="none"/>
                <w:lang w:val="zh-TW" w:eastAsia="zh-TW" w:bidi="ar-SA"/>
              </w:rPr>
              <w:t>教材管理参数设置</w:t>
            </w:r>
          </w:p>
          <w:p w14:paraId="21CEFFF2">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TW" w:eastAsia="zh-TW" w:bidi="ar-SA"/>
              </w:rPr>
            </w:pPr>
            <w:r>
              <w:rPr>
                <w:rFonts w:hint="eastAsia" w:asciiTheme="minorEastAsia" w:hAnsiTheme="minorEastAsia" w:eastAsiaTheme="minorEastAsia" w:cstheme="minorEastAsia"/>
                <w:color w:val="auto"/>
                <w:kern w:val="2"/>
                <w:sz w:val="24"/>
                <w:szCs w:val="24"/>
                <w:highlight w:val="none"/>
                <w:lang w:val="zh-TW" w:eastAsia="zh-TW" w:bidi="ar-SA"/>
              </w:rPr>
              <w:t>对教材出版社、供书单位、教材书目、供应清单、教材类型、仓库参数、出入库类型等进行基本参数设置。</w:t>
            </w:r>
          </w:p>
          <w:p w14:paraId="3A1F11EA">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TW" w:eastAsia="zh-CN" w:bidi="ar-SA"/>
              </w:rPr>
            </w:pPr>
            <w:r>
              <w:rPr>
                <w:rFonts w:hint="eastAsia" w:asciiTheme="minorEastAsia" w:hAnsiTheme="minorEastAsia" w:eastAsiaTheme="minorEastAsia" w:cstheme="minorEastAsia"/>
                <w:color w:val="auto"/>
                <w:kern w:val="2"/>
                <w:sz w:val="24"/>
                <w:szCs w:val="24"/>
                <w:highlight w:val="none"/>
                <w:lang w:val="zh-TW" w:eastAsia="zh-TW" w:bidi="ar-SA"/>
              </w:rPr>
              <w:t>支持新增教材申请审批设置，可由教师端填写需要新增入库的教材，管理端进行审批</w:t>
            </w:r>
            <w:r>
              <w:rPr>
                <w:rFonts w:hint="eastAsia" w:asciiTheme="minorEastAsia" w:hAnsiTheme="minorEastAsia" w:eastAsiaTheme="minorEastAsia" w:cstheme="minorEastAsia"/>
                <w:color w:val="auto"/>
                <w:kern w:val="2"/>
                <w:sz w:val="24"/>
                <w:szCs w:val="24"/>
                <w:highlight w:val="none"/>
                <w:lang w:val="zh-TW" w:eastAsia="zh-CN" w:bidi="ar-SA"/>
              </w:rPr>
              <w:t>。</w:t>
            </w:r>
          </w:p>
          <w:p w14:paraId="39658426">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TW" w:eastAsia="zh-TW" w:bidi="ar-SA"/>
              </w:rPr>
            </w:pPr>
            <w:r>
              <w:rPr>
                <w:rFonts w:hint="eastAsia" w:asciiTheme="minorEastAsia" w:hAnsiTheme="minorEastAsia" w:eastAsiaTheme="minorEastAsia" w:cstheme="minorEastAsia"/>
                <w:color w:val="auto"/>
                <w:kern w:val="2"/>
                <w:sz w:val="24"/>
                <w:szCs w:val="24"/>
                <w:highlight w:val="none"/>
                <w:lang w:val="zh-TW" w:eastAsia="zh-TW" w:bidi="ar-SA"/>
              </w:rPr>
              <w:t>2.教材计划管理</w:t>
            </w:r>
          </w:p>
          <w:p w14:paraId="63439916">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TW" w:eastAsia="zh-TW" w:bidi="ar-SA"/>
              </w:rPr>
            </w:pPr>
            <w:r>
              <w:rPr>
                <w:rFonts w:hint="eastAsia" w:asciiTheme="minorEastAsia" w:hAnsiTheme="minorEastAsia" w:eastAsiaTheme="minorEastAsia" w:cstheme="minorEastAsia"/>
                <w:color w:val="auto"/>
                <w:kern w:val="2"/>
                <w:sz w:val="24"/>
                <w:szCs w:val="24"/>
                <w:highlight w:val="none"/>
                <w:lang w:val="zh-TW" w:eastAsia="zh-TW" w:bidi="ar-SA"/>
              </w:rPr>
              <w:t>对教材计划进行管理</w:t>
            </w:r>
            <w:r>
              <w:rPr>
                <w:rFonts w:hint="eastAsia" w:asciiTheme="minorEastAsia" w:hAnsiTheme="minorEastAsia" w:eastAsiaTheme="minorEastAsia" w:cstheme="minorEastAsia"/>
                <w:color w:val="auto"/>
                <w:kern w:val="2"/>
                <w:sz w:val="24"/>
                <w:szCs w:val="24"/>
                <w:highlight w:val="none"/>
                <w:lang w:val="zh-TW" w:eastAsia="zh-CN" w:bidi="ar-SA"/>
              </w:rPr>
              <w:t>，支持管理端分权限设置教材计划</w:t>
            </w:r>
            <w:r>
              <w:rPr>
                <w:rFonts w:hint="eastAsia" w:asciiTheme="minorEastAsia" w:hAnsiTheme="minorEastAsia" w:eastAsiaTheme="minorEastAsia" w:cstheme="minorEastAsia"/>
                <w:color w:val="auto"/>
                <w:kern w:val="2"/>
                <w:sz w:val="24"/>
                <w:szCs w:val="24"/>
                <w:highlight w:val="none"/>
                <w:lang w:val="zh-TW" w:eastAsia="zh-TW" w:bidi="ar-SA"/>
              </w:rPr>
              <w:t>。</w:t>
            </w:r>
          </w:p>
          <w:p w14:paraId="4AA72BC1">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TW" w:eastAsia="zh-CN" w:bidi="ar-SA"/>
              </w:rPr>
            </w:pPr>
            <w:r>
              <w:rPr>
                <w:rFonts w:hint="eastAsia" w:asciiTheme="minorEastAsia" w:hAnsiTheme="minorEastAsia" w:eastAsiaTheme="minorEastAsia" w:cstheme="minorEastAsia"/>
                <w:color w:val="auto"/>
                <w:kern w:val="2"/>
                <w:sz w:val="24"/>
                <w:szCs w:val="24"/>
                <w:highlight w:val="none"/>
                <w:lang w:val="zh-TW" w:eastAsia="zh-TW" w:bidi="ar-SA"/>
              </w:rPr>
              <w:t>支持教材计划的申请审批设置，可由教师端填写课程对应的教材，管理端进行审批</w:t>
            </w:r>
            <w:r>
              <w:rPr>
                <w:rFonts w:hint="eastAsia" w:asciiTheme="minorEastAsia" w:hAnsiTheme="minorEastAsia" w:eastAsiaTheme="minorEastAsia" w:cstheme="minorEastAsia"/>
                <w:color w:val="auto"/>
                <w:kern w:val="2"/>
                <w:sz w:val="24"/>
                <w:szCs w:val="24"/>
                <w:highlight w:val="none"/>
                <w:lang w:val="zh-TW" w:eastAsia="zh-CN" w:bidi="ar-SA"/>
              </w:rPr>
              <w:t>。</w:t>
            </w:r>
          </w:p>
          <w:p w14:paraId="3C2A3447">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TW" w:eastAsia="zh-CN" w:bidi="ar-SA"/>
              </w:rPr>
            </w:pPr>
            <w:r>
              <w:rPr>
                <w:rFonts w:hint="eastAsia" w:asciiTheme="minorEastAsia" w:hAnsiTheme="minorEastAsia" w:eastAsiaTheme="minorEastAsia" w:cstheme="minorEastAsia"/>
                <w:color w:val="auto"/>
                <w:kern w:val="2"/>
                <w:sz w:val="24"/>
                <w:szCs w:val="24"/>
                <w:highlight w:val="none"/>
                <w:lang w:val="zh-TW" w:eastAsia="zh-CN" w:bidi="ar-SA"/>
              </w:rPr>
              <w:t>3.</w:t>
            </w:r>
            <w:r>
              <w:rPr>
                <w:rFonts w:hint="eastAsia" w:asciiTheme="minorEastAsia" w:hAnsiTheme="minorEastAsia" w:eastAsiaTheme="minorEastAsia" w:cstheme="minorEastAsia"/>
                <w:color w:val="auto"/>
                <w:kern w:val="2"/>
                <w:sz w:val="24"/>
                <w:szCs w:val="24"/>
                <w:highlight w:val="none"/>
                <w:lang w:val="zh-TW" w:eastAsia="zh-TW" w:bidi="ar-SA"/>
              </w:rPr>
              <w:t>教材禁发管理</w:t>
            </w:r>
            <w:r>
              <w:rPr>
                <w:rFonts w:hint="eastAsia" w:asciiTheme="minorEastAsia" w:hAnsiTheme="minorEastAsia" w:eastAsiaTheme="minorEastAsia" w:cstheme="minorEastAsia"/>
                <w:color w:val="auto"/>
                <w:kern w:val="2"/>
                <w:sz w:val="24"/>
                <w:szCs w:val="24"/>
                <w:highlight w:val="none"/>
                <w:lang w:val="zh-TW" w:eastAsia="zh-CN" w:bidi="ar-SA"/>
              </w:rPr>
              <w:t>：</w:t>
            </w:r>
            <w:r>
              <w:rPr>
                <w:rFonts w:hint="eastAsia" w:asciiTheme="minorEastAsia" w:hAnsiTheme="minorEastAsia" w:eastAsiaTheme="minorEastAsia" w:cstheme="minorEastAsia"/>
                <w:color w:val="auto"/>
                <w:kern w:val="2"/>
                <w:sz w:val="24"/>
                <w:szCs w:val="24"/>
                <w:highlight w:val="none"/>
                <w:lang w:val="zh-TW" w:eastAsia="zh-TW" w:bidi="ar-SA"/>
              </w:rPr>
              <w:t>可单独或批量设置教材禁发的名单</w:t>
            </w:r>
            <w:r>
              <w:rPr>
                <w:rFonts w:hint="eastAsia" w:asciiTheme="minorEastAsia" w:hAnsiTheme="minorEastAsia" w:eastAsiaTheme="minorEastAsia" w:cstheme="minorEastAsia"/>
                <w:color w:val="auto"/>
                <w:kern w:val="2"/>
                <w:sz w:val="24"/>
                <w:szCs w:val="24"/>
                <w:highlight w:val="none"/>
                <w:lang w:val="zh-TW" w:eastAsia="zh-CN" w:bidi="ar-SA"/>
              </w:rPr>
              <w:t>，确保教材发放名单的准确。</w:t>
            </w:r>
          </w:p>
          <w:p w14:paraId="611C0C41">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TW" w:eastAsia="zh-TW" w:bidi="ar-SA"/>
              </w:rPr>
            </w:pPr>
            <w:r>
              <w:rPr>
                <w:rFonts w:hint="eastAsia" w:asciiTheme="minorEastAsia" w:hAnsiTheme="minorEastAsia" w:eastAsiaTheme="minorEastAsia" w:cstheme="minorEastAsia"/>
                <w:color w:val="auto"/>
                <w:kern w:val="2"/>
                <w:sz w:val="24"/>
                <w:szCs w:val="24"/>
                <w:highlight w:val="none"/>
                <w:lang w:val="zh-TW" w:eastAsia="zh-TW" w:bidi="ar-SA"/>
              </w:rPr>
              <w:t>4.教材库存管理</w:t>
            </w:r>
            <w:r>
              <w:rPr>
                <w:rFonts w:hint="eastAsia" w:asciiTheme="minorEastAsia" w:hAnsiTheme="minorEastAsia" w:eastAsiaTheme="minorEastAsia" w:cstheme="minorEastAsia"/>
                <w:color w:val="auto"/>
                <w:kern w:val="2"/>
                <w:sz w:val="24"/>
                <w:szCs w:val="24"/>
                <w:highlight w:val="none"/>
                <w:lang w:val="zh-TW" w:eastAsia="zh-CN" w:bidi="ar-SA"/>
              </w:rPr>
              <w:t>：</w:t>
            </w:r>
            <w:r>
              <w:rPr>
                <w:rFonts w:hint="eastAsia" w:asciiTheme="minorEastAsia" w:hAnsiTheme="minorEastAsia" w:eastAsiaTheme="minorEastAsia" w:cstheme="minorEastAsia"/>
                <w:color w:val="auto"/>
                <w:kern w:val="2"/>
                <w:sz w:val="24"/>
                <w:szCs w:val="24"/>
                <w:highlight w:val="none"/>
                <w:lang w:val="zh-TW" w:eastAsia="zh-TW" w:bidi="ar-SA"/>
              </w:rPr>
              <w:t>提供教材仓库盘点、库存、入库和出库管理，导出预订单。</w:t>
            </w:r>
          </w:p>
          <w:p w14:paraId="211FA598">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TW" w:eastAsia="zh-TW" w:bidi="ar-SA"/>
              </w:rPr>
            </w:pPr>
            <w:r>
              <w:rPr>
                <w:rFonts w:hint="eastAsia" w:asciiTheme="minorEastAsia" w:hAnsiTheme="minorEastAsia" w:eastAsiaTheme="minorEastAsia" w:cstheme="minorEastAsia"/>
                <w:color w:val="auto"/>
                <w:kern w:val="2"/>
                <w:sz w:val="24"/>
                <w:szCs w:val="24"/>
                <w:highlight w:val="none"/>
                <w:lang w:val="zh-TW" w:eastAsia="zh-TW" w:bidi="ar-SA"/>
              </w:rPr>
              <w:t>5.教材费用管理</w:t>
            </w:r>
            <w:r>
              <w:rPr>
                <w:rFonts w:hint="eastAsia" w:asciiTheme="minorEastAsia" w:hAnsiTheme="minorEastAsia" w:eastAsiaTheme="minorEastAsia" w:cstheme="minorEastAsia"/>
                <w:color w:val="auto"/>
                <w:kern w:val="2"/>
                <w:sz w:val="24"/>
                <w:szCs w:val="24"/>
                <w:highlight w:val="none"/>
                <w:lang w:val="zh-TW" w:eastAsia="zh-CN" w:bidi="ar-SA"/>
              </w:rPr>
              <w:t>：</w:t>
            </w:r>
            <w:r>
              <w:rPr>
                <w:rFonts w:hint="eastAsia" w:asciiTheme="minorEastAsia" w:hAnsiTheme="minorEastAsia" w:eastAsiaTheme="minorEastAsia" w:cstheme="minorEastAsia"/>
                <w:color w:val="auto"/>
                <w:kern w:val="2"/>
                <w:sz w:val="24"/>
                <w:szCs w:val="24"/>
                <w:highlight w:val="none"/>
                <w:lang w:val="zh-TW" w:eastAsia="zh-TW" w:bidi="ar-SA"/>
              </w:rPr>
              <w:t>统计教材费用</w:t>
            </w:r>
            <w:r>
              <w:rPr>
                <w:rFonts w:hint="eastAsia" w:asciiTheme="minorEastAsia" w:hAnsiTheme="minorEastAsia" w:eastAsiaTheme="minorEastAsia" w:cstheme="minorEastAsia"/>
                <w:color w:val="auto"/>
                <w:kern w:val="2"/>
                <w:sz w:val="24"/>
                <w:szCs w:val="24"/>
                <w:highlight w:val="none"/>
                <w:lang w:val="zh-TW" w:eastAsia="zh-CN" w:bidi="ar-SA"/>
              </w:rPr>
              <w:t>，对学生教材费用明细进行统计和管理</w:t>
            </w:r>
            <w:r>
              <w:rPr>
                <w:rFonts w:hint="eastAsia" w:asciiTheme="minorEastAsia" w:hAnsiTheme="minorEastAsia" w:eastAsiaTheme="minorEastAsia" w:cstheme="minorEastAsia"/>
                <w:color w:val="auto"/>
                <w:kern w:val="2"/>
                <w:sz w:val="24"/>
                <w:szCs w:val="24"/>
                <w:highlight w:val="none"/>
                <w:lang w:val="zh-TW" w:eastAsia="zh-TW" w:bidi="ar-SA"/>
              </w:rPr>
              <w:t>。</w:t>
            </w:r>
          </w:p>
          <w:p w14:paraId="2237E3BF">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TW" w:eastAsia="zh-TW" w:bidi="ar-SA"/>
              </w:rPr>
            </w:pPr>
            <w:r>
              <w:rPr>
                <w:rFonts w:hint="eastAsia" w:asciiTheme="minorEastAsia" w:hAnsiTheme="minorEastAsia" w:eastAsiaTheme="minorEastAsia" w:cstheme="minorEastAsia"/>
                <w:color w:val="auto"/>
                <w:kern w:val="2"/>
                <w:sz w:val="24"/>
                <w:szCs w:val="24"/>
                <w:highlight w:val="none"/>
                <w:lang w:val="zh-TW" w:eastAsia="zh-TW" w:bidi="ar-SA"/>
              </w:rPr>
              <w:t>6.</w:t>
            </w:r>
            <w:r>
              <w:rPr>
                <w:rFonts w:hint="eastAsia" w:asciiTheme="minorEastAsia" w:hAnsiTheme="minorEastAsia" w:eastAsiaTheme="minorEastAsia" w:cstheme="minorEastAsia"/>
                <w:color w:val="auto"/>
                <w:kern w:val="2"/>
                <w:sz w:val="24"/>
                <w:szCs w:val="24"/>
                <w:highlight w:val="none"/>
                <w:lang w:val="en-US" w:eastAsia="zh-CN" w:bidi="ar-SA"/>
              </w:rPr>
              <w:t>教材供应商具有单独的角色，供应商登录之后只能看到自己供货的图书信息。</w:t>
            </w:r>
          </w:p>
        </w:tc>
      </w:tr>
      <w:tr w14:paraId="0F9632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569BBC5D">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0294647C">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工作量管理</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400D1CC8">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TW" w:eastAsia="zh-CN" w:bidi="ar-SA"/>
              </w:rPr>
            </w:pPr>
            <w:r>
              <w:rPr>
                <w:rFonts w:hint="eastAsia" w:asciiTheme="minorEastAsia" w:hAnsiTheme="minorEastAsia" w:eastAsiaTheme="minorEastAsia" w:cstheme="minorEastAsia"/>
                <w:color w:val="auto"/>
                <w:kern w:val="2"/>
                <w:sz w:val="24"/>
                <w:szCs w:val="24"/>
                <w:highlight w:val="none"/>
                <w:lang w:val="zh-TW" w:eastAsia="zh-CN" w:bidi="ar-SA"/>
              </w:rPr>
              <w:t>1.可根据学校需要，设置教师工作量参数，进行教师工作量汇总统计；</w:t>
            </w:r>
          </w:p>
          <w:p w14:paraId="38EC7E00">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TW" w:eastAsia="zh-CN" w:bidi="ar-SA"/>
              </w:rPr>
            </w:pPr>
            <w:r>
              <w:rPr>
                <w:rFonts w:hint="eastAsia" w:asciiTheme="minorEastAsia" w:hAnsiTheme="minorEastAsia" w:eastAsiaTheme="minorEastAsia" w:cstheme="minorEastAsia"/>
                <w:color w:val="auto"/>
                <w:kern w:val="2"/>
                <w:sz w:val="24"/>
                <w:szCs w:val="24"/>
                <w:highlight w:val="none"/>
                <w:lang w:val="zh-TW" w:eastAsia="zh-CN" w:bidi="ar-SA"/>
              </w:rPr>
              <w:t>2.</w:t>
            </w:r>
            <w:r>
              <w:rPr>
                <w:rFonts w:hint="eastAsia" w:asciiTheme="minorEastAsia" w:hAnsiTheme="minorEastAsia" w:eastAsiaTheme="minorEastAsia" w:cstheme="minorEastAsia"/>
                <w:color w:val="auto"/>
                <w:kern w:val="2"/>
                <w:sz w:val="24"/>
                <w:szCs w:val="24"/>
                <w:highlight w:val="none"/>
                <w:lang w:val="en-US" w:eastAsia="en-US" w:bidi="ar-SA"/>
              </w:rPr>
              <w:t>教师可通过课表完成签到功能。签到类型支持在线签到，如二维码签到，手势签到、位置签到，二维码签到支持自定义刷新时间，并校验允许二维码签到的位置，允许范围支持自定义。</w:t>
            </w:r>
          </w:p>
          <w:p w14:paraId="1FF83418">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TW" w:eastAsia="zh-TW" w:bidi="ar-SA"/>
              </w:rPr>
            </w:pPr>
            <w:r>
              <w:rPr>
                <w:rFonts w:hint="eastAsia" w:asciiTheme="minorEastAsia" w:hAnsiTheme="minorEastAsia" w:eastAsiaTheme="minorEastAsia" w:cstheme="minorEastAsia"/>
                <w:color w:val="auto"/>
                <w:kern w:val="2"/>
                <w:sz w:val="24"/>
                <w:szCs w:val="24"/>
                <w:highlight w:val="none"/>
                <w:lang w:val="zh-TW" w:eastAsia="zh-TW" w:bidi="ar-SA"/>
              </w:rPr>
              <w:t>3.</w:t>
            </w:r>
            <w:r>
              <w:rPr>
                <w:rFonts w:hint="eastAsia" w:asciiTheme="minorEastAsia" w:hAnsiTheme="minorEastAsia" w:eastAsiaTheme="minorEastAsia" w:cstheme="minorEastAsia"/>
                <w:color w:val="auto"/>
                <w:kern w:val="2"/>
                <w:sz w:val="24"/>
                <w:szCs w:val="24"/>
                <w:highlight w:val="none"/>
                <w:lang w:val="zh-TW" w:eastAsia="zh-CN" w:bidi="ar-SA"/>
              </w:rPr>
              <w:t>可对不同类型的教师分别设置统计工作量，计算不同类型的课时情况及相关系统，根据学校需要导出工作量相关报表；</w:t>
            </w:r>
          </w:p>
          <w:p w14:paraId="020DD707">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zh-TW" w:eastAsia="zh-TW" w:bidi="ar-SA"/>
              </w:rPr>
              <w:t>4.</w:t>
            </w:r>
            <w:r>
              <w:rPr>
                <w:rFonts w:hint="eastAsia" w:asciiTheme="minorEastAsia" w:hAnsiTheme="minorEastAsia" w:eastAsiaTheme="minorEastAsia" w:cstheme="minorEastAsia"/>
                <w:color w:val="auto"/>
                <w:kern w:val="2"/>
                <w:sz w:val="24"/>
                <w:szCs w:val="24"/>
                <w:highlight w:val="none"/>
                <w:lang w:val="en-US" w:eastAsia="zh-CN" w:bidi="ar-SA"/>
              </w:rPr>
              <w:t>工作量计算可由学校管理人员设置不同的计算方式，如：超过多少人数之后计算基数改变，教师带课门数超过标准则另外计算计算基数。</w:t>
            </w:r>
          </w:p>
        </w:tc>
      </w:tr>
      <w:tr w14:paraId="0A08D3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0910EAB3">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02092D48">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补修管理</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173F82ED">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TW" w:eastAsia="zh-CN" w:bidi="ar-SA"/>
              </w:rPr>
            </w:pPr>
            <w:r>
              <w:rPr>
                <w:rFonts w:hint="eastAsia" w:asciiTheme="minorEastAsia" w:hAnsiTheme="minorEastAsia" w:eastAsiaTheme="minorEastAsia" w:cstheme="minorEastAsia"/>
                <w:color w:val="auto"/>
                <w:kern w:val="2"/>
                <w:sz w:val="24"/>
                <w:szCs w:val="24"/>
                <w:highlight w:val="none"/>
                <w:lang w:val="zh-TW" w:eastAsia="zh-CN" w:bidi="ar-SA"/>
              </w:rPr>
              <w:t>1.可根据学校需要设置补修条件，如补修报名时间、是否允许突破教学班容量、学籍异动学生控制、冲突选课条件、是否需要审核、补修来源、学生范围、课程范围等，系统可自动对学生修读课程和教学计划、培养方案等进行对比，筛选出需要补修的学生及需要补修的课程，进行报名。</w:t>
            </w:r>
          </w:p>
          <w:p w14:paraId="01BF5580">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TW" w:eastAsia="zh-TW" w:bidi="ar-SA"/>
              </w:rPr>
            </w:pPr>
            <w:r>
              <w:rPr>
                <w:rFonts w:hint="eastAsia" w:asciiTheme="minorEastAsia" w:hAnsiTheme="minorEastAsia" w:eastAsiaTheme="minorEastAsia" w:cstheme="minorEastAsia"/>
                <w:color w:val="auto"/>
                <w:kern w:val="2"/>
                <w:sz w:val="24"/>
                <w:szCs w:val="24"/>
                <w:highlight w:val="none"/>
                <w:lang w:val="zh-TW" w:eastAsia="zh-TW" w:bidi="ar-SA"/>
              </w:rPr>
              <w:t>2.支持补修任务管理，可自动推送通知到学生端和手机端，方便学生及时了解自己需要补修的课程</w:t>
            </w:r>
          </w:p>
          <w:p w14:paraId="433FC31F">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TW" w:eastAsia="zh-TW" w:bidi="ar-SA"/>
              </w:rPr>
            </w:pPr>
            <w:r>
              <w:rPr>
                <w:rFonts w:hint="eastAsia" w:asciiTheme="minorEastAsia" w:hAnsiTheme="minorEastAsia" w:eastAsiaTheme="minorEastAsia" w:cstheme="minorEastAsia"/>
                <w:color w:val="auto"/>
                <w:kern w:val="2"/>
                <w:sz w:val="24"/>
                <w:szCs w:val="24"/>
                <w:highlight w:val="none"/>
                <w:lang w:val="zh-TW" w:eastAsia="zh-TW" w:bidi="ar-SA"/>
              </w:rPr>
              <w:t>3.可对补修报名的学生进行审核</w:t>
            </w:r>
          </w:p>
          <w:p w14:paraId="413E846C">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w:t>
            </w:r>
            <w:r>
              <w:rPr>
                <w:rFonts w:hint="eastAsia" w:asciiTheme="minorEastAsia" w:hAnsiTheme="minorEastAsia" w:eastAsiaTheme="minorEastAsia" w:cstheme="minorEastAsia"/>
                <w:color w:val="auto"/>
                <w:kern w:val="2"/>
                <w:sz w:val="24"/>
                <w:szCs w:val="24"/>
                <w:highlight w:val="none"/>
                <w:lang w:val="zh-TW" w:eastAsia="zh-TW" w:bidi="ar-SA"/>
              </w:rPr>
              <w:t>可根据多种条件查询补修学生情况</w:t>
            </w:r>
          </w:p>
        </w:tc>
      </w:tr>
      <w:tr w14:paraId="367FE5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6791F227">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308E4D43">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自修管理</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06469CE4">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TW" w:eastAsia="zh-CN" w:bidi="ar-SA"/>
              </w:rPr>
            </w:pPr>
            <w:r>
              <w:rPr>
                <w:rFonts w:hint="eastAsia" w:asciiTheme="minorEastAsia" w:hAnsiTheme="minorEastAsia" w:eastAsiaTheme="minorEastAsia" w:cstheme="minorEastAsia"/>
                <w:color w:val="auto"/>
                <w:kern w:val="2"/>
                <w:sz w:val="24"/>
                <w:szCs w:val="24"/>
                <w:highlight w:val="none"/>
                <w:lang w:val="zh-TW" w:eastAsia="zh-CN" w:bidi="ar-SA"/>
              </w:rPr>
              <w:t>1.</w:t>
            </w:r>
            <w:r>
              <w:rPr>
                <w:rFonts w:hint="eastAsia" w:asciiTheme="minorEastAsia" w:hAnsiTheme="minorEastAsia" w:eastAsiaTheme="minorEastAsia" w:cstheme="minorEastAsia"/>
                <w:color w:val="auto"/>
                <w:kern w:val="2"/>
                <w:sz w:val="24"/>
                <w:szCs w:val="24"/>
                <w:highlight w:val="none"/>
                <w:lang w:val="zh-TW" w:eastAsia="zh-TW" w:bidi="ar-SA"/>
              </w:rPr>
              <w:t>可</w:t>
            </w:r>
            <w:r>
              <w:rPr>
                <w:rFonts w:hint="eastAsia" w:asciiTheme="minorEastAsia" w:hAnsiTheme="minorEastAsia" w:eastAsiaTheme="minorEastAsia" w:cstheme="minorEastAsia"/>
                <w:color w:val="auto"/>
                <w:kern w:val="2"/>
                <w:sz w:val="24"/>
                <w:szCs w:val="24"/>
                <w:highlight w:val="none"/>
                <w:lang w:val="en-US" w:eastAsia="zh-CN" w:bidi="ar-SA"/>
              </w:rPr>
              <w:t>对</w:t>
            </w:r>
            <w:r>
              <w:rPr>
                <w:rFonts w:hint="eastAsia" w:asciiTheme="minorEastAsia" w:hAnsiTheme="minorEastAsia" w:eastAsiaTheme="minorEastAsia" w:cstheme="minorEastAsia"/>
                <w:color w:val="auto"/>
                <w:kern w:val="2"/>
                <w:sz w:val="24"/>
                <w:szCs w:val="24"/>
                <w:highlight w:val="none"/>
                <w:lang w:val="zh-TW" w:eastAsia="zh-TW" w:bidi="ar-SA"/>
              </w:rPr>
              <w:t>重修学生名单和补修学生名单进行筛选</w:t>
            </w:r>
            <w:r>
              <w:rPr>
                <w:rFonts w:hint="eastAsia" w:asciiTheme="minorEastAsia" w:hAnsiTheme="minorEastAsia" w:eastAsiaTheme="minorEastAsia" w:cstheme="minorEastAsia"/>
                <w:color w:val="auto"/>
                <w:kern w:val="2"/>
                <w:sz w:val="24"/>
                <w:szCs w:val="24"/>
                <w:highlight w:val="none"/>
                <w:lang w:val="zh-TW" w:eastAsia="zh-CN" w:bidi="ar-SA"/>
              </w:rPr>
              <w:t>，并设置自修报名范围和报名时间。</w:t>
            </w:r>
          </w:p>
          <w:p w14:paraId="123738B5">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TW" w:eastAsia="zh-CN" w:bidi="ar-SA"/>
              </w:rPr>
            </w:pPr>
            <w:r>
              <w:rPr>
                <w:rFonts w:hint="eastAsia" w:asciiTheme="minorEastAsia" w:hAnsiTheme="minorEastAsia" w:eastAsiaTheme="minorEastAsia" w:cstheme="minorEastAsia"/>
                <w:color w:val="auto"/>
                <w:kern w:val="2"/>
                <w:sz w:val="24"/>
                <w:szCs w:val="24"/>
                <w:highlight w:val="none"/>
                <w:lang w:val="zh-TW" w:eastAsia="zh-CN" w:bidi="ar-SA"/>
              </w:rPr>
              <w:t>2.可对自修报名的学生进行审核。</w:t>
            </w:r>
          </w:p>
          <w:p w14:paraId="59F8AA0A">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TW" w:eastAsia="zh-TW" w:bidi="ar-SA"/>
              </w:rPr>
            </w:pPr>
            <w:r>
              <w:rPr>
                <w:rFonts w:hint="eastAsia" w:asciiTheme="minorEastAsia" w:hAnsiTheme="minorEastAsia" w:eastAsiaTheme="minorEastAsia" w:cstheme="minorEastAsia"/>
                <w:color w:val="auto"/>
                <w:kern w:val="2"/>
                <w:sz w:val="24"/>
                <w:szCs w:val="24"/>
                <w:highlight w:val="none"/>
                <w:lang w:val="zh-TW" w:eastAsia="zh-TW" w:bidi="ar-SA"/>
              </w:rPr>
              <w:t>3.</w:t>
            </w:r>
            <w:r>
              <w:rPr>
                <w:rFonts w:hint="eastAsia" w:asciiTheme="minorEastAsia" w:hAnsiTheme="minorEastAsia" w:eastAsiaTheme="minorEastAsia" w:cstheme="minorEastAsia"/>
                <w:color w:val="auto"/>
                <w:kern w:val="2"/>
                <w:sz w:val="24"/>
                <w:szCs w:val="24"/>
                <w:highlight w:val="none"/>
                <w:lang w:val="zh-TW" w:eastAsia="zh-CN" w:bidi="ar-SA"/>
              </w:rPr>
              <w:t>支持自修学生单独开班，学生课表备注中显示自修教学班。</w:t>
            </w:r>
          </w:p>
        </w:tc>
      </w:tr>
      <w:tr w14:paraId="26699E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25D23D97">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142BA668">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考级管理</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145F4516">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TW" w:eastAsia="zh-TW" w:bidi="ar-SA"/>
              </w:rPr>
            </w:pPr>
            <w:r>
              <w:rPr>
                <w:rFonts w:hint="eastAsia" w:asciiTheme="minorEastAsia" w:hAnsiTheme="minorEastAsia" w:eastAsiaTheme="minorEastAsia" w:cstheme="minorEastAsia"/>
                <w:color w:val="auto"/>
                <w:kern w:val="2"/>
                <w:sz w:val="24"/>
                <w:szCs w:val="24"/>
                <w:highlight w:val="none"/>
                <w:lang w:val="zh-TW" w:eastAsia="zh-TW" w:bidi="ar-SA"/>
              </w:rPr>
              <w:t>1.可对等级考试进行管理，包括等级考试类别设置、等级设置、成绩分项设置、报名管理、成绩录入设置、预警管理等，并与毕业管理关联，对需要审核等级考试和职业资格证考试的专业和学生进行资格审核。</w:t>
            </w:r>
          </w:p>
          <w:p w14:paraId="5517A611">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TW" w:eastAsia="zh-TW" w:bidi="ar-SA"/>
              </w:rPr>
            </w:pPr>
            <w:r>
              <w:rPr>
                <w:rFonts w:hint="eastAsia" w:asciiTheme="minorEastAsia" w:hAnsiTheme="minorEastAsia" w:eastAsiaTheme="minorEastAsia" w:cstheme="minorEastAsia"/>
                <w:color w:val="auto"/>
                <w:kern w:val="2"/>
                <w:sz w:val="24"/>
                <w:szCs w:val="24"/>
                <w:highlight w:val="none"/>
                <w:lang w:val="zh-TW" w:eastAsia="zh-TW" w:bidi="ar-SA"/>
              </w:rPr>
              <w:t>2.可批量导入等级考试的成绩及资格证书；</w:t>
            </w:r>
          </w:p>
          <w:p w14:paraId="2F05DA8B">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TW" w:eastAsia="zh-TW" w:bidi="ar-SA"/>
              </w:rPr>
            </w:pPr>
            <w:r>
              <w:rPr>
                <w:rFonts w:hint="eastAsia" w:asciiTheme="minorEastAsia" w:hAnsiTheme="minorEastAsia" w:eastAsiaTheme="minorEastAsia" w:cstheme="minorEastAsia"/>
                <w:color w:val="auto"/>
                <w:kern w:val="2"/>
                <w:sz w:val="24"/>
                <w:szCs w:val="24"/>
                <w:highlight w:val="none"/>
                <w:lang w:val="zh-TW" w:eastAsia="zh-TW" w:bidi="ar-SA"/>
              </w:rPr>
              <w:t>3.可统一对不同报名时间、考试时间的等级考试分类管理；</w:t>
            </w:r>
          </w:p>
          <w:p w14:paraId="428A95A5">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TW" w:eastAsia="zh-CN" w:bidi="ar-SA"/>
              </w:rPr>
            </w:pPr>
            <w:r>
              <w:rPr>
                <w:rFonts w:hint="eastAsia" w:asciiTheme="minorEastAsia" w:hAnsiTheme="minorEastAsia" w:eastAsiaTheme="minorEastAsia" w:cstheme="minorEastAsia"/>
                <w:color w:val="auto"/>
                <w:kern w:val="2"/>
                <w:sz w:val="24"/>
                <w:szCs w:val="24"/>
                <w:highlight w:val="none"/>
                <w:lang w:val="zh-TW" w:eastAsia="zh-CN" w:bidi="ar-SA"/>
              </w:rPr>
              <w:t>4.支持设置报名条件及报名时间，在学生端进行登记考试报名，支持手机端报名；</w:t>
            </w:r>
          </w:p>
          <w:p w14:paraId="0508212E">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zh-TW" w:eastAsia="zh-CN" w:bidi="ar-SA"/>
              </w:rPr>
            </w:pPr>
            <w:r>
              <w:rPr>
                <w:rFonts w:hint="eastAsia" w:asciiTheme="minorEastAsia" w:hAnsiTheme="minorEastAsia" w:eastAsiaTheme="minorEastAsia" w:cstheme="minorEastAsia"/>
                <w:color w:val="auto"/>
                <w:kern w:val="2"/>
                <w:sz w:val="24"/>
                <w:szCs w:val="24"/>
                <w:highlight w:val="none"/>
                <w:lang w:val="zh-TW" w:eastAsia="zh-CN" w:bidi="ar-SA"/>
              </w:rPr>
              <w:t>5.</w:t>
            </w:r>
            <w:r>
              <w:rPr>
                <w:rFonts w:hint="eastAsia" w:asciiTheme="minorEastAsia" w:hAnsiTheme="minorEastAsia" w:eastAsiaTheme="minorEastAsia" w:cstheme="minorEastAsia"/>
                <w:color w:val="auto"/>
                <w:kern w:val="2"/>
                <w:sz w:val="24"/>
                <w:szCs w:val="24"/>
                <w:highlight w:val="none"/>
                <w:lang w:val="zh-TW" w:eastAsia="zh-TW" w:bidi="ar-SA"/>
              </w:rPr>
              <w:t>可统一对学生的等级考试、职业资格证考试的成绩和通过情况进行单独或批量管理及导出</w:t>
            </w:r>
            <w:r>
              <w:rPr>
                <w:rFonts w:hint="eastAsia" w:asciiTheme="minorEastAsia" w:hAnsiTheme="minorEastAsia" w:eastAsiaTheme="minorEastAsia" w:cstheme="minorEastAsia"/>
                <w:color w:val="auto"/>
                <w:kern w:val="2"/>
                <w:sz w:val="24"/>
                <w:szCs w:val="24"/>
                <w:highlight w:val="none"/>
                <w:lang w:val="zh-TW" w:eastAsia="zh-CN" w:bidi="ar-SA"/>
              </w:rPr>
              <w:t>；</w:t>
            </w:r>
          </w:p>
          <w:p w14:paraId="04514698">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6.普通话考试报名模块：支持管理员发布普通话考试时间、场次等信息。学生可在系统内查看考试信息并提交报名，自动留存报名学生的具体信息，便于统计。</w:t>
            </w:r>
          </w:p>
        </w:tc>
      </w:tr>
      <w:tr w14:paraId="216CC7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032697CA">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664E0334">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微应用平台</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331F5432">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1.支持教务系统管理员自主从应用中心添加单位应用，并为应用设置应用管理员。指定应用所属分类，并对分类进行编辑、删除、上/下移动操作；支持对应用进行跨分类拖拽排序。</w:t>
            </w:r>
          </w:p>
          <w:p w14:paraId="13C22B22">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2.对应用及分类的调整，实时同步到移动端。</w:t>
            </w:r>
          </w:p>
          <w:p w14:paraId="0244A774">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3.可以针对不同角色指定不同应用。</w:t>
            </w:r>
          </w:p>
          <w:p w14:paraId="321DA044">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w:t>
            </w:r>
            <w:r>
              <w:rPr>
                <w:rFonts w:hint="eastAsia" w:asciiTheme="minorEastAsia" w:hAnsiTheme="minorEastAsia" w:eastAsiaTheme="minorEastAsia" w:cstheme="minorEastAsia"/>
                <w:color w:val="auto"/>
                <w:kern w:val="2"/>
                <w:sz w:val="24"/>
                <w:szCs w:val="24"/>
                <w:highlight w:val="none"/>
                <w:lang w:val="zh-CN" w:eastAsia="zh-CN" w:bidi="ar-SA"/>
              </w:rPr>
              <w:t>平台提供以下数据采集工具，表单、审批、空间预约、座位预约、图标、咨询采集、知识挑战等；</w:t>
            </w:r>
          </w:p>
          <w:p w14:paraId="5E96498C">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支持通过url的方式添加自建应用。支持自定义应用的名称、图标、应用详情、应用截图、应用的移动端链接地址、pc端链接地址、后台地址、数据中心地址、统计展示页地址、门户对接地址、大数据屏对接地址。</w:t>
            </w:r>
          </w:p>
        </w:tc>
      </w:tr>
      <w:tr w14:paraId="68B91C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079FED72">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282B56CC">
            <w:pPr>
              <w:pStyle w:val="43"/>
              <w:pageBreakBefore w:val="0"/>
              <w:framePr w:wrap="auto" w:vAnchor="margin" w:hAnchor="text" w:yAlign="inline"/>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门户管理</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5C40271D">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1.★门户系统应支持业内标准的门户框架，提供标准接口和部署的应用组件，可以与不同应用系统或组件进行连接和组合。</w:t>
            </w:r>
          </w:p>
          <w:p w14:paraId="78C5D470">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2.门户系统符合技术设计要求和系统性能整体要求，并基于数据存储性能以及稳定性要求进行整体设计。</w:t>
            </w:r>
          </w:p>
          <w:p w14:paraId="67F87101">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3.具有较高的可用性，建立完善的数据备份与恢复机制，支持异地容灾；充分利用Cluster技术，实现负载与容错处理。支持万级用户同时在线。</w:t>
            </w:r>
          </w:p>
          <w:p w14:paraId="4A0AEDCE">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4.可以对门户的背景进行设置，可以将门户主题色修改为任意颜色；</w:t>
            </w:r>
          </w:p>
          <w:p w14:paraId="464B36BF">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针对首页模块配置，提供基础模块和应用模块两类模块类型，基础模块包括图标列表、图文列表、轮播图、多图列表、搜索、文本列表；应用模块可以显示管理平台内对接进门户的应用。应用模块可以显示管理平台内对接进门户的应用。</w:t>
            </w:r>
          </w:p>
        </w:tc>
      </w:tr>
      <w:tr w14:paraId="18EEEE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1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0DC95F38">
            <w:pPr>
              <w:pStyle w:val="43"/>
              <w:pageBreakBefore w:val="0"/>
              <w:framePr w:wrap="auto" w:vAnchor="margin" w:hAnchor="text" w:yAlign="inline"/>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31412A4D">
            <w:pPr>
              <w:pStyle w:val="3"/>
              <w:pageBreakBefore w:val="0"/>
              <w:numPr>
                <w:ilvl w:val="1"/>
                <w:numId w:val="0"/>
              </w:numPr>
              <w:kinsoku/>
              <w:wordWrap/>
              <w:overflowPunct/>
              <w:topLinePunct w:val="0"/>
              <w:autoSpaceDE/>
              <w:autoSpaceDN/>
              <w:bidi w:val="0"/>
              <w:spacing w:after="0" w:afterLines="0" w:line="360" w:lineRule="auto"/>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val="0"/>
                <w:color w:val="auto"/>
                <w:kern w:val="0"/>
                <w:sz w:val="24"/>
                <w:szCs w:val="24"/>
                <w:highlight w:val="none"/>
                <w:lang w:val="en-US" w:eastAsia="zh-CN" w:bidi="ar-SA"/>
              </w:rPr>
              <w:t>智能客服</w:t>
            </w:r>
          </w:p>
        </w:tc>
        <w:tc>
          <w:tcPr>
            <w:tcW w:w="631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14:paraId="48FB8E92">
            <w:pPr>
              <w:pStyle w:val="4"/>
              <w:pageBreakBefore w:val="0"/>
              <w:numPr>
                <w:ilvl w:val="2"/>
                <w:numId w:val="0"/>
              </w:numPr>
              <w:kinsoku/>
              <w:wordWrap/>
              <w:overflowPunct/>
              <w:topLinePunct w:val="0"/>
              <w:autoSpaceDE/>
              <w:autoSpaceDN/>
              <w:bidi w:val="0"/>
              <w:spacing w:after="0" w:afterLines="0" w:line="360" w:lineRule="auto"/>
              <w:ind w:left="0" w:leftChars="0" w:firstLine="0" w:firstLineChars="0"/>
              <w:textAlignment w:val="auto"/>
              <w:rPr>
                <w:rFonts w:hint="eastAsia" w:asciiTheme="minorEastAsia" w:hAnsiTheme="minorEastAsia" w:eastAsiaTheme="minorEastAsia" w:cstheme="minorEastAsia"/>
                <w:bCs w:val="0"/>
                <w:color w:val="auto"/>
                <w:kern w:val="2"/>
                <w:sz w:val="24"/>
                <w:szCs w:val="24"/>
                <w:highlight w:val="none"/>
                <w:lang w:val="en-US" w:eastAsia="zh-CN" w:bidi="ar-SA"/>
              </w:rPr>
            </w:pPr>
            <w:r>
              <w:rPr>
                <w:rFonts w:hint="eastAsia" w:asciiTheme="minorEastAsia" w:hAnsiTheme="minorEastAsia" w:eastAsiaTheme="minorEastAsia" w:cstheme="minorEastAsia"/>
                <w:bCs w:val="0"/>
                <w:color w:val="auto"/>
                <w:kern w:val="2"/>
                <w:sz w:val="24"/>
                <w:szCs w:val="24"/>
                <w:highlight w:val="none"/>
                <w:lang w:val="en-US" w:eastAsia="zh-CN" w:bidi="ar-SA"/>
              </w:rPr>
              <w:t>1.机器人智能解答</w:t>
            </w:r>
          </w:p>
          <w:p w14:paraId="4542678D">
            <w:pPr>
              <w:pageBreakBefore w:val="0"/>
              <w:numPr>
                <w:ilvl w:val="0"/>
                <w:numId w:val="0"/>
              </w:numPr>
              <w:kinsoku/>
              <w:wordWrap/>
              <w:overflowPunct/>
              <w:topLinePunct w:val="0"/>
              <w:autoSpaceDE/>
              <w:autoSpaceDN/>
              <w:bidi w:val="0"/>
              <w:spacing w:afterAutospacing="0"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（1）自定义添加、编辑、删除业务问答分类，分类数量无限制。</w:t>
            </w:r>
          </w:p>
          <w:p w14:paraId="17DA7A8B">
            <w:pPr>
              <w:pageBreakBefore w:val="0"/>
              <w:numPr>
                <w:ilvl w:val="0"/>
                <w:numId w:val="0"/>
              </w:numPr>
              <w:kinsoku/>
              <w:wordWrap/>
              <w:overflowPunct/>
              <w:topLinePunct w:val="0"/>
              <w:autoSpaceDE/>
              <w:autoSpaceDN/>
              <w:bidi w:val="0"/>
              <w:spacing w:afterAutospacing="0"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（2）自定义添加、编辑、删除、批量导入、批量导出、批量删除业务问答规则，业务问答规则数量无限制。</w:t>
            </w:r>
          </w:p>
          <w:p w14:paraId="60F81A54">
            <w:pPr>
              <w:pageBreakBefore w:val="0"/>
              <w:numPr>
                <w:ilvl w:val="0"/>
                <w:numId w:val="0"/>
              </w:numPr>
              <w:kinsoku/>
              <w:wordWrap/>
              <w:overflowPunct/>
              <w:topLinePunct w:val="0"/>
              <w:autoSpaceDE/>
              <w:autoSpaceDN/>
              <w:bidi w:val="0"/>
              <w:spacing w:afterAutospacing="0"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（3）机器人自动对没有答案的问题描述进行关键词识别并统计聚类，按照关键词问答频率由高到低排序，同时可以批量导出未知问题。</w:t>
            </w:r>
          </w:p>
          <w:p w14:paraId="690A2CA6">
            <w:pPr>
              <w:pageBreakBefore w:val="0"/>
              <w:numPr>
                <w:ilvl w:val="0"/>
                <w:numId w:val="0"/>
              </w:numPr>
              <w:kinsoku/>
              <w:wordWrap/>
              <w:overflowPunct/>
              <w:topLinePunct w:val="0"/>
              <w:autoSpaceDE/>
              <w:autoSpaceDN/>
              <w:bidi w:val="0"/>
              <w:spacing w:afterAutospacing="0"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（4）支持手工添加未知问题到业务问答规则，并支持自定义修改。</w:t>
            </w:r>
          </w:p>
          <w:p w14:paraId="1136EBE2">
            <w:pPr>
              <w:pageBreakBefore w:val="0"/>
              <w:numPr>
                <w:ilvl w:val="0"/>
                <w:numId w:val="0"/>
              </w:numPr>
              <w:kinsoku/>
              <w:wordWrap/>
              <w:overflowPunct/>
              <w:topLinePunct w:val="0"/>
              <w:autoSpaceDE/>
              <w:autoSpaceDN/>
              <w:bidi w:val="0"/>
              <w:spacing w:afterAutospacing="0"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（5）支持自动忽略无意义的问法，比如无效数字字母的组合。</w:t>
            </w:r>
          </w:p>
          <w:p w14:paraId="73D7DF71">
            <w:pPr>
              <w:pageBreakBefore w:val="0"/>
              <w:numPr>
                <w:ilvl w:val="0"/>
                <w:numId w:val="0"/>
              </w:numPr>
              <w:kinsoku/>
              <w:wordWrap/>
              <w:overflowPunct/>
              <w:topLinePunct w:val="0"/>
              <w:autoSpaceDE/>
              <w:autoSpaceDN/>
              <w:bidi w:val="0"/>
              <w:spacing w:afterAutospacing="0"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（6）知识问答，内置知识图谱，可以回答常识类问题，比如“红楼梦作者是不是曹雪芹？”。</w:t>
            </w:r>
          </w:p>
          <w:p w14:paraId="21D4DCEB">
            <w:pPr>
              <w:pStyle w:val="4"/>
              <w:pageBreakBefore w:val="0"/>
              <w:numPr>
                <w:ilvl w:val="2"/>
                <w:numId w:val="0"/>
              </w:numPr>
              <w:kinsoku/>
              <w:wordWrap/>
              <w:overflowPunct/>
              <w:topLinePunct w:val="0"/>
              <w:autoSpaceDE/>
              <w:autoSpaceDN/>
              <w:bidi w:val="0"/>
              <w:spacing w:before="0" w:beforeLines="0" w:beforeAutospacing="0" w:after="0" w:afterLines="0" w:line="360" w:lineRule="auto"/>
              <w:ind w:left="0" w:leftChars="0" w:firstLine="0" w:firstLineChars="0"/>
              <w:textAlignment w:val="auto"/>
              <w:rPr>
                <w:rFonts w:hint="eastAsia" w:asciiTheme="minorEastAsia" w:hAnsiTheme="minorEastAsia" w:eastAsiaTheme="minorEastAsia" w:cstheme="minorEastAsia"/>
                <w:bCs w:val="0"/>
                <w:color w:val="auto"/>
                <w:kern w:val="2"/>
                <w:sz w:val="24"/>
                <w:szCs w:val="24"/>
                <w:highlight w:val="none"/>
                <w:lang w:val="en-US" w:eastAsia="zh-CN" w:bidi="ar-SA"/>
              </w:rPr>
            </w:pPr>
            <w:r>
              <w:rPr>
                <w:rFonts w:hint="eastAsia" w:asciiTheme="minorEastAsia" w:hAnsiTheme="minorEastAsia" w:eastAsiaTheme="minorEastAsia" w:cstheme="minorEastAsia"/>
                <w:bCs w:val="0"/>
                <w:color w:val="auto"/>
                <w:kern w:val="2"/>
                <w:sz w:val="24"/>
                <w:szCs w:val="24"/>
                <w:highlight w:val="none"/>
                <w:lang w:val="en-US" w:eastAsia="zh-CN" w:bidi="ar-SA"/>
              </w:rPr>
              <w:t>2.人工客服服务</w:t>
            </w:r>
          </w:p>
          <w:p w14:paraId="7B77FD33">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（1）人工客服会话窗口可以直接添加业务问答规则。</w:t>
            </w:r>
          </w:p>
          <w:p w14:paraId="5FF954C7">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（2）★支持人工客服分组功能，支持访客选择不同业务组开始对话，比如“成绩查询”“排课表”。</w:t>
            </w:r>
          </w:p>
          <w:p w14:paraId="3F416D50">
            <w:pPr>
              <w:pageBreakBefore w:val="0"/>
              <w:numPr>
                <w:ilvl w:val="0"/>
                <w:numId w:val="0"/>
              </w:numPr>
              <w:kinsoku/>
              <w:wordWrap/>
              <w:overflowPunct/>
              <w:topLinePunct w:val="0"/>
              <w:autoSpaceDE/>
              <w:autoSpaceDN/>
              <w:bidi w:val="0"/>
              <w:spacing w:line="360" w:lineRule="auto"/>
              <w:ind w:left="0" w:leftChars="0" w:firstLine="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（3）支持设置通过触发未知问题、关键词、点击转人工客服按钮等来实现自动转接人工客服。</w:t>
            </w:r>
          </w:p>
        </w:tc>
      </w:tr>
    </w:tbl>
    <w:p w14:paraId="34305E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（三）实验室管理平台参数</w:t>
      </w:r>
    </w:p>
    <w:tbl>
      <w:tblPr>
        <w:tblStyle w:val="22"/>
        <w:tblW w:w="8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812"/>
        <w:gridCol w:w="1063"/>
        <w:gridCol w:w="6287"/>
      </w:tblGrid>
      <w:tr w14:paraId="32E7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center"/>
          </w:tcPr>
          <w:p w14:paraId="657477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812" w:type="dxa"/>
            <w:noWrap w:val="0"/>
            <w:vAlign w:val="center"/>
          </w:tcPr>
          <w:p w14:paraId="0BEE69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产品模块</w:t>
            </w:r>
          </w:p>
        </w:tc>
        <w:tc>
          <w:tcPr>
            <w:tcW w:w="1063" w:type="dxa"/>
            <w:noWrap w:val="0"/>
            <w:vAlign w:val="center"/>
          </w:tcPr>
          <w:p w14:paraId="58F660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功能模块</w:t>
            </w:r>
          </w:p>
        </w:tc>
        <w:tc>
          <w:tcPr>
            <w:tcW w:w="6287" w:type="dxa"/>
            <w:noWrap w:val="0"/>
            <w:vAlign w:val="center"/>
          </w:tcPr>
          <w:p w14:paraId="63D49F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技术参数</w:t>
            </w:r>
          </w:p>
        </w:tc>
      </w:tr>
      <w:tr w14:paraId="2E19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0BBEDB3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12" w:type="dxa"/>
            <w:vMerge w:val="restart"/>
            <w:noWrap w:val="0"/>
            <w:vAlign w:val="top"/>
          </w:tcPr>
          <w:p w14:paraId="3343E7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实验室安全准入教育系统</w:t>
            </w:r>
          </w:p>
        </w:tc>
        <w:tc>
          <w:tcPr>
            <w:tcW w:w="1063" w:type="dxa"/>
            <w:noWrap w:val="0"/>
            <w:vAlign w:val="top"/>
          </w:tcPr>
          <w:p w14:paraId="0D1F8F5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基础架构</w:t>
            </w:r>
          </w:p>
        </w:tc>
        <w:tc>
          <w:tcPr>
            <w:tcW w:w="6287" w:type="dxa"/>
            <w:noWrap w:val="0"/>
            <w:vAlign w:val="top"/>
          </w:tcPr>
          <w:p w14:paraId="728EF85B">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1.1系统设计满足大规模用户使用，采用云服务的部署方式。</w:t>
            </w:r>
          </w:p>
          <w:p w14:paraId="405E6801">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1.2系统提供APP移动客户端，需支持iOS和Android系统，并与PC端安全教育平台对接，支持实验室安全课程学习和管理。</w:t>
            </w:r>
          </w:p>
          <w:p w14:paraId="38B7D711">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1.3系统提供专属门户，采用B/S结构，基于J2EE架构，页面采用Web2.0 AJAX开发。门户支持用户账号登录，数据能同移动APP对接。</w:t>
            </w:r>
          </w:p>
          <w:p w14:paraId="0D54F476">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1.4系统支持实验室安全课程创建、学习过程跟踪和控制、在线测试和作业发布、交流互动、成绩评测等教学流程。</w:t>
            </w:r>
          </w:p>
          <w:p w14:paraId="4A77BB12">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1.5可建立学生、教师、管理员、超级管理员等角色，各级管理员也可以根据自身的需求创建角色和为角色指定权限。</w:t>
            </w:r>
          </w:p>
        </w:tc>
      </w:tr>
      <w:tr w14:paraId="60AD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477E41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812" w:type="dxa"/>
            <w:vMerge w:val="continue"/>
            <w:noWrap w:val="0"/>
            <w:vAlign w:val="top"/>
          </w:tcPr>
          <w:p w14:paraId="7680AC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p>
        </w:tc>
        <w:tc>
          <w:tcPr>
            <w:tcW w:w="1063" w:type="dxa"/>
            <w:noWrap w:val="0"/>
            <w:vAlign w:val="top"/>
          </w:tcPr>
          <w:p w14:paraId="2C42FDA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实验室安全课程</w:t>
            </w:r>
          </w:p>
        </w:tc>
        <w:tc>
          <w:tcPr>
            <w:tcW w:w="6287" w:type="dxa"/>
            <w:noWrap w:val="0"/>
            <w:vAlign w:val="top"/>
          </w:tcPr>
          <w:p w14:paraId="1DF31CC8">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2.1★系统提供的实验室安全课程包括但不限于以下主题：实验室安全管理基础、实验室个体安全防护、实验室消防安全、实验室水电安全、实验室废弃物安全、事故急救与应急处理、化学化工类实验室安全、生物医学类实验室安全、机械机电类实验室安全等。</w:t>
            </w:r>
          </w:p>
          <w:p w14:paraId="69A54521">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2.2系统提供《生物实验室安全》《医学实验室安全》《化学与化工实验室安全》等</w:t>
            </w:r>
            <w:r>
              <w:rPr>
                <w:rFonts w:hint="eastAsia" w:asciiTheme="minorEastAsia" w:hAnsiTheme="minorEastAsia" w:eastAsiaTheme="minorEastAsia" w:cstheme="minorEastAsia"/>
                <w:color w:val="auto"/>
                <w:kern w:val="2"/>
                <w:sz w:val="24"/>
                <w:szCs w:val="24"/>
                <w:lang w:val="en-US" w:eastAsia="zh-Hans" w:bidi="ar-SA"/>
              </w:rPr>
              <w:t>，课程总数应不少于</w:t>
            </w:r>
            <w:r>
              <w:rPr>
                <w:rFonts w:hint="eastAsia" w:asciiTheme="minorEastAsia" w:hAnsiTheme="minorEastAsia" w:eastAsiaTheme="minorEastAsia" w:cstheme="minorEastAsia"/>
                <w:color w:val="auto"/>
                <w:kern w:val="2"/>
                <w:sz w:val="24"/>
                <w:szCs w:val="24"/>
                <w:lang w:val="en-US" w:eastAsia="zh-CN" w:bidi="ar-SA"/>
              </w:rPr>
              <w:t>14</w:t>
            </w:r>
            <w:r>
              <w:rPr>
                <w:rFonts w:hint="eastAsia" w:asciiTheme="minorEastAsia" w:hAnsiTheme="minorEastAsia" w:eastAsiaTheme="minorEastAsia" w:cstheme="minorEastAsia"/>
                <w:color w:val="auto"/>
                <w:kern w:val="2"/>
                <w:sz w:val="24"/>
                <w:szCs w:val="24"/>
                <w:lang w:val="en-US" w:eastAsia="zh-Hans" w:bidi="ar-SA"/>
              </w:rPr>
              <w:t>门</w:t>
            </w:r>
            <w:r>
              <w:rPr>
                <w:rFonts w:hint="eastAsia" w:asciiTheme="minorEastAsia" w:hAnsiTheme="minorEastAsia" w:eastAsiaTheme="minorEastAsia" w:cstheme="minorEastAsia"/>
                <w:color w:val="auto"/>
                <w:kern w:val="2"/>
                <w:sz w:val="24"/>
                <w:szCs w:val="24"/>
                <w:lang w:val="en-US" w:eastAsia="zh-CN" w:bidi="ar-SA"/>
              </w:rPr>
              <w:t>。</w:t>
            </w:r>
          </w:p>
          <w:p w14:paraId="48B414C0">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2.3系统提供的课程课时数不少于150课时，总视频时长不低于7000分钟。</w:t>
            </w:r>
          </w:p>
          <w:p w14:paraId="2962AF2C">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2.4学校可根据教学实际情况自主组合知识模块。</w:t>
            </w:r>
          </w:p>
          <w:p w14:paraId="41E83EDA">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2.5★</w:t>
            </w:r>
            <w:r>
              <w:rPr>
                <w:rFonts w:hint="eastAsia" w:asciiTheme="minorEastAsia" w:hAnsiTheme="minorEastAsia" w:eastAsiaTheme="minorEastAsia" w:cstheme="minorEastAsia"/>
                <w:color w:val="auto"/>
                <w:kern w:val="2"/>
                <w:sz w:val="24"/>
                <w:szCs w:val="24"/>
                <w:lang w:val="en-US" w:eastAsia="zh-Hans" w:bidi="ar-SA"/>
              </w:rPr>
              <w:t xml:space="preserve">系统需包含图文知识等实验室安全辅学资源，图文数量不低于15篇，内容应包含以下10个分类：消防安全、水电安全、化学安全、气瓶安全、辐射安全、特种设备安全、电气实验室安全、生物实验室安全、机械实验室安全、医学实验室安全。 </w:t>
            </w:r>
          </w:p>
          <w:p w14:paraId="521EBED9">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2.6</w:t>
            </w:r>
            <w:r>
              <w:rPr>
                <w:rFonts w:hint="eastAsia" w:asciiTheme="minorEastAsia" w:hAnsiTheme="minorEastAsia" w:eastAsiaTheme="minorEastAsia" w:cstheme="minorEastAsia"/>
                <w:color w:val="auto"/>
                <w:kern w:val="2"/>
                <w:sz w:val="24"/>
                <w:szCs w:val="24"/>
                <w:lang w:val="en-US" w:eastAsia="zh-Hans" w:bidi="ar-SA"/>
              </w:rPr>
              <w:t>系统需包含实验室安全警示案例不少于30个，案例视频中需介绍事故原因分析、如何避免意外对人的伤害以及如何做好应急处理措施。至少包含气瓶事故、危化品事故、机械事故、辐射事故。</w:t>
            </w:r>
          </w:p>
        </w:tc>
      </w:tr>
      <w:tr w14:paraId="1D0B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731B0B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812" w:type="dxa"/>
            <w:vMerge w:val="continue"/>
            <w:noWrap w:val="0"/>
            <w:vAlign w:val="top"/>
          </w:tcPr>
          <w:p w14:paraId="0B69E4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p>
        </w:tc>
        <w:tc>
          <w:tcPr>
            <w:tcW w:w="1063" w:type="dxa"/>
            <w:noWrap w:val="0"/>
            <w:vAlign w:val="top"/>
          </w:tcPr>
          <w:p w14:paraId="065DDC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实验室在线学习系统</w:t>
            </w:r>
          </w:p>
        </w:tc>
        <w:tc>
          <w:tcPr>
            <w:tcW w:w="6287" w:type="dxa"/>
            <w:noWrap w:val="0"/>
            <w:vAlign w:val="top"/>
          </w:tcPr>
          <w:p w14:paraId="5F6261AD">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3.1教师可以将课程章节内视频、图书、作业等内容设置为任务点，要求学生必须完成。</w:t>
            </w:r>
          </w:p>
          <w:p w14:paraId="6E641CE1">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3.2★教师可以针对每一个教学班对每个章节学习内容进行“开放、定时开放、闯关模式开放、隐藏章节”等设置。</w:t>
            </w:r>
          </w:p>
          <w:p w14:paraId="40A4C07B">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3.3可以跟踪记录并统计基于每个学生的学习进度、课程登录次数、在线时长、视频观看的遍数等多项学习考核指标。</w:t>
            </w:r>
          </w:p>
          <w:p w14:paraId="13BD1CCA">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3.4★支持防止快进、防止窗口切换的功能，并且采用顺序解锁的方式控制学习进度，可在任意视频节点插入PPT、测验、图片等内容。</w:t>
            </w:r>
          </w:p>
          <w:p w14:paraId="662C10A0">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3.5支持11种字幕语言自由转换，包含英语、德语、法语、西班牙语、俄语、日语等常用语言。并可对字幕颜色、字体、位置进行单独设置。</w:t>
            </w:r>
          </w:p>
        </w:tc>
      </w:tr>
      <w:tr w14:paraId="5EBA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0ACFA04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812" w:type="dxa"/>
            <w:vMerge w:val="continue"/>
            <w:noWrap w:val="0"/>
            <w:vAlign w:val="top"/>
          </w:tcPr>
          <w:p w14:paraId="142C8F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p>
        </w:tc>
        <w:tc>
          <w:tcPr>
            <w:tcW w:w="1063" w:type="dxa"/>
            <w:noWrap w:val="0"/>
            <w:vAlign w:val="top"/>
          </w:tcPr>
          <w:p w14:paraId="063176E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实验室准入考试系统</w:t>
            </w:r>
          </w:p>
        </w:tc>
        <w:tc>
          <w:tcPr>
            <w:tcW w:w="6287" w:type="dxa"/>
            <w:noWrap w:val="0"/>
            <w:vAlign w:val="top"/>
          </w:tcPr>
          <w:p w14:paraId="0824C36E">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4.1★考试系统有对应的题库，数量不低于4000道。涵盖实验室水电安全、实验室个体安全防护、实验室消防安全、事故急救与应急处理、实验室废弃物处理、实验室安全管理基础、特种设备实验室、生物实验室、机械实验室、化学实验室、辐射实验室等多个分类。</w:t>
            </w:r>
          </w:p>
          <w:p w14:paraId="02AC2EE1">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4.2教师可以创建课程试题库，对试题库进行管理，包括添加、修改、删除、查询、浏览等功能。</w:t>
            </w:r>
          </w:p>
          <w:p w14:paraId="7C262BA2">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4.3从课程题库中组卷考试，教师可以输入试卷名称、出卷时间，可手动选题，也可设定题型、数量、难易度后系统随机生成模拟试卷。</w:t>
            </w:r>
          </w:p>
          <w:p w14:paraId="7670C9C3">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4.4支持网页端在线考试、PC客户端和手机APP在线考试。</w:t>
            </w:r>
          </w:p>
          <w:p w14:paraId="24EA776F">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4.5成绩管理：可根据课程音视频、直播和考试等对成绩进行综合评定；并能导出成绩（电子表格格式）、打印合格证书。</w:t>
            </w:r>
          </w:p>
          <w:p w14:paraId="778EA098">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4.6监考教师可实时查看每位考生是否进入考试、进入时间、当前状态、IP地址、人脸识别情况、切屏次数。</w:t>
            </w:r>
          </w:p>
        </w:tc>
      </w:tr>
      <w:tr w14:paraId="419A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0660FA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812" w:type="dxa"/>
            <w:vMerge w:val="continue"/>
            <w:noWrap w:val="0"/>
            <w:vAlign w:val="top"/>
          </w:tcPr>
          <w:p w14:paraId="4AE276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p>
        </w:tc>
        <w:tc>
          <w:tcPr>
            <w:tcW w:w="1063" w:type="dxa"/>
            <w:noWrap w:val="0"/>
            <w:vAlign w:val="top"/>
          </w:tcPr>
          <w:p w14:paraId="70A888D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实验室知识自测系统</w:t>
            </w:r>
          </w:p>
        </w:tc>
        <w:tc>
          <w:tcPr>
            <w:tcW w:w="6287" w:type="dxa"/>
            <w:noWrap w:val="0"/>
            <w:vAlign w:val="top"/>
          </w:tcPr>
          <w:p w14:paraId="1D545273">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IE" w:eastAsia="zh-CN" w:bidi="ar-SA"/>
              </w:rPr>
            </w:pPr>
            <w:r>
              <w:rPr>
                <w:rFonts w:hint="eastAsia" w:asciiTheme="minorEastAsia" w:hAnsiTheme="minorEastAsia" w:eastAsiaTheme="minorEastAsia" w:cstheme="minorEastAsia"/>
                <w:color w:val="auto"/>
                <w:kern w:val="2"/>
                <w:sz w:val="24"/>
                <w:szCs w:val="24"/>
                <w:lang w:val="en-IE" w:eastAsia="zh-CN" w:bidi="ar-SA"/>
              </w:rPr>
              <w:t>系统预设实验室安全自测练习题库，可以根据实际需求自定义题库数量和内容；自测内容可与学生所学课程内容相匹配。</w:t>
            </w:r>
          </w:p>
          <w:p w14:paraId="67DD7813">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IE" w:eastAsia="zh-CN" w:bidi="ar-SA"/>
              </w:rPr>
            </w:pPr>
            <w:r>
              <w:rPr>
                <w:rFonts w:hint="eastAsia" w:asciiTheme="minorEastAsia" w:hAnsiTheme="minorEastAsia" w:eastAsiaTheme="minorEastAsia" w:cstheme="minorEastAsia"/>
                <w:color w:val="auto"/>
                <w:kern w:val="2"/>
                <w:sz w:val="24"/>
                <w:szCs w:val="24"/>
                <w:lang w:val="en-IE" w:eastAsia="zh-CN" w:bidi="ar-SA"/>
              </w:rPr>
              <w:t>5.2题库题型至少包含单选题、多选题、判断题，自测练习题库不得使用与考试相同题库。</w:t>
            </w:r>
          </w:p>
          <w:p w14:paraId="73ECA27A">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IE" w:eastAsia="zh-CN" w:bidi="ar-SA"/>
              </w:rPr>
            </w:pPr>
            <w:r>
              <w:rPr>
                <w:rFonts w:hint="eastAsia" w:asciiTheme="minorEastAsia" w:hAnsiTheme="minorEastAsia" w:eastAsiaTheme="minorEastAsia" w:cstheme="minorEastAsia"/>
                <w:color w:val="auto"/>
                <w:kern w:val="2"/>
                <w:sz w:val="24"/>
                <w:szCs w:val="24"/>
                <w:lang w:val="en-IE" w:eastAsia="zh-CN" w:bidi="ar-SA"/>
              </w:rPr>
              <w:t>5.3支持章节自测、模拟考试、同学PK等模式。</w:t>
            </w:r>
          </w:p>
          <w:p w14:paraId="7242B4F9">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IE" w:eastAsia="zh-CN" w:bidi="ar-SA"/>
              </w:rPr>
            </w:pPr>
            <w:r>
              <w:rPr>
                <w:rFonts w:hint="eastAsia" w:asciiTheme="minorEastAsia" w:hAnsiTheme="minorEastAsia" w:eastAsiaTheme="minorEastAsia" w:cstheme="minorEastAsia"/>
                <w:color w:val="auto"/>
                <w:kern w:val="2"/>
                <w:sz w:val="24"/>
                <w:szCs w:val="24"/>
                <w:lang w:val="en-IE" w:eastAsia="zh-CN" w:bidi="ar-SA"/>
              </w:rPr>
              <w:t>5.4学生完成自测后，系统自动批阅，学生通过查看试卷详情可查看作答情况，对照正确答案。</w:t>
            </w:r>
          </w:p>
        </w:tc>
      </w:tr>
      <w:tr w14:paraId="58F2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2A9B04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812" w:type="dxa"/>
            <w:vMerge w:val="continue"/>
            <w:noWrap w:val="0"/>
            <w:vAlign w:val="top"/>
          </w:tcPr>
          <w:p w14:paraId="1AD755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p>
        </w:tc>
        <w:tc>
          <w:tcPr>
            <w:tcW w:w="1063" w:type="dxa"/>
            <w:noWrap w:val="0"/>
            <w:vAlign w:val="top"/>
          </w:tcPr>
          <w:p w14:paraId="465D853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实验室知识点积分式学习</w:t>
            </w:r>
          </w:p>
        </w:tc>
        <w:tc>
          <w:tcPr>
            <w:tcW w:w="6287" w:type="dxa"/>
            <w:noWrap w:val="0"/>
            <w:vAlign w:val="top"/>
          </w:tcPr>
          <w:p w14:paraId="55D6DB8C">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6.1知识点</w:t>
            </w:r>
            <w:r>
              <w:rPr>
                <w:rFonts w:hint="eastAsia" w:asciiTheme="minorEastAsia" w:hAnsiTheme="minorEastAsia" w:eastAsiaTheme="minorEastAsia" w:cstheme="minorEastAsia"/>
                <w:color w:val="auto"/>
                <w:kern w:val="2"/>
                <w:sz w:val="24"/>
                <w:szCs w:val="24"/>
                <w:lang w:val="en-US" w:eastAsia="zh-Hans" w:bidi="ar-SA"/>
              </w:rPr>
              <w:t>积分学习</w:t>
            </w:r>
            <w:r>
              <w:rPr>
                <w:rFonts w:hint="eastAsia" w:asciiTheme="minorEastAsia" w:hAnsiTheme="minorEastAsia" w:eastAsiaTheme="minorEastAsia" w:cstheme="minorEastAsia"/>
                <w:color w:val="auto"/>
                <w:kern w:val="2"/>
                <w:sz w:val="24"/>
                <w:szCs w:val="24"/>
                <w:lang w:val="en-US" w:eastAsia="zh-CN" w:bidi="ar-SA"/>
              </w:rPr>
              <w:t>中，支持在专用后台设置总积分、视频观看时长总积分、阅读时长总积分、测验题答题总积分的最低值，以及每日获得总积分、笔记每日积分、讨论每日积分的最大值。</w:t>
            </w:r>
          </w:p>
          <w:p w14:paraId="25A40FF0">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6.2知识点</w:t>
            </w:r>
            <w:r>
              <w:rPr>
                <w:rFonts w:hint="eastAsia" w:asciiTheme="minorEastAsia" w:hAnsiTheme="minorEastAsia" w:eastAsiaTheme="minorEastAsia" w:cstheme="minorEastAsia"/>
                <w:color w:val="auto"/>
                <w:kern w:val="2"/>
                <w:sz w:val="24"/>
                <w:szCs w:val="24"/>
                <w:lang w:val="en-US" w:eastAsia="zh-Hans" w:bidi="ar-SA"/>
              </w:rPr>
              <w:t>积分学习</w:t>
            </w:r>
            <w:r>
              <w:rPr>
                <w:rFonts w:hint="eastAsia" w:asciiTheme="minorEastAsia" w:hAnsiTheme="minorEastAsia" w:eastAsiaTheme="minorEastAsia" w:cstheme="minorEastAsia"/>
                <w:color w:val="auto"/>
                <w:kern w:val="2"/>
                <w:sz w:val="24"/>
                <w:szCs w:val="24"/>
                <w:lang w:val="en-US" w:eastAsia="zh-CN" w:bidi="ar-SA"/>
              </w:rPr>
              <w:t>课程中，日常学习考核以积分制模式进行。学生在系统内发生学习行为时，系统可以根据校方预先设置的分数值，自动记录其行为对应的分数。</w:t>
            </w:r>
          </w:p>
          <w:p w14:paraId="1502C8FB">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6.3知识点</w:t>
            </w:r>
            <w:r>
              <w:rPr>
                <w:rFonts w:hint="eastAsia" w:asciiTheme="minorEastAsia" w:hAnsiTheme="minorEastAsia" w:eastAsiaTheme="minorEastAsia" w:cstheme="minorEastAsia"/>
                <w:color w:val="auto"/>
                <w:kern w:val="2"/>
                <w:sz w:val="24"/>
                <w:szCs w:val="24"/>
                <w:lang w:val="en-US" w:eastAsia="zh-Hans" w:bidi="ar-SA"/>
              </w:rPr>
              <w:t>积分学习</w:t>
            </w:r>
            <w:r>
              <w:rPr>
                <w:rFonts w:hint="eastAsia" w:asciiTheme="minorEastAsia" w:hAnsiTheme="minorEastAsia" w:eastAsiaTheme="minorEastAsia" w:cstheme="minorEastAsia"/>
                <w:color w:val="auto"/>
                <w:kern w:val="2"/>
                <w:sz w:val="24"/>
                <w:szCs w:val="24"/>
                <w:lang w:val="en-US" w:eastAsia="zh-CN" w:bidi="ar-SA"/>
              </w:rPr>
              <w:t>课程中，用户可自主选择是否设置期末考试。期末考试采取百分制形式，根据预先选定的知识点随机组卷进行考核。</w:t>
            </w:r>
          </w:p>
          <w:p w14:paraId="29EF0524">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6.4知识点</w:t>
            </w:r>
            <w:r>
              <w:rPr>
                <w:rFonts w:hint="eastAsia" w:asciiTheme="minorEastAsia" w:hAnsiTheme="minorEastAsia" w:eastAsiaTheme="minorEastAsia" w:cstheme="minorEastAsia"/>
                <w:color w:val="auto"/>
                <w:kern w:val="2"/>
                <w:sz w:val="24"/>
                <w:szCs w:val="24"/>
                <w:lang w:val="en-US" w:eastAsia="zh-Hans" w:bidi="ar-SA"/>
              </w:rPr>
              <w:t>积分学习</w:t>
            </w:r>
            <w:r>
              <w:rPr>
                <w:rFonts w:hint="eastAsia" w:asciiTheme="minorEastAsia" w:hAnsiTheme="minorEastAsia" w:eastAsiaTheme="minorEastAsia" w:cstheme="minorEastAsia"/>
                <w:color w:val="auto"/>
                <w:kern w:val="2"/>
                <w:sz w:val="24"/>
                <w:szCs w:val="24"/>
                <w:lang w:val="en-US" w:eastAsia="zh-CN" w:bidi="ar-SA"/>
              </w:rPr>
              <w:t>课程中，需支持搜索知识点功能，允许学生根据自身需求对知识点进行搜索，也可查看预先设置的推荐知识点、必学知识点。教师可根据自身需求，将特定知识点设置为推荐知识点或必学知识点，引导学生学习。</w:t>
            </w:r>
          </w:p>
          <w:p w14:paraId="58E3C411">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6.5★知识点</w:t>
            </w:r>
            <w:r>
              <w:rPr>
                <w:rFonts w:hint="eastAsia" w:asciiTheme="minorEastAsia" w:hAnsiTheme="minorEastAsia" w:eastAsiaTheme="minorEastAsia" w:cstheme="minorEastAsia"/>
                <w:color w:val="auto"/>
                <w:kern w:val="2"/>
                <w:sz w:val="24"/>
                <w:szCs w:val="24"/>
                <w:lang w:val="en-US" w:eastAsia="zh-Hans" w:bidi="ar-SA"/>
              </w:rPr>
              <w:t>积分学习</w:t>
            </w:r>
            <w:r>
              <w:rPr>
                <w:rFonts w:hint="eastAsia" w:asciiTheme="minorEastAsia" w:hAnsiTheme="minorEastAsia" w:eastAsiaTheme="minorEastAsia" w:cstheme="minorEastAsia"/>
                <w:color w:val="auto"/>
                <w:kern w:val="2"/>
                <w:sz w:val="24"/>
                <w:szCs w:val="24"/>
                <w:lang w:val="en-US" w:eastAsia="zh-CN" w:bidi="ar-SA"/>
              </w:rPr>
              <w:t>课程中，积分情况及计分规则需允许学生随时查看。支持学生查看个人学习记录，包括该次学习记录对应的知识点名称、学习时间、学习进度，方便学生随时继续学习或进行复习。</w:t>
            </w:r>
          </w:p>
        </w:tc>
      </w:tr>
      <w:tr w14:paraId="5DBF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431C86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812" w:type="dxa"/>
            <w:vMerge w:val="continue"/>
            <w:noWrap w:val="0"/>
            <w:vAlign w:val="top"/>
          </w:tcPr>
          <w:p w14:paraId="181805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p>
        </w:tc>
        <w:tc>
          <w:tcPr>
            <w:tcW w:w="1063" w:type="dxa"/>
            <w:noWrap w:val="0"/>
            <w:vAlign w:val="top"/>
          </w:tcPr>
          <w:p w14:paraId="150E5F5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课程数据统计</w:t>
            </w:r>
          </w:p>
        </w:tc>
        <w:tc>
          <w:tcPr>
            <w:tcW w:w="6287" w:type="dxa"/>
            <w:noWrap w:val="0"/>
            <w:vAlign w:val="top"/>
          </w:tcPr>
          <w:p w14:paraId="2B948F69">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7.1平台支持对助教教师及学生的行为进行记录与分析。包括学生使用各模块学习的时间分配、学习次数，学生学习教学资料、参与辅助教学的情况汇总；提供教师工作行为记录分析，包括教师使用各模块教学的时间分配、教学次数。</w:t>
            </w:r>
          </w:p>
          <w:p w14:paraId="2CC53E63">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7.2采用多种手段对某一课程的教学效果进行在线实时统计，对班级成绩进行统计分析，对教师、学生行为进行统计分析，支持表单和图表样式显示结果，可以导出统计结果。</w:t>
            </w:r>
          </w:p>
          <w:p w14:paraId="3A48EEC2">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7.3★</w:t>
            </w:r>
            <w:r>
              <w:rPr>
                <w:rFonts w:hint="eastAsia" w:asciiTheme="minorEastAsia" w:hAnsiTheme="minorEastAsia" w:eastAsiaTheme="minorEastAsia" w:cstheme="minorEastAsia"/>
                <w:color w:val="auto"/>
                <w:kern w:val="2"/>
                <w:sz w:val="24"/>
                <w:szCs w:val="24"/>
                <w:lang w:val="en-US" w:eastAsia="zh-Hans" w:bidi="ar-SA"/>
              </w:rPr>
              <w:t>平台需统计并展示各二级院系所</w:t>
            </w:r>
            <w:r>
              <w:rPr>
                <w:rFonts w:hint="eastAsia" w:asciiTheme="minorEastAsia" w:hAnsiTheme="minorEastAsia" w:eastAsiaTheme="minorEastAsia" w:cstheme="minorEastAsia"/>
                <w:color w:val="auto"/>
                <w:kern w:val="2"/>
                <w:sz w:val="24"/>
                <w:szCs w:val="24"/>
                <w:lang w:val="en-US" w:eastAsia="zh-CN" w:bidi="ar-SA"/>
              </w:rPr>
              <w:t>开设</w:t>
            </w:r>
            <w:r>
              <w:rPr>
                <w:rFonts w:hint="eastAsia" w:asciiTheme="minorEastAsia" w:hAnsiTheme="minorEastAsia" w:eastAsiaTheme="minorEastAsia" w:cstheme="minorEastAsia"/>
                <w:color w:val="auto"/>
                <w:kern w:val="2"/>
                <w:sz w:val="24"/>
                <w:szCs w:val="24"/>
                <w:lang w:val="en-US" w:eastAsia="zh-Hans" w:bidi="ar-SA"/>
              </w:rPr>
              <w:t>实验室安全课程的课程名称、每门课程的应学习人数、已学习人数、通过人数、通过率。统计维度应包含院系、专业、班级三层级别。</w:t>
            </w:r>
          </w:p>
        </w:tc>
      </w:tr>
      <w:tr w14:paraId="24A3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07E981E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812" w:type="dxa"/>
            <w:vMerge w:val="continue"/>
            <w:noWrap w:val="0"/>
            <w:vAlign w:val="top"/>
          </w:tcPr>
          <w:p w14:paraId="517D06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p>
        </w:tc>
        <w:tc>
          <w:tcPr>
            <w:tcW w:w="1063" w:type="dxa"/>
            <w:noWrap w:val="0"/>
            <w:vAlign w:val="top"/>
          </w:tcPr>
          <w:p w14:paraId="2975CF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证书管理</w:t>
            </w:r>
          </w:p>
        </w:tc>
        <w:tc>
          <w:tcPr>
            <w:tcW w:w="6287" w:type="dxa"/>
            <w:noWrap w:val="0"/>
            <w:vAlign w:val="top"/>
          </w:tcPr>
          <w:p w14:paraId="1F2E9EC7">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Hans" w:bidi="ar-SA"/>
              </w:rPr>
            </w:pPr>
            <w:r>
              <w:rPr>
                <w:rFonts w:hint="eastAsia" w:asciiTheme="minorEastAsia" w:hAnsiTheme="minorEastAsia" w:eastAsiaTheme="minorEastAsia" w:cstheme="minorEastAsia"/>
                <w:color w:val="auto"/>
                <w:kern w:val="2"/>
                <w:sz w:val="24"/>
                <w:szCs w:val="24"/>
                <w:lang w:val="en-US" w:eastAsia="zh-Hans" w:bidi="ar-SA"/>
              </w:rPr>
              <w:t>8.1系统需包含实验室证书发放功能模块，可根据实际情况选择自动发放证书、选人发放、导入名单发放三种模式。</w:t>
            </w:r>
          </w:p>
          <w:p w14:paraId="4CADE317">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Hans" w:bidi="ar-SA"/>
              </w:rPr>
            </w:pPr>
            <w:r>
              <w:rPr>
                <w:rFonts w:hint="eastAsia" w:asciiTheme="minorEastAsia" w:hAnsiTheme="minorEastAsia" w:eastAsiaTheme="minorEastAsia" w:cstheme="minorEastAsia"/>
                <w:color w:val="auto"/>
                <w:kern w:val="2"/>
                <w:sz w:val="24"/>
                <w:szCs w:val="24"/>
                <w:lang w:val="en-US" w:eastAsia="zh-Hans" w:bidi="ar-SA"/>
              </w:rPr>
              <w:t>8.2课程内自动发放证书功能可设置课程综合成绩达到具体分数和章节任务点完成率达到具体百分比两种形式。</w:t>
            </w:r>
          </w:p>
        </w:tc>
      </w:tr>
      <w:tr w14:paraId="2278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061A769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812" w:type="dxa"/>
            <w:vMerge w:val="restart"/>
            <w:noWrap w:val="0"/>
            <w:vAlign w:val="top"/>
          </w:tcPr>
          <w:p w14:paraId="285A53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实验室安全检查系统</w:t>
            </w:r>
          </w:p>
        </w:tc>
        <w:tc>
          <w:tcPr>
            <w:tcW w:w="1063" w:type="dxa"/>
            <w:noWrap w:val="0"/>
            <w:vAlign w:val="top"/>
          </w:tcPr>
          <w:p w14:paraId="13D166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系统设计</w:t>
            </w:r>
          </w:p>
        </w:tc>
        <w:tc>
          <w:tcPr>
            <w:tcW w:w="6287" w:type="dxa"/>
            <w:noWrap w:val="0"/>
            <w:vAlign w:val="top"/>
          </w:tcPr>
          <w:p w14:paraId="593753B0">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9.1实现实验室安全督查工作全面信息化：平台要全面支持高校当前实验室安全检查工作，包括基本信息管理、日常巡检、专项检查、隐患上报。</w:t>
            </w:r>
          </w:p>
          <w:p w14:paraId="40A40054">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9.2APP端支持满足用户专属定制的首页页面，根据业务需要可配置相应应用功能。</w:t>
            </w:r>
          </w:p>
        </w:tc>
      </w:tr>
      <w:tr w14:paraId="66FA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30A823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812" w:type="dxa"/>
            <w:vMerge w:val="continue"/>
            <w:noWrap w:val="0"/>
            <w:vAlign w:val="top"/>
          </w:tcPr>
          <w:p w14:paraId="6D4BFF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p>
        </w:tc>
        <w:tc>
          <w:tcPr>
            <w:tcW w:w="1063" w:type="dxa"/>
            <w:noWrap w:val="0"/>
            <w:vAlign w:val="top"/>
          </w:tcPr>
          <w:p w14:paraId="40F4A2C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单位基本信息管理功能</w:t>
            </w:r>
          </w:p>
        </w:tc>
        <w:tc>
          <w:tcPr>
            <w:tcW w:w="6287" w:type="dxa"/>
            <w:noWrap w:val="0"/>
            <w:vAlign w:val="top"/>
          </w:tcPr>
          <w:p w14:paraId="404D9C70">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10.1以列表方式列出学校实验室组成，列示实验室名 称、所属院系、负责人、实验室详细位置、管理单位等信息、实验室安全等级、实验室、实验室危险源种类等。可针对不同分类的实验室、危险源灵活配置信息表。</w:t>
            </w:r>
          </w:p>
          <w:p w14:paraId="14B26C75">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10.2平台必须符合教育部相关法规、政策，内置</w:t>
            </w:r>
            <w:r>
              <w:rPr>
                <w:rFonts w:hint="eastAsia" w:asciiTheme="minorEastAsia" w:hAnsiTheme="minorEastAsia" w:eastAsiaTheme="minorEastAsia" w:cstheme="minorEastAsia"/>
                <w:color w:val="auto"/>
                <w:kern w:val="2"/>
                <w:sz w:val="24"/>
                <w:szCs w:val="24"/>
                <w:lang w:val="en-US" w:eastAsia="zh-Hans" w:bidi="ar-SA"/>
              </w:rPr>
              <w:t>三</w:t>
            </w:r>
            <w:r>
              <w:rPr>
                <w:rFonts w:hint="eastAsia" w:asciiTheme="minorEastAsia" w:hAnsiTheme="minorEastAsia" w:eastAsiaTheme="minorEastAsia" w:cstheme="minorEastAsia"/>
                <w:color w:val="auto"/>
                <w:kern w:val="2"/>
                <w:sz w:val="24"/>
                <w:szCs w:val="24"/>
                <w:lang w:val="en-US" w:eastAsia="zh-CN" w:bidi="ar-SA"/>
              </w:rPr>
              <w:t>百多项教育部最新安全检查规范，并可根据教育部最新规范及时更新。可上传教育部的安全检查项表。</w:t>
            </w:r>
          </w:p>
          <w:p w14:paraId="3089B41E">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10.3提供人员基本信息的维护、浏览及检索功能。通过设置所属实验室，将人员设置为实验室专职人员。</w:t>
            </w:r>
          </w:p>
          <w:p w14:paraId="68D51CE2">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10.4系统应设定不同权限的用户群组，包含实验室管理员、实验室安全管理员、院系实验室管理员、校级实验室管理员、教师、学生等。可自定义系统中不同角色用户的权限，实现多级管理。支持存储本系统操作人员账号。</w:t>
            </w:r>
          </w:p>
          <w:p w14:paraId="23CA003A">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10.5实验室管理：包括对实验室信息的管理，有新增（支持批量导入、批量导出）、修改、删除。</w:t>
            </w:r>
          </w:p>
          <w:p w14:paraId="15E8CFD2">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10.6岗位管理：自定义岗位名称和操作权限。</w:t>
            </w:r>
          </w:p>
          <w:p w14:paraId="18866BD8">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10.7★系统支持导出实验室专属二维码信息</w:t>
            </w:r>
          </w:p>
        </w:tc>
      </w:tr>
      <w:tr w14:paraId="7F42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490D850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812" w:type="dxa"/>
            <w:vMerge w:val="continue"/>
            <w:noWrap w:val="0"/>
            <w:vAlign w:val="top"/>
          </w:tcPr>
          <w:p w14:paraId="5C3B6F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p>
        </w:tc>
        <w:tc>
          <w:tcPr>
            <w:tcW w:w="1063" w:type="dxa"/>
            <w:noWrap w:val="0"/>
            <w:vAlign w:val="top"/>
          </w:tcPr>
          <w:p w14:paraId="7DEF91C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日常巡检功能</w:t>
            </w:r>
          </w:p>
        </w:tc>
        <w:tc>
          <w:tcPr>
            <w:tcW w:w="6287" w:type="dxa"/>
            <w:noWrap w:val="0"/>
            <w:vAlign w:val="top"/>
          </w:tcPr>
          <w:p w14:paraId="6820037D">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11.1检查任务：设定定向检查任务，明确检查内容，落实检查人员，形成固定的检查工作清单，并下发组织或者检查人员。</w:t>
            </w:r>
          </w:p>
          <w:p w14:paraId="64EA120F">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11.2★巡检点管理：支持将实验室与检查标准进行关联，用户可自定义匹配属于实验室的专属检查标准。确定后支持检查标准的增加、删除。</w:t>
            </w:r>
          </w:p>
          <w:p w14:paraId="22464266">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11.3巡检周期：支持日检、周检、月检三类周期性日常巡检。</w:t>
            </w:r>
          </w:p>
          <w:p w14:paraId="74AB08F0">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11.4手机端应具有专属于日常巡检用的功能页面，检查人在登录后可查看到归属于自己的检查任务，分为待检查、已检查两个独立页面。</w:t>
            </w:r>
          </w:p>
          <w:p w14:paraId="102C9BF3">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11.5检查任务列表中需显示实验室名称、对应的最晚检查时间、检查周期（日检、周检、月检）、实验室详细位置，便于检查人更好地定位到此次要检查的实验室。</w:t>
            </w:r>
          </w:p>
          <w:p w14:paraId="0CF37BDB">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11.6支持用户在检查任务中搜索实验室点位。</w:t>
            </w:r>
          </w:p>
          <w:p w14:paraId="147AB0CE">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11.7进入日常巡检中支持定位检查人目前所处的位置信息。</w:t>
            </w:r>
          </w:p>
          <w:p w14:paraId="21A3FEFB">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11.8进入日常巡检检查时，可针对实验室巡检点位对应的检查标准进行检查状态勾选，分为正常、异常两种类型。</w:t>
            </w:r>
          </w:p>
          <w:p w14:paraId="2915F646">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11.9检查人进行日常巡检时，检查状态若为异常时，支持用户上传照片，支持文字描述异常状态。</w:t>
            </w:r>
          </w:p>
          <w:p w14:paraId="02A5B2DA">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11.10检查人进行日常巡检后，可在手机移动端APP中的已检查中查看往期的检查记录，进行检查详情回顾。</w:t>
            </w:r>
          </w:p>
          <w:p w14:paraId="4EBD9ACF">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11.11管理员可在系统后台查看日常巡检检查记录，根据管理员级别，校级管理员、院校管理员可分级查看实验室日常巡检记录。</w:t>
            </w:r>
          </w:p>
          <w:p w14:paraId="5100FA93">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11.12巡检记录包含检查时间、实验室基本信息、检查人、巡检周期、检查时检查人的定位位置信息、检查详情。</w:t>
            </w:r>
          </w:p>
          <w:p w14:paraId="422BB586">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11.13检查记录支持筛选搜索功能，可对检查时间、实验室名称、检查人进行筛选搜索。检查时间支持年、月、日、小时进行筛选搜索。</w:t>
            </w:r>
          </w:p>
          <w:p w14:paraId="67F79A00">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11.14★整改追踪：对检查审核中发现的问题进行整改管理，下发整改执行人员，通知实验室检查人员，并进行追踪反馈。整改执行人员移动端可以收到整改任务，查看整改详情，可以上传整改后的图片和文字描述等，并对任务进行反馈，整个整改过程有进度显示，系统要求支持问题自动审核，整改自动下发。</w:t>
            </w:r>
          </w:p>
        </w:tc>
      </w:tr>
      <w:tr w14:paraId="2B82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783" w:type="dxa"/>
            <w:noWrap w:val="0"/>
            <w:vAlign w:val="top"/>
          </w:tcPr>
          <w:p w14:paraId="7BAC41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812" w:type="dxa"/>
            <w:vMerge w:val="continue"/>
            <w:noWrap w:val="0"/>
            <w:vAlign w:val="top"/>
          </w:tcPr>
          <w:p w14:paraId="72A902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p>
        </w:tc>
        <w:tc>
          <w:tcPr>
            <w:tcW w:w="1063" w:type="dxa"/>
            <w:noWrap w:val="0"/>
            <w:vAlign w:val="top"/>
          </w:tcPr>
          <w:p w14:paraId="0C35817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协同巡检功能</w:t>
            </w:r>
          </w:p>
        </w:tc>
        <w:tc>
          <w:tcPr>
            <w:tcW w:w="6287" w:type="dxa"/>
            <w:noWrap w:val="0"/>
            <w:vAlign w:val="top"/>
          </w:tcPr>
          <w:p w14:paraId="48FA88AC">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12.1为了满足学校实验室检查过程中人员不足、实验室众多且无法精确匹配实验室检查任务至单一负责人的情况，需多人共同协作承担多间实验室的检查任务；</w:t>
            </w:r>
          </w:p>
          <w:p w14:paraId="56CE2AF0">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12.2★系统支持创建协同巡检任务，任务创建时需明确实验室基础信息、巡检层级（如：校级、院级等）、巡检周期、巡检组成员（可支持多人，并支持跨学院、跨部门、跨层级）、检查标准等内容，明确检查任务的归属范围和管理权限。</w:t>
            </w:r>
          </w:p>
          <w:p w14:paraId="7096477E">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12.3手机端提供专属的协同巡检功能页面，巡检组成员在登录后可查看到归属于自己的检查任务，分为待检查、已检查两个独立页面。</w:t>
            </w:r>
          </w:p>
          <w:p w14:paraId="7D8C79D6">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12.4当巡检组中任一检查人员执行任务时，系统记录其为该任务的实际检查人。实际检查人员对巡检后续流程进行审核，巡检组内其余成员针对该任务仅有查看功能，无法进行后续操作。</w:t>
            </w:r>
          </w:p>
          <w:p w14:paraId="039318BA">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12.5检查任务列表中需显示实验室名称、巡检层级、巡检组成员、实验室详细位置等信息。</w:t>
            </w:r>
          </w:p>
          <w:p w14:paraId="7DC4DA4E">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12.6进入协同巡检检查时，实际检查人可针对检查标准勾选检查状态，分为正常、异常两种类型。检查状态若为异常，支持上传照片，支持文字描述异常状态。</w:t>
            </w:r>
          </w:p>
          <w:p w14:paraId="7815D5E5">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12.7实际检查人员进行协同巡检后，巡检组其余成员可在手机移动端应用中的已检查列表查看检查记录，进行检查详情回顾。</w:t>
            </w:r>
          </w:p>
          <w:p w14:paraId="0B00FB52">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12.8校级管理员可在系统后台查看协同巡检检查记录，根据管理员级别，分权限查看实验室巡检记录。</w:t>
            </w:r>
          </w:p>
          <w:p w14:paraId="670F5020">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12.9整改追踪：对检查审核中发现的问题进行整改管理，下发给实验室负责人，并进行追踪反馈。</w:t>
            </w:r>
          </w:p>
          <w:p w14:paraId="246F887C">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12.10★为便于精准查找未巡检记录，可对未巡检时间进行特定日期（含固定日期：某年某月某日；</w:t>
            </w:r>
          </w:p>
        </w:tc>
      </w:tr>
      <w:tr w14:paraId="5B41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78FAB1C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w:t>
            </w:r>
          </w:p>
        </w:tc>
        <w:tc>
          <w:tcPr>
            <w:tcW w:w="812" w:type="dxa"/>
            <w:vMerge w:val="continue"/>
            <w:noWrap w:val="0"/>
            <w:vAlign w:val="top"/>
          </w:tcPr>
          <w:p w14:paraId="50E674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p>
        </w:tc>
        <w:tc>
          <w:tcPr>
            <w:tcW w:w="1063" w:type="dxa"/>
            <w:noWrap w:val="0"/>
            <w:vAlign w:val="top"/>
          </w:tcPr>
          <w:p w14:paraId="26D6FEA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专项检查功能</w:t>
            </w:r>
          </w:p>
        </w:tc>
        <w:tc>
          <w:tcPr>
            <w:tcW w:w="6287" w:type="dxa"/>
            <w:noWrap w:val="0"/>
            <w:vAlign w:val="top"/>
          </w:tcPr>
          <w:p w14:paraId="75935DEE">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13.1系统支持创建专项检查任务，支持检查任务与检查对象一对一、一对多的多种应用场景下的专项检查。</w:t>
            </w:r>
          </w:p>
          <w:p w14:paraId="5DAF0E6D">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13.2创建专项检查时，可设定检查项目名称、专项检查的起止时间、检查范围、专项检查人员。</w:t>
            </w:r>
          </w:p>
          <w:p w14:paraId="3331F1D1">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13.3专项检查人支持多人共同检查的设定需求，支持设定多个检查人。</w:t>
            </w:r>
          </w:p>
          <w:p w14:paraId="70E69BC1">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13.4专项检查支持一个项目对应多个检查实验室时共用同一套检查标准。</w:t>
            </w:r>
          </w:p>
          <w:p w14:paraId="0E2C3C69">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13.5专项检查支持校级对院系、院系对其下属实验室的多种上级对下级的检查应用场景，支持校外专家对本校实验室进行专项检查。</w:t>
            </w:r>
          </w:p>
          <w:p w14:paraId="7CCF8F9B">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13.6★手机端应具有专属于专项检查的功能页面，检查人员在登录后可查看到归属于自己的专项检查任务，分为未完成、已完成、往期检查三个独立页面。</w:t>
            </w:r>
          </w:p>
        </w:tc>
      </w:tr>
      <w:tr w14:paraId="3457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5AE2BD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w:t>
            </w:r>
          </w:p>
        </w:tc>
        <w:tc>
          <w:tcPr>
            <w:tcW w:w="812" w:type="dxa"/>
            <w:vMerge w:val="continue"/>
            <w:noWrap w:val="0"/>
            <w:vAlign w:val="top"/>
          </w:tcPr>
          <w:p w14:paraId="16F751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p>
        </w:tc>
        <w:tc>
          <w:tcPr>
            <w:tcW w:w="1063" w:type="dxa"/>
            <w:noWrap w:val="0"/>
            <w:vAlign w:val="top"/>
          </w:tcPr>
          <w:p w14:paraId="12FFFE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隐患上报功能</w:t>
            </w:r>
          </w:p>
        </w:tc>
        <w:tc>
          <w:tcPr>
            <w:tcW w:w="6287" w:type="dxa"/>
            <w:noWrap w:val="0"/>
            <w:vAlign w:val="top"/>
          </w:tcPr>
          <w:p w14:paraId="7875D14E">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14.1手机端应具有专属的隐患上报功能模块</w:t>
            </w:r>
          </w:p>
          <w:p w14:paraId="79CD53FF">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14.2师生可以在移动端进行安全隐患上报，支持手动填写实验室名称、所在院系、隐患问题描述、隐患详细位置信息，支持隐患拍照功能。</w:t>
            </w:r>
          </w:p>
          <w:p w14:paraId="351A4227">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14.3</w:t>
            </w:r>
            <w:r>
              <w:rPr>
                <w:rFonts w:hint="eastAsia" w:asciiTheme="minorEastAsia" w:hAnsiTheme="minorEastAsia" w:eastAsiaTheme="minorEastAsia" w:cstheme="minorEastAsia"/>
                <w:color w:val="auto"/>
                <w:kern w:val="2"/>
                <w:sz w:val="24"/>
                <w:szCs w:val="24"/>
                <w:lang w:val="en-US" w:eastAsia="zh-Hans" w:bidi="ar-SA"/>
              </w:rPr>
              <w:t>隐患描述支持隐患库关键字搜索匹配和选择。</w:t>
            </w:r>
          </w:p>
          <w:p w14:paraId="1CD91DD7">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14.4移动端支持扫描专属于每个实验室的二维码信息，自动识别实验室基本信息，进行随手拍的快速安全隐患上报。</w:t>
            </w:r>
          </w:p>
          <w:p w14:paraId="4112624B">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14.5★隐患上报应具有完整的自动上报业务流程，发起隐患上报的发现人发送隐患问题到隐患接收人，并支持全程抄送。</w:t>
            </w:r>
          </w:p>
          <w:p w14:paraId="578CD69E">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14.6隐患接收人可根据隐患上报人上传的隐患问题进行逐一审核，排除无效的隐患上报，针对有安全隐患的问题进行整改回复。</w:t>
            </w:r>
          </w:p>
        </w:tc>
      </w:tr>
      <w:tr w14:paraId="1F20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1E0B68B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w:t>
            </w:r>
          </w:p>
        </w:tc>
        <w:tc>
          <w:tcPr>
            <w:tcW w:w="812" w:type="dxa"/>
            <w:vMerge w:val="continue"/>
            <w:noWrap w:val="0"/>
            <w:vAlign w:val="top"/>
          </w:tcPr>
          <w:p w14:paraId="616BAF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p>
        </w:tc>
        <w:tc>
          <w:tcPr>
            <w:tcW w:w="1063" w:type="dxa"/>
            <w:noWrap w:val="0"/>
            <w:vAlign w:val="top"/>
          </w:tcPr>
          <w:p w14:paraId="36CC86B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统计查询</w:t>
            </w:r>
          </w:p>
        </w:tc>
        <w:tc>
          <w:tcPr>
            <w:tcW w:w="6287" w:type="dxa"/>
            <w:noWrap w:val="0"/>
            <w:vAlign w:val="top"/>
          </w:tcPr>
          <w:p w14:paraId="641B741D">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15.1支持通过检索时间段、检查任务、被检单位、被检实验查看和导出相应的隐患台账（检查任务、隐患类别、隐患描述、整改期限、整改状态、整改责任人等）。</w:t>
            </w:r>
          </w:p>
          <w:p w14:paraId="0A52AF47">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15.2★支持通过检索时间段、检查任务、被检单位、被检实验室，以统计图、表等形式展示检查频次、隐患分类、隐患整改状态、整改达标情况等统计信息。</w:t>
            </w:r>
          </w:p>
        </w:tc>
      </w:tr>
      <w:tr w14:paraId="4B11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7D84BA0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w:t>
            </w:r>
          </w:p>
        </w:tc>
        <w:tc>
          <w:tcPr>
            <w:tcW w:w="812" w:type="dxa"/>
            <w:vMerge w:val="restart"/>
            <w:noWrap w:val="0"/>
            <w:vAlign w:val="top"/>
          </w:tcPr>
          <w:p w14:paraId="431301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危化品管理系统</w:t>
            </w:r>
          </w:p>
        </w:tc>
        <w:tc>
          <w:tcPr>
            <w:tcW w:w="1063" w:type="dxa"/>
            <w:noWrap w:val="0"/>
            <w:vAlign w:val="top"/>
          </w:tcPr>
          <w:p w14:paraId="15516E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基础数据管理</w:t>
            </w:r>
          </w:p>
        </w:tc>
        <w:tc>
          <w:tcPr>
            <w:tcW w:w="6287" w:type="dxa"/>
            <w:noWrap w:val="0"/>
            <w:vAlign w:val="top"/>
          </w:tcPr>
          <w:p w14:paraId="5ABF9287">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16.1支持数据字典管理，支持自定义添加计量单位、包装单位、危化品分类、受管制类别信息。</w:t>
            </w:r>
          </w:p>
          <w:p w14:paraId="6C85381F">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16.2支持类别库管理，可自定义添加类别，类别信息包含危化品分类目录（爆炸品、压缩气体、易燃物资、有毒有害物品、放射、腐蚀物品）、类别编号、类别名称及简称。</w:t>
            </w:r>
          </w:p>
          <w:p w14:paraId="3FB4E518">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16.3支持基础物资库管理，对基础物资进行新增、编辑、删除操作，包含CAS号、物资名称、物资分类、计量单位、规格型号、包装信息。</w:t>
            </w:r>
          </w:p>
        </w:tc>
      </w:tr>
      <w:tr w14:paraId="6454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79F1A9F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w:t>
            </w:r>
          </w:p>
        </w:tc>
        <w:tc>
          <w:tcPr>
            <w:tcW w:w="812" w:type="dxa"/>
            <w:vMerge w:val="continue"/>
            <w:noWrap w:val="0"/>
            <w:vAlign w:val="top"/>
          </w:tcPr>
          <w:p w14:paraId="43AF7A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lang w:eastAsia="zh-Hans"/>
              </w:rPr>
            </w:pPr>
          </w:p>
        </w:tc>
        <w:tc>
          <w:tcPr>
            <w:tcW w:w="1063" w:type="dxa"/>
            <w:noWrap w:val="0"/>
            <w:vAlign w:val="top"/>
          </w:tcPr>
          <w:p w14:paraId="4BAEAF9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流程管理</w:t>
            </w:r>
          </w:p>
        </w:tc>
        <w:tc>
          <w:tcPr>
            <w:tcW w:w="6287" w:type="dxa"/>
            <w:noWrap w:val="0"/>
            <w:vAlign w:val="top"/>
          </w:tcPr>
          <w:p w14:paraId="314DC2B5">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17.1系统支持审批流程的自定义管理，可自定义设置申购、入库、领用、归还、</w:t>
            </w:r>
            <w:r>
              <w:rPr>
                <w:rFonts w:hint="eastAsia" w:asciiTheme="minorEastAsia" w:hAnsiTheme="minorEastAsia" w:eastAsiaTheme="minorEastAsia" w:cstheme="minorEastAsia"/>
                <w:color w:val="auto"/>
                <w:kern w:val="2"/>
                <w:sz w:val="24"/>
                <w:szCs w:val="24"/>
                <w:lang w:val="en-US" w:eastAsia="zh-Hans" w:bidi="ar-SA"/>
              </w:rPr>
              <w:t>报废</w:t>
            </w:r>
            <w:r>
              <w:rPr>
                <w:rFonts w:hint="eastAsia" w:asciiTheme="minorEastAsia" w:hAnsiTheme="minorEastAsia" w:eastAsiaTheme="minorEastAsia" w:cstheme="minorEastAsia"/>
                <w:color w:val="auto"/>
                <w:kern w:val="2"/>
                <w:sz w:val="24"/>
                <w:szCs w:val="24"/>
                <w:lang w:val="en-US" w:eastAsia="zh-CN" w:bidi="ar-SA"/>
              </w:rPr>
              <w:t>的申请审批，支持添加多级审批，</w:t>
            </w:r>
            <w:r>
              <w:rPr>
                <w:rFonts w:hint="eastAsia" w:asciiTheme="minorEastAsia" w:hAnsiTheme="minorEastAsia" w:eastAsiaTheme="minorEastAsia" w:cstheme="minorEastAsia"/>
                <w:color w:val="auto"/>
                <w:kern w:val="2"/>
                <w:sz w:val="24"/>
                <w:szCs w:val="24"/>
                <w:lang w:val="en-US" w:eastAsia="zh-Hans" w:bidi="ar-SA"/>
              </w:rPr>
              <w:t>支持自定义审批角色组。</w:t>
            </w:r>
          </w:p>
          <w:p w14:paraId="158FF98F">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17.2用户可以在线填写所需化学品的申购申请单，申购单中包括品名、规格、单位、需求数量、类别、备注、价格等信息。</w:t>
            </w:r>
          </w:p>
          <w:p w14:paraId="085CC5D0">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17.3★系统可根据学校实际管理流程对化学品的申购审批，进行自定义设置审批流程；</w:t>
            </w:r>
          </w:p>
          <w:p w14:paraId="2E39EC31">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17.4在</w:t>
            </w:r>
            <w:r>
              <w:rPr>
                <w:rFonts w:hint="eastAsia" w:asciiTheme="minorEastAsia" w:hAnsiTheme="minorEastAsia" w:eastAsiaTheme="minorEastAsia" w:cstheme="minorEastAsia"/>
                <w:color w:val="auto"/>
                <w:kern w:val="2"/>
                <w:sz w:val="24"/>
                <w:szCs w:val="24"/>
                <w:lang w:val="en-US" w:eastAsia="zh-Hans" w:bidi="ar-SA"/>
              </w:rPr>
              <w:t>申购审批详情</w:t>
            </w:r>
            <w:r>
              <w:rPr>
                <w:rFonts w:hint="eastAsia" w:asciiTheme="minorEastAsia" w:hAnsiTheme="minorEastAsia" w:eastAsiaTheme="minorEastAsia" w:cstheme="minorEastAsia"/>
                <w:color w:val="auto"/>
                <w:kern w:val="2"/>
                <w:sz w:val="24"/>
                <w:szCs w:val="24"/>
                <w:lang w:val="en-US" w:eastAsia="zh-CN" w:bidi="ar-SA"/>
              </w:rPr>
              <w:t>页面，可以查看每条申请单的当前状态，以及各个节点的审批人审批时间等痕迹信息。</w:t>
            </w:r>
          </w:p>
          <w:p w14:paraId="60EA88A1">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17.5</w:t>
            </w:r>
            <w:r>
              <w:rPr>
                <w:rFonts w:hint="eastAsia" w:asciiTheme="minorEastAsia" w:hAnsiTheme="minorEastAsia" w:eastAsiaTheme="minorEastAsia" w:cstheme="minorEastAsia"/>
                <w:color w:val="auto"/>
                <w:kern w:val="2"/>
                <w:sz w:val="24"/>
                <w:szCs w:val="24"/>
                <w:lang w:val="en-US" w:eastAsia="zh-Hans" w:bidi="ar-SA"/>
              </w:rPr>
              <w:t>危化品</w:t>
            </w:r>
            <w:r>
              <w:rPr>
                <w:rFonts w:hint="eastAsia" w:asciiTheme="minorEastAsia" w:hAnsiTheme="minorEastAsia" w:eastAsiaTheme="minorEastAsia" w:cstheme="minorEastAsia"/>
                <w:color w:val="auto"/>
                <w:kern w:val="2"/>
                <w:sz w:val="24"/>
                <w:szCs w:val="24"/>
                <w:lang w:val="en-US" w:eastAsia="zh-CN" w:bidi="ar-SA"/>
              </w:rPr>
              <w:t>入库支持导入和手动添加方式</w:t>
            </w:r>
          </w:p>
          <w:p w14:paraId="2387849F">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17.6管理人员可通过系统实现对入库登记信息的审批，系统支持批量审批；</w:t>
            </w:r>
            <w:r>
              <w:rPr>
                <w:rFonts w:hint="eastAsia" w:asciiTheme="minorEastAsia" w:hAnsiTheme="minorEastAsia" w:eastAsiaTheme="minorEastAsia" w:cstheme="minorEastAsia"/>
                <w:color w:val="auto"/>
                <w:kern w:val="2"/>
                <w:sz w:val="24"/>
                <w:szCs w:val="24"/>
                <w:lang w:val="en-US" w:eastAsia="zh-Hans" w:bidi="ar-SA"/>
              </w:rPr>
              <w:t>审批</w:t>
            </w:r>
            <w:r>
              <w:rPr>
                <w:rFonts w:hint="eastAsia" w:asciiTheme="minorEastAsia" w:hAnsiTheme="minorEastAsia" w:eastAsiaTheme="minorEastAsia" w:cstheme="minorEastAsia"/>
                <w:color w:val="auto"/>
                <w:kern w:val="2"/>
                <w:sz w:val="24"/>
                <w:szCs w:val="24"/>
                <w:lang w:val="en-US" w:eastAsia="zh-CN" w:bidi="ar-SA"/>
              </w:rPr>
              <w:t>支持</w:t>
            </w:r>
            <w:r>
              <w:rPr>
                <w:rFonts w:hint="eastAsia" w:asciiTheme="minorEastAsia" w:hAnsiTheme="minorEastAsia" w:eastAsiaTheme="minorEastAsia" w:cstheme="minorEastAsia"/>
                <w:color w:val="auto"/>
                <w:kern w:val="2"/>
                <w:sz w:val="24"/>
                <w:szCs w:val="24"/>
                <w:lang w:val="en-US" w:eastAsia="zh-Hans" w:bidi="ar-SA"/>
              </w:rPr>
              <w:t>线上手</w:t>
            </w:r>
            <w:r>
              <w:rPr>
                <w:rFonts w:hint="eastAsia" w:asciiTheme="minorEastAsia" w:hAnsiTheme="minorEastAsia" w:eastAsiaTheme="minorEastAsia" w:cstheme="minorEastAsia"/>
                <w:color w:val="auto"/>
                <w:kern w:val="2"/>
                <w:sz w:val="24"/>
                <w:szCs w:val="24"/>
                <w:lang w:val="en-US" w:eastAsia="zh-CN" w:bidi="ar-SA"/>
              </w:rPr>
              <w:t>签名</w:t>
            </w:r>
            <w:r>
              <w:rPr>
                <w:rFonts w:hint="eastAsia" w:asciiTheme="minorEastAsia" w:hAnsiTheme="minorEastAsia" w:eastAsiaTheme="minorEastAsia" w:cstheme="minorEastAsia"/>
                <w:color w:val="auto"/>
                <w:kern w:val="2"/>
                <w:sz w:val="24"/>
                <w:szCs w:val="24"/>
                <w:lang w:val="en-US" w:eastAsia="zh-Hans" w:bidi="ar-SA"/>
              </w:rPr>
              <w:t>形式</w:t>
            </w:r>
          </w:p>
          <w:p w14:paraId="3BAFBB40">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17.7申领人根据所需填写领用申请，申请单包含</w:t>
            </w:r>
            <w:r>
              <w:rPr>
                <w:rFonts w:hint="eastAsia" w:asciiTheme="minorEastAsia" w:hAnsiTheme="minorEastAsia" w:eastAsiaTheme="minorEastAsia" w:cstheme="minorEastAsia"/>
                <w:color w:val="auto"/>
                <w:kern w:val="2"/>
                <w:sz w:val="24"/>
                <w:szCs w:val="24"/>
                <w:lang w:val="en-US" w:eastAsia="zh-Hans" w:bidi="ar-SA"/>
              </w:rPr>
              <w:t>数量</w:t>
            </w:r>
            <w:r>
              <w:rPr>
                <w:rFonts w:hint="eastAsia" w:asciiTheme="minorEastAsia" w:hAnsiTheme="minorEastAsia" w:eastAsiaTheme="minorEastAsia" w:cstheme="minorEastAsia"/>
                <w:color w:val="auto"/>
                <w:kern w:val="2"/>
                <w:sz w:val="24"/>
                <w:szCs w:val="24"/>
                <w:lang w:val="en-US" w:eastAsia="zh-CN" w:bidi="ar-SA"/>
              </w:rPr>
              <w:t>、申领人、物资信息、用途、</w:t>
            </w:r>
            <w:r>
              <w:rPr>
                <w:rFonts w:hint="eastAsia" w:asciiTheme="minorEastAsia" w:hAnsiTheme="minorEastAsia" w:eastAsiaTheme="minorEastAsia" w:cstheme="minorEastAsia"/>
                <w:color w:val="auto"/>
                <w:kern w:val="2"/>
                <w:sz w:val="24"/>
                <w:szCs w:val="24"/>
                <w:lang w:val="en-US" w:eastAsia="zh-Hans" w:bidi="ar-SA"/>
              </w:rPr>
              <w:t>使用地点、</w:t>
            </w:r>
            <w:r>
              <w:rPr>
                <w:rFonts w:hint="eastAsia" w:asciiTheme="minorEastAsia" w:hAnsiTheme="minorEastAsia" w:eastAsiaTheme="minorEastAsia" w:cstheme="minorEastAsia"/>
                <w:color w:val="auto"/>
                <w:kern w:val="2"/>
                <w:sz w:val="24"/>
                <w:szCs w:val="24"/>
                <w:lang w:val="en-US" w:eastAsia="zh-CN" w:bidi="ar-SA"/>
              </w:rPr>
              <w:t>备注等信息。</w:t>
            </w:r>
          </w:p>
          <w:p w14:paraId="5F444265">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17.8</w:t>
            </w:r>
            <w:r>
              <w:rPr>
                <w:rFonts w:hint="eastAsia" w:asciiTheme="minorEastAsia" w:hAnsiTheme="minorEastAsia" w:eastAsiaTheme="minorEastAsia" w:cstheme="minorEastAsia"/>
                <w:color w:val="auto"/>
                <w:kern w:val="2"/>
                <w:sz w:val="24"/>
                <w:szCs w:val="24"/>
                <w:lang w:val="en-US" w:eastAsia="zh-Hans" w:bidi="ar-SA"/>
              </w:rPr>
              <w:t>仓库</w:t>
            </w:r>
            <w:r>
              <w:rPr>
                <w:rFonts w:hint="eastAsia" w:asciiTheme="minorEastAsia" w:hAnsiTheme="minorEastAsia" w:eastAsiaTheme="minorEastAsia" w:cstheme="minorEastAsia"/>
                <w:color w:val="auto"/>
                <w:kern w:val="2"/>
                <w:sz w:val="24"/>
                <w:szCs w:val="24"/>
                <w:lang w:val="en-US" w:eastAsia="zh-CN" w:bidi="ar-SA"/>
              </w:rPr>
              <w:t>管理员按预设流程进行领用审批，并支持按领用仓库、领用人、领用时间、所属学院、</w:t>
            </w:r>
            <w:r>
              <w:rPr>
                <w:rFonts w:hint="eastAsia" w:asciiTheme="minorEastAsia" w:hAnsiTheme="minorEastAsia" w:eastAsiaTheme="minorEastAsia" w:cstheme="minorEastAsia"/>
                <w:color w:val="auto"/>
                <w:kern w:val="2"/>
                <w:sz w:val="24"/>
                <w:szCs w:val="24"/>
                <w:lang w:val="en-US" w:eastAsia="zh-Hans" w:bidi="ar-SA"/>
              </w:rPr>
              <w:t>使用地点、物品有效期</w:t>
            </w:r>
            <w:r>
              <w:rPr>
                <w:rFonts w:hint="eastAsia" w:asciiTheme="minorEastAsia" w:hAnsiTheme="minorEastAsia" w:eastAsiaTheme="minorEastAsia" w:cstheme="minorEastAsia"/>
                <w:color w:val="auto"/>
                <w:kern w:val="2"/>
                <w:sz w:val="24"/>
                <w:szCs w:val="24"/>
                <w:lang w:val="en-US" w:eastAsia="zh-CN" w:bidi="ar-SA"/>
              </w:rPr>
              <w:t>、审批状态进行搜索查询。</w:t>
            </w:r>
          </w:p>
          <w:p w14:paraId="7FD7106B">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17.9领用申请审批通过后，领用人可以</w:t>
            </w:r>
            <w:r>
              <w:rPr>
                <w:rFonts w:hint="eastAsia" w:asciiTheme="minorEastAsia" w:hAnsiTheme="minorEastAsia" w:eastAsiaTheme="minorEastAsia" w:cstheme="minorEastAsia"/>
                <w:color w:val="auto"/>
                <w:kern w:val="2"/>
                <w:sz w:val="24"/>
                <w:szCs w:val="24"/>
                <w:lang w:val="en-US" w:eastAsia="zh-Hans" w:bidi="ar-SA"/>
              </w:rPr>
              <w:t>下载</w:t>
            </w:r>
            <w:r>
              <w:rPr>
                <w:rFonts w:hint="eastAsia" w:asciiTheme="minorEastAsia" w:hAnsiTheme="minorEastAsia" w:eastAsiaTheme="minorEastAsia" w:cstheme="minorEastAsia"/>
                <w:color w:val="auto"/>
                <w:kern w:val="2"/>
                <w:sz w:val="24"/>
                <w:szCs w:val="24"/>
                <w:lang w:val="en-US" w:eastAsia="zh-CN" w:bidi="ar-SA"/>
              </w:rPr>
              <w:t>打印领用单，然后到仓库管理员处领取申请的物资，并由管理员提交领用出库单。</w:t>
            </w:r>
          </w:p>
        </w:tc>
      </w:tr>
      <w:tr w14:paraId="213F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3" w:type="dxa"/>
            <w:noWrap w:val="0"/>
            <w:vAlign w:val="top"/>
          </w:tcPr>
          <w:p w14:paraId="08DD2AB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w:t>
            </w:r>
          </w:p>
        </w:tc>
        <w:tc>
          <w:tcPr>
            <w:tcW w:w="812" w:type="dxa"/>
            <w:noWrap w:val="0"/>
            <w:vAlign w:val="top"/>
          </w:tcPr>
          <w:p w14:paraId="6C41C7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实验室预约系统</w:t>
            </w:r>
          </w:p>
        </w:tc>
        <w:tc>
          <w:tcPr>
            <w:tcW w:w="1063" w:type="dxa"/>
            <w:noWrap w:val="0"/>
            <w:vAlign w:val="top"/>
          </w:tcPr>
          <w:p w14:paraId="515A68B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lang w:eastAsia="zh-Hans"/>
              </w:rPr>
            </w:pPr>
          </w:p>
        </w:tc>
        <w:tc>
          <w:tcPr>
            <w:tcW w:w="6287" w:type="dxa"/>
            <w:noWrap w:val="0"/>
            <w:vAlign w:val="top"/>
          </w:tcPr>
          <w:p w14:paraId="4F00E3BE">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18.1支持师生和实验室管理人员能够在电脑或者手机端通过系统发起实验室开放预约项目申报，维护开放预约项目信息申请，提交相关负责人审核，审核通过后将开放项目发布到系统实验室开放预约管理模块。</w:t>
            </w:r>
          </w:p>
          <w:p w14:paraId="47313967">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18.2灵活设置时间段间隔，根据实际情况可随时调整。如设置一个时间段为30分钟，也可设置一个时间段为12个小时。</w:t>
            </w:r>
          </w:p>
          <w:p w14:paraId="7C9EE661">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18.3支持灵活设置开放时间段以及预约人数，并支持每日开放时间人数不同。</w:t>
            </w:r>
          </w:p>
          <w:p w14:paraId="755BF4D0">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18.4支持多种签到模式，包括：无需签到、二维码+位置签到、动态二维码签到、统一二维码签到等模式。其中，动态二维码签到可设置二维码刷新间隔，使用者扫描动态二维码进行签到，可有效防止作弊，同时动态二维码应具有实时展示数据的功能。</w:t>
            </w:r>
          </w:p>
          <w:p w14:paraId="1DCF6711">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18.5支持设置预约表单，可设置预约时预约人需填写的表单，同时支持设置是否必填项，以及是否记住上次填写内容，填写的内容需要和预约记录一同导出。</w:t>
            </w:r>
          </w:p>
          <w:p w14:paraId="3C95F2ED">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18.6支持设置预约审批，可对部分预约对象设置审批流程和审批人，只有通过审批后预约才能生效。</w:t>
            </w:r>
          </w:p>
          <w:p w14:paraId="7565F345">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18.7后台数据能够统计总预约人次、预约时长、使用时长，实时在馆人数、当日预约人数、当日签到人数、当日签退人数、当日预约时长等基本数据，以及各个预约对象的使用排行，每日的使用趋势等。</w:t>
            </w:r>
          </w:p>
          <w:p w14:paraId="383F41B4">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18.8具有违约管理功能，管理员能够设置每周违规次数上限，超过后进入黑名单，限制预约功能。管理员可手动将人员从黑名单中移出，可查看某人的违约记录</w:t>
            </w:r>
          </w:p>
          <w:p w14:paraId="4427CB08">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18.9支持查看并导出所有预约记录，并且可以按日期和预约对象进行筛选。</w:t>
            </w:r>
          </w:p>
          <w:p w14:paraId="73A91228">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18.10具有公告设置功能，管理员可编辑设置公告、预约规则等，使使用者能方便了解最新动态、使用规则。</w:t>
            </w:r>
          </w:p>
        </w:tc>
      </w:tr>
      <w:tr w14:paraId="5EB1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57A4271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w:t>
            </w:r>
          </w:p>
        </w:tc>
        <w:tc>
          <w:tcPr>
            <w:tcW w:w="812" w:type="dxa"/>
            <w:vMerge w:val="restart"/>
            <w:noWrap w:val="0"/>
            <w:vAlign w:val="top"/>
          </w:tcPr>
          <w:p w14:paraId="39E8D8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耗材管理系统</w:t>
            </w:r>
          </w:p>
        </w:tc>
        <w:tc>
          <w:tcPr>
            <w:tcW w:w="1063" w:type="dxa"/>
            <w:noWrap w:val="0"/>
            <w:vAlign w:val="top"/>
          </w:tcPr>
          <w:p w14:paraId="467DFB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基础数据管理</w:t>
            </w:r>
          </w:p>
        </w:tc>
        <w:tc>
          <w:tcPr>
            <w:tcW w:w="6287" w:type="dxa"/>
            <w:noWrap w:val="0"/>
            <w:vAlign w:val="top"/>
          </w:tcPr>
          <w:p w14:paraId="33E4E131">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19.1支持数据字典管理，支持自定义添加计量单位、包装单位、</w:t>
            </w:r>
            <w:r>
              <w:rPr>
                <w:rFonts w:hint="eastAsia" w:asciiTheme="minorEastAsia" w:hAnsiTheme="minorEastAsia" w:eastAsiaTheme="minorEastAsia" w:cstheme="minorEastAsia"/>
                <w:color w:val="auto"/>
                <w:kern w:val="2"/>
                <w:sz w:val="24"/>
                <w:szCs w:val="24"/>
                <w:lang w:val="en-US" w:eastAsia="zh-Hans" w:bidi="ar-SA"/>
              </w:rPr>
              <w:t>耗材种</w:t>
            </w:r>
            <w:r>
              <w:rPr>
                <w:rFonts w:hint="eastAsia" w:asciiTheme="minorEastAsia" w:hAnsiTheme="minorEastAsia" w:eastAsiaTheme="minorEastAsia" w:cstheme="minorEastAsia"/>
                <w:color w:val="auto"/>
                <w:kern w:val="2"/>
                <w:sz w:val="24"/>
                <w:szCs w:val="24"/>
                <w:lang w:val="en-US" w:eastAsia="zh-CN" w:bidi="ar-SA"/>
              </w:rPr>
              <w:t>类、受管制类别信息。</w:t>
            </w:r>
          </w:p>
          <w:p w14:paraId="1BB86807">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19.2支持类别库管理，可自定义添加类别，类别信息包含</w:t>
            </w:r>
            <w:r>
              <w:rPr>
                <w:rFonts w:hint="eastAsia" w:asciiTheme="minorEastAsia" w:hAnsiTheme="minorEastAsia" w:eastAsiaTheme="minorEastAsia" w:cstheme="minorEastAsia"/>
                <w:color w:val="auto"/>
                <w:kern w:val="2"/>
                <w:sz w:val="24"/>
                <w:szCs w:val="24"/>
                <w:lang w:val="en-US" w:eastAsia="zh-Hans" w:bidi="ar-SA"/>
              </w:rPr>
              <w:t>耗材</w:t>
            </w:r>
            <w:r>
              <w:rPr>
                <w:rFonts w:hint="eastAsia" w:asciiTheme="minorEastAsia" w:hAnsiTheme="minorEastAsia" w:eastAsiaTheme="minorEastAsia" w:cstheme="minorEastAsia"/>
                <w:color w:val="auto"/>
                <w:kern w:val="2"/>
                <w:sz w:val="24"/>
                <w:szCs w:val="24"/>
                <w:lang w:val="en-US" w:eastAsia="zh-CN" w:bidi="ar-SA"/>
              </w:rPr>
              <w:t>分类目录、类别编号、类别名称及简称。</w:t>
            </w:r>
          </w:p>
          <w:p w14:paraId="598C3ED1">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19.3支持基础物资库管理，对基础物资进行新增、编辑、删除操作，包含物资名称、物资分类、计量单位、规格型号、包装信息。</w:t>
            </w:r>
          </w:p>
          <w:p w14:paraId="5E9145B6">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19.4</w:t>
            </w:r>
            <w:r>
              <w:rPr>
                <w:rFonts w:hint="eastAsia" w:asciiTheme="minorEastAsia" w:hAnsiTheme="minorEastAsia" w:eastAsiaTheme="minorEastAsia" w:cstheme="minorEastAsia"/>
                <w:color w:val="auto"/>
                <w:kern w:val="2"/>
                <w:sz w:val="24"/>
                <w:szCs w:val="24"/>
                <w:lang w:val="en-US" w:eastAsia="zh-Hans" w:bidi="ar-SA"/>
              </w:rPr>
              <w:t>基础数据支持批量</w:t>
            </w:r>
            <w:r>
              <w:rPr>
                <w:rFonts w:hint="eastAsia" w:asciiTheme="minorEastAsia" w:hAnsiTheme="minorEastAsia" w:eastAsiaTheme="minorEastAsia" w:cstheme="minorEastAsia"/>
                <w:color w:val="auto"/>
                <w:kern w:val="2"/>
                <w:sz w:val="24"/>
                <w:szCs w:val="24"/>
                <w:lang w:val="en-US" w:eastAsia="zh-CN" w:bidi="ar-SA"/>
              </w:rPr>
              <w:t>模板</w:t>
            </w:r>
            <w:r>
              <w:rPr>
                <w:rFonts w:hint="eastAsia" w:asciiTheme="minorEastAsia" w:hAnsiTheme="minorEastAsia" w:eastAsiaTheme="minorEastAsia" w:cstheme="minorEastAsia"/>
                <w:color w:val="auto"/>
                <w:kern w:val="2"/>
                <w:sz w:val="24"/>
                <w:szCs w:val="24"/>
                <w:lang w:val="en-US" w:eastAsia="zh-Hans" w:bidi="ar-SA"/>
              </w:rPr>
              <w:t>导入，支持移动端填写表单数据录入。</w:t>
            </w:r>
          </w:p>
        </w:tc>
      </w:tr>
      <w:tr w14:paraId="4F60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4A5C626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w:t>
            </w:r>
          </w:p>
        </w:tc>
        <w:tc>
          <w:tcPr>
            <w:tcW w:w="812" w:type="dxa"/>
            <w:vMerge w:val="continue"/>
            <w:noWrap w:val="0"/>
            <w:vAlign w:val="top"/>
          </w:tcPr>
          <w:p w14:paraId="273B21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lang w:eastAsia="zh-Hans"/>
              </w:rPr>
            </w:pPr>
          </w:p>
        </w:tc>
        <w:tc>
          <w:tcPr>
            <w:tcW w:w="1063" w:type="dxa"/>
            <w:noWrap w:val="0"/>
            <w:vAlign w:val="top"/>
          </w:tcPr>
          <w:p w14:paraId="38F4AB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流程管理</w:t>
            </w:r>
          </w:p>
        </w:tc>
        <w:tc>
          <w:tcPr>
            <w:tcW w:w="6287" w:type="dxa"/>
            <w:noWrap w:val="0"/>
            <w:vAlign w:val="top"/>
          </w:tcPr>
          <w:p w14:paraId="76F174A3">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20.1系统支持审批流程的自定义管理，可自定义设置申购、入库、领用、归还、</w:t>
            </w:r>
            <w:r>
              <w:rPr>
                <w:rFonts w:hint="eastAsia" w:asciiTheme="minorEastAsia" w:hAnsiTheme="minorEastAsia" w:eastAsiaTheme="minorEastAsia" w:cstheme="minorEastAsia"/>
                <w:color w:val="auto"/>
                <w:kern w:val="2"/>
                <w:sz w:val="24"/>
                <w:szCs w:val="24"/>
                <w:lang w:val="en-US" w:eastAsia="zh-Hans" w:bidi="ar-SA"/>
              </w:rPr>
              <w:t>报废</w:t>
            </w:r>
            <w:r>
              <w:rPr>
                <w:rFonts w:hint="eastAsia" w:asciiTheme="minorEastAsia" w:hAnsiTheme="minorEastAsia" w:eastAsiaTheme="minorEastAsia" w:cstheme="minorEastAsia"/>
                <w:color w:val="auto"/>
                <w:kern w:val="2"/>
                <w:sz w:val="24"/>
                <w:szCs w:val="24"/>
                <w:lang w:val="en-US" w:eastAsia="zh-CN" w:bidi="ar-SA"/>
              </w:rPr>
              <w:t>的申请审批，支持添加多级审批，</w:t>
            </w:r>
            <w:r>
              <w:rPr>
                <w:rFonts w:hint="eastAsia" w:asciiTheme="minorEastAsia" w:hAnsiTheme="minorEastAsia" w:eastAsiaTheme="minorEastAsia" w:cstheme="minorEastAsia"/>
                <w:color w:val="auto"/>
                <w:kern w:val="2"/>
                <w:sz w:val="24"/>
                <w:szCs w:val="24"/>
                <w:lang w:val="en-US" w:eastAsia="zh-Hans" w:bidi="ar-SA"/>
              </w:rPr>
              <w:t>支持自定义审批角色组。</w:t>
            </w:r>
          </w:p>
          <w:p w14:paraId="630A2052">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20.2用户可以在线填写所需</w:t>
            </w:r>
            <w:r>
              <w:rPr>
                <w:rFonts w:hint="eastAsia" w:asciiTheme="minorEastAsia" w:hAnsiTheme="minorEastAsia" w:eastAsiaTheme="minorEastAsia" w:cstheme="minorEastAsia"/>
                <w:color w:val="auto"/>
                <w:kern w:val="2"/>
                <w:sz w:val="24"/>
                <w:szCs w:val="24"/>
                <w:lang w:val="en-US" w:eastAsia="zh-Hans" w:bidi="ar-SA"/>
              </w:rPr>
              <w:t>耗材</w:t>
            </w:r>
            <w:r>
              <w:rPr>
                <w:rFonts w:hint="eastAsia" w:asciiTheme="minorEastAsia" w:hAnsiTheme="minorEastAsia" w:eastAsiaTheme="minorEastAsia" w:cstheme="minorEastAsia"/>
                <w:color w:val="auto"/>
                <w:kern w:val="2"/>
                <w:sz w:val="24"/>
                <w:szCs w:val="24"/>
                <w:lang w:val="en-US" w:eastAsia="zh-CN" w:bidi="ar-SA"/>
              </w:rPr>
              <w:t>的申购申请单，申购单中包括品名、规格、单位、需求数量、类别、备注、价格等信息。</w:t>
            </w:r>
          </w:p>
          <w:p w14:paraId="5F4B26DB">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20.3★系统可根据学校实际管理流程对</w:t>
            </w:r>
            <w:r>
              <w:rPr>
                <w:rFonts w:hint="eastAsia" w:asciiTheme="minorEastAsia" w:hAnsiTheme="minorEastAsia" w:eastAsiaTheme="minorEastAsia" w:cstheme="minorEastAsia"/>
                <w:color w:val="auto"/>
                <w:kern w:val="2"/>
                <w:sz w:val="24"/>
                <w:szCs w:val="24"/>
                <w:lang w:val="en-US" w:eastAsia="zh-Hans" w:bidi="ar-SA"/>
              </w:rPr>
              <w:t>耗材</w:t>
            </w:r>
            <w:r>
              <w:rPr>
                <w:rFonts w:hint="eastAsia" w:asciiTheme="minorEastAsia" w:hAnsiTheme="minorEastAsia" w:eastAsiaTheme="minorEastAsia" w:cstheme="minorEastAsia"/>
                <w:color w:val="auto"/>
                <w:kern w:val="2"/>
                <w:sz w:val="24"/>
                <w:szCs w:val="24"/>
                <w:lang w:val="en-US" w:eastAsia="zh-CN" w:bidi="ar-SA"/>
              </w:rPr>
              <w:t>的申购审批，进行自定义设置审批流程；可查看每条申请信息的审批进度，</w:t>
            </w:r>
            <w:r>
              <w:rPr>
                <w:rFonts w:hint="eastAsia" w:asciiTheme="minorEastAsia" w:hAnsiTheme="minorEastAsia" w:eastAsiaTheme="minorEastAsia" w:cstheme="minorEastAsia"/>
                <w:color w:val="auto"/>
                <w:kern w:val="2"/>
                <w:sz w:val="24"/>
                <w:szCs w:val="24"/>
                <w:lang w:val="en-US" w:eastAsia="zh-Hans" w:bidi="ar-SA"/>
              </w:rPr>
              <w:t>每个用户可在独立的审批助手应用查看所有审批，便于操作。</w:t>
            </w:r>
          </w:p>
          <w:p w14:paraId="3D1C8C85">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20.4在</w:t>
            </w:r>
            <w:r>
              <w:rPr>
                <w:rFonts w:hint="eastAsia" w:asciiTheme="minorEastAsia" w:hAnsiTheme="minorEastAsia" w:eastAsiaTheme="minorEastAsia" w:cstheme="minorEastAsia"/>
                <w:color w:val="auto"/>
                <w:kern w:val="2"/>
                <w:sz w:val="24"/>
                <w:szCs w:val="24"/>
                <w:lang w:val="en-US" w:eastAsia="zh-Hans" w:bidi="ar-SA"/>
              </w:rPr>
              <w:t>申购审批详情</w:t>
            </w:r>
            <w:r>
              <w:rPr>
                <w:rFonts w:hint="eastAsia" w:asciiTheme="minorEastAsia" w:hAnsiTheme="minorEastAsia" w:eastAsiaTheme="minorEastAsia" w:cstheme="minorEastAsia"/>
                <w:color w:val="auto"/>
                <w:kern w:val="2"/>
                <w:sz w:val="24"/>
                <w:szCs w:val="24"/>
                <w:lang w:val="en-US" w:eastAsia="zh-CN" w:bidi="ar-SA"/>
              </w:rPr>
              <w:t>页面，可以查看每条申请单的当前状态，以及各个节点的审批人审批时间等痕迹信息。</w:t>
            </w:r>
          </w:p>
          <w:p w14:paraId="6BF64BFE">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20.5</w:t>
            </w:r>
            <w:r>
              <w:rPr>
                <w:rFonts w:hint="eastAsia" w:asciiTheme="minorEastAsia" w:hAnsiTheme="minorEastAsia" w:eastAsiaTheme="minorEastAsia" w:cstheme="minorEastAsia"/>
                <w:color w:val="auto"/>
                <w:kern w:val="2"/>
                <w:sz w:val="24"/>
                <w:szCs w:val="24"/>
                <w:lang w:val="en-US" w:eastAsia="zh-Hans" w:bidi="ar-SA"/>
              </w:rPr>
              <w:t>耗材</w:t>
            </w:r>
            <w:r>
              <w:rPr>
                <w:rFonts w:hint="eastAsia" w:asciiTheme="minorEastAsia" w:hAnsiTheme="minorEastAsia" w:eastAsiaTheme="minorEastAsia" w:cstheme="minorEastAsia"/>
                <w:color w:val="auto"/>
                <w:kern w:val="2"/>
                <w:sz w:val="24"/>
                <w:szCs w:val="24"/>
                <w:lang w:val="en-US" w:eastAsia="zh-CN" w:bidi="ar-SA"/>
              </w:rPr>
              <w:t>入库支持导入和手动添加方式</w:t>
            </w:r>
          </w:p>
          <w:p w14:paraId="2840EE44">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20.6管理人员可通过系统实现对入库登记信息的审批，系统支持批量审批；</w:t>
            </w:r>
          </w:p>
          <w:p w14:paraId="5DBFB4EE">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20.7申领人根据所需填写领用申请，申请单包含</w:t>
            </w:r>
            <w:r>
              <w:rPr>
                <w:rFonts w:hint="eastAsia" w:asciiTheme="minorEastAsia" w:hAnsiTheme="minorEastAsia" w:eastAsiaTheme="minorEastAsia" w:cstheme="minorEastAsia"/>
                <w:color w:val="auto"/>
                <w:kern w:val="2"/>
                <w:sz w:val="24"/>
                <w:szCs w:val="24"/>
                <w:lang w:val="en-US" w:eastAsia="zh-Hans" w:bidi="ar-SA"/>
              </w:rPr>
              <w:t>数量</w:t>
            </w:r>
            <w:r>
              <w:rPr>
                <w:rFonts w:hint="eastAsia" w:asciiTheme="minorEastAsia" w:hAnsiTheme="minorEastAsia" w:eastAsiaTheme="minorEastAsia" w:cstheme="minorEastAsia"/>
                <w:color w:val="auto"/>
                <w:kern w:val="2"/>
                <w:sz w:val="24"/>
                <w:szCs w:val="24"/>
                <w:lang w:val="en-US" w:eastAsia="zh-CN" w:bidi="ar-SA"/>
              </w:rPr>
              <w:t>、申领人、物资信息、用途、</w:t>
            </w:r>
            <w:r>
              <w:rPr>
                <w:rFonts w:hint="eastAsia" w:asciiTheme="minorEastAsia" w:hAnsiTheme="minorEastAsia" w:eastAsiaTheme="minorEastAsia" w:cstheme="minorEastAsia"/>
                <w:color w:val="auto"/>
                <w:kern w:val="2"/>
                <w:sz w:val="24"/>
                <w:szCs w:val="24"/>
                <w:lang w:val="en-US" w:eastAsia="zh-Hans" w:bidi="ar-SA"/>
              </w:rPr>
              <w:t>使用地点、</w:t>
            </w:r>
            <w:r>
              <w:rPr>
                <w:rFonts w:hint="eastAsia" w:asciiTheme="minorEastAsia" w:hAnsiTheme="minorEastAsia" w:eastAsiaTheme="minorEastAsia" w:cstheme="minorEastAsia"/>
                <w:color w:val="auto"/>
                <w:kern w:val="2"/>
                <w:sz w:val="24"/>
                <w:szCs w:val="24"/>
                <w:lang w:val="en-US" w:eastAsia="zh-CN" w:bidi="ar-SA"/>
              </w:rPr>
              <w:t>备注等信息。</w:t>
            </w:r>
          </w:p>
          <w:p w14:paraId="43FC088D">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20.8</w:t>
            </w:r>
            <w:r>
              <w:rPr>
                <w:rFonts w:hint="eastAsia" w:asciiTheme="minorEastAsia" w:hAnsiTheme="minorEastAsia" w:eastAsiaTheme="minorEastAsia" w:cstheme="minorEastAsia"/>
                <w:color w:val="auto"/>
                <w:kern w:val="2"/>
                <w:sz w:val="24"/>
                <w:szCs w:val="24"/>
                <w:lang w:val="en-US" w:eastAsia="zh-Hans" w:bidi="ar-SA"/>
              </w:rPr>
              <w:t>仓库</w:t>
            </w:r>
            <w:r>
              <w:rPr>
                <w:rFonts w:hint="eastAsia" w:asciiTheme="minorEastAsia" w:hAnsiTheme="minorEastAsia" w:eastAsiaTheme="minorEastAsia" w:cstheme="minorEastAsia"/>
                <w:color w:val="auto"/>
                <w:kern w:val="2"/>
                <w:sz w:val="24"/>
                <w:szCs w:val="24"/>
                <w:lang w:val="en-US" w:eastAsia="zh-CN" w:bidi="ar-SA"/>
              </w:rPr>
              <w:t>管理员按预设流程进行领用审批，并支持按领用仓库、领用人、领用时间、所属学院、</w:t>
            </w:r>
            <w:r>
              <w:rPr>
                <w:rFonts w:hint="eastAsia" w:asciiTheme="minorEastAsia" w:hAnsiTheme="minorEastAsia" w:eastAsiaTheme="minorEastAsia" w:cstheme="minorEastAsia"/>
                <w:color w:val="auto"/>
                <w:kern w:val="2"/>
                <w:sz w:val="24"/>
                <w:szCs w:val="24"/>
                <w:lang w:val="en-US" w:eastAsia="zh-Hans" w:bidi="ar-SA"/>
              </w:rPr>
              <w:t>使用地点、物品有效期</w:t>
            </w:r>
            <w:r>
              <w:rPr>
                <w:rFonts w:hint="eastAsia" w:asciiTheme="minorEastAsia" w:hAnsiTheme="minorEastAsia" w:eastAsiaTheme="minorEastAsia" w:cstheme="minorEastAsia"/>
                <w:color w:val="auto"/>
                <w:kern w:val="2"/>
                <w:sz w:val="24"/>
                <w:szCs w:val="24"/>
                <w:lang w:val="en-US" w:eastAsia="zh-CN" w:bidi="ar-SA"/>
              </w:rPr>
              <w:t>、审批状态进行搜索查询。</w:t>
            </w:r>
          </w:p>
          <w:p w14:paraId="4FF24303">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20.9</w:t>
            </w:r>
            <w:r>
              <w:rPr>
                <w:rFonts w:hint="eastAsia" w:asciiTheme="minorEastAsia" w:hAnsiTheme="minorEastAsia" w:eastAsiaTheme="minorEastAsia" w:cstheme="minorEastAsia"/>
                <w:color w:val="auto"/>
                <w:kern w:val="2"/>
                <w:sz w:val="24"/>
                <w:szCs w:val="24"/>
                <w:lang w:val="en-US" w:eastAsia="zh-Hans" w:bidi="ar-SA"/>
              </w:rPr>
              <w:t>领用</w:t>
            </w:r>
            <w:r>
              <w:rPr>
                <w:rFonts w:hint="eastAsia" w:asciiTheme="minorEastAsia" w:hAnsiTheme="minorEastAsia" w:eastAsiaTheme="minorEastAsia" w:cstheme="minorEastAsia"/>
                <w:color w:val="auto"/>
                <w:kern w:val="2"/>
                <w:sz w:val="24"/>
                <w:szCs w:val="24"/>
                <w:lang w:val="en-US" w:eastAsia="zh-CN" w:bidi="ar-SA"/>
              </w:rPr>
              <w:t>记录包含</w:t>
            </w:r>
            <w:r>
              <w:rPr>
                <w:rFonts w:hint="eastAsia" w:asciiTheme="minorEastAsia" w:hAnsiTheme="minorEastAsia" w:eastAsiaTheme="minorEastAsia" w:cstheme="minorEastAsia"/>
                <w:color w:val="auto"/>
                <w:kern w:val="2"/>
                <w:sz w:val="24"/>
                <w:szCs w:val="24"/>
                <w:lang w:val="en-US" w:eastAsia="zh-Hans" w:bidi="ar-SA"/>
              </w:rPr>
              <w:t>耗材</w:t>
            </w:r>
            <w:r>
              <w:rPr>
                <w:rFonts w:hint="eastAsia" w:asciiTheme="minorEastAsia" w:hAnsiTheme="minorEastAsia" w:eastAsiaTheme="minorEastAsia" w:cstheme="minorEastAsia"/>
                <w:color w:val="auto"/>
                <w:kern w:val="2"/>
                <w:sz w:val="24"/>
                <w:szCs w:val="24"/>
                <w:lang w:val="en-US" w:eastAsia="zh-CN" w:bidi="ar-SA"/>
              </w:rPr>
              <w:t>的使用</w:t>
            </w:r>
            <w:r>
              <w:rPr>
                <w:rFonts w:hint="eastAsia" w:asciiTheme="minorEastAsia" w:hAnsiTheme="minorEastAsia" w:eastAsiaTheme="minorEastAsia" w:cstheme="minorEastAsia"/>
                <w:color w:val="auto"/>
                <w:kern w:val="2"/>
                <w:sz w:val="24"/>
                <w:szCs w:val="24"/>
                <w:lang w:val="en-US" w:eastAsia="zh-Hans" w:bidi="ar-SA"/>
              </w:rPr>
              <w:t>信息</w:t>
            </w:r>
            <w:r>
              <w:rPr>
                <w:rFonts w:hint="eastAsia" w:asciiTheme="minorEastAsia" w:hAnsiTheme="minorEastAsia" w:eastAsiaTheme="minorEastAsia" w:cstheme="minorEastAsia"/>
                <w:color w:val="auto"/>
                <w:kern w:val="2"/>
                <w:sz w:val="24"/>
                <w:szCs w:val="24"/>
                <w:lang w:val="en-US" w:eastAsia="zh-CN" w:bidi="ar-SA"/>
              </w:rPr>
              <w:t>和使用量信息，根据填写的使用量自动计算余量。</w:t>
            </w:r>
          </w:p>
          <w:p w14:paraId="00E47181">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20.10用户可添加归还申请，</w:t>
            </w:r>
            <w:r>
              <w:rPr>
                <w:rFonts w:hint="eastAsia" w:asciiTheme="minorEastAsia" w:hAnsiTheme="minorEastAsia" w:eastAsiaTheme="minorEastAsia" w:cstheme="minorEastAsia"/>
                <w:color w:val="auto"/>
                <w:kern w:val="2"/>
                <w:sz w:val="24"/>
                <w:szCs w:val="24"/>
                <w:lang w:val="en-US" w:eastAsia="zh-Hans" w:bidi="ar-SA"/>
              </w:rPr>
              <w:t>可在线填写归还审批单</w:t>
            </w:r>
            <w:r>
              <w:rPr>
                <w:rFonts w:hint="eastAsia" w:asciiTheme="minorEastAsia" w:hAnsiTheme="minorEastAsia" w:eastAsiaTheme="minorEastAsia" w:cstheme="minorEastAsia"/>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Hans" w:bidi="ar-SA"/>
              </w:rPr>
              <w:t>选择本次申领时的申请记录，</w:t>
            </w:r>
            <w:r>
              <w:rPr>
                <w:rFonts w:hint="eastAsia" w:asciiTheme="minorEastAsia" w:hAnsiTheme="minorEastAsia" w:eastAsiaTheme="minorEastAsia" w:cstheme="minorEastAsia"/>
                <w:color w:val="auto"/>
                <w:kern w:val="2"/>
                <w:sz w:val="24"/>
                <w:szCs w:val="24"/>
                <w:lang w:val="en-US" w:eastAsia="zh-CN" w:bidi="ar-SA"/>
              </w:rPr>
              <w:t>进行归还登记，</w:t>
            </w:r>
            <w:r>
              <w:rPr>
                <w:rFonts w:hint="eastAsia" w:asciiTheme="minorEastAsia" w:hAnsiTheme="minorEastAsia" w:eastAsiaTheme="minorEastAsia" w:cstheme="minorEastAsia"/>
                <w:color w:val="auto"/>
                <w:kern w:val="2"/>
                <w:sz w:val="24"/>
                <w:szCs w:val="24"/>
                <w:lang w:val="en-US" w:eastAsia="zh-Hans" w:bidi="ar-SA"/>
              </w:rPr>
              <w:t>系统根据归还的数量自动核算实际使用量</w:t>
            </w:r>
            <w:r>
              <w:rPr>
                <w:rFonts w:hint="eastAsia" w:asciiTheme="minorEastAsia" w:hAnsiTheme="minorEastAsia" w:eastAsiaTheme="minorEastAsia" w:cstheme="minorEastAsia"/>
                <w:color w:val="auto"/>
                <w:kern w:val="2"/>
                <w:sz w:val="24"/>
                <w:szCs w:val="24"/>
                <w:lang w:val="en-US" w:eastAsia="zh-CN" w:bidi="ar-SA"/>
              </w:rPr>
              <w:t>。</w:t>
            </w:r>
          </w:p>
          <w:p w14:paraId="1B380847">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20.11管理员可以对</w:t>
            </w:r>
            <w:r>
              <w:rPr>
                <w:rFonts w:hint="eastAsia" w:asciiTheme="minorEastAsia" w:hAnsiTheme="minorEastAsia" w:eastAsiaTheme="minorEastAsia" w:cstheme="minorEastAsia"/>
                <w:color w:val="auto"/>
                <w:kern w:val="2"/>
                <w:sz w:val="24"/>
                <w:szCs w:val="24"/>
                <w:lang w:val="en-US" w:eastAsia="zh-Hans" w:bidi="ar-SA"/>
              </w:rPr>
              <w:t>耗材</w:t>
            </w:r>
            <w:r>
              <w:rPr>
                <w:rFonts w:hint="eastAsia" w:asciiTheme="minorEastAsia" w:hAnsiTheme="minorEastAsia" w:eastAsiaTheme="minorEastAsia" w:cstheme="minorEastAsia"/>
                <w:color w:val="auto"/>
                <w:kern w:val="2"/>
                <w:sz w:val="24"/>
                <w:szCs w:val="24"/>
                <w:lang w:val="en-US" w:eastAsia="zh-CN" w:bidi="ar-SA"/>
              </w:rPr>
              <w:t>进行报废处理，填写数量后，系统自动扣除库存量。</w:t>
            </w:r>
          </w:p>
          <w:p w14:paraId="46A051FA">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20.12</w:t>
            </w:r>
            <w:r>
              <w:rPr>
                <w:rFonts w:hint="eastAsia" w:asciiTheme="minorEastAsia" w:hAnsiTheme="minorEastAsia" w:eastAsiaTheme="minorEastAsia" w:cstheme="minorEastAsia"/>
                <w:color w:val="auto"/>
                <w:kern w:val="2"/>
                <w:sz w:val="24"/>
                <w:szCs w:val="24"/>
                <w:lang w:val="en-US" w:eastAsia="zh-Hans" w:bidi="ar-SA"/>
              </w:rPr>
              <w:t>耗材预警：</w:t>
            </w:r>
            <w:r>
              <w:rPr>
                <w:rFonts w:hint="eastAsia" w:asciiTheme="minorEastAsia" w:hAnsiTheme="minorEastAsia" w:eastAsiaTheme="minorEastAsia" w:cstheme="minorEastAsia"/>
                <w:color w:val="auto"/>
                <w:kern w:val="2"/>
                <w:sz w:val="24"/>
                <w:szCs w:val="24"/>
                <w:lang w:val="en-US" w:eastAsia="zh-CN" w:bidi="ar-SA"/>
              </w:rPr>
              <w:t>支持仓库管理员设置某类耗材库存最低值和最大值，当</w:t>
            </w:r>
            <w:r>
              <w:rPr>
                <w:rFonts w:hint="eastAsia" w:asciiTheme="minorEastAsia" w:hAnsiTheme="minorEastAsia" w:eastAsiaTheme="minorEastAsia" w:cstheme="minorEastAsia"/>
                <w:color w:val="auto"/>
                <w:kern w:val="2"/>
                <w:sz w:val="24"/>
                <w:szCs w:val="24"/>
                <w:lang w:val="en-US" w:eastAsia="zh-Hans" w:bidi="ar-SA"/>
              </w:rPr>
              <w:t>物品</w:t>
            </w:r>
            <w:r>
              <w:rPr>
                <w:rFonts w:hint="eastAsia" w:asciiTheme="minorEastAsia" w:hAnsiTheme="minorEastAsia" w:eastAsiaTheme="minorEastAsia" w:cstheme="minorEastAsia"/>
                <w:color w:val="auto"/>
                <w:kern w:val="2"/>
                <w:sz w:val="24"/>
                <w:szCs w:val="24"/>
                <w:lang w:val="en-US" w:eastAsia="zh-CN" w:bidi="ar-SA"/>
              </w:rPr>
              <w:t>库存量少于最低值时或高于最大值会向仓库管理员发出预警通知。</w:t>
            </w:r>
          </w:p>
        </w:tc>
      </w:tr>
      <w:tr w14:paraId="1842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4037247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w:t>
            </w:r>
          </w:p>
        </w:tc>
        <w:tc>
          <w:tcPr>
            <w:tcW w:w="812" w:type="dxa"/>
            <w:vMerge w:val="restart"/>
            <w:noWrap w:val="0"/>
            <w:vAlign w:val="top"/>
          </w:tcPr>
          <w:p w14:paraId="3A42FA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实验室管理平台门户</w:t>
            </w:r>
          </w:p>
        </w:tc>
        <w:tc>
          <w:tcPr>
            <w:tcW w:w="1063" w:type="dxa"/>
            <w:noWrap w:val="0"/>
            <w:vAlign w:val="top"/>
          </w:tcPr>
          <w:p w14:paraId="68674E0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门户管理</w:t>
            </w:r>
          </w:p>
        </w:tc>
        <w:tc>
          <w:tcPr>
            <w:tcW w:w="6287" w:type="dxa"/>
            <w:noWrap w:val="0"/>
            <w:vAlign w:val="top"/>
          </w:tcPr>
          <w:p w14:paraId="671851B5">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21.1</w:t>
            </w:r>
            <w:r>
              <w:rPr>
                <w:rFonts w:hint="eastAsia" w:asciiTheme="minorEastAsia" w:hAnsiTheme="minorEastAsia" w:eastAsiaTheme="minorEastAsia" w:cstheme="minorEastAsia"/>
                <w:color w:val="auto"/>
                <w:sz w:val="24"/>
                <w:szCs w:val="24"/>
                <w:lang w:eastAsia="zh-Hans"/>
              </w:rPr>
              <w:t>可视化页面设计后台，拖拽式页面布局；提供多种网页模板，选择模板后可快速</w:t>
            </w:r>
            <w:r>
              <w:rPr>
                <w:rFonts w:hint="eastAsia" w:asciiTheme="minorEastAsia" w:hAnsiTheme="minorEastAsia" w:eastAsiaTheme="minorEastAsia" w:cstheme="minorEastAsia"/>
                <w:color w:val="auto"/>
                <w:sz w:val="24"/>
                <w:szCs w:val="24"/>
                <w:lang w:eastAsia="zh-CN"/>
              </w:rPr>
              <w:t>更新</w:t>
            </w:r>
            <w:r>
              <w:rPr>
                <w:rFonts w:hint="eastAsia" w:asciiTheme="minorEastAsia" w:hAnsiTheme="minorEastAsia" w:eastAsiaTheme="minorEastAsia" w:cstheme="minorEastAsia"/>
                <w:color w:val="auto"/>
                <w:sz w:val="24"/>
                <w:szCs w:val="24"/>
                <w:lang w:eastAsia="zh-Hans"/>
              </w:rPr>
              <w:t>网站；</w:t>
            </w:r>
          </w:p>
          <w:p w14:paraId="7C35B21E">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kern w:val="2"/>
                <w:sz w:val="24"/>
                <w:szCs w:val="24"/>
                <w:lang w:val="en-US" w:eastAsia="zh-Hans" w:bidi="ar-SA"/>
              </w:rPr>
              <w:t>21.2</w:t>
            </w:r>
            <w:r>
              <w:rPr>
                <w:rFonts w:hint="eastAsia" w:asciiTheme="minorEastAsia" w:hAnsiTheme="minorEastAsia" w:eastAsiaTheme="minorEastAsia" w:cstheme="minorEastAsia"/>
                <w:color w:val="auto"/>
                <w:sz w:val="24"/>
                <w:szCs w:val="24"/>
                <w:lang w:eastAsia="zh-Hans"/>
              </w:rPr>
              <w:t>门户支持添加和编辑布局模块，可实现快速将网页分隔为固定比例的布局，放入布局中的模块自适应布局的宽高；</w:t>
            </w:r>
          </w:p>
          <w:p w14:paraId="79027D0B">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kern w:val="2"/>
                <w:sz w:val="24"/>
                <w:szCs w:val="24"/>
                <w:lang w:val="en-US" w:eastAsia="zh-Hans" w:bidi="ar-SA"/>
              </w:rPr>
              <w:t>21.4</w:t>
            </w:r>
            <w:r>
              <w:rPr>
                <w:rFonts w:hint="eastAsia" w:asciiTheme="minorEastAsia" w:hAnsiTheme="minorEastAsia" w:eastAsiaTheme="minorEastAsia" w:cstheme="minorEastAsia"/>
                <w:color w:val="auto"/>
                <w:sz w:val="24"/>
                <w:szCs w:val="24"/>
                <w:lang w:eastAsia="zh-Hans"/>
              </w:rPr>
              <w:t>支持网站内增加、修改、删除新页面。新页面包含所有的编辑功能，可拖拽式编辑的页面、内容页、侧边导航页等，建设多个新页面可快速实现专业、学科分页、分站点等需求</w:t>
            </w:r>
            <w:r>
              <w:rPr>
                <w:rFonts w:hint="eastAsia" w:asciiTheme="minorEastAsia" w:hAnsiTheme="minorEastAsia" w:eastAsiaTheme="minorEastAsia" w:cstheme="minorEastAsia"/>
                <w:color w:val="auto"/>
                <w:sz w:val="24"/>
                <w:szCs w:val="24"/>
              </w:rPr>
              <w:t>。</w:t>
            </w:r>
          </w:p>
          <w:p w14:paraId="1CD4D5BF">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kern w:val="2"/>
                <w:sz w:val="24"/>
                <w:szCs w:val="24"/>
                <w:lang w:val="en-US" w:eastAsia="zh-Hans" w:bidi="ar-SA"/>
              </w:rPr>
              <w:t>21.5</w:t>
            </w:r>
            <w:r>
              <w:rPr>
                <w:rFonts w:hint="eastAsia" w:asciiTheme="minorEastAsia" w:hAnsiTheme="minorEastAsia" w:eastAsiaTheme="minorEastAsia" w:cstheme="minorEastAsia"/>
                <w:color w:val="auto"/>
                <w:sz w:val="24"/>
                <w:szCs w:val="24"/>
              </w:rPr>
              <w:t>应用模块拥有各自独立的设置后台，可以设置模块的名称、显示样式、次级页面的细节设置、添加数据内容等。</w:t>
            </w:r>
          </w:p>
          <w:p w14:paraId="71135B09">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kern w:val="2"/>
                <w:sz w:val="24"/>
                <w:szCs w:val="24"/>
                <w:lang w:val="en-US" w:eastAsia="zh-Hans" w:bidi="ar-SA"/>
              </w:rPr>
              <w:t>21.7</w:t>
            </w:r>
            <w:r>
              <w:rPr>
                <w:rFonts w:hint="eastAsia" w:asciiTheme="minorEastAsia" w:hAnsiTheme="minorEastAsia" w:eastAsiaTheme="minorEastAsia" w:cstheme="minorEastAsia"/>
                <w:color w:val="auto"/>
                <w:sz w:val="24"/>
                <w:szCs w:val="24"/>
              </w:rPr>
              <w:t>搜索应用支持同时对接多个搜索引擎，支持站内资源搜索。</w:t>
            </w:r>
          </w:p>
        </w:tc>
      </w:tr>
      <w:tr w14:paraId="7EBA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4B2277F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w:t>
            </w:r>
          </w:p>
        </w:tc>
        <w:tc>
          <w:tcPr>
            <w:tcW w:w="812" w:type="dxa"/>
            <w:vMerge w:val="continue"/>
            <w:noWrap w:val="0"/>
            <w:vAlign w:val="top"/>
          </w:tcPr>
          <w:p w14:paraId="483490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lang w:eastAsia="zh-Hans"/>
              </w:rPr>
            </w:pPr>
          </w:p>
        </w:tc>
        <w:tc>
          <w:tcPr>
            <w:tcW w:w="1063" w:type="dxa"/>
            <w:noWrap w:val="0"/>
            <w:vAlign w:val="top"/>
          </w:tcPr>
          <w:p w14:paraId="2A2ED16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移动端页面</w:t>
            </w:r>
          </w:p>
        </w:tc>
        <w:tc>
          <w:tcPr>
            <w:tcW w:w="6287" w:type="dxa"/>
            <w:noWrap w:val="0"/>
            <w:vAlign w:val="top"/>
          </w:tcPr>
          <w:p w14:paraId="7071AAD5">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kern w:val="2"/>
                <w:sz w:val="24"/>
                <w:szCs w:val="24"/>
                <w:lang w:val="en-US" w:eastAsia="zh-Hans" w:bidi="ar-SA"/>
              </w:rPr>
              <w:t>22.1</w:t>
            </w:r>
            <w:r>
              <w:rPr>
                <w:rFonts w:hint="eastAsia" w:asciiTheme="minorEastAsia" w:hAnsiTheme="minorEastAsia" w:eastAsiaTheme="minorEastAsia" w:cstheme="minorEastAsia"/>
                <w:color w:val="auto"/>
                <w:sz w:val="24"/>
                <w:szCs w:val="24"/>
                <w:lang w:eastAsia="zh-Hans"/>
              </w:rPr>
              <w:t>移动端配置：支持按照不同角色配置移动端页面和全部应用页，支持快速切换模板；支持组件化搭建移动端页面，如轮播图、检索框、三列应用容器、四列应用容器等；</w:t>
            </w:r>
          </w:p>
          <w:p w14:paraId="4B8FBE58">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kern w:val="2"/>
                <w:sz w:val="24"/>
                <w:szCs w:val="24"/>
                <w:lang w:val="en-US" w:eastAsia="zh-Hans" w:bidi="ar-SA"/>
              </w:rPr>
              <w:t>22.2</w:t>
            </w:r>
            <w:r>
              <w:rPr>
                <w:rFonts w:hint="eastAsia" w:asciiTheme="minorEastAsia" w:hAnsiTheme="minorEastAsia" w:eastAsiaTheme="minorEastAsia" w:cstheme="minorEastAsia"/>
                <w:color w:val="auto"/>
                <w:sz w:val="24"/>
                <w:szCs w:val="24"/>
                <w:lang w:eastAsia="zh-Hans"/>
              </w:rPr>
              <w:t>移动端支持聚合实验室管理系统中不同功能模块的应用，安全检查、耗材管理、危化品管理等业务系统独立区域展示前端应用。</w:t>
            </w:r>
          </w:p>
          <w:p w14:paraId="0EED6E41">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kern w:val="2"/>
                <w:sz w:val="24"/>
                <w:szCs w:val="24"/>
                <w:lang w:val="en-US" w:eastAsia="zh-Hans" w:bidi="ar-SA"/>
              </w:rPr>
              <w:t>22.3</w:t>
            </w:r>
            <w:r>
              <w:rPr>
                <w:rFonts w:hint="eastAsia" w:asciiTheme="minorEastAsia" w:hAnsiTheme="minorEastAsia" w:eastAsiaTheme="minorEastAsia" w:cstheme="minorEastAsia"/>
                <w:color w:val="auto"/>
                <w:sz w:val="24"/>
                <w:szCs w:val="24"/>
                <w:lang w:eastAsia="zh-Hans"/>
              </w:rPr>
              <w:t>应用模块拥有各自独立的设置后台，可以设置模块的名称、显示样式、次级页面的细节设置、添加数据内容等。</w:t>
            </w:r>
          </w:p>
        </w:tc>
      </w:tr>
      <w:tr w14:paraId="2B41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6" w:hRule="atLeast"/>
        </w:trPr>
        <w:tc>
          <w:tcPr>
            <w:tcW w:w="783" w:type="dxa"/>
            <w:noWrap w:val="0"/>
            <w:vAlign w:val="top"/>
          </w:tcPr>
          <w:p w14:paraId="3970F6C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w:t>
            </w:r>
          </w:p>
        </w:tc>
        <w:tc>
          <w:tcPr>
            <w:tcW w:w="812" w:type="dxa"/>
            <w:noWrap w:val="0"/>
            <w:vAlign w:val="top"/>
          </w:tcPr>
          <w:p w14:paraId="52EBD3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Hans"/>
              </w:rPr>
              <w:t>实验建设项目管理</w:t>
            </w:r>
          </w:p>
        </w:tc>
        <w:tc>
          <w:tcPr>
            <w:tcW w:w="1063" w:type="dxa"/>
            <w:noWrap w:val="0"/>
            <w:vAlign w:val="top"/>
          </w:tcPr>
          <w:p w14:paraId="1B86901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lang w:eastAsia="zh-Hans"/>
              </w:rPr>
            </w:pPr>
          </w:p>
        </w:tc>
        <w:tc>
          <w:tcPr>
            <w:tcW w:w="6287" w:type="dxa"/>
            <w:noWrap w:val="0"/>
            <w:vAlign w:val="top"/>
          </w:tcPr>
          <w:p w14:paraId="74C57F01">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kern w:val="2"/>
                <w:sz w:val="24"/>
                <w:szCs w:val="24"/>
                <w:lang w:val="en-US" w:eastAsia="zh-Hans" w:bidi="ar-SA"/>
              </w:rPr>
              <w:t>23.1</w:t>
            </w:r>
            <w:r>
              <w:rPr>
                <w:rFonts w:hint="eastAsia" w:asciiTheme="minorEastAsia" w:hAnsiTheme="minorEastAsia" w:eastAsiaTheme="minorEastAsia" w:cstheme="minorEastAsia"/>
                <w:color w:val="auto"/>
                <w:sz w:val="24"/>
                <w:szCs w:val="24"/>
                <w:lang w:eastAsia="zh-Hans"/>
              </w:rPr>
              <w:t>实验实训室建设项目</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eastAsia="zh-Hans"/>
              </w:rPr>
              <w:t>实验实训室名称、预算，申请书、论证方案、用途， 场地、负责人</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eastAsia="zh-Hans"/>
              </w:rPr>
              <w:t>申报论证报告及附件上传功能。</w:t>
            </w:r>
          </w:p>
          <w:p w14:paraId="63DAF9AD">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kern w:val="2"/>
                <w:sz w:val="24"/>
                <w:szCs w:val="24"/>
                <w:lang w:val="en-US" w:eastAsia="zh-Hans" w:bidi="ar-SA"/>
              </w:rPr>
              <w:t>23.2</w:t>
            </w:r>
            <w:r>
              <w:rPr>
                <w:rFonts w:hint="eastAsia" w:asciiTheme="minorEastAsia" w:hAnsiTheme="minorEastAsia" w:eastAsiaTheme="minorEastAsia" w:cstheme="minorEastAsia"/>
                <w:color w:val="auto"/>
                <w:sz w:val="24"/>
                <w:szCs w:val="24"/>
                <w:lang w:eastAsia="zh-Hans"/>
              </w:rPr>
              <w:t>项目负责人填报项目实施方案，包含实施计划、设备物资采购计划、实施经费等信息。</w:t>
            </w:r>
          </w:p>
          <w:p w14:paraId="786368EC">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kern w:val="2"/>
                <w:sz w:val="24"/>
                <w:szCs w:val="24"/>
                <w:lang w:val="en-US" w:eastAsia="zh-Hans" w:bidi="ar-SA"/>
              </w:rPr>
              <w:t>23.3</w:t>
            </w:r>
            <w:r>
              <w:rPr>
                <w:rFonts w:hint="eastAsia" w:asciiTheme="minorEastAsia" w:hAnsiTheme="minorEastAsia" w:eastAsiaTheme="minorEastAsia" w:cstheme="minorEastAsia"/>
                <w:color w:val="auto"/>
                <w:sz w:val="24"/>
                <w:szCs w:val="24"/>
                <w:lang w:eastAsia="zh-Hans"/>
              </w:rPr>
              <w:t>上级管理员进行审核。维护已立项项目，项目负责人在线填报项目进展阶段，管理员通过项目库了解当前项目 建设阶段。</w:t>
            </w:r>
          </w:p>
          <w:p w14:paraId="4E9833BC">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kern w:val="2"/>
                <w:sz w:val="24"/>
                <w:szCs w:val="24"/>
                <w:lang w:val="en-US" w:eastAsia="zh-Hans" w:bidi="ar-SA"/>
              </w:rPr>
              <w:t>23.4</w:t>
            </w:r>
            <w:r>
              <w:rPr>
                <w:rFonts w:hint="eastAsia" w:asciiTheme="minorEastAsia" w:hAnsiTheme="minorEastAsia" w:eastAsiaTheme="minorEastAsia" w:cstheme="minorEastAsia"/>
                <w:color w:val="auto"/>
                <w:sz w:val="24"/>
                <w:szCs w:val="24"/>
              </w:rPr>
              <w:t>项目立项申报阶段，用户可上传建设方案、论证报告等附件文档。</w:t>
            </w:r>
          </w:p>
          <w:p w14:paraId="1684AFC6">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kern w:val="2"/>
                <w:sz w:val="24"/>
                <w:szCs w:val="24"/>
                <w:lang w:val="en-US" w:eastAsia="zh-Hans" w:bidi="ar-SA"/>
              </w:rPr>
              <w:t>23.5</w:t>
            </w:r>
            <w:r>
              <w:rPr>
                <w:rFonts w:hint="eastAsia" w:asciiTheme="minorEastAsia" w:hAnsiTheme="minorEastAsia" w:eastAsiaTheme="minorEastAsia" w:cstheme="minorEastAsia"/>
                <w:color w:val="auto"/>
                <w:sz w:val="24"/>
                <w:szCs w:val="24"/>
              </w:rPr>
              <w:t>项目申报流程中可加入多级自定义审批，如院系、实验实训中心、资产处、纪委等环节进行多级审批流程。</w:t>
            </w:r>
          </w:p>
          <w:p w14:paraId="39B886DA">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kern w:val="2"/>
                <w:sz w:val="24"/>
                <w:szCs w:val="24"/>
                <w:lang w:val="en-US" w:eastAsia="zh-Hans" w:bidi="ar-SA"/>
              </w:rPr>
              <w:t>23.6</w:t>
            </w:r>
            <w:r>
              <w:rPr>
                <w:rFonts w:hint="eastAsia" w:asciiTheme="minorEastAsia" w:hAnsiTheme="minorEastAsia" w:eastAsiaTheme="minorEastAsia" w:cstheme="minorEastAsia"/>
                <w:color w:val="auto"/>
                <w:sz w:val="24"/>
                <w:szCs w:val="24"/>
              </w:rPr>
              <w:t>审批过程中可设置条件优先级，触发不同条件后，转由不同流程进行处理。</w:t>
            </w:r>
          </w:p>
          <w:p w14:paraId="74553041">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kern w:val="2"/>
                <w:sz w:val="24"/>
                <w:szCs w:val="24"/>
                <w:lang w:val="en-US" w:eastAsia="zh-Hans" w:bidi="ar-SA"/>
              </w:rPr>
              <w:t>23.7</w:t>
            </w:r>
            <w:r>
              <w:rPr>
                <w:rFonts w:hint="eastAsia" w:asciiTheme="minorEastAsia" w:hAnsiTheme="minorEastAsia" w:eastAsiaTheme="minorEastAsia" w:cstheme="minorEastAsia"/>
                <w:color w:val="auto"/>
                <w:sz w:val="24"/>
                <w:szCs w:val="24"/>
              </w:rPr>
              <w:t>各级审批超时未处理时，可提前设置提醒规则，自动触发设置的规则</w:t>
            </w:r>
          </w:p>
          <w:p w14:paraId="6B60B8FC">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kern w:val="2"/>
                <w:sz w:val="24"/>
                <w:szCs w:val="24"/>
                <w:lang w:val="en-US" w:eastAsia="zh-Hans" w:bidi="ar-SA"/>
              </w:rPr>
              <w:t>23.8</w:t>
            </w:r>
            <w:r>
              <w:rPr>
                <w:rFonts w:hint="eastAsia" w:asciiTheme="minorEastAsia" w:hAnsiTheme="minorEastAsia" w:eastAsiaTheme="minorEastAsia" w:cstheme="minorEastAsia"/>
                <w:color w:val="auto"/>
                <w:sz w:val="24"/>
                <w:szCs w:val="24"/>
              </w:rPr>
              <w:t>审批流程中可进行手签名、电子签章功能</w:t>
            </w:r>
          </w:p>
          <w:p w14:paraId="7785F91B">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kern w:val="2"/>
                <w:sz w:val="24"/>
                <w:szCs w:val="24"/>
                <w:lang w:val="en-US" w:eastAsia="zh-Hans" w:bidi="ar-SA"/>
              </w:rPr>
              <w:t>23.9</w:t>
            </w:r>
            <w:r>
              <w:rPr>
                <w:rFonts w:hint="eastAsia" w:asciiTheme="minorEastAsia" w:hAnsiTheme="minorEastAsia" w:eastAsiaTheme="minorEastAsia" w:cstheme="minorEastAsia"/>
                <w:color w:val="auto"/>
                <w:sz w:val="24"/>
                <w:szCs w:val="24"/>
              </w:rPr>
              <w:t>项目建设过程中可采集项目建设的进度，包括未开启、建设中、已完成等状态字段。</w:t>
            </w:r>
          </w:p>
          <w:p w14:paraId="16713086">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kern w:val="2"/>
                <w:sz w:val="24"/>
                <w:szCs w:val="24"/>
                <w:lang w:val="en-US" w:eastAsia="zh-Hans" w:bidi="ar-SA"/>
              </w:rPr>
              <w:t>23.10</w:t>
            </w:r>
            <w:r>
              <w:rPr>
                <w:rFonts w:hint="eastAsia" w:asciiTheme="minorEastAsia" w:hAnsiTheme="minorEastAsia" w:eastAsiaTheme="minorEastAsia" w:cstheme="minorEastAsia"/>
                <w:color w:val="auto"/>
                <w:sz w:val="24"/>
                <w:szCs w:val="24"/>
              </w:rPr>
              <w:t>项目建设完成后可</w:t>
            </w:r>
            <w:r>
              <w:rPr>
                <w:rFonts w:hint="eastAsia" w:asciiTheme="minorEastAsia" w:hAnsiTheme="minorEastAsia" w:eastAsiaTheme="minorEastAsia" w:cstheme="minorEastAsia"/>
                <w:color w:val="auto"/>
                <w:sz w:val="24"/>
                <w:szCs w:val="24"/>
                <w:lang w:eastAsia="zh-CN"/>
              </w:rPr>
              <w:t>进入</w:t>
            </w:r>
            <w:r>
              <w:rPr>
                <w:rFonts w:hint="eastAsia" w:asciiTheme="minorEastAsia" w:hAnsiTheme="minorEastAsia" w:eastAsiaTheme="minorEastAsia" w:cstheme="minorEastAsia"/>
                <w:color w:val="auto"/>
                <w:sz w:val="24"/>
                <w:szCs w:val="24"/>
              </w:rPr>
              <w:t>验收、评审环节，根据各环节可上传验收报告、评审意见等。</w:t>
            </w:r>
          </w:p>
          <w:p w14:paraId="52AF41D9">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kern w:val="2"/>
                <w:sz w:val="24"/>
                <w:szCs w:val="24"/>
                <w:lang w:val="en-US" w:eastAsia="zh-Hans" w:bidi="ar-SA"/>
              </w:rPr>
              <w:t>23.1</w:t>
            </w:r>
            <w:r>
              <w:rPr>
                <w:rFonts w:hint="eastAsia" w:asciiTheme="minorEastAsia" w:hAnsiTheme="minorEastAsia" w:eastAsiaTheme="minorEastAsia" w:cstheme="minorEastAsia"/>
                <w:color w:val="auto"/>
                <w:kern w:val="2"/>
                <w:sz w:val="24"/>
                <w:szCs w:val="24"/>
                <w:lang w:val="en-US" w:eastAsia="zh-CN" w:bidi="ar-SA"/>
              </w:rPr>
              <w:t>1</w:t>
            </w:r>
            <w:r>
              <w:rPr>
                <w:rFonts w:hint="eastAsia" w:asciiTheme="minorEastAsia" w:hAnsiTheme="minorEastAsia" w:eastAsiaTheme="minorEastAsia" w:cstheme="minorEastAsia"/>
                <w:color w:val="auto"/>
                <w:sz w:val="24"/>
                <w:szCs w:val="24"/>
              </w:rPr>
              <w:t>★导出实施计划书：项目申请人申请备案通过后，展开实施计划书前期工作，根据实施计划书填写要求逐一开展询价及实施计划</w:t>
            </w:r>
            <w:r>
              <w:rPr>
                <w:rFonts w:hint="eastAsia" w:asciiTheme="minorEastAsia" w:hAnsiTheme="minorEastAsia" w:eastAsiaTheme="minorEastAsia" w:cstheme="minorEastAsia"/>
                <w:color w:val="auto"/>
                <w:sz w:val="24"/>
                <w:szCs w:val="24"/>
                <w:lang w:eastAsia="zh-CN"/>
              </w:rPr>
              <w:t>书</w:t>
            </w:r>
            <w:r>
              <w:rPr>
                <w:rFonts w:hint="eastAsia" w:asciiTheme="minorEastAsia" w:hAnsiTheme="minorEastAsia" w:eastAsiaTheme="minorEastAsia" w:cstheme="minorEastAsia"/>
                <w:color w:val="auto"/>
                <w:sz w:val="24"/>
                <w:szCs w:val="24"/>
              </w:rPr>
              <w:t>填写工作。实施计划书内容包含项目名称、负责人、联系方式、所属部门、实验中心、项目周期等，管理员可按照学校情况进行自定义配置实施计划书的格式。填报和审批完成后，支持一键导出实施计划书（pdf带水印）</w:t>
            </w:r>
          </w:p>
        </w:tc>
      </w:tr>
      <w:tr w14:paraId="0BDD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5AFA30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w:t>
            </w:r>
          </w:p>
        </w:tc>
        <w:tc>
          <w:tcPr>
            <w:tcW w:w="812" w:type="dxa"/>
            <w:vMerge w:val="restart"/>
            <w:noWrap w:val="0"/>
            <w:vAlign w:val="top"/>
          </w:tcPr>
          <w:p w14:paraId="73621B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rPr>
              <w:t>仪器设备管理</w:t>
            </w:r>
          </w:p>
        </w:tc>
        <w:tc>
          <w:tcPr>
            <w:tcW w:w="1063" w:type="dxa"/>
            <w:noWrap w:val="0"/>
            <w:vAlign w:val="top"/>
          </w:tcPr>
          <w:p w14:paraId="5874AD52">
            <w:pPr>
              <w:pStyle w:val="20"/>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基础数据管理</w:t>
            </w:r>
          </w:p>
        </w:tc>
        <w:tc>
          <w:tcPr>
            <w:tcW w:w="6287" w:type="dxa"/>
            <w:noWrap w:val="0"/>
            <w:vAlign w:val="top"/>
          </w:tcPr>
          <w:p w14:paraId="59DEB01B">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24.1</w:t>
            </w:r>
            <w:r>
              <w:rPr>
                <w:rFonts w:hint="eastAsia" w:asciiTheme="minorEastAsia" w:hAnsiTheme="minorEastAsia" w:eastAsiaTheme="minorEastAsia" w:cstheme="minorEastAsia"/>
                <w:color w:val="auto"/>
                <w:sz w:val="24"/>
                <w:szCs w:val="24"/>
              </w:rPr>
              <w:t>支持数据字典管理，支持自定义添加计量单位、包装单位、</w:t>
            </w:r>
            <w:r>
              <w:rPr>
                <w:rFonts w:hint="eastAsia" w:asciiTheme="minorEastAsia" w:hAnsiTheme="minorEastAsia" w:eastAsiaTheme="minorEastAsia" w:cstheme="minorEastAsia"/>
                <w:color w:val="auto"/>
                <w:sz w:val="24"/>
                <w:szCs w:val="24"/>
                <w:lang w:eastAsia="zh-Hans"/>
              </w:rPr>
              <w:t>设备种</w:t>
            </w:r>
            <w:r>
              <w:rPr>
                <w:rFonts w:hint="eastAsia" w:asciiTheme="minorEastAsia" w:hAnsiTheme="minorEastAsia" w:eastAsiaTheme="minorEastAsia" w:cstheme="minorEastAsia"/>
                <w:color w:val="auto"/>
                <w:sz w:val="24"/>
                <w:szCs w:val="24"/>
              </w:rPr>
              <w:t>类、受管制类别信息。</w:t>
            </w:r>
          </w:p>
          <w:p w14:paraId="77E5652B">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24.2</w:t>
            </w:r>
            <w:r>
              <w:rPr>
                <w:rFonts w:hint="eastAsia" w:asciiTheme="minorEastAsia" w:hAnsiTheme="minorEastAsia" w:eastAsiaTheme="minorEastAsia" w:cstheme="minorEastAsia"/>
                <w:color w:val="auto"/>
                <w:sz w:val="24"/>
                <w:szCs w:val="24"/>
              </w:rPr>
              <w:t>支持类别库管理，可自定义添加类别，类别信息包含</w:t>
            </w:r>
            <w:r>
              <w:rPr>
                <w:rFonts w:hint="eastAsia" w:asciiTheme="minorEastAsia" w:hAnsiTheme="minorEastAsia" w:eastAsiaTheme="minorEastAsia" w:cstheme="minorEastAsia"/>
                <w:color w:val="auto"/>
                <w:sz w:val="24"/>
                <w:szCs w:val="24"/>
                <w:lang w:eastAsia="zh-Hans"/>
              </w:rPr>
              <w:t>设备</w:t>
            </w:r>
            <w:r>
              <w:rPr>
                <w:rFonts w:hint="eastAsia" w:asciiTheme="minorEastAsia" w:hAnsiTheme="minorEastAsia" w:eastAsiaTheme="minorEastAsia" w:cstheme="minorEastAsia"/>
                <w:color w:val="auto"/>
                <w:sz w:val="24"/>
                <w:szCs w:val="24"/>
              </w:rPr>
              <w:t>分类目录、类别编号、类别名称及简称。</w:t>
            </w:r>
          </w:p>
          <w:p w14:paraId="7787C1D0">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24.3</w:t>
            </w:r>
            <w:r>
              <w:rPr>
                <w:rFonts w:hint="eastAsia" w:asciiTheme="minorEastAsia" w:hAnsiTheme="minorEastAsia" w:eastAsiaTheme="minorEastAsia" w:cstheme="minorEastAsia"/>
                <w:color w:val="auto"/>
                <w:sz w:val="24"/>
                <w:szCs w:val="24"/>
              </w:rPr>
              <w:t>支持</w:t>
            </w:r>
            <w:r>
              <w:rPr>
                <w:rFonts w:hint="eastAsia" w:asciiTheme="minorEastAsia" w:hAnsiTheme="minorEastAsia" w:eastAsiaTheme="minorEastAsia" w:cstheme="minorEastAsia"/>
                <w:color w:val="auto"/>
                <w:sz w:val="24"/>
                <w:szCs w:val="24"/>
                <w:lang w:eastAsia="zh-Hans"/>
              </w:rPr>
              <w:t>设备</w:t>
            </w:r>
            <w:r>
              <w:rPr>
                <w:rFonts w:hint="eastAsia" w:asciiTheme="minorEastAsia" w:hAnsiTheme="minorEastAsia" w:eastAsiaTheme="minorEastAsia" w:cstheme="minorEastAsia"/>
                <w:color w:val="auto"/>
                <w:sz w:val="24"/>
                <w:szCs w:val="24"/>
              </w:rPr>
              <w:t>库管理，对</w:t>
            </w:r>
            <w:r>
              <w:rPr>
                <w:rFonts w:hint="eastAsia" w:asciiTheme="minorEastAsia" w:hAnsiTheme="minorEastAsia" w:eastAsiaTheme="minorEastAsia" w:cstheme="minorEastAsia"/>
                <w:color w:val="auto"/>
                <w:sz w:val="24"/>
                <w:szCs w:val="24"/>
                <w:lang w:eastAsia="zh-Hans"/>
              </w:rPr>
              <w:t>设备</w:t>
            </w:r>
            <w:r>
              <w:rPr>
                <w:rFonts w:hint="eastAsia" w:asciiTheme="minorEastAsia" w:hAnsiTheme="minorEastAsia" w:eastAsiaTheme="minorEastAsia" w:cstheme="minorEastAsia"/>
                <w:color w:val="auto"/>
                <w:sz w:val="24"/>
                <w:szCs w:val="24"/>
              </w:rPr>
              <w:t>物资进行新增、编辑、删除操作，包含</w:t>
            </w:r>
            <w:r>
              <w:rPr>
                <w:rFonts w:hint="eastAsia" w:asciiTheme="minorEastAsia" w:hAnsiTheme="minorEastAsia" w:eastAsiaTheme="minorEastAsia" w:cstheme="minorEastAsia"/>
                <w:color w:val="auto"/>
                <w:sz w:val="24"/>
                <w:szCs w:val="24"/>
                <w:lang w:eastAsia="zh-Hans"/>
              </w:rPr>
              <w:t>设备</w:t>
            </w:r>
            <w:r>
              <w:rPr>
                <w:rFonts w:hint="eastAsia" w:asciiTheme="minorEastAsia" w:hAnsiTheme="minorEastAsia" w:eastAsiaTheme="minorEastAsia" w:cstheme="minorEastAsia"/>
                <w:color w:val="auto"/>
                <w:sz w:val="24"/>
                <w:szCs w:val="24"/>
              </w:rPr>
              <w:t>名称、</w:t>
            </w:r>
            <w:r>
              <w:rPr>
                <w:rFonts w:hint="eastAsia" w:asciiTheme="minorEastAsia" w:hAnsiTheme="minorEastAsia" w:eastAsiaTheme="minorEastAsia" w:cstheme="minorEastAsia"/>
                <w:color w:val="auto"/>
                <w:sz w:val="24"/>
                <w:szCs w:val="24"/>
                <w:lang w:eastAsia="zh-Hans"/>
              </w:rPr>
              <w:t>设备</w:t>
            </w:r>
            <w:r>
              <w:rPr>
                <w:rFonts w:hint="eastAsia" w:asciiTheme="minorEastAsia" w:hAnsiTheme="minorEastAsia" w:eastAsiaTheme="minorEastAsia" w:cstheme="minorEastAsia"/>
                <w:color w:val="auto"/>
                <w:sz w:val="24"/>
                <w:szCs w:val="24"/>
              </w:rPr>
              <w:t>分类、计量单位、规格型号、包装信息。</w:t>
            </w:r>
          </w:p>
          <w:p w14:paraId="7752BE55">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24.4</w:t>
            </w:r>
            <w:r>
              <w:rPr>
                <w:rFonts w:hint="eastAsia" w:asciiTheme="minorEastAsia" w:hAnsiTheme="minorEastAsia" w:eastAsiaTheme="minorEastAsia" w:cstheme="minorEastAsia"/>
                <w:color w:val="auto"/>
                <w:sz w:val="24"/>
                <w:szCs w:val="24"/>
                <w:lang w:eastAsia="zh-Hans"/>
              </w:rPr>
              <w:t>基础数据支持批量</w:t>
            </w:r>
            <w:r>
              <w:rPr>
                <w:rFonts w:hint="eastAsia" w:asciiTheme="minorEastAsia" w:hAnsiTheme="minorEastAsia" w:eastAsiaTheme="minorEastAsia" w:cstheme="minorEastAsia"/>
                <w:color w:val="auto"/>
                <w:sz w:val="24"/>
                <w:szCs w:val="24"/>
                <w:lang w:eastAsia="zh-CN"/>
              </w:rPr>
              <w:t>模板</w:t>
            </w:r>
            <w:r>
              <w:rPr>
                <w:rFonts w:hint="eastAsia" w:asciiTheme="minorEastAsia" w:hAnsiTheme="minorEastAsia" w:eastAsiaTheme="minorEastAsia" w:cstheme="minorEastAsia"/>
                <w:color w:val="auto"/>
                <w:sz w:val="24"/>
                <w:szCs w:val="24"/>
                <w:lang w:eastAsia="zh-Hans"/>
              </w:rPr>
              <w:t>导入，支持移动端填写表单数据录入。</w:t>
            </w:r>
          </w:p>
          <w:p w14:paraId="639E23BB">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24.5</w:t>
            </w:r>
            <w:r>
              <w:rPr>
                <w:rFonts w:hint="eastAsia" w:asciiTheme="minorEastAsia" w:hAnsiTheme="minorEastAsia" w:eastAsiaTheme="minorEastAsia" w:cstheme="minorEastAsia"/>
                <w:color w:val="auto"/>
                <w:sz w:val="24"/>
                <w:szCs w:val="24"/>
              </w:rPr>
              <w:t>系统</w:t>
            </w:r>
            <w:r>
              <w:rPr>
                <w:rFonts w:hint="eastAsia" w:asciiTheme="minorEastAsia" w:hAnsiTheme="minorEastAsia" w:eastAsiaTheme="minorEastAsia" w:cstheme="minorEastAsia"/>
                <w:color w:val="auto"/>
                <w:sz w:val="24"/>
                <w:szCs w:val="24"/>
                <w:lang w:eastAsia="zh-Hans"/>
              </w:rPr>
              <w:t>支持多种角色权限，不限于</w:t>
            </w:r>
            <w:r>
              <w:rPr>
                <w:rFonts w:hint="eastAsia" w:asciiTheme="minorEastAsia" w:hAnsiTheme="minorEastAsia" w:eastAsiaTheme="minorEastAsia" w:cstheme="minorEastAsia"/>
                <w:color w:val="auto"/>
                <w:sz w:val="24"/>
                <w:szCs w:val="24"/>
              </w:rPr>
              <w:t>学生、教师、</w:t>
            </w:r>
            <w:r>
              <w:rPr>
                <w:rFonts w:hint="eastAsia" w:asciiTheme="minorEastAsia" w:hAnsiTheme="minorEastAsia" w:eastAsiaTheme="minorEastAsia" w:cstheme="minorEastAsia"/>
                <w:color w:val="auto"/>
                <w:sz w:val="24"/>
                <w:szCs w:val="24"/>
                <w:lang w:eastAsia="zh-Hans"/>
              </w:rPr>
              <w:t>二级</w:t>
            </w:r>
            <w:r>
              <w:rPr>
                <w:rFonts w:hint="eastAsia" w:asciiTheme="minorEastAsia" w:hAnsiTheme="minorEastAsia" w:eastAsiaTheme="minorEastAsia" w:cstheme="minorEastAsia"/>
                <w:color w:val="auto"/>
                <w:sz w:val="24"/>
                <w:szCs w:val="24"/>
              </w:rPr>
              <w:t>学院</w:t>
            </w:r>
            <w:r>
              <w:rPr>
                <w:rFonts w:hint="eastAsia" w:asciiTheme="minorEastAsia" w:hAnsiTheme="minorEastAsia" w:eastAsiaTheme="minorEastAsia" w:cstheme="minorEastAsia"/>
                <w:color w:val="auto"/>
                <w:sz w:val="24"/>
                <w:szCs w:val="24"/>
                <w:lang w:eastAsia="zh-Hans"/>
              </w:rPr>
              <w:t>系部</w:t>
            </w:r>
            <w:r>
              <w:rPr>
                <w:rFonts w:hint="eastAsia" w:asciiTheme="minorEastAsia" w:hAnsiTheme="minorEastAsia" w:eastAsiaTheme="minorEastAsia" w:cstheme="minorEastAsia"/>
                <w:color w:val="auto"/>
                <w:sz w:val="24"/>
                <w:szCs w:val="24"/>
              </w:rPr>
              <w:t>管理员、</w:t>
            </w:r>
            <w:r>
              <w:rPr>
                <w:rFonts w:hint="eastAsia" w:asciiTheme="minorEastAsia" w:hAnsiTheme="minorEastAsia" w:eastAsiaTheme="minorEastAsia" w:cstheme="minorEastAsia"/>
                <w:color w:val="auto"/>
                <w:sz w:val="24"/>
                <w:szCs w:val="24"/>
                <w:lang w:eastAsia="zh-Hans"/>
              </w:rPr>
              <w:t>设备</w:t>
            </w:r>
            <w:r>
              <w:rPr>
                <w:rFonts w:hint="eastAsia" w:asciiTheme="minorEastAsia" w:hAnsiTheme="minorEastAsia" w:eastAsiaTheme="minorEastAsia" w:cstheme="minorEastAsia"/>
                <w:color w:val="auto"/>
                <w:sz w:val="24"/>
                <w:szCs w:val="24"/>
              </w:rPr>
              <w:t>管理员、校级管理员、</w:t>
            </w:r>
            <w:r>
              <w:rPr>
                <w:rFonts w:hint="eastAsia" w:asciiTheme="minorEastAsia" w:hAnsiTheme="minorEastAsia" w:eastAsiaTheme="minorEastAsia" w:cstheme="minorEastAsia"/>
                <w:color w:val="auto"/>
                <w:sz w:val="24"/>
                <w:szCs w:val="24"/>
                <w:lang w:eastAsia="zh-Hans"/>
              </w:rPr>
              <w:t>实验室管理员</w:t>
            </w:r>
            <w:r>
              <w:rPr>
                <w:rFonts w:hint="eastAsia" w:asciiTheme="minorEastAsia" w:hAnsiTheme="minorEastAsia" w:eastAsiaTheme="minorEastAsia" w:cstheme="minorEastAsia"/>
                <w:color w:val="auto"/>
                <w:sz w:val="24"/>
                <w:szCs w:val="24"/>
              </w:rPr>
              <w:t>等角色。</w:t>
            </w:r>
          </w:p>
        </w:tc>
      </w:tr>
      <w:tr w14:paraId="2DDA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6C3DBF9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w:t>
            </w:r>
          </w:p>
        </w:tc>
        <w:tc>
          <w:tcPr>
            <w:tcW w:w="812" w:type="dxa"/>
            <w:vMerge w:val="continue"/>
            <w:noWrap w:val="0"/>
            <w:vAlign w:val="top"/>
          </w:tcPr>
          <w:p w14:paraId="66239B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lang w:eastAsia="zh-Hans"/>
              </w:rPr>
            </w:pPr>
          </w:p>
        </w:tc>
        <w:tc>
          <w:tcPr>
            <w:tcW w:w="1063" w:type="dxa"/>
            <w:noWrap w:val="0"/>
            <w:vAlign w:val="top"/>
          </w:tcPr>
          <w:p w14:paraId="731E37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流程管理</w:t>
            </w:r>
          </w:p>
        </w:tc>
        <w:tc>
          <w:tcPr>
            <w:tcW w:w="6287" w:type="dxa"/>
            <w:noWrap w:val="0"/>
            <w:vAlign w:val="top"/>
          </w:tcPr>
          <w:p w14:paraId="005F532A">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kern w:val="2"/>
                <w:sz w:val="24"/>
                <w:szCs w:val="24"/>
                <w:lang w:val="en-US" w:eastAsia="zh-CN" w:bidi="ar-SA"/>
              </w:rPr>
              <w:t>25.</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Hans"/>
              </w:rPr>
              <w:t>系统支持审批流程的自定义管理，可自定义设置申购、入库、报修、报废的申请审批，支持添加多级审批，支持自定义审批角色组。</w:t>
            </w:r>
          </w:p>
          <w:p w14:paraId="41362664">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val="en-US" w:eastAsia="zh-CN"/>
              </w:rPr>
              <w:t>25.2</w:t>
            </w:r>
            <w:r>
              <w:rPr>
                <w:rFonts w:hint="eastAsia" w:asciiTheme="minorEastAsia" w:hAnsiTheme="minorEastAsia" w:eastAsiaTheme="minorEastAsia" w:cstheme="minorEastAsia"/>
                <w:color w:val="auto"/>
                <w:sz w:val="24"/>
                <w:szCs w:val="24"/>
                <w:lang w:eastAsia="zh-Hans"/>
              </w:rPr>
              <w:t>用户可以在线填写所需设备的申购申请单，申购单中包括品名、规格、单位、需求</w:t>
            </w:r>
            <w:r>
              <w:rPr>
                <w:rFonts w:hint="eastAsia" w:asciiTheme="minorEastAsia" w:hAnsiTheme="minorEastAsia" w:eastAsiaTheme="minorEastAsia" w:cstheme="minorEastAsia"/>
                <w:color w:val="auto"/>
                <w:sz w:val="24"/>
                <w:szCs w:val="24"/>
                <w:lang w:eastAsia="zh-CN"/>
              </w:rPr>
              <w:t>数量</w:t>
            </w:r>
            <w:r>
              <w:rPr>
                <w:rFonts w:hint="eastAsia" w:asciiTheme="minorEastAsia" w:hAnsiTheme="minorEastAsia" w:eastAsiaTheme="minorEastAsia" w:cstheme="minorEastAsia"/>
                <w:color w:val="auto"/>
                <w:sz w:val="24"/>
                <w:szCs w:val="24"/>
                <w:lang w:eastAsia="zh-Hans"/>
              </w:rPr>
              <w:t>、类别、备注、价格等信息。申请人员可对填写完毕的信息提交审批</w:t>
            </w:r>
          </w:p>
          <w:p w14:paraId="434F78BD">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val="en-US" w:eastAsia="zh-CN"/>
              </w:rPr>
              <w:t>25.3</w:t>
            </w:r>
            <w:r>
              <w:rPr>
                <w:rFonts w:hint="eastAsia" w:asciiTheme="minorEastAsia" w:hAnsiTheme="minorEastAsia" w:eastAsiaTheme="minorEastAsia" w:cstheme="minorEastAsia"/>
                <w:color w:val="auto"/>
                <w:sz w:val="24"/>
                <w:szCs w:val="24"/>
                <w:lang w:eastAsia="zh-Hans"/>
              </w:rPr>
              <w:t>★系统可根据学校实际管理流程对设备的申购审批，进行自定义设置审批流程；可查看每条申请信息的审批进度，每个用户可在独立的审批助手应用查看所有审批，便于操作。</w:t>
            </w:r>
          </w:p>
          <w:p w14:paraId="55750D4E">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val="en-US" w:eastAsia="zh-CN"/>
              </w:rPr>
              <w:t>25.4</w:t>
            </w:r>
            <w:r>
              <w:rPr>
                <w:rFonts w:hint="eastAsia" w:asciiTheme="minorEastAsia" w:hAnsiTheme="minorEastAsia" w:eastAsiaTheme="minorEastAsia" w:cstheme="minorEastAsia"/>
                <w:color w:val="auto"/>
                <w:sz w:val="24"/>
                <w:szCs w:val="24"/>
                <w:lang w:eastAsia="zh-Hans"/>
              </w:rPr>
              <w:t>在申购审批详情页面，可以</w:t>
            </w:r>
            <w:r>
              <w:rPr>
                <w:rFonts w:hint="eastAsia" w:asciiTheme="minorEastAsia" w:hAnsiTheme="minorEastAsia" w:eastAsiaTheme="minorEastAsia" w:cstheme="minorEastAsia"/>
                <w:color w:val="auto"/>
                <w:sz w:val="24"/>
                <w:szCs w:val="24"/>
                <w:lang w:eastAsia="zh-CN"/>
              </w:rPr>
              <w:t>查看</w:t>
            </w:r>
            <w:r>
              <w:rPr>
                <w:rFonts w:hint="eastAsia" w:asciiTheme="minorEastAsia" w:hAnsiTheme="minorEastAsia" w:eastAsiaTheme="minorEastAsia" w:cstheme="minorEastAsia"/>
                <w:color w:val="auto"/>
                <w:sz w:val="24"/>
                <w:szCs w:val="24"/>
                <w:lang w:eastAsia="zh-Hans"/>
              </w:rPr>
              <w:t>每条申请单的当前状态，以及各个节点的审批人审批时间等痕迹信息。</w:t>
            </w:r>
          </w:p>
          <w:p w14:paraId="51BA256A">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val="en-US" w:eastAsia="zh-CN"/>
              </w:rPr>
              <w:t>25.5</w:t>
            </w:r>
            <w:r>
              <w:rPr>
                <w:rFonts w:hint="eastAsia" w:asciiTheme="minorEastAsia" w:hAnsiTheme="minorEastAsia" w:eastAsiaTheme="minorEastAsia" w:cstheme="minorEastAsia"/>
                <w:color w:val="auto"/>
                <w:sz w:val="24"/>
                <w:szCs w:val="24"/>
                <w:lang w:eastAsia="zh-Hans"/>
              </w:rPr>
              <w:t>仪器设备入库支持导入和手动添加方式</w:t>
            </w:r>
          </w:p>
          <w:p w14:paraId="1621F157">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val="en-US" w:eastAsia="zh-CN"/>
              </w:rPr>
              <w:t>25.6</w:t>
            </w:r>
            <w:r>
              <w:rPr>
                <w:rFonts w:hint="eastAsia" w:asciiTheme="minorEastAsia" w:hAnsiTheme="minorEastAsia" w:eastAsiaTheme="minorEastAsia" w:cstheme="minorEastAsia"/>
                <w:color w:val="auto"/>
                <w:sz w:val="24"/>
                <w:szCs w:val="24"/>
                <w:lang w:eastAsia="zh-Hans"/>
              </w:rPr>
              <w:t>管理人员可</w:t>
            </w:r>
            <w:r>
              <w:rPr>
                <w:rFonts w:hint="eastAsia" w:asciiTheme="minorEastAsia" w:hAnsiTheme="minorEastAsia" w:eastAsiaTheme="minorEastAsia" w:cstheme="minorEastAsia"/>
                <w:color w:val="auto"/>
                <w:sz w:val="24"/>
                <w:szCs w:val="24"/>
                <w:lang w:eastAsia="zh-CN"/>
              </w:rPr>
              <w:t>通过</w:t>
            </w:r>
            <w:r>
              <w:rPr>
                <w:rFonts w:hint="eastAsia" w:asciiTheme="minorEastAsia" w:hAnsiTheme="minorEastAsia" w:eastAsiaTheme="minorEastAsia" w:cstheme="minorEastAsia"/>
                <w:color w:val="auto"/>
                <w:sz w:val="24"/>
                <w:szCs w:val="24"/>
                <w:lang w:eastAsia="zh-Hans"/>
              </w:rPr>
              <w:t>系统实现对入库登记信息的审批，系统支持批量审批；审批支持线上手签名形式</w:t>
            </w:r>
          </w:p>
          <w:p w14:paraId="4119E3A4">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val="en-US" w:eastAsia="zh-CN"/>
              </w:rPr>
              <w:t>25.7</w:t>
            </w:r>
            <w:r>
              <w:rPr>
                <w:rFonts w:hint="eastAsia" w:asciiTheme="minorEastAsia" w:hAnsiTheme="minorEastAsia" w:eastAsiaTheme="minorEastAsia" w:cstheme="minorEastAsia"/>
                <w:color w:val="auto"/>
                <w:sz w:val="24"/>
                <w:szCs w:val="24"/>
                <w:lang w:eastAsia="zh-Hans"/>
              </w:rPr>
              <w:t>报修人根据所需填写报修申请，申请单包含报修设备、报修人、设备信息、问题、报修地点、备注等信息。</w:t>
            </w:r>
          </w:p>
          <w:p w14:paraId="2417AB09">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25.8</w:t>
            </w:r>
            <w:r>
              <w:rPr>
                <w:rFonts w:hint="eastAsia" w:asciiTheme="minorEastAsia" w:hAnsiTheme="minorEastAsia" w:eastAsiaTheme="minorEastAsia" w:cstheme="minorEastAsia"/>
                <w:color w:val="auto"/>
                <w:sz w:val="24"/>
                <w:szCs w:val="24"/>
                <w:lang w:eastAsia="zh-Hans"/>
              </w:rPr>
              <w:t>设备管理员按预设流</w:t>
            </w:r>
            <w:r>
              <w:rPr>
                <w:rFonts w:hint="eastAsia" w:asciiTheme="minorEastAsia" w:hAnsiTheme="minorEastAsia" w:eastAsiaTheme="minorEastAsia" w:cstheme="minorEastAsia"/>
                <w:color w:val="auto"/>
                <w:sz w:val="24"/>
                <w:szCs w:val="24"/>
              </w:rPr>
              <w:t>程进行领用审批，并支持按</w:t>
            </w:r>
            <w:r>
              <w:rPr>
                <w:rFonts w:hint="eastAsia" w:asciiTheme="minorEastAsia" w:hAnsiTheme="minorEastAsia" w:eastAsiaTheme="minorEastAsia" w:cstheme="minorEastAsia"/>
                <w:color w:val="auto"/>
                <w:sz w:val="24"/>
                <w:szCs w:val="24"/>
                <w:lang w:eastAsia="zh-Hans"/>
              </w:rPr>
              <w:t>设备存放</w:t>
            </w:r>
            <w:r>
              <w:rPr>
                <w:rFonts w:hint="eastAsia" w:asciiTheme="minorEastAsia" w:hAnsiTheme="minorEastAsia" w:eastAsiaTheme="minorEastAsia" w:cstheme="minorEastAsia"/>
                <w:color w:val="auto"/>
                <w:sz w:val="24"/>
                <w:szCs w:val="24"/>
              </w:rPr>
              <w:t>仓库、</w:t>
            </w:r>
            <w:r>
              <w:rPr>
                <w:rFonts w:hint="eastAsia" w:asciiTheme="minorEastAsia" w:hAnsiTheme="minorEastAsia" w:eastAsiaTheme="minorEastAsia" w:cstheme="minorEastAsia"/>
                <w:color w:val="auto"/>
                <w:sz w:val="24"/>
                <w:szCs w:val="24"/>
                <w:lang w:eastAsia="zh-Hans"/>
              </w:rPr>
              <w:t>负责</w:t>
            </w:r>
            <w:r>
              <w:rPr>
                <w:rFonts w:hint="eastAsia" w:asciiTheme="minorEastAsia" w:hAnsiTheme="minorEastAsia" w:eastAsiaTheme="minorEastAsia" w:cstheme="minorEastAsia"/>
                <w:color w:val="auto"/>
                <w:sz w:val="24"/>
                <w:szCs w:val="24"/>
              </w:rPr>
              <w:t>人、</w:t>
            </w:r>
            <w:r>
              <w:rPr>
                <w:rFonts w:hint="eastAsia" w:asciiTheme="minorEastAsia" w:hAnsiTheme="minorEastAsia" w:eastAsiaTheme="minorEastAsia" w:cstheme="minorEastAsia"/>
                <w:color w:val="auto"/>
                <w:sz w:val="24"/>
                <w:szCs w:val="24"/>
                <w:lang w:eastAsia="zh-Hans"/>
              </w:rPr>
              <w:t>设备用途</w:t>
            </w:r>
            <w:r>
              <w:rPr>
                <w:rFonts w:hint="eastAsia" w:asciiTheme="minorEastAsia" w:hAnsiTheme="minorEastAsia" w:eastAsiaTheme="minorEastAsia" w:cstheme="minorEastAsia"/>
                <w:color w:val="auto"/>
                <w:sz w:val="24"/>
                <w:szCs w:val="24"/>
              </w:rPr>
              <w:t>、所属学院、</w:t>
            </w:r>
            <w:r>
              <w:rPr>
                <w:rFonts w:hint="eastAsia" w:asciiTheme="minorEastAsia" w:hAnsiTheme="minorEastAsia" w:eastAsiaTheme="minorEastAsia" w:cstheme="minorEastAsia"/>
                <w:color w:val="auto"/>
                <w:sz w:val="24"/>
                <w:szCs w:val="24"/>
                <w:lang w:eastAsia="zh-Hans"/>
              </w:rPr>
              <w:t>使用地点、设备检修期</w:t>
            </w:r>
            <w:r>
              <w:rPr>
                <w:rFonts w:hint="eastAsia" w:asciiTheme="minorEastAsia" w:hAnsiTheme="minorEastAsia" w:eastAsiaTheme="minorEastAsia" w:cstheme="minorEastAsia"/>
                <w:color w:val="auto"/>
                <w:sz w:val="24"/>
                <w:szCs w:val="24"/>
              </w:rPr>
              <w:t>、审批状态进行搜索查询。</w:t>
            </w:r>
          </w:p>
          <w:p w14:paraId="382660FF">
            <w:pPr>
              <w:pStyle w:val="31"/>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25.9</w:t>
            </w:r>
            <w:r>
              <w:rPr>
                <w:rFonts w:hint="eastAsia" w:asciiTheme="minorEastAsia" w:hAnsiTheme="minorEastAsia" w:eastAsiaTheme="minorEastAsia" w:cstheme="minorEastAsia"/>
                <w:color w:val="auto"/>
                <w:kern w:val="2"/>
                <w:sz w:val="24"/>
                <w:szCs w:val="24"/>
                <w:lang w:val="en-US" w:eastAsia="zh-Hans" w:bidi="ar-SA"/>
              </w:rPr>
              <w:t>库存管理：系统后台</w:t>
            </w:r>
            <w:r>
              <w:rPr>
                <w:rFonts w:hint="eastAsia" w:asciiTheme="minorEastAsia" w:hAnsiTheme="minorEastAsia" w:eastAsiaTheme="minorEastAsia" w:cstheme="minorEastAsia"/>
                <w:color w:val="auto"/>
                <w:kern w:val="2"/>
                <w:sz w:val="24"/>
                <w:szCs w:val="24"/>
                <w:lang w:val="en-US" w:eastAsia="zh-CN" w:bidi="ar-SA"/>
              </w:rPr>
              <w:t>可查看每</w:t>
            </w:r>
            <w:r>
              <w:rPr>
                <w:rFonts w:hint="eastAsia" w:asciiTheme="minorEastAsia" w:hAnsiTheme="minorEastAsia" w:eastAsiaTheme="minorEastAsia" w:cstheme="minorEastAsia"/>
                <w:color w:val="auto"/>
                <w:kern w:val="2"/>
                <w:sz w:val="24"/>
                <w:szCs w:val="24"/>
                <w:lang w:val="en-US" w:eastAsia="zh-Hans" w:bidi="ar-SA"/>
              </w:rPr>
              <w:t>类设备</w:t>
            </w:r>
            <w:r>
              <w:rPr>
                <w:rFonts w:hint="eastAsia" w:asciiTheme="minorEastAsia" w:hAnsiTheme="minorEastAsia" w:eastAsiaTheme="minorEastAsia" w:cstheme="minorEastAsia"/>
                <w:color w:val="auto"/>
                <w:kern w:val="2"/>
                <w:sz w:val="24"/>
                <w:szCs w:val="24"/>
                <w:lang w:val="en-US" w:eastAsia="zh-CN" w:bidi="ar-SA"/>
              </w:rPr>
              <w:t>名称、规格、</w:t>
            </w:r>
            <w:r>
              <w:rPr>
                <w:rFonts w:hint="eastAsia" w:asciiTheme="minorEastAsia" w:hAnsiTheme="minorEastAsia" w:eastAsiaTheme="minorEastAsia" w:cstheme="minorEastAsia"/>
                <w:color w:val="auto"/>
                <w:kern w:val="2"/>
                <w:sz w:val="24"/>
                <w:szCs w:val="24"/>
                <w:lang w:val="en-US" w:eastAsia="zh-Hans" w:bidi="ar-SA"/>
              </w:rPr>
              <w:t>入库数量、出库数量、库存数量、有效期、保管员、存放位置等</w:t>
            </w:r>
          </w:p>
        </w:tc>
      </w:tr>
      <w:tr w14:paraId="72E5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41BCF7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w:t>
            </w:r>
          </w:p>
        </w:tc>
        <w:tc>
          <w:tcPr>
            <w:tcW w:w="812" w:type="dxa"/>
            <w:noWrap w:val="0"/>
            <w:vAlign w:val="top"/>
          </w:tcPr>
          <w:p w14:paraId="77A099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rPr>
              <w:t>实验室工作日志管理</w:t>
            </w:r>
          </w:p>
        </w:tc>
        <w:tc>
          <w:tcPr>
            <w:tcW w:w="1063" w:type="dxa"/>
            <w:noWrap w:val="0"/>
            <w:vAlign w:val="top"/>
          </w:tcPr>
          <w:p w14:paraId="7C016E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lang w:eastAsia="zh-Hans"/>
              </w:rPr>
            </w:pPr>
          </w:p>
        </w:tc>
        <w:tc>
          <w:tcPr>
            <w:tcW w:w="6287" w:type="dxa"/>
            <w:noWrap w:val="0"/>
            <w:vAlign w:val="top"/>
          </w:tcPr>
          <w:p w14:paraId="143D860C">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26.1</w:t>
            </w:r>
            <w:r>
              <w:rPr>
                <w:rFonts w:hint="eastAsia" w:asciiTheme="minorEastAsia" w:hAnsiTheme="minorEastAsia" w:eastAsiaTheme="minorEastAsia" w:cstheme="minorEastAsia"/>
                <w:color w:val="auto"/>
                <w:sz w:val="24"/>
                <w:szCs w:val="24"/>
              </w:rPr>
              <w:t>建立实验室基础信息表，需包含实验室基础信息，名称、地点、所属二级院系、所属教研室、实验室负责人、实验室安全员等信息字段</w:t>
            </w:r>
          </w:p>
          <w:p w14:paraId="05002784">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26.2</w:t>
            </w:r>
            <w:r>
              <w:rPr>
                <w:rFonts w:hint="eastAsia" w:asciiTheme="minorEastAsia" w:hAnsiTheme="minorEastAsia" w:eastAsiaTheme="minorEastAsia" w:cstheme="minorEastAsia"/>
                <w:color w:val="auto"/>
                <w:sz w:val="24"/>
                <w:szCs w:val="24"/>
              </w:rPr>
              <w:t>用户前台移动端填写实验室使用工作日志，包含学期、教学周、星期时间、上课节次、课程名称、使用课时数、授课教师、班级号、所属学院、应到人数、实到人数、实验项目名称、卫生情况等字段信息</w:t>
            </w:r>
          </w:p>
          <w:p w14:paraId="29723C4B">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26.3</w:t>
            </w:r>
            <w:r>
              <w:rPr>
                <w:rFonts w:hint="eastAsia" w:asciiTheme="minorEastAsia" w:hAnsiTheme="minorEastAsia" w:eastAsiaTheme="minorEastAsia" w:cstheme="minorEastAsia"/>
                <w:color w:val="auto"/>
                <w:sz w:val="24"/>
                <w:szCs w:val="24"/>
              </w:rPr>
              <w:t>专任教师填写完工作日志后需在系统中进行手签名进行确认</w:t>
            </w:r>
          </w:p>
          <w:p w14:paraId="1512EE14">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26.4</w:t>
            </w:r>
            <w:r>
              <w:rPr>
                <w:rFonts w:hint="eastAsia" w:asciiTheme="minorEastAsia" w:hAnsiTheme="minorEastAsia" w:eastAsiaTheme="minorEastAsia" w:cstheme="minorEastAsia"/>
                <w:color w:val="auto"/>
                <w:sz w:val="24"/>
                <w:szCs w:val="24"/>
              </w:rPr>
              <w:t>建立实验项目库，用户在前台进行工作日志填写</w:t>
            </w:r>
            <w:r>
              <w:rPr>
                <w:rFonts w:hint="eastAsia" w:asciiTheme="minorEastAsia" w:hAnsiTheme="minorEastAsia" w:eastAsiaTheme="minorEastAsia" w:cstheme="minorEastAsia"/>
                <w:color w:val="auto"/>
                <w:sz w:val="24"/>
                <w:szCs w:val="24"/>
                <w:lang w:eastAsia="zh-CN"/>
              </w:rPr>
              <w:t>时</w:t>
            </w:r>
            <w:r>
              <w:rPr>
                <w:rFonts w:hint="eastAsia" w:asciiTheme="minorEastAsia" w:hAnsiTheme="minorEastAsia" w:eastAsiaTheme="minorEastAsia" w:cstheme="minorEastAsia"/>
                <w:color w:val="auto"/>
                <w:sz w:val="24"/>
                <w:szCs w:val="24"/>
              </w:rPr>
              <w:t>可进行关联选择</w:t>
            </w:r>
          </w:p>
          <w:p w14:paraId="52BC7077">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26.5</w:t>
            </w:r>
            <w:r>
              <w:rPr>
                <w:rFonts w:hint="eastAsia" w:asciiTheme="minorEastAsia" w:hAnsiTheme="minorEastAsia" w:eastAsiaTheme="minorEastAsia" w:cstheme="minorEastAsia"/>
                <w:color w:val="auto"/>
                <w:sz w:val="24"/>
                <w:szCs w:val="24"/>
              </w:rPr>
              <w:t>用户可进行实验室安全情况填报，提前设定好实验室安全情况的状态信息，用户可根据实际情况进行正常和异常的勾选标注</w:t>
            </w:r>
          </w:p>
          <w:p w14:paraId="22D75E35">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26.6</w:t>
            </w:r>
            <w:r>
              <w:rPr>
                <w:rFonts w:hint="eastAsia" w:asciiTheme="minorEastAsia" w:hAnsiTheme="minorEastAsia" w:eastAsiaTheme="minorEastAsia" w:cstheme="minorEastAsia"/>
                <w:color w:val="auto"/>
                <w:sz w:val="24"/>
                <w:szCs w:val="24"/>
              </w:rPr>
              <w:t>专任教师填写完安全情况填报后需在系统中进行手签名进行确认</w:t>
            </w:r>
          </w:p>
        </w:tc>
      </w:tr>
      <w:tr w14:paraId="11AD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67A860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w:t>
            </w:r>
          </w:p>
        </w:tc>
        <w:tc>
          <w:tcPr>
            <w:tcW w:w="812" w:type="dxa"/>
            <w:noWrap w:val="0"/>
            <w:vAlign w:val="top"/>
          </w:tcPr>
          <w:p w14:paraId="1CF46C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实验室基础信息管理</w:t>
            </w:r>
          </w:p>
        </w:tc>
        <w:tc>
          <w:tcPr>
            <w:tcW w:w="1063" w:type="dxa"/>
            <w:noWrap w:val="0"/>
            <w:vAlign w:val="top"/>
          </w:tcPr>
          <w:p w14:paraId="4DA857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基础数据管理</w:t>
            </w:r>
          </w:p>
        </w:tc>
        <w:tc>
          <w:tcPr>
            <w:tcW w:w="6287" w:type="dxa"/>
            <w:noWrap w:val="0"/>
            <w:vAlign w:val="top"/>
          </w:tcPr>
          <w:p w14:paraId="6AFD8C5B">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27.1</w:t>
            </w:r>
            <w:r>
              <w:rPr>
                <w:rFonts w:hint="eastAsia" w:asciiTheme="minorEastAsia" w:hAnsiTheme="minorEastAsia" w:eastAsiaTheme="minorEastAsia" w:cstheme="minorEastAsia"/>
                <w:color w:val="auto"/>
                <w:sz w:val="24"/>
                <w:szCs w:val="24"/>
              </w:rPr>
              <w:t>应可实现学校、学院、实验中心、实验室房间的多级管理体系。</w:t>
            </w:r>
          </w:p>
          <w:p w14:paraId="4DA4519B">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27.2</w:t>
            </w:r>
            <w:r>
              <w:rPr>
                <w:rFonts w:hint="eastAsia" w:asciiTheme="minorEastAsia" w:hAnsiTheme="minorEastAsia" w:eastAsiaTheme="minorEastAsia" w:cstheme="minorEastAsia"/>
                <w:color w:val="auto"/>
                <w:sz w:val="24"/>
                <w:szCs w:val="24"/>
              </w:rPr>
              <w:t>应可实现管理学校的校区、楼宇信息，并能在线进行编辑。</w:t>
            </w:r>
          </w:p>
          <w:p w14:paraId="4C9A63D8">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27.3</w:t>
            </w:r>
            <w:r>
              <w:rPr>
                <w:rFonts w:hint="eastAsia" w:asciiTheme="minorEastAsia" w:hAnsiTheme="minorEastAsia" w:eastAsiaTheme="minorEastAsia" w:cstheme="minorEastAsia"/>
                <w:color w:val="auto"/>
                <w:sz w:val="24"/>
                <w:szCs w:val="24"/>
              </w:rPr>
              <w:t>应可实现管理实验室内的基本信息，包含实验室名称、校区、楼宇、房间号、用途、面积、状态、分级分类信息等。</w:t>
            </w:r>
          </w:p>
          <w:p w14:paraId="7736C804">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27.4</w:t>
            </w:r>
            <w:r>
              <w:rPr>
                <w:rFonts w:hint="eastAsia" w:asciiTheme="minorEastAsia" w:hAnsiTheme="minorEastAsia" w:eastAsiaTheme="minorEastAsia" w:cstheme="minorEastAsia"/>
                <w:color w:val="auto"/>
                <w:sz w:val="24"/>
                <w:szCs w:val="24"/>
              </w:rPr>
              <w:t>应可实现管理实验室内的风险评估信息，包含实验室资质、危险源、防护措施等。</w:t>
            </w:r>
          </w:p>
        </w:tc>
      </w:tr>
      <w:tr w14:paraId="045B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6495D49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28</w:t>
            </w:r>
          </w:p>
        </w:tc>
        <w:tc>
          <w:tcPr>
            <w:tcW w:w="812" w:type="dxa"/>
            <w:noWrap w:val="0"/>
            <w:vAlign w:val="top"/>
          </w:tcPr>
          <w:p w14:paraId="53FA47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lang w:eastAsia="zh-Hans"/>
              </w:rPr>
            </w:pPr>
          </w:p>
        </w:tc>
        <w:tc>
          <w:tcPr>
            <w:tcW w:w="1063" w:type="dxa"/>
            <w:noWrap w:val="0"/>
            <w:vAlign w:val="top"/>
          </w:tcPr>
          <w:p w14:paraId="1F7052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分级分类管理</w:t>
            </w:r>
          </w:p>
        </w:tc>
        <w:tc>
          <w:tcPr>
            <w:tcW w:w="6287" w:type="dxa"/>
            <w:noWrap w:val="0"/>
            <w:vAlign w:val="top"/>
          </w:tcPr>
          <w:p w14:paraId="04F98C8D">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28.1</w:t>
            </w:r>
            <w:r>
              <w:rPr>
                <w:rFonts w:hint="eastAsia" w:asciiTheme="minorEastAsia" w:hAnsiTheme="minorEastAsia" w:eastAsiaTheme="minorEastAsia" w:cstheme="minorEastAsia"/>
                <w:color w:val="auto"/>
                <w:sz w:val="24"/>
                <w:szCs w:val="24"/>
              </w:rPr>
              <w:t>应可实现后台自定义实验室分级分类规则，根据实验室危险源信息对房间进行自动分级分类管理。</w:t>
            </w:r>
          </w:p>
          <w:p w14:paraId="7F15F29A">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28.2</w:t>
            </w:r>
            <w:r>
              <w:rPr>
                <w:rFonts w:hint="eastAsia" w:asciiTheme="minorEastAsia" w:hAnsiTheme="minorEastAsia" w:eastAsiaTheme="minorEastAsia" w:cstheme="minorEastAsia"/>
                <w:color w:val="auto"/>
                <w:sz w:val="24"/>
                <w:szCs w:val="24"/>
                <w:lang w:eastAsia="zh-Hans"/>
              </w:rPr>
              <w:t>系统具备默认的实验室分级分类规则并支持站点自定义修改。</w:t>
            </w:r>
          </w:p>
          <w:p w14:paraId="4A5E5E45">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28.3</w:t>
            </w:r>
            <w:r>
              <w:rPr>
                <w:rFonts w:hint="eastAsia" w:asciiTheme="minorEastAsia" w:hAnsiTheme="minorEastAsia" w:eastAsiaTheme="minorEastAsia" w:cstheme="minorEastAsia"/>
                <w:color w:val="auto"/>
                <w:sz w:val="24"/>
                <w:szCs w:val="24"/>
                <w:lang w:eastAsia="zh-Hans"/>
              </w:rPr>
              <w:t>系统默认配置</w:t>
            </w: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szCs w:val="24"/>
                <w:lang w:eastAsia="zh-Hans"/>
              </w:rPr>
              <w:t>种实验室分类类型，包括“</w:t>
            </w:r>
            <w:r>
              <w:rPr>
                <w:rFonts w:hint="eastAsia" w:asciiTheme="minorEastAsia" w:hAnsiTheme="minorEastAsia" w:eastAsiaTheme="minorEastAsia" w:cstheme="minorEastAsia"/>
                <w:color w:val="auto"/>
                <w:sz w:val="24"/>
                <w:szCs w:val="24"/>
              </w:rPr>
              <w:t>化学类、</w:t>
            </w:r>
            <w:r>
              <w:rPr>
                <w:rFonts w:hint="eastAsia" w:asciiTheme="minorEastAsia" w:hAnsiTheme="minorEastAsia" w:eastAsiaTheme="minorEastAsia" w:cstheme="minorEastAsia"/>
                <w:color w:val="auto"/>
                <w:sz w:val="24"/>
                <w:szCs w:val="24"/>
                <w:lang w:eastAsia="zh-Hans"/>
              </w:rPr>
              <w:t>生物类、</w:t>
            </w:r>
            <w:r>
              <w:rPr>
                <w:rFonts w:hint="eastAsia" w:asciiTheme="minorEastAsia" w:hAnsiTheme="minorEastAsia" w:eastAsiaTheme="minorEastAsia" w:cstheme="minorEastAsia"/>
                <w:color w:val="auto"/>
                <w:sz w:val="24"/>
                <w:szCs w:val="24"/>
              </w:rPr>
              <w:t>辐射类、机电类、其他类</w:t>
            </w:r>
            <w:r>
              <w:rPr>
                <w:rFonts w:hint="eastAsia" w:asciiTheme="minorEastAsia" w:hAnsiTheme="minorEastAsia" w:eastAsiaTheme="minorEastAsia" w:cstheme="minorEastAsia"/>
                <w:color w:val="auto"/>
                <w:sz w:val="24"/>
                <w:szCs w:val="24"/>
                <w:lang w:eastAsia="zh-Hans"/>
              </w:rPr>
              <w:t>”作为实验室初始分类。</w:t>
            </w:r>
          </w:p>
          <w:p w14:paraId="25246104">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28.4</w:t>
            </w:r>
            <w:r>
              <w:rPr>
                <w:rFonts w:hint="eastAsia" w:asciiTheme="minorEastAsia" w:hAnsiTheme="minorEastAsia" w:eastAsiaTheme="minorEastAsia" w:cstheme="minorEastAsia"/>
                <w:color w:val="auto"/>
                <w:sz w:val="24"/>
                <w:szCs w:val="24"/>
                <w:lang w:eastAsia="zh-Hans"/>
              </w:rPr>
              <w:t>支持各站点根据实际管理需要自定义配置实验室分类类型。</w:t>
            </w:r>
          </w:p>
          <w:p w14:paraId="6F136A19">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28.5</w:t>
            </w:r>
            <w:r>
              <w:rPr>
                <w:rFonts w:hint="eastAsia" w:asciiTheme="minorEastAsia" w:hAnsiTheme="minorEastAsia" w:eastAsiaTheme="minorEastAsia" w:cstheme="minorEastAsia"/>
                <w:color w:val="auto"/>
                <w:sz w:val="24"/>
                <w:szCs w:val="24"/>
                <w:lang w:eastAsia="zh-Hans"/>
              </w:rPr>
              <w:t>系统默认配置4种实验室级别，包括“一级、二级、三级、四级”作为实验室分级初始级别；支持站点根据实际管理情况自定义调整分级级别。</w:t>
            </w:r>
          </w:p>
          <w:p w14:paraId="7025E487">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28.6</w:t>
            </w:r>
            <w:r>
              <w:rPr>
                <w:rFonts w:hint="eastAsia" w:asciiTheme="minorEastAsia" w:hAnsiTheme="minorEastAsia" w:eastAsiaTheme="minorEastAsia" w:cstheme="minorEastAsia"/>
                <w:color w:val="auto"/>
                <w:sz w:val="24"/>
                <w:szCs w:val="24"/>
                <w:lang w:eastAsia="zh-Hans"/>
              </w:rPr>
              <w:t>系统将通过实验室的危险源情况自动计算实验室得分，为实验室定级提供数据依据。</w:t>
            </w:r>
          </w:p>
          <w:p w14:paraId="0586DD2F">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28.7</w:t>
            </w:r>
            <w:r>
              <w:rPr>
                <w:rFonts w:hint="eastAsia" w:asciiTheme="minorEastAsia" w:hAnsiTheme="minorEastAsia" w:eastAsiaTheme="minorEastAsia" w:cstheme="minorEastAsia"/>
                <w:color w:val="auto"/>
                <w:sz w:val="24"/>
                <w:szCs w:val="24"/>
              </w:rPr>
              <w:t>实验室危险源包含两大类，一类是按照《高校实验室安全分级表》中包含的风险源，一类是按照《高校实验室安全风险评价表》中包含的风险源。</w:t>
            </w:r>
          </w:p>
          <w:p w14:paraId="64B9E19B">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28.8</w:t>
            </w:r>
            <w:r>
              <w:rPr>
                <w:rFonts w:hint="eastAsia" w:asciiTheme="minorEastAsia" w:hAnsiTheme="minorEastAsia" w:eastAsiaTheme="minorEastAsia" w:cstheme="minorEastAsia"/>
                <w:color w:val="auto"/>
                <w:sz w:val="24"/>
                <w:szCs w:val="24"/>
              </w:rPr>
              <w:t>按照教育部政策文件要求，进行实验室分级分类的过程中，如实验室包含《高校实验室安全分级表》内各安全级别内对应的风险源，则系统会自动按照所对应的最高安全级别去判定本实验室的分级要求。</w:t>
            </w:r>
          </w:p>
          <w:p w14:paraId="16FE4DE9">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28.9</w:t>
            </w:r>
            <w:r>
              <w:rPr>
                <w:rFonts w:hint="eastAsia" w:asciiTheme="minorEastAsia" w:hAnsiTheme="minorEastAsia" w:eastAsiaTheme="minorEastAsia" w:cstheme="minorEastAsia"/>
                <w:color w:val="auto"/>
                <w:sz w:val="24"/>
                <w:szCs w:val="24"/>
              </w:rPr>
              <w:t>按照教育部政策文件要求，进行实验室分级分类的过程中，除了根据《高校实验室安全分级表》进行实验室安全级别的判定外，如涉及的风险源在《高校实验室安全风险评价表》中，系统可自动评分，进行安全级别的判定。</w:t>
            </w:r>
          </w:p>
          <w:p w14:paraId="11BF25B2">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28.10</w:t>
            </w:r>
            <w:r>
              <w:rPr>
                <w:rFonts w:hint="eastAsia" w:asciiTheme="minorEastAsia" w:hAnsiTheme="minorEastAsia" w:eastAsiaTheme="minorEastAsia" w:cstheme="minorEastAsia"/>
                <w:color w:val="auto"/>
                <w:sz w:val="24"/>
                <w:szCs w:val="24"/>
                <w:lang w:eastAsia="zh-Hans"/>
              </w:rPr>
              <w:t>实验室</w:t>
            </w:r>
            <w:r>
              <w:rPr>
                <w:rFonts w:hint="eastAsia" w:asciiTheme="minorEastAsia" w:hAnsiTheme="minorEastAsia" w:eastAsiaTheme="minorEastAsia" w:cstheme="minorEastAsia"/>
                <w:color w:val="auto"/>
                <w:sz w:val="24"/>
                <w:szCs w:val="24"/>
                <w:lang w:eastAsia="zh-CN"/>
              </w:rPr>
              <w:t>负责人</w:t>
            </w:r>
            <w:r>
              <w:rPr>
                <w:rFonts w:hint="eastAsia" w:asciiTheme="minorEastAsia" w:hAnsiTheme="minorEastAsia" w:eastAsiaTheme="minorEastAsia" w:cstheme="minorEastAsia"/>
                <w:color w:val="auto"/>
                <w:sz w:val="24"/>
                <w:szCs w:val="24"/>
                <w:lang w:eastAsia="zh-Hans"/>
              </w:rPr>
              <w:t>可依据实际情况自行</w:t>
            </w:r>
            <w:r>
              <w:rPr>
                <w:rFonts w:hint="eastAsia" w:asciiTheme="minorEastAsia" w:hAnsiTheme="minorEastAsia" w:eastAsiaTheme="minorEastAsia" w:cstheme="minorEastAsia"/>
                <w:color w:val="auto"/>
                <w:sz w:val="24"/>
                <w:szCs w:val="24"/>
              </w:rPr>
              <w:t>填报调整</w:t>
            </w:r>
            <w:r>
              <w:rPr>
                <w:rFonts w:hint="eastAsia" w:asciiTheme="minorEastAsia" w:hAnsiTheme="minorEastAsia" w:eastAsiaTheme="minorEastAsia" w:cstheme="minorEastAsia"/>
                <w:color w:val="auto"/>
                <w:sz w:val="24"/>
                <w:szCs w:val="24"/>
                <w:lang w:eastAsia="zh-Hans"/>
              </w:rPr>
              <w:t>负责实验室</w:t>
            </w:r>
            <w:r>
              <w:rPr>
                <w:rFonts w:hint="eastAsia" w:asciiTheme="minorEastAsia" w:hAnsiTheme="minorEastAsia" w:eastAsiaTheme="minorEastAsia" w:cstheme="minorEastAsia"/>
                <w:color w:val="auto"/>
                <w:sz w:val="24"/>
                <w:szCs w:val="24"/>
              </w:rPr>
              <w:t>所涉及的危险源</w:t>
            </w:r>
            <w:r>
              <w:rPr>
                <w:rFonts w:hint="eastAsia" w:asciiTheme="minorEastAsia" w:hAnsiTheme="minorEastAsia" w:eastAsiaTheme="minorEastAsia" w:cstheme="minorEastAsia"/>
                <w:color w:val="auto"/>
                <w:sz w:val="24"/>
                <w:szCs w:val="24"/>
                <w:lang w:eastAsia="zh-Hans"/>
              </w:rPr>
              <w:t>信息，确认无误后可进行提报。</w:t>
            </w:r>
          </w:p>
          <w:p w14:paraId="7D352115">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28.11</w:t>
            </w:r>
            <w:r>
              <w:rPr>
                <w:rFonts w:hint="eastAsia" w:asciiTheme="minorEastAsia" w:hAnsiTheme="minorEastAsia" w:eastAsiaTheme="minorEastAsia" w:cstheme="minorEastAsia"/>
                <w:color w:val="auto"/>
                <w:sz w:val="24"/>
                <w:szCs w:val="24"/>
              </w:rPr>
              <w:t>系统根据填报的危险源信息，</w:t>
            </w:r>
            <w:r>
              <w:rPr>
                <w:rFonts w:hint="eastAsia" w:asciiTheme="minorEastAsia" w:hAnsiTheme="minorEastAsia" w:eastAsiaTheme="minorEastAsia" w:cstheme="minorEastAsia"/>
                <w:color w:val="auto"/>
                <w:sz w:val="24"/>
                <w:szCs w:val="24"/>
                <w:lang w:eastAsia="zh-Hans"/>
              </w:rPr>
              <w:t>自动形成各实验室分级分类的初步评定结果供实验室负责人查看。</w:t>
            </w:r>
          </w:p>
          <w:p w14:paraId="58016212">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28.12</w:t>
            </w:r>
            <w:r>
              <w:rPr>
                <w:rFonts w:hint="eastAsia" w:asciiTheme="minorEastAsia" w:hAnsiTheme="minorEastAsia" w:eastAsiaTheme="minorEastAsia" w:cstheme="minorEastAsia"/>
                <w:color w:val="auto"/>
                <w:sz w:val="24"/>
                <w:szCs w:val="24"/>
                <w:lang w:eastAsia="zh-Hans"/>
              </w:rPr>
              <w:t>系统支持平台管理员在线配置分级分类评定及审批规则。</w:t>
            </w:r>
          </w:p>
        </w:tc>
      </w:tr>
      <w:tr w14:paraId="127F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44EBE23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29</w:t>
            </w:r>
          </w:p>
        </w:tc>
        <w:tc>
          <w:tcPr>
            <w:tcW w:w="812" w:type="dxa"/>
            <w:noWrap w:val="0"/>
            <w:vAlign w:val="top"/>
          </w:tcPr>
          <w:p w14:paraId="2F2220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实验室数据填报管理系统</w:t>
            </w:r>
          </w:p>
        </w:tc>
        <w:tc>
          <w:tcPr>
            <w:tcW w:w="1063" w:type="dxa"/>
            <w:noWrap w:val="0"/>
            <w:vAlign w:val="top"/>
          </w:tcPr>
          <w:p w14:paraId="276129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rPr>
            </w:pPr>
          </w:p>
        </w:tc>
        <w:tc>
          <w:tcPr>
            <w:tcW w:w="6287" w:type="dxa"/>
            <w:noWrap w:val="0"/>
            <w:vAlign w:val="top"/>
          </w:tcPr>
          <w:p w14:paraId="5DC7B37A">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29.1</w:t>
            </w:r>
            <w:r>
              <w:rPr>
                <w:rFonts w:hint="eastAsia" w:asciiTheme="minorEastAsia" w:hAnsiTheme="minorEastAsia" w:eastAsiaTheme="minorEastAsia" w:cstheme="minorEastAsia"/>
                <w:color w:val="auto"/>
                <w:sz w:val="24"/>
                <w:szCs w:val="24"/>
              </w:rPr>
              <w:t>系统具备填报公告的发布功能，支持自定设置公告的标题、内容、填报（数据获取）时间设定及相关附件上传，可将填报公告上传到实验室门户</w:t>
            </w:r>
            <w:r>
              <w:rPr>
                <w:rFonts w:hint="eastAsia" w:asciiTheme="minorEastAsia" w:hAnsiTheme="minorEastAsia" w:eastAsiaTheme="minorEastAsia" w:cstheme="minorEastAsia"/>
                <w:color w:val="auto"/>
                <w:sz w:val="24"/>
                <w:szCs w:val="24"/>
                <w:lang w:eastAsia="zh-CN"/>
              </w:rPr>
              <w:t>站点</w:t>
            </w:r>
            <w:r>
              <w:rPr>
                <w:rFonts w:hint="eastAsia" w:asciiTheme="minorEastAsia" w:hAnsiTheme="minorEastAsia" w:eastAsiaTheme="minorEastAsia" w:cstheme="minorEastAsia"/>
                <w:color w:val="auto"/>
                <w:sz w:val="24"/>
                <w:szCs w:val="24"/>
              </w:rPr>
              <w:t>。</w:t>
            </w:r>
          </w:p>
          <w:p w14:paraId="58199D4D">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29.2</w:t>
            </w:r>
            <w:r>
              <w:rPr>
                <w:rFonts w:hint="eastAsia" w:asciiTheme="minorEastAsia" w:hAnsiTheme="minorEastAsia" w:eastAsiaTheme="minorEastAsia" w:cstheme="minorEastAsia"/>
                <w:color w:val="auto"/>
                <w:sz w:val="24"/>
                <w:szCs w:val="24"/>
              </w:rPr>
              <w:t>系统具备审批流程的自定义功能，可添加审批人。</w:t>
            </w:r>
          </w:p>
          <w:p w14:paraId="1E2FEB27">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29.3</w:t>
            </w:r>
            <w:r>
              <w:rPr>
                <w:rFonts w:hint="eastAsia" w:asciiTheme="minorEastAsia" w:hAnsiTheme="minorEastAsia" w:eastAsiaTheme="minorEastAsia" w:cstheme="minorEastAsia"/>
                <w:color w:val="auto"/>
                <w:sz w:val="24"/>
                <w:szCs w:val="24"/>
              </w:rPr>
              <w:t>支持根据管理员的实际管理需求能够进行填报内容的批量上传功能。</w:t>
            </w:r>
          </w:p>
          <w:p w14:paraId="4554A140">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29.4</w:t>
            </w:r>
            <w:r>
              <w:rPr>
                <w:rFonts w:hint="eastAsia" w:asciiTheme="minorEastAsia" w:hAnsiTheme="minorEastAsia" w:eastAsiaTheme="minorEastAsia" w:cstheme="minorEastAsia"/>
                <w:color w:val="auto"/>
                <w:sz w:val="24"/>
                <w:szCs w:val="24"/>
              </w:rPr>
              <w:t>填报页面针对数据填写内容较多的情况下具备数据导入、导出、查询、汇总等功能。</w:t>
            </w:r>
          </w:p>
          <w:p w14:paraId="4F1F772D">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29.5</w:t>
            </w:r>
            <w:r>
              <w:rPr>
                <w:rFonts w:hint="eastAsia" w:asciiTheme="minorEastAsia" w:hAnsiTheme="minorEastAsia" w:eastAsiaTheme="minorEastAsia" w:cstheme="minorEastAsia"/>
                <w:color w:val="auto"/>
                <w:sz w:val="24"/>
                <w:szCs w:val="24"/>
              </w:rPr>
              <w:t>系统支持在整个数据填报环节的审批、审核并允许各角色在审批环节对填报数据进行修改。</w:t>
            </w:r>
          </w:p>
          <w:p w14:paraId="444AB3FA">
            <w:pPr>
              <w:pStyle w:val="20"/>
              <w:keepNext w:val="0"/>
              <w:keepLines w:val="0"/>
              <w:pageBreakBefore w:val="0"/>
              <w:widowControl w:val="0"/>
              <w:numPr>
                <w:ilvl w:val="1"/>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29.6</w:t>
            </w:r>
            <w:r>
              <w:rPr>
                <w:rFonts w:hint="eastAsia" w:asciiTheme="minorEastAsia" w:hAnsiTheme="minorEastAsia" w:eastAsiaTheme="minorEastAsia" w:cstheme="minorEastAsia"/>
                <w:color w:val="auto"/>
                <w:sz w:val="24"/>
                <w:szCs w:val="24"/>
              </w:rPr>
              <w:t>系统支持按照相应上级部门填报考核的表格要求，根据完成填报的数据导出相应的格式。</w:t>
            </w:r>
          </w:p>
        </w:tc>
      </w:tr>
    </w:tbl>
    <w:p w14:paraId="0EC2C47C">
      <w:pPr>
        <w:rPr>
          <w:rFonts w:hint="eastAsia" w:ascii="宋体" w:hAnsi="宋体" w:eastAsia="宋体" w:cs="宋体"/>
          <w:sz w:val="44"/>
          <w:szCs w:val="44"/>
          <w:highlight w:val="none"/>
        </w:rPr>
      </w:pPr>
      <w:r>
        <w:rPr>
          <w:rFonts w:hint="eastAsia" w:ascii="方正仿宋_GBK" w:hAnsi="方正仿宋_GBK" w:eastAsia="方正仿宋_GBK" w:cs="方正仿宋_GBK"/>
          <w:lang w:val="en-US" w:eastAsia="zh-CN"/>
        </w:rPr>
        <w:br w:type="page"/>
      </w:r>
    </w:p>
    <w:p w14:paraId="3584E137">
      <w:pPr>
        <w:pStyle w:val="18"/>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第五部分</w:t>
      </w:r>
      <w:r>
        <w:rPr>
          <w:rFonts w:hint="eastAsia" w:ascii="宋体" w:hAnsi="宋体" w:eastAsia="宋体" w:cs="宋体"/>
          <w:sz w:val="44"/>
          <w:szCs w:val="44"/>
          <w:highlight w:val="none"/>
          <w:lang w:val="en-US" w:eastAsia="zh-CN"/>
        </w:rPr>
        <w:t xml:space="preserve">  </w:t>
      </w:r>
      <w:r>
        <w:rPr>
          <w:rFonts w:hint="eastAsia" w:ascii="宋体" w:hAnsi="宋体" w:eastAsia="宋体" w:cs="宋体"/>
          <w:sz w:val="44"/>
          <w:szCs w:val="44"/>
          <w:highlight w:val="none"/>
        </w:rPr>
        <w:t>评标办法</w:t>
      </w:r>
      <w:bookmarkEnd w:id="274"/>
    </w:p>
    <w:p w14:paraId="67981D46">
      <w:pPr>
        <w:pStyle w:val="4"/>
        <w:spacing w:after="0" w:afterLines="0" w:afterAutospacing="0"/>
        <w:rPr>
          <w:rFonts w:hint="eastAsia" w:ascii="宋体" w:hAnsi="宋体" w:eastAsia="宋体" w:cs="宋体"/>
          <w:color w:val="auto"/>
          <w:sz w:val="24"/>
          <w:szCs w:val="24"/>
          <w:highlight w:val="none"/>
        </w:rPr>
      </w:pPr>
      <w:bookmarkStart w:id="280" w:name="_Toc439513448"/>
      <w:bookmarkStart w:id="281" w:name="_Toc509337054"/>
      <w:bookmarkStart w:id="282" w:name="_Toc494832090"/>
      <w:bookmarkStart w:id="283" w:name="_Toc438722133"/>
      <w:bookmarkStart w:id="284" w:name="_Toc11931288"/>
      <w:bookmarkStart w:id="285" w:name="_Toc8109"/>
      <w:bookmarkStart w:id="286" w:name="_Toc439679271"/>
      <w:bookmarkStart w:id="287" w:name="_Toc9612854"/>
      <w:bookmarkStart w:id="288" w:name="_Toc5124212"/>
      <w:bookmarkStart w:id="289" w:name="_Toc11944595"/>
      <w:bookmarkStart w:id="290" w:name="_Toc486969382"/>
      <w:bookmarkStart w:id="291" w:name="_Toc438508600"/>
      <w:bookmarkStart w:id="292" w:name="_Toc524517865"/>
      <w:bookmarkStart w:id="293" w:name="_Toc470184444"/>
      <w:bookmarkStart w:id="294" w:name="_Toc514177056"/>
      <w:bookmarkStart w:id="295" w:name="_Toc498899386"/>
      <w:bookmarkStart w:id="296" w:name="_Toc479340792"/>
      <w:bookmarkStart w:id="297" w:name="_Toc8087"/>
      <w:bookmarkStart w:id="298" w:name="_Toc458980396"/>
      <w:bookmarkStart w:id="299" w:name="_Toc498871254"/>
      <w:bookmarkStart w:id="300" w:name="_Toc9864090"/>
      <w:bookmarkStart w:id="301" w:name="_Toc523170345"/>
      <w:bookmarkStart w:id="302" w:name="_Toc477879843"/>
      <w:bookmarkStart w:id="303" w:name="_Toc522529808"/>
      <w:bookmarkStart w:id="304" w:name="_Toc509337169"/>
      <w:bookmarkStart w:id="305" w:name="_Toc524368793"/>
      <w:bookmarkStart w:id="306" w:name="_Toc10446422"/>
      <w:bookmarkStart w:id="307" w:name="_Toc479325595"/>
      <w:bookmarkStart w:id="308" w:name="_Toc487044255"/>
      <w:bookmarkStart w:id="309" w:name="_Toc438513737"/>
      <w:bookmarkStart w:id="310" w:name="_Toc439513164"/>
      <w:bookmarkStart w:id="311" w:name="_Toc458635599"/>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说明</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28C5F9BB">
      <w:pPr>
        <w:pStyle w:val="5"/>
        <w:spacing w:before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概述</w:t>
      </w:r>
    </w:p>
    <w:p w14:paraId="2E69B92E">
      <w:pPr>
        <w:pStyle w:val="5"/>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评标委员会和评标方法暂行规定》和国家及地方政府采购有关文件精神，在保证</w:t>
      </w:r>
      <w:r>
        <w:rPr>
          <w:rFonts w:hint="eastAsia" w:ascii="宋体" w:hAnsi="宋体" w:eastAsia="宋体" w:cs="宋体"/>
          <w:color w:val="auto"/>
          <w:sz w:val="24"/>
          <w:szCs w:val="24"/>
          <w:highlight w:val="none"/>
          <w:u w:val="single"/>
          <w:lang w:eastAsia="zh-CN"/>
        </w:rPr>
        <w:t xml:space="preserve">巴音郭楞职业技术学院教务管理服务平台、实验实训管理服务平台以及个性化功能定制建设项目 </w:t>
      </w:r>
      <w:r>
        <w:rPr>
          <w:rFonts w:hint="eastAsia" w:ascii="宋体" w:hAnsi="宋体" w:eastAsia="宋体" w:cs="宋体"/>
          <w:color w:val="auto"/>
          <w:sz w:val="24"/>
          <w:szCs w:val="24"/>
          <w:highlight w:val="none"/>
        </w:rPr>
        <w:t>（以下简称项目）招标公开、公平、公正的基础上，结合项目需求，由</w:t>
      </w:r>
      <w:r>
        <w:rPr>
          <w:rFonts w:hint="eastAsia" w:ascii="宋体" w:hAnsi="宋体" w:eastAsia="宋体" w:cs="宋体"/>
          <w:color w:val="auto"/>
          <w:sz w:val="24"/>
          <w:szCs w:val="24"/>
          <w:highlight w:val="none"/>
          <w:u w:val="single"/>
          <w:lang w:eastAsia="zh-CN"/>
        </w:rPr>
        <w:t>新疆众想丰华工程造价咨询有限公司</w:t>
      </w:r>
      <w:r>
        <w:rPr>
          <w:rFonts w:hint="eastAsia" w:ascii="宋体" w:hAnsi="宋体" w:eastAsia="宋体" w:cs="宋体"/>
          <w:color w:val="auto"/>
          <w:sz w:val="24"/>
          <w:szCs w:val="24"/>
          <w:highlight w:val="none"/>
        </w:rPr>
        <w:t>制定本评标文件，评标委员会确认。内容包括本次评标的评审过程和方法。</w:t>
      </w:r>
    </w:p>
    <w:p w14:paraId="4E18E6B8">
      <w:pPr>
        <w:pStyle w:val="5"/>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定义</w:t>
      </w:r>
    </w:p>
    <w:p w14:paraId="70F52F6D">
      <w:pPr>
        <w:pStyle w:val="5"/>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采购人：系指</w:t>
      </w:r>
      <w:r>
        <w:rPr>
          <w:rFonts w:hint="eastAsia" w:ascii="宋体" w:hAnsi="宋体" w:eastAsia="宋体" w:cs="宋体"/>
          <w:color w:val="auto"/>
          <w:sz w:val="24"/>
          <w:szCs w:val="24"/>
          <w:highlight w:val="none"/>
          <w:lang w:eastAsia="zh-CN"/>
        </w:rPr>
        <w:t xml:space="preserve"> 巴音郭楞职业技术学院。</w:t>
      </w:r>
    </w:p>
    <w:p w14:paraId="71DB0CA4">
      <w:pPr>
        <w:pStyle w:val="5"/>
        <w:spacing w:afterAutospacing="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采购代理机构：系指</w:t>
      </w:r>
      <w:r>
        <w:rPr>
          <w:rFonts w:hint="eastAsia" w:ascii="宋体" w:hAnsi="宋体" w:eastAsia="宋体" w:cs="宋体"/>
          <w:color w:val="auto"/>
          <w:sz w:val="24"/>
          <w:szCs w:val="24"/>
          <w:highlight w:val="none"/>
          <w:lang w:eastAsia="zh-CN"/>
        </w:rPr>
        <w:t>新疆众想丰华工程造价咨询有限公司</w:t>
      </w:r>
      <w:r>
        <w:rPr>
          <w:rFonts w:hint="eastAsia" w:ascii="宋体" w:hAnsi="宋体" w:eastAsia="宋体" w:cs="宋体"/>
          <w:color w:val="auto"/>
          <w:sz w:val="24"/>
          <w:szCs w:val="24"/>
          <w:highlight w:val="none"/>
        </w:rPr>
        <w:t>。</w:t>
      </w:r>
    </w:p>
    <w:p w14:paraId="70593F50">
      <w:pPr>
        <w:pStyle w:val="4"/>
        <w:spacing w:before="0" w:beforeLines="0" w:beforeAutospacing="0" w:after="0" w:afterLines="0" w:afterAutospacing="0"/>
        <w:rPr>
          <w:rFonts w:hint="eastAsia" w:ascii="宋体" w:hAnsi="宋体" w:eastAsia="宋体" w:cs="宋体"/>
          <w:color w:val="auto"/>
          <w:sz w:val="24"/>
          <w:szCs w:val="24"/>
          <w:highlight w:val="none"/>
        </w:rPr>
      </w:pPr>
      <w:bookmarkStart w:id="312" w:name="_Toc273342936"/>
      <w:bookmarkStart w:id="313" w:name="_Toc494832091"/>
      <w:bookmarkStart w:id="314" w:name="_Toc438513738"/>
      <w:bookmarkStart w:id="315" w:name="_Toc458635600"/>
      <w:bookmarkStart w:id="316" w:name="_Toc439513165"/>
      <w:bookmarkStart w:id="317" w:name="_Toc498871255"/>
      <w:bookmarkStart w:id="318" w:name="_Toc418023337"/>
      <w:bookmarkStart w:id="319" w:name="_Toc477879844"/>
      <w:bookmarkStart w:id="320" w:name="_Toc486969383"/>
      <w:bookmarkStart w:id="321" w:name="_Toc358307752"/>
      <w:bookmarkStart w:id="322" w:name="_Toc439679272"/>
      <w:bookmarkStart w:id="323" w:name="_Toc470184445"/>
      <w:bookmarkStart w:id="324" w:name="_Toc458980397"/>
      <w:bookmarkStart w:id="325" w:name="_Toc524517866"/>
      <w:bookmarkStart w:id="326" w:name="_Toc11944596"/>
      <w:bookmarkStart w:id="327" w:name="_Toc498899387"/>
      <w:bookmarkStart w:id="328" w:name="_Toc522529809"/>
      <w:bookmarkStart w:id="329" w:name="_Toc439513449"/>
      <w:bookmarkStart w:id="330" w:name="_Toc416208490"/>
      <w:bookmarkStart w:id="331" w:name="_Toc479340793"/>
      <w:bookmarkStart w:id="332" w:name="_Toc23987"/>
      <w:bookmarkStart w:id="333" w:name="_Toc438508601"/>
      <w:bookmarkStart w:id="334" w:name="_Toc425347666"/>
      <w:bookmarkStart w:id="335" w:name="_Toc422161996"/>
      <w:bookmarkStart w:id="336" w:name="_Toc524368794"/>
      <w:bookmarkStart w:id="337" w:name="_Toc438722134"/>
      <w:bookmarkStart w:id="338" w:name="_Toc369081823"/>
      <w:bookmarkStart w:id="339" w:name="_Toc414510784"/>
      <w:bookmarkStart w:id="340" w:name="_Toc479325596"/>
      <w:bookmarkStart w:id="341" w:name="_Toc10446423"/>
      <w:bookmarkStart w:id="342" w:name="_Toc422865425"/>
      <w:bookmarkStart w:id="343" w:name="_Toc5124213"/>
      <w:bookmarkStart w:id="344" w:name="_Toc487044256"/>
      <w:bookmarkStart w:id="345" w:name="_Toc523170346"/>
      <w:bookmarkStart w:id="346" w:name="_Toc9612855"/>
      <w:bookmarkStart w:id="347" w:name="_Toc9864091"/>
      <w:bookmarkStart w:id="348" w:name="_Toc509337170"/>
      <w:bookmarkStart w:id="349" w:name="_Toc514177057"/>
      <w:bookmarkStart w:id="350" w:name="_Toc2597"/>
      <w:bookmarkStart w:id="351" w:name="_Toc509337055"/>
      <w:bookmarkStart w:id="352" w:name="_Toc11931289"/>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评标须知</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5B979A0D">
      <w:pPr>
        <w:pStyle w:val="5"/>
        <w:spacing w:before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 关于评标方案</w:t>
      </w:r>
    </w:p>
    <w:p w14:paraId="47B4C16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（1）评标委员会的每位成员（简称评委）应认真地阅读并确认已经正确理解了评标方案；</w:t>
      </w:r>
    </w:p>
    <w:p w14:paraId="3F6D49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（2）评委如对评标方案有异议，应在评标开始前提出。</w:t>
      </w:r>
    </w:p>
    <w:p w14:paraId="3847A3FD">
      <w:pPr>
        <w:pStyle w:val="5"/>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 关于评标纪律</w:t>
      </w:r>
    </w:p>
    <w:p w14:paraId="5B0E4B38">
      <w:pPr>
        <w:spacing w:line="360" w:lineRule="auto"/>
        <w:ind w:left="648" w:right="-113" w:rightChars="-54" w:hanging="648" w:hangingChars="2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（1）评标委员会成员不得与任何投标人或者与招标结果有利害关系的人进行私下接触，不得收受投标人、中介人、其他利害关系人的财物或者其他好处；</w:t>
      </w:r>
    </w:p>
    <w:p w14:paraId="60B56F4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（2）评委应本着客观、公正的原则独立给出评价意见；</w:t>
      </w:r>
    </w:p>
    <w:p w14:paraId="0CB26F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（3）评委之间不得相互串通进行评分；</w:t>
      </w:r>
    </w:p>
    <w:p w14:paraId="14D6123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（4）评委不得试图影响其他评委的评价意见；</w:t>
      </w:r>
    </w:p>
    <w:p w14:paraId="40F6AFF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（5）评委应关闭通讯工具或设置为</w:t>
      </w:r>
      <w:r>
        <w:rPr>
          <w:rFonts w:hint="eastAsia" w:ascii="宋体" w:hAnsi="宋体" w:cs="宋体"/>
          <w:color w:val="auto"/>
          <w:sz w:val="24"/>
          <w:szCs w:val="24"/>
          <w:highlight w:val="none"/>
          <w:lang w:eastAsia="zh-CN"/>
        </w:rPr>
        <w:t>振动</w:t>
      </w:r>
      <w:r>
        <w:rPr>
          <w:rFonts w:hint="eastAsia" w:ascii="宋体" w:hAnsi="宋体" w:eastAsia="宋体" w:cs="宋体"/>
          <w:color w:val="auto"/>
          <w:sz w:val="24"/>
          <w:szCs w:val="24"/>
          <w:highlight w:val="none"/>
        </w:rPr>
        <w:t>状态，统一交由工作人员保管。</w:t>
      </w:r>
    </w:p>
    <w:p w14:paraId="64AC8ACD">
      <w:pPr>
        <w:pStyle w:val="5"/>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 关于评标责任</w:t>
      </w:r>
    </w:p>
    <w:p w14:paraId="3DC3AEF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（1）评委应在其书面评审意见上签字确认；</w:t>
      </w:r>
    </w:p>
    <w:p w14:paraId="2AA70EF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（2）评委对其所提出的评审意见承担个人责任。</w:t>
      </w:r>
    </w:p>
    <w:p w14:paraId="236465BE">
      <w:pPr>
        <w:pStyle w:val="5"/>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 关于回避</w:t>
      </w:r>
    </w:p>
    <w:p w14:paraId="1C1365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有下列情形之一的，不得担任评标委员会成员，如事先不知情的，应在宣读投标人名单及评标纪律后主动提出回避：</w:t>
      </w:r>
    </w:p>
    <w:p w14:paraId="749EEAE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（1）是投标人或者投标人主要负责人的近亲属；</w:t>
      </w:r>
    </w:p>
    <w:p w14:paraId="3A1790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（2）与投标人有经济利益关系，可能影响对投标公正评审的；</w:t>
      </w:r>
    </w:p>
    <w:p w14:paraId="3833ED72">
      <w:pPr>
        <w:spacing w:line="360" w:lineRule="auto"/>
        <w:ind w:left="600" w:hanging="600" w:hanging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（3）曾因在招标、评标以及其他与招标投标有关活动中从事违法行为而受过行政处罚或刑事处罚的。</w:t>
      </w:r>
    </w:p>
    <w:p w14:paraId="1FA2DB98">
      <w:pPr>
        <w:pStyle w:val="5"/>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 关于保密</w:t>
      </w:r>
    </w:p>
    <w:p w14:paraId="62A350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评标委员会成员和与评标活动有关的工作人员不得透露对投标文件的评审和比较、中标候选人的推荐情况以及评标有关的其他情况。</w:t>
      </w:r>
    </w:p>
    <w:p w14:paraId="02C57A6B">
      <w:pPr>
        <w:pStyle w:val="8"/>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前款所称与评标活动有关的工作人员，是指评标委员会成员以外的因参与评标监督工作或者事务性工作而知悉有关评标情况的所有人员。</w:t>
      </w:r>
    </w:p>
    <w:p w14:paraId="3F414009">
      <w:pPr>
        <w:pStyle w:val="5"/>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2.6投标文件的澄清</w:t>
      </w:r>
    </w:p>
    <w:p w14:paraId="72FE8801">
      <w:pPr>
        <w:spacing w:line="360" w:lineRule="auto"/>
        <w:ind w:left="629" w:hanging="628" w:hangingChars="2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评标委员会主动要求澄清外，从开标后至授予合同期间，任何投标人均不得就与其投标相关的任何问题与评标委员会联系。在评标过程中，如果投标人试图在投标文件审查、澄清、比较及授予合同方面向采购人施加任何影响，其投标将被拒绝。</w:t>
      </w:r>
    </w:p>
    <w:p w14:paraId="7D8686ED">
      <w:pPr>
        <w:spacing w:afterAutospacing="0" w:line="360" w:lineRule="auto"/>
        <w:ind w:left="629" w:hanging="628" w:hangingChars="2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（2）评标委员会可以书面方式要求投标人对投标文件中含义不明确、对同类问题表述不一致或者有明显文字和计算错误的内容</w:t>
      </w:r>
      <w:r>
        <w:rPr>
          <w:rFonts w:hint="eastAsia" w:ascii="宋体" w:hAnsi="宋体" w:cs="宋体"/>
          <w:color w:val="auto"/>
          <w:sz w:val="24"/>
          <w:szCs w:val="24"/>
          <w:highlight w:val="none"/>
          <w:lang w:eastAsia="zh-CN"/>
        </w:rPr>
        <w:t>做必要</w:t>
      </w:r>
      <w:r>
        <w:rPr>
          <w:rFonts w:hint="eastAsia" w:ascii="宋体" w:hAnsi="宋体" w:eastAsia="宋体" w:cs="宋体"/>
          <w:color w:val="auto"/>
          <w:sz w:val="24"/>
          <w:szCs w:val="24"/>
          <w:highlight w:val="none"/>
        </w:rPr>
        <w:t>的澄清、说明或者补正。澄清、说明或者补正应以书面方式进行并不得超出投标文件的范围或者改变投标文件的实质性内容。以书面形式表达并加盖公章的答复经评标委员会认可后，可作为投标文件的一部分参与评标。</w:t>
      </w:r>
    </w:p>
    <w:p w14:paraId="14FF4CAD">
      <w:pPr>
        <w:pStyle w:val="4"/>
        <w:spacing w:before="0" w:beforeLines="0" w:beforeAutospacing="0" w:after="0" w:afterLines="0" w:afterAutospacing="0"/>
        <w:rPr>
          <w:rFonts w:hint="eastAsia" w:ascii="宋体" w:hAnsi="宋体" w:eastAsia="宋体" w:cs="宋体"/>
          <w:color w:val="auto"/>
          <w:sz w:val="24"/>
          <w:szCs w:val="24"/>
          <w:highlight w:val="none"/>
        </w:rPr>
      </w:pPr>
      <w:bookmarkStart w:id="353" w:name="_Toc24194"/>
      <w:bookmarkStart w:id="354" w:name="_Toc477879845"/>
      <w:bookmarkStart w:id="355" w:name="_Toc4604"/>
      <w:bookmarkStart w:id="356" w:name="_Toc439679273"/>
      <w:bookmarkStart w:id="357" w:name="_Toc494832092"/>
      <w:bookmarkStart w:id="358" w:name="_Toc458635601"/>
      <w:bookmarkStart w:id="359" w:name="_Toc498871256"/>
      <w:bookmarkStart w:id="360" w:name="_Toc438508602"/>
      <w:bookmarkStart w:id="361" w:name="_Toc422161997"/>
      <w:bookmarkStart w:id="362" w:name="_Toc514177058"/>
      <w:bookmarkStart w:id="363" w:name="_Toc487044257"/>
      <w:bookmarkStart w:id="364" w:name="_Toc9864092"/>
      <w:bookmarkStart w:id="365" w:name="_Toc509337171"/>
      <w:bookmarkStart w:id="366" w:name="_Toc11931290"/>
      <w:bookmarkStart w:id="367" w:name="_Toc418023338"/>
      <w:bookmarkStart w:id="368" w:name="_Toc9612856"/>
      <w:bookmarkStart w:id="369" w:name="_Toc522529810"/>
      <w:bookmarkStart w:id="370" w:name="_Toc479325597"/>
      <w:bookmarkStart w:id="371" w:name="_Toc5124214"/>
      <w:bookmarkStart w:id="372" w:name="_Toc524368795"/>
      <w:bookmarkStart w:id="373" w:name="_Toc414510785"/>
      <w:bookmarkStart w:id="374" w:name="_Toc438513739"/>
      <w:bookmarkStart w:id="375" w:name="_Toc498899388"/>
      <w:bookmarkStart w:id="376" w:name="_Toc523170347"/>
      <w:bookmarkStart w:id="377" w:name="_Toc438722135"/>
      <w:bookmarkStart w:id="378" w:name="_Toc458980398"/>
      <w:bookmarkStart w:id="379" w:name="_Toc470184446"/>
      <w:bookmarkStart w:id="380" w:name="_Toc11944597"/>
      <w:bookmarkStart w:id="381" w:name="_Toc422865426"/>
      <w:bookmarkStart w:id="382" w:name="_Toc479340794"/>
      <w:bookmarkStart w:id="383" w:name="_Toc416208491"/>
      <w:bookmarkStart w:id="384" w:name="_Toc509337056"/>
      <w:bookmarkStart w:id="385" w:name="_Toc439513166"/>
      <w:bookmarkStart w:id="386" w:name="_Toc10446424"/>
      <w:bookmarkStart w:id="387" w:name="_Toc439513450"/>
      <w:bookmarkStart w:id="388" w:name="_Toc486969384"/>
      <w:bookmarkStart w:id="389" w:name="_Toc425347667"/>
      <w:bookmarkStart w:id="390" w:name="_Toc524517867"/>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评标委员会</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706F1AF6">
      <w:pPr>
        <w:spacing w:beforeAutospacing="0" w:line="360" w:lineRule="auto"/>
        <w:ind w:left="631" w:hanging="631" w:hangingChars="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（1）依法组建评标委员会。评标委员会由</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及以上</w:t>
      </w:r>
      <w:r>
        <w:rPr>
          <w:rFonts w:hint="eastAsia" w:ascii="宋体" w:hAnsi="宋体" w:eastAsia="宋体" w:cs="宋体"/>
          <w:color w:val="auto"/>
          <w:sz w:val="24"/>
          <w:szCs w:val="24"/>
          <w:highlight w:val="none"/>
        </w:rPr>
        <w:t>单数组成，由采购人的代表和从</w:t>
      </w:r>
      <w:r>
        <w:rPr>
          <w:rFonts w:hint="eastAsia" w:ascii="宋体" w:hAnsi="宋体" w:eastAsia="宋体" w:cs="宋体"/>
          <w:color w:val="auto"/>
          <w:sz w:val="24"/>
          <w:szCs w:val="24"/>
          <w:highlight w:val="none"/>
          <w:lang w:eastAsia="zh-CN"/>
        </w:rPr>
        <w:t>政府采购专家库</w:t>
      </w:r>
      <w:r>
        <w:rPr>
          <w:rFonts w:hint="eastAsia" w:ascii="宋体" w:hAnsi="宋体" w:eastAsia="宋体" w:cs="宋体"/>
          <w:color w:val="auto"/>
          <w:sz w:val="24"/>
          <w:szCs w:val="24"/>
          <w:highlight w:val="none"/>
        </w:rPr>
        <w:t>随机抽取的专家组成，如采购人不派代表评审，则评委会全部由专家组成。评委会将本着公平、公正、科学、择优的原则，严格按照法律法规和</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设定的程序和规则推荐评审结果，任何单位和个人不得非法干预或者影响评标过程和结果。</w:t>
      </w:r>
    </w:p>
    <w:p w14:paraId="5E71B52D">
      <w:pPr>
        <w:spacing w:afterAutospacing="0" w:line="360" w:lineRule="auto"/>
        <w:ind w:left="630" w:right="17" w:rightChars="8" w:hanging="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（2）评标委员会将只对确定为实质上响应</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要求的投标，即通过审查符合性的投标进行评价和比较，响应的依据是</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本身的内容，而不寻求</w:t>
      </w:r>
      <w:r>
        <w:rPr>
          <w:rFonts w:hint="eastAsia" w:ascii="宋体" w:hAnsi="宋体" w:cs="宋体"/>
          <w:color w:val="auto"/>
          <w:sz w:val="24"/>
          <w:szCs w:val="24"/>
          <w:highlight w:val="none"/>
          <w:lang w:eastAsia="zh-CN"/>
        </w:rPr>
        <w:t>其他证据</w:t>
      </w:r>
      <w:r>
        <w:rPr>
          <w:rFonts w:hint="eastAsia" w:ascii="宋体" w:hAnsi="宋体" w:eastAsia="宋体" w:cs="宋体"/>
          <w:color w:val="auto"/>
          <w:sz w:val="24"/>
          <w:szCs w:val="24"/>
          <w:highlight w:val="none"/>
        </w:rPr>
        <w:t>。实质上响应的投标应该是与</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要求的全部主要条款、条件和规格相符，没有重大偏离的投标。</w:t>
      </w:r>
    </w:p>
    <w:p w14:paraId="62622528">
      <w:pPr>
        <w:pStyle w:val="4"/>
        <w:spacing w:before="0" w:beforeLines="0" w:beforeAutospacing="0" w:after="0" w:afterLines="0" w:afterAutospacing="0"/>
        <w:rPr>
          <w:rFonts w:hint="eastAsia" w:ascii="宋体" w:hAnsi="宋体" w:eastAsia="宋体" w:cs="宋体"/>
          <w:color w:val="auto"/>
          <w:sz w:val="24"/>
          <w:szCs w:val="24"/>
          <w:highlight w:val="none"/>
        </w:rPr>
      </w:pPr>
      <w:bookmarkStart w:id="391" w:name="_Toc418023339"/>
      <w:bookmarkStart w:id="392" w:name="_Toc414510786"/>
      <w:bookmarkStart w:id="393" w:name="_Toc458980399"/>
      <w:bookmarkStart w:id="394" w:name="_Toc23969"/>
      <w:bookmarkStart w:id="395" w:name="_Toc422161998"/>
      <w:bookmarkStart w:id="396" w:name="_Toc439513451"/>
      <w:bookmarkStart w:id="397" w:name="_Toc494832093"/>
      <w:bookmarkStart w:id="398" w:name="_Toc5124215"/>
      <w:bookmarkStart w:id="399" w:name="_Toc477879846"/>
      <w:bookmarkStart w:id="400" w:name="_Toc498899389"/>
      <w:bookmarkStart w:id="401" w:name="_Toc438508603"/>
      <w:bookmarkStart w:id="402" w:name="_Toc438513740"/>
      <w:bookmarkStart w:id="403" w:name="_Toc10446425"/>
      <w:bookmarkStart w:id="404" w:name="_Toc479325598"/>
      <w:bookmarkStart w:id="405" w:name="_Toc524368796"/>
      <w:bookmarkStart w:id="406" w:name="_Toc514177059"/>
      <w:bookmarkStart w:id="407" w:name="_Toc273342937"/>
      <w:bookmarkStart w:id="408" w:name="_Toc486969385"/>
      <w:bookmarkStart w:id="409" w:name="_Toc9864093"/>
      <w:bookmarkStart w:id="410" w:name="_Toc479340795"/>
      <w:bookmarkStart w:id="411" w:name="_Toc458635602"/>
      <w:bookmarkStart w:id="412" w:name="_Toc358307753"/>
      <w:bookmarkStart w:id="413" w:name="_Toc523170348"/>
      <w:bookmarkStart w:id="414" w:name="_Toc439679274"/>
      <w:bookmarkStart w:id="415" w:name="_Toc509337057"/>
      <w:bookmarkStart w:id="416" w:name="_Toc438722136"/>
      <w:bookmarkStart w:id="417" w:name="_Toc524517868"/>
      <w:bookmarkStart w:id="418" w:name="_Toc23199"/>
      <w:bookmarkStart w:id="419" w:name="_Toc425347668"/>
      <w:bookmarkStart w:id="420" w:name="_Toc509337172"/>
      <w:bookmarkStart w:id="421" w:name="_Toc439513167"/>
      <w:bookmarkStart w:id="422" w:name="_Toc498871257"/>
      <w:bookmarkStart w:id="423" w:name="_Toc522529811"/>
      <w:bookmarkStart w:id="424" w:name="_Toc369081824"/>
      <w:bookmarkStart w:id="425" w:name="_Toc422865427"/>
      <w:bookmarkStart w:id="426" w:name="_Toc11944598"/>
      <w:bookmarkStart w:id="427" w:name="_Toc11931291"/>
      <w:bookmarkStart w:id="428" w:name="_Toc487044258"/>
      <w:bookmarkStart w:id="429" w:name="_Toc470184447"/>
      <w:bookmarkStart w:id="430" w:name="_Toc9612857"/>
      <w:bookmarkStart w:id="431" w:name="_Toc416208492"/>
      <w:r>
        <w:rPr>
          <w:rFonts w:hint="eastAsia" w:ascii="宋体" w:hAnsi="宋体" w:cs="宋体"/>
          <w:color w:val="auto"/>
          <w:sz w:val="24"/>
          <w:szCs w:val="24"/>
          <w:highlight w:val="none"/>
          <w:lang w:eastAsia="zh-CN"/>
        </w:rPr>
        <w:t>4.</w:t>
      </w:r>
      <w:r>
        <w:rPr>
          <w:rFonts w:hint="eastAsia" w:ascii="宋体" w:hAnsi="宋体" w:eastAsia="宋体" w:cs="宋体"/>
          <w:color w:val="auto"/>
          <w:sz w:val="24"/>
          <w:szCs w:val="24"/>
          <w:highlight w:val="none"/>
        </w:rPr>
        <w:t>评标原则</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48ABF685">
      <w:pPr>
        <w:spacing w:beforeAutospacing="0" w:line="360" w:lineRule="auto"/>
        <w:ind w:left="734"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评标工作应依据《中华人民共和国政府采购法》以及《评标委员会和评标方法暂行规定》和地方政府关于政府采购的有关规定，遵循“公平、公正、科学、择优”的原则。</w:t>
      </w:r>
    </w:p>
    <w:p w14:paraId="149D52BE">
      <w:pPr>
        <w:spacing w:line="360" w:lineRule="auto"/>
        <w:ind w:left="734"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确定中标人的评标准则是：能够最大限度满足</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中规定的各项综合评价标准。评标委员会没有义务必须接受最低报价的投标。</w:t>
      </w:r>
    </w:p>
    <w:p w14:paraId="5B36DABA">
      <w:pPr>
        <w:spacing w:afterAutospacing="0" w:line="360" w:lineRule="auto"/>
        <w:ind w:left="734" w:leftChars="-1" w:hanging="736" w:hangingChars="3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 评标委员会有权根据有关规定否决所有投标。</w:t>
      </w:r>
    </w:p>
    <w:p w14:paraId="428F40E7">
      <w:pPr>
        <w:pStyle w:val="4"/>
        <w:spacing w:before="0" w:beforeLines="0" w:beforeAutospacing="0" w:after="0" w:afterLines="0" w:afterAutospacing="0"/>
        <w:rPr>
          <w:rFonts w:hint="eastAsia" w:ascii="宋体" w:hAnsi="宋体" w:eastAsia="宋体" w:cs="宋体"/>
          <w:color w:val="auto"/>
          <w:sz w:val="24"/>
          <w:szCs w:val="24"/>
          <w:highlight w:val="none"/>
        </w:rPr>
      </w:pPr>
      <w:bookmarkStart w:id="432" w:name="_Toc522529812"/>
      <w:bookmarkStart w:id="433" w:name="_Toc498871258"/>
      <w:bookmarkStart w:id="434" w:name="_Toc509337058"/>
      <w:bookmarkStart w:id="435" w:name="_Toc116976130"/>
      <w:bookmarkStart w:id="436" w:name="_Toc422161999"/>
      <w:bookmarkStart w:id="437" w:name="_Toc438513741"/>
      <w:bookmarkStart w:id="438" w:name="_Toc479340796"/>
      <w:bookmarkStart w:id="439" w:name="_Toc116924486"/>
      <w:bookmarkStart w:id="440" w:name="_Toc9612858"/>
      <w:bookmarkStart w:id="441" w:name="_Toc487044259"/>
      <w:bookmarkStart w:id="442" w:name="_Toc509337173"/>
      <w:bookmarkStart w:id="443" w:name="_Toc439513168"/>
      <w:bookmarkStart w:id="444" w:name="_Toc267904313"/>
      <w:bookmarkStart w:id="445" w:name="_Toc277154673"/>
      <w:bookmarkStart w:id="446" w:name="_Toc479325599"/>
      <w:bookmarkStart w:id="447" w:name="_Toc498899390"/>
      <w:bookmarkStart w:id="448" w:name="_Toc486969386"/>
      <w:bookmarkStart w:id="449" w:name="_Toc25642"/>
      <w:bookmarkStart w:id="450" w:name="_Toc107460009"/>
      <w:bookmarkStart w:id="451" w:name="_Toc272394436"/>
      <w:bookmarkStart w:id="452" w:name="_Toc9864094"/>
      <w:bookmarkStart w:id="453" w:name="_Toc358307754"/>
      <w:bookmarkStart w:id="454" w:name="_Toc10446426"/>
      <w:bookmarkStart w:id="455" w:name="_Toc5124216"/>
      <w:bookmarkStart w:id="456" w:name="_Toc107383644"/>
      <w:bookmarkStart w:id="457" w:name="_Toc61327435"/>
      <w:bookmarkStart w:id="458" w:name="_Toc7451"/>
      <w:bookmarkStart w:id="459" w:name="_Toc524368797"/>
      <w:bookmarkStart w:id="460" w:name="_Toc416208493"/>
      <w:bookmarkStart w:id="461" w:name="_Toc458635603"/>
      <w:bookmarkStart w:id="462" w:name="_Toc107385316"/>
      <w:bookmarkStart w:id="463" w:name="_Toc439679275"/>
      <w:bookmarkStart w:id="464" w:name="_Toc523170349"/>
      <w:bookmarkStart w:id="465" w:name="_Toc11944599"/>
      <w:bookmarkStart w:id="466" w:name="_Toc524517869"/>
      <w:bookmarkStart w:id="467" w:name="_Toc122420764"/>
      <w:bookmarkStart w:id="468" w:name="_Toc470184448"/>
      <w:bookmarkStart w:id="469" w:name="_Toc369081825"/>
      <w:bookmarkStart w:id="470" w:name="_Toc458980400"/>
      <w:bookmarkStart w:id="471" w:name="_Toc438508604"/>
      <w:bookmarkStart w:id="472" w:name="_Toc418023340"/>
      <w:bookmarkStart w:id="473" w:name="_Toc425347669"/>
      <w:bookmarkStart w:id="474" w:name="_Toc477879847"/>
      <w:bookmarkStart w:id="475" w:name="_Toc262564643"/>
      <w:bookmarkStart w:id="476" w:name="_Toc11931292"/>
      <w:bookmarkStart w:id="477" w:name="_Toc422865428"/>
      <w:bookmarkStart w:id="478" w:name="_Toc414510787"/>
      <w:bookmarkStart w:id="479" w:name="_Toc439513452"/>
      <w:bookmarkStart w:id="480" w:name="_Toc265700488"/>
      <w:bookmarkStart w:id="481" w:name="_Toc109467929"/>
      <w:bookmarkStart w:id="482" w:name="_Toc514177060"/>
      <w:bookmarkStart w:id="483" w:name="_Toc438722137"/>
      <w:bookmarkStart w:id="484" w:name="_Toc330545477"/>
      <w:bookmarkStart w:id="485" w:name="_Toc494832094"/>
      <w:bookmarkStart w:id="486" w:name="_Toc116981030"/>
      <w:r>
        <w:rPr>
          <w:rFonts w:hint="eastAsia" w:ascii="宋体" w:hAnsi="宋体" w:cs="宋体"/>
          <w:color w:val="auto"/>
          <w:sz w:val="24"/>
          <w:szCs w:val="24"/>
          <w:highlight w:val="none"/>
          <w:lang w:eastAsia="zh-CN"/>
        </w:rPr>
        <w:t>5.</w:t>
      </w:r>
      <w:r>
        <w:rPr>
          <w:rFonts w:hint="eastAsia" w:ascii="宋体" w:hAnsi="宋体" w:eastAsia="宋体" w:cs="宋体"/>
          <w:color w:val="auto"/>
          <w:sz w:val="24"/>
          <w:szCs w:val="24"/>
          <w:highlight w:val="none"/>
        </w:rPr>
        <w:t>评标方法及流程</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02115213">
      <w:pPr>
        <w:spacing w:beforeAutospacing="0" w:line="360" w:lineRule="auto"/>
        <w:ind w:left="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本次招标的评标方法采用综合评分方法。具体方法及流程如下：</w:t>
      </w:r>
    </w:p>
    <w:p w14:paraId="0A4E23E1">
      <w:pPr>
        <w:spacing w:line="360" w:lineRule="auto"/>
        <w:outlineLvl w:val="3"/>
        <w:rPr>
          <w:rFonts w:hint="eastAsia" w:ascii="宋体" w:hAnsi="宋体" w:eastAsia="宋体" w:cs="宋体"/>
          <w:b/>
          <w:bCs/>
          <w:color w:val="auto"/>
          <w:sz w:val="24"/>
          <w:szCs w:val="24"/>
          <w:highlight w:val="none"/>
        </w:rPr>
      </w:pPr>
      <w:bookmarkStart w:id="487" w:name="_Toc61327436"/>
      <w:r>
        <w:rPr>
          <w:rFonts w:hint="eastAsia" w:ascii="宋体" w:hAnsi="宋体" w:eastAsia="宋体" w:cs="宋体"/>
          <w:b/>
          <w:bCs/>
          <w:color w:val="auto"/>
          <w:sz w:val="24"/>
          <w:szCs w:val="24"/>
          <w:highlight w:val="none"/>
        </w:rPr>
        <w:t>5.1 开标</w:t>
      </w:r>
      <w:bookmarkEnd w:id="487"/>
    </w:p>
    <w:p w14:paraId="53B869B6">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bookmarkStart w:id="488" w:name="_Toc61327437"/>
      <w:r>
        <w:rPr>
          <w:rFonts w:hint="eastAsia" w:ascii="宋体" w:hAnsi="宋体" w:eastAsia="宋体" w:cs="宋体"/>
          <w:color w:val="auto"/>
          <w:sz w:val="24"/>
          <w:szCs w:val="24"/>
          <w:highlight w:val="none"/>
        </w:rPr>
        <w:t>5.1.1开标在</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确定的提交投标文件截止时间的同一时间公开进行，开标地点为</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预先确定的地点。</w:t>
      </w:r>
    </w:p>
    <w:p w14:paraId="5AAB7E1B">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.2.在</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要求提交投标文件的截止时间前收到的所有投标文件，开标时</w:t>
      </w:r>
      <w:r>
        <w:rPr>
          <w:rFonts w:hint="eastAsia" w:ascii="宋体" w:hAnsi="宋体" w:cs="宋体"/>
          <w:color w:val="auto"/>
          <w:sz w:val="24"/>
          <w:szCs w:val="24"/>
          <w:highlight w:val="none"/>
          <w:lang w:eastAsia="zh-CN"/>
        </w:rPr>
        <w:t>需</w:t>
      </w:r>
      <w:r>
        <w:rPr>
          <w:rFonts w:hint="eastAsia" w:ascii="宋体" w:hAnsi="宋体" w:eastAsia="宋体" w:cs="宋体"/>
          <w:color w:val="auto"/>
          <w:sz w:val="24"/>
          <w:szCs w:val="24"/>
          <w:highlight w:val="none"/>
        </w:rPr>
        <w:t>供应商及时解密投标文件。当投标人少于三家时，则招标失败，采购代理机构将重新招标。</w:t>
      </w:r>
    </w:p>
    <w:p w14:paraId="257CA64A">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5.1.3.参与本次采购活动的各个供应商需提前自行配置好硬件</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（电脑、摄像头、麦克风、谷歌浏览器、政采云招投标系统），登录政采云平台做好准备，并确保</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正常。项目到达开标时间，投标人等待代理机构开启解密标书后，投标人进行标书解密。</w:t>
      </w:r>
    </w:p>
    <w:p w14:paraId="2F0AE901">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5.1.4.开标会主持人介绍参加会议的人员。</w:t>
      </w:r>
    </w:p>
    <w:p w14:paraId="60C9456F">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5.1.5.投标人进入项目即自行签到。</w:t>
      </w:r>
    </w:p>
    <w:p w14:paraId="5C2E3756">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5.1.6.开标会主持人宣布投标文件上传时间和地点是否符合</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p>
    <w:p w14:paraId="47F41C27">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5.1.7.开标会主持人开启报价文件，宣布投标文件中的投标报价、交货期、质量等级等内容。</w:t>
      </w:r>
    </w:p>
    <w:p w14:paraId="17EC7B04">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5.1.8.投标文件对开标报价记录表确认无误后</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代理机构开启报价签字时段后30分钟内进行CA签字确认，30分钟后关闭报价签字确认，投标人在此期间未进行CA签字确认的视为默认此报价。</w:t>
      </w:r>
    </w:p>
    <w:p w14:paraId="2A87E895">
      <w:pPr>
        <w:tabs>
          <w:tab w:val="left" w:pos="735"/>
          <w:tab w:val="left" w:pos="1571"/>
        </w:tabs>
        <w:spacing w:line="360" w:lineRule="auto"/>
        <w:ind w:left="734" w:right="-120" w:hanging="734" w:hangingChars="3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5.1.9.进入评标阶段。</w:t>
      </w:r>
    </w:p>
    <w:p w14:paraId="7715DB9E">
      <w:pPr>
        <w:spacing w:line="360" w:lineRule="auto"/>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5.2评标</w:t>
      </w:r>
      <w:bookmarkEnd w:id="488"/>
    </w:p>
    <w:p w14:paraId="0F4647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eastAsia="zh-CN"/>
        </w:rPr>
        <w:t>依次</w:t>
      </w:r>
      <w:r>
        <w:rPr>
          <w:rFonts w:hint="eastAsia" w:ascii="宋体" w:hAnsi="宋体" w:eastAsia="宋体" w:cs="宋体"/>
          <w:color w:val="auto"/>
          <w:sz w:val="24"/>
          <w:szCs w:val="24"/>
          <w:highlight w:val="none"/>
        </w:rPr>
        <w:t>进行：投标文件</w:t>
      </w:r>
      <w:r>
        <w:rPr>
          <w:rFonts w:hint="eastAsia" w:ascii="宋体" w:hAnsi="宋体" w:eastAsia="宋体" w:cs="宋体"/>
          <w:color w:val="auto"/>
          <w:sz w:val="24"/>
          <w:szCs w:val="24"/>
          <w:highlight w:val="none"/>
          <w:lang w:eastAsia="zh-CN"/>
        </w:rPr>
        <w:t>初步评审、</w:t>
      </w:r>
      <w:r>
        <w:rPr>
          <w:rFonts w:hint="eastAsia" w:ascii="宋体" w:hAnsi="宋体" w:eastAsia="宋体" w:cs="宋体"/>
          <w:color w:val="auto"/>
          <w:sz w:val="24"/>
          <w:szCs w:val="24"/>
          <w:highlight w:val="none"/>
        </w:rPr>
        <w:t>投标文件详细评审</w:t>
      </w:r>
      <w:r>
        <w:rPr>
          <w:rFonts w:hint="eastAsia" w:ascii="宋体" w:hAnsi="宋体" w:eastAsia="宋体" w:cs="宋体"/>
          <w:color w:val="auto"/>
          <w:sz w:val="24"/>
          <w:szCs w:val="24"/>
          <w:highlight w:val="none"/>
          <w:lang w:eastAsia="zh-CN"/>
        </w:rPr>
        <w:t>（商务与技术评审）和报价评审</w:t>
      </w:r>
      <w:r>
        <w:rPr>
          <w:rFonts w:hint="eastAsia" w:ascii="宋体" w:hAnsi="宋体" w:eastAsia="宋体" w:cs="宋体"/>
          <w:color w:val="auto"/>
          <w:sz w:val="24"/>
          <w:szCs w:val="24"/>
          <w:highlight w:val="none"/>
        </w:rPr>
        <w:t>。</w:t>
      </w:r>
    </w:p>
    <w:p w14:paraId="4B793A89">
      <w:pPr>
        <w:pStyle w:val="9"/>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5.2.1 投标文件资格审查</w:t>
      </w:r>
    </w:p>
    <w:p w14:paraId="5BAA04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开标结束后，采购人或者采购代理机构应当依法对投标人的资格进行审查，详见《资格审查表》。对初步被认定为资格审查不合格的，应实行及时告知投标当事人，以让其核证、澄清事实。未通过资格审查的投标人，不进入符合性审查。</w:t>
      </w:r>
      <w:bookmarkStart w:id="489" w:name="_Toc107383645"/>
      <w:bookmarkStart w:id="490" w:name="_Toc61327438"/>
    </w:p>
    <w:p w14:paraId="43C5BE28">
      <w:pPr>
        <w:pStyle w:val="9"/>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5.2.2 投标文件</w:t>
      </w:r>
      <w:bookmarkEnd w:id="489"/>
      <w:bookmarkEnd w:id="490"/>
      <w:r>
        <w:rPr>
          <w:rFonts w:hint="eastAsia" w:ascii="宋体" w:hAnsi="宋体" w:eastAsia="宋体" w:cs="宋体"/>
          <w:b/>
          <w:bCs/>
          <w:color w:val="auto"/>
          <w:sz w:val="24"/>
          <w:szCs w:val="24"/>
          <w:highlight w:val="none"/>
        </w:rPr>
        <w:t>符合性审查</w:t>
      </w:r>
    </w:p>
    <w:p w14:paraId="0AE1FE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符合性审查：评标委员会应当对符合资格的投标人的投标文件进行符合性审查，详见《符合性审查表》，以确定其是否满足</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实质性要求。评标委员会对初步被认定为符合性审查不合格或无效投标者应实行及时告知，由评标委员会主任或采购人代表将集体意见现场及时告知投标当事人，以让其核证、澄清事实。未通过符合性审查的投标人，不进入技术、商务和价格评审。</w:t>
      </w:r>
    </w:p>
    <w:p w14:paraId="5E9F493E">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（1）投</w:t>
      </w:r>
      <w:r>
        <w:rPr>
          <w:rFonts w:hint="eastAsia" w:ascii="宋体" w:hAnsi="宋体" w:eastAsia="宋体" w:cs="宋体"/>
          <w:b/>
          <w:color w:val="auto"/>
          <w:sz w:val="24"/>
          <w:szCs w:val="24"/>
          <w:highlight w:val="none"/>
        </w:rPr>
        <w:t>标文件出现下列情况之一时将被认定为无效投标：</w:t>
      </w:r>
    </w:p>
    <w:p w14:paraId="2C0E4395">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的规定提交</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的；</w:t>
      </w:r>
    </w:p>
    <w:p w14:paraId="0820A712">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2）投标文件未按</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要求签署、盖章的；</w:t>
      </w:r>
    </w:p>
    <w:p w14:paraId="4C3722E9">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3）不具备</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中规定的资格要求的；</w:t>
      </w:r>
    </w:p>
    <w:p w14:paraId="0513BC08">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4）报价超过</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中规定的预算金额或者最高限价的；</w:t>
      </w:r>
    </w:p>
    <w:p w14:paraId="59EF335E">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5）投标文件含有采购人不能接受的附加条件的；</w:t>
      </w:r>
    </w:p>
    <w:p w14:paraId="062170D0">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eastAsia="zh-CN"/>
        </w:rPr>
        <w:t>法律法规</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规定的其他无效情形。</w:t>
      </w:r>
    </w:p>
    <w:p w14:paraId="4ACBFD41">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color w:val="auto"/>
          <w:sz w:val="24"/>
          <w:szCs w:val="24"/>
          <w:highlight w:val="none"/>
        </w:rPr>
        <w:t>评标过程中投标文件出现下列情况之一时，对该投标文件作废标处理：</w:t>
      </w:r>
    </w:p>
    <w:p w14:paraId="429D2CAD">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1）供应商以他人的名义投标、串通投标、以行贿手段谋取中标或者以其他弄虚作假方式投标的；具体情形如下：</w:t>
      </w:r>
    </w:p>
    <w:p w14:paraId="3413BDE3">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a）不同投标人的投标文件由同一单位或者个人编制；</w:t>
      </w:r>
    </w:p>
    <w:p w14:paraId="3B66F48F">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b）不同投标人委托同一单位或者个人办理投标事宜；</w:t>
      </w:r>
    </w:p>
    <w:p w14:paraId="474F56AA">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c）不同投标人的投标文件载明的项目管理成员或者联系人员为同一人；</w:t>
      </w:r>
    </w:p>
    <w:p w14:paraId="16211006">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d）不同投标人的投标文件异常一致或者投标报价呈规律性差异；</w:t>
      </w:r>
    </w:p>
    <w:p w14:paraId="52917010">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e）不同投标人的投标文件相互混装；</w:t>
      </w:r>
    </w:p>
    <w:p w14:paraId="3F0B756A">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f）不同投标人的</w:t>
      </w:r>
      <w:r>
        <w:rPr>
          <w:rFonts w:hint="eastAsia" w:ascii="宋体" w:hAnsi="宋体" w:cs="宋体"/>
          <w:color w:val="auto"/>
          <w:sz w:val="24"/>
          <w:szCs w:val="24"/>
          <w:highlight w:val="none"/>
          <w:lang w:eastAsia="zh-CN"/>
        </w:rPr>
        <w:t>磋商保证金</w:t>
      </w:r>
      <w:r>
        <w:rPr>
          <w:rFonts w:hint="eastAsia" w:ascii="宋体" w:hAnsi="宋体" w:eastAsia="宋体" w:cs="宋体"/>
          <w:color w:val="auto"/>
          <w:sz w:val="24"/>
          <w:szCs w:val="24"/>
          <w:highlight w:val="none"/>
        </w:rPr>
        <w:t>从同一单位或者个人的账户转出。</w:t>
      </w:r>
    </w:p>
    <w:p w14:paraId="234A98E2">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C57578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（3）其他无效情形：</w:t>
      </w:r>
    </w:p>
    <w:p w14:paraId="236F3A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1）未满足项目的交货期要求；</w:t>
      </w:r>
    </w:p>
    <w:p w14:paraId="28457E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2）投标有效期未为</w:t>
      </w:r>
      <w:r>
        <w:rPr>
          <w:rFonts w:hint="eastAsia" w:ascii="宋体" w:hAnsi="宋体" w:cs="宋体"/>
          <w:color w:val="auto"/>
          <w:sz w:val="24"/>
          <w:szCs w:val="24"/>
          <w:highlight w:val="none"/>
          <w:lang w:eastAsia="zh-CN"/>
        </w:rPr>
        <w:t>60天</w:t>
      </w:r>
      <w:r>
        <w:rPr>
          <w:rFonts w:hint="eastAsia" w:ascii="宋体" w:hAnsi="宋体" w:eastAsia="宋体" w:cs="宋体"/>
          <w:color w:val="auto"/>
          <w:sz w:val="24"/>
          <w:szCs w:val="24"/>
          <w:highlight w:val="none"/>
        </w:rPr>
        <w:t>；</w:t>
      </w:r>
    </w:p>
    <w:p w14:paraId="05A312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3）未按规定提交法定代表人证明书/法人授权委托书。</w:t>
      </w:r>
    </w:p>
    <w:p w14:paraId="1C07BD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被评委会确定为投标文件无效标或废标的，其投标文件即被视为不能通过符合性评审，不得参与技术、商务和价格的评审。</w:t>
      </w:r>
    </w:p>
    <w:p w14:paraId="7D576C0E">
      <w:pPr>
        <w:pStyle w:val="9"/>
        <w:spacing w:line="360" w:lineRule="auto"/>
        <w:ind w:firstLine="0" w:firstLineChars="0"/>
        <w:rPr>
          <w:rFonts w:hint="eastAsia" w:ascii="宋体" w:hAnsi="宋体" w:eastAsia="宋体" w:cs="宋体"/>
          <w:b/>
          <w:bCs/>
          <w:color w:val="auto"/>
          <w:sz w:val="24"/>
          <w:szCs w:val="24"/>
          <w:highlight w:val="none"/>
        </w:rPr>
      </w:pPr>
      <w:bookmarkStart w:id="491" w:name="_Toc107383646"/>
      <w:bookmarkStart w:id="492" w:name="_Toc61327439"/>
      <w:r>
        <w:rPr>
          <w:rFonts w:hint="eastAsia" w:ascii="宋体" w:hAnsi="宋体" w:eastAsia="宋体" w:cs="宋体"/>
          <w:b/>
          <w:bCs/>
          <w:color w:val="auto"/>
          <w:sz w:val="24"/>
          <w:szCs w:val="24"/>
          <w:highlight w:val="none"/>
        </w:rPr>
        <w:t>5.2.3 投标文件详细评审</w:t>
      </w:r>
      <w:bookmarkEnd w:id="491"/>
      <w:bookmarkEnd w:id="492"/>
      <w:r>
        <w:rPr>
          <w:rFonts w:hint="eastAsia" w:ascii="宋体" w:hAnsi="宋体" w:eastAsia="宋体" w:cs="宋体"/>
          <w:b/>
          <w:bCs/>
          <w:color w:val="auto"/>
          <w:sz w:val="24"/>
          <w:szCs w:val="24"/>
          <w:highlight w:val="none"/>
        </w:rPr>
        <w:t>（详见技术、商务、价格评审表）</w:t>
      </w:r>
    </w:p>
    <w:p w14:paraId="2712178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在资格、符合性审查时，未能通过资格、符合性审查被认定为无效投标，只有全部满足《资格审查表》和《符合性审查表》所列各项要求的投标才是有效投标，只要不满足资格、符合性条款中所列各项要求之一的，将被认定为无效投标。</w:t>
      </w:r>
    </w:p>
    <w:p w14:paraId="27EC01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当通过</w:t>
      </w:r>
      <w:r>
        <w:rPr>
          <w:rFonts w:hint="eastAsia" w:ascii="宋体" w:hAnsi="宋体" w:eastAsia="宋体" w:cs="宋体"/>
          <w:bCs/>
          <w:color w:val="auto"/>
          <w:sz w:val="24"/>
          <w:szCs w:val="24"/>
          <w:highlight w:val="none"/>
        </w:rPr>
        <w:t>资格、符合性审查</w:t>
      </w:r>
      <w:r>
        <w:rPr>
          <w:rFonts w:hint="eastAsia" w:ascii="宋体" w:hAnsi="宋体" w:eastAsia="宋体" w:cs="宋体"/>
          <w:color w:val="auto"/>
          <w:sz w:val="24"/>
          <w:szCs w:val="24"/>
          <w:highlight w:val="none"/>
        </w:rPr>
        <w:t>的投标人多于或等于三家时，按照评标程序的规定和依据评分标准以及各项权重、符合性审查结果，各位评委单独就每个投标人的技术、商务、价格进行评审和比较，评出其技术评分、商务评分和价格评分。将技术得分、商务得分和价格得分相加得出总分，并按总分高低排出名次。评标委员会依据得分情况推荐出第一中标</w:t>
      </w:r>
      <w:r>
        <w:rPr>
          <w:rFonts w:hint="eastAsia" w:ascii="宋体" w:hAnsi="宋体" w:eastAsia="宋体" w:cs="宋体"/>
          <w:color w:val="auto"/>
          <w:sz w:val="24"/>
          <w:szCs w:val="24"/>
          <w:highlight w:val="none"/>
          <w:lang w:eastAsia="zh-CN"/>
        </w:rPr>
        <w:t>候选人</w:t>
      </w:r>
      <w:r>
        <w:rPr>
          <w:rFonts w:hint="eastAsia" w:ascii="宋体" w:hAnsi="宋体" w:eastAsia="宋体" w:cs="宋体"/>
          <w:color w:val="auto"/>
          <w:sz w:val="24"/>
          <w:szCs w:val="24"/>
          <w:highlight w:val="none"/>
        </w:rPr>
        <w:t>一名，第二中标</w:t>
      </w:r>
      <w:r>
        <w:rPr>
          <w:rFonts w:hint="eastAsia" w:ascii="宋体" w:hAnsi="宋体" w:eastAsia="宋体" w:cs="宋体"/>
          <w:color w:val="auto"/>
          <w:sz w:val="24"/>
          <w:szCs w:val="24"/>
          <w:highlight w:val="none"/>
          <w:lang w:eastAsia="zh-CN"/>
        </w:rPr>
        <w:t>候选人</w:t>
      </w:r>
      <w:r>
        <w:rPr>
          <w:rFonts w:hint="eastAsia" w:ascii="宋体" w:hAnsi="宋体" w:eastAsia="宋体" w:cs="宋体"/>
          <w:color w:val="auto"/>
          <w:sz w:val="24"/>
          <w:szCs w:val="24"/>
          <w:highlight w:val="none"/>
        </w:rPr>
        <w:t>一名。</w:t>
      </w:r>
    </w:p>
    <w:p w14:paraId="06E33E59">
      <w:pPr>
        <w:spacing w:line="360" w:lineRule="auto"/>
        <w:ind w:right="-195" w:rightChars="-93"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color w:val="auto"/>
          <w:sz w:val="24"/>
          <w:szCs w:val="24"/>
          <w:highlight w:val="none"/>
        </w:rPr>
        <w:t>当通过</w:t>
      </w:r>
      <w:r>
        <w:rPr>
          <w:rFonts w:hint="eastAsia" w:ascii="宋体" w:hAnsi="宋体" w:eastAsia="宋体" w:cs="宋体"/>
          <w:bCs/>
          <w:color w:val="auto"/>
          <w:sz w:val="24"/>
          <w:szCs w:val="24"/>
          <w:highlight w:val="none"/>
        </w:rPr>
        <w:t>资格、符合性审查</w:t>
      </w:r>
      <w:r>
        <w:rPr>
          <w:rFonts w:hint="eastAsia" w:ascii="宋体" w:hAnsi="宋体" w:eastAsia="宋体" w:cs="宋体"/>
          <w:color w:val="auto"/>
          <w:sz w:val="24"/>
          <w:szCs w:val="24"/>
          <w:highlight w:val="none"/>
        </w:rPr>
        <w:t>的投标人少于三家时，评标委员会否决所有投标文件，提请依法重新招标。</w:t>
      </w:r>
    </w:p>
    <w:p w14:paraId="212EB0F6">
      <w:pPr>
        <w:spacing w:afterAutospacing="0" w:line="360" w:lineRule="auto"/>
        <w:ind w:left="-2" w:leftChars="-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5.2.4</w:t>
      </w:r>
      <w:r>
        <w:rPr>
          <w:rFonts w:hint="eastAsia" w:ascii="宋体" w:hAnsi="宋体" w:eastAsia="宋体" w:cs="宋体"/>
          <w:b w:val="0"/>
          <w:bCs/>
          <w:color w:val="auto"/>
          <w:sz w:val="24"/>
          <w:szCs w:val="24"/>
          <w:highlight w:val="none"/>
          <w:u w:val="none"/>
        </w:rPr>
        <w:t>使用综合评分法的采购项目，单一产品采购项目提供相同品牌产品或非单一产品采购项目多家投标人提供的主要标的（核心产品）品牌相同的，且通过资格审查、符合性审查的不同投标人参加同一合同项下投标的，按一家投标人计算，评审后得分最高的同品牌投标人获得中标人推荐资格；评审得分相同的，由评标委员会采取随机抽取方式确定，其他同品牌投标人不作为中标候选人。</w:t>
      </w:r>
    </w:p>
    <w:p w14:paraId="6F8290BF">
      <w:pPr>
        <w:pStyle w:val="4"/>
        <w:spacing w:before="0" w:beforeLines="0" w:beforeAutospacing="0" w:after="0" w:afterLines="0" w:afterAutospacing="0" w:line="360" w:lineRule="auto"/>
        <w:rPr>
          <w:rFonts w:hint="eastAsia" w:ascii="宋体" w:hAnsi="宋体" w:eastAsia="宋体" w:cs="宋体"/>
          <w:color w:val="auto"/>
          <w:sz w:val="24"/>
          <w:szCs w:val="24"/>
          <w:highlight w:val="none"/>
        </w:rPr>
      </w:pPr>
      <w:bookmarkStart w:id="493" w:name="_Toc458980401"/>
      <w:bookmarkStart w:id="494" w:name="_Toc6999"/>
      <w:bookmarkStart w:id="495" w:name="_Toc477879848"/>
      <w:bookmarkStart w:id="496" w:name="_Toc439679276"/>
      <w:bookmarkStart w:id="497" w:name="_Toc61327440"/>
      <w:bookmarkStart w:id="498" w:name="_Toc116976131"/>
      <w:bookmarkStart w:id="499" w:name="_Toc418023341"/>
      <w:bookmarkStart w:id="500" w:name="_Toc458635604"/>
      <w:bookmarkStart w:id="501" w:name="_Toc439513169"/>
      <w:bookmarkStart w:id="502" w:name="_Toc522529813"/>
      <w:bookmarkStart w:id="503" w:name="_Toc498899391"/>
      <w:bookmarkStart w:id="504" w:name="_Toc509337174"/>
      <w:bookmarkStart w:id="505" w:name="_Toc10446427"/>
      <w:bookmarkStart w:id="506" w:name="_Toc116981031"/>
      <w:bookmarkStart w:id="507" w:name="_Toc9612859"/>
      <w:bookmarkStart w:id="508" w:name="_Toc438513742"/>
      <w:bookmarkStart w:id="509" w:name="_Toc107460010"/>
      <w:bookmarkStart w:id="510" w:name="_Toc509337059"/>
      <w:bookmarkStart w:id="511" w:name="_Toc438722138"/>
      <w:bookmarkStart w:id="512" w:name="_Toc524517870"/>
      <w:bookmarkStart w:id="513" w:name="_Toc494832095"/>
      <w:bookmarkStart w:id="514" w:name="_Toc486969387"/>
      <w:bookmarkStart w:id="515" w:name="_Toc514177061"/>
      <w:bookmarkStart w:id="516" w:name="_Toc109467930"/>
      <w:bookmarkStart w:id="517" w:name="_Toc265700489"/>
      <w:bookmarkStart w:id="518" w:name="_Toc23008"/>
      <w:bookmarkStart w:id="519" w:name="_Toc416208494"/>
      <w:bookmarkStart w:id="520" w:name="_Toc422865429"/>
      <w:bookmarkStart w:id="521" w:name="_Toc122420765"/>
      <w:bookmarkStart w:id="522" w:name="_Toc277154674"/>
      <w:bookmarkStart w:id="523" w:name="_Toc422162000"/>
      <w:bookmarkStart w:id="524" w:name="_Toc479340797"/>
      <w:bookmarkStart w:id="525" w:name="_Toc487044260"/>
      <w:bookmarkStart w:id="526" w:name="_Toc439513453"/>
      <w:bookmarkStart w:id="527" w:name="_Toc272394437"/>
      <w:bookmarkStart w:id="528" w:name="_Toc524368798"/>
      <w:bookmarkStart w:id="529" w:name="_Toc479325600"/>
      <w:bookmarkStart w:id="530" w:name="_Toc262564644"/>
      <w:bookmarkStart w:id="531" w:name="_Toc369081826"/>
      <w:bookmarkStart w:id="532" w:name="_Toc116924487"/>
      <w:bookmarkStart w:id="533" w:name="_Toc523170350"/>
      <w:bookmarkStart w:id="534" w:name="_Toc438508605"/>
      <w:bookmarkStart w:id="535" w:name="_Toc107383647"/>
      <w:bookmarkStart w:id="536" w:name="_Toc9864095"/>
      <w:bookmarkStart w:id="537" w:name="_Toc330545478"/>
      <w:bookmarkStart w:id="538" w:name="_Toc107385317"/>
      <w:bookmarkStart w:id="539" w:name="_Toc267904314"/>
      <w:bookmarkStart w:id="540" w:name="_Toc425347670"/>
      <w:bookmarkStart w:id="541" w:name="_Toc470184449"/>
      <w:bookmarkStart w:id="542" w:name="_Toc358307755"/>
      <w:bookmarkStart w:id="543" w:name="_Toc414510788"/>
      <w:bookmarkStart w:id="544" w:name="_Toc5124217"/>
      <w:bookmarkStart w:id="545" w:name="_Toc498871259"/>
      <w:bookmarkStart w:id="546" w:name="_Toc11944600"/>
      <w:bookmarkStart w:id="547" w:name="_Toc11931293"/>
      <w:r>
        <w:rPr>
          <w:rFonts w:hint="eastAsia" w:ascii="宋体" w:hAnsi="宋体" w:cs="宋体"/>
          <w:color w:val="auto"/>
          <w:sz w:val="24"/>
          <w:szCs w:val="24"/>
          <w:highlight w:val="none"/>
          <w:lang w:eastAsia="zh-CN"/>
        </w:rPr>
        <w:t>6.</w:t>
      </w:r>
      <w:r>
        <w:rPr>
          <w:rFonts w:hint="eastAsia" w:ascii="宋体" w:hAnsi="宋体" w:eastAsia="宋体" w:cs="宋体"/>
          <w:color w:val="auto"/>
          <w:sz w:val="24"/>
          <w:szCs w:val="24"/>
          <w:highlight w:val="none"/>
        </w:rPr>
        <w:t>评分标准和权重</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499D4577">
      <w:pPr>
        <w:spacing w:beforeAutospacing="0" w:line="360" w:lineRule="auto"/>
        <w:rPr>
          <w:rFonts w:hint="eastAsia" w:ascii="宋体" w:hAnsi="宋体" w:eastAsia="宋体" w:cs="宋体"/>
          <w:b/>
          <w:bCs/>
          <w:color w:val="auto"/>
          <w:sz w:val="24"/>
          <w:szCs w:val="24"/>
          <w:highlight w:val="none"/>
        </w:rPr>
      </w:pPr>
      <w:bookmarkStart w:id="548" w:name="_Toc61327441"/>
      <w:r>
        <w:rPr>
          <w:rFonts w:hint="eastAsia" w:ascii="宋体" w:hAnsi="宋体" w:eastAsia="宋体" w:cs="宋体"/>
          <w:b/>
          <w:bCs/>
          <w:color w:val="auto"/>
          <w:sz w:val="24"/>
          <w:szCs w:val="24"/>
          <w:highlight w:val="none"/>
        </w:rPr>
        <w:t>6.1 评分标准</w:t>
      </w:r>
      <w:bookmarkEnd w:id="548"/>
    </w:p>
    <w:p w14:paraId="3E70D700">
      <w:pPr>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评委对投标文件的技术及商务响应情况进行评分。</w:t>
      </w:r>
    </w:p>
    <w:p w14:paraId="3014CCF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技术、商务、价格评分应分别考虑下列因素：</w:t>
      </w:r>
    </w:p>
    <w:p w14:paraId="4E397FFE">
      <w:pPr>
        <w:spacing w:line="360" w:lineRule="auto"/>
        <w:outlineLvl w:val="3"/>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6.1.1 评审</w:t>
      </w:r>
      <w:r>
        <w:rPr>
          <w:rFonts w:hint="eastAsia" w:ascii="宋体" w:hAnsi="宋体" w:eastAsia="宋体" w:cs="宋体"/>
          <w:b/>
          <w:bCs/>
          <w:color w:val="auto"/>
          <w:sz w:val="24"/>
          <w:szCs w:val="24"/>
          <w:highlight w:val="none"/>
          <w:lang w:eastAsia="zh-CN"/>
        </w:rPr>
        <w:t>内容</w:t>
      </w:r>
    </w:p>
    <w:p w14:paraId="1D7FBF15">
      <w:pPr>
        <w:spacing w:beforeAutospacing="0" w:line="360" w:lineRule="auto"/>
        <w:ind w:firstLine="463" w:firstLineChars="192"/>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初步评审表</w:t>
      </w:r>
    </w:p>
    <w:p w14:paraId="73A3AF27">
      <w:pPr>
        <w:pStyle w:val="20"/>
        <w:rPr>
          <w:rFonts w:hint="eastAsia" w:ascii="宋体" w:hAnsi="宋体" w:eastAsia="宋体" w:cs="宋体"/>
          <w:highlight w:val="none"/>
        </w:rPr>
      </w:pPr>
    </w:p>
    <w:tbl>
      <w:tblPr>
        <w:tblStyle w:val="21"/>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1"/>
        <w:gridCol w:w="725"/>
        <w:gridCol w:w="1725"/>
        <w:gridCol w:w="4953"/>
        <w:gridCol w:w="810"/>
        <w:gridCol w:w="839"/>
      </w:tblGrid>
      <w:tr w14:paraId="21BD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196" w:type="dxa"/>
            <w:gridSpan w:val="2"/>
            <w:vMerge w:val="restart"/>
            <w:noWrap w:val="0"/>
            <w:vAlign w:val="center"/>
          </w:tcPr>
          <w:p w14:paraId="78A97866">
            <w:pPr>
              <w:jc w:val="center"/>
              <w:rPr>
                <w:rFonts w:hint="eastAsia" w:ascii="宋体" w:hAnsi="宋体" w:eastAsia="宋体" w:cs="宋体"/>
                <w:b/>
                <w:sz w:val="24"/>
                <w:highlight w:val="none"/>
              </w:rPr>
            </w:pPr>
            <w:r>
              <w:rPr>
                <w:rFonts w:hint="eastAsia" w:ascii="宋体" w:hAnsi="宋体" w:eastAsia="宋体" w:cs="宋体"/>
                <w:b/>
                <w:sz w:val="24"/>
                <w:highlight w:val="none"/>
              </w:rPr>
              <w:t>评分因素</w:t>
            </w:r>
          </w:p>
        </w:tc>
        <w:tc>
          <w:tcPr>
            <w:tcW w:w="1725" w:type="dxa"/>
            <w:vMerge w:val="restart"/>
            <w:noWrap w:val="0"/>
            <w:vAlign w:val="center"/>
          </w:tcPr>
          <w:p w14:paraId="1F832BB4">
            <w:pPr>
              <w:jc w:val="center"/>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资格要求</w:t>
            </w:r>
          </w:p>
        </w:tc>
        <w:tc>
          <w:tcPr>
            <w:tcW w:w="4953" w:type="dxa"/>
            <w:vMerge w:val="restart"/>
            <w:noWrap w:val="0"/>
            <w:vAlign w:val="center"/>
          </w:tcPr>
          <w:p w14:paraId="37C7F01D">
            <w:pPr>
              <w:jc w:val="center"/>
              <w:rPr>
                <w:rFonts w:hint="eastAsia" w:ascii="宋体" w:hAnsi="宋体" w:eastAsia="宋体" w:cs="宋体"/>
                <w:b/>
                <w:sz w:val="24"/>
                <w:highlight w:val="none"/>
              </w:rPr>
            </w:pPr>
            <w:r>
              <w:rPr>
                <w:rFonts w:hint="eastAsia" w:ascii="宋体" w:hAnsi="宋体" w:eastAsia="宋体" w:cs="宋体"/>
                <w:b/>
                <w:sz w:val="24"/>
                <w:highlight w:val="none"/>
                <w:lang w:eastAsia="zh-CN"/>
              </w:rPr>
              <w:t>评分</w:t>
            </w:r>
            <w:r>
              <w:rPr>
                <w:rFonts w:hint="eastAsia" w:ascii="宋体" w:hAnsi="宋体" w:eastAsia="宋体" w:cs="宋体"/>
                <w:b/>
                <w:sz w:val="24"/>
                <w:highlight w:val="none"/>
              </w:rPr>
              <w:t>标准</w:t>
            </w:r>
          </w:p>
        </w:tc>
        <w:tc>
          <w:tcPr>
            <w:tcW w:w="1649" w:type="dxa"/>
            <w:gridSpan w:val="2"/>
            <w:noWrap w:val="0"/>
            <w:vAlign w:val="center"/>
          </w:tcPr>
          <w:p w14:paraId="1D092380">
            <w:pPr>
              <w:jc w:val="center"/>
              <w:rPr>
                <w:rFonts w:hint="eastAsia" w:ascii="宋体" w:hAnsi="宋体" w:eastAsia="宋体" w:cs="宋体"/>
                <w:b/>
                <w:sz w:val="24"/>
                <w:highlight w:val="none"/>
              </w:rPr>
            </w:pPr>
            <w:r>
              <w:rPr>
                <w:rFonts w:hint="eastAsia" w:ascii="宋体" w:hAnsi="宋体" w:eastAsia="宋体" w:cs="宋体"/>
                <w:b/>
                <w:sz w:val="24"/>
                <w:highlight w:val="none"/>
              </w:rPr>
              <w:t>评审意见</w:t>
            </w:r>
          </w:p>
        </w:tc>
      </w:tr>
      <w:tr w14:paraId="2111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1" w:hRule="atLeast"/>
          <w:jc w:val="center"/>
        </w:trPr>
        <w:tc>
          <w:tcPr>
            <w:tcW w:w="1196" w:type="dxa"/>
            <w:gridSpan w:val="2"/>
            <w:vMerge w:val="continue"/>
            <w:noWrap w:val="0"/>
            <w:vAlign w:val="center"/>
          </w:tcPr>
          <w:p w14:paraId="0C2D4154">
            <w:pPr>
              <w:jc w:val="center"/>
              <w:rPr>
                <w:rFonts w:hint="eastAsia" w:ascii="宋体" w:hAnsi="宋体" w:eastAsia="宋体" w:cs="宋体"/>
                <w:b/>
                <w:sz w:val="24"/>
                <w:highlight w:val="none"/>
              </w:rPr>
            </w:pPr>
          </w:p>
        </w:tc>
        <w:tc>
          <w:tcPr>
            <w:tcW w:w="1725" w:type="dxa"/>
            <w:vMerge w:val="continue"/>
            <w:noWrap w:val="0"/>
            <w:vAlign w:val="center"/>
          </w:tcPr>
          <w:p w14:paraId="55E727CC">
            <w:pPr>
              <w:jc w:val="center"/>
              <w:rPr>
                <w:rFonts w:hint="eastAsia" w:ascii="宋体" w:hAnsi="宋体" w:eastAsia="宋体" w:cs="宋体"/>
                <w:b/>
                <w:sz w:val="24"/>
                <w:highlight w:val="none"/>
              </w:rPr>
            </w:pPr>
          </w:p>
        </w:tc>
        <w:tc>
          <w:tcPr>
            <w:tcW w:w="4953" w:type="dxa"/>
            <w:vMerge w:val="continue"/>
            <w:noWrap w:val="0"/>
            <w:vAlign w:val="center"/>
          </w:tcPr>
          <w:p w14:paraId="581A9B78">
            <w:pPr>
              <w:jc w:val="center"/>
              <w:rPr>
                <w:rFonts w:hint="eastAsia" w:ascii="宋体" w:hAnsi="宋体" w:eastAsia="宋体" w:cs="宋体"/>
                <w:b/>
                <w:sz w:val="24"/>
                <w:highlight w:val="none"/>
              </w:rPr>
            </w:pPr>
          </w:p>
        </w:tc>
        <w:tc>
          <w:tcPr>
            <w:tcW w:w="810" w:type="dxa"/>
            <w:noWrap w:val="0"/>
            <w:vAlign w:val="center"/>
          </w:tcPr>
          <w:p w14:paraId="7DB339AF">
            <w:pPr>
              <w:jc w:val="center"/>
              <w:rPr>
                <w:rFonts w:hint="eastAsia" w:ascii="宋体" w:hAnsi="宋体" w:eastAsia="宋体" w:cs="宋体"/>
                <w:b/>
                <w:sz w:val="24"/>
                <w:highlight w:val="none"/>
              </w:rPr>
            </w:pPr>
            <w:r>
              <w:rPr>
                <w:rFonts w:hint="eastAsia" w:ascii="宋体" w:hAnsi="宋体" w:eastAsia="宋体" w:cs="宋体"/>
                <w:b/>
                <w:sz w:val="24"/>
                <w:highlight w:val="none"/>
              </w:rPr>
              <w:t>是</w:t>
            </w:r>
            <w:r>
              <w:rPr>
                <w:rFonts w:hint="eastAsia" w:ascii="宋体" w:hAnsi="宋体" w:eastAsia="宋体" w:cs="宋体"/>
                <w:bCs/>
                <w:sz w:val="24"/>
                <w:highlight w:val="none"/>
              </w:rPr>
              <w:t>（√）</w:t>
            </w:r>
          </w:p>
        </w:tc>
        <w:tc>
          <w:tcPr>
            <w:tcW w:w="839" w:type="dxa"/>
            <w:noWrap w:val="0"/>
            <w:vAlign w:val="center"/>
          </w:tcPr>
          <w:p w14:paraId="1FDEE9D2">
            <w:pPr>
              <w:jc w:val="center"/>
              <w:rPr>
                <w:rFonts w:hint="eastAsia" w:ascii="宋体" w:hAnsi="宋体" w:eastAsia="宋体" w:cs="宋体"/>
                <w:b/>
                <w:sz w:val="24"/>
                <w:highlight w:val="none"/>
              </w:rPr>
            </w:pPr>
            <w:r>
              <w:rPr>
                <w:rFonts w:hint="eastAsia" w:ascii="宋体" w:hAnsi="宋体" w:eastAsia="宋体" w:cs="宋体"/>
                <w:b/>
                <w:sz w:val="24"/>
                <w:highlight w:val="none"/>
              </w:rPr>
              <w:t>否</w:t>
            </w:r>
            <w:r>
              <w:rPr>
                <w:rFonts w:hint="eastAsia" w:ascii="宋体" w:hAnsi="宋体" w:eastAsia="宋体" w:cs="宋体"/>
                <w:bCs/>
                <w:sz w:val="24"/>
                <w:highlight w:val="none"/>
              </w:rPr>
              <w:t>（×）</w:t>
            </w:r>
          </w:p>
        </w:tc>
      </w:tr>
      <w:tr w14:paraId="5209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atLeast"/>
          <w:jc w:val="center"/>
        </w:trPr>
        <w:tc>
          <w:tcPr>
            <w:tcW w:w="471" w:type="dxa"/>
            <w:vMerge w:val="restart"/>
            <w:noWrap w:val="0"/>
            <w:vAlign w:val="top"/>
          </w:tcPr>
          <w:p w14:paraId="7774BE82">
            <w:pPr>
              <w:jc w:val="center"/>
              <w:rPr>
                <w:rFonts w:hint="eastAsia" w:ascii="宋体" w:hAnsi="宋体" w:eastAsia="宋体" w:cs="宋体"/>
                <w:b/>
                <w:bCs/>
                <w:sz w:val="24"/>
                <w:highlight w:val="none"/>
              </w:rPr>
            </w:pPr>
          </w:p>
          <w:p w14:paraId="0CA4878D">
            <w:pPr>
              <w:jc w:val="center"/>
              <w:rPr>
                <w:rFonts w:hint="eastAsia" w:ascii="宋体" w:hAnsi="宋体" w:eastAsia="宋体" w:cs="宋体"/>
                <w:b/>
                <w:bCs/>
                <w:sz w:val="24"/>
                <w:highlight w:val="none"/>
              </w:rPr>
            </w:pPr>
          </w:p>
          <w:p w14:paraId="46D50759">
            <w:pPr>
              <w:jc w:val="center"/>
              <w:rPr>
                <w:rFonts w:hint="eastAsia" w:ascii="宋体" w:hAnsi="宋体" w:eastAsia="宋体" w:cs="宋体"/>
                <w:b/>
                <w:bCs/>
                <w:sz w:val="24"/>
                <w:highlight w:val="none"/>
              </w:rPr>
            </w:pPr>
          </w:p>
          <w:p w14:paraId="4195815B">
            <w:pPr>
              <w:jc w:val="center"/>
              <w:rPr>
                <w:rFonts w:hint="eastAsia" w:ascii="宋体" w:hAnsi="宋体" w:eastAsia="宋体" w:cs="宋体"/>
                <w:b/>
                <w:bCs/>
                <w:sz w:val="24"/>
                <w:highlight w:val="none"/>
              </w:rPr>
            </w:pPr>
          </w:p>
          <w:p w14:paraId="544BB5C8">
            <w:pPr>
              <w:jc w:val="center"/>
              <w:rPr>
                <w:rFonts w:hint="eastAsia" w:ascii="宋体" w:hAnsi="宋体" w:eastAsia="宋体" w:cs="宋体"/>
                <w:b/>
                <w:bCs/>
                <w:sz w:val="24"/>
                <w:highlight w:val="none"/>
              </w:rPr>
            </w:pPr>
          </w:p>
          <w:p w14:paraId="7F6EB34E">
            <w:pPr>
              <w:pStyle w:val="20"/>
              <w:rPr>
                <w:rFonts w:hint="eastAsia" w:ascii="宋体" w:hAnsi="宋体" w:eastAsia="宋体" w:cs="宋体"/>
                <w:b/>
                <w:bCs/>
                <w:sz w:val="24"/>
                <w:highlight w:val="none"/>
              </w:rPr>
            </w:pPr>
          </w:p>
          <w:p w14:paraId="5FB2E144">
            <w:pPr>
              <w:pStyle w:val="20"/>
              <w:rPr>
                <w:rFonts w:hint="eastAsia" w:ascii="宋体" w:hAnsi="宋体" w:eastAsia="宋体" w:cs="宋体"/>
                <w:b/>
                <w:bCs/>
                <w:sz w:val="24"/>
                <w:highlight w:val="none"/>
              </w:rPr>
            </w:pPr>
          </w:p>
          <w:p w14:paraId="56B57C48">
            <w:pPr>
              <w:pStyle w:val="20"/>
              <w:rPr>
                <w:rFonts w:hint="eastAsia" w:ascii="宋体" w:hAnsi="宋体" w:eastAsia="宋体" w:cs="宋体"/>
                <w:b/>
                <w:bCs/>
                <w:sz w:val="24"/>
                <w:highlight w:val="none"/>
              </w:rPr>
            </w:pPr>
          </w:p>
          <w:p w14:paraId="4FBCF91E">
            <w:pPr>
              <w:pStyle w:val="20"/>
              <w:rPr>
                <w:rFonts w:hint="eastAsia" w:ascii="宋体" w:hAnsi="宋体" w:eastAsia="宋体" w:cs="宋体"/>
                <w:b/>
                <w:bCs/>
                <w:sz w:val="24"/>
                <w:highlight w:val="none"/>
              </w:rPr>
            </w:pPr>
          </w:p>
          <w:p w14:paraId="734D7353">
            <w:pPr>
              <w:pStyle w:val="20"/>
              <w:rPr>
                <w:rFonts w:hint="eastAsia" w:ascii="宋体" w:hAnsi="宋体" w:eastAsia="宋体" w:cs="宋体"/>
                <w:b/>
                <w:bCs/>
                <w:sz w:val="24"/>
                <w:highlight w:val="none"/>
              </w:rPr>
            </w:pPr>
          </w:p>
          <w:p w14:paraId="6A4C2FC6">
            <w:pPr>
              <w:pStyle w:val="20"/>
              <w:rPr>
                <w:rFonts w:hint="eastAsia" w:ascii="宋体" w:hAnsi="宋体" w:eastAsia="宋体" w:cs="宋体"/>
                <w:b/>
                <w:bCs/>
                <w:sz w:val="24"/>
                <w:highlight w:val="none"/>
              </w:rPr>
            </w:pPr>
          </w:p>
          <w:p w14:paraId="6B2A04ED">
            <w:pPr>
              <w:pStyle w:val="20"/>
              <w:rPr>
                <w:rFonts w:hint="eastAsia" w:ascii="宋体" w:hAnsi="宋体" w:eastAsia="宋体" w:cs="宋体"/>
                <w:b/>
                <w:bCs/>
                <w:sz w:val="24"/>
                <w:highlight w:val="none"/>
              </w:rPr>
            </w:pPr>
          </w:p>
          <w:p w14:paraId="72606CC4">
            <w:pPr>
              <w:jc w:val="center"/>
              <w:rPr>
                <w:rFonts w:hint="eastAsia" w:ascii="宋体" w:hAnsi="宋体" w:eastAsia="宋体" w:cs="宋体"/>
                <w:b/>
                <w:bCs/>
                <w:sz w:val="24"/>
                <w:highlight w:val="none"/>
              </w:rPr>
            </w:pPr>
          </w:p>
          <w:p w14:paraId="10D1338E">
            <w:pPr>
              <w:jc w:val="center"/>
              <w:rPr>
                <w:rFonts w:hint="eastAsia" w:ascii="宋体" w:hAnsi="宋体" w:eastAsia="宋体" w:cs="宋体"/>
                <w:b/>
                <w:bCs/>
                <w:sz w:val="24"/>
                <w:highlight w:val="none"/>
              </w:rPr>
            </w:pPr>
            <w:r>
              <w:rPr>
                <w:rFonts w:hint="eastAsia" w:ascii="宋体" w:hAnsi="宋体" w:eastAsia="宋体" w:cs="宋体"/>
                <w:b/>
                <w:bCs/>
                <w:sz w:val="24"/>
                <w:highlight w:val="none"/>
              </w:rPr>
              <w:t>初步评审</w:t>
            </w:r>
          </w:p>
        </w:tc>
        <w:tc>
          <w:tcPr>
            <w:tcW w:w="725" w:type="dxa"/>
            <w:vMerge w:val="restart"/>
            <w:noWrap w:val="0"/>
            <w:vAlign w:val="center"/>
          </w:tcPr>
          <w:p w14:paraId="517D9DA0">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资格检查</w:t>
            </w:r>
          </w:p>
        </w:tc>
        <w:tc>
          <w:tcPr>
            <w:tcW w:w="1725" w:type="dxa"/>
            <w:noWrap w:val="0"/>
            <w:vAlign w:val="center"/>
          </w:tcPr>
          <w:p w14:paraId="7A6BC75C">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rPr>
              <w:t>具有独立承担民事责任的能力；</w:t>
            </w:r>
          </w:p>
        </w:tc>
        <w:tc>
          <w:tcPr>
            <w:tcW w:w="4953" w:type="dxa"/>
            <w:noWrap w:val="0"/>
            <w:vAlign w:val="center"/>
          </w:tcPr>
          <w:p w14:paraId="573B157D">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注：①供应商若为企业法人：提供“统一社会信用代码营业执照”；未换证的提供“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明文件”。以上均提供副本复印件）</w:t>
            </w:r>
          </w:p>
        </w:tc>
        <w:tc>
          <w:tcPr>
            <w:tcW w:w="810" w:type="dxa"/>
            <w:noWrap w:val="0"/>
            <w:vAlign w:val="top"/>
          </w:tcPr>
          <w:p w14:paraId="2FC6C845">
            <w:pPr>
              <w:jc w:val="center"/>
              <w:rPr>
                <w:rFonts w:hint="eastAsia" w:ascii="宋体" w:hAnsi="宋体" w:eastAsia="宋体" w:cs="宋体"/>
                <w:sz w:val="24"/>
                <w:highlight w:val="none"/>
              </w:rPr>
            </w:pPr>
          </w:p>
        </w:tc>
        <w:tc>
          <w:tcPr>
            <w:tcW w:w="839" w:type="dxa"/>
            <w:noWrap w:val="0"/>
            <w:vAlign w:val="center"/>
          </w:tcPr>
          <w:p w14:paraId="748667AD">
            <w:pPr>
              <w:jc w:val="center"/>
              <w:rPr>
                <w:rFonts w:hint="eastAsia" w:ascii="宋体" w:hAnsi="宋体" w:eastAsia="宋体" w:cs="宋体"/>
                <w:sz w:val="24"/>
                <w:highlight w:val="none"/>
              </w:rPr>
            </w:pPr>
          </w:p>
        </w:tc>
      </w:tr>
      <w:tr w14:paraId="73AD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atLeast"/>
          <w:jc w:val="center"/>
        </w:trPr>
        <w:tc>
          <w:tcPr>
            <w:tcW w:w="471" w:type="dxa"/>
            <w:vMerge w:val="continue"/>
            <w:noWrap w:val="0"/>
            <w:vAlign w:val="top"/>
          </w:tcPr>
          <w:p w14:paraId="5784FEE0">
            <w:pPr>
              <w:jc w:val="center"/>
              <w:rPr>
                <w:rFonts w:hint="eastAsia" w:ascii="宋体" w:hAnsi="宋体" w:eastAsia="宋体" w:cs="宋体"/>
                <w:sz w:val="24"/>
                <w:highlight w:val="none"/>
              </w:rPr>
            </w:pPr>
          </w:p>
        </w:tc>
        <w:tc>
          <w:tcPr>
            <w:tcW w:w="725" w:type="dxa"/>
            <w:vMerge w:val="continue"/>
            <w:noWrap w:val="0"/>
            <w:vAlign w:val="center"/>
          </w:tcPr>
          <w:p w14:paraId="17A4168A">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p>
        </w:tc>
        <w:tc>
          <w:tcPr>
            <w:tcW w:w="1725" w:type="dxa"/>
            <w:noWrap w:val="0"/>
            <w:vAlign w:val="center"/>
          </w:tcPr>
          <w:p w14:paraId="0F8E0DC5">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rPr>
              <w:t xml:space="preserve">具有良好的商业信誉和健全的财务会计制度； </w:t>
            </w:r>
          </w:p>
        </w:tc>
        <w:tc>
          <w:tcPr>
            <w:tcW w:w="4953" w:type="dxa"/>
            <w:noWrap w:val="0"/>
            <w:vAlign w:val="center"/>
          </w:tcPr>
          <w:p w14:paraId="4BF15D8A">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提供具备良好商业信誉的承诺函原件和（</w:t>
            </w:r>
            <w:r>
              <w:rPr>
                <w:rFonts w:hint="eastAsia" w:cs="宋体"/>
                <w:bCs w:val="0"/>
                <w:sz w:val="24"/>
                <w:szCs w:val="24"/>
                <w:highlight w:val="none"/>
                <w:lang w:val="en-US" w:eastAsia="zh-CN"/>
              </w:rPr>
              <w:t>①可提供2024年或2025年经审计的财务报告复印件（至少包含审计报告和审计报告中所涉及的财务报表和报表附注）；②也可提供2024年或2025年供应商内部的任意1个月财务报表复印件（至少包含资产负债表）；</w:t>
            </w:r>
            <w:r>
              <w:rPr>
                <w:rFonts w:hint="eastAsia" w:ascii="宋体" w:hAnsi="宋体" w:eastAsia="宋体" w:cs="宋体"/>
                <w:bCs w:val="0"/>
                <w:sz w:val="24"/>
                <w:szCs w:val="24"/>
                <w:highlight w:val="none"/>
                <w:lang w:val="en-US" w:eastAsia="zh-CN"/>
              </w:rPr>
              <w:t>③也可提供距文件递交截止日一年内银行出具的资信证明（复印件）；④供应商注册时间至文件递交截止日不足1年的，也可提供在工商备案的公司章程（复印件））；</w:t>
            </w:r>
          </w:p>
        </w:tc>
        <w:tc>
          <w:tcPr>
            <w:tcW w:w="810" w:type="dxa"/>
            <w:noWrap w:val="0"/>
            <w:vAlign w:val="top"/>
          </w:tcPr>
          <w:p w14:paraId="3C59C679">
            <w:pPr>
              <w:jc w:val="center"/>
              <w:rPr>
                <w:rFonts w:hint="eastAsia" w:ascii="宋体" w:hAnsi="宋体" w:eastAsia="宋体" w:cs="宋体"/>
                <w:sz w:val="24"/>
                <w:highlight w:val="none"/>
              </w:rPr>
            </w:pPr>
          </w:p>
        </w:tc>
        <w:tc>
          <w:tcPr>
            <w:tcW w:w="839" w:type="dxa"/>
            <w:noWrap w:val="0"/>
            <w:vAlign w:val="center"/>
          </w:tcPr>
          <w:p w14:paraId="5549F90A">
            <w:pPr>
              <w:jc w:val="center"/>
              <w:rPr>
                <w:rFonts w:hint="eastAsia" w:ascii="宋体" w:hAnsi="宋体" w:eastAsia="宋体" w:cs="宋体"/>
                <w:sz w:val="24"/>
                <w:highlight w:val="none"/>
              </w:rPr>
            </w:pPr>
          </w:p>
        </w:tc>
      </w:tr>
      <w:tr w14:paraId="5E56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atLeast"/>
          <w:jc w:val="center"/>
        </w:trPr>
        <w:tc>
          <w:tcPr>
            <w:tcW w:w="471" w:type="dxa"/>
            <w:vMerge w:val="continue"/>
            <w:noWrap w:val="0"/>
            <w:vAlign w:val="top"/>
          </w:tcPr>
          <w:p w14:paraId="408F7C80">
            <w:pPr>
              <w:jc w:val="center"/>
              <w:rPr>
                <w:rFonts w:hint="eastAsia" w:ascii="宋体" w:hAnsi="宋体" w:eastAsia="宋体" w:cs="宋体"/>
                <w:b/>
                <w:bCs/>
                <w:sz w:val="24"/>
                <w:highlight w:val="none"/>
              </w:rPr>
            </w:pPr>
          </w:p>
        </w:tc>
        <w:tc>
          <w:tcPr>
            <w:tcW w:w="725" w:type="dxa"/>
            <w:vMerge w:val="continue"/>
            <w:noWrap w:val="0"/>
            <w:vAlign w:val="center"/>
          </w:tcPr>
          <w:p w14:paraId="786173FF">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p>
        </w:tc>
        <w:tc>
          <w:tcPr>
            <w:tcW w:w="1725" w:type="dxa"/>
            <w:noWrap w:val="0"/>
            <w:vAlign w:val="center"/>
          </w:tcPr>
          <w:p w14:paraId="2B4E0896">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eastAsia="zh-CN"/>
              </w:rPr>
              <w:t>具</w:t>
            </w:r>
            <w:r>
              <w:rPr>
                <w:rFonts w:hint="eastAsia" w:ascii="宋体" w:hAnsi="宋体" w:eastAsia="宋体" w:cs="宋体"/>
                <w:bCs w:val="0"/>
                <w:sz w:val="24"/>
                <w:szCs w:val="24"/>
                <w:highlight w:val="none"/>
              </w:rPr>
              <w:t xml:space="preserve">有依法缴纳税收和社会保障资金的良好记录； </w:t>
            </w:r>
          </w:p>
        </w:tc>
        <w:tc>
          <w:tcPr>
            <w:tcW w:w="4953" w:type="dxa"/>
            <w:noWrap w:val="0"/>
            <w:vAlign w:val="center"/>
          </w:tcPr>
          <w:p w14:paraId="26DF106B">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（提供</w:t>
            </w:r>
            <w:r>
              <w:rPr>
                <w:rFonts w:hint="eastAsia" w:cs="宋体"/>
                <w:bCs w:val="0"/>
                <w:sz w:val="24"/>
                <w:szCs w:val="24"/>
                <w:highlight w:val="none"/>
                <w:lang w:val="en-US" w:eastAsia="zh-CN"/>
              </w:rPr>
              <w:t>2025年11月至今</w:t>
            </w:r>
            <w:r>
              <w:rPr>
                <w:rFonts w:hint="eastAsia" w:ascii="宋体" w:hAnsi="宋体" w:eastAsia="宋体" w:cs="宋体"/>
                <w:bCs w:val="0"/>
                <w:sz w:val="24"/>
                <w:szCs w:val="24"/>
                <w:highlight w:val="none"/>
                <w:lang w:val="en-US" w:eastAsia="zh-CN"/>
              </w:rPr>
              <w:t>任意一个月的依法缴纳税收的证明（纳税凭证）复印件，如依法免税的，应提供相应文件证明其依法免税；同时提供</w:t>
            </w:r>
            <w:r>
              <w:rPr>
                <w:rFonts w:hint="eastAsia" w:cs="宋体"/>
                <w:bCs w:val="0"/>
                <w:sz w:val="24"/>
                <w:szCs w:val="24"/>
                <w:highlight w:val="none"/>
                <w:lang w:val="en-US" w:eastAsia="zh-CN"/>
              </w:rPr>
              <w:t>2025年11月至今</w:t>
            </w:r>
            <w:r>
              <w:rPr>
                <w:rFonts w:hint="eastAsia" w:ascii="宋体" w:hAnsi="宋体" w:eastAsia="宋体" w:cs="宋体"/>
                <w:bCs w:val="0"/>
                <w:sz w:val="24"/>
                <w:szCs w:val="24"/>
                <w:highlight w:val="none"/>
                <w:lang w:val="en-US" w:eastAsia="zh-CN"/>
              </w:rPr>
              <w:t>任意一个月的依法缴纳社会保险的证明（缴费凭证）复印件，如依法不需要缴纳社会保障资金的，应提供相应文件证明其依法不需要缴纳社会保障资金）。</w:t>
            </w:r>
          </w:p>
        </w:tc>
        <w:tc>
          <w:tcPr>
            <w:tcW w:w="810" w:type="dxa"/>
            <w:noWrap w:val="0"/>
            <w:vAlign w:val="top"/>
          </w:tcPr>
          <w:p w14:paraId="4D24A098">
            <w:pPr>
              <w:jc w:val="center"/>
              <w:rPr>
                <w:rFonts w:hint="eastAsia" w:ascii="宋体" w:hAnsi="宋体" w:eastAsia="宋体" w:cs="宋体"/>
                <w:sz w:val="24"/>
                <w:highlight w:val="none"/>
              </w:rPr>
            </w:pPr>
          </w:p>
        </w:tc>
        <w:tc>
          <w:tcPr>
            <w:tcW w:w="839" w:type="dxa"/>
            <w:noWrap w:val="0"/>
            <w:vAlign w:val="center"/>
          </w:tcPr>
          <w:p w14:paraId="5BD9458F">
            <w:pPr>
              <w:jc w:val="center"/>
              <w:rPr>
                <w:rFonts w:hint="eastAsia" w:ascii="宋体" w:hAnsi="宋体" w:eastAsia="宋体" w:cs="宋体"/>
                <w:sz w:val="24"/>
                <w:highlight w:val="none"/>
              </w:rPr>
            </w:pPr>
          </w:p>
        </w:tc>
      </w:tr>
      <w:tr w14:paraId="41E5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atLeast"/>
          <w:jc w:val="center"/>
        </w:trPr>
        <w:tc>
          <w:tcPr>
            <w:tcW w:w="471" w:type="dxa"/>
            <w:vMerge w:val="continue"/>
            <w:noWrap w:val="0"/>
            <w:vAlign w:val="top"/>
          </w:tcPr>
          <w:p w14:paraId="0BF9D62F">
            <w:pPr>
              <w:jc w:val="center"/>
              <w:rPr>
                <w:rFonts w:hint="eastAsia" w:ascii="宋体" w:hAnsi="宋体" w:eastAsia="宋体" w:cs="宋体"/>
                <w:b/>
                <w:bCs/>
                <w:sz w:val="24"/>
                <w:highlight w:val="none"/>
              </w:rPr>
            </w:pPr>
          </w:p>
        </w:tc>
        <w:tc>
          <w:tcPr>
            <w:tcW w:w="725" w:type="dxa"/>
            <w:vMerge w:val="continue"/>
            <w:noWrap w:val="0"/>
            <w:vAlign w:val="center"/>
          </w:tcPr>
          <w:p w14:paraId="4BCBBFCE">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p>
        </w:tc>
        <w:tc>
          <w:tcPr>
            <w:tcW w:w="1725" w:type="dxa"/>
            <w:noWrap w:val="0"/>
            <w:vAlign w:val="center"/>
          </w:tcPr>
          <w:p w14:paraId="648C96CE">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cs="宋体"/>
                <w:bCs w:val="0"/>
                <w:sz w:val="24"/>
                <w:szCs w:val="24"/>
                <w:highlight w:val="none"/>
                <w:lang w:eastAsia="zh-CN"/>
              </w:rPr>
              <w:t>具有履行合同所必需的设备和专业技术能力</w:t>
            </w:r>
            <w:r>
              <w:rPr>
                <w:rFonts w:hint="eastAsia" w:ascii="宋体" w:hAnsi="宋体" w:eastAsia="宋体" w:cs="宋体"/>
                <w:bCs w:val="0"/>
                <w:sz w:val="24"/>
                <w:szCs w:val="24"/>
                <w:highlight w:val="none"/>
              </w:rPr>
              <w:t>；</w:t>
            </w:r>
          </w:p>
        </w:tc>
        <w:tc>
          <w:tcPr>
            <w:tcW w:w="4953" w:type="dxa"/>
            <w:noWrap w:val="0"/>
            <w:vAlign w:val="center"/>
          </w:tcPr>
          <w:p w14:paraId="5E184B74">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提供承诺函</w:t>
            </w:r>
          </w:p>
        </w:tc>
        <w:tc>
          <w:tcPr>
            <w:tcW w:w="810" w:type="dxa"/>
            <w:noWrap w:val="0"/>
            <w:vAlign w:val="top"/>
          </w:tcPr>
          <w:p w14:paraId="68CE70C1">
            <w:pPr>
              <w:jc w:val="center"/>
              <w:rPr>
                <w:rFonts w:hint="eastAsia" w:ascii="宋体" w:hAnsi="宋体" w:eastAsia="宋体" w:cs="宋体"/>
                <w:sz w:val="24"/>
                <w:highlight w:val="none"/>
              </w:rPr>
            </w:pPr>
          </w:p>
        </w:tc>
        <w:tc>
          <w:tcPr>
            <w:tcW w:w="839" w:type="dxa"/>
            <w:noWrap w:val="0"/>
            <w:vAlign w:val="center"/>
          </w:tcPr>
          <w:p w14:paraId="4DAB9120">
            <w:pPr>
              <w:jc w:val="center"/>
              <w:rPr>
                <w:rFonts w:hint="eastAsia" w:ascii="宋体" w:hAnsi="宋体" w:eastAsia="宋体" w:cs="宋体"/>
                <w:sz w:val="24"/>
                <w:highlight w:val="none"/>
              </w:rPr>
            </w:pPr>
          </w:p>
        </w:tc>
      </w:tr>
      <w:tr w14:paraId="2A78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atLeast"/>
          <w:jc w:val="center"/>
        </w:trPr>
        <w:tc>
          <w:tcPr>
            <w:tcW w:w="471" w:type="dxa"/>
            <w:vMerge w:val="continue"/>
            <w:noWrap w:val="0"/>
            <w:vAlign w:val="top"/>
          </w:tcPr>
          <w:p w14:paraId="56701C83">
            <w:pPr>
              <w:jc w:val="center"/>
              <w:rPr>
                <w:rFonts w:hint="eastAsia" w:ascii="宋体" w:hAnsi="宋体" w:eastAsia="宋体" w:cs="宋体"/>
                <w:b/>
                <w:bCs/>
                <w:sz w:val="24"/>
                <w:highlight w:val="none"/>
              </w:rPr>
            </w:pPr>
          </w:p>
        </w:tc>
        <w:tc>
          <w:tcPr>
            <w:tcW w:w="725" w:type="dxa"/>
            <w:vMerge w:val="continue"/>
            <w:noWrap w:val="0"/>
            <w:vAlign w:val="center"/>
          </w:tcPr>
          <w:p w14:paraId="2A918D39">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p>
        </w:tc>
        <w:tc>
          <w:tcPr>
            <w:tcW w:w="1725" w:type="dxa"/>
            <w:noWrap w:val="0"/>
            <w:vAlign w:val="center"/>
          </w:tcPr>
          <w:p w14:paraId="18406F3D">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 xml:space="preserve">参加招标投标活动前三年内，在经营活动中没有重大违法记录； </w:t>
            </w:r>
          </w:p>
        </w:tc>
        <w:tc>
          <w:tcPr>
            <w:tcW w:w="4953" w:type="dxa"/>
            <w:noWrap w:val="0"/>
            <w:vAlign w:val="center"/>
          </w:tcPr>
          <w:p w14:paraId="5A4D7DA6">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（提供参加政府采购活动前三年内在经营活动中没有重大违法记录的书面声明）</w:t>
            </w:r>
          </w:p>
          <w:p w14:paraId="47CC8368">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val="en-US" w:eastAsia="zh-CN"/>
              </w:rPr>
            </w:pPr>
          </w:p>
        </w:tc>
        <w:tc>
          <w:tcPr>
            <w:tcW w:w="810" w:type="dxa"/>
            <w:noWrap w:val="0"/>
            <w:vAlign w:val="top"/>
          </w:tcPr>
          <w:p w14:paraId="49C3B3B6">
            <w:pPr>
              <w:jc w:val="center"/>
              <w:rPr>
                <w:rFonts w:hint="eastAsia" w:ascii="宋体" w:hAnsi="宋体" w:eastAsia="宋体" w:cs="宋体"/>
                <w:sz w:val="24"/>
                <w:highlight w:val="none"/>
              </w:rPr>
            </w:pPr>
          </w:p>
        </w:tc>
        <w:tc>
          <w:tcPr>
            <w:tcW w:w="839" w:type="dxa"/>
            <w:noWrap w:val="0"/>
            <w:vAlign w:val="center"/>
          </w:tcPr>
          <w:p w14:paraId="44F6A782">
            <w:pPr>
              <w:jc w:val="center"/>
              <w:rPr>
                <w:rFonts w:hint="eastAsia" w:ascii="宋体" w:hAnsi="宋体" w:eastAsia="宋体" w:cs="宋体"/>
                <w:sz w:val="24"/>
                <w:highlight w:val="none"/>
              </w:rPr>
            </w:pPr>
          </w:p>
        </w:tc>
      </w:tr>
      <w:tr w14:paraId="58ED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atLeast"/>
          <w:jc w:val="center"/>
        </w:trPr>
        <w:tc>
          <w:tcPr>
            <w:tcW w:w="471" w:type="dxa"/>
            <w:vMerge w:val="continue"/>
            <w:noWrap w:val="0"/>
            <w:vAlign w:val="top"/>
          </w:tcPr>
          <w:p w14:paraId="244C9774">
            <w:pPr>
              <w:jc w:val="center"/>
              <w:rPr>
                <w:rFonts w:hint="eastAsia" w:ascii="宋体" w:hAnsi="宋体" w:eastAsia="宋体" w:cs="宋体"/>
                <w:b/>
                <w:bCs/>
                <w:sz w:val="24"/>
                <w:highlight w:val="none"/>
              </w:rPr>
            </w:pPr>
          </w:p>
        </w:tc>
        <w:tc>
          <w:tcPr>
            <w:tcW w:w="725" w:type="dxa"/>
            <w:vMerge w:val="continue"/>
            <w:noWrap w:val="0"/>
            <w:vAlign w:val="center"/>
          </w:tcPr>
          <w:p w14:paraId="38B9C55D">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p>
        </w:tc>
        <w:tc>
          <w:tcPr>
            <w:tcW w:w="1725" w:type="dxa"/>
            <w:noWrap w:val="0"/>
            <w:vAlign w:val="center"/>
          </w:tcPr>
          <w:p w14:paraId="0D6560D6">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rPr>
              <w:t>法律、行政法规规定的其他条件</w:t>
            </w:r>
            <w:r>
              <w:rPr>
                <w:rFonts w:hint="eastAsia" w:ascii="宋体" w:hAnsi="宋体" w:eastAsia="宋体" w:cs="宋体"/>
                <w:bCs w:val="0"/>
                <w:sz w:val="24"/>
                <w:szCs w:val="24"/>
                <w:highlight w:val="none"/>
                <w:lang w:eastAsia="zh-CN"/>
              </w:rPr>
              <w:t>；</w:t>
            </w:r>
          </w:p>
        </w:tc>
        <w:tc>
          <w:tcPr>
            <w:tcW w:w="4953" w:type="dxa"/>
            <w:noWrap w:val="0"/>
            <w:vAlign w:val="center"/>
          </w:tcPr>
          <w:p w14:paraId="04067166">
            <w:pPr>
              <w:widowControl/>
              <w:jc w:val="left"/>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（提供具备法律、行政法规规定的其他条件的承诺函原件）</w:t>
            </w:r>
          </w:p>
          <w:p w14:paraId="56DFB99B">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val="en-US" w:eastAsia="zh-CN"/>
              </w:rPr>
            </w:pPr>
          </w:p>
        </w:tc>
        <w:tc>
          <w:tcPr>
            <w:tcW w:w="810" w:type="dxa"/>
            <w:noWrap w:val="0"/>
            <w:vAlign w:val="top"/>
          </w:tcPr>
          <w:p w14:paraId="48245AA8">
            <w:pPr>
              <w:jc w:val="center"/>
              <w:rPr>
                <w:rFonts w:hint="eastAsia" w:ascii="宋体" w:hAnsi="宋体" w:eastAsia="宋体" w:cs="宋体"/>
                <w:sz w:val="24"/>
                <w:highlight w:val="none"/>
              </w:rPr>
            </w:pPr>
          </w:p>
        </w:tc>
        <w:tc>
          <w:tcPr>
            <w:tcW w:w="839" w:type="dxa"/>
            <w:noWrap w:val="0"/>
            <w:vAlign w:val="center"/>
          </w:tcPr>
          <w:p w14:paraId="26B1DB0B">
            <w:pPr>
              <w:jc w:val="center"/>
              <w:rPr>
                <w:rFonts w:hint="eastAsia" w:ascii="宋体" w:hAnsi="宋体" w:eastAsia="宋体" w:cs="宋体"/>
                <w:sz w:val="24"/>
                <w:highlight w:val="none"/>
              </w:rPr>
            </w:pPr>
          </w:p>
        </w:tc>
      </w:tr>
      <w:tr w14:paraId="3DFF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3" w:hRule="atLeast"/>
          <w:jc w:val="center"/>
        </w:trPr>
        <w:tc>
          <w:tcPr>
            <w:tcW w:w="471" w:type="dxa"/>
            <w:vMerge w:val="continue"/>
            <w:noWrap w:val="0"/>
            <w:vAlign w:val="top"/>
          </w:tcPr>
          <w:p w14:paraId="664A20DF">
            <w:pPr>
              <w:jc w:val="center"/>
              <w:rPr>
                <w:rFonts w:hint="eastAsia" w:ascii="宋体" w:hAnsi="宋体" w:eastAsia="宋体" w:cs="宋体"/>
                <w:b/>
                <w:bCs/>
                <w:sz w:val="24"/>
                <w:highlight w:val="none"/>
              </w:rPr>
            </w:pPr>
          </w:p>
        </w:tc>
        <w:tc>
          <w:tcPr>
            <w:tcW w:w="725" w:type="dxa"/>
            <w:vMerge w:val="continue"/>
            <w:noWrap w:val="0"/>
            <w:vAlign w:val="center"/>
          </w:tcPr>
          <w:p w14:paraId="4D2C009C">
            <w:pPr>
              <w:jc w:val="center"/>
              <w:rPr>
                <w:rFonts w:hint="eastAsia" w:ascii="宋体" w:hAnsi="宋体" w:eastAsia="宋体" w:cs="宋体"/>
                <w:b/>
                <w:bCs/>
                <w:sz w:val="24"/>
                <w:highlight w:val="none"/>
              </w:rPr>
            </w:pPr>
          </w:p>
        </w:tc>
        <w:tc>
          <w:tcPr>
            <w:tcW w:w="1725" w:type="dxa"/>
            <w:noWrap w:val="0"/>
            <w:vAlign w:val="center"/>
          </w:tcPr>
          <w:p w14:paraId="0648F5E2">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法定代表人</w:t>
            </w:r>
            <w:r>
              <w:rPr>
                <w:rFonts w:hint="eastAsia" w:cs="宋体"/>
                <w:bCs w:val="0"/>
                <w:sz w:val="24"/>
                <w:szCs w:val="24"/>
                <w:highlight w:val="none"/>
                <w:lang w:eastAsia="zh-CN"/>
              </w:rPr>
              <w:t>身份证明</w:t>
            </w:r>
            <w:r>
              <w:rPr>
                <w:rFonts w:hint="eastAsia" w:ascii="宋体" w:hAnsi="宋体" w:eastAsia="宋体" w:cs="宋体"/>
                <w:bCs w:val="0"/>
                <w:sz w:val="24"/>
                <w:szCs w:val="24"/>
                <w:highlight w:val="none"/>
              </w:rPr>
              <w:t>或授权委托书</w:t>
            </w:r>
          </w:p>
        </w:tc>
        <w:tc>
          <w:tcPr>
            <w:tcW w:w="4953" w:type="dxa"/>
            <w:noWrap w:val="0"/>
            <w:vAlign w:val="center"/>
          </w:tcPr>
          <w:p w14:paraId="2821D0CA">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eastAsia="zh-CN"/>
              </w:rPr>
            </w:pPr>
            <w:r>
              <w:rPr>
                <w:rFonts w:hint="eastAsia" w:cs="宋体"/>
                <w:color w:val="000000"/>
                <w:kern w:val="0"/>
                <w:sz w:val="24"/>
                <w:highlight w:val="none"/>
                <w:lang w:val="en-US" w:eastAsia="zh-CN"/>
              </w:rPr>
              <w:t>提供</w:t>
            </w:r>
            <w:r>
              <w:rPr>
                <w:rFonts w:hint="eastAsia" w:ascii="宋体" w:hAnsi="宋体" w:eastAsia="宋体" w:cs="宋体"/>
                <w:color w:val="000000"/>
                <w:kern w:val="0"/>
                <w:sz w:val="24"/>
                <w:highlight w:val="none"/>
                <w:lang w:val="en-US" w:eastAsia="zh-CN"/>
              </w:rPr>
              <w:t>法定代表人身份证</w:t>
            </w:r>
            <w:r>
              <w:rPr>
                <w:rFonts w:hint="eastAsia" w:cs="宋体"/>
                <w:color w:val="000000"/>
                <w:kern w:val="0"/>
                <w:sz w:val="24"/>
                <w:highlight w:val="none"/>
                <w:lang w:val="en-US" w:eastAsia="zh-CN"/>
              </w:rPr>
              <w:t>复印件</w:t>
            </w:r>
            <w:r>
              <w:rPr>
                <w:rFonts w:hint="eastAsia" w:ascii="宋体" w:hAnsi="宋体" w:eastAsia="宋体" w:cs="宋体"/>
                <w:color w:val="000000"/>
                <w:kern w:val="0"/>
                <w:sz w:val="24"/>
                <w:highlight w:val="none"/>
                <w:lang w:val="en-US" w:eastAsia="zh-CN"/>
              </w:rPr>
              <w:t>或法定代表人授权委托书和委托代理人身份证</w:t>
            </w:r>
            <w:r>
              <w:rPr>
                <w:rFonts w:hint="eastAsia" w:cs="宋体"/>
                <w:color w:val="000000"/>
                <w:kern w:val="0"/>
                <w:sz w:val="24"/>
                <w:highlight w:val="none"/>
                <w:lang w:val="en-US" w:eastAsia="zh-CN"/>
              </w:rPr>
              <w:t>复印件</w:t>
            </w:r>
            <w:r>
              <w:rPr>
                <w:rFonts w:hint="eastAsia" w:ascii="宋体" w:hAnsi="宋体" w:eastAsia="宋体" w:cs="宋体"/>
                <w:color w:val="000000"/>
                <w:kern w:val="0"/>
                <w:sz w:val="24"/>
                <w:highlight w:val="none"/>
                <w:lang w:val="en-US" w:eastAsia="zh-CN"/>
              </w:rPr>
              <w:t>（授权委托书应附上法人和代理人身份证复印件）</w:t>
            </w:r>
          </w:p>
        </w:tc>
        <w:tc>
          <w:tcPr>
            <w:tcW w:w="810" w:type="dxa"/>
            <w:noWrap w:val="0"/>
            <w:vAlign w:val="top"/>
          </w:tcPr>
          <w:p w14:paraId="39A206CF">
            <w:pPr>
              <w:jc w:val="center"/>
              <w:rPr>
                <w:rFonts w:hint="eastAsia" w:ascii="宋体" w:hAnsi="宋体" w:eastAsia="宋体" w:cs="宋体"/>
                <w:sz w:val="24"/>
                <w:highlight w:val="none"/>
              </w:rPr>
            </w:pPr>
          </w:p>
        </w:tc>
        <w:tc>
          <w:tcPr>
            <w:tcW w:w="839" w:type="dxa"/>
            <w:noWrap w:val="0"/>
            <w:vAlign w:val="center"/>
          </w:tcPr>
          <w:p w14:paraId="2387AD57">
            <w:pPr>
              <w:jc w:val="center"/>
              <w:rPr>
                <w:rFonts w:hint="eastAsia" w:ascii="宋体" w:hAnsi="宋体" w:eastAsia="宋体" w:cs="宋体"/>
                <w:sz w:val="24"/>
                <w:highlight w:val="none"/>
              </w:rPr>
            </w:pPr>
          </w:p>
        </w:tc>
      </w:tr>
      <w:tr w14:paraId="399F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471" w:type="dxa"/>
            <w:vMerge w:val="continue"/>
            <w:noWrap w:val="0"/>
            <w:vAlign w:val="top"/>
          </w:tcPr>
          <w:p w14:paraId="3ED05273">
            <w:pPr>
              <w:jc w:val="center"/>
              <w:rPr>
                <w:rFonts w:hint="eastAsia" w:ascii="宋体" w:hAnsi="宋体" w:eastAsia="宋体" w:cs="宋体"/>
                <w:b/>
                <w:bCs/>
                <w:sz w:val="24"/>
                <w:highlight w:val="none"/>
              </w:rPr>
            </w:pPr>
          </w:p>
        </w:tc>
        <w:tc>
          <w:tcPr>
            <w:tcW w:w="725" w:type="dxa"/>
            <w:vMerge w:val="continue"/>
            <w:noWrap w:val="0"/>
            <w:vAlign w:val="center"/>
          </w:tcPr>
          <w:p w14:paraId="2081707E">
            <w:pPr>
              <w:jc w:val="center"/>
              <w:rPr>
                <w:rFonts w:hint="eastAsia" w:ascii="宋体" w:hAnsi="宋体" w:eastAsia="宋体" w:cs="宋体"/>
                <w:b/>
                <w:bCs/>
                <w:sz w:val="24"/>
                <w:highlight w:val="none"/>
              </w:rPr>
            </w:pPr>
          </w:p>
        </w:tc>
        <w:tc>
          <w:tcPr>
            <w:tcW w:w="1725" w:type="dxa"/>
            <w:noWrap w:val="0"/>
            <w:vAlign w:val="center"/>
          </w:tcPr>
          <w:p w14:paraId="43124C25">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公平竞争承诺书</w:t>
            </w:r>
          </w:p>
        </w:tc>
        <w:tc>
          <w:tcPr>
            <w:tcW w:w="4953" w:type="dxa"/>
            <w:noWrap w:val="0"/>
            <w:vAlign w:val="center"/>
          </w:tcPr>
          <w:p w14:paraId="450FA0B7">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提供《公平竞争承诺书》</w:t>
            </w:r>
          </w:p>
        </w:tc>
        <w:tc>
          <w:tcPr>
            <w:tcW w:w="810" w:type="dxa"/>
            <w:noWrap w:val="0"/>
            <w:vAlign w:val="top"/>
          </w:tcPr>
          <w:p w14:paraId="5CBBF352">
            <w:pPr>
              <w:jc w:val="center"/>
              <w:rPr>
                <w:rFonts w:hint="eastAsia" w:ascii="宋体" w:hAnsi="宋体" w:eastAsia="宋体" w:cs="宋体"/>
                <w:sz w:val="24"/>
                <w:highlight w:val="none"/>
              </w:rPr>
            </w:pPr>
          </w:p>
        </w:tc>
        <w:tc>
          <w:tcPr>
            <w:tcW w:w="839" w:type="dxa"/>
            <w:noWrap w:val="0"/>
            <w:vAlign w:val="center"/>
          </w:tcPr>
          <w:p w14:paraId="18669432">
            <w:pPr>
              <w:jc w:val="center"/>
              <w:rPr>
                <w:rFonts w:hint="eastAsia" w:ascii="宋体" w:hAnsi="宋体" w:eastAsia="宋体" w:cs="宋体"/>
                <w:sz w:val="24"/>
                <w:highlight w:val="none"/>
              </w:rPr>
            </w:pPr>
          </w:p>
        </w:tc>
      </w:tr>
      <w:tr w14:paraId="1DA1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62" w:hRule="atLeast"/>
          <w:jc w:val="center"/>
        </w:trPr>
        <w:tc>
          <w:tcPr>
            <w:tcW w:w="471" w:type="dxa"/>
            <w:vMerge w:val="continue"/>
            <w:noWrap w:val="0"/>
            <w:vAlign w:val="top"/>
          </w:tcPr>
          <w:p w14:paraId="09163C80">
            <w:pPr>
              <w:jc w:val="center"/>
              <w:rPr>
                <w:rFonts w:hint="eastAsia" w:ascii="宋体" w:hAnsi="宋体" w:eastAsia="宋体" w:cs="宋体"/>
                <w:b/>
                <w:bCs/>
                <w:sz w:val="24"/>
                <w:highlight w:val="none"/>
              </w:rPr>
            </w:pPr>
          </w:p>
        </w:tc>
        <w:tc>
          <w:tcPr>
            <w:tcW w:w="725" w:type="dxa"/>
            <w:vMerge w:val="continue"/>
            <w:noWrap w:val="0"/>
            <w:vAlign w:val="center"/>
          </w:tcPr>
          <w:p w14:paraId="57C15EC9">
            <w:pPr>
              <w:jc w:val="center"/>
              <w:rPr>
                <w:rFonts w:hint="eastAsia" w:ascii="宋体" w:hAnsi="宋体" w:eastAsia="宋体" w:cs="宋体"/>
                <w:b/>
                <w:bCs/>
                <w:sz w:val="24"/>
                <w:highlight w:val="none"/>
              </w:rPr>
            </w:pPr>
          </w:p>
        </w:tc>
        <w:tc>
          <w:tcPr>
            <w:tcW w:w="1725" w:type="dxa"/>
            <w:noWrap w:val="0"/>
            <w:vAlign w:val="center"/>
          </w:tcPr>
          <w:p w14:paraId="15DE5039">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color w:val="000000"/>
                <w:kern w:val="0"/>
                <w:sz w:val="24"/>
                <w:highlight w:val="none"/>
                <w:lang w:val="en-US" w:eastAsia="zh-CN"/>
              </w:rPr>
              <w:t>投标人未被列入失信被执行人、重大税收违法案件当事人名单、政府采购严重违法失信行为记录名单</w:t>
            </w:r>
          </w:p>
        </w:tc>
        <w:tc>
          <w:tcPr>
            <w:tcW w:w="4953" w:type="dxa"/>
            <w:noWrap w:val="0"/>
            <w:vAlign w:val="center"/>
          </w:tcPr>
          <w:p w14:paraId="0FB31717">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供应商未被列入失信被执行人、重大税收违法案件当事人名单、政府采购严重违法失信行为记录名单（处罚决定规定的时间和地域范围内，根据《财政部关于在政府采购活动中查询及使用信用记录有关问题的通知》（财库﹝2016﹞125号）的要求，凡拟参加本次采购项目的供应商，如在“信用中国”网站（ www.creditchina.gov.cn） 被列入失信被执行人、重大税收违法案件当事人名单、中国政府采购网（http://www.ccgp.gov.cn/search/cr/）严重违法失信行为记录名单的（尚在处罚期内的），将拒绝其参加本次招标活动）。</w:t>
            </w:r>
          </w:p>
          <w:p w14:paraId="1B8D2102">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rPr>
            </w:pPr>
            <w:r>
              <w:rPr>
                <w:rFonts w:hint="eastAsia" w:ascii="宋体" w:hAnsi="宋体" w:eastAsia="宋体" w:cs="宋体"/>
                <w:color w:val="000000"/>
                <w:kern w:val="0"/>
                <w:sz w:val="24"/>
                <w:highlight w:val="none"/>
                <w:lang w:val="en-US" w:eastAsia="zh-CN"/>
              </w:rPr>
              <w:t>（以采购代理机构于响应文件递交截止日当天在“信用中国”网站及“中国政府采购网”查询结果为准，如相关失信记录已失效，供应商需提供相关证明资料）</w:t>
            </w:r>
          </w:p>
        </w:tc>
        <w:tc>
          <w:tcPr>
            <w:tcW w:w="810" w:type="dxa"/>
            <w:noWrap w:val="0"/>
            <w:vAlign w:val="top"/>
          </w:tcPr>
          <w:p w14:paraId="7F4B20AC">
            <w:pPr>
              <w:jc w:val="center"/>
              <w:rPr>
                <w:rFonts w:hint="eastAsia" w:ascii="宋体" w:hAnsi="宋体" w:eastAsia="宋体" w:cs="宋体"/>
                <w:sz w:val="24"/>
                <w:highlight w:val="none"/>
              </w:rPr>
            </w:pPr>
          </w:p>
        </w:tc>
        <w:tc>
          <w:tcPr>
            <w:tcW w:w="839" w:type="dxa"/>
            <w:noWrap w:val="0"/>
            <w:vAlign w:val="center"/>
          </w:tcPr>
          <w:p w14:paraId="3801A9F7">
            <w:pPr>
              <w:jc w:val="center"/>
              <w:rPr>
                <w:rFonts w:hint="eastAsia" w:ascii="宋体" w:hAnsi="宋体" w:eastAsia="宋体" w:cs="宋体"/>
                <w:sz w:val="24"/>
                <w:highlight w:val="none"/>
              </w:rPr>
            </w:pPr>
          </w:p>
        </w:tc>
      </w:tr>
      <w:tr w14:paraId="79C7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2" w:hRule="atLeast"/>
          <w:jc w:val="center"/>
        </w:trPr>
        <w:tc>
          <w:tcPr>
            <w:tcW w:w="471" w:type="dxa"/>
            <w:vMerge w:val="continue"/>
            <w:noWrap w:val="0"/>
            <w:vAlign w:val="top"/>
          </w:tcPr>
          <w:p w14:paraId="2A3A0074">
            <w:pPr>
              <w:jc w:val="center"/>
              <w:rPr>
                <w:rFonts w:hint="eastAsia" w:ascii="宋体" w:hAnsi="宋体" w:eastAsia="宋体" w:cs="宋体"/>
                <w:b/>
                <w:bCs/>
                <w:sz w:val="24"/>
                <w:highlight w:val="none"/>
              </w:rPr>
            </w:pPr>
          </w:p>
        </w:tc>
        <w:tc>
          <w:tcPr>
            <w:tcW w:w="725" w:type="dxa"/>
            <w:vMerge w:val="continue"/>
            <w:noWrap w:val="0"/>
            <w:vAlign w:val="center"/>
          </w:tcPr>
          <w:p w14:paraId="01A770A7">
            <w:pPr>
              <w:jc w:val="center"/>
              <w:rPr>
                <w:rFonts w:hint="eastAsia" w:ascii="宋体" w:hAnsi="宋体" w:eastAsia="宋体" w:cs="宋体"/>
                <w:b/>
                <w:bCs/>
                <w:sz w:val="24"/>
                <w:highlight w:val="none"/>
              </w:rPr>
            </w:pPr>
          </w:p>
        </w:tc>
        <w:tc>
          <w:tcPr>
            <w:tcW w:w="1725" w:type="dxa"/>
            <w:noWrap w:val="0"/>
            <w:vAlign w:val="center"/>
          </w:tcPr>
          <w:p w14:paraId="145B7A68">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4"/>
                <w:highlight w:val="none"/>
                <w:lang w:val="en-US" w:eastAsia="zh-CN"/>
              </w:rPr>
            </w:pPr>
            <w:r>
              <w:rPr>
                <w:rFonts w:hint="eastAsia" w:cs="宋体"/>
                <w:color w:val="000000"/>
                <w:kern w:val="0"/>
                <w:sz w:val="24"/>
                <w:highlight w:val="none"/>
                <w:lang w:val="en-US" w:eastAsia="zh-CN"/>
              </w:rPr>
              <w:t>落实中小企业政策</w:t>
            </w:r>
          </w:p>
        </w:tc>
        <w:tc>
          <w:tcPr>
            <w:tcW w:w="4953" w:type="dxa"/>
            <w:noWrap w:val="0"/>
            <w:vAlign w:val="center"/>
          </w:tcPr>
          <w:p w14:paraId="118C49A2">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供应商应为</w:t>
            </w:r>
            <w:r>
              <w:rPr>
                <w:rFonts w:hint="eastAsia" w:cs="宋体"/>
                <w:color w:val="000000"/>
                <w:kern w:val="0"/>
                <w:sz w:val="24"/>
                <w:highlight w:val="none"/>
                <w:lang w:val="en-US" w:eastAsia="zh-CN"/>
              </w:rPr>
              <w:t>中</w:t>
            </w:r>
            <w:r>
              <w:rPr>
                <w:rFonts w:hint="eastAsia" w:ascii="宋体" w:hAnsi="宋体" w:eastAsia="宋体" w:cs="宋体"/>
                <w:color w:val="000000"/>
                <w:kern w:val="0"/>
                <w:sz w:val="24"/>
                <w:highlight w:val="none"/>
                <w:lang w:val="en-US" w:eastAsia="zh-CN"/>
              </w:rPr>
              <w:t>小微企业。</w:t>
            </w:r>
          </w:p>
        </w:tc>
        <w:tc>
          <w:tcPr>
            <w:tcW w:w="810" w:type="dxa"/>
            <w:noWrap w:val="0"/>
            <w:vAlign w:val="top"/>
          </w:tcPr>
          <w:p w14:paraId="7215B157">
            <w:pPr>
              <w:jc w:val="center"/>
              <w:rPr>
                <w:rFonts w:hint="eastAsia" w:ascii="宋体" w:hAnsi="宋体" w:eastAsia="宋体" w:cs="宋体"/>
                <w:sz w:val="24"/>
                <w:highlight w:val="none"/>
              </w:rPr>
            </w:pPr>
          </w:p>
        </w:tc>
        <w:tc>
          <w:tcPr>
            <w:tcW w:w="839" w:type="dxa"/>
            <w:noWrap w:val="0"/>
            <w:vAlign w:val="center"/>
          </w:tcPr>
          <w:p w14:paraId="2CDFAC3E">
            <w:pPr>
              <w:jc w:val="center"/>
              <w:rPr>
                <w:rFonts w:hint="eastAsia" w:ascii="宋体" w:hAnsi="宋体" w:eastAsia="宋体" w:cs="宋体"/>
                <w:sz w:val="24"/>
                <w:highlight w:val="none"/>
              </w:rPr>
            </w:pPr>
          </w:p>
        </w:tc>
      </w:tr>
      <w:tr w14:paraId="0A42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vMerge w:val="continue"/>
            <w:noWrap w:val="0"/>
            <w:vAlign w:val="top"/>
          </w:tcPr>
          <w:p w14:paraId="5955A006">
            <w:pPr>
              <w:rPr>
                <w:rFonts w:hint="eastAsia" w:ascii="宋体" w:hAnsi="宋体" w:eastAsia="宋体" w:cs="宋体"/>
                <w:sz w:val="24"/>
                <w:highlight w:val="none"/>
              </w:rPr>
            </w:pPr>
          </w:p>
        </w:tc>
        <w:tc>
          <w:tcPr>
            <w:tcW w:w="725" w:type="dxa"/>
            <w:vMerge w:val="restart"/>
            <w:noWrap w:val="0"/>
            <w:vAlign w:val="center"/>
          </w:tcPr>
          <w:p w14:paraId="765B0DBE">
            <w:pPr>
              <w:jc w:val="center"/>
              <w:rPr>
                <w:rFonts w:hint="eastAsia" w:ascii="宋体" w:hAnsi="宋体" w:eastAsia="宋体" w:cs="宋体"/>
                <w:sz w:val="24"/>
                <w:highlight w:val="none"/>
              </w:rPr>
            </w:pPr>
            <w:r>
              <w:rPr>
                <w:rFonts w:hint="eastAsia" w:ascii="宋体" w:hAnsi="宋体" w:eastAsia="宋体" w:cs="宋体"/>
                <w:sz w:val="24"/>
                <w:highlight w:val="none"/>
              </w:rPr>
              <w:t>符合性检查</w:t>
            </w:r>
          </w:p>
        </w:tc>
        <w:tc>
          <w:tcPr>
            <w:tcW w:w="1725" w:type="dxa"/>
            <w:noWrap w:val="0"/>
            <w:vAlign w:val="center"/>
          </w:tcPr>
          <w:p w14:paraId="428A95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名称</w:t>
            </w:r>
          </w:p>
        </w:tc>
        <w:tc>
          <w:tcPr>
            <w:tcW w:w="4953" w:type="dxa"/>
            <w:noWrap w:val="0"/>
            <w:vAlign w:val="center"/>
          </w:tcPr>
          <w:p w14:paraId="2FE12C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highlight w:val="none"/>
              </w:rPr>
            </w:pPr>
            <w:r>
              <w:rPr>
                <w:rFonts w:hint="eastAsia" w:ascii="宋体" w:hAnsi="宋体" w:eastAsia="宋体" w:cs="宋体"/>
                <w:bCs w:val="0"/>
                <w:sz w:val="24"/>
                <w:szCs w:val="24"/>
                <w:highlight w:val="none"/>
                <w:lang w:val="en-US" w:eastAsia="zh-CN"/>
              </w:rPr>
              <w:t>投标人</w:t>
            </w:r>
            <w:r>
              <w:rPr>
                <w:rFonts w:hint="eastAsia" w:ascii="宋体" w:hAnsi="宋体" w:eastAsia="宋体" w:cs="宋体"/>
                <w:sz w:val="24"/>
                <w:highlight w:val="none"/>
              </w:rPr>
              <w:t>名称是否与营业执照一致</w:t>
            </w:r>
          </w:p>
        </w:tc>
        <w:tc>
          <w:tcPr>
            <w:tcW w:w="810" w:type="dxa"/>
            <w:noWrap w:val="0"/>
            <w:vAlign w:val="top"/>
          </w:tcPr>
          <w:p w14:paraId="6B162D77">
            <w:pPr>
              <w:jc w:val="center"/>
              <w:rPr>
                <w:rFonts w:hint="eastAsia" w:ascii="宋体" w:hAnsi="宋体" w:eastAsia="宋体" w:cs="宋体"/>
                <w:sz w:val="24"/>
                <w:highlight w:val="none"/>
              </w:rPr>
            </w:pPr>
          </w:p>
        </w:tc>
        <w:tc>
          <w:tcPr>
            <w:tcW w:w="839" w:type="dxa"/>
            <w:noWrap w:val="0"/>
            <w:vAlign w:val="center"/>
          </w:tcPr>
          <w:p w14:paraId="1BAE7C95">
            <w:pPr>
              <w:jc w:val="center"/>
              <w:rPr>
                <w:rFonts w:hint="eastAsia" w:ascii="宋体" w:hAnsi="宋体" w:eastAsia="宋体" w:cs="宋体"/>
                <w:sz w:val="24"/>
                <w:highlight w:val="none"/>
              </w:rPr>
            </w:pPr>
          </w:p>
        </w:tc>
      </w:tr>
      <w:tr w14:paraId="13EE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vMerge w:val="continue"/>
            <w:noWrap w:val="0"/>
            <w:vAlign w:val="top"/>
          </w:tcPr>
          <w:p w14:paraId="36E9B598">
            <w:pPr>
              <w:jc w:val="center"/>
              <w:rPr>
                <w:rFonts w:hint="eastAsia" w:ascii="宋体" w:hAnsi="宋体" w:eastAsia="宋体" w:cs="宋体"/>
                <w:sz w:val="24"/>
                <w:highlight w:val="none"/>
              </w:rPr>
            </w:pPr>
          </w:p>
        </w:tc>
        <w:tc>
          <w:tcPr>
            <w:tcW w:w="725" w:type="dxa"/>
            <w:vMerge w:val="continue"/>
            <w:noWrap w:val="0"/>
            <w:vAlign w:val="center"/>
          </w:tcPr>
          <w:p w14:paraId="7552B0E2">
            <w:pPr>
              <w:jc w:val="center"/>
              <w:rPr>
                <w:rFonts w:hint="eastAsia" w:ascii="宋体" w:hAnsi="宋体" w:eastAsia="宋体" w:cs="宋体"/>
                <w:sz w:val="24"/>
                <w:highlight w:val="none"/>
              </w:rPr>
            </w:pPr>
          </w:p>
        </w:tc>
        <w:tc>
          <w:tcPr>
            <w:tcW w:w="1725" w:type="dxa"/>
            <w:noWrap w:val="0"/>
            <w:vAlign w:val="center"/>
          </w:tcPr>
          <w:p w14:paraId="5FB7F21E">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kern w:val="2"/>
                <w:sz w:val="24"/>
                <w:szCs w:val="24"/>
                <w:highlight w:val="none"/>
                <w:lang w:val="en-US" w:eastAsia="zh-CN" w:bidi="ar-SA"/>
              </w:rPr>
            </w:pPr>
            <w:r>
              <w:rPr>
                <w:rFonts w:hint="eastAsia" w:ascii="宋体" w:hAnsi="宋体" w:eastAsia="宋体" w:cs="宋体"/>
                <w:bCs w:val="0"/>
                <w:sz w:val="24"/>
                <w:szCs w:val="24"/>
                <w:highlight w:val="none"/>
              </w:rPr>
              <w:t>资格证明文件</w:t>
            </w:r>
          </w:p>
        </w:tc>
        <w:tc>
          <w:tcPr>
            <w:tcW w:w="4953" w:type="dxa"/>
            <w:noWrap w:val="0"/>
            <w:vAlign w:val="center"/>
          </w:tcPr>
          <w:p w14:paraId="10A43F9A">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kern w:val="2"/>
                <w:sz w:val="24"/>
                <w:szCs w:val="24"/>
                <w:highlight w:val="none"/>
                <w:lang w:val="en-US" w:eastAsia="zh-CN" w:bidi="ar-SA"/>
              </w:rPr>
            </w:pPr>
            <w:r>
              <w:rPr>
                <w:rFonts w:hint="eastAsia" w:ascii="宋体" w:hAnsi="宋体" w:eastAsia="宋体" w:cs="宋体"/>
                <w:bCs w:val="0"/>
                <w:sz w:val="24"/>
                <w:szCs w:val="24"/>
                <w:highlight w:val="none"/>
                <w:lang w:val="en-US" w:eastAsia="zh-CN"/>
              </w:rPr>
              <w:t>投标人</w:t>
            </w:r>
            <w:r>
              <w:rPr>
                <w:rFonts w:hint="eastAsia" w:ascii="宋体" w:hAnsi="宋体" w:eastAsia="宋体" w:cs="宋体"/>
                <w:bCs w:val="0"/>
                <w:sz w:val="24"/>
                <w:szCs w:val="24"/>
                <w:highlight w:val="none"/>
              </w:rPr>
              <w:t>资格证明文件是否满足</w:t>
            </w:r>
            <w:r>
              <w:rPr>
                <w:rFonts w:hint="eastAsia" w:cs="宋体"/>
                <w:bCs w:val="0"/>
                <w:sz w:val="24"/>
                <w:szCs w:val="24"/>
                <w:highlight w:val="none"/>
                <w:lang w:eastAsia="zh-CN"/>
              </w:rPr>
              <w:t>磋商文件</w:t>
            </w:r>
            <w:r>
              <w:rPr>
                <w:rFonts w:hint="eastAsia" w:ascii="宋体" w:hAnsi="宋体" w:eastAsia="宋体" w:cs="宋体"/>
                <w:bCs w:val="0"/>
                <w:sz w:val="24"/>
                <w:szCs w:val="24"/>
                <w:highlight w:val="none"/>
              </w:rPr>
              <w:t>要求</w:t>
            </w:r>
          </w:p>
        </w:tc>
        <w:tc>
          <w:tcPr>
            <w:tcW w:w="810" w:type="dxa"/>
            <w:noWrap w:val="0"/>
            <w:vAlign w:val="top"/>
          </w:tcPr>
          <w:p w14:paraId="18FE2B0F">
            <w:pPr>
              <w:jc w:val="center"/>
              <w:rPr>
                <w:rFonts w:hint="eastAsia" w:ascii="宋体" w:hAnsi="宋体" w:eastAsia="宋体" w:cs="宋体"/>
                <w:sz w:val="24"/>
                <w:highlight w:val="none"/>
              </w:rPr>
            </w:pPr>
          </w:p>
        </w:tc>
        <w:tc>
          <w:tcPr>
            <w:tcW w:w="839" w:type="dxa"/>
            <w:noWrap w:val="0"/>
            <w:vAlign w:val="center"/>
          </w:tcPr>
          <w:p w14:paraId="529935D4">
            <w:pPr>
              <w:jc w:val="center"/>
              <w:rPr>
                <w:rFonts w:hint="eastAsia" w:ascii="宋体" w:hAnsi="宋体" w:eastAsia="宋体" w:cs="宋体"/>
                <w:sz w:val="24"/>
                <w:highlight w:val="none"/>
              </w:rPr>
            </w:pPr>
          </w:p>
        </w:tc>
      </w:tr>
      <w:tr w14:paraId="50CD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vMerge w:val="continue"/>
            <w:noWrap w:val="0"/>
            <w:vAlign w:val="top"/>
          </w:tcPr>
          <w:p w14:paraId="145169F0">
            <w:pPr>
              <w:jc w:val="center"/>
              <w:rPr>
                <w:rFonts w:hint="eastAsia" w:ascii="宋体" w:hAnsi="宋体" w:eastAsia="宋体" w:cs="宋体"/>
                <w:sz w:val="24"/>
                <w:highlight w:val="none"/>
              </w:rPr>
            </w:pPr>
          </w:p>
        </w:tc>
        <w:tc>
          <w:tcPr>
            <w:tcW w:w="725" w:type="dxa"/>
            <w:vMerge w:val="continue"/>
            <w:noWrap w:val="0"/>
            <w:vAlign w:val="center"/>
          </w:tcPr>
          <w:p w14:paraId="4D6A137F">
            <w:pPr>
              <w:jc w:val="center"/>
              <w:rPr>
                <w:rFonts w:hint="eastAsia" w:ascii="宋体" w:hAnsi="宋体" w:eastAsia="宋体" w:cs="宋体"/>
                <w:sz w:val="24"/>
                <w:highlight w:val="none"/>
              </w:rPr>
            </w:pPr>
          </w:p>
        </w:tc>
        <w:tc>
          <w:tcPr>
            <w:tcW w:w="1725" w:type="dxa"/>
            <w:noWrap w:val="0"/>
            <w:vAlign w:val="center"/>
          </w:tcPr>
          <w:p w14:paraId="66CE2E36">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投标文件签署、盖章</w:t>
            </w:r>
          </w:p>
        </w:tc>
        <w:tc>
          <w:tcPr>
            <w:tcW w:w="4953" w:type="dxa"/>
            <w:noWrap w:val="0"/>
            <w:vAlign w:val="center"/>
          </w:tcPr>
          <w:p w14:paraId="24A513C6">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投标文件是否按照</w:t>
            </w:r>
            <w:r>
              <w:rPr>
                <w:rFonts w:hint="eastAsia" w:cs="宋体"/>
                <w:bCs w:val="0"/>
                <w:sz w:val="24"/>
                <w:szCs w:val="24"/>
                <w:highlight w:val="none"/>
                <w:lang w:eastAsia="zh-CN"/>
              </w:rPr>
              <w:t>磋商文件</w:t>
            </w:r>
            <w:r>
              <w:rPr>
                <w:rFonts w:hint="eastAsia" w:ascii="宋体" w:hAnsi="宋体" w:eastAsia="宋体" w:cs="宋体"/>
                <w:bCs w:val="0"/>
                <w:sz w:val="24"/>
                <w:szCs w:val="24"/>
                <w:highlight w:val="none"/>
              </w:rPr>
              <w:t>规定要求签署、盖章</w:t>
            </w:r>
          </w:p>
        </w:tc>
        <w:tc>
          <w:tcPr>
            <w:tcW w:w="810" w:type="dxa"/>
            <w:noWrap w:val="0"/>
            <w:vAlign w:val="top"/>
          </w:tcPr>
          <w:p w14:paraId="495778A3">
            <w:pPr>
              <w:jc w:val="center"/>
              <w:rPr>
                <w:rFonts w:hint="eastAsia" w:ascii="宋体" w:hAnsi="宋体" w:eastAsia="宋体" w:cs="宋体"/>
                <w:sz w:val="24"/>
                <w:highlight w:val="none"/>
              </w:rPr>
            </w:pPr>
          </w:p>
        </w:tc>
        <w:tc>
          <w:tcPr>
            <w:tcW w:w="839" w:type="dxa"/>
            <w:noWrap w:val="0"/>
            <w:vAlign w:val="center"/>
          </w:tcPr>
          <w:p w14:paraId="61AB6D8F">
            <w:pPr>
              <w:jc w:val="center"/>
              <w:rPr>
                <w:rFonts w:hint="eastAsia" w:ascii="宋体" w:hAnsi="宋体" w:eastAsia="宋体" w:cs="宋体"/>
                <w:sz w:val="24"/>
                <w:highlight w:val="none"/>
              </w:rPr>
            </w:pPr>
          </w:p>
        </w:tc>
      </w:tr>
      <w:tr w14:paraId="2935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vMerge w:val="continue"/>
            <w:noWrap w:val="0"/>
            <w:vAlign w:val="top"/>
          </w:tcPr>
          <w:p w14:paraId="3CC247ED">
            <w:pPr>
              <w:jc w:val="center"/>
              <w:rPr>
                <w:rFonts w:hint="eastAsia" w:ascii="宋体" w:hAnsi="宋体" w:eastAsia="宋体" w:cs="宋体"/>
                <w:sz w:val="24"/>
                <w:highlight w:val="none"/>
              </w:rPr>
            </w:pPr>
          </w:p>
        </w:tc>
        <w:tc>
          <w:tcPr>
            <w:tcW w:w="725" w:type="dxa"/>
            <w:vMerge w:val="continue"/>
            <w:noWrap w:val="0"/>
            <w:vAlign w:val="center"/>
          </w:tcPr>
          <w:p w14:paraId="59E0F84E">
            <w:pPr>
              <w:jc w:val="center"/>
              <w:rPr>
                <w:rFonts w:hint="eastAsia" w:ascii="宋体" w:hAnsi="宋体" w:eastAsia="宋体" w:cs="宋体"/>
                <w:sz w:val="24"/>
                <w:highlight w:val="none"/>
              </w:rPr>
            </w:pPr>
          </w:p>
        </w:tc>
        <w:tc>
          <w:tcPr>
            <w:tcW w:w="1725" w:type="dxa"/>
            <w:noWrap w:val="0"/>
            <w:vAlign w:val="center"/>
          </w:tcPr>
          <w:p w14:paraId="024205E8">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投标报价</w:t>
            </w:r>
          </w:p>
        </w:tc>
        <w:tc>
          <w:tcPr>
            <w:tcW w:w="4953" w:type="dxa"/>
            <w:noWrap w:val="0"/>
            <w:vAlign w:val="center"/>
          </w:tcPr>
          <w:p w14:paraId="4D1EA97C">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rPr>
              <w:t>投标报价是否按照</w:t>
            </w:r>
            <w:r>
              <w:rPr>
                <w:rFonts w:hint="eastAsia" w:cs="宋体"/>
                <w:bCs w:val="0"/>
                <w:sz w:val="24"/>
                <w:szCs w:val="24"/>
                <w:highlight w:val="none"/>
                <w:lang w:eastAsia="zh-CN"/>
              </w:rPr>
              <w:t>磋商文件</w:t>
            </w:r>
            <w:r>
              <w:rPr>
                <w:rFonts w:hint="eastAsia" w:ascii="宋体" w:hAnsi="宋体" w:eastAsia="宋体" w:cs="宋体"/>
                <w:bCs w:val="0"/>
                <w:sz w:val="24"/>
                <w:szCs w:val="24"/>
                <w:highlight w:val="none"/>
              </w:rPr>
              <w:t>格式填写，投标报价是否唯一</w:t>
            </w:r>
          </w:p>
        </w:tc>
        <w:tc>
          <w:tcPr>
            <w:tcW w:w="810" w:type="dxa"/>
            <w:noWrap w:val="0"/>
            <w:vAlign w:val="top"/>
          </w:tcPr>
          <w:p w14:paraId="6DCE7CC5">
            <w:pPr>
              <w:jc w:val="center"/>
              <w:rPr>
                <w:rFonts w:hint="eastAsia" w:ascii="宋体" w:hAnsi="宋体" w:eastAsia="宋体" w:cs="宋体"/>
                <w:sz w:val="24"/>
                <w:highlight w:val="none"/>
              </w:rPr>
            </w:pPr>
          </w:p>
        </w:tc>
        <w:tc>
          <w:tcPr>
            <w:tcW w:w="839" w:type="dxa"/>
            <w:noWrap w:val="0"/>
            <w:vAlign w:val="center"/>
          </w:tcPr>
          <w:p w14:paraId="4A9EF8FC">
            <w:pPr>
              <w:jc w:val="center"/>
              <w:rPr>
                <w:rFonts w:hint="eastAsia" w:ascii="宋体" w:hAnsi="宋体" w:eastAsia="宋体" w:cs="宋体"/>
                <w:sz w:val="24"/>
                <w:highlight w:val="none"/>
              </w:rPr>
            </w:pPr>
          </w:p>
        </w:tc>
      </w:tr>
      <w:tr w14:paraId="2081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vMerge w:val="continue"/>
            <w:noWrap w:val="0"/>
            <w:vAlign w:val="top"/>
          </w:tcPr>
          <w:p w14:paraId="5339440A">
            <w:pPr>
              <w:jc w:val="center"/>
              <w:rPr>
                <w:rFonts w:hint="eastAsia" w:ascii="宋体" w:hAnsi="宋体" w:eastAsia="宋体" w:cs="宋体"/>
                <w:sz w:val="24"/>
                <w:highlight w:val="none"/>
              </w:rPr>
            </w:pPr>
          </w:p>
        </w:tc>
        <w:tc>
          <w:tcPr>
            <w:tcW w:w="725" w:type="dxa"/>
            <w:vMerge w:val="continue"/>
            <w:noWrap w:val="0"/>
            <w:vAlign w:val="center"/>
          </w:tcPr>
          <w:p w14:paraId="73AD6611">
            <w:pPr>
              <w:jc w:val="center"/>
              <w:rPr>
                <w:rFonts w:hint="eastAsia" w:ascii="宋体" w:hAnsi="宋体" w:eastAsia="宋体" w:cs="宋体"/>
                <w:sz w:val="24"/>
                <w:highlight w:val="none"/>
              </w:rPr>
            </w:pPr>
          </w:p>
        </w:tc>
        <w:tc>
          <w:tcPr>
            <w:tcW w:w="1725" w:type="dxa"/>
            <w:noWrap w:val="0"/>
            <w:vAlign w:val="center"/>
          </w:tcPr>
          <w:p w14:paraId="7B2C409F">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lang w:eastAsia="zh-CN"/>
              </w:rPr>
              <w:t>服务期限</w:t>
            </w:r>
          </w:p>
        </w:tc>
        <w:tc>
          <w:tcPr>
            <w:tcW w:w="4953" w:type="dxa"/>
            <w:noWrap w:val="0"/>
            <w:vAlign w:val="center"/>
          </w:tcPr>
          <w:p w14:paraId="03DEBB18">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投标人</w:t>
            </w:r>
            <w:r>
              <w:rPr>
                <w:rFonts w:hint="eastAsia" w:ascii="宋体" w:hAnsi="宋体" w:eastAsia="宋体" w:cs="宋体"/>
                <w:bCs w:val="0"/>
                <w:sz w:val="24"/>
                <w:szCs w:val="24"/>
                <w:highlight w:val="none"/>
                <w:lang w:eastAsia="zh-CN"/>
              </w:rPr>
              <w:t>服务期限</w:t>
            </w:r>
            <w:r>
              <w:rPr>
                <w:rFonts w:hint="eastAsia" w:ascii="宋体" w:hAnsi="宋体" w:eastAsia="宋体" w:cs="宋体"/>
                <w:bCs w:val="0"/>
                <w:sz w:val="24"/>
                <w:szCs w:val="24"/>
                <w:highlight w:val="none"/>
              </w:rPr>
              <w:t>是否响应</w:t>
            </w:r>
            <w:r>
              <w:rPr>
                <w:rFonts w:hint="eastAsia" w:cs="宋体"/>
                <w:bCs w:val="0"/>
                <w:sz w:val="24"/>
                <w:szCs w:val="24"/>
                <w:highlight w:val="none"/>
                <w:lang w:eastAsia="zh-CN"/>
              </w:rPr>
              <w:t>磋商文件</w:t>
            </w:r>
            <w:r>
              <w:rPr>
                <w:rFonts w:hint="eastAsia" w:ascii="宋体" w:hAnsi="宋体" w:eastAsia="宋体" w:cs="宋体"/>
                <w:bCs w:val="0"/>
                <w:sz w:val="24"/>
                <w:szCs w:val="24"/>
                <w:highlight w:val="none"/>
              </w:rPr>
              <w:t>规定期限</w:t>
            </w:r>
          </w:p>
        </w:tc>
        <w:tc>
          <w:tcPr>
            <w:tcW w:w="810" w:type="dxa"/>
            <w:noWrap w:val="0"/>
            <w:vAlign w:val="top"/>
          </w:tcPr>
          <w:p w14:paraId="1523D2A5">
            <w:pPr>
              <w:jc w:val="center"/>
              <w:rPr>
                <w:rFonts w:hint="eastAsia" w:ascii="宋体" w:hAnsi="宋体" w:eastAsia="宋体" w:cs="宋体"/>
                <w:sz w:val="24"/>
                <w:highlight w:val="none"/>
              </w:rPr>
            </w:pPr>
          </w:p>
        </w:tc>
        <w:tc>
          <w:tcPr>
            <w:tcW w:w="839" w:type="dxa"/>
            <w:noWrap w:val="0"/>
            <w:vAlign w:val="center"/>
          </w:tcPr>
          <w:p w14:paraId="499D4D96">
            <w:pPr>
              <w:jc w:val="center"/>
              <w:rPr>
                <w:rFonts w:hint="eastAsia" w:ascii="宋体" w:hAnsi="宋体" w:eastAsia="宋体" w:cs="宋体"/>
                <w:sz w:val="24"/>
                <w:highlight w:val="none"/>
              </w:rPr>
            </w:pPr>
          </w:p>
        </w:tc>
      </w:tr>
      <w:tr w14:paraId="3BAC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vMerge w:val="continue"/>
            <w:noWrap w:val="0"/>
            <w:vAlign w:val="top"/>
          </w:tcPr>
          <w:p w14:paraId="0F00EB8F">
            <w:pPr>
              <w:jc w:val="center"/>
              <w:rPr>
                <w:rFonts w:hint="eastAsia" w:ascii="宋体" w:hAnsi="宋体" w:eastAsia="宋体" w:cs="宋体"/>
                <w:sz w:val="24"/>
                <w:highlight w:val="none"/>
              </w:rPr>
            </w:pPr>
          </w:p>
        </w:tc>
        <w:tc>
          <w:tcPr>
            <w:tcW w:w="725" w:type="dxa"/>
            <w:vMerge w:val="continue"/>
            <w:noWrap w:val="0"/>
            <w:vAlign w:val="center"/>
          </w:tcPr>
          <w:p w14:paraId="029B27DC">
            <w:pPr>
              <w:jc w:val="center"/>
              <w:rPr>
                <w:rFonts w:hint="eastAsia" w:ascii="宋体" w:hAnsi="宋体" w:eastAsia="宋体" w:cs="宋体"/>
                <w:sz w:val="24"/>
                <w:highlight w:val="none"/>
              </w:rPr>
            </w:pPr>
          </w:p>
        </w:tc>
        <w:tc>
          <w:tcPr>
            <w:tcW w:w="1725" w:type="dxa"/>
            <w:noWrap w:val="0"/>
            <w:vAlign w:val="center"/>
          </w:tcPr>
          <w:p w14:paraId="512AD42C">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投标有效期</w:t>
            </w:r>
          </w:p>
        </w:tc>
        <w:tc>
          <w:tcPr>
            <w:tcW w:w="4953" w:type="dxa"/>
            <w:noWrap w:val="0"/>
            <w:vAlign w:val="center"/>
          </w:tcPr>
          <w:p w14:paraId="69B9AE98">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rPr>
              <w:t>投标有效期是否</w:t>
            </w:r>
            <w:r>
              <w:rPr>
                <w:rFonts w:hint="eastAsia" w:cs="宋体"/>
                <w:bCs w:val="0"/>
                <w:sz w:val="24"/>
                <w:szCs w:val="24"/>
                <w:highlight w:val="none"/>
                <w:lang w:val="en-US" w:eastAsia="zh-CN"/>
              </w:rPr>
              <w:t>满足60天</w:t>
            </w:r>
          </w:p>
        </w:tc>
        <w:tc>
          <w:tcPr>
            <w:tcW w:w="810" w:type="dxa"/>
            <w:noWrap w:val="0"/>
            <w:vAlign w:val="top"/>
          </w:tcPr>
          <w:p w14:paraId="32EF9900">
            <w:pPr>
              <w:jc w:val="center"/>
              <w:rPr>
                <w:rFonts w:hint="eastAsia" w:ascii="宋体" w:hAnsi="宋体" w:eastAsia="宋体" w:cs="宋体"/>
                <w:sz w:val="24"/>
                <w:highlight w:val="none"/>
              </w:rPr>
            </w:pPr>
          </w:p>
        </w:tc>
        <w:tc>
          <w:tcPr>
            <w:tcW w:w="839" w:type="dxa"/>
            <w:noWrap w:val="0"/>
            <w:vAlign w:val="center"/>
          </w:tcPr>
          <w:p w14:paraId="7F101F2E">
            <w:pPr>
              <w:jc w:val="center"/>
              <w:rPr>
                <w:rFonts w:hint="eastAsia" w:ascii="宋体" w:hAnsi="宋体" w:eastAsia="宋体" w:cs="宋体"/>
                <w:sz w:val="24"/>
                <w:highlight w:val="none"/>
              </w:rPr>
            </w:pPr>
          </w:p>
        </w:tc>
      </w:tr>
      <w:tr w14:paraId="5431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vMerge w:val="continue"/>
            <w:noWrap w:val="0"/>
            <w:vAlign w:val="top"/>
          </w:tcPr>
          <w:p w14:paraId="545A7459">
            <w:pPr>
              <w:jc w:val="center"/>
              <w:rPr>
                <w:rFonts w:hint="eastAsia" w:ascii="宋体" w:hAnsi="宋体" w:eastAsia="宋体" w:cs="宋体"/>
                <w:sz w:val="24"/>
                <w:highlight w:val="none"/>
              </w:rPr>
            </w:pPr>
          </w:p>
        </w:tc>
        <w:tc>
          <w:tcPr>
            <w:tcW w:w="725" w:type="dxa"/>
            <w:vMerge w:val="continue"/>
            <w:noWrap w:val="0"/>
            <w:vAlign w:val="center"/>
          </w:tcPr>
          <w:p w14:paraId="65FCBC3B">
            <w:pPr>
              <w:jc w:val="center"/>
              <w:rPr>
                <w:rFonts w:hint="eastAsia" w:ascii="宋体" w:hAnsi="宋体" w:eastAsia="宋体" w:cs="宋体"/>
                <w:sz w:val="24"/>
                <w:highlight w:val="none"/>
              </w:rPr>
            </w:pPr>
          </w:p>
        </w:tc>
        <w:tc>
          <w:tcPr>
            <w:tcW w:w="1725" w:type="dxa"/>
            <w:noWrap w:val="0"/>
            <w:vAlign w:val="center"/>
          </w:tcPr>
          <w:p w14:paraId="05C44F21">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投标文件完整性</w:t>
            </w:r>
          </w:p>
        </w:tc>
        <w:tc>
          <w:tcPr>
            <w:tcW w:w="4953" w:type="dxa"/>
            <w:noWrap w:val="0"/>
            <w:vAlign w:val="center"/>
          </w:tcPr>
          <w:p w14:paraId="2EE7A49F">
            <w:pPr>
              <w:pStyle w:val="3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eastAsia="zh-CN"/>
              </w:rPr>
              <w:t>投标人</w:t>
            </w:r>
            <w:r>
              <w:rPr>
                <w:rFonts w:hint="eastAsia" w:ascii="宋体" w:hAnsi="宋体" w:eastAsia="宋体" w:cs="宋体"/>
                <w:bCs w:val="0"/>
                <w:sz w:val="24"/>
                <w:szCs w:val="24"/>
                <w:highlight w:val="none"/>
              </w:rPr>
              <w:t>投标文件的响应性、完整性是否符合</w:t>
            </w:r>
            <w:r>
              <w:rPr>
                <w:rFonts w:hint="eastAsia" w:cs="宋体"/>
                <w:bCs w:val="0"/>
                <w:sz w:val="24"/>
                <w:szCs w:val="24"/>
                <w:highlight w:val="none"/>
                <w:lang w:eastAsia="zh-CN"/>
              </w:rPr>
              <w:t>磋商文件</w:t>
            </w:r>
            <w:r>
              <w:rPr>
                <w:rFonts w:hint="eastAsia" w:ascii="宋体" w:hAnsi="宋体" w:eastAsia="宋体" w:cs="宋体"/>
                <w:bCs w:val="0"/>
                <w:sz w:val="24"/>
                <w:szCs w:val="24"/>
                <w:highlight w:val="none"/>
              </w:rPr>
              <w:t>要求</w:t>
            </w:r>
          </w:p>
        </w:tc>
        <w:tc>
          <w:tcPr>
            <w:tcW w:w="810" w:type="dxa"/>
            <w:noWrap w:val="0"/>
            <w:vAlign w:val="top"/>
          </w:tcPr>
          <w:p w14:paraId="556441A7">
            <w:pPr>
              <w:jc w:val="center"/>
              <w:rPr>
                <w:rFonts w:hint="eastAsia" w:ascii="宋体" w:hAnsi="宋体" w:eastAsia="宋体" w:cs="宋体"/>
                <w:sz w:val="24"/>
                <w:highlight w:val="none"/>
              </w:rPr>
            </w:pPr>
          </w:p>
        </w:tc>
        <w:tc>
          <w:tcPr>
            <w:tcW w:w="839" w:type="dxa"/>
            <w:noWrap w:val="0"/>
            <w:vAlign w:val="center"/>
          </w:tcPr>
          <w:p w14:paraId="065897CA">
            <w:pPr>
              <w:jc w:val="center"/>
              <w:rPr>
                <w:rFonts w:hint="eastAsia" w:ascii="宋体" w:hAnsi="宋体" w:eastAsia="宋体" w:cs="宋体"/>
                <w:sz w:val="24"/>
                <w:highlight w:val="none"/>
              </w:rPr>
            </w:pPr>
          </w:p>
        </w:tc>
      </w:tr>
      <w:tr w14:paraId="1539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vMerge w:val="continue"/>
            <w:noWrap w:val="0"/>
            <w:vAlign w:val="top"/>
          </w:tcPr>
          <w:p w14:paraId="17B1CC6F">
            <w:pPr>
              <w:jc w:val="center"/>
              <w:rPr>
                <w:rFonts w:hint="eastAsia" w:ascii="宋体" w:hAnsi="宋体" w:eastAsia="宋体" w:cs="宋体"/>
                <w:sz w:val="24"/>
                <w:highlight w:val="none"/>
              </w:rPr>
            </w:pPr>
          </w:p>
        </w:tc>
        <w:tc>
          <w:tcPr>
            <w:tcW w:w="725" w:type="dxa"/>
            <w:vMerge w:val="continue"/>
            <w:noWrap w:val="0"/>
            <w:vAlign w:val="center"/>
          </w:tcPr>
          <w:p w14:paraId="3A1583EE">
            <w:pPr>
              <w:jc w:val="center"/>
              <w:rPr>
                <w:rFonts w:hint="eastAsia" w:ascii="宋体" w:hAnsi="宋体" w:eastAsia="宋体" w:cs="宋体"/>
                <w:sz w:val="24"/>
                <w:highlight w:val="none"/>
              </w:rPr>
            </w:pPr>
          </w:p>
        </w:tc>
        <w:tc>
          <w:tcPr>
            <w:tcW w:w="1725" w:type="dxa"/>
            <w:noWrap w:val="0"/>
            <w:vAlign w:val="center"/>
          </w:tcPr>
          <w:p w14:paraId="5B6E0FDA">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val="0"/>
                <w:sz w:val="24"/>
                <w:szCs w:val="24"/>
                <w:highlight w:val="none"/>
              </w:rPr>
            </w:pPr>
            <w:r>
              <w:rPr>
                <w:rFonts w:hint="eastAsia" w:cs="宋体"/>
                <w:bCs w:val="0"/>
                <w:sz w:val="24"/>
                <w:szCs w:val="24"/>
                <w:highlight w:val="none"/>
                <w:lang w:eastAsia="zh-CN"/>
              </w:rPr>
              <w:t>磋商保证金</w:t>
            </w:r>
            <w:r>
              <w:rPr>
                <w:rFonts w:hint="eastAsia" w:ascii="宋体" w:hAnsi="宋体" w:eastAsia="宋体" w:cs="宋体"/>
                <w:bCs w:val="0"/>
                <w:sz w:val="24"/>
                <w:szCs w:val="24"/>
                <w:highlight w:val="none"/>
                <w:lang w:val="en-US" w:eastAsia="zh-CN"/>
              </w:rPr>
              <w:t>缴纳</w:t>
            </w:r>
            <w:r>
              <w:rPr>
                <w:rFonts w:hint="eastAsia" w:ascii="宋体" w:hAnsi="宋体" w:eastAsia="宋体" w:cs="宋体"/>
                <w:bCs w:val="0"/>
                <w:sz w:val="24"/>
                <w:szCs w:val="24"/>
                <w:highlight w:val="none"/>
              </w:rPr>
              <w:t>情况</w:t>
            </w:r>
          </w:p>
        </w:tc>
        <w:tc>
          <w:tcPr>
            <w:tcW w:w="4953" w:type="dxa"/>
            <w:noWrap w:val="0"/>
            <w:vAlign w:val="center"/>
          </w:tcPr>
          <w:p w14:paraId="54A98838">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rPr>
              <w:t>投标人</w:t>
            </w:r>
            <w:r>
              <w:rPr>
                <w:rFonts w:hint="eastAsia" w:ascii="宋体" w:hAnsi="宋体" w:eastAsia="宋体" w:cs="宋体"/>
                <w:bCs w:val="0"/>
                <w:sz w:val="24"/>
                <w:szCs w:val="24"/>
                <w:highlight w:val="none"/>
                <w:lang w:val="en-US" w:eastAsia="zh-CN"/>
              </w:rPr>
              <w:t>是否缴纳</w:t>
            </w:r>
            <w:r>
              <w:rPr>
                <w:rFonts w:hint="eastAsia" w:cs="宋体"/>
                <w:bCs w:val="0"/>
                <w:sz w:val="24"/>
                <w:szCs w:val="24"/>
                <w:highlight w:val="none"/>
                <w:lang w:val="en-US" w:eastAsia="zh-CN"/>
              </w:rPr>
              <w:t>足额</w:t>
            </w:r>
            <w:r>
              <w:rPr>
                <w:rFonts w:hint="eastAsia" w:cs="宋体"/>
                <w:bCs w:val="0"/>
                <w:sz w:val="24"/>
                <w:szCs w:val="24"/>
                <w:highlight w:val="none"/>
                <w:lang w:eastAsia="zh-CN"/>
              </w:rPr>
              <w:t>磋商保证金</w:t>
            </w:r>
            <w:r>
              <w:rPr>
                <w:rFonts w:hint="eastAsia" w:ascii="宋体" w:hAnsi="宋体" w:eastAsia="宋体" w:cs="宋体"/>
                <w:bCs w:val="0"/>
                <w:sz w:val="24"/>
                <w:szCs w:val="24"/>
                <w:highlight w:val="none"/>
              </w:rPr>
              <w:t>；</w:t>
            </w:r>
          </w:p>
        </w:tc>
        <w:tc>
          <w:tcPr>
            <w:tcW w:w="810" w:type="dxa"/>
            <w:noWrap w:val="0"/>
            <w:vAlign w:val="top"/>
          </w:tcPr>
          <w:p w14:paraId="160B7546">
            <w:pPr>
              <w:jc w:val="center"/>
              <w:rPr>
                <w:rFonts w:hint="eastAsia" w:ascii="宋体" w:hAnsi="宋体" w:eastAsia="宋体" w:cs="宋体"/>
                <w:sz w:val="24"/>
                <w:highlight w:val="none"/>
              </w:rPr>
            </w:pPr>
          </w:p>
        </w:tc>
        <w:tc>
          <w:tcPr>
            <w:tcW w:w="839" w:type="dxa"/>
            <w:noWrap w:val="0"/>
            <w:vAlign w:val="center"/>
          </w:tcPr>
          <w:p w14:paraId="0814727F">
            <w:pPr>
              <w:jc w:val="center"/>
              <w:rPr>
                <w:rFonts w:hint="eastAsia" w:ascii="宋体" w:hAnsi="宋体" w:eastAsia="宋体" w:cs="宋体"/>
                <w:sz w:val="24"/>
                <w:highlight w:val="none"/>
              </w:rPr>
            </w:pPr>
          </w:p>
        </w:tc>
      </w:tr>
      <w:tr w14:paraId="3339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1" w:hRule="atLeast"/>
          <w:jc w:val="center"/>
        </w:trPr>
        <w:tc>
          <w:tcPr>
            <w:tcW w:w="471" w:type="dxa"/>
            <w:noWrap w:val="0"/>
            <w:vAlign w:val="top"/>
          </w:tcPr>
          <w:p w14:paraId="6A1CB675">
            <w:pPr>
              <w:jc w:val="center"/>
              <w:rPr>
                <w:rFonts w:hint="eastAsia" w:ascii="宋体" w:hAnsi="宋体" w:eastAsia="宋体" w:cs="宋体"/>
                <w:sz w:val="24"/>
                <w:highlight w:val="none"/>
              </w:rPr>
            </w:pPr>
          </w:p>
        </w:tc>
        <w:tc>
          <w:tcPr>
            <w:tcW w:w="725" w:type="dxa"/>
            <w:vMerge w:val="continue"/>
            <w:noWrap w:val="0"/>
            <w:vAlign w:val="center"/>
          </w:tcPr>
          <w:p w14:paraId="4C355CBF">
            <w:pPr>
              <w:jc w:val="center"/>
              <w:rPr>
                <w:rFonts w:hint="eastAsia" w:ascii="宋体" w:hAnsi="宋体" w:eastAsia="宋体" w:cs="宋体"/>
                <w:sz w:val="24"/>
                <w:highlight w:val="none"/>
              </w:rPr>
            </w:pPr>
          </w:p>
        </w:tc>
        <w:tc>
          <w:tcPr>
            <w:tcW w:w="1725" w:type="dxa"/>
            <w:noWrap w:val="0"/>
            <w:vAlign w:val="center"/>
          </w:tcPr>
          <w:p w14:paraId="49818686">
            <w:pPr>
              <w:pStyle w:val="3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bCs w:val="0"/>
                <w:sz w:val="24"/>
                <w:szCs w:val="24"/>
                <w:highlight w:val="none"/>
                <w:lang w:eastAsia="zh-CN"/>
              </w:rPr>
            </w:pPr>
            <w:r>
              <w:rPr>
                <w:rFonts w:hint="eastAsia" w:ascii="宋体" w:hAnsi="宋体" w:cs="宋体"/>
                <w:color w:val="000000"/>
                <w:kern w:val="0"/>
                <w:sz w:val="24"/>
                <w:szCs w:val="24"/>
                <w:highlight w:val="none"/>
                <w:lang w:bidi="ar"/>
              </w:rPr>
              <w:t>实质性要求</w:t>
            </w:r>
          </w:p>
        </w:tc>
        <w:tc>
          <w:tcPr>
            <w:tcW w:w="4953" w:type="dxa"/>
            <w:noWrap w:val="0"/>
            <w:vAlign w:val="center"/>
          </w:tcPr>
          <w:p w14:paraId="5013F4DB">
            <w:pPr>
              <w:pStyle w:val="30"/>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val="0"/>
                <w:sz w:val="24"/>
                <w:szCs w:val="24"/>
                <w:highlight w:val="none"/>
              </w:rPr>
            </w:pPr>
            <w:r>
              <w:rPr>
                <w:rFonts w:hint="eastAsia" w:ascii="宋体" w:hAnsi="宋体" w:cs="宋体"/>
                <w:color w:val="000000"/>
                <w:kern w:val="0"/>
                <w:sz w:val="24"/>
                <w:szCs w:val="24"/>
                <w:highlight w:val="none"/>
                <w:lang w:eastAsia="zh-CN" w:bidi="ar"/>
              </w:rPr>
              <w:t>是否</w:t>
            </w:r>
            <w:r>
              <w:rPr>
                <w:rFonts w:hint="eastAsia" w:ascii="宋体" w:hAnsi="宋体" w:cs="宋体"/>
                <w:color w:val="000000"/>
                <w:kern w:val="0"/>
                <w:sz w:val="24"/>
                <w:szCs w:val="24"/>
                <w:highlight w:val="none"/>
                <w:lang w:bidi="ar"/>
              </w:rPr>
              <w:t>满足磋商文件实质性要求的其他情形</w:t>
            </w:r>
          </w:p>
        </w:tc>
        <w:tc>
          <w:tcPr>
            <w:tcW w:w="810" w:type="dxa"/>
            <w:noWrap w:val="0"/>
            <w:vAlign w:val="top"/>
          </w:tcPr>
          <w:p w14:paraId="721D562F">
            <w:pPr>
              <w:jc w:val="center"/>
              <w:rPr>
                <w:rFonts w:hint="eastAsia" w:ascii="宋体" w:hAnsi="宋体" w:eastAsia="宋体" w:cs="宋体"/>
                <w:sz w:val="24"/>
                <w:highlight w:val="none"/>
              </w:rPr>
            </w:pPr>
          </w:p>
        </w:tc>
        <w:tc>
          <w:tcPr>
            <w:tcW w:w="839" w:type="dxa"/>
            <w:noWrap w:val="0"/>
            <w:vAlign w:val="center"/>
          </w:tcPr>
          <w:p w14:paraId="783F0E57">
            <w:pPr>
              <w:jc w:val="center"/>
              <w:rPr>
                <w:rFonts w:hint="eastAsia" w:ascii="宋体" w:hAnsi="宋体" w:eastAsia="宋体" w:cs="宋体"/>
                <w:sz w:val="24"/>
                <w:highlight w:val="none"/>
              </w:rPr>
            </w:pPr>
          </w:p>
        </w:tc>
      </w:tr>
      <w:tr w14:paraId="108C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61" w:hRule="atLeast"/>
          <w:jc w:val="center"/>
        </w:trPr>
        <w:tc>
          <w:tcPr>
            <w:tcW w:w="9523" w:type="dxa"/>
            <w:gridSpan w:val="6"/>
            <w:noWrap w:val="0"/>
            <w:vAlign w:val="center"/>
          </w:tcPr>
          <w:p w14:paraId="170D224A">
            <w:pPr>
              <w:jc w:val="left"/>
              <w:rPr>
                <w:rFonts w:hint="eastAsia" w:ascii="宋体" w:hAnsi="宋体" w:eastAsia="宋体" w:cs="宋体"/>
                <w:sz w:val="24"/>
                <w:highlight w:val="none"/>
              </w:rPr>
            </w:pPr>
            <w:r>
              <w:rPr>
                <w:rFonts w:hint="eastAsia" w:ascii="宋体" w:hAnsi="宋体" w:eastAsia="宋体" w:cs="宋体"/>
                <w:b/>
                <w:sz w:val="24"/>
                <w:highlight w:val="none"/>
              </w:rPr>
              <w:t>注：以上检查内容必须全部符合检查标准，否则为无效标。</w:t>
            </w:r>
          </w:p>
        </w:tc>
      </w:tr>
    </w:tbl>
    <w:p w14:paraId="32DCF258">
      <w:pPr>
        <w:spacing w:line="520" w:lineRule="exact"/>
        <w:jc w:val="both"/>
        <w:rPr>
          <w:rFonts w:hint="eastAsia" w:ascii="宋体" w:hAnsi="宋体" w:eastAsia="宋体" w:cs="宋体"/>
          <w:b/>
          <w:bCs/>
          <w:sz w:val="24"/>
          <w:highlight w:val="none"/>
        </w:rPr>
      </w:pPr>
    </w:p>
    <w:p w14:paraId="647992C4">
      <w:pPr>
        <w:spacing w:line="520" w:lineRule="exact"/>
        <w:jc w:val="center"/>
        <w:rPr>
          <w:rFonts w:hint="eastAsia" w:ascii="宋体" w:hAnsi="宋体" w:eastAsia="宋体" w:cs="宋体"/>
          <w:b/>
          <w:bCs/>
          <w:sz w:val="24"/>
          <w:highlight w:val="none"/>
        </w:rPr>
      </w:pPr>
      <w:r>
        <w:rPr>
          <w:rFonts w:hint="eastAsia" w:ascii="宋体" w:hAnsi="宋体" w:eastAsia="宋体" w:cs="宋体"/>
          <w:b/>
          <w:bCs/>
          <w:sz w:val="24"/>
          <w:highlight w:val="none"/>
        </w:rPr>
        <w:t>投标文件的详细评审</w:t>
      </w:r>
    </w:p>
    <w:p w14:paraId="754365FE">
      <w:pPr>
        <w:spacing w:line="520" w:lineRule="exact"/>
        <w:ind w:firstLine="470" w:firstLineChars="196"/>
        <w:rPr>
          <w:rFonts w:hint="eastAsia" w:ascii="宋体" w:hAnsi="宋体" w:eastAsia="宋体" w:cs="宋体"/>
          <w:sz w:val="24"/>
          <w:highlight w:val="none"/>
        </w:rPr>
      </w:pPr>
      <w:r>
        <w:rPr>
          <w:rFonts w:hint="eastAsia" w:ascii="宋体" w:hAnsi="宋体" w:eastAsia="宋体" w:cs="宋体"/>
          <w:sz w:val="24"/>
          <w:highlight w:val="none"/>
        </w:rPr>
        <w:t>评标采用综合评分法。对有效的投标文件进行综合评审，综合得分最高的为中标候选人。其中商务部分</w:t>
      </w:r>
      <w:r>
        <w:rPr>
          <w:rFonts w:hint="eastAsia" w:ascii="宋体" w:hAnsi="宋体" w:cs="宋体"/>
          <w:sz w:val="24"/>
          <w:highlight w:val="none"/>
          <w:lang w:val="en-US" w:eastAsia="zh-CN"/>
        </w:rPr>
        <w:t>23</w:t>
      </w:r>
      <w:r>
        <w:rPr>
          <w:rFonts w:hint="eastAsia" w:ascii="宋体" w:hAnsi="宋体" w:eastAsia="宋体" w:cs="宋体"/>
          <w:sz w:val="24"/>
          <w:highlight w:val="none"/>
        </w:rPr>
        <w:t>分，技术部分</w:t>
      </w:r>
      <w:r>
        <w:rPr>
          <w:rFonts w:hint="eastAsia" w:ascii="宋体" w:hAnsi="宋体" w:cs="宋体"/>
          <w:sz w:val="24"/>
          <w:highlight w:val="none"/>
          <w:lang w:val="en-US" w:eastAsia="zh-CN"/>
        </w:rPr>
        <w:t>62</w:t>
      </w:r>
      <w:r>
        <w:rPr>
          <w:rFonts w:hint="eastAsia" w:ascii="宋体" w:hAnsi="宋体" w:eastAsia="宋体" w:cs="宋体"/>
          <w:sz w:val="24"/>
          <w:highlight w:val="none"/>
        </w:rPr>
        <w:t>分，价格部分</w:t>
      </w:r>
      <w:r>
        <w:rPr>
          <w:rFonts w:hint="eastAsia" w:ascii="宋体" w:hAnsi="宋体" w:cs="宋体"/>
          <w:sz w:val="24"/>
          <w:highlight w:val="none"/>
          <w:lang w:val="en-US" w:eastAsia="zh-CN"/>
        </w:rPr>
        <w:t>15</w:t>
      </w:r>
      <w:r>
        <w:rPr>
          <w:rFonts w:hint="eastAsia" w:ascii="宋体" w:hAnsi="宋体" w:eastAsia="宋体" w:cs="宋体"/>
          <w:sz w:val="24"/>
          <w:highlight w:val="none"/>
        </w:rPr>
        <w:t>分，总分100分。</w:t>
      </w:r>
    </w:p>
    <w:p w14:paraId="366BA5B6">
      <w:pPr>
        <w:pStyle w:val="7"/>
        <w:rPr>
          <w:rFonts w:hint="eastAsia" w:ascii="宋体" w:hAnsi="宋体" w:eastAsia="宋体" w:cs="宋体"/>
          <w:highlight w:val="none"/>
        </w:rPr>
      </w:pPr>
    </w:p>
    <w:tbl>
      <w:tblPr>
        <w:tblStyle w:val="21"/>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687"/>
        <w:gridCol w:w="6581"/>
      </w:tblGrid>
      <w:tr w14:paraId="2058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944" w:type="dxa"/>
            <w:gridSpan w:val="2"/>
            <w:noWrap w:val="0"/>
            <w:vAlign w:val="center"/>
          </w:tcPr>
          <w:p w14:paraId="7AE1813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条款内容</w:t>
            </w:r>
          </w:p>
        </w:tc>
        <w:tc>
          <w:tcPr>
            <w:tcW w:w="6581" w:type="dxa"/>
            <w:noWrap w:val="0"/>
            <w:vAlign w:val="center"/>
          </w:tcPr>
          <w:p w14:paraId="3D8FA16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编列内容</w:t>
            </w:r>
          </w:p>
        </w:tc>
      </w:tr>
      <w:tr w14:paraId="5A25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944" w:type="dxa"/>
            <w:gridSpan w:val="2"/>
            <w:noWrap w:val="0"/>
            <w:vAlign w:val="center"/>
          </w:tcPr>
          <w:p w14:paraId="31FE7F67">
            <w:pPr>
              <w:jc w:val="center"/>
              <w:rPr>
                <w:rFonts w:hint="eastAsia" w:ascii="宋体" w:hAnsi="宋体" w:eastAsia="宋体" w:cs="宋体"/>
                <w:sz w:val="24"/>
                <w:highlight w:val="none"/>
              </w:rPr>
            </w:pPr>
            <w:r>
              <w:rPr>
                <w:rFonts w:hint="eastAsia" w:ascii="宋体" w:hAnsi="宋体" w:eastAsia="宋体" w:cs="宋体"/>
                <w:sz w:val="24"/>
                <w:highlight w:val="none"/>
              </w:rPr>
              <w:t>分值构成</w:t>
            </w:r>
          </w:p>
          <w:p w14:paraId="5AC7C39F">
            <w:pPr>
              <w:jc w:val="center"/>
              <w:rPr>
                <w:rFonts w:hint="eastAsia" w:ascii="宋体" w:hAnsi="宋体" w:eastAsia="宋体" w:cs="宋体"/>
                <w:sz w:val="24"/>
                <w:highlight w:val="none"/>
              </w:rPr>
            </w:pPr>
            <w:r>
              <w:rPr>
                <w:rFonts w:hint="eastAsia" w:ascii="宋体" w:hAnsi="宋体" w:cs="宋体"/>
                <w:sz w:val="24"/>
                <w:highlight w:val="none"/>
                <w:lang w:eastAsia="zh-CN"/>
              </w:rPr>
              <w:t>（</w:t>
            </w:r>
            <w:r>
              <w:rPr>
                <w:rFonts w:hint="eastAsia" w:ascii="宋体" w:hAnsi="宋体" w:eastAsia="宋体" w:cs="宋体"/>
                <w:sz w:val="24"/>
                <w:highlight w:val="none"/>
              </w:rPr>
              <w:t>总分100分</w:t>
            </w:r>
            <w:r>
              <w:rPr>
                <w:rFonts w:hint="eastAsia" w:ascii="宋体" w:hAnsi="宋体" w:cs="宋体"/>
                <w:sz w:val="24"/>
                <w:highlight w:val="none"/>
                <w:lang w:eastAsia="zh-CN"/>
              </w:rPr>
              <w:t>）</w:t>
            </w:r>
          </w:p>
        </w:tc>
        <w:tc>
          <w:tcPr>
            <w:tcW w:w="6581" w:type="dxa"/>
            <w:noWrap w:val="0"/>
            <w:vAlign w:val="center"/>
          </w:tcPr>
          <w:p w14:paraId="77B84423">
            <w:pPr>
              <w:jc w:val="left"/>
              <w:rPr>
                <w:rFonts w:hint="eastAsia" w:ascii="宋体" w:hAnsi="宋体" w:eastAsia="宋体" w:cs="宋体"/>
                <w:sz w:val="24"/>
                <w:highlight w:val="none"/>
              </w:rPr>
            </w:pPr>
            <w:r>
              <w:rPr>
                <w:rFonts w:hint="eastAsia" w:ascii="宋体" w:hAnsi="宋体" w:eastAsia="宋体" w:cs="宋体"/>
                <w:sz w:val="24"/>
                <w:highlight w:val="none"/>
              </w:rPr>
              <w:t>（1）商务文件部分：</w:t>
            </w:r>
            <w:r>
              <w:rPr>
                <w:rFonts w:hint="eastAsia" w:ascii="宋体" w:hAnsi="宋体" w:cs="宋体"/>
                <w:sz w:val="24"/>
                <w:highlight w:val="none"/>
                <w:lang w:val="en-US" w:eastAsia="zh-CN"/>
              </w:rPr>
              <w:t>23</w:t>
            </w:r>
            <w:r>
              <w:rPr>
                <w:rFonts w:hint="eastAsia" w:ascii="宋体" w:hAnsi="宋体" w:eastAsia="宋体" w:cs="宋体"/>
                <w:sz w:val="24"/>
                <w:highlight w:val="none"/>
              </w:rPr>
              <w:t>分</w:t>
            </w:r>
          </w:p>
          <w:p w14:paraId="60D70941">
            <w:pPr>
              <w:jc w:val="left"/>
              <w:rPr>
                <w:rFonts w:hint="eastAsia" w:ascii="宋体" w:hAnsi="宋体" w:eastAsia="宋体" w:cs="宋体"/>
                <w:sz w:val="24"/>
                <w:highlight w:val="none"/>
              </w:rPr>
            </w:pPr>
            <w:r>
              <w:rPr>
                <w:rFonts w:hint="eastAsia" w:ascii="宋体" w:hAnsi="宋体" w:eastAsia="宋体" w:cs="宋体"/>
                <w:sz w:val="24"/>
                <w:highlight w:val="none"/>
              </w:rPr>
              <w:t>（2）技术文件部分：</w:t>
            </w:r>
            <w:r>
              <w:rPr>
                <w:rFonts w:hint="eastAsia" w:ascii="宋体" w:hAnsi="宋体" w:cs="宋体"/>
                <w:sz w:val="24"/>
                <w:highlight w:val="none"/>
                <w:lang w:val="en-US" w:eastAsia="zh-CN"/>
              </w:rPr>
              <w:t>62</w:t>
            </w:r>
            <w:r>
              <w:rPr>
                <w:rFonts w:hint="eastAsia" w:ascii="宋体" w:hAnsi="宋体" w:eastAsia="宋体" w:cs="宋体"/>
                <w:sz w:val="24"/>
                <w:highlight w:val="none"/>
              </w:rPr>
              <w:t>分</w:t>
            </w:r>
          </w:p>
          <w:p w14:paraId="04C8D617">
            <w:pPr>
              <w:jc w:val="left"/>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3</w:t>
            </w:r>
            <w:r>
              <w:rPr>
                <w:rFonts w:hint="eastAsia" w:ascii="宋体" w:hAnsi="宋体" w:eastAsia="宋体" w:cs="宋体"/>
                <w:sz w:val="24"/>
                <w:highlight w:val="none"/>
              </w:rPr>
              <w:t>）投标报价部分：</w:t>
            </w:r>
            <w:r>
              <w:rPr>
                <w:rFonts w:hint="eastAsia" w:ascii="宋体" w:hAnsi="宋体" w:cs="宋体"/>
                <w:sz w:val="24"/>
                <w:highlight w:val="none"/>
                <w:lang w:val="en-US" w:eastAsia="zh-CN"/>
              </w:rPr>
              <w:t>15</w:t>
            </w:r>
            <w:r>
              <w:rPr>
                <w:rFonts w:hint="eastAsia" w:ascii="宋体" w:hAnsi="宋体" w:eastAsia="宋体" w:cs="宋体"/>
                <w:sz w:val="24"/>
                <w:highlight w:val="none"/>
              </w:rPr>
              <w:t>分</w:t>
            </w:r>
          </w:p>
        </w:tc>
      </w:tr>
      <w:tr w14:paraId="3719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4" w:type="dxa"/>
            <w:gridSpan w:val="2"/>
            <w:noWrap w:val="0"/>
            <w:vAlign w:val="top"/>
          </w:tcPr>
          <w:p w14:paraId="27D099E2">
            <w:pPr>
              <w:jc w:val="left"/>
              <w:rPr>
                <w:rFonts w:hint="eastAsia" w:ascii="宋体" w:hAnsi="宋体" w:eastAsia="宋体" w:cs="宋体"/>
                <w:sz w:val="24"/>
                <w:highlight w:val="none"/>
              </w:rPr>
            </w:pPr>
          </w:p>
          <w:p w14:paraId="027C1966">
            <w:pPr>
              <w:jc w:val="left"/>
              <w:rPr>
                <w:rFonts w:hint="eastAsia" w:ascii="宋体" w:hAnsi="宋体" w:eastAsia="宋体" w:cs="宋体"/>
                <w:sz w:val="24"/>
                <w:highlight w:val="none"/>
              </w:rPr>
            </w:pPr>
          </w:p>
          <w:p w14:paraId="41E0084C">
            <w:pPr>
              <w:jc w:val="center"/>
              <w:rPr>
                <w:rFonts w:hint="eastAsia" w:ascii="宋体" w:hAnsi="宋体" w:eastAsia="宋体" w:cs="宋体"/>
                <w:sz w:val="24"/>
                <w:highlight w:val="none"/>
                <w:lang w:eastAsia="zh-CN"/>
              </w:rPr>
            </w:pPr>
            <w:r>
              <w:rPr>
                <w:rFonts w:hint="eastAsia" w:ascii="宋体" w:hAnsi="宋体" w:eastAsia="宋体" w:cs="宋体"/>
                <w:sz w:val="24"/>
                <w:highlight w:val="none"/>
              </w:rPr>
              <w:t>投标报价</w:t>
            </w:r>
            <w:r>
              <w:rPr>
                <w:rFonts w:hint="eastAsia" w:ascii="宋体" w:hAnsi="宋体" w:cs="宋体"/>
                <w:sz w:val="24"/>
                <w:highlight w:val="none"/>
                <w:lang w:eastAsia="zh-CN"/>
              </w:rPr>
              <w:t>（</w:t>
            </w:r>
            <w:r>
              <w:rPr>
                <w:rFonts w:hint="eastAsia" w:ascii="宋体" w:hAnsi="宋体" w:cs="宋体"/>
                <w:sz w:val="24"/>
                <w:highlight w:val="none"/>
                <w:lang w:val="en-US" w:eastAsia="zh-CN"/>
              </w:rPr>
              <w:t>15</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tc>
        <w:tc>
          <w:tcPr>
            <w:tcW w:w="6581" w:type="dxa"/>
            <w:noWrap w:val="0"/>
            <w:vAlign w:val="center"/>
          </w:tcPr>
          <w:p w14:paraId="240340A5">
            <w:pPr>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基准价为合理低价，即满足</w:t>
            </w:r>
            <w:r>
              <w:rPr>
                <w:rFonts w:hint="eastAsia" w:ascii="宋体" w:hAnsi="宋体" w:cs="宋体"/>
                <w:color w:val="000000"/>
                <w:sz w:val="24"/>
                <w:highlight w:val="none"/>
                <w:lang w:eastAsia="zh-CN"/>
              </w:rPr>
              <w:t>磋商文件</w:t>
            </w:r>
            <w:r>
              <w:rPr>
                <w:rFonts w:hint="eastAsia" w:ascii="宋体" w:hAnsi="宋体" w:eastAsia="宋体" w:cs="宋体"/>
                <w:color w:val="000000"/>
                <w:sz w:val="24"/>
                <w:highlight w:val="none"/>
              </w:rPr>
              <w:t>要求且投标价格最低的投标报价为评标基准价，其价格分为满分。其他投标商的价格分统一按照下列公式计算：</w:t>
            </w:r>
          </w:p>
          <w:p w14:paraId="5A85920F">
            <w:pPr>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投标报价得分=</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评标基准价／投标报价</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×价格分值×100%</w:t>
            </w:r>
          </w:p>
        </w:tc>
      </w:tr>
      <w:tr w14:paraId="79F2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944" w:type="dxa"/>
            <w:gridSpan w:val="2"/>
            <w:noWrap w:val="0"/>
            <w:vAlign w:val="center"/>
          </w:tcPr>
          <w:p w14:paraId="0967BD18">
            <w:pPr>
              <w:jc w:val="center"/>
              <w:rPr>
                <w:rFonts w:hint="eastAsia" w:ascii="宋体" w:hAnsi="宋体" w:eastAsia="宋体" w:cs="宋体"/>
                <w:b/>
                <w:sz w:val="24"/>
                <w:highlight w:val="none"/>
              </w:rPr>
            </w:pPr>
            <w:r>
              <w:rPr>
                <w:rFonts w:hint="eastAsia" w:ascii="宋体" w:hAnsi="宋体" w:eastAsia="宋体" w:cs="宋体"/>
                <w:b/>
                <w:sz w:val="24"/>
                <w:highlight w:val="none"/>
              </w:rPr>
              <w:t>评分因素</w:t>
            </w:r>
          </w:p>
        </w:tc>
        <w:tc>
          <w:tcPr>
            <w:tcW w:w="6581" w:type="dxa"/>
            <w:noWrap w:val="0"/>
            <w:vAlign w:val="center"/>
          </w:tcPr>
          <w:p w14:paraId="7DAD8A31">
            <w:pPr>
              <w:jc w:val="center"/>
              <w:rPr>
                <w:rFonts w:hint="eastAsia" w:ascii="宋体" w:hAnsi="宋体" w:eastAsia="宋体" w:cs="宋体"/>
                <w:b/>
                <w:sz w:val="24"/>
                <w:highlight w:val="none"/>
              </w:rPr>
            </w:pPr>
            <w:r>
              <w:rPr>
                <w:rFonts w:hint="eastAsia" w:ascii="宋体" w:hAnsi="宋体" w:eastAsia="宋体" w:cs="宋体"/>
                <w:b/>
                <w:sz w:val="24"/>
                <w:highlight w:val="none"/>
              </w:rPr>
              <w:t>评分标准</w:t>
            </w:r>
          </w:p>
        </w:tc>
      </w:tr>
      <w:tr w14:paraId="7191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dxa"/>
            <w:vMerge w:val="restart"/>
            <w:noWrap w:val="0"/>
            <w:vAlign w:val="center"/>
          </w:tcPr>
          <w:p w14:paraId="0CE64760">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商务部分（</w:t>
            </w:r>
            <w:r>
              <w:rPr>
                <w:rFonts w:hint="eastAsia" w:ascii="宋体" w:hAnsi="宋体" w:cs="宋体"/>
                <w:sz w:val="24"/>
                <w:highlight w:val="none"/>
                <w:lang w:val="en-US" w:eastAsia="zh-CN"/>
              </w:rPr>
              <w:t>23</w:t>
            </w:r>
            <w:r>
              <w:rPr>
                <w:rFonts w:hint="eastAsia" w:ascii="宋体" w:hAnsi="宋体" w:eastAsia="宋体" w:cs="宋体"/>
                <w:sz w:val="24"/>
                <w:highlight w:val="none"/>
                <w:lang w:val="en-US" w:eastAsia="zh-CN"/>
              </w:rPr>
              <w:t>分）</w:t>
            </w:r>
          </w:p>
        </w:tc>
        <w:tc>
          <w:tcPr>
            <w:tcW w:w="1687" w:type="dxa"/>
            <w:noWrap w:val="0"/>
            <w:vAlign w:val="center"/>
          </w:tcPr>
          <w:p w14:paraId="6FBB8EA1">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类似业绩</w:t>
            </w:r>
          </w:p>
          <w:p w14:paraId="058A121A">
            <w:pPr>
              <w:jc w:val="center"/>
              <w:rPr>
                <w:rFonts w:hint="eastAsia" w:ascii="宋体" w:hAnsi="宋体" w:eastAsia="宋体" w:cs="宋体"/>
                <w:sz w:val="24"/>
                <w:highlight w:val="none"/>
              </w:rPr>
            </w:pPr>
            <w:r>
              <w:rPr>
                <w:rFonts w:hint="eastAsia" w:ascii="宋体" w:hAnsi="宋体" w:eastAsia="宋体" w:cs="宋体"/>
                <w:color w:val="000000"/>
                <w:sz w:val="24"/>
                <w:highlight w:val="none"/>
              </w:rPr>
              <w:t>（</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rPr>
              <w:t>分）</w:t>
            </w:r>
          </w:p>
        </w:tc>
        <w:tc>
          <w:tcPr>
            <w:tcW w:w="6581" w:type="dxa"/>
            <w:noWrap w:val="0"/>
            <w:vAlign w:val="center"/>
          </w:tcPr>
          <w:p w14:paraId="5F7A1954">
            <w:pPr>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企业业绩：</w:t>
            </w:r>
          </w:p>
          <w:p w14:paraId="2DD20162">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供应商2023年4月1日（含1日）以来成功建设类似系统服务案例，每提供一个服务案例合同计</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分，最高计</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w:t>
            </w:r>
          </w:p>
          <w:p w14:paraId="28670F1E">
            <w:pPr>
              <w:jc w:val="left"/>
              <w:rPr>
                <w:rFonts w:hint="eastAsia"/>
                <w:highlight w:val="none"/>
              </w:rPr>
            </w:pPr>
            <w:r>
              <w:rPr>
                <w:rFonts w:hint="eastAsia" w:ascii="宋体" w:hAnsi="宋体" w:eastAsia="宋体" w:cs="宋体"/>
                <w:sz w:val="24"/>
                <w:szCs w:val="24"/>
                <w:highlight w:val="none"/>
                <w:lang w:val="en-US" w:eastAsia="zh-CN"/>
              </w:rPr>
              <w:t>注：须提供合同关键页（甲</w:t>
            </w:r>
            <w:r>
              <w:rPr>
                <w:rFonts w:hint="eastAsia" w:ascii="宋体" w:hAnsi="宋体" w:cs="宋体"/>
                <w:sz w:val="24"/>
                <w:szCs w:val="24"/>
                <w:highlight w:val="none"/>
                <w:lang w:val="en-US" w:eastAsia="zh-CN"/>
              </w:rPr>
              <w:t>乙双</w:t>
            </w:r>
            <w:r>
              <w:rPr>
                <w:rFonts w:hint="eastAsia" w:ascii="宋体" w:hAnsi="宋体" w:eastAsia="宋体" w:cs="宋体"/>
                <w:sz w:val="24"/>
                <w:szCs w:val="24"/>
                <w:highlight w:val="none"/>
                <w:lang w:val="en-US" w:eastAsia="zh-CN"/>
              </w:rPr>
              <w:t>方信息、项目内容、日期）或中标通知书复印件并加盖供应商公章，未提供的不计分。</w:t>
            </w:r>
          </w:p>
        </w:tc>
      </w:tr>
      <w:tr w14:paraId="059A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57" w:type="dxa"/>
            <w:vMerge w:val="continue"/>
            <w:noWrap w:val="0"/>
            <w:vAlign w:val="center"/>
          </w:tcPr>
          <w:p w14:paraId="77AABBB2">
            <w:pPr>
              <w:jc w:val="center"/>
              <w:rPr>
                <w:rFonts w:hint="eastAsia" w:ascii="宋体" w:hAnsi="宋体" w:eastAsia="宋体" w:cs="宋体"/>
                <w:sz w:val="24"/>
                <w:highlight w:val="none"/>
                <w:lang w:val="en-US" w:eastAsia="zh-CN"/>
              </w:rPr>
            </w:pPr>
          </w:p>
        </w:tc>
        <w:tc>
          <w:tcPr>
            <w:tcW w:w="1687" w:type="dxa"/>
            <w:noWrap w:val="0"/>
            <w:vAlign w:val="center"/>
          </w:tcPr>
          <w:p w14:paraId="2B4AB010">
            <w:pPr>
              <w:pStyle w:val="8"/>
              <w:spacing w:line="240" w:lineRule="auto"/>
              <w:jc w:val="center"/>
              <w:rPr>
                <w:rFonts w:hint="eastAsia" w:ascii="宋体" w:hAnsi="宋体" w:cs="宋体"/>
                <w:sz w:val="24"/>
                <w:szCs w:val="24"/>
                <w:highlight w:val="none"/>
                <w:lang w:val="en-US" w:eastAsia="zh-CN"/>
              </w:rPr>
            </w:pPr>
            <w:r>
              <w:rPr>
                <w:rFonts w:hint="eastAsia" w:ascii="宋体" w:hAnsi="宋体" w:cs="宋体"/>
                <w:sz w:val="24"/>
                <w:szCs w:val="24"/>
                <w:highlight w:val="none"/>
                <w:lang w:eastAsia="zh-CN"/>
              </w:rPr>
              <w:t>企业</w:t>
            </w:r>
            <w:r>
              <w:rPr>
                <w:rFonts w:hint="eastAsia" w:ascii="宋体" w:hAnsi="宋体" w:cs="宋体"/>
                <w:sz w:val="24"/>
                <w:szCs w:val="24"/>
                <w:highlight w:val="none"/>
                <w:lang w:val="en-US" w:eastAsia="zh-CN"/>
              </w:rPr>
              <w:t>实力</w:t>
            </w:r>
          </w:p>
          <w:p w14:paraId="37931A90">
            <w:pPr>
              <w:pStyle w:val="8"/>
              <w:spacing w:line="240" w:lineRule="auto"/>
              <w:jc w:val="center"/>
              <w:rPr>
                <w:rFonts w:hint="default" w:ascii="宋体" w:hAnsi="宋体" w:cs="宋体"/>
                <w:sz w:val="24"/>
                <w:szCs w:val="24"/>
                <w:highlight w:val="none"/>
                <w:lang w:val="en-US" w:eastAsia="zh-CN"/>
              </w:rPr>
            </w:pPr>
            <w:r>
              <w:rPr>
                <w:rFonts w:hint="eastAsia" w:ascii="宋体" w:hAnsi="宋体" w:eastAsia="宋体" w:cs="宋体"/>
                <w:color w:val="000000"/>
                <w:sz w:val="24"/>
                <w:highlight w:val="none"/>
              </w:rPr>
              <w:t>（</w:t>
            </w:r>
            <w:r>
              <w:rPr>
                <w:rFonts w:hint="eastAsia" w:ascii="宋体" w:hAnsi="宋体" w:cs="宋体"/>
                <w:color w:val="000000"/>
                <w:sz w:val="24"/>
                <w:highlight w:val="none"/>
                <w:lang w:val="en-US" w:eastAsia="zh-CN"/>
              </w:rPr>
              <w:t>9</w:t>
            </w:r>
            <w:r>
              <w:rPr>
                <w:rFonts w:hint="eastAsia" w:ascii="宋体" w:hAnsi="宋体" w:eastAsia="宋体" w:cs="宋体"/>
                <w:color w:val="000000"/>
                <w:sz w:val="24"/>
                <w:highlight w:val="none"/>
              </w:rPr>
              <w:t>分）</w:t>
            </w:r>
          </w:p>
        </w:tc>
        <w:tc>
          <w:tcPr>
            <w:tcW w:w="6581" w:type="dxa"/>
            <w:noWrap w:val="0"/>
            <w:vAlign w:val="center"/>
          </w:tcPr>
          <w:p w14:paraId="0A7BD4D0">
            <w:pPr>
              <w:numPr>
                <w:ilvl w:val="0"/>
                <w:numId w:val="14"/>
              </w:num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供应商具有移动app类、大数据类、教学管理软件类和实验室安全管理类软件著作权证书，每提供一个软件著作权证书计</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分，最高计</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分。注：须提供中华人民共和国国家版权局计算机软件著作权登记证书原件扫描件，未提供的不计分。</w:t>
            </w:r>
          </w:p>
          <w:p w14:paraId="1D9029AE">
            <w:pPr>
              <w:numPr>
                <w:ilvl w:val="0"/>
                <w:numId w:val="14"/>
              </w:numPr>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w:t>
            </w:r>
            <w:r>
              <w:rPr>
                <w:rFonts w:hint="eastAsia" w:ascii="宋体" w:hAnsi="宋体" w:cs="宋体"/>
                <w:sz w:val="24"/>
                <w:szCs w:val="24"/>
                <w:highlight w:val="none"/>
                <w:lang w:val="en-US" w:eastAsia="zh-CN"/>
              </w:rPr>
              <w:t>以App开发者获得</w:t>
            </w:r>
            <w:r>
              <w:rPr>
                <w:rFonts w:hint="eastAsia" w:ascii="宋体" w:hAnsi="宋体" w:eastAsia="宋体" w:cs="宋体"/>
                <w:sz w:val="24"/>
                <w:szCs w:val="24"/>
                <w:highlight w:val="none"/>
                <w:lang w:val="en-US" w:eastAsia="zh-CN"/>
              </w:rPr>
              <w:t>的CCRC移动互联网应用程序(App)安全认证证书</w:t>
            </w:r>
            <w:r>
              <w:rPr>
                <w:rFonts w:hint="eastAsia" w:ascii="宋体" w:hAnsi="宋体" w:cs="宋体"/>
                <w:sz w:val="24"/>
                <w:szCs w:val="24"/>
                <w:highlight w:val="none"/>
                <w:lang w:val="en-US" w:eastAsia="zh-CN"/>
              </w:rPr>
              <w:t>一个</w:t>
            </w:r>
            <w:r>
              <w:rPr>
                <w:rFonts w:hint="eastAsia" w:ascii="宋体" w:hAnsi="宋体" w:eastAsia="宋体" w:cs="宋体"/>
                <w:sz w:val="24"/>
                <w:szCs w:val="24"/>
                <w:highlight w:val="none"/>
                <w:lang w:val="en-US" w:eastAsia="zh-CN"/>
              </w:rPr>
              <w:t>得</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最高计</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tc>
      </w:tr>
      <w:tr w14:paraId="689D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2" w:hRule="atLeast"/>
          <w:jc w:val="center"/>
        </w:trPr>
        <w:tc>
          <w:tcPr>
            <w:tcW w:w="1257" w:type="dxa"/>
            <w:vMerge w:val="continue"/>
            <w:noWrap w:val="0"/>
            <w:vAlign w:val="center"/>
          </w:tcPr>
          <w:p w14:paraId="310CB34C">
            <w:pPr>
              <w:jc w:val="center"/>
              <w:rPr>
                <w:rFonts w:hint="eastAsia" w:ascii="宋体" w:hAnsi="宋体" w:eastAsia="宋体" w:cs="宋体"/>
                <w:sz w:val="24"/>
                <w:highlight w:val="none"/>
                <w:lang w:val="en-US" w:eastAsia="zh-CN"/>
              </w:rPr>
            </w:pPr>
          </w:p>
        </w:tc>
        <w:tc>
          <w:tcPr>
            <w:tcW w:w="1687" w:type="dxa"/>
            <w:noWrap w:val="0"/>
            <w:vAlign w:val="center"/>
          </w:tcPr>
          <w:p w14:paraId="0DB46A48">
            <w:pPr>
              <w:jc w:val="center"/>
              <w:rPr>
                <w:rFonts w:hint="eastAsia" w:ascii="宋体" w:hAnsi="宋体" w:cs="宋体"/>
                <w:sz w:val="24"/>
                <w:szCs w:val="24"/>
                <w:highlight w:val="none"/>
                <w:lang w:eastAsia="zh-CN"/>
              </w:rPr>
            </w:pPr>
            <w:r>
              <w:rPr>
                <w:rFonts w:hint="eastAsia" w:ascii="宋体" w:hAnsi="宋体" w:cs="宋体"/>
                <w:sz w:val="24"/>
                <w:szCs w:val="24"/>
                <w:highlight w:val="none"/>
                <w:lang w:eastAsia="zh-CN"/>
              </w:rPr>
              <w:t>项目拟派人员</w:t>
            </w:r>
          </w:p>
          <w:p w14:paraId="605C5287">
            <w:pPr>
              <w:pStyle w:val="8"/>
              <w:jc w:val="center"/>
              <w:rPr>
                <w:rFonts w:hint="eastAsia"/>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8分</w:t>
            </w:r>
            <w:r>
              <w:rPr>
                <w:rFonts w:hint="eastAsia" w:ascii="宋体" w:hAnsi="宋体" w:cs="宋体"/>
                <w:sz w:val="24"/>
                <w:szCs w:val="24"/>
                <w:highlight w:val="none"/>
                <w:lang w:eastAsia="zh-CN"/>
              </w:rPr>
              <w:t>）</w:t>
            </w:r>
          </w:p>
        </w:tc>
        <w:tc>
          <w:tcPr>
            <w:tcW w:w="6581" w:type="dxa"/>
            <w:noWrap w:val="0"/>
            <w:vAlign w:val="center"/>
          </w:tcPr>
          <w:p w14:paraId="2F79CD6E">
            <w:pPr>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拟派本项目人员中：</w:t>
            </w:r>
          </w:p>
          <w:p w14:paraId="240A77C1">
            <w:pPr>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1.投标人拟派项目团队成员具备以下相关专业证书：</w:t>
            </w:r>
          </w:p>
          <w:p w14:paraId="0F658498">
            <w:pPr>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（1）具有数据库工程师证书（高级）得2分；</w:t>
            </w:r>
          </w:p>
          <w:p w14:paraId="0C4B867B">
            <w:pPr>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（2）具有UI设计师（高级）证书，得2分；</w:t>
            </w:r>
          </w:p>
          <w:p w14:paraId="4DFE5122">
            <w:pPr>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（3）具有系统开发工程师（高级）证书，得2分；</w:t>
            </w:r>
          </w:p>
          <w:p w14:paraId="0612DE3C">
            <w:pPr>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（4）具有系统架构师（高级）证书，得2分；</w:t>
            </w:r>
          </w:p>
          <w:p w14:paraId="0ADC6C40">
            <w:pPr>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说明：以上证明材料</w:t>
            </w:r>
            <w:r>
              <w:rPr>
                <w:rFonts w:hint="eastAsia" w:ascii="宋体" w:hAnsi="宋体" w:eastAsia="宋体" w:cs="宋体"/>
                <w:sz w:val="24"/>
                <w:szCs w:val="24"/>
                <w:highlight w:val="none"/>
                <w:lang w:val="en-US" w:eastAsia="zh-CN"/>
              </w:rPr>
              <w:t>须提供对应证书扫描件</w:t>
            </w:r>
            <w:r>
              <w:rPr>
                <w:rFonts w:hint="eastAsia" w:ascii="宋体" w:hAnsi="宋体" w:cs="宋体"/>
                <w:sz w:val="24"/>
                <w:szCs w:val="24"/>
                <w:highlight w:val="none"/>
                <w:lang w:val="en-US" w:eastAsia="zh-CN"/>
              </w:rPr>
              <w:t>，本项最高得4分。同一人员具备多项证书的，可累计得分，但本项总分不超过4分。</w:t>
            </w:r>
          </w:p>
          <w:p w14:paraId="1EFF7B2E">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.投标人拟派项目团队成员中</w:t>
            </w:r>
            <w:r>
              <w:rPr>
                <w:rFonts w:hint="eastAsia" w:ascii="宋体" w:hAnsi="宋体" w:eastAsia="宋体" w:cs="宋体"/>
                <w:sz w:val="24"/>
                <w:szCs w:val="24"/>
                <w:highlight w:val="none"/>
                <w:lang w:val="en-US" w:eastAsia="zh-CN"/>
              </w:rPr>
              <w:t>具有软件设计师证书得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分；</w:t>
            </w:r>
          </w:p>
          <w:p w14:paraId="5650A3B8">
            <w:pPr>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说明：以上证明材料</w:t>
            </w:r>
            <w:r>
              <w:rPr>
                <w:rFonts w:hint="eastAsia" w:ascii="宋体" w:hAnsi="宋体" w:eastAsia="宋体" w:cs="宋体"/>
                <w:sz w:val="24"/>
                <w:szCs w:val="24"/>
                <w:highlight w:val="none"/>
                <w:lang w:val="en-US" w:eastAsia="zh-CN"/>
              </w:rPr>
              <w:t>须提供</w:t>
            </w:r>
            <w:bookmarkStart w:id="649" w:name="_GoBack"/>
            <w:bookmarkEnd w:id="649"/>
            <w:r>
              <w:rPr>
                <w:rFonts w:hint="eastAsia" w:ascii="宋体" w:hAnsi="宋体" w:eastAsia="宋体" w:cs="宋体"/>
                <w:sz w:val="24"/>
                <w:szCs w:val="24"/>
                <w:highlight w:val="none"/>
                <w:lang w:val="en-US" w:eastAsia="zh-CN"/>
              </w:rPr>
              <w:t>对应证书扫描件</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此项最高得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52F63BC">
            <w:pPr>
              <w:jc w:val="left"/>
              <w:rPr>
                <w:rFonts w:hint="eastAsia"/>
                <w:spacing w:val="7"/>
                <w:sz w:val="20"/>
                <w:szCs w:val="20"/>
                <w:highlight w:val="none"/>
                <w:lang w:val="en-US" w:eastAsia="zh-CN"/>
              </w:rPr>
            </w:pPr>
            <w:r>
              <w:rPr>
                <w:rFonts w:hint="eastAsia" w:ascii="宋体" w:hAnsi="宋体" w:eastAsia="宋体" w:cs="宋体"/>
                <w:sz w:val="24"/>
                <w:szCs w:val="24"/>
                <w:highlight w:val="none"/>
                <w:lang w:val="en-US" w:eastAsia="zh-CN"/>
              </w:rPr>
              <w:t>（注：A.上述1-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项，供应商须提供上述人员为供应商本单位在职人员的有效证明材料（</w:t>
            </w:r>
            <w:r>
              <w:rPr>
                <w:rFonts w:hint="eastAsia" w:ascii="宋体" w:hAnsi="宋体" w:cs="宋体"/>
                <w:color w:val="auto"/>
                <w:kern w:val="2"/>
                <w:sz w:val="24"/>
                <w:szCs w:val="24"/>
                <w:highlight w:val="none"/>
                <w:lang w:val="en-US" w:eastAsia="zh-CN" w:bidi="ar-SA"/>
              </w:rPr>
              <w:t>2025年11月至今任意一个月在投标单位依法缴纳社会保险的证明材料（新入职员工提供劳动合同原件扫描件，退休返聘员工提供退休证明及劳务合同原件扫描件）</w:t>
            </w:r>
            <w:r>
              <w:rPr>
                <w:rFonts w:hint="eastAsia" w:ascii="宋体" w:hAnsi="宋体" w:eastAsia="宋体" w:cs="宋体"/>
                <w:color w:val="auto"/>
                <w:kern w:val="2"/>
                <w:sz w:val="24"/>
                <w:szCs w:val="24"/>
                <w:highlight w:val="none"/>
                <w:lang w:val="en-US" w:eastAsia="zh-CN" w:bidi="ar-SA"/>
              </w:rPr>
              <w:t>并加盖单位公章</w:t>
            </w:r>
            <w:r>
              <w:rPr>
                <w:rFonts w:hint="eastAsia" w:ascii="宋体" w:hAnsi="宋体" w:eastAsia="宋体" w:cs="宋体"/>
                <w:sz w:val="24"/>
                <w:szCs w:val="24"/>
                <w:highlight w:val="none"/>
                <w:lang w:val="en-US" w:eastAsia="zh-CN"/>
              </w:rPr>
              <w:t>）扫描件。B.系统架构师、系统开发工程师、数据库工程师、UI设计师等证书系指由工业和信息化部教育与考试中心颁发的证书；软件设计师证书系指由人力资源和社会保障部和工业和信息化部颁发的证书。C.上述证明材料均须加盖供应商单位电子签章。未按要求提供相关证明材料的不得分。）</w:t>
            </w:r>
          </w:p>
        </w:tc>
      </w:tr>
      <w:tr w14:paraId="7F2A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1257" w:type="dxa"/>
            <w:vMerge w:val="restart"/>
            <w:noWrap w:val="0"/>
            <w:vAlign w:val="center"/>
          </w:tcPr>
          <w:p w14:paraId="29DBE48A">
            <w:pPr>
              <w:jc w:val="center"/>
              <w:rPr>
                <w:rFonts w:hint="eastAsia" w:ascii="宋体" w:hAnsi="宋体" w:eastAsia="宋体" w:cs="宋体"/>
                <w:sz w:val="24"/>
                <w:highlight w:val="none"/>
              </w:rPr>
            </w:pPr>
          </w:p>
          <w:p w14:paraId="13E4C78A">
            <w:pPr>
              <w:jc w:val="center"/>
              <w:rPr>
                <w:rFonts w:hint="eastAsia" w:ascii="宋体" w:hAnsi="宋体" w:eastAsia="宋体" w:cs="宋体"/>
                <w:sz w:val="24"/>
                <w:highlight w:val="none"/>
              </w:rPr>
            </w:pPr>
          </w:p>
          <w:p w14:paraId="3B611EA6">
            <w:pPr>
              <w:jc w:val="center"/>
              <w:rPr>
                <w:rFonts w:hint="eastAsia" w:ascii="宋体" w:hAnsi="宋体" w:eastAsia="宋体" w:cs="宋体"/>
                <w:sz w:val="24"/>
                <w:highlight w:val="none"/>
              </w:rPr>
            </w:pPr>
          </w:p>
          <w:p w14:paraId="0F67740A">
            <w:pPr>
              <w:jc w:val="center"/>
              <w:rPr>
                <w:rFonts w:hint="eastAsia" w:ascii="宋体" w:hAnsi="宋体" w:eastAsia="宋体" w:cs="宋体"/>
                <w:sz w:val="24"/>
                <w:highlight w:val="none"/>
              </w:rPr>
            </w:pPr>
          </w:p>
          <w:p w14:paraId="3B526FC0">
            <w:pPr>
              <w:jc w:val="center"/>
              <w:rPr>
                <w:rFonts w:hint="eastAsia" w:ascii="宋体" w:hAnsi="宋体" w:eastAsia="宋体" w:cs="宋体"/>
                <w:sz w:val="24"/>
                <w:highlight w:val="none"/>
              </w:rPr>
            </w:pPr>
          </w:p>
          <w:p w14:paraId="7980B6A7">
            <w:pPr>
              <w:jc w:val="center"/>
              <w:rPr>
                <w:rFonts w:hint="eastAsia" w:ascii="宋体" w:hAnsi="宋体" w:eastAsia="宋体" w:cs="宋体"/>
                <w:sz w:val="24"/>
                <w:highlight w:val="none"/>
              </w:rPr>
            </w:pPr>
          </w:p>
          <w:p w14:paraId="2B29BAD8">
            <w:pPr>
              <w:jc w:val="center"/>
              <w:rPr>
                <w:rFonts w:hint="eastAsia" w:ascii="宋体" w:hAnsi="宋体" w:eastAsia="宋体" w:cs="宋体"/>
                <w:sz w:val="24"/>
                <w:highlight w:val="none"/>
              </w:rPr>
            </w:pPr>
          </w:p>
          <w:p w14:paraId="3D861D50">
            <w:pPr>
              <w:jc w:val="center"/>
              <w:rPr>
                <w:rFonts w:hint="eastAsia" w:ascii="宋体" w:hAnsi="宋体" w:eastAsia="宋体" w:cs="宋体"/>
                <w:sz w:val="24"/>
                <w:highlight w:val="none"/>
              </w:rPr>
            </w:pPr>
            <w:r>
              <w:rPr>
                <w:rFonts w:hint="eastAsia" w:ascii="宋体" w:hAnsi="宋体" w:eastAsia="宋体" w:cs="宋体"/>
                <w:sz w:val="24"/>
                <w:highlight w:val="none"/>
              </w:rPr>
              <w:t>技术</w:t>
            </w:r>
            <w:r>
              <w:rPr>
                <w:rFonts w:hint="eastAsia" w:ascii="宋体" w:hAnsi="宋体" w:eastAsia="宋体" w:cs="宋体"/>
                <w:sz w:val="24"/>
                <w:highlight w:val="none"/>
                <w:lang w:val="en-US" w:eastAsia="zh-CN"/>
              </w:rPr>
              <w:t>部分</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62</w:t>
            </w:r>
            <w:r>
              <w:rPr>
                <w:rFonts w:hint="eastAsia" w:ascii="宋体" w:hAnsi="宋体" w:eastAsia="宋体" w:cs="宋体"/>
                <w:sz w:val="24"/>
                <w:highlight w:val="none"/>
                <w:lang w:val="en-US" w:eastAsia="zh-CN"/>
              </w:rPr>
              <w:t>分</w:t>
            </w:r>
            <w:r>
              <w:rPr>
                <w:rFonts w:hint="eastAsia" w:ascii="宋体" w:hAnsi="宋体" w:eastAsia="宋体" w:cs="宋体"/>
                <w:sz w:val="24"/>
                <w:highlight w:val="none"/>
              </w:rPr>
              <w:t>）</w:t>
            </w:r>
          </w:p>
        </w:tc>
        <w:tc>
          <w:tcPr>
            <w:tcW w:w="1687" w:type="dxa"/>
            <w:noWrap w:val="0"/>
            <w:vAlign w:val="center"/>
          </w:tcPr>
          <w:p w14:paraId="7F636212">
            <w:pPr>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产品配置及技术参数（2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w:t>
            </w:r>
          </w:p>
        </w:tc>
        <w:tc>
          <w:tcPr>
            <w:tcW w:w="6581" w:type="dxa"/>
            <w:noWrap w:val="0"/>
            <w:vAlign w:val="top"/>
          </w:tcPr>
          <w:p w14:paraId="344DA36A">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供应商所提供的服务全部满足“四、具体功能要求（参数）中‘（二）功能要求、（三）实验室管理平台参数’”得25分；</w:t>
            </w:r>
          </w:p>
          <w:p w14:paraId="17345546">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带★号条款参数不得偏离并</w:t>
            </w:r>
            <w:r>
              <w:rPr>
                <w:rFonts w:hint="eastAsia" w:ascii="宋体" w:hAnsi="宋体" w:cs="宋体"/>
                <w:color w:val="auto"/>
                <w:kern w:val="2"/>
                <w:sz w:val="24"/>
                <w:szCs w:val="24"/>
                <w:highlight w:val="none"/>
                <w:lang w:val="en-US" w:eastAsia="zh-CN" w:bidi="ar-SA"/>
              </w:rPr>
              <w:t>提供</w:t>
            </w:r>
            <w:r>
              <w:rPr>
                <w:rFonts w:hint="eastAsia" w:ascii="宋体" w:hAnsi="宋体" w:eastAsia="宋体" w:cs="宋体"/>
                <w:color w:val="auto"/>
                <w:kern w:val="2"/>
                <w:sz w:val="24"/>
                <w:szCs w:val="24"/>
                <w:highlight w:val="none"/>
                <w:lang w:val="en-US" w:eastAsia="zh-CN" w:bidi="ar-SA"/>
              </w:rPr>
              <w:t>相应承诺函；</w:t>
            </w:r>
          </w:p>
          <w:p w14:paraId="4F0E18A8">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非★号条款参数，每有一项负偏离扣0.2分，扣完为止。</w:t>
            </w:r>
          </w:p>
          <w:p w14:paraId="79B924F0">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（注：以序号数字（如 “1、”“2、”“3、”……）为一项（标题除外））</w:t>
            </w:r>
          </w:p>
        </w:tc>
      </w:tr>
      <w:tr w14:paraId="1118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1257" w:type="dxa"/>
            <w:vMerge w:val="continue"/>
            <w:noWrap w:val="0"/>
            <w:vAlign w:val="center"/>
          </w:tcPr>
          <w:p w14:paraId="09B81B6F">
            <w:pPr>
              <w:jc w:val="center"/>
              <w:rPr>
                <w:rFonts w:hint="eastAsia" w:ascii="宋体" w:hAnsi="宋体" w:eastAsia="宋体" w:cs="宋体"/>
                <w:sz w:val="24"/>
                <w:highlight w:val="none"/>
              </w:rPr>
            </w:pPr>
          </w:p>
        </w:tc>
        <w:tc>
          <w:tcPr>
            <w:tcW w:w="1687" w:type="dxa"/>
            <w:noWrap w:val="0"/>
            <w:vAlign w:val="center"/>
          </w:tcPr>
          <w:p w14:paraId="34D9017E">
            <w:pPr>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w:t>
            </w:r>
            <w:r>
              <w:rPr>
                <w:rFonts w:hint="eastAsia" w:ascii="宋体" w:hAnsi="宋体" w:eastAsia="宋体" w:cs="宋体"/>
                <w:color w:val="auto"/>
                <w:kern w:val="2"/>
                <w:sz w:val="24"/>
                <w:szCs w:val="24"/>
                <w:highlight w:val="none"/>
                <w:lang w:val="en-US" w:eastAsia="en-US" w:bidi="ar-SA"/>
              </w:rPr>
              <w:t>设计</w:t>
            </w:r>
            <w:r>
              <w:rPr>
                <w:rFonts w:hint="eastAsia" w:ascii="宋体" w:hAnsi="宋体" w:eastAsia="宋体" w:cs="宋体"/>
                <w:color w:val="auto"/>
                <w:kern w:val="2"/>
                <w:sz w:val="24"/>
                <w:szCs w:val="24"/>
                <w:highlight w:val="none"/>
                <w:lang w:val="en-US" w:eastAsia="zh-CN" w:bidi="ar-SA"/>
              </w:rPr>
              <w:t>服务方案（10分）</w:t>
            </w:r>
          </w:p>
        </w:tc>
        <w:tc>
          <w:tcPr>
            <w:tcW w:w="6581" w:type="dxa"/>
            <w:noWrap w:val="0"/>
            <w:vAlign w:val="top"/>
          </w:tcPr>
          <w:p w14:paraId="4BA08040">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根据投标人提供的教务管理服务平台项目设计方案，包含但不限于（1）系统架构设计；（2）系统部署；（3）实施计划；（4）人员组织安排；（5）质量保证；</w:t>
            </w:r>
          </w:p>
          <w:p w14:paraId="18FDB9F2">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所有要素齐全且完全满足项目要求得</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分；每个要素里每有一处内容缺陷扣</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分；以上有缺项的，每缺一项扣</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分，扣完为止。（缺陷是指：存在不适用项目实际情况的情形、凭空编造、内容前后不一致、前后逻辑错误、涉及的规范及标准错误、地点区域错误、内容缺失、不符合采购需求等）</w:t>
            </w:r>
          </w:p>
        </w:tc>
      </w:tr>
      <w:tr w14:paraId="5206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257" w:type="dxa"/>
            <w:vMerge w:val="continue"/>
            <w:noWrap w:val="0"/>
            <w:vAlign w:val="center"/>
          </w:tcPr>
          <w:p w14:paraId="72279498">
            <w:pPr>
              <w:jc w:val="left"/>
              <w:rPr>
                <w:rFonts w:hint="eastAsia" w:ascii="宋体" w:hAnsi="宋体" w:eastAsia="宋体" w:cs="宋体"/>
                <w:sz w:val="24"/>
                <w:highlight w:val="none"/>
              </w:rPr>
            </w:pPr>
          </w:p>
        </w:tc>
        <w:tc>
          <w:tcPr>
            <w:tcW w:w="1687" w:type="dxa"/>
            <w:noWrap w:val="0"/>
            <w:vAlign w:val="center"/>
          </w:tcPr>
          <w:p w14:paraId="6B934179">
            <w:pPr>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功能演示</w:t>
            </w:r>
          </w:p>
          <w:p w14:paraId="0214EFF7">
            <w:pPr>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9分</w:t>
            </w:r>
            <w:r>
              <w:rPr>
                <w:rFonts w:hint="eastAsia" w:ascii="宋体" w:hAnsi="宋体" w:cs="宋体"/>
                <w:sz w:val="24"/>
                <w:szCs w:val="24"/>
                <w:highlight w:val="none"/>
                <w:lang w:eastAsia="zh-CN"/>
              </w:rPr>
              <w:t>）</w:t>
            </w:r>
          </w:p>
        </w:tc>
        <w:tc>
          <w:tcPr>
            <w:tcW w:w="6581" w:type="dxa"/>
            <w:noWrap w:val="0"/>
            <w:vAlign w:val="top"/>
          </w:tcPr>
          <w:p w14:paraId="6185EE1A">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演示须采用线上真实运行系统进行，不得以原型、PPT、视频等形式替代，否则本项不得分。总演示时长不得超过 30 分钟，本项最高分值 9 分。</w:t>
            </w:r>
          </w:p>
          <w:p w14:paraId="12C4A18A">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技术功能演示：</w:t>
            </w:r>
          </w:p>
          <w:p w14:paraId="571B675C">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支持对体育馆、田径场进行重复利用排课参数的设置；可设置教室排课优先级、座位数、考试座位数、是否有空调的信息，能够打印教室门贴（每间教室生成一张二维码）的功能，通过微信扫码查看当日教室占用情况。</w:t>
            </w:r>
            <w:r>
              <w:rPr>
                <w:rFonts w:hint="eastAsia" w:ascii="宋体" w:hAnsi="宋体" w:cs="宋体"/>
                <w:color w:val="auto"/>
                <w:kern w:val="2"/>
                <w:sz w:val="24"/>
                <w:szCs w:val="24"/>
                <w:highlight w:val="none"/>
                <w:lang w:val="en-US" w:eastAsia="zh-CN" w:bidi="ar-SA"/>
              </w:rPr>
              <w:t>按要求</w:t>
            </w:r>
            <w:r>
              <w:rPr>
                <w:rFonts w:hint="eastAsia" w:ascii="宋体" w:hAnsi="宋体" w:eastAsia="宋体" w:cs="宋体"/>
                <w:color w:val="auto"/>
                <w:kern w:val="2"/>
                <w:sz w:val="24"/>
                <w:szCs w:val="24"/>
                <w:highlight w:val="none"/>
                <w:lang w:val="en-US" w:eastAsia="zh-CN" w:bidi="ar-SA"/>
              </w:rPr>
              <w:t>全流程完整演示得1分，演示不全者或不演示该演示项不得分。</w:t>
            </w:r>
          </w:p>
          <w:p w14:paraId="4F80838B">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2.支持教学日志可视化字段配置引擎，允许自定义教学日志字段填写模板。教师授课结束后，在教学日志填写时，系统支持自动同步考勤数据至教学日志列表中。</w:t>
            </w:r>
            <w:r>
              <w:rPr>
                <w:rFonts w:hint="eastAsia" w:ascii="宋体" w:hAnsi="宋体" w:cs="宋体"/>
                <w:color w:val="auto"/>
                <w:kern w:val="2"/>
                <w:sz w:val="24"/>
                <w:szCs w:val="24"/>
                <w:highlight w:val="none"/>
                <w:lang w:val="en-US" w:eastAsia="zh-CN" w:bidi="ar-SA"/>
              </w:rPr>
              <w:t>按要求</w:t>
            </w:r>
            <w:r>
              <w:rPr>
                <w:rFonts w:hint="eastAsia" w:ascii="宋体" w:hAnsi="宋体" w:eastAsia="宋体" w:cs="宋体"/>
                <w:color w:val="auto"/>
                <w:kern w:val="2"/>
                <w:sz w:val="24"/>
                <w:szCs w:val="24"/>
                <w:highlight w:val="none"/>
                <w:lang w:val="en-US" w:eastAsia="zh-CN" w:bidi="ar-SA"/>
              </w:rPr>
              <w:t>全流程完整演示得1分，演示不全者或不演示该演示项不得分。</w:t>
            </w:r>
          </w:p>
          <w:p w14:paraId="0C9746E7">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3.通知：支持通知公告的发送和管理，通知公告可针对不同的角色、个人或分组进行发布。</w:t>
            </w:r>
            <w:r>
              <w:rPr>
                <w:rFonts w:hint="eastAsia" w:ascii="宋体" w:hAnsi="宋体" w:cs="宋体"/>
                <w:color w:val="auto"/>
                <w:kern w:val="2"/>
                <w:sz w:val="24"/>
                <w:szCs w:val="24"/>
                <w:highlight w:val="none"/>
                <w:lang w:val="en-US" w:eastAsia="zh-CN" w:bidi="ar-SA"/>
              </w:rPr>
              <w:t>按要求</w:t>
            </w:r>
            <w:r>
              <w:rPr>
                <w:rFonts w:hint="eastAsia" w:ascii="宋体" w:hAnsi="宋体" w:eastAsia="宋体" w:cs="宋体"/>
                <w:color w:val="auto"/>
                <w:kern w:val="2"/>
                <w:sz w:val="24"/>
                <w:szCs w:val="24"/>
                <w:highlight w:val="none"/>
                <w:lang w:val="en-US" w:eastAsia="zh-CN" w:bidi="ar-SA"/>
              </w:rPr>
              <w:t>全流程完整演示得1分，演示不全者或不演示该演示项不得分。</w:t>
            </w:r>
          </w:p>
          <w:p w14:paraId="5AC2D654">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4.教师可以在系统上传每一堂课的教案、授课计划、授课内容等详细信息；管理人员可以对上传的文件进行审批。</w:t>
            </w:r>
            <w:r>
              <w:rPr>
                <w:rFonts w:hint="eastAsia" w:ascii="宋体" w:hAnsi="宋体" w:cs="宋体"/>
                <w:color w:val="auto"/>
                <w:kern w:val="2"/>
                <w:sz w:val="24"/>
                <w:szCs w:val="24"/>
                <w:highlight w:val="none"/>
                <w:lang w:val="en-US" w:eastAsia="zh-CN" w:bidi="ar-SA"/>
              </w:rPr>
              <w:t>按要求</w:t>
            </w:r>
            <w:r>
              <w:rPr>
                <w:rFonts w:hint="eastAsia" w:ascii="宋体" w:hAnsi="宋体" w:eastAsia="宋体" w:cs="宋体"/>
                <w:color w:val="auto"/>
                <w:kern w:val="2"/>
                <w:sz w:val="24"/>
                <w:szCs w:val="24"/>
                <w:highlight w:val="none"/>
                <w:lang w:val="en-US" w:eastAsia="zh-CN" w:bidi="ar-SA"/>
              </w:rPr>
              <w:t>全流程完整演示得1分，演示不全者或不演示该演示项不得分。</w:t>
            </w:r>
          </w:p>
          <w:p w14:paraId="414F83A7">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5.工作流引擎：系统能支持工作流引擎，实现流程的动态配置。支持系统内各项审批流程的自定义，如：调停课流程、成绩录入流程、教室借用流程、缓考申请流程、培养方案审核流程。</w:t>
            </w:r>
            <w:r>
              <w:rPr>
                <w:rFonts w:hint="eastAsia" w:ascii="宋体" w:hAnsi="宋体" w:cs="宋体"/>
                <w:color w:val="auto"/>
                <w:kern w:val="2"/>
                <w:sz w:val="24"/>
                <w:szCs w:val="24"/>
                <w:highlight w:val="none"/>
                <w:lang w:val="en-US" w:eastAsia="zh-CN" w:bidi="ar-SA"/>
              </w:rPr>
              <w:t>按要求</w:t>
            </w:r>
            <w:r>
              <w:rPr>
                <w:rFonts w:hint="eastAsia" w:ascii="宋体" w:hAnsi="宋体" w:eastAsia="宋体" w:cs="宋体"/>
                <w:color w:val="auto"/>
                <w:kern w:val="2"/>
                <w:sz w:val="24"/>
                <w:szCs w:val="24"/>
                <w:highlight w:val="none"/>
                <w:lang w:val="en-US" w:eastAsia="zh-CN" w:bidi="ar-SA"/>
              </w:rPr>
              <w:t>全流程完整演示得1分，演示不全者或不演示该演示项不得分。</w:t>
            </w:r>
          </w:p>
          <w:p w14:paraId="6E65F405">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6.普通话考试报名模块：支持管理员发布普通话考试时间、场次等信息。学生可在系统内查看考试信息并提交报名，自动留存报名学生的具体信息，便于统计。</w:t>
            </w:r>
            <w:r>
              <w:rPr>
                <w:rFonts w:hint="eastAsia" w:ascii="宋体" w:hAnsi="宋体" w:cs="宋体"/>
                <w:color w:val="auto"/>
                <w:kern w:val="2"/>
                <w:sz w:val="24"/>
                <w:szCs w:val="24"/>
                <w:highlight w:val="none"/>
                <w:lang w:val="en-US" w:eastAsia="zh-CN" w:bidi="ar-SA"/>
              </w:rPr>
              <w:t>按要求</w:t>
            </w:r>
            <w:r>
              <w:rPr>
                <w:rFonts w:hint="eastAsia" w:ascii="宋体" w:hAnsi="宋体" w:eastAsia="宋体" w:cs="宋体"/>
                <w:color w:val="auto"/>
                <w:kern w:val="2"/>
                <w:sz w:val="24"/>
                <w:szCs w:val="24"/>
                <w:highlight w:val="none"/>
                <w:lang w:val="en-US" w:eastAsia="zh-CN" w:bidi="ar-SA"/>
              </w:rPr>
              <w:t>全流程完整演示得1分，演示不全者或不演示该演示项不得分。</w:t>
            </w:r>
          </w:p>
          <w:p w14:paraId="6C380BA5">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7.支持同一门课程多名教师不规则周学时的自定义设置</w:t>
            </w:r>
            <w:r>
              <w:rPr>
                <w:rFonts w:hint="eastAsia" w:ascii="宋体" w:hAnsi="宋体" w:cs="宋体"/>
                <w:color w:val="auto"/>
                <w:kern w:val="2"/>
                <w:sz w:val="24"/>
                <w:szCs w:val="24"/>
                <w:highlight w:val="none"/>
                <w:lang w:val="en-US" w:eastAsia="zh-CN" w:bidi="ar-SA"/>
              </w:rPr>
              <w:t>，以</w:t>
            </w:r>
            <w:r>
              <w:rPr>
                <w:rFonts w:hint="eastAsia" w:ascii="宋体" w:hAnsi="宋体" w:eastAsia="宋体" w:cs="宋体"/>
                <w:color w:val="auto"/>
                <w:kern w:val="2"/>
                <w:sz w:val="24"/>
                <w:szCs w:val="24"/>
                <w:highlight w:val="none"/>
                <w:lang w:val="en-US" w:eastAsia="zh-CN" w:bidi="ar-SA"/>
              </w:rPr>
              <w:t>及单双周开课等设置，可通过拖拽进行连、批量的周课时数的设置。一门课程设置两个或两个以上老师上课，后面老师填写周次的时候前面老师已选的周次不可选取或者选取的时候有提醒。</w:t>
            </w:r>
            <w:r>
              <w:rPr>
                <w:rFonts w:hint="eastAsia" w:ascii="宋体" w:hAnsi="宋体" w:cs="宋体"/>
                <w:color w:val="auto"/>
                <w:kern w:val="2"/>
                <w:sz w:val="24"/>
                <w:szCs w:val="24"/>
                <w:highlight w:val="none"/>
                <w:lang w:val="en-US" w:eastAsia="zh-CN" w:bidi="ar-SA"/>
              </w:rPr>
              <w:t>按要求</w:t>
            </w:r>
            <w:r>
              <w:rPr>
                <w:rFonts w:hint="eastAsia" w:ascii="宋体" w:hAnsi="宋体" w:eastAsia="宋体" w:cs="宋体"/>
                <w:color w:val="auto"/>
                <w:kern w:val="2"/>
                <w:sz w:val="24"/>
                <w:szCs w:val="24"/>
                <w:highlight w:val="none"/>
                <w:lang w:val="en-US" w:eastAsia="zh-CN" w:bidi="ar-SA"/>
              </w:rPr>
              <w:t>全流程完整演示得1分，演示不全者或不演示该演示项不得分。</w:t>
            </w:r>
          </w:p>
          <w:p w14:paraId="2C553577">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8.查看课表，课表界面可进行教学日志填写，教师打卡和教学资源查看。</w:t>
            </w:r>
            <w:r>
              <w:rPr>
                <w:rFonts w:hint="eastAsia" w:ascii="宋体" w:hAnsi="宋体" w:cs="宋体"/>
                <w:color w:val="auto"/>
                <w:kern w:val="2"/>
                <w:sz w:val="24"/>
                <w:szCs w:val="24"/>
                <w:highlight w:val="none"/>
                <w:lang w:val="en-US" w:eastAsia="zh-CN" w:bidi="ar-SA"/>
              </w:rPr>
              <w:t>按要求</w:t>
            </w:r>
            <w:r>
              <w:rPr>
                <w:rFonts w:hint="eastAsia" w:ascii="宋体" w:hAnsi="宋体" w:eastAsia="宋体" w:cs="宋体"/>
                <w:color w:val="auto"/>
                <w:kern w:val="2"/>
                <w:sz w:val="24"/>
                <w:szCs w:val="24"/>
                <w:highlight w:val="none"/>
                <w:lang w:val="en-US" w:eastAsia="zh-CN" w:bidi="ar-SA"/>
              </w:rPr>
              <w:t>全流程完整演示得1分，演示不全者或不演示该演示项不得分。</w:t>
            </w:r>
          </w:p>
          <w:p w14:paraId="7FF6D66E">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9.系统界面提供智能引导机器人，既可以在线与智能引导机器人解决系统操作和使用问题，也可以转人工在线，为操作员和师生提供便捷。</w:t>
            </w:r>
            <w:r>
              <w:rPr>
                <w:rFonts w:hint="eastAsia" w:ascii="宋体" w:hAnsi="宋体" w:cs="宋体"/>
                <w:color w:val="auto"/>
                <w:kern w:val="2"/>
                <w:sz w:val="24"/>
                <w:szCs w:val="24"/>
                <w:highlight w:val="none"/>
                <w:lang w:val="en-US" w:eastAsia="zh-CN" w:bidi="ar-SA"/>
              </w:rPr>
              <w:t>按要求</w:t>
            </w:r>
            <w:r>
              <w:rPr>
                <w:rFonts w:hint="eastAsia" w:ascii="宋体" w:hAnsi="宋体" w:eastAsia="宋体" w:cs="宋体"/>
                <w:color w:val="auto"/>
                <w:kern w:val="2"/>
                <w:sz w:val="24"/>
                <w:szCs w:val="24"/>
                <w:highlight w:val="none"/>
                <w:lang w:val="en-US" w:eastAsia="zh-CN" w:bidi="ar-SA"/>
              </w:rPr>
              <w:t>全流程完整演示得1分，演示不全者或不演示该演示项不得分。</w:t>
            </w:r>
          </w:p>
          <w:p w14:paraId="0D325866">
            <w:pPr>
              <w:jc w:val="left"/>
              <w:rPr>
                <w:rFonts w:hint="default" w:ascii="宋体" w:hAnsi="宋体" w:eastAsia="宋体" w:cs="宋体"/>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说明：供应商须在评审专家通过政采云平台发起视频会议后，方可开始演示。请供应商自行学习政采云平台视频会议演示相关功能，并提前调试好设备，确保演示内容清晰、演示过程顺畅。</w:t>
            </w:r>
          </w:p>
        </w:tc>
      </w:tr>
      <w:tr w14:paraId="2C71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jc w:val="center"/>
        </w:trPr>
        <w:tc>
          <w:tcPr>
            <w:tcW w:w="1257" w:type="dxa"/>
            <w:vMerge w:val="continue"/>
            <w:noWrap w:val="0"/>
            <w:vAlign w:val="center"/>
          </w:tcPr>
          <w:p w14:paraId="770DD9A1">
            <w:pPr>
              <w:jc w:val="left"/>
              <w:rPr>
                <w:rFonts w:hint="eastAsia" w:ascii="宋体" w:hAnsi="宋体" w:eastAsia="宋体" w:cs="宋体"/>
                <w:sz w:val="24"/>
                <w:highlight w:val="none"/>
              </w:rPr>
            </w:pPr>
          </w:p>
        </w:tc>
        <w:tc>
          <w:tcPr>
            <w:tcW w:w="1687" w:type="dxa"/>
            <w:noWrap w:val="0"/>
            <w:vAlign w:val="center"/>
          </w:tcPr>
          <w:p w14:paraId="5688B7B4">
            <w:pPr>
              <w:jc w:val="both"/>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运维</w:t>
            </w:r>
            <w:r>
              <w:rPr>
                <w:rFonts w:hint="eastAsia" w:ascii="宋体" w:hAnsi="宋体" w:cs="宋体"/>
                <w:sz w:val="24"/>
                <w:szCs w:val="24"/>
                <w:highlight w:val="none"/>
                <w:lang w:eastAsia="zh-CN"/>
              </w:rPr>
              <w:t>服务</w:t>
            </w:r>
          </w:p>
          <w:p w14:paraId="504EF3C7">
            <w:pPr>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12分</w:t>
            </w:r>
            <w:r>
              <w:rPr>
                <w:rFonts w:hint="eastAsia" w:ascii="宋体" w:hAnsi="宋体" w:cs="宋体"/>
                <w:sz w:val="24"/>
                <w:szCs w:val="24"/>
                <w:highlight w:val="none"/>
                <w:lang w:eastAsia="zh-CN"/>
              </w:rPr>
              <w:t>）</w:t>
            </w:r>
          </w:p>
        </w:tc>
        <w:tc>
          <w:tcPr>
            <w:tcW w:w="6581" w:type="dxa"/>
            <w:noWrap w:val="0"/>
            <w:vAlign w:val="top"/>
          </w:tcPr>
          <w:p w14:paraId="2994B3AE">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根据供应商为本项目制定的</w:t>
            </w:r>
            <w:r>
              <w:rPr>
                <w:rFonts w:hint="eastAsia" w:ascii="宋体" w:hAnsi="宋体"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服务方案进行评分，方案包括但不限于：（1）</w:t>
            </w:r>
            <w:r>
              <w:rPr>
                <w:rFonts w:hint="eastAsia" w:ascii="宋体" w:hAnsi="宋体"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服务保证承诺；（2）</w:t>
            </w:r>
            <w:r>
              <w:rPr>
                <w:rFonts w:hint="eastAsia" w:ascii="宋体" w:hAnsi="宋体" w:cs="宋体"/>
                <w:color w:val="auto"/>
                <w:kern w:val="2"/>
                <w:sz w:val="24"/>
                <w:szCs w:val="24"/>
                <w:highlight w:val="none"/>
                <w:lang w:val="en-US" w:eastAsia="zh-CN" w:bidi="ar-SA"/>
              </w:rPr>
              <w:t>运维期</w:t>
            </w:r>
            <w:r>
              <w:rPr>
                <w:rFonts w:hint="eastAsia" w:ascii="宋体" w:hAnsi="宋体" w:eastAsia="宋体" w:cs="宋体"/>
                <w:color w:val="auto"/>
                <w:kern w:val="2"/>
                <w:sz w:val="24"/>
                <w:szCs w:val="24"/>
                <w:highlight w:val="none"/>
                <w:lang w:val="en-US" w:eastAsia="zh-CN" w:bidi="ar-SA"/>
              </w:rPr>
              <w:t>服务人员配备；（3）</w:t>
            </w:r>
            <w:r>
              <w:rPr>
                <w:rFonts w:hint="eastAsia" w:ascii="宋体" w:hAnsi="宋体" w:cs="宋体"/>
                <w:color w:val="auto"/>
                <w:kern w:val="2"/>
                <w:sz w:val="24"/>
                <w:szCs w:val="24"/>
                <w:highlight w:val="none"/>
                <w:lang w:val="en-US" w:eastAsia="zh-CN" w:bidi="ar-SA"/>
              </w:rPr>
              <w:t>运维服务网点</w:t>
            </w:r>
            <w:r>
              <w:rPr>
                <w:rFonts w:hint="eastAsia" w:ascii="宋体" w:hAnsi="宋体" w:eastAsia="宋体" w:cs="宋体"/>
                <w:color w:val="auto"/>
                <w:kern w:val="2"/>
                <w:sz w:val="24"/>
                <w:szCs w:val="24"/>
                <w:highlight w:val="none"/>
                <w:lang w:val="en-US" w:eastAsia="zh-CN" w:bidi="ar-SA"/>
              </w:rPr>
              <w:t>（4）</w:t>
            </w:r>
            <w:r>
              <w:rPr>
                <w:rFonts w:hint="eastAsia" w:ascii="宋体" w:hAnsi="宋体"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响应时间；（5）应急情况处理；（6）本地驻场服务。</w:t>
            </w:r>
          </w:p>
          <w:p w14:paraId="32E520CA">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所有要素齐全且完全满足项目要求得</w:t>
            </w:r>
            <w:r>
              <w:rPr>
                <w:rFonts w:hint="eastAsia" w:ascii="宋体" w:hAnsi="宋体" w:cs="宋体"/>
                <w:color w:val="auto"/>
                <w:kern w:val="2"/>
                <w:sz w:val="24"/>
                <w:szCs w:val="24"/>
                <w:highlight w:val="none"/>
                <w:lang w:val="en-US" w:eastAsia="zh-CN" w:bidi="ar-SA"/>
              </w:rPr>
              <w:t>12</w:t>
            </w:r>
            <w:r>
              <w:rPr>
                <w:rFonts w:hint="eastAsia" w:ascii="宋体" w:hAnsi="宋体" w:eastAsia="宋体" w:cs="宋体"/>
                <w:color w:val="auto"/>
                <w:kern w:val="2"/>
                <w:sz w:val="24"/>
                <w:szCs w:val="24"/>
                <w:highlight w:val="none"/>
                <w:lang w:val="en-US" w:eastAsia="zh-CN" w:bidi="ar-SA"/>
              </w:rPr>
              <w:t>分；每个要素里每有一处内容缺陷扣</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分；以上有缺项的，每缺一项扣</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分，扣完为止。（缺陷是指：存在不适用项目实际情况的情形、凭空编造、内容前后不一致、前后逻辑错误、涉及的规范及标准错误、地点区域错误、内容缺失、不符合采购需求等）</w:t>
            </w:r>
          </w:p>
        </w:tc>
      </w:tr>
      <w:tr w14:paraId="79A5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1257" w:type="dxa"/>
            <w:vMerge w:val="continue"/>
            <w:noWrap w:val="0"/>
            <w:vAlign w:val="center"/>
          </w:tcPr>
          <w:p w14:paraId="6464AB32">
            <w:pPr>
              <w:jc w:val="left"/>
              <w:rPr>
                <w:rFonts w:hint="eastAsia" w:ascii="宋体" w:hAnsi="宋体" w:eastAsia="宋体" w:cs="宋体"/>
                <w:sz w:val="24"/>
                <w:highlight w:val="none"/>
              </w:rPr>
            </w:pPr>
          </w:p>
        </w:tc>
        <w:tc>
          <w:tcPr>
            <w:tcW w:w="1687" w:type="dxa"/>
            <w:noWrap w:val="0"/>
            <w:vAlign w:val="center"/>
          </w:tcPr>
          <w:p w14:paraId="1648F07B">
            <w:pPr>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培训服务</w:t>
            </w:r>
          </w:p>
          <w:p w14:paraId="2AFAEB07">
            <w:pPr>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6分</w:t>
            </w:r>
            <w:r>
              <w:rPr>
                <w:rFonts w:hint="eastAsia" w:ascii="宋体" w:hAnsi="宋体" w:cs="宋体"/>
                <w:sz w:val="24"/>
                <w:szCs w:val="24"/>
                <w:highlight w:val="none"/>
                <w:lang w:eastAsia="zh-CN"/>
              </w:rPr>
              <w:t>）</w:t>
            </w:r>
          </w:p>
        </w:tc>
        <w:tc>
          <w:tcPr>
            <w:tcW w:w="6581" w:type="dxa"/>
            <w:noWrap w:val="0"/>
            <w:vAlign w:val="top"/>
          </w:tcPr>
          <w:p w14:paraId="18B14C6B">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根据供应商为本项目制定的培训服务方案进行评分，方案包括但不限于：（1）培训方案；（2）培训流程；（3）培训对象等进行综合评分；</w:t>
            </w:r>
          </w:p>
          <w:p w14:paraId="1222D54E">
            <w:pPr>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所有要素齐全且完全满足项目要求得</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分；每个要素里每有一处内容缺陷扣</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分；以上有缺项的，每缺一项扣</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分，扣完为止。（缺陷是指：存在不适用项目实际情况的情形、凭空编造、内容前后不一致、前后逻辑错误、涉及的规范及标准错误、地点区域错误、内容缺失、不符合采购需求等）</w:t>
            </w:r>
          </w:p>
        </w:tc>
      </w:tr>
    </w:tbl>
    <w:p w14:paraId="518D5C2D">
      <w:pPr>
        <w:spacing w:line="360" w:lineRule="auto"/>
        <w:outlineLvl w:val="3"/>
        <w:rPr>
          <w:rFonts w:hint="eastAsia" w:ascii="宋体" w:hAnsi="宋体" w:eastAsia="宋体" w:cs="宋体"/>
          <w:b/>
          <w:bCs/>
          <w:color w:val="auto"/>
          <w:sz w:val="24"/>
          <w:szCs w:val="24"/>
          <w:highlight w:val="none"/>
        </w:rPr>
      </w:pPr>
    </w:p>
    <w:p w14:paraId="58881AFB">
      <w:pPr>
        <w:spacing w:line="360" w:lineRule="auto"/>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6.1.2 价格的开启、核准和评分</w:t>
      </w:r>
    </w:p>
    <w:p w14:paraId="0F7ADF33">
      <w:pPr>
        <w:numPr>
          <w:ilvl w:val="0"/>
          <w:numId w:val="0"/>
        </w:numPr>
        <w:tabs>
          <w:tab w:val="left" w:pos="930"/>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评标委员会详细分析、核准价格表，检查其是否存在计算上或累加上的算术错误，修正错误的原则如下：</w:t>
      </w:r>
    </w:p>
    <w:p w14:paraId="1B5D6B9E">
      <w:pPr>
        <w:keepNext w:val="0"/>
        <w:keepLines w:val="0"/>
        <w:pageBreakBefore w:val="0"/>
        <w:widowControl w:val="0"/>
        <w:numPr>
          <w:ilvl w:val="1"/>
          <w:numId w:val="15"/>
        </w:numPr>
        <w:tabs>
          <w:tab w:val="left" w:pos="1050"/>
        </w:tabs>
        <w:kinsoku/>
        <w:wordWrap/>
        <w:overflowPunct/>
        <w:topLinePunct w:val="0"/>
        <w:autoSpaceDE/>
        <w:autoSpaceDN/>
        <w:bidi w:val="0"/>
        <w:adjustRightInd/>
        <w:snapToGrid/>
        <w:spacing w:line="360" w:lineRule="auto"/>
        <w:ind w:left="629" w:firstLine="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投标文件中开标一览表（报价表）内容与投标文件中相应内容不一致的，以开标一览表（报价表）为准；</w:t>
      </w:r>
    </w:p>
    <w:p w14:paraId="6F55EE03">
      <w:pPr>
        <w:keepNext w:val="0"/>
        <w:keepLines w:val="0"/>
        <w:pageBreakBefore w:val="0"/>
        <w:widowControl w:val="0"/>
        <w:numPr>
          <w:ilvl w:val="1"/>
          <w:numId w:val="15"/>
        </w:numPr>
        <w:tabs>
          <w:tab w:val="left" w:pos="1050"/>
        </w:tabs>
        <w:kinsoku/>
        <w:wordWrap/>
        <w:overflowPunct/>
        <w:topLinePunct w:val="0"/>
        <w:autoSpaceDE/>
        <w:autoSpaceDN/>
        <w:bidi w:val="0"/>
        <w:adjustRightInd/>
        <w:snapToGrid/>
        <w:spacing w:line="360" w:lineRule="auto"/>
        <w:ind w:left="629" w:firstLine="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大写金额和小写金额不一致的，以大写金额为准；</w:t>
      </w:r>
    </w:p>
    <w:p w14:paraId="54FF7321">
      <w:pPr>
        <w:keepNext w:val="0"/>
        <w:keepLines w:val="0"/>
        <w:pageBreakBefore w:val="0"/>
        <w:widowControl w:val="0"/>
        <w:numPr>
          <w:ilvl w:val="1"/>
          <w:numId w:val="15"/>
        </w:numPr>
        <w:tabs>
          <w:tab w:val="left" w:pos="1050"/>
        </w:tabs>
        <w:kinsoku/>
        <w:wordWrap/>
        <w:overflowPunct/>
        <w:topLinePunct w:val="0"/>
        <w:autoSpaceDE/>
        <w:autoSpaceDN/>
        <w:bidi w:val="0"/>
        <w:adjustRightInd/>
        <w:snapToGrid/>
        <w:spacing w:line="360" w:lineRule="auto"/>
        <w:ind w:left="629" w:firstLine="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单价金额小数点或者百分比有明显错位的，以开标一览表的总价为准，并修改单价；</w:t>
      </w:r>
    </w:p>
    <w:p w14:paraId="2488E726">
      <w:pPr>
        <w:keepNext w:val="0"/>
        <w:keepLines w:val="0"/>
        <w:pageBreakBefore w:val="0"/>
        <w:widowControl w:val="0"/>
        <w:numPr>
          <w:ilvl w:val="1"/>
          <w:numId w:val="15"/>
        </w:numPr>
        <w:tabs>
          <w:tab w:val="left" w:pos="1050"/>
        </w:tabs>
        <w:kinsoku/>
        <w:wordWrap/>
        <w:overflowPunct/>
        <w:topLinePunct w:val="0"/>
        <w:autoSpaceDE/>
        <w:autoSpaceDN/>
        <w:bidi w:val="0"/>
        <w:adjustRightInd/>
        <w:snapToGrid/>
        <w:spacing w:line="360" w:lineRule="auto"/>
        <w:ind w:left="629" w:firstLine="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总价金额与按单价汇总金额不一致的，以单价金额计算结果为准；</w:t>
      </w:r>
    </w:p>
    <w:p w14:paraId="7D7425D3">
      <w:pPr>
        <w:tabs>
          <w:tab w:val="left" w:pos="1050"/>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同时出现两种以上不一致的，按照前款规定的顺序修正。修正后的报价按照投标人的澄清、说明或者补正应当采用书面形式，并加盖公章，或者由法定代表人或其授权的代表签字。投标人的澄清、说明或者补正不得超出投标文件的范围或者改变投标文件的实质性内容。经投标人确认后产生约束力，投标人不确认的，其投标无效。</w:t>
      </w:r>
    </w:p>
    <w:p w14:paraId="2AEF7D35">
      <w:pPr>
        <w:keepNext w:val="0"/>
        <w:keepLines w:val="0"/>
        <w:pageBreakBefore w:val="0"/>
        <w:widowControl w:val="0"/>
        <w:numPr>
          <w:ilvl w:val="0"/>
          <w:numId w:val="0"/>
        </w:numPr>
        <w:tabs>
          <w:tab w:val="left" w:pos="93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供货范围（包括</w:t>
      </w:r>
      <w:r>
        <w:rPr>
          <w:rFonts w:hint="eastAsia" w:ascii="宋体" w:hAnsi="宋体" w:eastAsia="宋体" w:cs="宋体"/>
          <w:bCs/>
          <w:color w:val="auto"/>
          <w:sz w:val="24"/>
          <w:szCs w:val="24"/>
          <w:highlight w:val="none"/>
          <w:lang w:eastAsia="zh-CN"/>
        </w:rPr>
        <w:t>货物</w:t>
      </w:r>
      <w:r>
        <w:rPr>
          <w:rFonts w:hint="eastAsia" w:ascii="宋体" w:hAnsi="宋体" w:eastAsia="宋体" w:cs="宋体"/>
          <w:bCs/>
          <w:color w:val="auto"/>
          <w:sz w:val="24"/>
          <w:szCs w:val="24"/>
          <w:highlight w:val="none"/>
        </w:rPr>
        <w:t>和服务）缺漏项的调整，其调整价格为该项在其他有效投标中的最高报价。</w:t>
      </w:r>
    </w:p>
    <w:p w14:paraId="144D79AA">
      <w:pPr>
        <w:keepNext w:val="0"/>
        <w:keepLines w:val="0"/>
        <w:pageBreakBefore w:val="0"/>
        <w:widowControl w:val="0"/>
        <w:numPr>
          <w:ilvl w:val="0"/>
          <w:numId w:val="0"/>
        </w:numPr>
        <w:tabs>
          <w:tab w:val="left" w:pos="93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评标委员会将按照上述修正错误的方法调整投标文件中投标报价，调整后的价格对投标人具有约束力。如果投标人不接受修正后的投标价格，则其投标将被拒绝。</w:t>
      </w:r>
    </w:p>
    <w:p w14:paraId="169CCB0C">
      <w:pPr>
        <w:pStyle w:val="29"/>
        <w:snapToGrid w:val="0"/>
        <w:spacing w:line="288" w:lineRule="auto"/>
        <w:rPr>
          <w:rFonts w:hint="default" w:ascii="宋体" w:hAnsi="宋体" w:eastAsia="宋体" w:cs="宋体"/>
          <w:bCs/>
          <w:color w:val="auto"/>
          <w:sz w:val="24"/>
          <w:szCs w:val="24"/>
          <w:highlight w:val="none"/>
          <w:lang w:val="en-US"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政策价格扣除</w:t>
      </w:r>
      <w:r>
        <w:rPr>
          <w:rFonts w:hint="eastAsia" w:ascii="宋体" w:hAnsi="宋体" w:eastAsia="宋体" w:cs="宋体"/>
          <w:b/>
          <w:bCs w:val="0"/>
          <w:color w:val="auto"/>
          <w:sz w:val="24"/>
          <w:szCs w:val="24"/>
          <w:highlight w:val="none"/>
          <w:lang w:eastAsia="zh-CN"/>
        </w:rPr>
        <w:t>：</w:t>
      </w:r>
      <w:r>
        <w:rPr>
          <w:rFonts w:hint="eastAsia" w:ascii="宋体" w:hAnsi="宋体" w:cs="宋体"/>
          <w:b/>
          <w:bCs w:val="0"/>
          <w:color w:val="auto"/>
          <w:sz w:val="24"/>
          <w:szCs w:val="24"/>
          <w:highlight w:val="none"/>
          <w:lang w:eastAsia="zh-CN"/>
        </w:rPr>
        <w:t>（</w:t>
      </w:r>
      <w:r>
        <w:rPr>
          <w:rFonts w:hint="eastAsia" w:ascii="宋体" w:hAnsi="宋体" w:cs="宋体"/>
          <w:b/>
          <w:bCs w:val="0"/>
          <w:color w:val="auto"/>
          <w:sz w:val="24"/>
          <w:szCs w:val="24"/>
          <w:highlight w:val="none"/>
          <w:lang w:val="en-US" w:eastAsia="zh-CN"/>
        </w:rPr>
        <w:t>注：本项目专门面向中小企业，不再进项价格扣除。</w:t>
      </w:r>
      <w:r>
        <w:rPr>
          <w:rFonts w:hint="eastAsia" w:ascii="宋体" w:hAnsi="宋体" w:cs="宋体"/>
          <w:b/>
          <w:bCs w:val="0"/>
          <w:color w:val="auto"/>
          <w:sz w:val="24"/>
          <w:szCs w:val="24"/>
          <w:highlight w:val="none"/>
          <w:lang w:eastAsia="zh-CN"/>
        </w:rPr>
        <w:t>）</w:t>
      </w:r>
    </w:p>
    <w:p w14:paraId="49958201">
      <w:pPr>
        <w:numPr>
          <w:ilvl w:val="0"/>
          <w:numId w:val="0"/>
        </w:numPr>
        <w:tabs>
          <w:tab w:val="left" w:pos="930"/>
        </w:tabs>
        <w:spacing w:line="360" w:lineRule="auto"/>
        <w:ind w:left="525" w:leftChars="0"/>
        <w:rPr>
          <w:rFonts w:hint="eastAsia" w:ascii="宋体" w:hAnsi="宋体" w:eastAsia="宋体" w:cs="宋体"/>
          <w:b/>
          <w:bCs w:val="0"/>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4.1</w:t>
      </w:r>
      <w:r>
        <w:rPr>
          <w:rFonts w:hint="eastAsia" w:ascii="宋体" w:hAnsi="宋体" w:eastAsia="宋体" w:cs="宋体"/>
          <w:bCs/>
          <w:color w:val="auto"/>
          <w:sz w:val="24"/>
          <w:szCs w:val="24"/>
          <w:highlight w:val="none"/>
          <w:lang w:eastAsia="zh-CN"/>
        </w:rPr>
        <w:t>）</w:t>
      </w:r>
      <w:r>
        <w:rPr>
          <w:rFonts w:hint="eastAsia" w:ascii="宋体" w:hAnsi="宋体" w:eastAsia="宋体" w:cs="宋体"/>
          <w:b/>
          <w:bCs w:val="0"/>
          <w:color w:val="auto"/>
          <w:sz w:val="24"/>
          <w:szCs w:val="24"/>
          <w:highlight w:val="none"/>
        </w:rPr>
        <w:t>小型和微型企业产品价格扣除</w:t>
      </w:r>
    </w:p>
    <w:p w14:paraId="6ADC3DFD">
      <w:pPr>
        <w:numPr>
          <w:ilvl w:val="1"/>
          <w:numId w:val="16"/>
        </w:numPr>
        <w:tabs>
          <w:tab w:val="left" w:pos="1050"/>
        </w:tabs>
        <w:spacing w:line="360" w:lineRule="auto"/>
        <w:ind w:left="1050"/>
        <w:rPr>
          <w:rFonts w:hint="eastAsia" w:ascii="宋体" w:hAnsi="宋体" w:eastAsia="宋体" w:cs="宋体"/>
          <w:bCs/>
          <w:color w:val="auto"/>
          <w:sz w:val="24"/>
          <w:szCs w:val="24"/>
          <w:highlight w:val="none"/>
        </w:rPr>
      </w:pPr>
      <w:r>
        <w:rPr>
          <w:rFonts w:hint="eastAsia" w:ascii="宋体" w:hAnsi="宋体"/>
          <w:bCs/>
          <w:sz w:val="24"/>
          <w:highlight w:val="none"/>
        </w:rPr>
        <w:t>根据财务部、工业和信息化部印发的</w:t>
      </w:r>
      <w:r>
        <w:rPr>
          <w:rFonts w:hint="eastAsia" w:ascii="宋体" w:hAnsi="宋体"/>
          <w:bCs/>
          <w:color w:val="auto"/>
          <w:sz w:val="24"/>
          <w:highlight w:val="none"/>
        </w:rPr>
        <w:t>《政府采购促进中小企业发展管理办法》（</w:t>
      </w:r>
      <w:r>
        <w:rPr>
          <w:rFonts w:hint="eastAsia" w:ascii="宋体" w:hAnsi="宋体"/>
          <w:bCs/>
          <w:color w:val="auto"/>
          <w:sz w:val="24"/>
          <w:highlight w:val="none"/>
          <w:lang w:eastAsia="zh-CN"/>
        </w:rPr>
        <w:t>财库〔2020〕46号</w:t>
      </w:r>
      <w:r>
        <w:rPr>
          <w:rFonts w:hint="eastAsia" w:ascii="宋体" w:hAnsi="宋体"/>
          <w:bCs/>
          <w:color w:val="auto"/>
          <w:sz w:val="24"/>
          <w:highlight w:val="none"/>
        </w:rPr>
        <w:t>）的规定</w:t>
      </w:r>
      <w:r>
        <w:rPr>
          <w:rFonts w:hint="eastAsia" w:ascii="宋体" w:hAnsi="宋体"/>
          <w:bCs/>
          <w:color w:val="auto"/>
          <w:sz w:val="24"/>
          <w:highlight w:val="none"/>
          <w:lang w:eastAsia="zh-CN"/>
        </w:rPr>
        <w:t>及《</w:t>
      </w:r>
      <w:r>
        <w:rPr>
          <w:rFonts w:hint="eastAsia" w:ascii="宋体" w:hAnsi="宋体"/>
          <w:bCs/>
          <w:color w:val="auto"/>
          <w:sz w:val="24"/>
          <w:highlight w:val="none"/>
        </w:rPr>
        <w:t>关于进一步加大政府采购支持中小企业力度的通知</w:t>
      </w:r>
      <w:r>
        <w:rPr>
          <w:rFonts w:hint="eastAsia" w:ascii="宋体" w:hAnsi="宋体"/>
          <w:bCs/>
          <w:color w:val="auto"/>
          <w:sz w:val="24"/>
          <w:highlight w:val="none"/>
          <w:lang w:eastAsia="zh-CN"/>
        </w:rPr>
        <w:t>》</w:t>
      </w:r>
      <w:r>
        <w:rPr>
          <w:rFonts w:hint="eastAsia" w:ascii="宋体" w:hAnsi="宋体"/>
          <w:bCs/>
          <w:color w:val="auto"/>
          <w:sz w:val="24"/>
          <w:highlight w:val="none"/>
        </w:rPr>
        <w:t>财库〔2022〕19号</w:t>
      </w:r>
      <w:r>
        <w:rPr>
          <w:rFonts w:hint="eastAsia" w:ascii="宋体" w:hAnsi="宋体"/>
          <w:bCs/>
          <w:color w:val="auto"/>
          <w:sz w:val="24"/>
          <w:highlight w:val="none"/>
          <w:lang w:eastAsia="zh-CN"/>
        </w:rPr>
        <w:t>文</w:t>
      </w:r>
      <w:r>
        <w:rPr>
          <w:rFonts w:hint="eastAsia" w:ascii="宋体" w:hAnsi="宋体"/>
          <w:bCs/>
          <w:sz w:val="24"/>
          <w:highlight w:val="none"/>
        </w:rPr>
        <w:t>的规定</w:t>
      </w:r>
      <w:r>
        <w:rPr>
          <w:rFonts w:hint="eastAsia" w:ascii="宋体" w:hAnsi="宋体" w:eastAsia="宋体" w:cs="宋体"/>
          <w:bCs/>
          <w:color w:val="auto"/>
          <w:sz w:val="24"/>
          <w:szCs w:val="24"/>
          <w:highlight w:val="none"/>
        </w:rPr>
        <w:t>，对小型和微型企业产品的价格给予</w:t>
      </w:r>
      <w:r>
        <w:rPr>
          <w:rFonts w:hint="eastAsia" w:ascii="宋体" w:hAnsi="宋体" w:cs="宋体"/>
          <w:b/>
          <w:bCs w:val="0"/>
          <w:color w:val="auto"/>
          <w:sz w:val="24"/>
          <w:szCs w:val="24"/>
          <w:highlight w:val="none"/>
          <w:lang w:val="en-US" w:eastAsia="zh-CN"/>
        </w:rPr>
        <w:t>10%</w:t>
      </w:r>
      <w:r>
        <w:rPr>
          <w:rFonts w:hint="eastAsia" w:ascii="宋体" w:hAnsi="宋体" w:eastAsia="宋体" w:cs="宋体"/>
          <w:bCs/>
          <w:color w:val="auto"/>
          <w:sz w:val="24"/>
          <w:szCs w:val="24"/>
          <w:highlight w:val="none"/>
        </w:rPr>
        <w:t>的扣除，联合体一方为小型、微型企业且小型、微型企业协议合同金额占联合体协议合同总金额30%以上</w:t>
      </w:r>
      <w:r>
        <w:rPr>
          <w:rFonts w:hint="eastAsia" w:ascii="宋体" w:hAnsi="宋体" w:eastAsia="宋体" w:cs="宋体"/>
          <w:bCs/>
          <w:color w:val="auto"/>
          <w:sz w:val="24"/>
          <w:szCs w:val="24"/>
          <w:highlight w:val="none"/>
          <w:lang w:eastAsia="zh-CN"/>
        </w:rPr>
        <w:t>地对</w:t>
      </w:r>
      <w:r>
        <w:rPr>
          <w:rFonts w:hint="eastAsia" w:ascii="宋体" w:hAnsi="宋体" w:eastAsia="宋体" w:cs="宋体"/>
          <w:bCs/>
          <w:color w:val="auto"/>
          <w:sz w:val="24"/>
          <w:szCs w:val="24"/>
          <w:highlight w:val="none"/>
        </w:rPr>
        <w:t>联合体总金额扣除</w:t>
      </w:r>
      <w:r>
        <w:rPr>
          <w:rFonts w:hint="eastAsia" w:ascii="宋体" w:hAnsi="宋体" w:eastAsia="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rPr>
        <w:t>%</w:t>
      </w:r>
      <w:r>
        <w:rPr>
          <w:rFonts w:hint="eastAsia" w:ascii="宋体" w:hAnsi="宋体" w:eastAsia="宋体" w:cs="宋体"/>
          <w:bCs/>
          <w:color w:val="auto"/>
          <w:sz w:val="24"/>
          <w:szCs w:val="24"/>
          <w:highlight w:val="none"/>
        </w:rPr>
        <w:t>，用扣除后的价格参与评审；投标产品中仅有部分小型和微型企业产品的，则按所投小型和微型企业产品的价格予以扣除。</w:t>
      </w:r>
    </w:p>
    <w:p w14:paraId="3FDCC7E9">
      <w:pPr>
        <w:numPr>
          <w:ilvl w:val="1"/>
          <w:numId w:val="16"/>
        </w:numPr>
        <w:tabs>
          <w:tab w:val="left" w:pos="1050"/>
        </w:tabs>
        <w:spacing w:line="360" w:lineRule="auto"/>
        <w:ind w:left="10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《政府采购促进中小企业发展暂行办法》所称中小企业（含中型、小型、微型企业，下同）应当同时符合以下条件：</w:t>
      </w:r>
    </w:p>
    <w:p w14:paraId="03A2302A">
      <w:pPr>
        <w:spacing w:line="360" w:lineRule="auto"/>
        <w:ind w:left="63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①符合中小企业划分标准；</w:t>
      </w:r>
    </w:p>
    <w:p w14:paraId="2528E417">
      <w:pPr>
        <w:spacing w:line="360" w:lineRule="auto"/>
        <w:ind w:left="630"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②提供本企业制造的货物、承担的工程或者服务，或者提供其他中小企业制造的货物。本项所称货物不包括使用大型企业注册商标的货物。</w:t>
      </w:r>
    </w:p>
    <w:p w14:paraId="2AD1410E">
      <w:pPr>
        <w:spacing w:line="360" w:lineRule="auto"/>
        <w:ind w:left="630"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中小企业划分标准以《工业和信息化部、国家统计局、国家发展和改革委员会、财政部关于印发中小企业划型标准的通知》（工信部联企业</w:t>
      </w:r>
      <w:r>
        <w:rPr>
          <w:rFonts w:hint="eastAsia" w:ascii="宋体" w:hAnsi="宋体" w:cs="宋体"/>
          <w:bCs/>
          <w:color w:val="auto"/>
          <w:sz w:val="24"/>
          <w:szCs w:val="24"/>
          <w:highlight w:val="none"/>
          <w:lang w:eastAsia="zh-CN"/>
        </w:rPr>
        <w:t>〔2011〕300号</w:t>
      </w:r>
      <w:r>
        <w:rPr>
          <w:rFonts w:hint="eastAsia" w:ascii="宋体" w:hAnsi="宋体" w:eastAsia="宋体" w:cs="宋体"/>
          <w:bCs/>
          <w:color w:val="auto"/>
          <w:sz w:val="24"/>
          <w:szCs w:val="24"/>
          <w:highlight w:val="none"/>
        </w:rPr>
        <w:t>）规定的划分标准为准。小型、微型企业提供中型企业制造的货物的，视同为中型企业。</w:t>
      </w:r>
    </w:p>
    <w:p w14:paraId="1AFBD056">
      <w:pPr>
        <w:numPr>
          <w:ilvl w:val="0"/>
          <w:numId w:val="0"/>
        </w:numPr>
        <w:spacing w:line="360" w:lineRule="auto"/>
        <w:ind w:left="1110" w:leftChars="0"/>
        <w:rPr>
          <w:rFonts w:hint="eastAsia" w:ascii="宋体" w:hAnsi="宋体" w:eastAsia="宋体" w:cs="宋体"/>
          <w:bCs/>
          <w:color w:val="auto"/>
          <w:sz w:val="24"/>
          <w:szCs w:val="24"/>
          <w:highlight w:val="none"/>
        </w:rPr>
      </w:pPr>
      <w:r>
        <w:rPr>
          <w:rFonts w:hint="default" w:ascii="Calibri" w:hAnsi="Calibri" w:eastAsia="宋体" w:cs="Calibri"/>
          <w:bCs/>
          <w:color w:val="auto"/>
          <w:sz w:val="24"/>
          <w:szCs w:val="24"/>
          <w:highlight w:val="none"/>
        </w:rPr>
        <w:t>③</w:t>
      </w:r>
      <w:r>
        <w:rPr>
          <w:rFonts w:hint="eastAsia" w:ascii="宋体" w:hAnsi="宋体" w:eastAsia="宋体" w:cs="宋体"/>
          <w:bCs/>
          <w:color w:val="auto"/>
          <w:sz w:val="24"/>
          <w:szCs w:val="24"/>
          <w:highlight w:val="none"/>
        </w:rPr>
        <w:t>参加政府采购活动的中小企业应当提供《中小企业声明函》</w:t>
      </w:r>
    </w:p>
    <w:p w14:paraId="63B20255">
      <w:pPr>
        <w:tabs>
          <w:tab w:val="left" w:pos="1050"/>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监狱企业产品价格扣除</w:t>
      </w:r>
    </w:p>
    <w:p w14:paraId="3970C9A9">
      <w:pPr>
        <w:numPr>
          <w:ilvl w:val="1"/>
          <w:numId w:val="17"/>
        </w:numPr>
        <w:tabs>
          <w:tab w:val="left" w:pos="1050"/>
        </w:tabs>
        <w:spacing w:line="360" w:lineRule="auto"/>
        <w:ind w:left="10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监狱企业视同小型、微型企业，按上述4.1的a</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条款享受评审中价格扣除。</w:t>
      </w:r>
    </w:p>
    <w:p w14:paraId="1AF09304">
      <w:pPr>
        <w:numPr>
          <w:ilvl w:val="1"/>
          <w:numId w:val="17"/>
        </w:numPr>
        <w:tabs>
          <w:tab w:val="left" w:pos="1050"/>
        </w:tabs>
        <w:spacing w:line="360" w:lineRule="auto"/>
        <w:ind w:left="10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28C439E">
      <w:pPr>
        <w:numPr>
          <w:ilvl w:val="1"/>
          <w:numId w:val="17"/>
        </w:numPr>
        <w:tabs>
          <w:tab w:val="left" w:pos="1050"/>
        </w:tabs>
        <w:spacing w:line="360" w:lineRule="auto"/>
        <w:ind w:left="10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监狱企业参加政府采购活动时，应当提供由省级以上监狱管理局、戒毒管理局（含新疆生产建设兵团）出具的属于监狱企业的证明文件，否则不予认可。</w:t>
      </w:r>
    </w:p>
    <w:p w14:paraId="0CE30134">
      <w:pPr>
        <w:tabs>
          <w:tab w:val="left" w:pos="1050"/>
        </w:tabs>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残疾人福利性单位产品价格扣除</w:t>
      </w:r>
    </w:p>
    <w:p w14:paraId="5ECF27B3">
      <w:pPr>
        <w:numPr>
          <w:ilvl w:val="1"/>
          <w:numId w:val="18"/>
        </w:numPr>
        <w:tabs>
          <w:tab w:val="left" w:pos="1050"/>
        </w:tabs>
        <w:spacing w:line="360" w:lineRule="auto"/>
        <w:ind w:left="10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残疾人福利性单位视同小型、微型企业，按上述4.1的a</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条款享受评审中价格扣除。</w:t>
      </w:r>
    </w:p>
    <w:p w14:paraId="5A10D447">
      <w:pPr>
        <w:numPr>
          <w:ilvl w:val="1"/>
          <w:numId w:val="18"/>
        </w:numPr>
        <w:tabs>
          <w:tab w:val="left" w:pos="1050"/>
        </w:tabs>
        <w:spacing w:line="360" w:lineRule="auto"/>
        <w:ind w:left="10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声明的真实性负责。一旦中标将在中标公告中公告其声明函，接受社会监督。投标人提供的《残疾人福利性单位声明函》与事实不符的，依照</w:t>
      </w:r>
      <w:r>
        <w:rPr>
          <w:rFonts w:hint="eastAsia" w:ascii="宋体" w:hAnsi="宋体" w:cs="宋体"/>
          <w:bCs/>
          <w:color w:val="auto"/>
          <w:sz w:val="24"/>
          <w:szCs w:val="24"/>
          <w:highlight w:val="none"/>
          <w:lang w:eastAsia="zh-CN"/>
        </w:rPr>
        <w:t>《中华人民共和国政府采购法》</w:t>
      </w:r>
      <w:r>
        <w:rPr>
          <w:rFonts w:hint="eastAsia" w:ascii="宋体" w:hAnsi="宋体" w:eastAsia="宋体" w:cs="宋体"/>
          <w:bCs/>
          <w:color w:val="auto"/>
          <w:sz w:val="24"/>
          <w:szCs w:val="24"/>
          <w:highlight w:val="none"/>
        </w:rPr>
        <w:t>第七十七条第一款的规定追究法律责任。</w:t>
      </w:r>
    </w:p>
    <w:p w14:paraId="783578A8">
      <w:pPr>
        <w:tabs>
          <w:tab w:val="left" w:pos="1050"/>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4.4</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投标人同时为小型、微型企业、监狱企业和残疾人福利性单位任两种或以上情况的</w:t>
      </w:r>
      <w:r>
        <w:rPr>
          <w:rFonts w:hint="eastAsia" w:ascii="宋体" w:hAnsi="宋体" w:cs="宋体"/>
          <w:bCs/>
          <w:color w:val="auto"/>
          <w:sz w:val="24"/>
          <w:szCs w:val="24"/>
          <w:highlight w:val="none"/>
          <w:lang w:eastAsia="zh-CN"/>
        </w:rPr>
        <w:t>，在</w:t>
      </w:r>
      <w:r>
        <w:rPr>
          <w:rFonts w:hint="eastAsia" w:ascii="宋体" w:hAnsi="宋体" w:eastAsia="宋体" w:cs="宋体"/>
          <w:bCs/>
          <w:color w:val="auto"/>
          <w:sz w:val="24"/>
          <w:szCs w:val="24"/>
          <w:highlight w:val="none"/>
        </w:rPr>
        <w:t>评审中只享受一次价格扣除。不重复进行价格扣除。</w:t>
      </w:r>
    </w:p>
    <w:p w14:paraId="283FEEEE">
      <w:pPr>
        <w:tabs>
          <w:tab w:val="left" w:pos="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4.5</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节能产品、环保产品价格扣除：对获得节能产品认证证书或环境标志产品认证证书的产品给予5%的价格扣除。</w:t>
      </w:r>
    </w:p>
    <w:p w14:paraId="355A4DAD">
      <w:pPr>
        <w:keepNext w:val="0"/>
        <w:keepLines w:val="0"/>
        <w:pageBreakBefore w:val="0"/>
        <w:widowControl w:val="0"/>
        <w:numPr>
          <w:ilvl w:val="0"/>
          <w:numId w:val="0"/>
        </w:numPr>
        <w:tabs>
          <w:tab w:val="left" w:pos="93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价格评分</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取通过资格、符合性评审经过评标委员会修正及价格扣除后的所有投标人中最低的投标价格作为基准价格。</w:t>
      </w:r>
    </w:p>
    <w:p w14:paraId="0EDD90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计算公式（四舍五入保留两位小数）：</w:t>
      </w:r>
    </w:p>
    <w:p w14:paraId="74504F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价格评分= [基准价格÷经修正的投标报价]×100</w:t>
      </w:r>
    </w:p>
    <w:p w14:paraId="6714E5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价格得分=价格评分×价格部分权重</w:t>
      </w:r>
    </w:p>
    <w:p w14:paraId="327B813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6.2 权重分配</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7"/>
        <w:gridCol w:w="3104"/>
        <w:gridCol w:w="2996"/>
      </w:tblGrid>
      <w:tr w14:paraId="7A83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197" w:type="dxa"/>
            <w:noWrap w:val="0"/>
            <w:vAlign w:val="center"/>
          </w:tcPr>
          <w:p w14:paraId="3334D4AF">
            <w:pPr>
              <w:spacing w:line="360" w:lineRule="auto"/>
              <w:jc w:val="center"/>
              <w:rPr>
                <w:rFonts w:hint="eastAsia" w:ascii="宋体" w:hAnsi="宋体" w:eastAsia="宋体" w:cs="宋体"/>
                <w:b w:val="0"/>
                <w:bCs/>
                <w:color w:val="auto"/>
                <w:sz w:val="24"/>
                <w:szCs w:val="24"/>
                <w:highlight w:val="none"/>
              </w:rPr>
            </w:pPr>
            <w:bookmarkStart w:id="549" w:name="_Toc61327443"/>
            <w:r>
              <w:rPr>
                <w:rFonts w:hint="eastAsia" w:ascii="宋体" w:hAnsi="宋体" w:eastAsia="宋体" w:cs="宋体"/>
                <w:b w:val="0"/>
                <w:bCs/>
                <w:color w:val="auto"/>
                <w:sz w:val="24"/>
                <w:szCs w:val="24"/>
                <w:highlight w:val="none"/>
              </w:rPr>
              <w:t>评分项目</w:t>
            </w:r>
          </w:p>
        </w:tc>
        <w:tc>
          <w:tcPr>
            <w:tcW w:w="3104" w:type="dxa"/>
            <w:noWrap w:val="0"/>
            <w:vAlign w:val="center"/>
          </w:tcPr>
          <w:p w14:paraId="5CF07D32">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商务</w:t>
            </w:r>
            <w:r>
              <w:rPr>
                <w:rFonts w:hint="eastAsia" w:ascii="宋体" w:hAnsi="宋体" w:eastAsia="宋体" w:cs="宋体"/>
                <w:b w:val="0"/>
                <w:bCs/>
                <w:color w:val="auto"/>
                <w:sz w:val="24"/>
                <w:szCs w:val="24"/>
                <w:highlight w:val="none"/>
              </w:rPr>
              <w:t>技术部分</w:t>
            </w:r>
          </w:p>
        </w:tc>
        <w:tc>
          <w:tcPr>
            <w:tcW w:w="2996" w:type="dxa"/>
            <w:noWrap w:val="0"/>
            <w:vAlign w:val="center"/>
          </w:tcPr>
          <w:p w14:paraId="7AE3B318">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价格部分</w:t>
            </w:r>
          </w:p>
        </w:tc>
      </w:tr>
      <w:tr w14:paraId="118C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197" w:type="dxa"/>
            <w:noWrap w:val="0"/>
            <w:vAlign w:val="center"/>
          </w:tcPr>
          <w:p w14:paraId="42D9DD8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3104" w:type="dxa"/>
            <w:noWrap w:val="0"/>
            <w:vAlign w:val="center"/>
          </w:tcPr>
          <w:p w14:paraId="39ABC4F6">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85</w:t>
            </w:r>
            <w:r>
              <w:rPr>
                <w:rFonts w:hint="eastAsia" w:ascii="宋体" w:hAnsi="宋体" w:eastAsia="宋体" w:cs="宋体"/>
                <w:color w:val="auto"/>
                <w:sz w:val="24"/>
                <w:szCs w:val="24"/>
                <w:highlight w:val="none"/>
              </w:rPr>
              <w:t>%</w:t>
            </w:r>
          </w:p>
        </w:tc>
        <w:tc>
          <w:tcPr>
            <w:tcW w:w="2996" w:type="dxa"/>
            <w:noWrap w:val="0"/>
            <w:vAlign w:val="center"/>
          </w:tcPr>
          <w:p w14:paraId="150373CC">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w:t>
            </w:r>
          </w:p>
        </w:tc>
      </w:tr>
      <w:tr w14:paraId="7134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197" w:type="dxa"/>
            <w:noWrap w:val="0"/>
            <w:vAlign w:val="center"/>
          </w:tcPr>
          <w:p w14:paraId="77FA1A0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3104" w:type="dxa"/>
            <w:noWrap w:val="0"/>
            <w:vAlign w:val="center"/>
          </w:tcPr>
          <w:p w14:paraId="7DB931A1">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85</w:t>
            </w:r>
            <w:r>
              <w:rPr>
                <w:rFonts w:hint="eastAsia" w:ascii="宋体" w:hAnsi="宋体" w:eastAsia="宋体" w:cs="宋体"/>
                <w:color w:val="auto"/>
                <w:sz w:val="24"/>
                <w:szCs w:val="24"/>
                <w:highlight w:val="none"/>
              </w:rPr>
              <w:t>分</w:t>
            </w:r>
          </w:p>
        </w:tc>
        <w:tc>
          <w:tcPr>
            <w:tcW w:w="2996" w:type="dxa"/>
            <w:noWrap w:val="0"/>
            <w:vAlign w:val="center"/>
          </w:tcPr>
          <w:p w14:paraId="71B02F3A">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r>
    </w:tbl>
    <w:p w14:paraId="5079F75A">
      <w:pPr>
        <w:rPr>
          <w:rFonts w:hint="eastAsia" w:ascii="宋体" w:hAnsi="宋体" w:eastAsia="宋体" w:cs="宋体"/>
          <w:color w:val="auto"/>
          <w:sz w:val="24"/>
          <w:szCs w:val="24"/>
          <w:highlight w:val="none"/>
        </w:rPr>
      </w:pPr>
    </w:p>
    <w:p w14:paraId="4894277D">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6.3 综合得分</w:t>
      </w:r>
      <w:bookmarkEnd w:id="549"/>
    </w:p>
    <w:p w14:paraId="43D90C5E">
      <w:pPr>
        <w:spacing w:line="360" w:lineRule="auto"/>
        <w:ind w:left="-2" w:leftChars="-1" w:firstLine="631"/>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综合得分=</w:t>
      </w:r>
      <w:r>
        <w:rPr>
          <w:rFonts w:hint="eastAsia" w:ascii="宋体" w:hAnsi="宋体" w:eastAsia="宋体" w:cs="宋体"/>
          <w:b w:val="0"/>
          <w:bCs/>
          <w:color w:val="auto"/>
          <w:sz w:val="24"/>
          <w:szCs w:val="24"/>
          <w:highlight w:val="none"/>
          <w:lang w:eastAsia="zh-CN"/>
        </w:rPr>
        <w:t>商务</w:t>
      </w:r>
      <w:r>
        <w:rPr>
          <w:rFonts w:hint="eastAsia" w:ascii="宋体" w:hAnsi="宋体" w:eastAsia="宋体" w:cs="宋体"/>
          <w:b w:val="0"/>
          <w:bCs/>
          <w:color w:val="auto"/>
          <w:sz w:val="24"/>
          <w:szCs w:val="24"/>
          <w:highlight w:val="none"/>
        </w:rPr>
        <w:t>技术得分+价格得分</w:t>
      </w:r>
    </w:p>
    <w:p w14:paraId="6539373A">
      <w:pPr>
        <w:spacing w:afterAutospacing="0" w:line="360" w:lineRule="auto"/>
        <w:ind w:left="-2" w:leftChars="-1" w:firstLine="63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评标委员会根据投标人最终得分高低排定名次。</w:t>
      </w:r>
    </w:p>
    <w:p w14:paraId="6169EE2E">
      <w:pPr>
        <w:pStyle w:val="4"/>
        <w:spacing w:before="0" w:beforeLines="0" w:beforeAutospacing="0" w:after="0" w:afterLines="0" w:afterAutospacing="0" w:line="360" w:lineRule="auto"/>
        <w:rPr>
          <w:rFonts w:hint="eastAsia" w:ascii="宋体" w:hAnsi="宋体" w:eastAsia="宋体" w:cs="宋体"/>
          <w:color w:val="auto"/>
          <w:sz w:val="24"/>
          <w:szCs w:val="24"/>
          <w:highlight w:val="none"/>
        </w:rPr>
      </w:pPr>
      <w:bookmarkStart w:id="550" w:name="_Toc16360"/>
      <w:bookmarkStart w:id="551" w:name="_Toc439513454"/>
      <w:bookmarkStart w:id="552" w:name="_Toc458980402"/>
      <w:bookmarkStart w:id="553" w:name="_Toc498899392"/>
      <w:bookmarkStart w:id="554" w:name="_Toc487044261"/>
      <w:bookmarkStart w:id="555" w:name="_Toc9612860"/>
      <w:bookmarkStart w:id="556" w:name="_Toc523170351"/>
      <w:bookmarkStart w:id="557" w:name="_Toc358307756"/>
      <w:bookmarkStart w:id="558" w:name="_Toc9864096"/>
      <w:bookmarkStart w:id="559" w:name="_Toc369081827"/>
      <w:bookmarkStart w:id="560" w:name="_Toc494832096"/>
      <w:bookmarkStart w:id="561" w:name="_Toc422162001"/>
      <w:bookmarkStart w:id="562" w:name="_Toc438722139"/>
      <w:bookmarkStart w:id="563" w:name="_Toc509337060"/>
      <w:bookmarkStart w:id="564" w:name="_Toc10446428"/>
      <w:bookmarkStart w:id="565" w:name="_Toc524517871"/>
      <w:bookmarkStart w:id="566" w:name="_Toc486969388"/>
      <w:bookmarkStart w:id="567" w:name="_Toc416208495"/>
      <w:bookmarkStart w:id="568" w:name="_Toc414510789"/>
      <w:bookmarkStart w:id="569" w:name="_Toc514177062"/>
      <w:bookmarkStart w:id="570" w:name="_Toc470184450"/>
      <w:bookmarkStart w:id="571" w:name="_Toc479325601"/>
      <w:bookmarkStart w:id="572" w:name="_Toc498871260"/>
      <w:bookmarkStart w:id="573" w:name="_Toc11944601"/>
      <w:bookmarkStart w:id="574" w:name="_Toc422865430"/>
      <w:bookmarkStart w:id="575" w:name="_Toc458635605"/>
      <w:bookmarkStart w:id="576" w:name="_Toc5124218"/>
      <w:bookmarkStart w:id="577" w:name="_Toc438508606"/>
      <w:bookmarkStart w:id="578" w:name="_Toc522529814"/>
      <w:bookmarkStart w:id="579" w:name="_Toc477879849"/>
      <w:bookmarkStart w:id="580" w:name="_Toc273342939"/>
      <w:bookmarkStart w:id="581" w:name="_Toc524368799"/>
      <w:bookmarkStart w:id="582" w:name="_Toc438513743"/>
      <w:bookmarkStart w:id="583" w:name="_Toc418023342"/>
      <w:bookmarkStart w:id="584" w:name="_Toc439513170"/>
      <w:bookmarkStart w:id="585" w:name="_Toc439679277"/>
      <w:bookmarkStart w:id="586" w:name="_Toc509337175"/>
      <w:bookmarkStart w:id="587" w:name="_Toc425347671"/>
      <w:bookmarkStart w:id="588" w:name="_Toc23766"/>
      <w:bookmarkStart w:id="589" w:name="_Toc11931294"/>
      <w:bookmarkStart w:id="590" w:name="_Toc479340798"/>
      <w:r>
        <w:rPr>
          <w:rFonts w:hint="eastAsia" w:ascii="宋体" w:hAnsi="宋体" w:cs="宋体"/>
          <w:color w:val="auto"/>
          <w:sz w:val="24"/>
          <w:szCs w:val="24"/>
          <w:highlight w:val="none"/>
          <w:lang w:eastAsia="zh-CN"/>
        </w:rPr>
        <w:t>7.</w:t>
      </w:r>
      <w:r>
        <w:rPr>
          <w:rFonts w:hint="eastAsia" w:ascii="宋体" w:hAnsi="宋体" w:eastAsia="宋体" w:cs="宋体"/>
          <w:color w:val="auto"/>
          <w:sz w:val="24"/>
          <w:szCs w:val="24"/>
          <w:highlight w:val="none"/>
        </w:rPr>
        <w:t>定标和授标</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7CE81F7B">
      <w:pPr>
        <w:spacing w:beforeAutospacing="0" w:line="360" w:lineRule="auto"/>
        <w:ind w:left="425" w:hanging="424" w:hangingChars="177"/>
        <w:rPr>
          <w:rFonts w:hint="eastAsia" w:ascii="宋体" w:hAnsi="宋体" w:eastAsia="宋体" w:cs="宋体"/>
          <w:color w:val="auto"/>
          <w:sz w:val="24"/>
          <w:szCs w:val="24"/>
          <w:highlight w:val="yellow"/>
          <w:lang w:eastAsia="zh-CN"/>
        </w:rPr>
      </w:pPr>
      <w:bookmarkStart w:id="591" w:name="_Toc369081828"/>
      <w:bookmarkStart w:id="592" w:name="_Toc273342940"/>
      <w:bookmarkStart w:id="593" w:name="_Toc160609601"/>
      <w:bookmarkStart w:id="594" w:name="_Toc358307757"/>
      <w:r>
        <w:rPr>
          <w:rFonts w:hint="eastAsia" w:ascii="宋体" w:hAnsi="宋体" w:eastAsia="宋体" w:cs="宋体"/>
          <w:color w:val="auto"/>
          <w:sz w:val="24"/>
          <w:szCs w:val="24"/>
          <w:highlight w:val="none"/>
        </w:rPr>
        <w:t>7.1综合得分相同时</w:t>
      </w:r>
      <w:r>
        <w:rPr>
          <w:rFonts w:hint="eastAsia" w:ascii="宋体" w:hAnsi="宋体" w:cs="宋体"/>
          <w:color w:val="auto"/>
          <w:sz w:val="24"/>
          <w:szCs w:val="24"/>
          <w:highlight w:val="none"/>
          <w:lang w:eastAsia="zh-CN"/>
        </w:rPr>
        <w:t>按投标报价由低到高顺序排列，得分相同的，报价较低的一方为中标人。得分且投标报价相同的，由技术文件得分高的中标。</w:t>
      </w:r>
    </w:p>
    <w:p w14:paraId="361A4DD6">
      <w:pPr>
        <w:spacing w:line="360" w:lineRule="auto"/>
        <w:ind w:left="425" w:hanging="424" w:hanging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7.2评标委员会将综合得分排名第一名的投标人推荐给采购人作为第一中标候选人，综合得分</w:t>
      </w:r>
      <w:r>
        <w:rPr>
          <w:rFonts w:hint="eastAsia" w:ascii="宋体" w:hAnsi="宋体" w:eastAsia="宋体" w:cs="宋体"/>
          <w:color w:val="auto"/>
          <w:sz w:val="24"/>
          <w:szCs w:val="24"/>
          <w:highlight w:val="none"/>
          <w:lang w:eastAsia="zh-CN"/>
        </w:rPr>
        <w:t>排名第二</w:t>
      </w:r>
      <w:r>
        <w:rPr>
          <w:rFonts w:hint="eastAsia" w:ascii="宋体" w:hAnsi="宋体" w:eastAsia="宋体" w:cs="宋体"/>
          <w:color w:val="auto"/>
          <w:sz w:val="24"/>
          <w:szCs w:val="24"/>
          <w:highlight w:val="none"/>
        </w:rPr>
        <w:t>的投标人为第二中标候选人。</w:t>
      </w:r>
    </w:p>
    <w:p w14:paraId="29908E93">
      <w:pPr>
        <w:spacing w:line="360" w:lineRule="auto"/>
        <w:ind w:left="425" w:hanging="424" w:hanging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7.3中标候选人放弃中标或因不可抗力提出不能履行合同</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未通过资格后审，或被取消资格的，须经监管部门批准后，采购人方可按顺序选择候补中标供应商或废标重招。</w:t>
      </w:r>
    </w:p>
    <w:p w14:paraId="392C9163">
      <w:pPr>
        <w:spacing w:line="360" w:lineRule="auto"/>
        <w:ind w:left="425" w:hanging="424" w:hanging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评标委员会提出评标书面报告和推荐中标意见报采购人审批，审批通过后将对预中标人进行最终澄清及对投标人的资格和履约能力进行再次审查，形成最终合同的基础文件。如在最终澄清过程中，发现预中标人存在重大问题造成其履约能力不能满足要求的，须报监管部门并经批准后，采购人方可按顺序选择候补中标供应商或废标重招。</w:t>
      </w:r>
    </w:p>
    <w:p w14:paraId="48EE81A9">
      <w:pPr>
        <w:spacing w:line="360" w:lineRule="auto"/>
        <w:ind w:left="425" w:hanging="424" w:hanging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7.5最终澄清完成后，由采购代理机构根据采购人的确认结果发布招标结果公告。采购代理机构将在下列媒体公告中标结果：</w:t>
      </w:r>
      <w:r>
        <w:rPr>
          <w:rFonts w:hint="eastAsia" w:ascii="宋体" w:hAnsi="宋体" w:eastAsia="宋体" w:cs="宋体"/>
          <w:color w:val="auto"/>
          <w:sz w:val="24"/>
          <w:szCs w:val="24"/>
          <w:highlight w:val="none"/>
          <w:lang w:eastAsia="zh-CN"/>
        </w:rPr>
        <w:t>新疆政府采购网</w:t>
      </w:r>
      <w:r>
        <w:rPr>
          <w:rFonts w:hint="eastAsia" w:ascii="宋体" w:hAnsi="宋体" w:eastAsia="宋体" w:cs="宋体"/>
          <w:color w:val="auto"/>
          <w:sz w:val="24"/>
          <w:szCs w:val="24"/>
          <w:highlight w:val="none"/>
        </w:rPr>
        <w:t xml:space="preserve"> 。</w:t>
      </w:r>
    </w:p>
    <w:p w14:paraId="2DF604C4">
      <w:pPr>
        <w:spacing w:afterAutospacing="0" w:line="360" w:lineRule="auto"/>
        <w:ind w:left="425" w:hanging="424" w:hanging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7.6采购人应当自</w:t>
      </w:r>
      <w:r>
        <w:rPr>
          <w:rFonts w:hint="eastAsia" w:ascii="宋体" w:hAnsi="宋体" w:cs="宋体"/>
          <w:color w:val="auto"/>
          <w:sz w:val="24"/>
          <w:szCs w:val="24"/>
          <w:highlight w:val="none"/>
          <w:lang w:eastAsia="zh-CN"/>
        </w:rPr>
        <w:t>成交通知书</w:t>
      </w:r>
      <w:r>
        <w:rPr>
          <w:rFonts w:hint="eastAsia" w:ascii="宋体" w:hAnsi="宋体" w:eastAsia="宋体" w:cs="宋体"/>
          <w:color w:val="auto"/>
          <w:sz w:val="24"/>
          <w:szCs w:val="24"/>
          <w:highlight w:val="none"/>
        </w:rPr>
        <w:t>发出之日起30日内，按照</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和中标人投标文件的规定，与中标人签订书面合同。所签订的合同不得对</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确定的事项和中标人投标文件作实质性修改。</w:t>
      </w:r>
    </w:p>
    <w:bookmarkEnd w:id="591"/>
    <w:bookmarkEnd w:id="592"/>
    <w:bookmarkEnd w:id="593"/>
    <w:bookmarkEnd w:id="594"/>
    <w:p w14:paraId="0421134B">
      <w:pPr>
        <w:pStyle w:val="18"/>
        <w:rPr>
          <w:rFonts w:hint="eastAsia" w:ascii="宋体" w:hAnsi="宋体" w:eastAsia="宋体" w:cs="宋体"/>
          <w:b/>
          <w:bCs/>
          <w:sz w:val="44"/>
          <w:szCs w:val="44"/>
          <w:highlight w:val="none"/>
        </w:rPr>
      </w:pPr>
    </w:p>
    <w:p w14:paraId="55CD8DC1">
      <w:pPr>
        <w:rPr>
          <w:rFonts w:hint="eastAsia" w:ascii="宋体" w:hAnsi="宋体" w:eastAsia="宋体" w:cs="宋体"/>
          <w:b/>
          <w:bCs/>
          <w:sz w:val="44"/>
          <w:szCs w:val="44"/>
          <w:highlight w:val="none"/>
        </w:rPr>
      </w:pPr>
      <w:bookmarkStart w:id="595" w:name="_Toc1748"/>
    </w:p>
    <w:p w14:paraId="569867F3">
      <w:pP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br w:type="page"/>
      </w:r>
    </w:p>
    <w:p w14:paraId="6867B898">
      <w:pPr>
        <w:pStyle w:val="18"/>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第六部分</w:t>
      </w:r>
      <w:r>
        <w:rPr>
          <w:rFonts w:hint="eastAsia" w:ascii="宋体"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投标文件格式</w:t>
      </w:r>
      <w:bookmarkEnd w:id="595"/>
    </w:p>
    <w:p w14:paraId="19E32CC1">
      <w:pPr>
        <w:jc w:val="right"/>
        <w:rPr>
          <w:rFonts w:hint="eastAsia" w:ascii="宋体" w:hAnsi="宋体" w:eastAsia="宋体" w:cs="宋体"/>
          <w:spacing w:val="-12"/>
          <w:sz w:val="30"/>
          <w:highlight w:val="none"/>
          <w:bdr w:val="single" w:color="auto" w:sz="4" w:space="0"/>
        </w:rPr>
      </w:pPr>
      <w:r>
        <w:rPr>
          <w:rFonts w:hint="eastAsia" w:ascii="宋体" w:hAnsi="宋体" w:eastAsia="宋体" w:cs="宋体"/>
          <w:spacing w:val="-12"/>
          <w:sz w:val="30"/>
          <w:highlight w:val="none"/>
          <w:bdr w:val="single" w:color="auto" w:sz="4" w:space="0"/>
        </w:rPr>
        <w:t>正本/副本</w:t>
      </w:r>
    </w:p>
    <w:p w14:paraId="058E523F">
      <w:pPr>
        <w:ind w:firstLine="454"/>
        <w:rPr>
          <w:rFonts w:hint="eastAsia" w:ascii="宋体" w:hAnsi="宋体" w:eastAsia="宋体" w:cs="宋体"/>
          <w:spacing w:val="-12"/>
          <w:sz w:val="30"/>
          <w:highlight w:val="none"/>
        </w:rPr>
      </w:pPr>
    </w:p>
    <w:p w14:paraId="2EB5C93A">
      <w:pPr>
        <w:ind w:firstLine="454"/>
        <w:rPr>
          <w:rFonts w:hint="eastAsia" w:ascii="宋体" w:hAnsi="宋体" w:eastAsia="宋体" w:cs="宋体"/>
          <w:spacing w:val="-12"/>
          <w:sz w:val="30"/>
          <w:highlight w:val="none"/>
        </w:rPr>
      </w:pPr>
    </w:p>
    <w:p w14:paraId="24454219">
      <w:pPr>
        <w:jc w:val="center"/>
        <w:rPr>
          <w:rFonts w:hint="eastAsia" w:ascii="宋体" w:hAnsi="宋体" w:eastAsia="宋体" w:cs="宋体"/>
          <w:sz w:val="24"/>
          <w:szCs w:val="32"/>
          <w:highlight w:val="none"/>
        </w:rPr>
      </w:pPr>
    </w:p>
    <w:p w14:paraId="411216AB">
      <w:pPr>
        <w:jc w:val="center"/>
        <w:rPr>
          <w:rFonts w:hint="eastAsia" w:ascii="宋体" w:hAnsi="宋体" w:eastAsia="宋体" w:cs="宋体"/>
          <w:b/>
          <w:bCs/>
          <w:color w:val="000000"/>
          <w:kern w:val="0"/>
          <w:sz w:val="32"/>
          <w:szCs w:val="32"/>
          <w:highlight w:val="none"/>
          <w:lang w:eastAsia="zh-CN"/>
        </w:rPr>
      </w:pPr>
      <w:r>
        <w:rPr>
          <w:rFonts w:hint="eastAsia" w:ascii="宋体" w:hAnsi="宋体" w:cs="宋体"/>
          <w:b/>
          <w:bCs/>
          <w:color w:val="000000"/>
          <w:kern w:val="0"/>
          <w:sz w:val="32"/>
          <w:szCs w:val="32"/>
          <w:highlight w:val="none"/>
          <w:lang w:eastAsia="zh-CN"/>
        </w:rPr>
        <w:t xml:space="preserve">巴音郭楞职业技术学院教务管理服务平台、实验实训管理服务平台以及个性化功能定制建设项目 </w:t>
      </w:r>
    </w:p>
    <w:p w14:paraId="51F2485F">
      <w:pPr>
        <w:jc w:val="center"/>
        <w:rPr>
          <w:rFonts w:hint="eastAsia" w:ascii="宋体" w:hAnsi="宋体" w:eastAsia="宋体" w:cs="宋体"/>
          <w:b/>
          <w:bCs/>
          <w:color w:val="000000"/>
          <w:kern w:val="0"/>
          <w:sz w:val="32"/>
          <w:szCs w:val="32"/>
          <w:highlight w:val="none"/>
        </w:rPr>
      </w:pPr>
    </w:p>
    <w:p w14:paraId="17A7C92C">
      <w:pPr>
        <w:rPr>
          <w:rFonts w:hint="eastAsia" w:ascii="宋体" w:hAnsi="宋体" w:eastAsia="宋体" w:cs="宋体"/>
          <w:b/>
          <w:bCs/>
          <w:spacing w:val="72"/>
          <w:sz w:val="72"/>
          <w:highlight w:val="none"/>
        </w:rPr>
      </w:pPr>
    </w:p>
    <w:p w14:paraId="5203A45C">
      <w:pPr>
        <w:pStyle w:val="7"/>
        <w:rPr>
          <w:rFonts w:hint="eastAsia" w:ascii="宋体" w:hAnsi="宋体" w:eastAsia="宋体" w:cs="宋体"/>
          <w:highlight w:val="none"/>
        </w:rPr>
      </w:pPr>
    </w:p>
    <w:p w14:paraId="3EB571D7">
      <w:pPr>
        <w:jc w:val="center"/>
        <w:rPr>
          <w:rFonts w:hint="eastAsia" w:ascii="宋体" w:hAnsi="宋体" w:eastAsia="宋体" w:cs="宋体"/>
          <w:spacing w:val="72"/>
          <w:sz w:val="72"/>
          <w:highlight w:val="none"/>
        </w:rPr>
      </w:pPr>
      <w:r>
        <w:rPr>
          <w:rFonts w:hint="eastAsia" w:ascii="宋体" w:hAnsi="宋体" w:eastAsia="宋体" w:cs="宋体"/>
          <w:b/>
          <w:bCs/>
          <w:spacing w:val="72"/>
          <w:sz w:val="72"/>
          <w:highlight w:val="none"/>
        </w:rPr>
        <w:t>投 标 文 件</w:t>
      </w:r>
    </w:p>
    <w:p w14:paraId="7005A380">
      <w:pPr>
        <w:ind w:firstLine="454"/>
        <w:jc w:val="center"/>
        <w:rPr>
          <w:rFonts w:hint="eastAsia" w:ascii="宋体" w:hAnsi="宋体" w:eastAsia="宋体" w:cs="宋体"/>
          <w:b/>
          <w:spacing w:val="72"/>
          <w:sz w:val="28"/>
          <w:szCs w:val="28"/>
          <w:highlight w:val="none"/>
        </w:rPr>
      </w:pPr>
    </w:p>
    <w:p w14:paraId="643FB8B0">
      <w:pPr>
        <w:ind w:firstLine="454"/>
        <w:jc w:val="center"/>
        <w:rPr>
          <w:rFonts w:hint="eastAsia" w:ascii="宋体" w:hAnsi="宋体" w:eastAsia="宋体" w:cs="宋体"/>
          <w:b/>
          <w:spacing w:val="72"/>
          <w:sz w:val="28"/>
          <w:szCs w:val="28"/>
          <w:highlight w:val="none"/>
        </w:rPr>
      </w:pPr>
    </w:p>
    <w:p w14:paraId="3EA334BB">
      <w:pPr>
        <w:ind w:firstLine="454"/>
        <w:jc w:val="center"/>
        <w:rPr>
          <w:rFonts w:hint="eastAsia" w:ascii="宋体" w:hAnsi="宋体" w:eastAsia="宋体" w:cs="宋体"/>
          <w:b/>
          <w:spacing w:val="72"/>
          <w:sz w:val="28"/>
          <w:szCs w:val="28"/>
          <w:highlight w:val="none"/>
        </w:rPr>
      </w:pPr>
    </w:p>
    <w:p w14:paraId="15C7F6DA">
      <w:pPr>
        <w:ind w:firstLine="454"/>
        <w:jc w:val="center"/>
        <w:rPr>
          <w:rFonts w:hint="eastAsia" w:ascii="宋体" w:hAnsi="宋体" w:eastAsia="宋体" w:cs="宋体"/>
          <w:b/>
          <w:spacing w:val="72"/>
          <w:sz w:val="28"/>
          <w:szCs w:val="28"/>
          <w:highlight w:val="none"/>
        </w:rPr>
      </w:pPr>
    </w:p>
    <w:p w14:paraId="0DC10CBD">
      <w:pPr>
        <w:rPr>
          <w:rFonts w:hint="eastAsia" w:ascii="宋体" w:hAnsi="宋体" w:eastAsia="宋体" w:cs="宋体"/>
          <w:b/>
          <w:spacing w:val="72"/>
          <w:sz w:val="28"/>
          <w:szCs w:val="28"/>
          <w:highlight w:val="none"/>
        </w:rPr>
      </w:pPr>
    </w:p>
    <w:p w14:paraId="0442E0E4">
      <w:pPr>
        <w:ind w:firstLine="454"/>
        <w:jc w:val="center"/>
        <w:rPr>
          <w:rFonts w:hint="eastAsia" w:ascii="宋体" w:hAnsi="宋体" w:eastAsia="宋体" w:cs="宋体"/>
          <w:b/>
          <w:spacing w:val="72"/>
          <w:sz w:val="28"/>
          <w:szCs w:val="28"/>
          <w:highlight w:val="none"/>
        </w:rPr>
      </w:pPr>
    </w:p>
    <w:p w14:paraId="73C30E08">
      <w:pPr>
        <w:jc w:val="center"/>
        <w:rPr>
          <w:rFonts w:hint="eastAsia" w:ascii="宋体" w:hAnsi="宋体" w:eastAsia="宋体" w:cs="宋体"/>
          <w:b/>
          <w:spacing w:val="72"/>
          <w:sz w:val="28"/>
          <w:szCs w:val="28"/>
          <w:highlight w:val="none"/>
        </w:rPr>
      </w:pPr>
    </w:p>
    <w:p w14:paraId="761968B5">
      <w:pPr>
        <w:ind w:firstLine="2711" w:firstLineChars="900"/>
        <w:jc w:val="left"/>
        <w:rPr>
          <w:rFonts w:hint="eastAsia" w:ascii="宋体" w:hAnsi="宋体" w:eastAsia="宋体" w:cs="宋体"/>
          <w:b/>
          <w:color w:val="FF0000"/>
          <w:sz w:val="30"/>
          <w:highlight w:val="none"/>
          <w:u w:val="single"/>
        </w:rPr>
      </w:pPr>
      <w:r>
        <w:rPr>
          <w:rFonts w:hint="eastAsia" w:ascii="宋体" w:hAnsi="宋体" w:cs="宋体"/>
          <w:b/>
          <w:color w:val="auto"/>
          <w:sz w:val="30"/>
          <w:highlight w:val="none"/>
          <w:lang w:eastAsia="zh-CN"/>
        </w:rPr>
        <w:t>项目编号</w:t>
      </w:r>
      <w:r>
        <w:rPr>
          <w:rFonts w:hint="eastAsia" w:ascii="宋体" w:hAnsi="宋体" w:eastAsia="宋体" w:cs="宋体"/>
          <w:b/>
          <w:color w:val="auto"/>
          <w:sz w:val="30"/>
          <w:highlight w:val="none"/>
        </w:rPr>
        <w:t>：</w:t>
      </w:r>
      <w:r>
        <w:rPr>
          <w:rFonts w:hint="eastAsia" w:ascii="宋体" w:hAnsi="宋体" w:eastAsia="宋体" w:cs="宋体"/>
          <w:b/>
          <w:color w:val="auto"/>
          <w:sz w:val="30"/>
          <w:highlight w:val="none"/>
          <w:u w:val="single"/>
        </w:rPr>
        <w:t xml:space="preserve">   </w:t>
      </w:r>
      <w:r>
        <w:rPr>
          <w:rFonts w:hint="eastAsia" w:ascii="宋体" w:hAnsi="宋体" w:eastAsia="宋体" w:cs="宋体"/>
          <w:b/>
          <w:color w:val="auto"/>
          <w:sz w:val="30"/>
          <w:highlight w:val="none"/>
          <w:u w:val="single"/>
          <w:lang w:val="en-US" w:eastAsia="zh-CN"/>
        </w:rPr>
        <w:t xml:space="preserve">   </w:t>
      </w:r>
      <w:r>
        <w:rPr>
          <w:rFonts w:hint="eastAsia" w:ascii="宋体" w:hAnsi="宋体" w:eastAsia="宋体" w:cs="宋体"/>
          <w:b/>
          <w:color w:val="auto"/>
          <w:sz w:val="30"/>
          <w:highlight w:val="none"/>
          <w:u w:val="single"/>
        </w:rPr>
        <w:t xml:space="preserve">          </w:t>
      </w:r>
    </w:p>
    <w:p w14:paraId="44D5E233">
      <w:pPr>
        <w:ind w:firstLine="454"/>
        <w:jc w:val="center"/>
        <w:rPr>
          <w:rFonts w:hint="eastAsia" w:ascii="宋体" w:hAnsi="宋体" w:eastAsia="宋体" w:cs="宋体"/>
          <w:highlight w:val="none"/>
        </w:rPr>
      </w:pPr>
    </w:p>
    <w:p w14:paraId="21E2987D">
      <w:pPr>
        <w:ind w:firstLine="454"/>
        <w:rPr>
          <w:rFonts w:hint="eastAsia" w:ascii="宋体" w:hAnsi="宋体" w:eastAsia="宋体" w:cs="宋体"/>
          <w:highlight w:val="none"/>
        </w:rPr>
      </w:pPr>
    </w:p>
    <w:p w14:paraId="4F1B2141">
      <w:pPr>
        <w:ind w:firstLine="454"/>
        <w:rPr>
          <w:rFonts w:hint="eastAsia" w:ascii="宋体" w:hAnsi="宋体" w:eastAsia="宋体" w:cs="宋体"/>
          <w:highlight w:val="none"/>
        </w:rPr>
      </w:pPr>
    </w:p>
    <w:p w14:paraId="42DDB5B0">
      <w:pPr>
        <w:ind w:firstLine="454"/>
        <w:rPr>
          <w:rFonts w:hint="eastAsia" w:ascii="宋体" w:hAnsi="宋体" w:eastAsia="宋体" w:cs="宋体"/>
          <w:highlight w:val="none"/>
        </w:rPr>
      </w:pPr>
    </w:p>
    <w:p w14:paraId="00977A1F">
      <w:pPr>
        <w:rPr>
          <w:rFonts w:hint="eastAsia" w:ascii="宋体" w:hAnsi="宋体" w:eastAsia="宋体" w:cs="宋体"/>
          <w:highlight w:val="none"/>
        </w:rPr>
      </w:pPr>
    </w:p>
    <w:p w14:paraId="6930A0E5">
      <w:pPr>
        <w:ind w:firstLine="454"/>
        <w:rPr>
          <w:rFonts w:hint="eastAsia" w:ascii="宋体" w:hAnsi="宋体" w:eastAsia="宋体" w:cs="宋体"/>
          <w:highlight w:val="none"/>
        </w:rPr>
      </w:pPr>
    </w:p>
    <w:p w14:paraId="68D18504">
      <w:pPr>
        <w:ind w:firstLine="454"/>
        <w:rPr>
          <w:rFonts w:hint="eastAsia" w:ascii="宋体" w:hAnsi="宋体" w:eastAsia="宋体" w:cs="宋体"/>
          <w:highlight w:val="none"/>
        </w:rPr>
      </w:pPr>
    </w:p>
    <w:p w14:paraId="19271EBB">
      <w:pPr>
        <w:ind w:firstLine="454"/>
        <w:rPr>
          <w:rFonts w:hint="eastAsia" w:ascii="宋体" w:hAnsi="宋体" w:eastAsia="宋体" w:cs="宋体"/>
          <w:highlight w:val="none"/>
        </w:rPr>
      </w:pPr>
    </w:p>
    <w:p w14:paraId="09DDDA13">
      <w:pPr>
        <w:ind w:firstLine="454"/>
        <w:rPr>
          <w:rFonts w:hint="eastAsia" w:ascii="宋体" w:hAnsi="宋体" w:eastAsia="宋体" w:cs="宋体"/>
          <w:highlight w:val="none"/>
        </w:rPr>
      </w:pPr>
    </w:p>
    <w:p w14:paraId="77DDB15D">
      <w:pPr>
        <w:rPr>
          <w:rFonts w:hint="eastAsia" w:ascii="宋体" w:hAnsi="宋体" w:eastAsia="宋体" w:cs="宋体"/>
          <w:highlight w:val="none"/>
        </w:rPr>
      </w:pPr>
    </w:p>
    <w:p w14:paraId="58C9B719">
      <w:pPr>
        <w:ind w:firstLine="454"/>
        <w:rPr>
          <w:rFonts w:hint="eastAsia" w:ascii="宋体" w:hAnsi="宋体" w:eastAsia="宋体" w:cs="宋体"/>
          <w:highlight w:val="none"/>
        </w:rPr>
      </w:pPr>
    </w:p>
    <w:p w14:paraId="42F8D7E8">
      <w:pPr>
        <w:ind w:firstLine="1532" w:firstLineChars="545"/>
        <w:rPr>
          <w:rFonts w:hint="eastAsia" w:ascii="宋体" w:hAnsi="宋体" w:eastAsia="宋体" w:cs="宋体"/>
          <w:b/>
          <w:bCs/>
          <w:sz w:val="28"/>
          <w:highlight w:val="none"/>
          <w:u w:val="single"/>
        </w:rPr>
      </w:pPr>
      <w:r>
        <w:rPr>
          <w:rFonts w:hint="eastAsia" w:ascii="宋体" w:hAnsi="宋体" w:eastAsia="宋体" w:cs="宋体"/>
          <w:b/>
          <w:bCs/>
          <w:sz w:val="28"/>
          <w:highlight w:val="none"/>
        </w:rPr>
        <w:t>投标人：</w:t>
      </w:r>
      <w:r>
        <w:rPr>
          <w:rFonts w:hint="eastAsia" w:ascii="宋体" w:hAnsi="宋体" w:eastAsia="宋体" w:cs="宋体"/>
          <w:b/>
          <w:bCs/>
          <w:sz w:val="28"/>
          <w:highlight w:val="none"/>
          <w:u w:val="single"/>
        </w:rPr>
        <w:t xml:space="preserve">                   </w:t>
      </w:r>
      <w:r>
        <w:rPr>
          <w:rFonts w:hint="eastAsia" w:ascii="宋体" w:hAnsi="宋体" w:eastAsia="宋体" w:cs="宋体"/>
          <w:b/>
          <w:bCs/>
          <w:sz w:val="28"/>
          <w:highlight w:val="none"/>
          <w:u w:val="single"/>
          <w:lang w:val="en-US" w:eastAsia="zh-CN"/>
        </w:rPr>
        <w:t xml:space="preserve">  </w:t>
      </w:r>
      <w:r>
        <w:rPr>
          <w:rFonts w:hint="eastAsia" w:ascii="宋体" w:hAnsi="宋体" w:eastAsia="宋体" w:cs="宋体"/>
          <w:b/>
          <w:bCs/>
          <w:sz w:val="28"/>
          <w:highlight w:val="none"/>
          <w:u w:val="single"/>
        </w:rPr>
        <w:t xml:space="preserve">         </w:t>
      </w:r>
      <w:r>
        <w:rPr>
          <w:rFonts w:hint="eastAsia" w:ascii="宋体" w:hAnsi="宋体" w:eastAsia="宋体" w:cs="宋体"/>
          <w:b/>
          <w:bCs/>
          <w:sz w:val="28"/>
          <w:highlight w:val="none"/>
        </w:rPr>
        <w:t>（单位盖章）</w:t>
      </w:r>
    </w:p>
    <w:p w14:paraId="7F47F6F9">
      <w:pPr>
        <w:ind w:firstLine="1532" w:firstLineChars="545"/>
        <w:rPr>
          <w:rFonts w:hint="eastAsia" w:ascii="宋体" w:hAnsi="宋体" w:eastAsia="宋体" w:cs="宋体"/>
          <w:b/>
          <w:bCs/>
          <w:sz w:val="28"/>
          <w:highlight w:val="none"/>
        </w:rPr>
      </w:pPr>
      <w:r>
        <w:rPr>
          <w:rFonts w:hint="eastAsia" w:ascii="宋体" w:hAnsi="宋体" w:eastAsia="宋体" w:cs="宋体"/>
          <w:b/>
          <w:bCs/>
          <w:sz w:val="28"/>
          <w:highlight w:val="none"/>
        </w:rPr>
        <w:t>法定代表人或委托代理人：</w:t>
      </w:r>
      <w:r>
        <w:rPr>
          <w:rFonts w:hint="eastAsia" w:ascii="宋体" w:hAnsi="宋体" w:eastAsia="宋体" w:cs="宋体"/>
          <w:b/>
          <w:bCs/>
          <w:sz w:val="28"/>
          <w:highlight w:val="none"/>
          <w:u w:val="single"/>
        </w:rPr>
        <w:t xml:space="preserve">              </w:t>
      </w:r>
      <w:r>
        <w:rPr>
          <w:rFonts w:hint="eastAsia" w:ascii="宋体" w:hAnsi="宋体" w:eastAsia="宋体" w:cs="宋体"/>
          <w:b/>
          <w:bCs/>
          <w:sz w:val="28"/>
          <w:highlight w:val="none"/>
        </w:rPr>
        <w:t xml:space="preserve">（签字）         </w:t>
      </w:r>
    </w:p>
    <w:p w14:paraId="72B42155">
      <w:pPr>
        <w:ind w:firstLine="1532" w:firstLineChars="545"/>
        <w:rPr>
          <w:rFonts w:hint="eastAsia" w:ascii="宋体" w:hAnsi="宋体" w:eastAsia="宋体" w:cs="宋体"/>
          <w:b/>
          <w:sz w:val="32"/>
          <w:szCs w:val="32"/>
          <w:highlight w:val="none"/>
        </w:rPr>
      </w:pPr>
      <w:r>
        <w:rPr>
          <w:rFonts w:hint="eastAsia" w:ascii="宋体" w:hAnsi="宋体" w:eastAsia="宋体" w:cs="宋体"/>
          <w:b/>
          <w:bCs/>
          <w:sz w:val="28"/>
          <w:highlight w:val="none"/>
        </w:rPr>
        <w:t>日</w:t>
      </w:r>
      <w:r>
        <w:rPr>
          <w:rFonts w:hint="eastAsia" w:ascii="宋体" w:hAnsi="宋体" w:eastAsia="宋体" w:cs="宋体"/>
          <w:b/>
          <w:bCs/>
          <w:sz w:val="28"/>
          <w:highlight w:val="none"/>
          <w:lang w:val="en-US" w:eastAsia="zh-CN"/>
        </w:rPr>
        <w:t xml:space="preserve">  </w:t>
      </w:r>
      <w:r>
        <w:rPr>
          <w:rFonts w:hint="eastAsia" w:ascii="宋体" w:hAnsi="宋体" w:eastAsia="宋体" w:cs="宋体"/>
          <w:b/>
          <w:bCs/>
          <w:sz w:val="28"/>
          <w:highlight w:val="none"/>
        </w:rPr>
        <w:t>期：</w:t>
      </w:r>
      <w:r>
        <w:rPr>
          <w:rFonts w:hint="eastAsia" w:ascii="宋体" w:hAnsi="宋体" w:eastAsia="宋体" w:cs="宋体"/>
          <w:b/>
          <w:bCs/>
          <w:sz w:val="28"/>
          <w:highlight w:val="none"/>
          <w:u w:val="single"/>
        </w:rPr>
        <w:t xml:space="preserve">                </w:t>
      </w:r>
      <w:r>
        <w:rPr>
          <w:rFonts w:hint="eastAsia" w:ascii="宋体" w:hAnsi="宋体" w:eastAsia="宋体" w:cs="宋体"/>
          <w:b/>
          <w:bCs/>
          <w:sz w:val="28"/>
          <w:highlight w:val="none"/>
          <w:u w:val="single"/>
          <w:lang w:val="en-US" w:eastAsia="zh-CN"/>
        </w:rPr>
        <w:t xml:space="preserve">        </w:t>
      </w:r>
      <w:r>
        <w:rPr>
          <w:rFonts w:hint="eastAsia" w:ascii="宋体" w:hAnsi="宋体" w:eastAsia="宋体" w:cs="宋体"/>
          <w:b/>
          <w:bCs/>
          <w:sz w:val="28"/>
          <w:highlight w:val="none"/>
          <w:u w:val="single"/>
        </w:rPr>
        <w:t xml:space="preserve">      </w:t>
      </w:r>
      <w:r>
        <w:rPr>
          <w:rFonts w:hint="eastAsia" w:ascii="宋体" w:hAnsi="宋体" w:eastAsia="宋体" w:cs="宋体"/>
          <w:b/>
          <w:bCs/>
          <w:sz w:val="28"/>
          <w:highlight w:val="none"/>
          <w:u w:val="single"/>
        </w:rPr>
        <w:br w:type="page"/>
      </w:r>
    </w:p>
    <w:p w14:paraId="40351503">
      <w:pPr>
        <w:tabs>
          <w:tab w:val="left" w:pos="540"/>
          <w:tab w:val="left" w:pos="720"/>
          <w:tab w:val="left" w:pos="900"/>
          <w:tab w:val="left" w:pos="1620"/>
          <w:tab w:val="left" w:pos="4860"/>
        </w:tabs>
        <w:adjustRightInd w:val="0"/>
        <w:snapToGrid w:val="0"/>
        <w:spacing w:line="5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投标文件目录</w:t>
      </w:r>
    </w:p>
    <w:p w14:paraId="740F3E95">
      <w:pPr>
        <w:spacing w:before="230" w:line="468" w:lineRule="exact"/>
        <w:jc w:val="center"/>
        <w:rPr>
          <w:rFonts w:hint="eastAsia" w:ascii="宋体" w:hAnsi="宋体" w:eastAsia="宋体" w:cs="宋体"/>
          <w:spacing w:val="1"/>
          <w:position w:val="17"/>
          <w:sz w:val="24"/>
          <w:szCs w:val="24"/>
          <w:highlight w:val="none"/>
        </w:rPr>
      </w:pPr>
      <w:r>
        <w:rPr>
          <w:rFonts w:hint="eastAsia" w:ascii="宋体" w:hAnsi="宋体" w:cs="宋体"/>
          <w:spacing w:val="1"/>
          <w:position w:val="17"/>
          <w:sz w:val="24"/>
          <w:szCs w:val="24"/>
          <w:highlight w:val="none"/>
          <w:lang w:eastAsia="zh-CN"/>
        </w:rPr>
        <w:t>（</w:t>
      </w:r>
      <w:r>
        <w:rPr>
          <w:rFonts w:ascii="宋体" w:hAnsi="宋体" w:eastAsia="宋体" w:cs="宋体"/>
          <w:spacing w:val="1"/>
          <w:position w:val="17"/>
          <w:sz w:val="24"/>
          <w:szCs w:val="24"/>
          <w:highlight w:val="none"/>
        </w:rPr>
        <w:t>有格式要求的从其要求，无格式要求的格式自拟</w:t>
      </w:r>
      <w:r>
        <w:rPr>
          <w:rFonts w:hint="eastAsia" w:ascii="宋体" w:hAnsi="宋体" w:cs="宋体"/>
          <w:spacing w:val="1"/>
          <w:position w:val="17"/>
          <w:sz w:val="24"/>
          <w:szCs w:val="24"/>
          <w:highlight w:val="none"/>
          <w:lang w:eastAsia="zh-CN"/>
        </w:rPr>
        <w:t>。）</w:t>
      </w:r>
    </w:p>
    <w:p w14:paraId="704C4492">
      <w:pPr>
        <w:spacing w:line="520" w:lineRule="exact"/>
        <w:ind w:left="-13" w:leftChars="-6" w:firstLine="28"/>
        <w:rPr>
          <w:rFonts w:hint="eastAsia" w:ascii="宋体" w:hAnsi="宋体" w:eastAsia="宋体" w:cs="宋体"/>
          <w:spacing w:val="-12"/>
          <w:sz w:val="24"/>
          <w:highlight w:val="none"/>
        </w:rPr>
      </w:pPr>
    </w:p>
    <w:p w14:paraId="3D9B2FA1">
      <w:pPr>
        <w:spacing w:line="440" w:lineRule="exact"/>
        <w:ind w:firstLine="840" w:firstLineChars="350"/>
        <w:rPr>
          <w:rFonts w:hint="eastAsia" w:ascii="宋体" w:hAnsi="宋体" w:eastAsia="宋体" w:cs="宋体"/>
          <w:sz w:val="24"/>
          <w:highlight w:val="none"/>
          <w:lang w:eastAsia="zh-CN"/>
        </w:rPr>
      </w:pPr>
      <w:bookmarkStart w:id="596" w:name="_Toc221951916"/>
      <w:r>
        <w:rPr>
          <w:rFonts w:hint="eastAsia" w:ascii="宋体" w:hAnsi="宋体" w:eastAsia="宋体" w:cs="宋体"/>
          <w:sz w:val="24"/>
          <w:highlight w:val="none"/>
        </w:rPr>
        <w:t>一、投标函及</w:t>
      </w:r>
      <w:bookmarkEnd w:id="596"/>
      <w:r>
        <w:rPr>
          <w:rFonts w:hint="eastAsia" w:ascii="宋体" w:hAnsi="宋体" w:eastAsia="宋体" w:cs="宋体"/>
          <w:sz w:val="24"/>
          <w:highlight w:val="none"/>
          <w:lang w:eastAsia="zh-CN"/>
        </w:rPr>
        <w:t>开标一览表</w:t>
      </w:r>
    </w:p>
    <w:p w14:paraId="6C2EC4D8">
      <w:pPr>
        <w:spacing w:line="440" w:lineRule="exact"/>
        <w:ind w:firstLine="840" w:firstLineChars="350"/>
        <w:rPr>
          <w:rFonts w:hint="eastAsia" w:ascii="宋体" w:hAnsi="宋体" w:eastAsia="宋体" w:cs="宋体"/>
          <w:sz w:val="24"/>
          <w:highlight w:val="none"/>
          <w:lang w:eastAsia="zh-CN"/>
        </w:rPr>
      </w:pPr>
      <w:bookmarkStart w:id="597" w:name="_Toc221951917"/>
      <w:r>
        <w:rPr>
          <w:rFonts w:hint="eastAsia" w:ascii="宋体" w:hAnsi="宋体" w:eastAsia="宋体" w:cs="宋体"/>
          <w:sz w:val="24"/>
          <w:highlight w:val="none"/>
        </w:rPr>
        <w:t>二、</w:t>
      </w:r>
      <w:bookmarkEnd w:id="597"/>
      <w:bookmarkStart w:id="598" w:name="_Toc221951919"/>
      <w:r>
        <w:rPr>
          <w:rFonts w:hint="eastAsia" w:ascii="宋体" w:hAnsi="宋体" w:eastAsia="宋体" w:cs="宋体"/>
          <w:sz w:val="24"/>
          <w:highlight w:val="none"/>
          <w:lang w:eastAsia="zh-CN"/>
        </w:rPr>
        <w:t>资格审查资料</w:t>
      </w:r>
    </w:p>
    <w:p w14:paraId="54CD89EA">
      <w:pPr>
        <w:spacing w:line="44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w:t>
      </w:r>
      <w:bookmarkEnd w:id="598"/>
      <w:r>
        <w:rPr>
          <w:rFonts w:hint="eastAsia" w:ascii="宋体" w:hAnsi="宋体" w:cs="宋体"/>
          <w:color w:val="auto"/>
          <w:sz w:val="24"/>
          <w:highlight w:val="none"/>
          <w:lang w:eastAsia="zh-CN"/>
        </w:rPr>
        <w:t>磋商保证金</w:t>
      </w:r>
      <w:r>
        <w:rPr>
          <w:rFonts w:hint="eastAsia" w:ascii="宋体" w:hAnsi="宋体" w:eastAsia="宋体" w:cs="宋体"/>
          <w:color w:val="auto"/>
          <w:sz w:val="24"/>
          <w:highlight w:val="none"/>
        </w:rPr>
        <w:t xml:space="preserve"> </w:t>
      </w:r>
    </w:p>
    <w:p w14:paraId="2DEC72C9">
      <w:pPr>
        <w:spacing w:line="440" w:lineRule="exact"/>
        <w:ind w:firstLine="840" w:firstLineChars="350"/>
        <w:rPr>
          <w:rFonts w:hint="eastAsia" w:ascii="宋体" w:hAnsi="宋体" w:cs="宋体"/>
          <w:color w:val="auto"/>
          <w:sz w:val="24"/>
          <w:highlight w:val="none"/>
          <w:lang w:eastAsia="zh-CN"/>
        </w:rPr>
      </w:pPr>
      <w:bookmarkStart w:id="599" w:name="_Toc221951920"/>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w:t>
      </w:r>
      <w:bookmarkEnd w:id="599"/>
      <w:r>
        <w:rPr>
          <w:rFonts w:hint="eastAsia" w:ascii="宋体" w:hAnsi="宋体" w:cs="宋体"/>
          <w:color w:val="auto"/>
          <w:sz w:val="24"/>
          <w:highlight w:val="none"/>
          <w:lang w:eastAsia="zh-CN"/>
        </w:rPr>
        <w:t>项目拟派人员情况表</w:t>
      </w:r>
    </w:p>
    <w:p w14:paraId="46508224">
      <w:pPr>
        <w:spacing w:line="440" w:lineRule="exact"/>
        <w:ind w:firstLine="840" w:firstLineChars="3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五、项目负责人信息表</w:t>
      </w:r>
    </w:p>
    <w:p w14:paraId="07747071">
      <w:pPr>
        <w:spacing w:line="440" w:lineRule="exact"/>
        <w:ind w:firstLine="840" w:firstLineChars="35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lang w:eastAsia="zh-CN"/>
        </w:rPr>
        <w:t>企业类似业绩情况简介</w:t>
      </w:r>
    </w:p>
    <w:p w14:paraId="5671935E">
      <w:pPr>
        <w:spacing w:line="440" w:lineRule="exact"/>
        <w:ind w:firstLine="840" w:firstLineChars="350"/>
        <w:rPr>
          <w:rFonts w:hint="eastAsia" w:ascii="宋体" w:hAnsi="宋体" w:eastAsia="宋体" w:cs="宋体"/>
          <w:color w:val="auto"/>
          <w:sz w:val="24"/>
          <w:highlight w:val="none"/>
        </w:rPr>
      </w:pPr>
      <w:r>
        <w:rPr>
          <w:rFonts w:hint="eastAsia" w:ascii="宋体" w:hAnsi="宋体" w:cs="宋体"/>
          <w:color w:val="auto"/>
          <w:sz w:val="24"/>
          <w:highlight w:val="none"/>
          <w:lang w:eastAsia="zh-CN"/>
        </w:rPr>
        <w:t>七</w:t>
      </w:r>
      <w:r>
        <w:rPr>
          <w:rFonts w:hint="eastAsia" w:ascii="宋体" w:hAnsi="宋体" w:eastAsia="宋体" w:cs="宋体"/>
          <w:color w:val="auto"/>
          <w:sz w:val="24"/>
          <w:highlight w:val="none"/>
        </w:rPr>
        <w:t>、投标技术文件</w:t>
      </w:r>
    </w:p>
    <w:p w14:paraId="7C7CC1E0">
      <w:pPr>
        <w:spacing w:line="440" w:lineRule="exact"/>
        <w:ind w:firstLine="840" w:firstLineChars="35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八</w:t>
      </w:r>
      <w:r>
        <w:rPr>
          <w:rFonts w:hint="eastAsia" w:ascii="宋体" w:hAnsi="宋体" w:eastAsia="宋体" w:cs="宋体"/>
          <w:color w:val="auto"/>
          <w:sz w:val="24"/>
          <w:highlight w:val="none"/>
        </w:rPr>
        <w:t>、投标人认为应该提供的其他资料</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p>
    <w:p w14:paraId="63D1AE73">
      <w:pPr>
        <w:pStyle w:val="16"/>
        <w:rPr>
          <w:rFonts w:hint="eastAsia"/>
          <w:highlight w:val="none"/>
        </w:rPr>
      </w:pPr>
    </w:p>
    <w:p w14:paraId="530421D3">
      <w:pPr>
        <w:ind w:firstLine="454"/>
        <w:rPr>
          <w:rFonts w:hint="eastAsia" w:ascii="宋体" w:hAnsi="宋体" w:eastAsia="宋体" w:cs="宋体"/>
          <w:spacing w:val="-12"/>
          <w:sz w:val="30"/>
          <w:highlight w:val="none"/>
        </w:rPr>
      </w:pPr>
    </w:p>
    <w:p w14:paraId="515A210F">
      <w:pPr>
        <w:ind w:firstLine="454"/>
        <w:rPr>
          <w:rFonts w:hint="eastAsia" w:ascii="宋体" w:hAnsi="宋体" w:eastAsia="宋体" w:cs="宋体"/>
          <w:spacing w:val="-12"/>
          <w:sz w:val="30"/>
          <w:highlight w:val="none"/>
        </w:rPr>
      </w:pPr>
    </w:p>
    <w:p w14:paraId="673FBAA1">
      <w:pPr>
        <w:ind w:firstLine="454"/>
        <w:rPr>
          <w:rFonts w:hint="eastAsia" w:ascii="宋体" w:hAnsi="宋体" w:eastAsia="宋体" w:cs="宋体"/>
          <w:spacing w:val="-12"/>
          <w:sz w:val="30"/>
          <w:highlight w:val="none"/>
        </w:rPr>
      </w:pPr>
    </w:p>
    <w:p w14:paraId="66E7724F">
      <w:pPr>
        <w:ind w:firstLine="454"/>
        <w:rPr>
          <w:rFonts w:hint="eastAsia" w:ascii="宋体" w:hAnsi="宋体" w:eastAsia="宋体" w:cs="宋体"/>
          <w:spacing w:val="-12"/>
          <w:sz w:val="30"/>
          <w:highlight w:val="none"/>
        </w:rPr>
      </w:pPr>
    </w:p>
    <w:p w14:paraId="178770CA">
      <w:pPr>
        <w:ind w:firstLine="454"/>
        <w:rPr>
          <w:rFonts w:hint="eastAsia" w:ascii="宋体" w:hAnsi="宋体" w:eastAsia="宋体" w:cs="宋体"/>
          <w:spacing w:val="-12"/>
          <w:sz w:val="30"/>
          <w:highlight w:val="none"/>
        </w:rPr>
      </w:pPr>
    </w:p>
    <w:p w14:paraId="06A4A6BA">
      <w:pPr>
        <w:ind w:firstLine="454"/>
        <w:rPr>
          <w:rFonts w:hint="eastAsia" w:ascii="宋体" w:hAnsi="宋体" w:eastAsia="宋体" w:cs="宋体"/>
          <w:spacing w:val="-12"/>
          <w:sz w:val="30"/>
          <w:highlight w:val="none"/>
        </w:rPr>
      </w:pPr>
    </w:p>
    <w:p w14:paraId="60C5DCE8">
      <w:pPr>
        <w:ind w:firstLine="454"/>
        <w:rPr>
          <w:rFonts w:hint="eastAsia" w:ascii="宋体" w:hAnsi="宋体" w:eastAsia="宋体" w:cs="宋体"/>
          <w:spacing w:val="-12"/>
          <w:sz w:val="30"/>
          <w:highlight w:val="none"/>
        </w:rPr>
      </w:pPr>
    </w:p>
    <w:p w14:paraId="3B86BA6A">
      <w:pPr>
        <w:ind w:firstLine="454"/>
        <w:rPr>
          <w:rFonts w:hint="eastAsia" w:ascii="宋体" w:hAnsi="宋体" w:eastAsia="宋体" w:cs="宋体"/>
          <w:spacing w:val="-12"/>
          <w:sz w:val="30"/>
          <w:highlight w:val="none"/>
        </w:rPr>
      </w:pPr>
      <w:r>
        <w:rPr>
          <w:rFonts w:hint="eastAsia" w:ascii="宋体" w:hAnsi="宋体" w:eastAsia="宋体" w:cs="宋体"/>
          <w:spacing w:val="-12"/>
          <w:sz w:val="30"/>
          <w:highlight w:val="none"/>
        </w:rPr>
        <w:br w:type="page"/>
      </w:r>
    </w:p>
    <w:p w14:paraId="572362C3">
      <w:pPr>
        <w:pStyle w:val="32"/>
        <w:jc w:val="center"/>
        <w:rPr>
          <w:rFonts w:hint="eastAsia" w:ascii="宋体" w:hAnsi="宋体" w:eastAsia="宋体" w:cs="宋体"/>
          <w:b/>
          <w:bCs/>
          <w:sz w:val="32"/>
          <w:szCs w:val="21"/>
          <w:highlight w:val="none"/>
          <w:lang w:eastAsia="zh-CN"/>
        </w:rPr>
      </w:pPr>
      <w:bookmarkStart w:id="600" w:name="_Toc222032729"/>
      <w:bookmarkStart w:id="601" w:name="_Toc229305420"/>
      <w:bookmarkStart w:id="602" w:name="_Toc222029560"/>
      <w:bookmarkStart w:id="603" w:name="_Toc229408541"/>
      <w:bookmarkStart w:id="604" w:name="_Toc222031062"/>
      <w:bookmarkStart w:id="605" w:name="_Toc168475915"/>
      <w:bookmarkStart w:id="606" w:name="_Toc144974857"/>
      <w:bookmarkStart w:id="607" w:name="_Toc168476318"/>
      <w:bookmarkStart w:id="608" w:name="_Toc222033911"/>
      <w:bookmarkStart w:id="609" w:name="_Toc221951926"/>
      <w:r>
        <w:rPr>
          <w:rFonts w:hint="eastAsia" w:ascii="宋体" w:hAnsi="宋体" w:eastAsia="宋体" w:cs="宋体"/>
          <w:b/>
          <w:bCs/>
          <w:sz w:val="32"/>
          <w:szCs w:val="21"/>
          <w:highlight w:val="none"/>
        </w:rPr>
        <w:t>一、投标函及</w:t>
      </w:r>
      <w:bookmarkEnd w:id="600"/>
      <w:bookmarkEnd w:id="601"/>
      <w:bookmarkEnd w:id="602"/>
      <w:bookmarkEnd w:id="603"/>
      <w:bookmarkEnd w:id="604"/>
      <w:bookmarkEnd w:id="605"/>
      <w:bookmarkEnd w:id="606"/>
      <w:bookmarkEnd w:id="607"/>
      <w:bookmarkEnd w:id="608"/>
      <w:bookmarkEnd w:id="609"/>
      <w:r>
        <w:rPr>
          <w:rFonts w:hint="eastAsia" w:ascii="宋体" w:hAnsi="宋体" w:eastAsia="宋体" w:cs="宋体"/>
          <w:b/>
          <w:bCs/>
          <w:sz w:val="32"/>
          <w:szCs w:val="21"/>
          <w:highlight w:val="none"/>
          <w:lang w:eastAsia="zh-CN"/>
        </w:rPr>
        <w:t>开标一览表</w:t>
      </w:r>
    </w:p>
    <w:p w14:paraId="6667D92E">
      <w:pPr>
        <w:spacing w:line="440" w:lineRule="exact"/>
        <w:ind w:firstLine="2700" w:firstLineChars="1350"/>
        <w:rPr>
          <w:rFonts w:hint="eastAsia" w:ascii="宋体" w:hAnsi="宋体" w:eastAsia="宋体" w:cs="宋体"/>
          <w:sz w:val="20"/>
          <w:szCs w:val="20"/>
          <w:highlight w:val="none"/>
        </w:rPr>
      </w:pPr>
    </w:p>
    <w:p w14:paraId="1E8F9346">
      <w:pPr>
        <w:pStyle w:val="32"/>
        <w:jc w:val="center"/>
        <w:outlineLvl w:val="2"/>
        <w:rPr>
          <w:rFonts w:hint="eastAsia" w:ascii="宋体" w:hAnsi="宋体" w:eastAsia="宋体" w:cs="宋体"/>
          <w:b/>
          <w:bCs/>
          <w:sz w:val="32"/>
          <w:szCs w:val="21"/>
          <w:highlight w:val="none"/>
        </w:rPr>
      </w:pPr>
      <w:bookmarkStart w:id="610" w:name="_Toc168475916"/>
      <w:bookmarkStart w:id="611" w:name="_Toc168476319"/>
      <w:bookmarkStart w:id="612" w:name="_Toc144974858"/>
      <w:bookmarkStart w:id="613" w:name="_Toc221951927"/>
      <w:r>
        <w:rPr>
          <w:rFonts w:hint="eastAsia" w:ascii="宋体" w:hAnsi="宋体" w:eastAsia="宋体" w:cs="宋体"/>
          <w:b/>
          <w:bCs/>
          <w:sz w:val="32"/>
          <w:szCs w:val="21"/>
          <w:highlight w:val="none"/>
        </w:rPr>
        <w:t>（一）投标函</w:t>
      </w:r>
      <w:bookmarkEnd w:id="610"/>
      <w:bookmarkEnd w:id="611"/>
      <w:bookmarkEnd w:id="612"/>
      <w:bookmarkEnd w:id="613"/>
    </w:p>
    <w:p w14:paraId="570BAC93">
      <w:pPr>
        <w:spacing w:line="440" w:lineRule="exact"/>
        <w:rPr>
          <w:rFonts w:hint="eastAsia" w:ascii="宋体" w:hAnsi="宋体" w:eastAsia="宋体" w:cs="宋体"/>
          <w:sz w:val="20"/>
          <w:szCs w:val="20"/>
          <w:highlight w:val="none"/>
        </w:rPr>
      </w:pPr>
    </w:p>
    <w:p w14:paraId="6A67EDC6">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bookmarkStart w:id="614" w:name="_Toc221951928"/>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名称）：</w:t>
      </w:r>
      <w:bookmarkEnd w:id="614"/>
    </w:p>
    <w:p w14:paraId="1B72BD5A">
      <w:pPr>
        <w:spacing w:line="440" w:lineRule="exact"/>
        <w:rPr>
          <w:rFonts w:hint="eastAsia" w:ascii="宋体" w:hAnsi="宋体" w:eastAsia="宋体" w:cs="宋体"/>
          <w:sz w:val="24"/>
          <w:szCs w:val="24"/>
          <w:highlight w:val="none"/>
        </w:rPr>
      </w:pPr>
    </w:p>
    <w:p w14:paraId="3CA10B65">
      <w:pPr>
        <w:spacing w:line="440" w:lineRule="exact"/>
        <w:ind w:firstLine="480" w:firstLineChars="200"/>
        <w:rPr>
          <w:rFonts w:hint="eastAsia" w:ascii="宋体" w:hAnsi="宋体" w:eastAsia="宋体" w:cs="宋体"/>
          <w:sz w:val="24"/>
          <w:szCs w:val="24"/>
          <w:highlight w:val="none"/>
        </w:rPr>
      </w:pPr>
      <w:bookmarkStart w:id="615" w:name="_Toc221951929"/>
      <w:r>
        <w:rPr>
          <w:rFonts w:hint="eastAsia" w:ascii="宋体" w:hAnsi="宋体" w:cs="宋体"/>
          <w:sz w:val="24"/>
          <w:szCs w:val="24"/>
          <w:highlight w:val="none"/>
          <w:lang w:eastAsia="zh-CN"/>
        </w:rPr>
        <w:t>1.</w:t>
      </w:r>
      <w:r>
        <w:rPr>
          <w:rFonts w:hint="eastAsia" w:ascii="宋体" w:hAnsi="宋体" w:eastAsia="宋体" w:cs="宋体"/>
          <w:sz w:val="24"/>
          <w:szCs w:val="24"/>
          <w:highlight w:val="none"/>
        </w:rPr>
        <w:t>我方已仔细研究了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磋商文件</w:t>
      </w:r>
      <w:r>
        <w:rPr>
          <w:rFonts w:hint="eastAsia" w:ascii="宋体" w:hAnsi="宋体" w:eastAsia="宋体" w:cs="宋体"/>
          <w:sz w:val="24"/>
          <w:szCs w:val="24"/>
          <w:highlight w:val="none"/>
        </w:rPr>
        <w:t>的全部内容，愿意以人民币（大写）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）的投标总报价，</w:t>
      </w:r>
      <w:r>
        <w:rPr>
          <w:rFonts w:hint="eastAsia" w:ascii="宋体" w:hAnsi="宋体" w:eastAsia="宋体" w:cs="宋体"/>
          <w:sz w:val="24"/>
          <w:szCs w:val="24"/>
          <w:highlight w:val="none"/>
          <w:lang w:eastAsia="zh-CN"/>
        </w:rPr>
        <w:t>服务期限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，按合同约定实施和完成承包项目，修补项目中的任何缺陷、质量达到标准要求。</w:t>
      </w:r>
      <w:bookmarkEnd w:id="615"/>
    </w:p>
    <w:p w14:paraId="1AE227A0">
      <w:pPr>
        <w:spacing w:line="440" w:lineRule="exact"/>
        <w:ind w:firstLine="480" w:firstLineChars="200"/>
        <w:rPr>
          <w:rFonts w:hint="eastAsia" w:ascii="宋体" w:hAnsi="宋体" w:eastAsia="宋体" w:cs="宋体"/>
          <w:sz w:val="24"/>
          <w:szCs w:val="24"/>
          <w:highlight w:val="none"/>
        </w:rPr>
      </w:pPr>
      <w:bookmarkStart w:id="616" w:name="_Toc221951930"/>
      <w:r>
        <w:rPr>
          <w:rFonts w:hint="eastAsia" w:ascii="宋体" w:hAnsi="宋体" w:cs="宋体"/>
          <w:sz w:val="24"/>
          <w:szCs w:val="24"/>
          <w:highlight w:val="none"/>
          <w:lang w:eastAsia="zh-CN"/>
        </w:rPr>
        <w:t>2.</w:t>
      </w:r>
      <w:r>
        <w:rPr>
          <w:rFonts w:hint="eastAsia" w:ascii="宋体" w:hAnsi="宋体" w:eastAsia="宋体" w:cs="宋体"/>
          <w:sz w:val="24"/>
          <w:szCs w:val="24"/>
          <w:highlight w:val="none"/>
        </w:rPr>
        <w:t>我方承诺在投标有效期内不修改、撤销投标文件。</w:t>
      </w:r>
      <w:bookmarkEnd w:id="616"/>
    </w:p>
    <w:p w14:paraId="1676E020">
      <w:pPr>
        <w:spacing w:line="440" w:lineRule="exact"/>
        <w:ind w:firstLine="480" w:firstLineChars="200"/>
        <w:rPr>
          <w:rFonts w:hint="eastAsia" w:ascii="宋体" w:hAnsi="宋体" w:eastAsia="宋体" w:cs="宋体"/>
          <w:sz w:val="24"/>
          <w:szCs w:val="24"/>
          <w:highlight w:val="none"/>
        </w:rPr>
      </w:pPr>
      <w:bookmarkStart w:id="617" w:name="_Toc221951931"/>
      <w:r>
        <w:rPr>
          <w:rFonts w:hint="eastAsia" w:ascii="宋体" w:hAnsi="宋体" w:cs="宋体"/>
          <w:sz w:val="24"/>
          <w:szCs w:val="24"/>
          <w:highlight w:val="none"/>
          <w:lang w:eastAsia="zh-CN"/>
        </w:rPr>
        <w:t>3.</w:t>
      </w:r>
      <w:r>
        <w:rPr>
          <w:rFonts w:hint="eastAsia" w:ascii="宋体" w:hAnsi="宋体" w:eastAsia="宋体" w:cs="宋体"/>
          <w:sz w:val="24"/>
          <w:szCs w:val="24"/>
          <w:highlight w:val="none"/>
        </w:rPr>
        <w:t>随同本投标函提交</w:t>
      </w:r>
      <w:r>
        <w:rPr>
          <w:rFonts w:hint="eastAsia" w:ascii="宋体" w:hAnsi="宋体" w:cs="宋体"/>
          <w:sz w:val="24"/>
          <w:szCs w:val="24"/>
          <w:highlight w:val="none"/>
          <w:lang w:eastAsia="zh-CN"/>
        </w:rPr>
        <w:t>磋商保证金</w:t>
      </w:r>
      <w:r>
        <w:rPr>
          <w:rFonts w:hint="eastAsia" w:ascii="宋体" w:hAnsi="宋体" w:eastAsia="宋体" w:cs="宋体"/>
          <w:sz w:val="24"/>
          <w:szCs w:val="24"/>
          <w:highlight w:val="none"/>
        </w:rPr>
        <w:t>一份，金额为人民币（大写）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bookmarkEnd w:id="617"/>
    </w:p>
    <w:p w14:paraId="046D3EC3">
      <w:pPr>
        <w:spacing w:line="440" w:lineRule="exact"/>
        <w:ind w:firstLine="480" w:firstLineChars="200"/>
        <w:rPr>
          <w:rFonts w:hint="eastAsia" w:ascii="宋体" w:hAnsi="宋体" w:eastAsia="宋体" w:cs="宋体"/>
          <w:sz w:val="24"/>
          <w:szCs w:val="24"/>
          <w:highlight w:val="none"/>
        </w:rPr>
      </w:pPr>
      <w:bookmarkStart w:id="618" w:name="_Toc221951932"/>
      <w:r>
        <w:rPr>
          <w:rFonts w:hint="eastAsia" w:ascii="宋体" w:hAnsi="宋体" w:cs="宋体"/>
          <w:sz w:val="24"/>
          <w:szCs w:val="24"/>
          <w:highlight w:val="none"/>
          <w:lang w:eastAsia="zh-CN"/>
        </w:rPr>
        <w:t>4.</w:t>
      </w:r>
      <w:r>
        <w:rPr>
          <w:rFonts w:hint="eastAsia" w:ascii="宋体" w:hAnsi="宋体" w:eastAsia="宋体" w:cs="宋体"/>
          <w:sz w:val="24"/>
          <w:szCs w:val="24"/>
          <w:highlight w:val="none"/>
        </w:rPr>
        <w:t>如我方中标：</w:t>
      </w:r>
      <w:bookmarkEnd w:id="618"/>
    </w:p>
    <w:p w14:paraId="69B021BB">
      <w:pPr>
        <w:spacing w:line="440" w:lineRule="exact"/>
        <w:ind w:firstLine="820" w:firstLineChars="342"/>
        <w:rPr>
          <w:rFonts w:hint="eastAsia" w:ascii="宋体" w:hAnsi="宋体" w:eastAsia="宋体" w:cs="宋体"/>
          <w:sz w:val="24"/>
          <w:szCs w:val="24"/>
          <w:highlight w:val="none"/>
        </w:rPr>
      </w:pPr>
      <w:bookmarkStart w:id="619" w:name="_Toc221951933"/>
      <w:r>
        <w:rPr>
          <w:rFonts w:hint="eastAsia" w:ascii="宋体" w:hAnsi="宋体" w:eastAsia="宋体" w:cs="宋体"/>
          <w:sz w:val="24"/>
          <w:szCs w:val="24"/>
          <w:highlight w:val="none"/>
        </w:rPr>
        <w:t>（1）我方承诺在收到</w:t>
      </w:r>
      <w:r>
        <w:rPr>
          <w:rFonts w:hint="eastAsia" w:ascii="宋体" w:hAnsi="宋体" w:cs="宋体"/>
          <w:sz w:val="24"/>
          <w:szCs w:val="24"/>
          <w:highlight w:val="none"/>
          <w:lang w:eastAsia="zh-CN"/>
        </w:rPr>
        <w:t>成交通知书</w:t>
      </w:r>
      <w:r>
        <w:rPr>
          <w:rFonts w:hint="eastAsia" w:ascii="宋体" w:hAnsi="宋体" w:eastAsia="宋体" w:cs="宋体"/>
          <w:sz w:val="24"/>
          <w:szCs w:val="24"/>
          <w:highlight w:val="none"/>
        </w:rPr>
        <w:t>后，在</w:t>
      </w:r>
      <w:r>
        <w:rPr>
          <w:rFonts w:hint="eastAsia" w:ascii="宋体" w:hAnsi="宋体" w:cs="宋体"/>
          <w:sz w:val="24"/>
          <w:szCs w:val="24"/>
          <w:highlight w:val="none"/>
          <w:lang w:eastAsia="zh-CN"/>
        </w:rPr>
        <w:t>成交通知书</w:t>
      </w:r>
      <w:r>
        <w:rPr>
          <w:rFonts w:hint="eastAsia" w:ascii="宋体" w:hAnsi="宋体" w:eastAsia="宋体" w:cs="宋体"/>
          <w:sz w:val="24"/>
          <w:szCs w:val="24"/>
          <w:highlight w:val="none"/>
        </w:rPr>
        <w:t>规定的期限内与你方签订合同。</w:t>
      </w:r>
      <w:bookmarkEnd w:id="619"/>
    </w:p>
    <w:p w14:paraId="3AB138D3">
      <w:pPr>
        <w:spacing w:line="440" w:lineRule="exact"/>
        <w:ind w:firstLine="820" w:firstLineChars="342"/>
        <w:rPr>
          <w:rFonts w:hint="eastAsia" w:ascii="宋体" w:hAnsi="宋体" w:eastAsia="宋体" w:cs="宋体"/>
          <w:sz w:val="24"/>
          <w:szCs w:val="24"/>
          <w:highlight w:val="none"/>
        </w:rPr>
      </w:pPr>
      <w:bookmarkStart w:id="620" w:name="_Toc221951934"/>
      <w:r>
        <w:rPr>
          <w:rFonts w:hint="eastAsia" w:ascii="宋体" w:hAnsi="宋体" w:eastAsia="宋体" w:cs="宋体"/>
          <w:sz w:val="24"/>
          <w:szCs w:val="24"/>
          <w:highlight w:val="none"/>
        </w:rPr>
        <w:t>（2）随同本投标函递交的投标函附录属于合同文件的组成部分。</w:t>
      </w:r>
      <w:bookmarkEnd w:id="620"/>
    </w:p>
    <w:p w14:paraId="25EFCB17">
      <w:pPr>
        <w:spacing w:line="440" w:lineRule="exact"/>
        <w:ind w:firstLine="820" w:firstLineChars="342"/>
        <w:rPr>
          <w:rFonts w:hint="eastAsia" w:ascii="宋体" w:hAnsi="宋体" w:eastAsia="宋体" w:cs="宋体"/>
          <w:sz w:val="24"/>
          <w:szCs w:val="24"/>
          <w:highlight w:val="none"/>
        </w:rPr>
      </w:pPr>
      <w:bookmarkStart w:id="621" w:name="_Toc221951935"/>
      <w:r>
        <w:rPr>
          <w:rFonts w:hint="eastAsia" w:ascii="宋体" w:hAnsi="宋体" w:eastAsia="宋体" w:cs="宋体"/>
          <w:sz w:val="24"/>
          <w:szCs w:val="24"/>
          <w:highlight w:val="none"/>
        </w:rPr>
        <w:t>（3）</w:t>
      </w:r>
      <w:bookmarkEnd w:id="621"/>
      <w:bookmarkStart w:id="622" w:name="_Toc221951936"/>
      <w:r>
        <w:rPr>
          <w:rFonts w:hint="eastAsia" w:ascii="宋体" w:hAnsi="宋体" w:eastAsia="宋体" w:cs="宋体"/>
          <w:sz w:val="24"/>
          <w:szCs w:val="24"/>
          <w:highlight w:val="none"/>
        </w:rPr>
        <w:t>我方承诺在合同约定的期限内完成并移交全部合同</w:t>
      </w:r>
      <w:r>
        <w:rPr>
          <w:rFonts w:hint="eastAsia" w:ascii="宋体" w:hAnsi="宋体" w:cs="宋体"/>
          <w:sz w:val="24"/>
          <w:szCs w:val="24"/>
          <w:highlight w:val="none"/>
          <w:lang w:eastAsia="zh-CN"/>
        </w:rPr>
        <w:t>内容</w:t>
      </w:r>
      <w:r>
        <w:rPr>
          <w:rFonts w:hint="eastAsia" w:ascii="宋体" w:hAnsi="宋体" w:eastAsia="宋体" w:cs="宋体"/>
          <w:sz w:val="24"/>
          <w:szCs w:val="24"/>
          <w:highlight w:val="none"/>
        </w:rPr>
        <w:t>。</w:t>
      </w:r>
      <w:bookmarkEnd w:id="622"/>
    </w:p>
    <w:p w14:paraId="061294B0">
      <w:pPr>
        <w:spacing w:line="440" w:lineRule="exact"/>
        <w:ind w:firstLine="820" w:firstLineChars="342"/>
        <w:rPr>
          <w:rFonts w:hint="eastAsia" w:ascii="宋体" w:hAnsi="宋体" w:eastAsia="宋体" w:cs="宋体"/>
          <w:sz w:val="24"/>
          <w:szCs w:val="24"/>
          <w:highlight w:val="none"/>
        </w:rPr>
      </w:pPr>
      <w:r>
        <w:rPr>
          <w:rFonts w:hint="eastAsia" w:ascii="宋体" w:hAnsi="宋体" w:eastAsia="宋体" w:cs="宋体"/>
          <w:sz w:val="24"/>
          <w:szCs w:val="24"/>
          <w:highlight w:val="none"/>
        </w:rPr>
        <w:t>（4）我方承诺在领取</w:t>
      </w:r>
      <w:r>
        <w:rPr>
          <w:rFonts w:hint="eastAsia" w:ascii="宋体" w:hAnsi="宋体" w:cs="宋体"/>
          <w:sz w:val="24"/>
          <w:szCs w:val="24"/>
          <w:highlight w:val="none"/>
          <w:lang w:eastAsia="zh-CN"/>
        </w:rPr>
        <w:t>成交通知书后</w:t>
      </w:r>
      <w:r>
        <w:rPr>
          <w:rFonts w:hint="eastAsia" w:ascii="宋体" w:hAnsi="宋体" w:eastAsia="宋体" w:cs="宋体"/>
          <w:sz w:val="24"/>
          <w:szCs w:val="24"/>
          <w:highlight w:val="none"/>
        </w:rPr>
        <w:t>按规定向</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缴纳代理服务费。</w:t>
      </w:r>
    </w:p>
    <w:p w14:paraId="5ACD58C3">
      <w:pPr>
        <w:spacing w:line="440" w:lineRule="exact"/>
        <w:ind w:firstLine="480" w:firstLineChars="200"/>
        <w:rPr>
          <w:rFonts w:hint="eastAsia" w:ascii="宋体" w:hAnsi="宋体" w:eastAsia="宋体" w:cs="宋体"/>
          <w:sz w:val="24"/>
          <w:szCs w:val="24"/>
          <w:highlight w:val="none"/>
        </w:rPr>
      </w:pPr>
      <w:bookmarkStart w:id="623" w:name="_Toc221951937"/>
      <w:r>
        <w:rPr>
          <w:rFonts w:hint="eastAsia" w:ascii="宋体" w:hAnsi="宋体" w:cs="宋体"/>
          <w:sz w:val="24"/>
          <w:szCs w:val="24"/>
          <w:highlight w:val="none"/>
          <w:lang w:eastAsia="zh-CN"/>
        </w:rPr>
        <w:t>5.</w:t>
      </w:r>
      <w:r>
        <w:rPr>
          <w:rFonts w:hint="eastAsia" w:ascii="宋体" w:hAnsi="宋体" w:eastAsia="宋体" w:cs="宋体"/>
          <w:sz w:val="24"/>
          <w:szCs w:val="24"/>
          <w:highlight w:val="none"/>
        </w:rPr>
        <w:t>我方在此声明，所递交的投标文件及有关资料内容完整、真实和准确。</w:t>
      </w:r>
      <w:bookmarkEnd w:id="623"/>
    </w:p>
    <w:p w14:paraId="2C4E45E7">
      <w:pPr>
        <w:spacing w:line="440" w:lineRule="exact"/>
        <w:ind w:firstLine="480" w:firstLineChars="200"/>
        <w:rPr>
          <w:rFonts w:hint="eastAsia" w:ascii="宋体" w:hAnsi="宋体" w:eastAsia="宋体" w:cs="宋体"/>
          <w:sz w:val="24"/>
          <w:szCs w:val="24"/>
          <w:highlight w:val="none"/>
        </w:rPr>
      </w:pPr>
      <w:bookmarkStart w:id="624" w:name="_Toc221951938"/>
      <w:r>
        <w:rPr>
          <w:rFonts w:hint="eastAsia" w:ascii="宋体" w:hAnsi="宋体" w:eastAsia="宋体" w:cs="宋体"/>
          <w:sz w:val="24"/>
          <w:szCs w:val="24"/>
          <w:highlight w:val="none"/>
        </w:rPr>
        <w:t>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（其他补充说明）。</w:t>
      </w:r>
      <w:bookmarkEnd w:id="624"/>
    </w:p>
    <w:p w14:paraId="0C9777D2">
      <w:pPr>
        <w:spacing w:line="440" w:lineRule="exact"/>
        <w:rPr>
          <w:rFonts w:hint="eastAsia" w:ascii="宋体" w:hAnsi="宋体" w:eastAsia="宋体" w:cs="宋体"/>
          <w:sz w:val="24"/>
          <w:szCs w:val="24"/>
          <w:highlight w:val="none"/>
        </w:rPr>
      </w:pPr>
    </w:p>
    <w:p w14:paraId="37B56950">
      <w:pPr>
        <w:spacing w:line="440" w:lineRule="exact"/>
        <w:ind w:firstLine="4200" w:firstLineChars="1750"/>
        <w:rPr>
          <w:rFonts w:hint="eastAsia" w:ascii="宋体" w:hAnsi="宋体" w:eastAsia="宋体" w:cs="宋体"/>
          <w:sz w:val="24"/>
          <w:szCs w:val="24"/>
          <w:highlight w:val="none"/>
        </w:rPr>
      </w:pPr>
      <w:bookmarkStart w:id="625" w:name="_Toc221951939"/>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bookmarkEnd w:id="625"/>
    </w:p>
    <w:p w14:paraId="49AC333C">
      <w:pPr>
        <w:spacing w:line="440" w:lineRule="exact"/>
        <w:ind w:firstLine="3360" w:firstLineChars="1400"/>
        <w:rPr>
          <w:rFonts w:hint="eastAsia" w:ascii="宋体" w:hAnsi="宋体" w:eastAsia="宋体" w:cs="宋体"/>
          <w:sz w:val="24"/>
          <w:szCs w:val="24"/>
          <w:highlight w:val="none"/>
        </w:rPr>
      </w:pPr>
      <w:bookmarkStart w:id="626" w:name="_Toc221951940"/>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bookmarkEnd w:id="626"/>
    </w:p>
    <w:p w14:paraId="1149ABE8">
      <w:pPr>
        <w:spacing w:line="440" w:lineRule="exact"/>
        <w:ind w:firstLine="4200" w:firstLineChars="1750"/>
        <w:rPr>
          <w:rFonts w:hint="eastAsia" w:ascii="宋体" w:hAnsi="宋体" w:eastAsia="宋体" w:cs="宋体"/>
          <w:sz w:val="24"/>
          <w:szCs w:val="24"/>
          <w:highlight w:val="none"/>
        </w:rPr>
      </w:pPr>
      <w:bookmarkStart w:id="627" w:name="_Toc221951941"/>
      <w:r>
        <w:rPr>
          <w:rFonts w:hint="eastAsia" w:ascii="宋体" w:hAnsi="宋体" w:eastAsia="宋体" w:cs="宋体"/>
          <w:sz w:val="24"/>
          <w:szCs w:val="24"/>
          <w:highlight w:val="none"/>
        </w:rPr>
        <w:t>地址：</w:t>
      </w:r>
      <w:bookmarkEnd w:id="627"/>
      <w:r>
        <w:rPr>
          <w:rFonts w:hint="eastAsia" w:ascii="宋体" w:hAnsi="宋体" w:eastAsia="宋体" w:cs="宋体"/>
          <w:sz w:val="24"/>
          <w:szCs w:val="24"/>
          <w:highlight w:val="none"/>
          <w:u w:val="single"/>
        </w:rPr>
        <w:t xml:space="preserve">                                     </w:t>
      </w:r>
    </w:p>
    <w:p w14:paraId="598CE2D1">
      <w:pPr>
        <w:spacing w:line="440" w:lineRule="exact"/>
        <w:ind w:firstLine="4200" w:firstLineChars="1750"/>
        <w:rPr>
          <w:rFonts w:hint="eastAsia" w:ascii="宋体" w:hAnsi="宋体" w:eastAsia="宋体" w:cs="宋体"/>
          <w:sz w:val="24"/>
          <w:szCs w:val="24"/>
          <w:highlight w:val="none"/>
        </w:rPr>
      </w:pPr>
      <w:bookmarkStart w:id="628" w:name="_Toc221951942"/>
      <w:r>
        <w:rPr>
          <w:rFonts w:hint="eastAsia" w:ascii="宋体" w:hAnsi="宋体" w:eastAsia="宋体" w:cs="宋体"/>
          <w:sz w:val="24"/>
          <w:szCs w:val="24"/>
          <w:highlight w:val="none"/>
        </w:rPr>
        <w:t>网址：</w:t>
      </w:r>
      <w:bookmarkEnd w:id="628"/>
      <w:r>
        <w:rPr>
          <w:rFonts w:hint="eastAsia" w:ascii="宋体" w:hAnsi="宋体" w:eastAsia="宋体" w:cs="宋体"/>
          <w:sz w:val="24"/>
          <w:szCs w:val="24"/>
          <w:highlight w:val="none"/>
          <w:u w:val="single"/>
        </w:rPr>
        <w:t xml:space="preserve">                                     </w:t>
      </w:r>
    </w:p>
    <w:p w14:paraId="61A749BD">
      <w:pPr>
        <w:spacing w:line="440" w:lineRule="exact"/>
        <w:ind w:firstLine="4200" w:firstLineChars="1750"/>
        <w:rPr>
          <w:rFonts w:hint="eastAsia" w:ascii="宋体" w:hAnsi="宋体" w:eastAsia="宋体" w:cs="宋体"/>
          <w:sz w:val="24"/>
          <w:szCs w:val="24"/>
          <w:highlight w:val="none"/>
        </w:rPr>
      </w:pPr>
      <w:bookmarkStart w:id="629" w:name="_Toc221951943"/>
      <w:r>
        <w:rPr>
          <w:rFonts w:hint="eastAsia" w:ascii="宋体" w:hAnsi="宋体" w:eastAsia="宋体" w:cs="宋体"/>
          <w:sz w:val="24"/>
          <w:szCs w:val="24"/>
          <w:highlight w:val="none"/>
        </w:rPr>
        <w:t>电话：</w:t>
      </w:r>
      <w:bookmarkEnd w:id="629"/>
      <w:r>
        <w:rPr>
          <w:rFonts w:hint="eastAsia" w:ascii="宋体" w:hAnsi="宋体" w:eastAsia="宋体" w:cs="宋体"/>
          <w:sz w:val="24"/>
          <w:szCs w:val="24"/>
          <w:highlight w:val="none"/>
          <w:u w:val="single"/>
        </w:rPr>
        <w:t xml:space="preserve">                                     </w:t>
      </w:r>
    </w:p>
    <w:p w14:paraId="6698510E">
      <w:pPr>
        <w:spacing w:line="440" w:lineRule="exact"/>
        <w:ind w:firstLine="4200" w:firstLineChars="1750"/>
        <w:rPr>
          <w:rFonts w:hint="eastAsia" w:ascii="宋体" w:hAnsi="宋体" w:eastAsia="宋体" w:cs="宋体"/>
          <w:sz w:val="24"/>
          <w:szCs w:val="24"/>
          <w:highlight w:val="none"/>
        </w:rPr>
      </w:pPr>
      <w:bookmarkStart w:id="630" w:name="_Toc221951944"/>
      <w:r>
        <w:rPr>
          <w:rFonts w:hint="eastAsia" w:ascii="宋体" w:hAnsi="宋体" w:eastAsia="宋体" w:cs="宋体"/>
          <w:sz w:val="24"/>
          <w:szCs w:val="24"/>
          <w:highlight w:val="none"/>
        </w:rPr>
        <w:t>传真：</w:t>
      </w:r>
      <w:bookmarkEnd w:id="630"/>
      <w:r>
        <w:rPr>
          <w:rFonts w:hint="eastAsia" w:ascii="宋体" w:hAnsi="宋体" w:eastAsia="宋体" w:cs="宋体"/>
          <w:sz w:val="24"/>
          <w:szCs w:val="24"/>
          <w:highlight w:val="none"/>
          <w:u w:val="single"/>
        </w:rPr>
        <w:t xml:space="preserve">                                     </w:t>
      </w:r>
    </w:p>
    <w:p w14:paraId="232C2562">
      <w:pPr>
        <w:spacing w:line="440" w:lineRule="exact"/>
        <w:ind w:firstLine="4200" w:firstLineChars="1750"/>
        <w:rPr>
          <w:rFonts w:hint="eastAsia" w:ascii="宋体" w:hAnsi="宋体" w:eastAsia="宋体" w:cs="宋体"/>
          <w:sz w:val="24"/>
          <w:szCs w:val="24"/>
          <w:highlight w:val="none"/>
        </w:rPr>
      </w:pPr>
      <w:bookmarkStart w:id="631" w:name="_Toc221951945"/>
      <w:r>
        <w:rPr>
          <w:rFonts w:hint="eastAsia" w:ascii="宋体" w:hAnsi="宋体" w:eastAsia="宋体" w:cs="宋体"/>
          <w:sz w:val="24"/>
          <w:szCs w:val="24"/>
          <w:highlight w:val="none"/>
        </w:rPr>
        <w:t>邮政编码：</w:t>
      </w:r>
      <w:bookmarkEnd w:id="631"/>
      <w:r>
        <w:rPr>
          <w:rFonts w:hint="eastAsia" w:ascii="宋体" w:hAnsi="宋体" w:eastAsia="宋体" w:cs="宋体"/>
          <w:sz w:val="24"/>
          <w:szCs w:val="24"/>
          <w:highlight w:val="none"/>
          <w:u w:val="single"/>
        </w:rPr>
        <w:t xml:space="preserve">                                 </w:t>
      </w:r>
    </w:p>
    <w:p w14:paraId="097BBE92">
      <w:pPr>
        <w:spacing w:line="440" w:lineRule="exact"/>
        <w:ind w:firstLine="4200" w:firstLineChars="1750"/>
        <w:rPr>
          <w:rFonts w:hint="eastAsia" w:ascii="宋体" w:hAnsi="宋体" w:eastAsia="宋体" w:cs="宋体"/>
          <w:sz w:val="24"/>
          <w:szCs w:val="24"/>
          <w:highlight w:val="none"/>
        </w:rPr>
      </w:pPr>
    </w:p>
    <w:p w14:paraId="0A99E382">
      <w:pPr>
        <w:spacing w:line="440" w:lineRule="exact"/>
        <w:ind w:firstLine="5400" w:firstLineChars="2250"/>
        <w:jc w:val="right"/>
        <w:rPr>
          <w:rFonts w:hint="eastAsia" w:ascii="宋体" w:hAnsi="宋体" w:eastAsia="宋体" w:cs="宋体"/>
          <w:sz w:val="24"/>
          <w:szCs w:val="24"/>
          <w:highlight w:val="none"/>
        </w:rPr>
      </w:pPr>
      <w:bookmarkStart w:id="632" w:name="_Toc221951946"/>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w:t>
      </w:r>
      <w:bookmarkEnd w:id="632"/>
    </w:p>
    <w:p w14:paraId="6A5827A6">
      <w:pPr>
        <w:rPr>
          <w:rFonts w:hint="eastAsia" w:ascii="宋体" w:hAnsi="宋体" w:eastAsia="宋体" w:cs="宋体"/>
          <w:spacing w:val="-12"/>
          <w:sz w:val="30"/>
          <w:highlight w:val="none"/>
        </w:rPr>
      </w:pPr>
    </w:p>
    <w:p w14:paraId="2DF1E1B0">
      <w:pPr>
        <w:rPr>
          <w:rFonts w:hint="eastAsia" w:ascii="宋体" w:hAnsi="宋体" w:eastAsia="宋体" w:cs="宋体"/>
          <w:spacing w:val="-12"/>
          <w:sz w:val="30"/>
          <w:highlight w:val="none"/>
        </w:rPr>
      </w:pPr>
    </w:p>
    <w:p w14:paraId="65A5CA0A">
      <w:pPr>
        <w:pStyle w:val="32"/>
        <w:numPr>
          <w:ilvl w:val="0"/>
          <w:numId w:val="0"/>
        </w:numPr>
        <w:ind w:left="480" w:leftChars="0"/>
        <w:jc w:val="center"/>
        <w:outlineLvl w:val="2"/>
        <w:rPr>
          <w:rFonts w:hint="eastAsia" w:ascii="宋体" w:hAnsi="宋体" w:eastAsia="宋体" w:cs="宋体"/>
          <w:b/>
          <w:bCs/>
          <w:sz w:val="32"/>
          <w:szCs w:val="21"/>
          <w:highlight w:val="none"/>
          <w:lang w:eastAsia="zh-CN"/>
        </w:rPr>
      </w:pPr>
      <w:r>
        <w:rPr>
          <w:rFonts w:hint="eastAsia" w:ascii="宋体" w:hAnsi="宋体" w:eastAsia="宋体" w:cs="宋体"/>
          <w:b/>
          <w:bCs/>
          <w:sz w:val="32"/>
          <w:szCs w:val="21"/>
          <w:highlight w:val="none"/>
          <w:lang w:eastAsia="zh-CN"/>
        </w:rPr>
        <w:t>（</w:t>
      </w:r>
      <w:r>
        <w:rPr>
          <w:rFonts w:hint="eastAsia" w:ascii="宋体" w:hAnsi="宋体" w:eastAsia="宋体" w:cs="宋体"/>
          <w:b/>
          <w:bCs/>
          <w:sz w:val="32"/>
          <w:szCs w:val="21"/>
          <w:highlight w:val="none"/>
          <w:lang w:val="en-US" w:eastAsia="zh-CN"/>
        </w:rPr>
        <w:t>二</w:t>
      </w:r>
      <w:r>
        <w:rPr>
          <w:rFonts w:hint="eastAsia" w:ascii="宋体" w:hAnsi="宋体" w:eastAsia="宋体" w:cs="宋体"/>
          <w:b/>
          <w:bCs/>
          <w:sz w:val="32"/>
          <w:szCs w:val="21"/>
          <w:highlight w:val="none"/>
          <w:lang w:eastAsia="zh-CN"/>
        </w:rPr>
        <w:t>）开标一览表</w:t>
      </w:r>
    </w:p>
    <w:p w14:paraId="0A9E98E1">
      <w:pPr>
        <w:pStyle w:val="32"/>
        <w:numPr>
          <w:ilvl w:val="0"/>
          <w:numId w:val="0"/>
        </w:numPr>
        <w:ind w:left="480" w:leftChars="0"/>
        <w:jc w:val="both"/>
        <w:outlineLvl w:val="2"/>
        <w:rPr>
          <w:rFonts w:hint="eastAsia" w:ascii="宋体" w:hAnsi="宋体" w:eastAsia="宋体" w:cs="宋体"/>
          <w:b/>
          <w:bCs/>
          <w:sz w:val="32"/>
          <w:szCs w:val="21"/>
          <w:highlight w:val="none"/>
          <w:lang w:eastAsia="zh-CN"/>
        </w:rPr>
      </w:pPr>
    </w:p>
    <w:tbl>
      <w:tblPr>
        <w:tblStyle w:val="2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5670"/>
      </w:tblGrid>
      <w:tr w14:paraId="312A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114" w:type="dxa"/>
            <w:noWrap w:val="0"/>
            <w:vAlign w:val="center"/>
          </w:tcPr>
          <w:p w14:paraId="49F45F1E">
            <w:pPr>
              <w:adjustRightInd w:val="0"/>
              <w:snapToGrid w:val="0"/>
              <w:jc w:val="center"/>
              <w:rPr>
                <w:rFonts w:hint="eastAsia" w:ascii="宋体" w:hAnsi="宋体" w:eastAsia="宋体" w:cs="宋体"/>
                <w:bCs/>
                <w:sz w:val="24"/>
                <w:highlight w:val="none"/>
              </w:rPr>
            </w:pPr>
            <w:r>
              <w:rPr>
                <w:rFonts w:hint="eastAsia" w:ascii="宋体" w:hAnsi="宋体" w:eastAsia="宋体" w:cs="宋体"/>
                <w:bCs/>
                <w:sz w:val="24"/>
                <w:highlight w:val="none"/>
              </w:rPr>
              <w:t>项目名称</w:t>
            </w:r>
          </w:p>
        </w:tc>
        <w:tc>
          <w:tcPr>
            <w:tcW w:w="5670" w:type="dxa"/>
            <w:noWrap w:val="0"/>
            <w:vAlign w:val="center"/>
          </w:tcPr>
          <w:p w14:paraId="2CA30DFB">
            <w:pPr>
              <w:adjustRightInd w:val="0"/>
              <w:snapToGrid w:val="0"/>
              <w:jc w:val="left"/>
              <w:rPr>
                <w:rFonts w:hint="eastAsia" w:ascii="宋体" w:hAnsi="宋体" w:eastAsia="宋体" w:cs="宋体"/>
                <w:sz w:val="24"/>
                <w:highlight w:val="none"/>
                <w:lang w:eastAsia="zh-CN"/>
              </w:rPr>
            </w:pPr>
            <w:r>
              <w:rPr>
                <w:rFonts w:hint="eastAsia" w:ascii="宋体" w:hAnsi="宋体" w:cs="宋体"/>
                <w:sz w:val="24"/>
                <w:highlight w:val="none"/>
                <w:lang w:eastAsia="zh-CN"/>
              </w:rPr>
              <w:t xml:space="preserve">巴音郭楞职业技术学院教务管理服务平台、实验实训管理服务平台以及个性化功能定制建设项目 </w:t>
            </w:r>
          </w:p>
        </w:tc>
      </w:tr>
      <w:tr w14:paraId="4B74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114" w:type="dxa"/>
            <w:noWrap w:val="0"/>
            <w:vAlign w:val="center"/>
          </w:tcPr>
          <w:p w14:paraId="4C5CC5DD">
            <w:pPr>
              <w:adjustRightInd w:val="0"/>
              <w:snapToGrid w:val="0"/>
              <w:jc w:val="center"/>
              <w:rPr>
                <w:rFonts w:hint="eastAsia" w:ascii="宋体" w:hAnsi="宋体" w:eastAsia="宋体" w:cs="宋体"/>
                <w:bCs/>
                <w:sz w:val="24"/>
                <w:highlight w:val="none"/>
              </w:rPr>
            </w:pPr>
            <w:r>
              <w:rPr>
                <w:rFonts w:hint="eastAsia" w:ascii="宋体" w:hAnsi="宋体" w:eastAsia="宋体" w:cs="宋体"/>
                <w:bCs/>
                <w:sz w:val="24"/>
                <w:highlight w:val="none"/>
              </w:rPr>
              <w:t>投标报价</w:t>
            </w:r>
          </w:p>
          <w:p w14:paraId="64363C4B">
            <w:pPr>
              <w:adjustRightInd w:val="0"/>
              <w:snapToGrid w:val="0"/>
              <w:jc w:val="center"/>
              <w:rPr>
                <w:rFonts w:hint="eastAsia" w:ascii="宋体" w:hAnsi="宋体" w:eastAsia="宋体" w:cs="宋体"/>
                <w:highlight w:val="none"/>
                <w:lang w:eastAsia="zh-CN"/>
              </w:rPr>
            </w:pPr>
            <w:r>
              <w:rPr>
                <w:rFonts w:hint="eastAsia" w:ascii="宋体" w:hAnsi="宋体" w:eastAsia="宋体" w:cs="宋体"/>
                <w:bCs/>
                <w:sz w:val="24"/>
                <w:highlight w:val="none"/>
                <w:lang w:eastAsia="zh-CN"/>
              </w:rPr>
              <w:t>单位（元）</w:t>
            </w:r>
          </w:p>
        </w:tc>
        <w:tc>
          <w:tcPr>
            <w:tcW w:w="5670" w:type="dxa"/>
            <w:noWrap w:val="0"/>
            <w:vAlign w:val="center"/>
          </w:tcPr>
          <w:p w14:paraId="4642802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总报价（大写）：</w:t>
            </w:r>
          </w:p>
          <w:p w14:paraId="4126646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rPr>
              <w:t>总报价（小写）：</w:t>
            </w:r>
          </w:p>
        </w:tc>
      </w:tr>
      <w:tr w14:paraId="0736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114" w:type="dxa"/>
            <w:noWrap w:val="0"/>
            <w:vAlign w:val="center"/>
          </w:tcPr>
          <w:p w14:paraId="5824162D">
            <w:pPr>
              <w:adjustRightInd w:val="0"/>
              <w:snapToGrid w:val="0"/>
              <w:jc w:val="center"/>
              <w:rPr>
                <w:rFonts w:hint="eastAsia" w:ascii="宋体" w:hAnsi="宋体" w:eastAsia="宋体" w:cs="宋体"/>
                <w:sz w:val="24"/>
                <w:highlight w:val="none"/>
                <w:lang w:eastAsia="zh-CN"/>
              </w:rPr>
            </w:pPr>
            <w:r>
              <w:rPr>
                <w:rFonts w:hint="eastAsia" w:ascii="宋体" w:hAnsi="宋体" w:eastAsia="宋体" w:cs="宋体"/>
                <w:kern w:val="0"/>
                <w:sz w:val="24"/>
                <w:highlight w:val="none"/>
                <w:lang w:eastAsia="zh-CN"/>
              </w:rPr>
              <w:t>服务期限</w:t>
            </w:r>
          </w:p>
        </w:tc>
        <w:tc>
          <w:tcPr>
            <w:tcW w:w="5670" w:type="dxa"/>
            <w:noWrap w:val="0"/>
            <w:vAlign w:val="center"/>
          </w:tcPr>
          <w:p w14:paraId="2A758BEF">
            <w:pPr>
              <w:adjustRightInd w:val="0"/>
              <w:snapToGrid w:val="0"/>
              <w:rPr>
                <w:rFonts w:hint="eastAsia" w:ascii="宋体" w:hAnsi="宋体" w:eastAsia="宋体" w:cs="宋体"/>
                <w:sz w:val="24"/>
                <w:highlight w:val="none"/>
                <w:u w:val="single"/>
              </w:rPr>
            </w:pPr>
          </w:p>
        </w:tc>
      </w:tr>
      <w:tr w14:paraId="29A7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3114" w:type="dxa"/>
            <w:noWrap w:val="0"/>
            <w:vAlign w:val="center"/>
          </w:tcPr>
          <w:p w14:paraId="3C637569">
            <w:pPr>
              <w:adjustRightInd w:val="0"/>
              <w:snapToGrid w:val="0"/>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备</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注</w:t>
            </w:r>
          </w:p>
        </w:tc>
        <w:tc>
          <w:tcPr>
            <w:tcW w:w="5670" w:type="dxa"/>
            <w:noWrap w:val="0"/>
            <w:vAlign w:val="center"/>
          </w:tcPr>
          <w:p w14:paraId="407E05E4">
            <w:pPr>
              <w:adjustRightInd w:val="0"/>
              <w:snapToGrid w:val="0"/>
              <w:jc w:val="left"/>
              <w:rPr>
                <w:rFonts w:hint="eastAsia" w:ascii="宋体" w:hAnsi="宋体" w:eastAsia="宋体" w:cs="宋体"/>
                <w:sz w:val="24"/>
                <w:highlight w:val="none"/>
                <w:lang w:eastAsia="zh-CN"/>
              </w:rPr>
            </w:pPr>
          </w:p>
        </w:tc>
      </w:tr>
    </w:tbl>
    <w:p w14:paraId="48ED97A5">
      <w:pPr>
        <w:spacing w:line="440" w:lineRule="exact"/>
        <w:rPr>
          <w:rFonts w:hint="eastAsia" w:ascii="宋体" w:hAnsi="宋体" w:eastAsia="宋体" w:cs="宋体"/>
          <w:sz w:val="20"/>
          <w:szCs w:val="20"/>
          <w:highlight w:val="none"/>
        </w:rPr>
      </w:pPr>
    </w:p>
    <w:p w14:paraId="25B5275B">
      <w:pPr>
        <w:spacing w:before="78" w:line="468" w:lineRule="exact"/>
        <w:jc w:val="right"/>
        <w:rPr>
          <w:rFonts w:ascii="宋体" w:hAnsi="宋体" w:eastAsia="宋体" w:cs="宋体"/>
          <w:sz w:val="24"/>
          <w:szCs w:val="24"/>
          <w:highlight w:val="none"/>
        </w:rPr>
      </w:pPr>
      <w:r>
        <w:rPr>
          <w:rFonts w:ascii="宋体" w:hAnsi="宋体" w:eastAsia="宋体" w:cs="宋体"/>
          <w:spacing w:val="-6"/>
          <w:position w:val="17"/>
          <w:sz w:val="24"/>
          <w:szCs w:val="24"/>
          <w:highlight w:val="none"/>
        </w:rPr>
        <w:t>注：报价应是最终用户验收合格后的总价，包括实施和完成本项目所需的劳务、管理、</w:t>
      </w:r>
    </w:p>
    <w:p w14:paraId="0F9107EB">
      <w:pPr>
        <w:spacing w:line="219" w:lineRule="auto"/>
        <w:ind w:left="34"/>
        <w:rPr>
          <w:rFonts w:ascii="宋体" w:hAnsi="宋体" w:eastAsia="宋体" w:cs="宋体"/>
          <w:sz w:val="24"/>
          <w:szCs w:val="24"/>
          <w:highlight w:val="none"/>
        </w:rPr>
      </w:pPr>
      <w:r>
        <w:rPr>
          <w:rFonts w:ascii="宋体" w:hAnsi="宋体" w:eastAsia="宋体" w:cs="宋体"/>
          <w:spacing w:val="-1"/>
          <w:sz w:val="24"/>
          <w:szCs w:val="24"/>
          <w:highlight w:val="none"/>
        </w:rPr>
        <w:t>安全、办公、交通、税金、利润等一切费用，采购人不再支付其他任何费用。</w:t>
      </w:r>
    </w:p>
    <w:p w14:paraId="347C7196">
      <w:pPr>
        <w:spacing w:line="440" w:lineRule="exact"/>
        <w:jc w:val="both"/>
        <w:rPr>
          <w:rFonts w:hint="eastAsia" w:ascii="宋体" w:hAnsi="宋体" w:eastAsia="宋体" w:cs="宋体"/>
          <w:sz w:val="24"/>
          <w:szCs w:val="24"/>
          <w:highlight w:val="none"/>
        </w:rPr>
      </w:pPr>
    </w:p>
    <w:p w14:paraId="40EC9DE5">
      <w:pPr>
        <w:spacing w:line="440" w:lineRule="exact"/>
        <w:ind w:firstLine="6000" w:firstLineChars="25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投标人（盖章）：                   </w:t>
      </w:r>
    </w:p>
    <w:p w14:paraId="2DCB5C6B">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法</w:t>
      </w:r>
      <w:r>
        <w:rPr>
          <w:rFonts w:hint="eastAsia" w:ascii="宋体" w:hAnsi="宋体" w:cs="宋体"/>
          <w:sz w:val="24"/>
          <w:szCs w:val="24"/>
          <w:highlight w:val="none"/>
          <w:lang w:eastAsia="zh-CN"/>
        </w:rPr>
        <w:t>定</w:t>
      </w:r>
      <w:r>
        <w:rPr>
          <w:rFonts w:hint="eastAsia" w:ascii="宋体" w:hAnsi="宋体" w:eastAsia="宋体" w:cs="宋体"/>
          <w:sz w:val="24"/>
          <w:szCs w:val="24"/>
          <w:highlight w:val="none"/>
        </w:rPr>
        <w:t>代表人（或授权代表）（签名）：</w:t>
      </w:r>
    </w:p>
    <w:p w14:paraId="7FA442AD">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日期：    年   月   日</w:t>
      </w:r>
    </w:p>
    <w:p w14:paraId="4FAF93A3">
      <w:pPr>
        <w:spacing w:line="440" w:lineRule="exact"/>
        <w:jc w:val="right"/>
        <w:rPr>
          <w:rFonts w:hint="eastAsia" w:ascii="宋体" w:hAnsi="宋体" w:eastAsia="宋体" w:cs="宋体"/>
          <w:sz w:val="20"/>
          <w:szCs w:val="20"/>
          <w:highlight w:val="none"/>
        </w:rPr>
      </w:pPr>
    </w:p>
    <w:p w14:paraId="03F2CC49">
      <w:pPr>
        <w:spacing w:line="440" w:lineRule="exact"/>
        <w:rPr>
          <w:rFonts w:hint="eastAsia" w:ascii="宋体" w:hAnsi="宋体" w:eastAsia="宋体" w:cs="宋体"/>
          <w:sz w:val="20"/>
          <w:szCs w:val="20"/>
          <w:highlight w:val="none"/>
        </w:rPr>
      </w:pPr>
    </w:p>
    <w:p w14:paraId="1338C3BD">
      <w:pPr>
        <w:spacing w:line="440" w:lineRule="exact"/>
        <w:rPr>
          <w:rFonts w:hint="eastAsia" w:ascii="宋体" w:hAnsi="宋体" w:eastAsia="宋体" w:cs="宋体"/>
          <w:sz w:val="20"/>
          <w:szCs w:val="20"/>
          <w:highlight w:val="none"/>
        </w:rPr>
      </w:pPr>
    </w:p>
    <w:p w14:paraId="7D139899">
      <w:pPr>
        <w:spacing w:line="440" w:lineRule="exact"/>
        <w:rPr>
          <w:rFonts w:hint="eastAsia" w:ascii="宋体" w:hAnsi="宋体" w:eastAsia="宋体" w:cs="宋体"/>
          <w:sz w:val="20"/>
          <w:szCs w:val="20"/>
          <w:highlight w:val="none"/>
        </w:rPr>
      </w:pPr>
    </w:p>
    <w:p w14:paraId="446066A2">
      <w:pPr>
        <w:rPr>
          <w:rFonts w:hint="eastAsia" w:ascii="宋体" w:hAnsi="宋体" w:eastAsia="宋体" w:cs="宋体"/>
          <w:sz w:val="20"/>
          <w:szCs w:val="20"/>
          <w:highlight w:val="none"/>
        </w:rPr>
      </w:pPr>
    </w:p>
    <w:p w14:paraId="2D9203E8">
      <w:pPr>
        <w:pStyle w:val="32"/>
        <w:numPr>
          <w:ilvl w:val="0"/>
          <w:numId w:val="0"/>
        </w:numPr>
        <w:jc w:val="both"/>
        <w:rPr>
          <w:rFonts w:hint="eastAsia" w:ascii="宋体" w:hAnsi="宋体" w:eastAsia="宋体" w:cs="宋体"/>
          <w:b/>
          <w:bCs/>
          <w:kern w:val="2"/>
          <w:sz w:val="32"/>
          <w:szCs w:val="21"/>
          <w:highlight w:val="none"/>
          <w:lang w:val="en-US" w:eastAsia="zh-CN" w:bidi="ar-SA"/>
        </w:rPr>
      </w:pPr>
    </w:p>
    <w:p w14:paraId="159D9C12">
      <w:pPr>
        <w:pStyle w:val="32"/>
        <w:numPr>
          <w:ilvl w:val="0"/>
          <w:numId w:val="0"/>
        </w:numPr>
        <w:jc w:val="center"/>
        <w:rPr>
          <w:rFonts w:hint="eastAsia" w:ascii="宋体" w:hAnsi="宋体" w:eastAsia="宋体" w:cs="宋体"/>
          <w:b/>
          <w:bCs/>
          <w:kern w:val="2"/>
          <w:sz w:val="32"/>
          <w:szCs w:val="21"/>
          <w:highlight w:val="none"/>
          <w:lang w:val="en-US" w:eastAsia="zh-CN" w:bidi="ar-SA"/>
        </w:rPr>
      </w:pPr>
      <w:r>
        <w:rPr>
          <w:rFonts w:hint="eastAsia" w:ascii="宋体" w:hAnsi="宋体" w:eastAsia="宋体" w:cs="宋体"/>
          <w:b/>
          <w:bCs/>
          <w:kern w:val="2"/>
          <w:sz w:val="32"/>
          <w:szCs w:val="21"/>
          <w:highlight w:val="none"/>
          <w:lang w:val="en-US" w:eastAsia="zh-CN" w:bidi="ar-SA"/>
        </w:rPr>
        <w:t>二、资格审查资料</w:t>
      </w:r>
    </w:p>
    <w:p w14:paraId="4CB69E37">
      <w:pPr>
        <w:pStyle w:val="32"/>
        <w:numPr>
          <w:ilvl w:val="0"/>
          <w:numId w:val="0"/>
        </w:numPr>
        <w:jc w:val="both"/>
        <w:rPr>
          <w:rFonts w:hint="eastAsia" w:ascii="宋体" w:hAnsi="宋体" w:eastAsia="宋体" w:cs="宋体"/>
          <w:sz w:val="28"/>
          <w:szCs w:val="28"/>
          <w:highlight w:val="none"/>
          <w:lang w:val="en-US" w:eastAsia="zh-CN"/>
        </w:rPr>
      </w:pPr>
    </w:p>
    <w:p w14:paraId="0EA357C9">
      <w:pPr>
        <w:spacing w:line="440" w:lineRule="exact"/>
        <w:ind w:firstLine="480" w:firstLineChars="200"/>
        <w:jc w:val="center"/>
        <w:rPr>
          <w:rFonts w:hint="default"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根据上述第五部分评审内容提供相关资料</w:t>
      </w:r>
      <w:r>
        <w:rPr>
          <w:rFonts w:hint="eastAsia" w:ascii="宋体" w:hAnsi="宋体" w:cs="宋体"/>
          <w:sz w:val="24"/>
          <w:szCs w:val="20"/>
          <w:highlight w:val="none"/>
          <w:lang w:val="en-US" w:eastAsia="zh-CN"/>
        </w:rPr>
        <w:t>，未提供格式的，格式自拟。</w:t>
      </w:r>
    </w:p>
    <w:p w14:paraId="30E2A656">
      <w:pPr>
        <w:spacing w:line="440" w:lineRule="exact"/>
        <w:jc w:val="both"/>
        <w:rPr>
          <w:rFonts w:hint="eastAsia" w:ascii="宋体" w:hAnsi="宋体" w:cs="宋体"/>
          <w:b/>
          <w:bCs/>
          <w:sz w:val="32"/>
          <w:szCs w:val="21"/>
          <w:highlight w:val="none"/>
          <w:lang w:eastAsia="zh-CN"/>
        </w:rPr>
      </w:pPr>
    </w:p>
    <w:p w14:paraId="78EF826E">
      <w:pPr>
        <w:spacing w:line="440" w:lineRule="exact"/>
        <w:jc w:val="both"/>
        <w:rPr>
          <w:rFonts w:hint="eastAsia" w:ascii="宋体" w:hAnsi="宋体" w:cs="宋体"/>
          <w:b/>
          <w:bCs/>
          <w:sz w:val="32"/>
          <w:szCs w:val="21"/>
          <w:highlight w:val="none"/>
          <w:lang w:eastAsia="zh-CN"/>
        </w:rPr>
      </w:pPr>
    </w:p>
    <w:p w14:paraId="51BB2E00">
      <w:pPr>
        <w:spacing w:line="440" w:lineRule="exact"/>
        <w:jc w:val="both"/>
        <w:rPr>
          <w:rFonts w:hint="eastAsia" w:ascii="宋体" w:hAnsi="宋体" w:cs="宋体"/>
          <w:b/>
          <w:bCs/>
          <w:sz w:val="32"/>
          <w:szCs w:val="21"/>
          <w:highlight w:val="none"/>
          <w:lang w:eastAsia="zh-CN"/>
        </w:rPr>
      </w:pPr>
    </w:p>
    <w:p w14:paraId="1416C1C7">
      <w:pPr>
        <w:spacing w:line="440" w:lineRule="exact"/>
        <w:jc w:val="both"/>
        <w:rPr>
          <w:rFonts w:hint="eastAsia" w:ascii="宋体" w:hAnsi="宋体" w:cs="宋体"/>
          <w:b/>
          <w:bCs/>
          <w:sz w:val="24"/>
          <w:szCs w:val="18"/>
          <w:highlight w:val="none"/>
          <w:lang w:eastAsia="zh-CN"/>
        </w:rPr>
      </w:pPr>
      <w:r>
        <w:rPr>
          <w:rFonts w:hint="eastAsia" w:ascii="宋体" w:hAnsi="宋体" w:cs="宋体"/>
          <w:b/>
          <w:bCs/>
          <w:sz w:val="24"/>
          <w:szCs w:val="18"/>
          <w:highlight w:val="none"/>
          <w:lang w:eastAsia="zh-CN"/>
        </w:rPr>
        <w:t>附件一</w:t>
      </w:r>
    </w:p>
    <w:p w14:paraId="5E9D19D2">
      <w:pPr>
        <w:spacing w:line="440" w:lineRule="exact"/>
        <w:ind w:firstLine="1124" w:firstLineChars="350"/>
        <w:jc w:val="center"/>
        <w:rPr>
          <w:rFonts w:hint="eastAsia" w:ascii="宋体" w:hAnsi="宋体" w:eastAsia="宋体" w:cs="宋体"/>
          <w:b/>
          <w:bCs/>
          <w:sz w:val="32"/>
          <w:szCs w:val="21"/>
          <w:highlight w:val="none"/>
        </w:rPr>
      </w:pPr>
      <w:r>
        <w:rPr>
          <w:rFonts w:hint="eastAsia" w:ascii="宋体" w:hAnsi="宋体" w:eastAsia="宋体" w:cs="宋体"/>
          <w:b/>
          <w:bCs/>
          <w:sz w:val="32"/>
          <w:szCs w:val="21"/>
          <w:highlight w:val="none"/>
        </w:rPr>
        <w:t>具有良好的商业信誉承诺函</w:t>
      </w:r>
    </w:p>
    <w:p w14:paraId="17A9BE98">
      <w:pPr>
        <w:pStyle w:val="8"/>
        <w:spacing w:line="348" w:lineRule="auto"/>
        <w:rPr>
          <w:highlight w:val="none"/>
        </w:rPr>
      </w:pPr>
    </w:p>
    <w:p w14:paraId="2340EEC5">
      <w:pPr>
        <w:pStyle w:val="8"/>
        <w:spacing w:line="348" w:lineRule="auto"/>
        <w:rPr>
          <w:highlight w:val="none"/>
        </w:rPr>
      </w:pPr>
    </w:p>
    <w:p w14:paraId="7DF6C1DD">
      <w:pPr>
        <w:pStyle w:val="8"/>
        <w:spacing w:line="283" w:lineRule="auto"/>
        <w:rPr>
          <w:highlight w:val="none"/>
        </w:rPr>
      </w:pPr>
    </w:p>
    <w:p w14:paraId="4600268F">
      <w:pPr>
        <w:pStyle w:val="8"/>
        <w:spacing w:line="284" w:lineRule="auto"/>
        <w:rPr>
          <w:highlight w:val="none"/>
        </w:rPr>
      </w:pPr>
    </w:p>
    <w:p w14:paraId="12DD2DD7">
      <w:pPr>
        <w:pStyle w:val="3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我公司作为本次采购项目的</w:t>
      </w:r>
      <w:r>
        <w:rPr>
          <w:rFonts w:hint="eastAsia" w:ascii="宋体" w:hAnsi="宋体" w:cs="宋体"/>
          <w:sz w:val="24"/>
          <w:szCs w:val="24"/>
          <w:highlight w:val="none"/>
          <w:lang w:eastAsia="zh-CN"/>
        </w:rPr>
        <w:t>投标</w:t>
      </w:r>
      <w:r>
        <w:rPr>
          <w:rFonts w:hint="eastAsia" w:ascii="宋体" w:hAnsi="宋体" w:eastAsia="宋体" w:cs="宋体"/>
          <w:sz w:val="24"/>
          <w:szCs w:val="24"/>
          <w:highlight w:val="none"/>
        </w:rPr>
        <w:t>人，根据磋商文件要求，现郑重承诺如下：</w:t>
      </w:r>
    </w:p>
    <w:p w14:paraId="63BD78F9">
      <w:pPr>
        <w:pStyle w:val="3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我公司具有良好的商业信誉。本公司对上述承诺的真实性负责。如有虚假，将依法承担相应责任。</w:t>
      </w:r>
    </w:p>
    <w:p w14:paraId="72FF6A34">
      <w:pPr>
        <w:pStyle w:val="8"/>
        <w:spacing w:line="279" w:lineRule="auto"/>
        <w:rPr>
          <w:highlight w:val="none"/>
        </w:rPr>
      </w:pPr>
    </w:p>
    <w:p w14:paraId="32AAE5E0">
      <w:pPr>
        <w:pStyle w:val="8"/>
        <w:spacing w:line="279" w:lineRule="auto"/>
        <w:rPr>
          <w:highlight w:val="none"/>
        </w:rPr>
      </w:pPr>
    </w:p>
    <w:p w14:paraId="242A3366">
      <w:pPr>
        <w:pStyle w:val="8"/>
        <w:spacing w:line="279" w:lineRule="auto"/>
        <w:rPr>
          <w:highlight w:val="none"/>
        </w:rPr>
      </w:pPr>
    </w:p>
    <w:p w14:paraId="49BCC4AB">
      <w:pPr>
        <w:pStyle w:val="8"/>
        <w:spacing w:line="279" w:lineRule="auto"/>
        <w:rPr>
          <w:highlight w:val="none"/>
        </w:rPr>
      </w:pPr>
    </w:p>
    <w:p w14:paraId="2211E784">
      <w:pPr>
        <w:spacing w:before="78" w:line="219" w:lineRule="auto"/>
        <w:ind w:left="23"/>
        <w:jc w:val="right"/>
        <w:rPr>
          <w:rFonts w:ascii="宋体" w:hAnsi="宋体" w:eastAsia="宋体" w:cs="宋体"/>
          <w:sz w:val="24"/>
          <w:szCs w:val="24"/>
          <w:highlight w:val="none"/>
        </w:rPr>
      </w:pPr>
      <w:r>
        <w:rPr>
          <w:rFonts w:hint="eastAsia" w:ascii="宋体" w:hAnsi="宋体" w:cs="宋体"/>
          <w:spacing w:val="-1"/>
          <w:sz w:val="24"/>
          <w:szCs w:val="24"/>
          <w:highlight w:val="none"/>
          <w:lang w:eastAsia="zh-CN"/>
        </w:rPr>
        <w:t>投标</w:t>
      </w:r>
      <w:r>
        <w:rPr>
          <w:rFonts w:ascii="宋体" w:hAnsi="宋体" w:eastAsia="宋体" w:cs="宋体"/>
          <w:spacing w:val="-1"/>
          <w:sz w:val="24"/>
          <w:szCs w:val="24"/>
          <w:highlight w:val="none"/>
        </w:rPr>
        <w:t>人名称：</w:t>
      </w:r>
      <w:r>
        <w:rPr>
          <w:rFonts w:hint="eastAsia" w:ascii="宋体" w:hAnsi="宋体" w:eastAsia="宋体" w:cs="宋体"/>
          <w:spacing w:val="-1"/>
          <w:sz w:val="24"/>
          <w:szCs w:val="24"/>
          <w:highlight w:val="none"/>
          <w:u w:val="single"/>
          <w:lang w:val="en-US" w:eastAsia="zh-CN"/>
        </w:rPr>
        <w:t xml:space="preserve">         </w:t>
      </w:r>
      <w:r>
        <w:rPr>
          <w:rFonts w:ascii="宋体" w:hAnsi="宋体" w:eastAsia="宋体" w:cs="宋体"/>
          <w:spacing w:val="-1"/>
          <w:sz w:val="24"/>
          <w:szCs w:val="24"/>
          <w:highlight w:val="none"/>
        </w:rPr>
        <w:t>（单位盖章）</w:t>
      </w:r>
    </w:p>
    <w:p w14:paraId="51313E09">
      <w:pPr>
        <w:spacing w:before="183" w:line="465" w:lineRule="exact"/>
        <w:ind w:left="22"/>
        <w:jc w:val="right"/>
        <w:rPr>
          <w:rFonts w:hint="default" w:ascii="宋体" w:hAnsi="宋体" w:eastAsia="宋体" w:cs="宋体"/>
          <w:sz w:val="24"/>
          <w:szCs w:val="24"/>
          <w:highlight w:val="none"/>
          <w:u w:val="single"/>
          <w:lang w:val="en-US" w:eastAsia="zh-CN"/>
        </w:rPr>
      </w:pPr>
      <w:r>
        <w:rPr>
          <w:rFonts w:ascii="宋体" w:hAnsi="宋体" w:eastAsia="宋体" w:cs="宋体"/>
          <w:spacing w:val="-1"/>
          <w:position w:val="17"/>
          <w:sz w:val="24"/>
          <w:szCs w:val="24"/>
          <w:highlight w:val="none"/>
        </w:rPr>
        <w:t>法定代表人或授权代表（签字或加盖个人名章</w:t>
      </w:r>
      <w:r>
        <w:rPr>
          <w:rFonts w:ascii="宋体" w:hAnsi="宋体" w:eastAsia="宋体" w:cs="宋体"/>
          <w:spacing w:val="6"/>
          <w:position w:val="17"/>
          <w:sz w:val="24"/>
          <w:szCs w:val="24"/>
          <w:highlight w:val="none"/>
        </w:rPr>
        <w:t>）：</w:t>
      </w:r>
      <w:r>
        <w:rPr>
          <w:rFonts w:hint="eastAsia" w:ascii="宋体" w:hAnsi="宋体" w:eastAsia="宋体" w:cs="宋体"/>
          <w:spacing w:val="-1"/>
          <w:position w:val="17"/>
          <w:sz w:val="24"/>
          <w:szCs w:val="24"/>
          <w:highlight w:val="none"/>
          <w:u w:val="single"/>
          <w:lang w:val="en-US" w:eastAsia="zh-CN"/>
        </w:rPr>
        <w:t xml:space="preserve">      </w:t>
      </w:r>
    </w:p>
    <w:p w14:paraId="2F52164D">
      <w:pPr>
        <w:spacing w:before="1" w:line="220" w:lineRule="auto"/>
        <w:ind w:left="23"/>
        <w:jc w:val="center"/>
        <w:rPr>
          <w:rFonts w:ascii="宋体" w:hAnsi="宋体" w:eastAsia="宋体" w:cs="宋体"/>
          <w:sz w:val="24"/>
          <w:szCs w:val="24"/>
          <w:highlight w:val="none"/>
        </w:rPr>
        <w:sectPr>
          <w:footerReference r:id="rId8" w:type="default"/>
          <w:pgSz w:w="11906" w:h="16839"/>
          <w:pgMar w:top="1431" w:right="1785" w:bottom="997" w:left="1785" w:header="794" w:footer="718" w:gutter="0"/>
          <w:pgNumType w:fmt="decimal"/>
          <w:cols w:space="720" w:num="1"/>
        </w:sectPr>
      </w:pPr>
      <w:r>
        <w:rPr>
          <w:rFonts w:hint="eastAsia" w:ascii="宋体" w:hAnsi="宋体" w:eastAsia="宋体" w:cs="宋体"/>
          <w:spacing w:val="-2"/>
          <w:sz w:val="24"/>
          <w:szCs w:val="24"/>
          <w:highlight w:val="none"/>
          <w:lang w:val="en-US" w:eastAsia="zh-CN"/>
        </w:rPr>
        <w:t xml:space="preserve">             </w:t>
      </w:r>
      <w:r>
        <w:rPr>
          <w:rFonts w:ascii="宋体" w:hAnsi="宋体" w:eastAsia="宋体" w:cs="宋体"/>
          <w:spacing w:val="-2"/>
          <w:sz w:val="24"/>
          <w:szCs w:val="24"/>
          <w:highlight w:val="none"/>
        </w:rPr>
        <w:t>日期</w:t>
      </w:r>
      <w:r>
        <w:rPr>
          <w:rFonts w:hint="eastAsia" w:ascii="宋体" w:hAnsi="宋体" w:cs="宋体"/>
          <w:spacing w:val="-2"/>
          <w:sz w:val="24"/>
          <w:szCs w:val="24"/>
          <w:highlight w:val="none"/>
          <w:lang w:eastAsia="zh-CN"/>
        </w:rPr>
        <w:t>：</w:t>
      </w:r>
      <w:r>
        <w:rPr>
          <w:rFonts w:hint="eastAsia" w:ascii="宋体" w:hAnsi="宋体" w:eastAsia="宋体" w:cs="宋体"/>
          <w:spacing w:val="-2"/>
          <w:sz w:val="24"/>
          <w:szCs w:val="24"/>
          <w:highlight w:val="none"/>
          <w:u w:val="single"/>
          <w:lang w:val="en-US" w:eastAsia="zh-CN"/>
        </w:rPr>
        <w:t xml:space="preserve">        </w:t>
      </w:r>
    </w:p>
    <w:p w14:paraId="5E38542D">
      <w:pPr>
        <w:spacing w:line="440" w:lineRule="exact"/>
        <w:jc w:val="both"/>
        <w:rPr>
          <w:rFonts w:hint="eastAsia" w:ascii="宋体" w:hAnsi="宋体" w:eastAsia="宋体" w:cs="宋体"/>
          <w:b/>
          <w:bCs/>
          <w:sz w:val="32"/>
          <w:szCs w:val="21"/>
          <w:highlight w:val="none"/>
        </w:rPr>
      </w:pPr>
    </w:p>
    <w:p w14:paraId="2F5FEFC7">
      <w:pPr>
        <w:spacing w:line="440" w:lineRule="exact"/>
        <w:jc w:val="both"/>
        <w:rPr>
          <w:rFonts w:hint="eastAsia" w:ascii="宋体" w:hAnsi="宋体" w:cs="宋体"/>
          <w:b/>
          <w:bCs/>
          <w:sz w:val="24"/>
          <w:szCs w:val="18"/>
          <w:highlight w:val="none"/>
          <w:lang w:eastAsia="zh-CN"/>
        </w:rPr>
      </w:pPr>
      <w:r>
        <w:rPr>
          <w:rFonts w:hint="eastAsia" w:ascii="宋体" w:hAnsi="宋体" w:cs="宋体"/>
          <w:b/>
          <w:bCs/>
          <w:sz w:val="24"/>
          <w:szCs w:val="18"/>
          <w:highlight w:val="none"/>
          <w:lang w:eastAsia="zh-CN"/>
        </w:rPr>
        <w:t>附件二</w:t>
      </w:r>
    </w:p>
    <w:p w14:paraId="1EDA93EA">
      <w:pPr>
        <w:spacing w:line="440" w:lineRule="exact"/>
        <w:ind w:firstLine="1124" w:firstLineChars="350"/>
        <w:jc w:val="center"/>
        <w:rPr>
          <w:rFonts w:hint="eastAsia" w:ascii="宋体" w:hAnsi="宋体" w:eastAsia="宋体" w:cs="宋体"/>
          <w:b/>
          <w:bCs/>
          <w:sz w:val="32"/>
          <w:szCs w:val="21"/>
          <w:highlight w:val="none"/>
        </w:rPr>
      </w:pPr>
    </w:p>
    <w:p w14:paraId="6B596F89">
      <w:pPr>
        <w:spacing w:line="440" w:lineRule="exact"/>
        <w:ind w:firstLine="1124" w:firstLineChars="350"/>
        <w:jc w:val="center"/>
        <w:rPr>
          <w:rFonts w:hint="eastAsia" w:ascii="宋体" w:hAnsi="宋体" w:eastAsia="宋体" w:cs="宋体"/>
          <w:b/>
          <w:bCs/>
          <w:sz w:val="32"/>
          <w:szCs w:val="21"/>
          <w:highlight w:val="none"/>
        </w:rPr>
      </w:pPr>
    </w:p>
    <w:p w14:paraId="04E2BD96">
      <w:pPr>
        <w:spacing w:line="440" w:lineRule="exact"/>
        <w:ind w:firstLine="1124" w:firstLineChars="350"/>
        <w:jc w:val="center"/>
        <w:rPr>
          <w:rFonts w:hint="eastAsia" w:ascii="宋体" w:hAnsi="宋体" w:eastAsia="宋体" w:cs="宋体"/>
          <w:b/>
          <w:bCs/>
          <w:sz w:val="32"/>
          <w:szCs w:val="21"/>
          <w:highlight w:val="none"/>
        </w:rPr>
      </w:pPr>
      <w:r>
        <w:rPr>
          <w:rFonts w:hint="eastAsia" w:ascii="宋体" w:hAnsi="宋体" w:eastAsia="宋体" w:cs="宋体"/>
          <w:b/>
          <w:bCs/>
          <w:sz w:val="32"/>
          <w:szCs w:val="21"/>
          <w:highlight w:val="none"/>
        </w:rPr>
        <w:t>具备履行合同</w:t>
      </w:r>
      <w:r>
        <w:rPr>
          <w:rFonts w:hint="eastAsia" w:ascii="宋体" w:hAnsi="宋体" w:cs="宋体"/>
          <w:b/>
          <w:bCs/>
          <w:sz w:val="32"/>
          <w:szCs w:val="21"/>
          <w:highlight w:val="none"/>
          <w:lang w:eastAsia="zh-CN"/>
        </w:rPr>
        <w:t>所必需的</w:t>
      </w:r>
      <w:r>
        <w:rPr>
          <w:rFonts w:hint="eastAsia" w:ascii="宋体" w:hAnsi="宋体" w:eastAsia="宋体" w:cs="宋体"/>
          <w:b/>
          <w:bCs/>
          <w:sz w:val="32"/>
          <w:szCs w:val="21"/>
          <w:highlight w:val="none"/>
        </w:rPr>
        <w:t>设备和专业技术能力承诺函</w:t>
      </w:r>
    </w:p>
    <w:p w14:paraId="23CE34E4">
      <w:pPr>
        <w:pStyle w:val="8"/>
        <w:spacing w:line="477" w:lineRule="auto"/>
        <w:rPr>
          <w:highlight w:val="none"/>
        </w:rPr>
      </w:pPr>
    </w:p>
    <w:p w14:paraId="3D9BDB14">
      <w:pPr>
        <w:spacing w:before="78" w:line="219" w:lineRule="auto"/>
        <w:ind w:left="18"/>
        <w:rPr>
          <w:rFonts w:ascii="宋体" w:hAnsi="宋体" w:eastAsia="宋体" w:cs="宋体"/>
          <w:spacing w:val="-1"/>
          <w:sz w:val="24"/>
          <w:szCs w:val="24"/>
          <w:highlight w:val="none"/>
        </w:rPr>
      </w:pPr>
    </w:p>
    <w:p w14:paraId="69F04D5E">
      <w:pPr>
        <w:spacing w:before="78" w:line="219" w:lineRule="auto"/>
        <w:ind w:left="18"/>
        <w:rPr>
          <w:rFonts w:ascii="宋体" w:hAnsi="宋体" w:eastAsia="宋体" w:cs="宋体"/>
          <w:spacing w:val="-1"/>
          <w:sz w:val="24"/>
          <w:szCs w:val="24"/>
          <w:highlight w:val="none"/>
        </w:rPr>
      </w:pPr>
    </w:p>
    <w:p w14:paraId="48C3B661">
      <w:pPr>
        <w:pStyle w:val="3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我公司作为本次采购项目的</w:t>
      </w:r>
      <w:r>
        <w:rPr>
          <w:rFonts w:hint="eastAsia" w:ascii="宋体" w:hAnsi="宋体" w:cs="宋体"/>
          <w:sz w:val="24"/>
          <w:szCs w:val="24"/>
          <w:highlight w:val="none"/>
          <w:lang w:eastAsia="zh-CN"/>
        </w:rPr>
        <w:t>投标</w:t>
      </w:r>
      <w:r>
        <w:rPr>
          <w:rFonts w:hint="eastAsia" w:ascii="宋体" w:hAnsi="宋体" w:eastAsia="宋体" w:cs="宋体"/>
          <w:sz w:val="24"/>
          <w:szCs w:val="24"/>
          <w:highlight w:val="none"/>
        </w:rPr>
        <w:t>人，根据磋商文件要求，现郑重承诺如下：我公司具备履行合同</w:t>
      </w:r>
      <w:r>
        <w:rPr>
          <w:rFonts w:hint="eastAsia" w:ascii="宋体" w:hAnsi="宋体" w:cs="宋体"/>
          <w:sz w:val="24"/>
          <w:szCs w:val="24"/>
          <w:highlight w:val="none"/>
          <w:lang w:eastAsia="zh-CN"/>
        </w:rPr>
        <w:t>所必需的</w:t>
      </w:r>
      <w:r>
        <w:rPr>
          <w:rFonts w:hint="eastAsia" w:ascii="宋体" w:hAnsi="宋体" w:eastAsia="宋体" w:cs="宋体"/>
          <w:sz w:val="24"/>
          <w:szCs w:val="24"/>
          <w:highlight w:val="none"/>
        </w:rPr>
        <w:t>设备和专业技术能力。本公司对上述承诺的真实性负责。如有虚假，将依法承担相应责任。</w:t>
      </w:r>
    </w:p>
    <w:p w14:paraId="212D79C2">
      <w:pPr>
        <w:spacing w:before="78" w:line="219" w:lineRule="auto"/>
        <w:ind w:left="18"/>
        <w:rPr>
          <w:rFonts w:ascii="宋体" w:hAnsi="宋体" w:eastAsia="宋体" w:cs="宋体"/>
          <w:spacing w:val="-1"/>
          <w:sz w:val="24"/>
          <w:szCs w:val="24"/>
          <w:highlight w:val="none"/>
        </w:rPr>
      </w:pPr>
    </w:p>
    <w:p w14:paraId="7BCBADEE">
      <w:pPr>
        <w:spacing w:before="78" w:line="219" w:lineRule="auto"/>
        <w:ind w:left="18"/>
        <w:rPr>
          <w:rFonts w:ascii="宋体" w:hAnsi="宋体" w:eastAsia="宋体" w:cs="宋体"/>
          <w:spacing w:val="-1"/>
          <w:sz w:val="24"/>
          <w:szCs w:val="24"/>
          <w:highlight w:val="none"/>
        </w:rPr>
      </w:pPr>
    </w:p>
    <w:p w14:paraId="2E3D4FB4">
      <w:pPr>
        <w:spacing w:before="78" w:line="219" w:lineRule="auto"/>
        <w:ind w:left="18"/>
        <w:rPr>
          <w:rFonts w:ascii="宋体" w:hAnsi="宋体" w:eastAsia="宋体" w:cs="宋体"/>
          <w:spacing w:val="-1"/>
          <w:sz w:val="24"/>
          <w:szCs w:val="24"/>
          <w:highlight w:val="none"/>
        </w:rPr>
      </w:pPr>
    </w:p>
    <w:p w14:paraId="5628077F">
      <w:pPr>
        <w:spacing w:before="78" w:line="219" w:lineRule="auto"/>
        <w:ind w:left="18"/>
        <w:rPr>
          <w:rFonts w:ascii="宋体" w:hAnsi="宋体" w:eastAsia="宋体" w:cs="宋体"/>
          <w:spacing w:val="-1"/>
          <w:sz w:val="24"/>
          <w:szCs w:val="24"/>
          <w:highlight w:val="none"/>
        </w:rPr>
      </w:pPr>
    </w:p>
    <w:p w14:paraId="1D44F145">
      <w:pPr>
        <w:spacing w:before="78" w:line="219" w:lineRule="auto"/>
        <w:ind w:left="18"/>
        <w:rPr>
          <w:rFonts w:ascii="宋体" w:hAnsi="宋体" w:eastAsia="宋体" w:cs="宋体"/>
          <w:spacing w:val="-1"/>
          <w:sz w:val="24"/>
          <w:szCs w:val="24"/>
          <w:highlight w:val="none"/>
        </w:rPr>
      </w:pPr>
    </w:p>
    <w:p w14:paraId="4851C580">
      <w:pPr>
        <w:spacing w:before="78" w:line="219" w:lineRule="auto"/>
        <w:ind w:left="18"/>
        <w:rPr>
          <w:rFonts w:ascii="宋体" w:hAnsi="宋体" w:eastAsia="宋体" w:cs="宋体"/>
          <w:spacing w:val="-1"/>
          <w:sz w:val="24"/>
          <w:szCs w:val="24"/>
          <w:highlight w:val="none"/>
        </w:rPr>
      </w:pPr>
    </w:p>
    <w:p w14:paraId="51277F71">
      <w:pPr>
        <w:spacing w:before="78" w:line="219" w:lineRule="auto"/>
        <w:ind w:left="18"/>
        <w:jc w:val="right"/>
        <w:rPr>
          <w:rFonts w:ascii="宋体" w:hAnsi="宋体" w:eastAsia="宋体" w:cs="宋体"/>
          <w:spacing w:val="-1"/>
          <w:sz w:val="24"/>
          <w:szCs w:val="24"/>
          <w:highlight w:val="none"/>
        </w:rPr>
      </w:pPr>
      <w:r>
        <w:rPr>
          <w:rFonts w:hint="eastAsia" w:ascii="宋体" w:hAnsi="宋体" w:cs="宋体"/>
          <w:spacing w:val="-1"/>
          <w:sz w:val="24"/>
          <w:szCs w:val="24"/>
          <w:highlight w:val="none"/>
          <w:lang w:eastAsia="zh-CN"/>
        </w:rPr>
        <w:t>投标</w:t>
      </w:r>
      <w:r>
        <w:rPr>
          <w:rFonts w:ascii="宋体" w:hAnsi="宋体" w:eastAsia="宋体" w:cs="宋体"/>
          <w:spacing w:val="-1"/>
          <w:sz w:val="24"/>
          <w:szCs w:val="24"/>
          <w:highlight w:val="none"/>
        </w:rPr>
        <w:t>人名称：</w:t>
      </w:r>
      <w:r>
        <w:rPr>
          <w:rFonts w:hint="eastAsia" w:ascii="宋体" w:hAnsi="宋体" w:cs="宋体"/>
          <w:spacing w:val="-1"/>
          <w:sz w:val="24"/>
          <w:szCs w:val="24"/>
          <w:highlight w:val="none"/>
          <w:u w:val="single"/>
          <w:lang w:val="en-US" w:eastAsia="zh-CN"/>
        </w:rPr>
        <w:t xml:space="preserve">         </w:t>
      </w:r>
      <w:r>
        <w:rPr>
          <w:rFonts w:ascii="宋体" w:hAnsi="宋体" w:eastAsia="宋体" w:cs="宋体"/>
          <w:spacing w:val="-1"/>
          <w:sz w:val="24"/>
          <w:szCs w:val="24"/>
          <w:highlight w:val="none"/>
        </w:rPr>
        <w:t>单位盖章）</w:t>
      </w:r>
    </w:p>
    <w:p w14:paraId="1312A323">
      <w:pPr>
        <w:spacing w:before="78" w:line="219" w:lineRule="auto"/>
        <w:ind w:left="18"/>
        <w:jc w:val="right"/>
        <w:rPr>
          <w:rFonts w:hint="default" w:ascii="宋体" w:hAnsi="宋体" w:eastAsia="宋体" w:cs="宋体"/>
          <w:spacing w:val="-1"/>
          <w:sz w:val="24"/>
          <w:szCs w:val="24"/>
          <w:highlight w:val="none"/>
          <w:lang w:val="en-US" w:eastAsia="zh-CN"/>
        </w:rPr>
      </w:pPr>
      <w:r>
        <w:rPr>
          <w:rFonts w:ascii="宋体" w:hAnsi="宋体" w:eastAsia="宋体" w:cs="宋体"/>
          <w:spacing w:val="-1"/>
          <w:sz w:val="24"/>
          <w:szCs w:val="24"/>
          <w:highlight w:val="none"/>
        </w:rPr>
        <w:t>法定代表人或授权代表（签字或加盖个人名章）：</w:t>
      </w:r>
      <w:r>
        <w:rPr>
          <w:rFonts w:hint="eastAsia" w:ascii="宋体" w:hAnsi="宋体" w:cs="宋体"/>
          <w:spacing w:val="-1"/>
          <w:sz w:val="24"/>
          <w:szCs w:val="24"/>
          <w:highlight w:val="none"/>
          <w:u w:val="single"/>
          <w:lang w:val="en-US" w:eastAsia="zh-CN"/>
        </w:rPr>
        <w:t xml:space="preserve">         </w:t>
      </w:r>
    </w:p>
    <w:p w14:paraId="7C3923EA">
      <w:pPr>
        <w:spacing w:before="78" w:line="219" w:lineRule="auto"/>
        <w:ind w:left="18"/>
        <w:jc w:val="center"/>
        <w:rPr>
          <w:rFonts w:hint="default" w:ascii="宋体" w:hAnsi="宋体" w:eastAsia="宋体" w:cs="宋体"/>
          <w:spacing w:val="-1"/>
          <w:sz w:val="24"/>
          <w:szCs w:val="24"/>
          <w:highlight w:val="none"/>
          <w:lang w:val="en-US" w:eastAsia="zh-CN"/>
        </w:rPr>
        <w:sectPr>
          <w:footerReference r:id="rId9" w:type="default"/>
          <w:pgSz w:w="11906" w:h="16839"/>
          <w:pgMar w:top="1431" w:right="1785" w:bottom="997" w:left="1785" w:header="0" w:footer="718" w:gutter="0"/>
          <w:pgNumType w:fmt="decimal"/>
          <w:cols w:space="720" w:num="1"/>
        </w:sectPr>
      </w:pPr>
      <w:r>
        <w:rPr>
          <w:rFonts w:hint="eastAsia" w:ascii="宋体" w:hAnsi="宋体" w:cs="宋体"/>
          <w:spacing w:val="-1"/>
          <w:sz w:val="24"/>
          <w:szCs w:val="24"/>
          <w:highlight w:val="none"/>
          <w:lang w:val="en-US" w:eastAsia="zh-CN"/>
        </w:rPr>
        <w:t xml:space="preserve">                 </w:t>
      </w:r>
      <w:r>
        <w:rPr>
          <w:rFonts w:ascii="宋体" w:hAnsi="宋体" w:eastAsia="宋体" w:cs="宋体"/>
          <w:spacing w:val="-1"/>
          <w:sz w:val="24"/>
          <w:szCs w:val="24"/>
          <w:highlight w:val="none"/>
        </w:rPr>
        <w:t>日期</w:t>
      </w:r>
      <w:r>
        <w:rPr>
          <w:rFonts w:hint="eastAsia" w:ascii="宋体" w:hAnsi="宋体" w:cs="宋体"/>
          <w:spacing w:val="-1"/>
          <w:sz w:val="24"/>
          <w:szCs w:val="24"/>
          <w:highlight w:val="none"/>
          <w:lang w:eastAsia="zh-CN"/>
        </w:rPr>
        <w:t>：</w:t>
      </w:r>
      <w:r>
        <w:rPr>
          <w:rFonts w:ascii="宋体" w:hAnsi="宋体" w:eastAsia="宋体" w:cs="宋体"/>
          <w:spacing w:val="-1"/>
          <w:sz w:val="24"/>
          <w:szCs w:val="24"/>
          <w:highlight w:val="none"/>
        </w:rPr>
        <w:t xml:space="preserve"> </w:t>
      </w:r>
      <w:r>
        <w:rPr>
          <w:rFonts w:hint="eastAsia" w:ascii="宋体" w:hAnsi="宋体" w:cs="宋体"/>
          <w:spacing w:val="-1"/>
          <w:sz w:val="24"/>
          <w:szCs w:val="24"/>
          <w:highlight w:val="none"/>
          <w:u w:val="single"/>
          <w:lang w:val="en-US" w:eastAsia="zh-CN"/>
        </w:rPr>
        <w:t xml:space="preserve">       </w:t>
      </w:r>
    </w:p>
    <w:p w14:paraId="51A56303">
      <w:pPr>
        <w:spacing w:line="440" w:lineRule="exact"/>
        <w:jc w:val="both"/>
        <w:rPr>
          <w:rFonts w:hint="eastAsia" w:ascii="宋体" w:hAnsi="宋体" w:cs="宋体"/>
          <w:b/>
          <w:bCs/>
          <w:sz w:val="24"/>
          <w:szCs w:val="18"/>
          <w:highlight w:val="none"/>
          <w:lang w:eastAsia="zh-CN"/>
        </w:rPr>
      </w:pPr>
      <w:r>
        <w:rPr>
          <w:rFonts w:hint="eastAsia" w:ascii="宋体" w:hAnsi="宋体" w:cs="宋体"/>
          <w:b/>
          <w:bCs/>
          <w:sz w:val="24"/>
          <w:szCs w:val="18"/>
          <w:highlight w:val="none"/>
          <w:lang w:eastAsia="zh-CN"/>
        </w:rPr>
        <w:t>附件三</w:t>
      </w:r>
    </w:p>
    <w:p w14:paraId="68DB5B85">
      <w:pPr>
        <w:spacing w:before="100" w:beforeAutospacing="1" w:after="100" w:afterAutospacing="1" w:line="440" w:lineRule="exact"/>
        <w:jc w:val="center"/>
        <w:rPr>
          <w:rFonts w:hint="eastAsia" w:ascii="宋体" w:hAnsi="宋体" w:eastAsia="宋体" w:cs="宋体"/>
          <w:b/>
          <w:bCs/>
          <w:kern w:val="2"/>
          <w:sz w:val="32"/>
          <w:szCs w:val="21"/>
          <w:highlight w:val="none"/>
          <w:lang w:val="en-US" w:eastAsia="zh-CN" w:bidi="ar-SA"/>
        </w:rPr>
      </w:pPr>
    </w:p>
    <w:p w14:paraId="1118F80D">
      <w:pPr>
        <w:spacing w:before="100" w:beforeAutospacing="1" w:after="100" w:afterAutospacing="1" w:line="440" w:lineRule="exact"/>
        <w:jc w:val="center"/>
        <w:rPr>
          <w:rFonts w:hint="eastAsia" w:ascii="宋体" w:hAnsi="宋体" w:eastAsia="宋体" w:cs="宋体"/>
          <w:b/>
          <w:bCs/>
          <w:kern w:val="2"/>
          <w:sz w:val="32"/>
          <w:szCs w:val="21"/>
          <w:highlight w:val="none"/>
          <w:lang w:val="en-US" w:eastAsia="zh-CN" w:bidi="ar-SA"/>
        </w:rPr>
      </w:pPr>
    </w:p>
    <w:p w14:paraId="0015D995">
      <w:pPr>
        <w:spacing w:before="100" w:beforeAutospacing="1" w:after="100" w:afterAutospacing="1" w:line="440" w:lineRule="exact"/>
        <w:jc w:val="center"/>
        <w:rPr>
          <w:rFonts w:hint="eastAsia" w:ascii="宋体" w:hAnsi="宋体" w:eastAsia="宋体" w:cs="宋体"/>
          <w:sz w:val="28"/>
          <w:szCs w:val="28"/>
          <w:highlight w:val="none"/>
        </w:rPr>
      </w:pPr>
      <w:r>
        <w:rPr>
          <w:rFonts w:hint="eastAsia" w:ascii="宋体" w:hAnsi="宋体" w:eastAsia="宋体" w:cs="宋体"/>
          <w:b/>
          <w:bCs/>
          <w:kern w:val="2"/>
          <w:sz w:val="32"/>
          <w:szCs w:val="21"/>
          <w:highlight w:val="none"/>
          <w:lang w:val="en-US" w:eastAsia="zh-CN" w:bidi="ar-SA"/>
        </w:rPr>
        <w:t>在经营活动中没有重大违法记录的书面声明</w:t>
      </w:r>
    </w:p>
    <w:p w14:paraId="74157848">
      <w:pPr>
        <w:spacing w:line="440" w:lineRule="exact"/>
        <w:jc w:val="center"/>
        <w:rPr>
          <w:rFonts w:hint="eastAsia" w:ascii="宋体" w:hAnsi="宋体" w:eastAsia="宋体" w:cs="宋体"/>
          <w:sz w:val="24"/>
          <w:szCs w:val="24"/>
          <w:highlight w:val="none"/>
        </w:rPr>
      </w:pPr>
    </w:p>
    <w:p w14:paraId="3BA83820">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我方在参加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（项目名称）政府采购活动前3年内，我方被公开披露或查处的违法违规行为有：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，但在经营活动中没有重大违法记录（重大违法记录指</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因违法经营受到刑事处罚或者责令停产停业、吊销许可证或者执照、较大数额罚款等行政处罚）</w:t>
      </w:r>
      <w:r>
        <w:rPr>
          <w:rFonts w:hint="eastAsia" w:ascii="宋体" w:hAnsi="宋体" w:eastAsia="宋体" w:cs="宋体"/>
          <w:sz w:val="24"/>
          <w:szCs w:val="24"/>
          <w:highlight w:val="none"/>
        </w:rPr>
        <w:t>。</w:t>
      </w:r>
    </w:p>
    <w:p w14:paraId="1FF7FBCB">
      <w:pPr>
        <w:spacing w:line="440" w:lineRule="exact"/>
        <w:ind w:firstLine="480" w:firstLineChars="200"/>
        <w:rPr>
          <w:rFonts w:hint="eastAsia" w:ascii="宋体" w:hAnsi="宋体" w:eastAsia="宋体" w:cs="宋体"/>
          <w:sz w:val="24"/>
          <w:szCs w:val="24"/>
          <w:highlight w:val="none"/>
        </w:rPr>
      </w:pPr>
    </w:p>
    <w:p w14:paraId="38E96DE5">
      <w:pPr>
        <w:spacing w:line="440" w:lineRule="exact"/>
        <w:ind w:firstLine="480" w:firstLineChars="200"/>
        <w:rPr>
          <w:rFonts w:hint="eastAsia" w:ascii="宋体" w:hAnsi="宋体" w:eastAsia="宋体" w:cs="宋体"/>
          <w:sz w:val="24"/>
          <w:szCs w:val="24"/>
          <w:highlight w:val="none"/>
        </w:rPr>
      </w:pPr>
    </w:p>
    <w:p w14:paraId="7BDAA1FD">
      <w:pPr>
        <w:spacing w:line="440" w:lineRule="exact"/>
        <w:ind w:firstLine="4108" w:firstLineChars="1712"/>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（盖单位公章）</w:t>
      </w:r>
    </w:p>
    <w:p w14:paraId="14ED19EB">
      <w:pPr>
        <w:spacing w:line="440" w:lineRule="exact"/>
        <w:ind w:firstLine="4108" w:firstLineChars="1712"/>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6D633BE1">
      <w:pPr>
        <w:spacing w:line="440" w:lineRule="exact"/>
        <w:ind w:firstLine="4108" w:firstLineChars="1712"/>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2844EAD">
      <w:pPr>
        <w:spacing w:line="440" w:lineRule="exact"/>
        <w:ind w:firstLine="480" w:firstLineChars="200"/>
        <w:rPr>
          <w:rFonts w:hint="eastAsia" w:ascii="宋体" w:hAnsi="宋体" w:eastAsia="宋体" w:cs="宋体"/>
          <w:sz w:val="24"/>
          <w:szCs w:val="24"/>
          <w:highlight w:val="none"/>
        </w:rPr>
      </w:pPr>
    </w:p>
    <w:p w14:paraId="08B9B4D8">
      <w:pPr>
        <w:spacing w:line="440" w:lineRule="exact"/>
        <w:ind w:firstLine="480" w:firstLineChars="200"/>
        <w:rPr>
          <w:rFonts w:hint="eastAsia" w:ascii="宋体" w:hAnsi="宋体" w:eastAsia="宋体" w:cs="宋体"/>
          <w:sz w:val="24"/>
          <w:szCs w:val="24"/>
          <w:highlight w:val="none"/>
        </w:rPr>
      </w:pPr>
    </w:p>
    <w:p w14:paraId="0FB3C1DC">
      <w:pPr>
        <w:spacing w:line="440" w:lineRule="exact"/>
        <w:ind w:firstLine="480" w:firstLineChars="200"/>
        <w:rPr>
          <w:rFonts w:hint="eastAsia" w:ascii="宋体" w:hAnsi="宋体" w:eastAsia="宋体" w:cs="宋体"/>
          <w:sz w:val="24"/>
          <w:szCs w:val="24"/>
          <w:highlight w:val="none"/>
        </w:rPr>
      </w:pPr>
    </w:p>
    <w:p w14:paraId="69E84288">
      <w:pPr>
        <w:spacing w:line="44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备注：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没有被公开披露或查处违法违规行为的，注明“无”即可。</w:t>
      </w:r>
    </w:p>
    <w:p w14:paraId="3B3057C9">
      <w:pPr>
        <w:widowControl/>
        <w:autoSpaceDE w:val="0"/>
        <w:autoSpaceDN w:val="0"/>
        <w:adjustRightInd w:val="0"/>
        <w:spacing w:line="440" w:lineRule="exact"/>
        <w:ind w:right="-481"/>
        <w:jc w:val="left"/>
        <w:rPr>
          <w:rStyle w:val="33"/>
          <w:rFonts w:hint="eastAsia" w:ascii="宋体" w:hAnsi="宋体" w:eastAsia="宋体" w:cs="宋体"/>
          <w:sz w:val="24"/>
          <w:szCs w:val="24"/>
          <w:highlight w:val="none"/>
        </w:rPr>
      </w:pPr>
    </w:p>
    <w:p w14:paraId="30F0C6FB">
      <w:pPr>
        <w:widowControl/>
        <w:autoSpaceDE w:val="0"/>
        <w:autoSpaceDN w:val="0"/>
        <w:adjustRightInd w:val="0"/>
        <w:spacing w:line="440" w:lineRule="exact"/>
        <w:jc w:val="center"/>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br w:type="page"/>
      </w:r>
    </w:p>
    <w:p w14:paraId="1A54C774">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61D89FE0">
      <w:pPr>
        <w:spacing w:line="440" w:lineRule="exact"/>
        <w:jc w:val="both"/>
        <w:rPr>
          <w:rFonts w:hint="eastAsia" w:ascii="宋体" w:hAnsi="宋体" w:cs="宋体"/>
          <w:b/>
          <w:bCs/>
          <w:sz w:val="24"/>
          <w:szCs w:val="18"/>
          <w:highlight w:val="none"/>
          <w:lang w:eastAsia="zh-CN"/>
        </w:rPr>
      </w:pPr>
      <w:r>
        <w:rPr>
          <w:rFonts w:hint="eastAsia" w:ascii="宋体" w:hAnsi="宋体" w:cs="宋体"/>
          <w:b/>
          <w:bCs/>
          <w:sz w:val="24"/>
          <w:szCs w:val="18"/>
          <w:highlight w:val="none"/>
          <w:lang w:eastAsia="zh-CN"/>
        </w:rPr>
        <w:t>附件四</w:t>
      </w:r>
    </w:p>
    <w:p w14:paraId="6D0AC353">
      <w:pPr>
        <w:widowControl/>
        <w:autoSpaceDE w:val="0"/>
        <w:autoSpaceDN w:val="0"/>
        <w:adjustRightInd w:val="0"/>
        <w:spacing w:line="440" w:lineRule="exact"/>
        <w:jc w:val="center"/>
        <w:rPr>
          <w:rFonts w:hint="eastAsia" w:ascii="宋体" w:hAnsi="宋体" w:eastAsia="宋体" w:cs="宋体"/>
          <w:b/>
          <w:bCs/>
          <w:kern w:val="2"/>
          <w:sz w:val="32"/>
          <w:szCs w:val="21"/>
          <w:highlight w:val="none"/>
          <w:lang w:val="en-US" w:eastAsia="zh-CN" w:bidi="ar-SA"/>
        </w:rPr>
      </w:pPr>
    </w:p>
    <w:p w14:paraId="4AA5883D">
      <w:pPr>
        <w:widowControl/>
        <w:autoSpaceDE w:val="0"/>
        <w:autoSpaceDN w:val="0"/>
        <w:adjustRightInd w:val="0"/>
        <w:spacing w:line="440" w:lineRule="exact"/>
        <w:jc w:val="center"/>
        <w:rPr>
          <w:rFonts w:hint="eastAsia" w:ascii="宋体" w:hAnsi="宋体" w:eastAsia="宋体" w:cs="宋体"/>
          <w:b/>
          <w:bCs/>
          <w:kern w:val="2"/>
          <w:sz w:val="32"/>
          <w:szCs w:val="21"/>
          <w:highlight w:val="none"/>
          <w:lang w:val="en-US" w:eastAsia="zh-CN" w:bidi="ar-SA"/>
        </w:rPr>
      </w:pPr>
    </w:p>
    <w:p w14:paraId="3541B4DC">
      <w:pPr>
        <w:widowControl/>
        <w:autoSpaceDE w:val="0"/>
        <w:autoSpaceDN w:val="0"/>
        <w:adjustRightInd w:val="0"/>
        <w:spacing w:line="440" w:lineRule="exact"/>
        <w:jc w:val="center"/>
        <w:rPr>
          <w:rFonts w:hint="eastAsia" w:ascii="宋体" w:hAnsi="宋体" w:eastAsia="宋体" w:cs="宋体"/>
          <w:b/>
          <w:bCs/>
          <w:kern w:val="2"/>
          <w:sz w:val="32"/>
          <w:szCs w:val="21"/>
          <w:highlight w:val="none"/>
          <w:lang w:val="en-US" w:eastAsia="zh-CN" w:bidi="ar-SA"/>
        </w:rPr>
      </w:pPr>
      <w:r>
        <w:rPr>
          <w:rFonts w:hint="eastAsia" w:ascii="宋体" w:hAnsi="宋体" w:eastAsia="宋体" w:cs="宋体"/>
          <w:b/>
          <w:bCs/>
          <w:kern w:val="2"/>
          <w:sz w:val="32"/>
          <w:szCs w:val="21"/>
          <w:highlight w:val="none"/>
          <w:lang w:val="en-US" w:eastAsia="zh-CN" w:bidi="ar-SA"/>
        </w:rPr>
        <w:t>法律、行政法规规定的其他条件承诺函</w:t>
      </w:r>
    </w:p>
    <w:p w14:paraId="2473C2CB">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41872A3C">
      <w:pPr>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我公司参加</w:t>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（项目名称）（项目编号：</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 xml:space="preserve"> ）的磋商采购活动，现承诺我公司符合法律、行政法规规定的其他条件。 如违反以上承诺，本公司愿承担一切法律责任。</w:t>
      </w:r>
    </w:p>
    <w:p w14:paraId="081565C1">
      <w:pPr>
        <w:widowControl/>
        <w:autoSpaceDE w:val="0"/>
        <w:autoSpaceDN w:val="0"/>
        <w:adjustRightInd w:val="0"/>
        <w:spacing w:line="440" w:lineRule="exact"/>
        <w:jc w:val="center"/>
        <w:rPr>
          <w:rFonts w:hint="eastAsia" w:ascii="宋体" w:hAnsi="宋体" w:cs="宋体"/>
          <w:kern w:val="1"/>
          <w:sz w:val="24"/>
          <w:szCs w:val="24"/>
          <w:highlight w:val="none"/>
          <w:lang w:val="en-US" w:eastAsia="zh-CN"/>
        </w:rPr>
      </w:pPr>
      <w:r>
        <w:rPr>
          <w:rFonts w:hint="eastAsia" w:ascii="宋体" w:hAnsi="宋体" w:cs="宋体"/>
          <w:kern w:val="1"/>
          <w:sz w:val="24"/>
          <w:szCs w:val="24"/>
          <w:highlight w:val="none"/>
          <w:lang w:val="en-US" w:eastAsia="zh-CN"/>
        </w:rPr>
        <w:t xml:space="preserve">                   </w:t>
      </w:r>
    </w:p>
    <w:p w14:paraId="0EB2F588">
      <w:pPr>
        <w:widowControl/>
        <w:autoSpaceDE w:val="0"/>
        <w:autoSpaceDN w:val="0"/>
        <w:adjustRightInd w:val="0"/>
        <w:spacing w:line="440" w:lineRule="exact"/>
        <w:jc w:val="center"/>
        <w:rPr>
          <w:rFonts w:hint="eastAsia" w:ascii="宋体" w:hAnsi="宋体" w:cs="宋体"/>
          <w:kern w:val="1"/>
          <w:sz w:val="24"/>
          <w:szCs w:val="24"/>
          <w:highlight w:val="none"/>
          <w:lang w:val="en-US" w:eastAsia="zh-CN"/>
        </w:rPr>
      </w:pPr>
    </w:p>
    <w:p w14:paraId="6AE65545">
      <w:pPr>
        <w:widowControl/>
        <w:autoSpaceDE w:val="0"/>
        <w:autoSpaceDN w:val="0"/>
        <w:adjustRightInd w:val="0"/>
        <w:spacing w:line="440" w:lineRule="exact"/>
        <w:jc w:val="center"/>
        <w:rPr>
          <w:rFonts w:hint="eastAsia" w:ascii="宋体" w:hAnsi="宋体" w:cs="宋体"/>
          <w:kern w:val="1"/>
          <w:sz w:val="24"/>
          <w:szCs w:val="24"/>
          <w:highlight w:val="none"/>
          <w:lang w:val="en-US" w:eastAsia="zh-CN"/>
        </w:rPr>
      </w:pPr>
    </w:p>
    <w:p w14:paraId="5CB0876A">
      <w:pPr>
        <w:widowControl/>
        <w:autoSpaceDE w:val="0"/>
        <w:autoSpaceDN w:val="0"/>
        <w:adjustRightInd w:val="0"/>
        <w:spacing w:line="440" w:lineRule="exact"/>
        <w:jc w:val="center"/>
        <w:rPr>
          <w:rFonts w:hint="eastAsia" w:ascii="宋体" w:hAnsi="宋体" w:cs="宋体"/>
          <w:kern w:val="1"/>
          <w:sz w:val="24"/>
          <w:szCs w:val="24"/>
          <w:highlight w:val="none"/>
          <w:lang w:val="en-US" w:eastAsia="zh-CN"/>
        </w:rPr>
      </w:pPr>
    </w:p>
    <w:p w14:paraId="750F5F97">
      <w:pPr>
        <w:widowControl/>
        <w:autoSpaceDE w:val="0"/>
        <w:autoSpaceDN w:val="0"/>
        <w:adjustRightInd w:val="0"/>
        <w:spacing w:line="440" w:lineRule="exact"/>
        <w:jc w:val="center"/>
        <w:rPr>
          <w:rFonts w:hint="eastAsia" w:ascii="宋体" w:hAnsi="宋体" w:cs="宋体"/>
          <w:kern w:val="1"/>
          <w:sz w:val="24"/>
          <w:szCs w:val="24"/>
          <w:highlight w:val="none"/>
          <w:lang w:val="en-US" w:eastAsia="zh-CN"/>
        </w:rPr>
      </w:pPr>
    </w:p>
    <w:p w14:paraId="39492711">
      <w:pPr>
        <w:widowControl/>
        <w:autoSpaceDE w:val="0"/>
        <w:autoSpaceDN w:val="0"/>
        <w:adjustRightInd w:val="0"/>
        <w:spacing w:line="440" w:lineRule="exact"/>
        <w:jc w:val="center"/>
        <w:rPr>
          <w:rFonts w:hint="eastAsia" w:ascii="宋体" w:hAnsi="宋体" w:cs="宋体"/>
          <w:kern w:val="1"/>
          <w:sz w:val="24"/>
          <w:szCs w:val="24"/>
          <w:highlight w:val="none"/>
          <w:lang w:val="en-US" w:eastAsia="zh-CN"/>
        </w:rPr>
      </w:pPr>
    </w:p>
    <w:p w14:paraId="28A72F05">
      <w:pPr>
        <w:widowControl/>
        <w:autoSpaceDE w:val="0"/>
        <w:autoSpaceDN w:val="0"/>
        <w:adjustRightInd w:val="0"/>
        <w:spacing w:line="440" w:lineRule="exact"/>
        <w:jc w:val="center"/>
        <w:rPr>
          <w:rFonts w:hint="eastAsia" w:ascii="宋体" w:hAnsi="宋体" w:eastAsia="宋体" w:cs="宋体"/>
          <w:kern w:val="1"/>
          <w:sz w:val="24"/>
          <w:szCs w:val="24"/>
          <w:highlight w:val="none"/>
        </w:rPr>
      </w:pPr>
      <w:r>
        <w:rPr>
          <w:rFonts w:hint="eastAsia" w:ascii="宋体" w:hAnsi="宋体" w:cs="宋体"/>
          <w:kern w:val="1"/>
          <w:sz w:val="24"/>
          <w:szCs w:val="24"/>
          <w:highlight w:val="none"/>
          <w:lang w:val="en-US" w:eastAsia="zh-CN"/>
        </w:rPr>
        <w:t xml:space="preserve">                   </w:t>
      </w:r>
      <w:r>
        <w:rPr>
          <w:rFonts w:hint="eastAsia" w:ascii="宋体" w:hAnsi="宋体" w:eastAsia="宋体" w:cs="宋体"/>
          <w:kern w:val="1"/>
          <w:sz w:val="24"/>
          <w:szCs w:val="24"/>
          <w:highlight w:val="none"/>
        </w:rPr>
        <w:t>投标人</w:t>
      </w:r>
      <w:r>
        <w:rPr>
          <w:rFonts w:hint="eastAsia" w:ascii="宋体" w:hAnsi="宋体" w:cs="宋体"/>
          <w:kern w:val="1"/>
          <w:sz w:val="24"/>
          <w:szCs w:val="24"/>
          <w:highlight w:val="none"/>
          <w:lang w:eastAsia="zh-CN"/>
        </w:rPr>
        <w:t>：（</w:t>
      </w:r>
      <w:r>
        <w:rPr>
          <w:rFonts w:hint="eastAsia" w:ascii="宋体" w:hAnsi="宋体" w:eastAsia="宋体" w:cs="宋体"/>
          <w:kern w:val="1"/>
          <w:sz w:val="24"/>
          <w:szCs w:val="24"/>
          <w:highlight w:val="none"/>
        </w:rPr>
        <w:t>公章</w:t>
      </w:r>
      <w:r>
        <w:rPr>
          <w:rFonts w:hint="eastAsia" w:ascii="宋体" w:hAnsi="宋体" w:cs="宋体"/>
          <w:kern w:val="1"/>
          <w:sz w:val="24"/>
          <w:szCs w:val="24"/>
          <w:highlight w:val="none"/>
          <w:lang w:eastAsia="zh-CN"/>
        </w:rPr>
        <w:t>）</w:t>
      </w:r>
    </w:p>
    <w:p w14:paraId="337B9235">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5F363999">
      <w:pPr>
        <w:widowControl/>
        <w:autoSpaceDE w:val="0"/>
        <w:autoSpaceDN w:val="0"/>
        <w:adjustRightInd w:val="0"/>
        <w:spacing w:line="440" w:lineRule="exact"/>
        <w:jc w:val="center"/>
        <w:rPr>
          <w:rFonts w:hint="eastAsia" w:ascii="宋体" w:hAnsi="宋体" w:eastAsia="宋体" w:cs="宋体"/>
          <w:kern w:val="1"/>
          <w:sz w:val="24"/>
          <w:szCs w:val="24"/>
          <w:highlight w:val="none"/>
        </w:rPr>
      </w:pPr>
      <w:r>
        <w:rPr>
          <w:rFonts w:hint="eastAsia" w:ascii="宋体" w:hAnsi="宋体" w:cs="宋体"/>
          <w:kern w:val="1"/>
          <w:sz w:val="24"/>
          <w:szCs w:val="24"/>
          <w:highlight w:val="none"/>
          <w:lang w:val="en-US" w:eastAsia="zh-CN"/>
        </w:rPr>
        <w:t xml:space="preserve">                                        </w:t>
      </w:r>
      <w:r>
        <w:rPr>
          <w:rFonts w:hint="eastAsia" w:ascii="宋体" w:hAnsi="宋体" w:eastAsia="宋体" w:cs="宋体"/>
          <w:kern w:val="1"/>
          <w:sz w:val="24"/>
          <w:szCs w:val="24"/>
          <w:highlight w:val="none"/>
        </w:rPr>
        <w:t>法定代表人或委托代理人</w:t>
      </w:r>
      <w:r>
        <w:rPr>
          <w:rFonts w:hint="eastAsia" w:ascii="宋体" w:hAnsi="宋体" w:cs="宋体"/>
          <w:kern w:val="1"/>
          <w:sz w:val="24"/>
          <w:szCs w:val="24"/>
          <w:highlight w:val="none"/>
          <w:lang w:eastAsia="zh-CN"/>
        </w:rPr>
        <w:t>：（</w:t>
      </w:r>
      <w:r>
        <w:rPr>
          <w:rFonts w:hint="eastAsia" w:ascii="宋体" w:hAnsi="宋体" w:eastAsia="宋体" w:cs="宋体"/>
          <w:kern w:val="1"/>
          <w:sz w:val="24"/>
          <w:szCs w:val="24"/>
          <w:highlight w:val="none"/>
        </w:rPr>
        <w:t>签字或盖章</w:t>
      </w:r>
      <w:r>
        <w:rPr>
          <w:rFonts w:hint="eastAsia" w:ascii="宋体" w:hAnsi="宋体" w:cs="宋体"/>
          <w:kern w:val="1"/>
          <w:sz w:val="24"/>
          <w:szCs w:val="24"/>
          <w:highlight w:val="none"/>
          <w:lang w:eastAsia="zh-CN"/>
        </w:rPr>
        <w:t>）</w:t>
      </w:r>
    </w:p>
    <w:p w14:paraId="1B7C5757">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6F0182BD">
      <w:pPr>
        <w:widowControl/>
        <w:autoSpaceDE w:val="0"/>
        <w:autoSpaceDN w:val="0"/>
        <w:adjustRightInd w:val="0"/>
        <w:spacing w:line="440" w:lineRule="exact"/>
        <w:jc w:val="center"/>
        <w:rPr>
          <w:rFonts w:hint="eastAsia" w:ascii="宋体" w:hAnsi="宋体" w:eastAsia="宋体" w:cs="宋体"/>
          <w:kern w:val="1"/>
          <w:sz w:val="24"/>
          <w:szCs w:val="24"/>
          <w:highlight w:val="none"/>
        </w:rPr>
      </w:pPr>
      <w:r>
        <w:rPr>
          <w:rFonts w:hint="eastAsia" w:ascii="宋体" w:hAnsi="宋体" w:cs="宋体"/>
          <w:kern w:val="1"/>
          <w:sz w:val="24"/>
          <w:szCs w:val="24"/>
          <w:highlight w:val="none"/>
          <w:lang w:val="en-US" w:eastAsia="zh-CN"/>
        </w:rPr>
        <w:t xml:space="preserve">              </w:t>
      </w:r>
      <w:r>
        <w:rPr>
          <w:rFonts w:hint="eastAsia" w:ascii="宋体" w:hAnsi="宋体" w:eastAsia="宋体" w:cs="宋体"/>
          <w:kern w:val="1"/>
          <w:sz w:val="24"/>
          <w:szCs w:val="24"/>
          <w:highlight w:val="none"/>
        </w:rPr>
        <w:t>年</w:t>
      </w:r>
      <w:r>
        <w:rPr>
          <w:rFonts w:hint="eastAsia" w:ascii="宋体" w:hAnsi="宋体" w:cs="宋体"/>
          <w:kern w:val="1"/>
          <w:sz w:val="24"/>
          <w:szCs w:val="24"/>
          <w:highlight w:val="none"/>
          <w:lang w:val="en-US" w:eastAsia="zh-CN"/>
        </w:rPr>
        <w:t xml:space="preserve">  </w:t>
      </w:r>
      <w:r>
        <w:rPr>
          <w:rFonts w:hint="eastAsia" w:ascii="宋体" w:hAnsi="宋体" w:eastAsia="宋体" w:cs="宋体"/>
          <w:kern w:val="1"/>
          <w:sz w:val="24"/>
          <w:szCs w:val="24"/>
          <w:highlight w:val="none"/>
        </w:rPr>
        <w:t>月</w:t>
      </w:r>
      <w:r>
        <w:rPr>
          <w:rFonts w:hint="eastAsia" w:ascii="宋体" w:hAnsi="宋体" w:cs="宋体"/>
          <w:kern w:val="1"/>
          <w:sz w:val="24"/>
          <w:szCs w:val="24"/>
          <w:highlight w:val="none"/>
          <w:lang w:val="en-US" w:eastAsia="zh-CN"/>
        </w:rPr>
        <w:t xml:space="preserve">  </w:t>
      </w:r>
      <w:r>
        <w:rPr>
          <w:rFonts w:hint="eastAsia" w:ascii="宋体" w:hAnsi="宋体" w:eastAsia="宋体" w:cs="宋体"/>
          <w:kern w:val="1"/>
          <w:sz w:val="24"/>
          <w:szCs w:val="24"/>
          <w:highlight w:val="none"/>
        </w:rPr>
        <w:t>日</w:t>
      </w:r>
    </w:p>
    <w:p w14:paraId="5FC8238A">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49A4AD04">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3BE31CF5">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3CFC7144">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76764439">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6C8A38A8">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61471ED3">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44E732DF">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7A3B8C1D">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42B976D5">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7A3648F1">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1585C4F4">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648E01DA">
      <w:pPr>
        <w:widowControl/>
        <w:autoSpaceDE w:val="0"/>
        <w:autoSpaceDN w:val="0"/>
        <w:adjustRightInd w:val="0"/>
        <w:spacing w:line="440" w:lineRule="exact"/>
        <w:jc w:val="center"/>
        <w:rPr>
          <w:rFonts w:hint="eastAsia" w:ascii="宋体" w:hAnsi="宋体" w:eastAsia="宋体" w:cs="宋体"/>
          <w:kern w:val="1"/>
          <w:sz w:val="24"/>
          <w:szCs w:val="24"/>
          <w:highlight w:val="none"/>
        </w:rPr>
      </w:pPr>
    </w:p>
    <w:p w14:paraId="44DF1129">
      <w:pPr>
        <w:widowControl/>
        <w:autoSpaceDE w:val="0"/>
        <w:autoSpaceDN w:val="0"/>
        <w:adjustRightInd w:val="0"/>
        <w:spacing w:line="440" w:lineRule="exact"/>
        <w:jc w:val="both"/>
        <w:rPr>
          <w:rFonts w:hint="eastAsia" w:ascii="宋体" w:hAnsi="宋体" w:cs="宋体"/>
          <w:b/>
          <w:bCs/>
          <w:kern w:val="2"/>
          <w:sz w:val="32"/>
          <w:szCs w:val="21"/>
          <w:highlight w:val="none"/>
          <w:lang w:val="en-US" w:eastAsia="zh-CN" w:bidi="ar-SA"/>
        </w:rPr>
      </w:pPr>
    </w:p>
    <w:p w14:paraId="61E10ABA">
      <w:pPr>
        <w:widowControl/>
        <w:autoSpaceDE w:val="0"/>
        <w:autoSpaceDN w:val="0"/>
        <w:adjustRightInd w:val="0"/>
        <w:spacing w:line="440" w:lineRule="exact"/>
        <w:jc w:val="both"/>
        <w:rPr>
          <w:rFonts w:hint="eastAsia" w:ascii="宋体" w:hAnsi="宋体" w:cs="宋体"/>
          <w:b/>
          <w:bCs/>
          <w:kern w:val="2"/>
          <w:sz w:val="32"/>
          <w:szCs w:val="21"/>
          <w:highlight w:val="none"/>
          <w:lang w:val="en-US" w:eastAsia="zh-CN" w:bidi="ar-SA"/>
        </w:rPr>
      </w:pPr>
    </w:p>
    <w:p w14:paraId="48BC1235">
      <w:pPr>
        <w:rPr>
          <w:rFonts w:hint="eastAsia" w:ascii="宋体" w:hAnsi="宋体" w:cs="宋体"/>
          <w:b/>
          <w:bCs/>
          <w:kern w:val="2"/>
          <w:sz w:val="32"/>
          <w:szCs w:val="21"/>
          <w:highlight w:val="none"/>
          <w:lang w:val="en-US" w:eastAsia="zh-CN" w:bidi="ar-SA"/>
        </w:rPr>
      </w:pPr>
      <w:r>
        <w:rPr>
          <w:rFonts w:hint="eastAsia" w:ascii="宋体" w:hAnsi="宋体" w:cs="宋体"/>
          <w:b/>
          <w:bCs/>
          <w:kern w:val="2"/>
          <w:sz w:val="32"/>
          <w:szCs w:val="21"/>
          <w:highlight w:val="none"/>
          <w:lang w:val="en-US" w:eastAsia="zh-CN" w:bidi="ar-SA"/>
        </w:rPr>
        <w:br w:type="page"/>
      </w:r>
    </w:p>
    <w:p w14:paraId="28E10DB2">
      <w:pPr>
        <w:spacing w:line="440" w:lineRule="exact"/>
        <w:jc w:val="both"/>
        <w:rPr>
          <w:rFonts w:hint="eastAsia" w:ascii="宋体" w:hAnsi="宋体" w:cs="宋体"/>
          <w:b/>
          <w:bCs/>
          <w:sz w:val="24"/>
          <w:szCs w:val="18"/>
          <w:highlight w:val="none"/>
          <w:lang w:eastAsia="zh-CN"/>
        </w:rPr>
      </w:pPr>
      <w:r>
        <w:rPr>
          <w:rFonts w:hint="eastAsia" w:ascii="宋体" w:hAnsi="宋体" w:cs="宋体"/>
          <w:b/>
          <w:bCs/>
          <w:sz w:val="24"/>
          <w:szCs w:val="18"/>
          <w:highlight w:val="none"/>
          <w:lang w:eastAsia="zh-CN"/>
        </w:rPr>
        <w:t>附件五</w:t>
      </w:r>
    </w:p>
    <w:p w14:paraId="78F9E061">
      <w:pPr>
        <w:widowControl/>
        <w:autoSpaceDE w:val="0"/>
        <w:autoSpaceDN w:val="0"/>
        <w:adjustRightInd w:val="0"/>
        <w:spacing w:line="440" w:lineRule="exact"/>
        <w:jc w:val="center"/>
        <w:rPr>
          <w:rFonts w:hint="eastAsia" w:ascii="宋体" w:hAnsi="宋体" w:cs="宋体"/>
          <w:b/>
          <w:bCs/>
          <w:kern w:val="2"/>
          <w:sz w:val="32"/>
          <w:szCs w:val="21"/>
          <w:highlight w:val="none"/>
          <w:lang w:val="en-US" w:eastAsia="zh-CN" w:bidi="ar-SA"/>
        </w:rPr>
      </w:pPr>
    </w:p>
    <w:p w14:paraId="62464E7A">
      <w:pPr>
        <w:widowControl/>
        <w:autoSpaceDE w:val="0"/>
        <w:autoSpaceDN w:val="0"/>
        <w:adjustRightInd w:val="0"/>
        <w:spacing w:line="440" w:lineRule="exact"/>
        <w:jc w:val="center"/>
        <w:rPr>
          <w:rFonts w:hint="eastAsia" w:ascii="宋体" w:hAnsi="宋体" w:cs="宋体"/>
          <w:b/>
          <w:bCs/>
          <w:kern w:val="2"/>
          <w:sz w:val="32"/>
          <w:szCs w:val="21"/>
          <w:highlight w:val="none"/>
          <w:lang w:val="en-US" w:eastAsia="zh-CN" w:bidi="ar-SA"/>
        </w:rPr>
      </w:pPr>
    </w:p>
    <w:p w14:paraId="746E06E0">
      <w:pPr>
        <w:widowControl/>
        <w:autoSpaceDE w:val="0"/>
        <w:autoSpaceDN w:val="0"/>
        <w:adjustRightInd w:val="0"/>
        <w:spacing w:line="440" w:lineRule="exact"/>
        <w:jc w:val="center"/>
        <w:rPr>
          <w:rFonts w:hint="eastAsia" w:ascii="宋体" w:hAnsi="宋体" w:eastAsia="宋体" w:cs="宋体"/>
          <w:b/>
          <w:bCs/>
          <w:kern w:val="2"/>
          <w:sz w:val="32"/>
          <w:szCs w:val="21"/>
          <w:highlight w:val="none"/>
          <w:lang w:val="en-US" w:eastAsia="zh-CN" w:bidi="ar-SA"/>
        </w:rPr>
      </w:pPr>
      <w:r>
        <w:rPr>
          <w:rFonts w:hint="eastAsia" w:ascii="宋体" w:hAnsi="宋体" w:cs="宋体"/>
          <w:b/>
          <w:bCs/>
          <w:kern w:val="2"/>
          <w:sz w:val="32"/>
          <w:szCs w:val="21"/>
          <w:highlight w:val="none"/>
          <w:lang w:val="en-US" w:eastAsia="zh-CN" w:bidi="ar-SA"/>
        </w:rPr>
        <w:t>公平竞争承诺书</w:t>
      </w:r>
    </w:p>
    <w:p w14:paraId="60DE3050">
      <w:pPr>
        <w:widowControl/>
        <w:autoSpaceDE w:val="0"/>
        <w:autoSpaceDN w:val="0"/>
        <w:adjustRightInd w:val="0"/>
        <w:spacing w:line="440" w:lineRule="exact"/>
        <w:rPr>
          <w:rFonts w:hint="eastAsia" w:ascii="宋体" w:hAnsi="宋体" w:eastAsia="宋体" w:cs="宋体"/>
          <w:b/>
          <w:bCs/>
          <w:kern w:val="1"/>
          <w:sz w:val="24"/>
          <w:szCs w:val="24"/>
          <w:highlight w:val="none"/>
        </w:rPr>
      </w:pPr>
    </w:p>
    <w:p w14:paraId="518B7151">
      <w:pPr>
        <w:spacing w:line="44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本公司郑重承诺：本公司保证所提交的相关资质文件和证明材料的真实性</w:t>
      </w:r>
      <w:r>
        <w:rPr>
          <w:rFonts w:hint="eastAsia" w:ascii="宋体" w:hAnsi="宋体" w:cs="宋体"/>
          <w:kern w:val="0"/>
          <w:sz w:val="24"/>
          <w:szCs w:val="24"/>
          <w:highlight w:val="none"/>
          <w:lang w:eastAsia="zh-CN"/>
        </w:rPr>
        <w:t>，具</w:t>
      </w:r>
      <w:r>
        <w:rPr>
          <w:rFonts w:hint="eastAsia" w:ascii="宋体" w:hAnsi="宋体" w:eastAsia="宋体" w:cs="宋体"/>
          <w:kern w:val="0"/>
          <w:sz w:val="24"/>
          <w:szCs w:val="24"/>
          <w:highlight w:val="none"/>
        </w:rPr>
        <w:t>有良好的历史诚信记录，并将依法参与</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none"/>
          <w:lang w:val="en-US" w:eastAsia="zh-CN"/>
        </w:rPr>
        <w:t>（项目名称）</w:t>
      </w:r>
      <w:r>
        <w:rPr>
          <w:rFonts w:hint="eastAsia" w:ascii="宋体" w:hAnsi="宋体" w:eastAsia="宋体" w:cs="宋体"/>
          <w:kern w:val="0"/>
          <w:sz w:val="24"/>
          <w:szCs w:val="24"/>
          <w:highlight w:val="none"/>
        </w:rPr>
        <w:t>的公平竞争，不以任何不正当行为</w:t>
      </w:r>
      <w:r>
        <w:rPr>
          <w:rFonts w:hint="eastAsia" w:ascii="宋体" w:hAnsi="宋体" w:cs="宋体"/>
          <w:kern w:val="0"/>
          <w:sz w:val="24"/>
          <w:szCs w:val="24"/>
          <w:highlight w:val="none"/>
          <w:lang w:eastAsia="zh-CN"/>
        </w:rPr>
        <w:t>牟取</w:t>
      </w:r>
      <w:r>
        <w:rPr>
          <w:rFonts w:hint="eastAsia" w:ascii="宋体" w:hAnsi="宋体" w:eastAsia="宋体" w:cs="宋体"/>
          <w:kern w:val="0"/>
          <w:sz w:val="24"/>
          <w:szCs w:val="24"/>
          <w:highlight w:val="none"/>
        </w:rPr>
        <w:t>不当利益，否则承担相应的法律责任。</w:t>
      </w:r>
    </w:p>
    <w:p w14:paraId="09954304">
      <w:pPr>
        <w:widowControl/>
        <w:autoSpaceDE w:val="0"/>
        <w:autoSpaceDN w:val="0"/>
        <w:adjustRightInd w:val="0"/>
        <w:spacing w:line="440" w:lineRule="exact"/>
        <w:ind w:right="-481"/>
        <w:rPr>
          <w:rFonts w:hint="eastAsia" w:ascii="宋体" w:hAnsi="宋体" w:eastAsia="宋体" w:cs="宋体"/>
          <w:kern w:val="1"/>
          <w:sz w:val="24"/>
          <w:szCs w:val="24"/>
          <w:highlight w:val="none"/>
        </w:rPr>
      </w:pPr>
    </w:p>
    <w:p w14:paraId="4397C0CC">
      <w:pPr>
        <w:widowControl/>
        <w:autoSpaceDE w:val="0"/>
        <w:autoSpaceDN w:val="0"/>
        <w:adjustRightInd w:val="0"/>
        <w:spacing w:line="440" w:lineRule="exact"/>
        <w:ind w:right="-481"/>
        <w:rPr>
          <w:rFonts w:hint="eastAsia" w:ascii="宋体" w:hAnsi="宋体" w:eastAsia="宋体" w:cs="宋体"/>
          <w:kern w:val="1"/>
          <w:sz w:val="24"/>
          <w:szCs w:val="24"/>
          <w:highlight w:val="none"/>
        </w:rPr>
      </w:pPr>
    </w:p>
    <w:p w14:paraId="0AF68813">
      <w:pPr>
        <w:spacing w:line="440" w:lineRule="exact"/>
        <w:ind w:firstLine="4108" w:firstLineChars="1712"/>
        <w:rPr>
          <w:rFonts w:hint="eastAsia" w:ascii="宋体" w:hAnsi="宋体" w:eastAsia="宋体" w:cs="宋体"/>
          <w:sz w:val="24"/>
          <w:szCs w:val="24"/>
          <w:highlight w:val="none"/>
          <w:lang w:eastAsia="zh-CN"/>
        </w:rPr>
      </w:pPr>
    </w:p>
    <w:p w14:paraId="0EF76D71">
      <w:pPr>
        <w:spacing w:line="440" w:lineRule="exact"/>
        <w:ind w:firstLine="4108" w:firstLineChars="1712"/>
        <w:rPr>
          <w:rFonts w:hint="eastAsia" w:ascii="宋体" w:hAnsi="宋体" w:eastAsia="宋体" w:cs="宋体"/>
          <w:sz w:val="24"/>
          <w:szCs w:val="24"/>
          <w:highlight w:val="none"/>
          <w:lang w:eastAsia="zh-CN"/>
        </w:rPr>
      </w:pPr>
    </w:p>
    <w:p w14:paraId="48852652">
      <w:pPr>
        <w:spacing w:line="440" w:lineRule="exact"/>
        <w:ind w:firstLine="4108" w:firstLineChars="1712"/>
        <w:rPr>
          <w:rFonts w:hint="eastAsia" w:ascii="宋体" w:hAnsi="宋体" w:eastAsia="宋体" w:cs="宋体"/>
          <w:sz w:val="24"/>
          <w:szCs w:val="24"/>
          <w:highlight w:val="none"/>
          <w:lang w:eastAsia="zh-CN"/>
        </w:rPr>
      </w:pPr>
    </w:p>
    <w:p w14:paraId="0B6536E8">
      <w:pPr>
        <w:spacing w:line="440" w:lineRule="exact"/>
        <w:ind w:firstLine="4108" w:firstLineChars="1712"/>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（盖单位公章）</w:t>
      </w:r>
    </w:p>
    <w:p w14:paraId="4A37DED5">
      <w:pPr>
        <w:spacing w:line="440" w:lineRule="exact"/>
        <w:ind w:firstLine="4108" w:firstLineChars="1712"/>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5FF85B21">
      <w:pPr>
        <w:spacing w:line="440" w:lineRule="exact"/>
        <w:ind w:firstLine="4108" w:firstLineChars="1712"/>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B80D3F6">
      <w:pPr>
        <w:widowControl/>
        <w:autoSpaceDE w:val="0"/>
        <w:autoSpaceDN w:val="0"/>
        <w:adjustRightInd w:val="0"/>
        <w:spacing w:line="440" w:lineRule="exact"/>
        <w:rPr>
          <w:rStyle w:val="33"/>
          <w:rFonts w:hint="eastAsia" w:ascii="宋体" w:hAnsi="宋体" w:eastAsia="宋体" w:cs="宋体"/>
          <w:sz w:val="24"/>
          <w:szCs w:val="24"/>
          <w:highlight w:val="none"/>
        </w:rPr>
      </w:pPr>
    </w:p>
    <w:p w14:paraId="2DC29B05">
      <w:pPr>
        <w:widowControl/>
        <w:autoSpaceDE w:val="0"/>
        <w:autoSpaceDN w:val="0"/>
        <w:adjustRightInd w:val="0"/>
        <w:spacing w:line="440" w:lineRule="exact"/>
        <w:jc w:val="both"/>
        <w:rPr>
          <w:rFonts w:hint="eastAsia" w:ascii="宋体" w:hAnsi="宋体" w:eastAsia="宋体" w:cs="宋体"/>
          <w:kern w:val="1"/>
          <w:sz w:val="28"/>
          <w:szCs w:val="28"/>
          <w:highlight w:val="none"/>
        </w:rPr>
      </w:pPr>
    </w:p>
    <w:p w14:paraId="7DEEC688">
      <w:pPr>
        <w:pStyle w:val="20"/>
        <w:rPr>
          <w:rFonts w:hint="eastAsia" w:ascii="宋体" w:hAnsi="宋体" w:eastAsia="宋体" w:cs="宋体"/>
          <w:sz w:val="24"/>
          <w:highlight w:val="none"/>
        </w:rPr>
      </w:pPr>
    </w:p>
    <w:p w14:paraId="77619C10">
      <w:pPr>
        <w:spacing w:line="440" w:lineRule="exact"/>
        <w:jc w:val="both"/>
        <w:rPr>
          <w:rFonts w:hint="eastAsia" w:ascii="宋体" w:hAnsi="宋体" w:cs="宋体"/>
          <w:b/>
          <w:bCs/>
          <w:sz w:val="24"/>
          <w:szCs w:val="18"/>
          <w:highlight w:val="none"/>
          <w:lang w:eastAsia="zh-CN"/>
        </w:rPr>
      </w:pPr>
      <w:r>
        <w:rPr>
          <w:rFonts w:hint="eastAsia" w:ascii="宋体" w:hAnsi="宋体" w:eastAsia="宋体" w:cs="宋体"/>
          <w:b/>
          <w:bCs/>
          <w:sz w:val="32"/>
          <w:szCs w:val="21"/>
          <w:highlight w:val="none"/>
          <w:lang w:eastAsia="zh-CN"/>
        </w:rPr>
        <w:br w:type="page"/>
      </w:r>
      <w:r>
        <w:rPr>
          <w:rFonts w:hint="eastAsia" w:ascii="宋体" w:hAnsi="宋体" w:cs="宋体"/>
          <w:b/>
          <w:bCs/>
          <w:sz w:val="24"/>
          <w:szCs w:val="18"/>
          <w:highlight w:val="none"/>
          <w:lang w:eastAsia="zh-CN"/>
        </w:rPr>
        <w:t>附件六</w:t>
      </w:r>
    </w:p>
    <w:p w14:paraId="31671FF2">
      <w:pPr>
        <w:spacing w:line="440" w:lineRule="exact"/>
        <w:ind w:firstLine="1124" w:firstLineChars="350"/>
        <w:jc w:val="center"/>
        <w:rPr>
          <w:rFonts w:hint="eastAsia" w:ascii="宋体" w:hAnsi="宋体" w:eastAsia="宋体" w:cs="宋体"/>
          <w:b/>
          <w:bCs/>
          <w:sz w:val="32"/>
          <w:szCs w:val="21"/>
          <w:highlight w:val="none"/>
          <w:lang w:eastAsia="zh-CN"/>
        </w:rPr>
      </w:pPr>
    </w:p>
    <w:p w14:paraId="4C69A726">
      <w:pPr>
        <w:spacing w:line="440" w:lineRule="exact"/>
        <w:ind w:firstLine="1124" w:firstLineChars="350"/>
        <w:jc w:val="center"/>
        <w:rPr>
          <w:rFonts w:hint="eastAsia" w:ascii="宋体" w:hAnsi="宋体" w:eastAsia="宋体" w:cs="宋体"/>
          <w:b/>
          <w:bCs/>
          <w:sz w:val="32"/>
          <w:szCs w:val="21"/>
          <w:highlight w:val="none"/>
          <w:lang w:eastAsia="zh-CN"/>
        </w:rPr>
      </w:pPr>
    </w:p>
    <w:p w14:paraId="692577BC">
      <w:pPr>
        <w:spacing w:line="440" w:lineRule="exact"/>
        <w:ind w:firstLine="1124" w:firstLineChars="350"/>
        <w:jc w:val="center"/>
        <w:rPr>
          <w:rFonts w:hint="eastAsia" w:ascii="宋体" w:hAnsi="宋体" w:eastAsia="宋体" w:cs="宋体"/>
          <w:b/>
          <w:bCs/>
          <w:sz w:val="32"/>
          <w:szCs w:val="21"/>
          <w:highlight w:val="none"/>
          <w:lang w:eastAsia="zh-CN"/>
        </w:rPr>
      </w:pPr>
      <w:r>
        <w:rPr>
          <w:rFonts w:hint="eastAsia" w:ascii="宋体" w:hAnsi="宋体" w:eastAsia="宋体" w:cs="宋体"/>
          <w:b/>
          <w:bCs/>
          <w:sz w:val="32"/>
          <w:szCs w:val="21"/>
          <w:highlight w:val="none"/>
          <w:lang w:eastAsia="zh-CN"/>
        </w:rPr>
        <w:t>中小</w:t>
      </w:r>
      <w:r>
        <w:rPr>
          <w:rFonts w:hint="eastAsia" w:ascii="宋体" w:hAnsi="宋体" w:eastAsia="宋体" w:cs="宋体"/>
          <w:b/>
          <w:bCs/>
          <w:sz w:val="32"/>
          <w:szCs w:val="21"/>
          <w:highlight w:val="none"/>
        </w:rPr>
        <w:t>企业声明函</w:t>
      </w:r>
    </w:p>
    <w:p w14:paraId="3C563205">
      <w:pPr>
        <w:pStyle w:val="37"/>
        <w:spacing w:line="360" w:lineRule="auto"/>
        <w:ind w:firstLine="480" w:firstLineChars="200"/>
        <w:rPr>
          <w:rFonts w:hint="eastAsia" w:ascii="宋体" w:hAnsi="宋体" w:eastAsia="宋体" w:cs="宋体"/>
          <w:sz w:val="24"/>
          <w:szCs w:val="24"/>
          <w:highlight w:val="none"/>
        </w:rPr>
      </w:pPr>
    </w:p>
    <w:p w14:paraId="5E5397EB">
      <w:pPr>
        <w:pStyle w:val="3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本公司郑重声明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根据《政府采购促进中小企业发展管理办法》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财库 ﹝2020﹞46号</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的规定，本公司参加</w:t>
      </w:r>
      <w:r>
        <w:rPr>
          <w:rFonts w:hint="eastAsia" w:ascii="宋体" w:hAnsi="宋体" w:cs="宋体"/>
          <w:color w:val="000000" w:themeColor="text1"/>
          <w:spacing w:val="-1"/>
          <w:sz w:val="24"/>
          <w:szCs w:val="24"/>
          <w:u w:val="single"/>
          <w:lang w:eastAsia="zh-CN"/>
          <w14:textFill>
            <w14:solidFill>
              <w14:schemeClr w14:val="tx1"/>
            </w14:solidFill>
          </w14:textFill>
        </w:rPr>
        <w:t>巴音郭楞职业技术学院</w:t>
      </w:r>
      <w:r>
        <w:rPr>
          <w:rFonts w:hint="eastAsia" w:ascii="宋体" w:hAnsi="宋体" w:eastAsia="宋体" w:cs="宋体"/>
          <w:sz w:val="24"/>
          <w:szCs w:val="24"/>
          <w:highlight w:val="none"/>
        </w:rPr>
        <w:t>的</w:t>
      </w:r>
      <w:r>
        <w:rPr>
          <w:rFonts w:hint="eastAsia" w:ascii="宋体" w:hAnsi="宋体" w:cs="宋体"/>
          <w:sz w:val="24"/>
          <w:szCs w:val="24"/>
          <w:highlight w:val="none"/>
          <w:u w:val="single"/>
          <w:lang w:eastAsia="zh-CN"/>
        </w:rPr>
        <w:t>巴音郭楞职业技术学院教务管理服务平台、实验实训管理服务平台以及个性化功能定制建设项目</w:t>
      </w:r>
      <w:r>
        <w:rPr>
          <w:rFonts w:hint="eastAsia" w:ascii="宋体" w:hAnsi="宋体" w:eastAsia="宋体" w:cs="宋体"/>
          <w:sz w:val="24"/>
          <w:szCs w:val="24"/>
          <w:highlight w:val="none"/>
        </w:rPr>
        <w:t>采购活动，工程的施工单位全部为符合政策要求的中小企业</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或者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服务全部由符合政策要求的中小企业承接</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。相关企业</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含联合体中的中小企业、签订分包意向协议的中小企业</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的具体情况如下：</w:t>
      </w:r>
    </w:p>
    <w:p w14:paraId="2CD72A07">
      <w:pPr>
        <w:pStyle w:val="3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巴音郭楞职业技术学院教务管理服务平台、实验实训管理服务平台以及个性化功能定制建设项目</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软件和信息技术服务业</w:t>
      </w:r>
      <w:r>
        <w:rPr>
          <w:rFonts w:ascii="宋体" w:hAnsi="宋体" w:eastAsia="宋体" w:cs="宋体"/>
          <w:spacing w:val="-4"/>
          <w:sz w:val="24"/>
          <w:szCs w:val="24"/>
          <w:u w:val="single" w:color="auto"/>
        </w:rPr>
        <w:t xml:space="preserve"> </w:t>
      </w:r>
      <w:r>
        <w:rPr>
          <w:rFonts w:hint="eastAsia" w:ascii="宋体" w:hAnsi="宋体" w:eastAsia="宋体" w:cs="宋体"/>
          <w:sz w:val="24"/>
          <w:szCs w:val="24"/>
          <w:highlight w:val="none"/>
        </w:rPr>
        <w:t xml:space="preserve"> ；承建 </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承接</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 xml:space="preserve"> 企业为 </w:t>
      </w:r>
      <w:r>
        <w:rPr>
          <w:rFonts w:hint="eastAsia" w:ascii="宋体" w:hAnsi="宋体" w:cs="宋体"/>
          <w:sz w:val="24"/>
          <w:szCs w:val="24"/>
          <w:highlight w:val="none"/>
          <w:lang w:eastAsia="zh-CN"/>
        </w:rPr>
        <w:t>（</w:t>
      </w:r>
      <w:r>
        <w:rPr>
          <w:rFonts w:hint="eastAsia" w:ascii="宋体" w:hAnsi="宋体" w:eastAsia="宋体" w:cs="宋体"/>
          <w:sz w:val="24"/>
          <w:szCs w:val="24"/>
          <w:highlight w:val="none"/>
          <w:u w:val="single"/>
        </w:rPr>
        <w:t>企业名称</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 ，营业收入为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 ，资产总额为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万元 ， 属于 </w:t>
      </w:r>
      <w:r>
        <w:rPr>
          <w:rFonts w:hint="eastAsia" w:ascii="宋体" w:hAnsi="宋体" w:cs="宋体"/>
          <w:sz w:val="24"/>
          <w:szCs w:val="24"/>
          <w:highlight w:val="none"/>
          <w:lang w:eastAsia="zh-CN"/>
        </w:rPr>
        <w:t>（</w:t>
      </w:r>
      <w:r>
        <w:rPr>
          <w:rFonts w:hint="eastAsia" w:ascii="宋体" w:hAnsi="宋体" w:eastAsia="宋体" w:cs="宋体"/>
          <w:sz w:val="24"/>
          <w:szCs w:val="24"/>
          <w:highlight w:val="none"/>
          <w:u w:val="single"/>
        </w:rPr>
        <w:t xml:space="preserve">  中型企业 、 小型企业 、微型企业</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rPr>
        <w:t xml:space="preserve"> ；</w:t>
      </w:r>
    </w:p>
    <w:p w14:paraId="708C80D9">
      <w:pPr>
        <w:pStyle w:val="3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u w:val="single"/>
        </w:rPr>
        <w:t>标的名称</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u w:val="single"/>
        </w:rPr>
        <w:t xml:space="preserve"> 采购文件中明确的所属行业</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；承建 </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承接</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 xml:space="preserve">企业为 </w:t>
      </w:r>
      <w:r>
        <w:rPr>
          <w:rFonts w:hint="eastAsia" w:ascii="宋体" w:hAnsi="宋体" w:cs="宋体"/>
          <w:sz w:val="24"/>
          <w:szCs w:val="24"/>
          <w:highlight w:val="none"/>
          <w:lang w:eastAsia="zh-CN"/>
        </w:rPr>
        <w:t>（</w:t>
      </w:r>
      <w:r>
        <w:rPr>
          <w:rFonts w:hint="eastAsia" w:ascii="宋体" w:hAnsi="宋体" w:eastAsia="宋体" w:cs="宋体"/>
          <w:sz w:val="24"/>
          <w:szCs w:val="24"/>
          <w:highlight w:val="none"/>
          <w:u w:val="single"/>
        </w:rPr>
        <w:t>企业名称</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rPr>
        <w:t>， 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 ， 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属于</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中型企业 、 小型企业 、微型企业</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rPr>
        <w:t>；</w:t>
      </w:r>
    </w:p>
    <w:p w14:paraId="2882154C">
      <w:pPr>
        <w:pStyle w:val="3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14:paraId="2B9A4EAA">
      <w:pPr>
        <w:pStyle w:val="3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不属于大企业的分支机构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不存在控股股东为大企业的情形，也不存在与大企业的负责人为同一人的情形。</w:t>
      </w:r>
    </w:p>
    <w:p w14:paraId="39CFD38F">
      <w:pPr>
        <w:pStyle w:val="3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如有虚假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将依法承担相应责任。</w:t>
      </w:r>
    </w:p>
    <w:p w14:paraId="4CACED07">
      <w:pPr>
        <w:pStyle w:val="37"/>
        <w:spacing w:line="360" w:lineRule="auto"/>
        <w:ind w:firstLine="480" w:firstLineChars="200"/>
        <w:rPr>
          <w:rFonts w:hint="eastAsia" w:ascii="宋体" w:hAnsi="宋体" w:eastAsia="宋体" w:cs="宋体"/>
          <w:sz w:val="24"/>
          <w:szCs w:val="24"/>
          <w:highlight w:val="none"/>
        </w:rPr>
      </w:pPr>
    </w:p>
    <w:p w14:paraId="74FEBEE6">
      <w:pPr>
        <w:pStyle w:val="37"/>
        <w:spacing w:line="360" w:lineRule="auto"/>
        <w:ind w:firstLine="480" w:firstLineChars="200"/>
        <w:rPr>
          <w:rFonts w:hint="eastAsia" w:ascii="宋体" w:hAnsi="宋体" w:eastAsia="宋体" w:cs="宋体"/>
          <w:sz w:val="24"/>
          <w:szCs w:val="24"/>
          <w:highlight w:val="none"/>
        </w:rPr>
      </w:pPr>
    </w:p>
    <w:p w14:paraId="029232A6">
      <w:pPr>
        <w:pStyle w:val="37"/>
        <w:spacing w:line="360" w:lineRule="auto"/>
        <w:ind w:firstLine="480" w:firstLineChars="200"/>
        <w:rPr>
          <w:rFonts w:hint="eastAsia" w:ascii="宋体" w:hAnsi="宋体" w:eastAsia="宋体" w:cs="宋体"/>
          <w:sz w:val="24"/>
          <w:szCs w:val="24"/>
          <w:highlight w:val="none"/>
        </w:rPr>
      </w:pPr>
    </w:p>
    <w:p w14:paraId="566B2C07">
      <w:pPr>
        <w:pStyle w:val="37"/>
        <w:spacing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企业名称 </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盖章</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 xml:space="preserve"> ：</w:t>
      </w:r>
    </w:p>
    <w:p w14:paraId="7F09F57C">
      <w:pPr>
        <w:pStyle w:val="37"/>
        <w:spacing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 期 ：</w:t>
      </w:r>
    </w:p>
    <w:p w14:paraId="4E3DE2CF">
      <w:pPr>
        <w:pStyle w:val="37"/>
        <w:spacing w:line="360" w:lineRule="auto"/>
        <w:ind w:firstLine="480" w:firstLineChars="200"/>
        <w:rPr>
          <w:rFonts w:hint="eastAsia" w:ascii="宋体" w:hAnsi="宋体" w:eastAsia="宋体" w:cs="宋体"/>
          <w:sz w:val="24"/>
          <w:szCs w:val="24"/>
          <w:highlight w:val="none"/>
        </w:rPr>
      </w:pPr>
    </w:p>
    <w:p w14:paraId="7DBE117A">
      <w:pPr>
        <w:pStyle w:val="37"/>
        <w:spacing w:line="360" w:lineRule="auto"/>
        <w:ind w:firstLine="480" w:firstLineChars="200"/>
        <w:rPr>
          <w:rFonts w:hint="eastAsia" w:ascii="宋体" w:hAnsi="宋体" w:eastAsia="宋体" w:cs="宋体"/>
          <w:sz w:val="24"/>
          <w:szCs w:val="24"/>
          <w:highlight w:val="none"/>
        </w:rPr>
      </w:pPr>
    </w:p>
    <w:p w14:paraId="7E867F84">
      <w:pPr>
        <w:pStyle w:val="3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r>
        <w:rPr>
          <w:rFonts w:hint="eastAsia" w:ascii="宋体" w:hAnsi="宋体" w:cs="宋体"/>
          <w:sz w:val="24"/>
          <w:szCs w:val="24"/>
          <w:highlight w:val="none"/>
          <w:lang w:eastAsia="zh-CN"/>
        </w:rPr>
        <w:t>：</w:t>
      </w:r>
    </w:p>
    <w:p w14:paraId="71996835">
      <w:pPr>
        <w:pStyle w:val="37"/>
        <w:spacing w:line="360" w:lineRule="auto"/>
        <w:ind w:firstLine="480" w:firstLineChars="200"/>
        <w:rPr>
          <w:rFonts w:hint="eastAsia" w:eastAsia="宋体"/>
          <w:highlight w:val="none"/>
          <w:lang w:eastAsia="zh-CN"/>
        </w:rPr>
        <w:sectPr>
          <w:footerReference r:id="rId10" w:type="default"/>
          <w:pgSz w:w="11910" w:h="16840"/>
          <w:pgMar w:top="715" w:right="1729" w:bottom="558" w:left="1131" w:header="113" w:footer="398" w:gutter="0"/>
          <w:pgNumType w:fmt="decimal"/>
          <w:cols w:space="720" w:num="1"/>
        </w:sectPr>
      </w:pPr>
      <w:r>
        <w:rPr>
          <w:rFonts w:hint="eastAsia" w:ascii="宋体" w:hAnsi="宋体" w:eastAsia="宋体" w:cs="宋体"/>
          <w:sz w:val="24"/>
          <w:szCs w:val="24"/>
          <w:highlight w:val="none"/>
        </w:rPr>
        <w:t>从业人员、营业收入、资产总额填报上一年度数据，无上一年度数据的新成立企业可不填报</w:t>
      </w:r>
      <w:r>
        <w:rPr>
          <w:rFonts w:hint="eastAsia" w:ascii="宋体" w:hAnsi="宋体" w:eastAsia="宋体" w:cs="宋体"/>
          <w:sz w:val="24"/>
          <w:szCs w:val="24"/>
          <w:highlight w:val="none"/>
          <w:lang w:eastAsia="zh-CN"/>
        </w:rPr>
        <w:t>。</w:t>
      </w:r>
    </w:p>
    <w:p w14:paraId="4126B90B">
      <w:pPr>
        <w:pStyle w:val="32"/>
        <w:ind w:firstLine="321" w:firstLineChars="100"/>
        <w:jc w:val="center"/>
        <w:rPr>
          <w:rFonts w:hint="eastAsia" w:ascii="宋体" w:hAnsi="宋体" w:eastAsia="宋体" w:cs="宋体"/>
          <w:b/>
          <w:bCs/>
          <w:sz w:val="32"/>
          <w:szCs w:val="21"/>
          <w:highlight w:val="none"/>
          <w:lang w:eastAsia="zh-CN"/>
        </w:rPr>
      </w:pPr>
      <w:bookmarkStart w:id="633" w:name="_Toc229305424"/>
      <w:bookmarkStart w:id="634" w:name="_Toc168476324"/>
      <w:bookmarkStart w:id="635" w:name="_Toc222032733"/>
      <w:bookmarkStart w:id="636" w:name="_Toc221952052"/>
      <w:bookmarkStart w:id="637" w:name="_Toc222033915"/>
      <w:bookmarkStart w:id="638" w:name="_Toc222031066"/>
      <w:bookmarkStart w:id="639" w:name="_Toc168475921"/>
      <w:bookmarkStart w:id="640" w:name="_Toc222029564"/>
      <w:bookmarkStart w:id="641" w:name="_Toc229408545"/>
      <w:r>
        <w:rPr>
          <w:rFonts w:hint="eastAsia" w:ascii="宋体" w:hAnsi="宋体" w:eastAsia="宋体" w:cs="宋体"/>
          <w:b/>
          <w:bCs/>
          <w:sz w:val="32"/>
          <w:szCs w:val="21"/>
          <w:highlight w:val="none"/>
          <w:lang w:eastAsia="zh-CN"/>
        </w:rPr>
        <w:t>三</w:t>
      </w:r>
      <w:r>
        <w:rPr>
          <w:rFonts w:hint="eastAsia" w:ascii="宋体" w:hAnsi="宋体" w:eastAsia="宋体" w:cs="宋体"/>
          <w:b/>
          <w:bCs/>
          <w:sz w:val="32"/>
          <w:szCs w:val="21"/>
          <w:highlight w:val="none"/>
        </w:rPr>
        <w:t>、</w:t>
      </w:r>
      <w:bookmarkEnd w:id="633"/>
      <w:bookmarkEnd w:id="634"/>
      <w:bookmarkEnd w:id="635"/>
      <w:bookmarkEnd w:id="636"/>
      <w:bookmarkEnd w:id="637"/>
      <w:bookmarkEnd w:id="638"/>
      <w:bookmarkEnd w:id="639"/>
      <w:bookmarkEnd w:id="640"/>
      <w:bookmarkEnd w:id="641"/>
      <w:r>
        <w:rPr>
          <w:rFonts w:hint="eastAsia" w:ascii="宋体" w:hAnsi="宋体" w:eastAsia="宋体" w:cs="宋体"/>
          <w:b/>
          <w:bCs/>
          <w:sz w:val="32"/>
          <w:szCs w:val="21"/>
          <w:highlight w:val="none"/>
          <w:lang w:eastAsia="zh-CN"/>
        </w:rPr>
        <w:t>磋商保证金</w:t>
      </w:r>
    </w:p>
    <w:p w14:paraId="7EF97EA3">
      <w:pPr>
        <w:spacing w:line="440" w:lineRule="exact"/>
        <w:ind w:firstLine="480" w:firstLineChars="200"/>
        <w:rPr>
          <w:rFonts w:hint="eastAsia" w:ascii="宋体" w:hAnsi="宋体" w:eastAsia="宋体" w:cs="宋体"/>
          <w:sz w:val="24"/>
          <w:szCs w:val="20"/>
          <w:highlight w:val="none"/>
        </w:rPr>
      </w:pPr>
    </w:p>
    <w:p w14:paraId="7F0763C9">
      <w:pPr>
        <w:spacing w:line="440" w:lineRule="exact"/>
        <w:ind w:firstLine="480" w:firstLineChars="200"/>
        <w:jc w:val="center"/>
        <w:rPr>
          <w:rFonts w:hint="eastAsia" w:ascii="宋体" w:hAnsi="宋体" w:eastAsia="宋体" w:cs="宋体"/>
          <w:sz w:val="24"/>
          <w:szCs w:val="20"/>
          <w:highlight w:val="none"/>
        </w:rPr>
      </w:pPr>
      <w:r>
        <w:rPr>
          <w:rFonts w:hint="eastAsia" w:ascii="宋体" w:hAnsi="宋体" w:cs="宋体"/>
          <w:sz w:val="24"/>
          <w:szCs w:val="20"/>
          <w:highlight w:val="none"/>
          <w:lang w:eastAsia="zh-CN"/>
        </w:rPr>
        <w:t>磋商保证金</w:t>
      </w:r>
      <w:r>
        <w:rPr>
          <w:rFonts w:hint="eastAsia" w:ascii="宋体" w:hAnsi="宋体" w:eastAsia="宋体" w:cs="宋体"/>
          <w:sz w:val="24"/>
          <w:szCs w:val="20"/>
          <w:highlight w:val="none"/>
        </w:rPr>
        <w:t>缴纳凭证复印件</w:t>
      </w:r>
    </w:p>
    <w:p w14:paraId="516EFFEB">
      <w:pPr>
        <w:spacing w:line="440" w:lineRule="exact"/>
        <w:rPr>
          <w:rFonts w:hint="eastAsia" w:ascii="宋体" w:hAnsi="宋体" w:eastAsia="宋体" w:cs="宋体"/>
          <w:sz w:val="20"/>
          <w:szCs w:val="20"/>
          <w:highlight w:val="none"/>
        </w:rPr>
      </w:pPr>
    </w:p>
    <w:p w14:paraId="2BC0D937">
      <w:pPr>
        <w:spacing w:line="440" w:lineRule="exact"/>
        <w:rPr>
          <w:rFonts w:hint="eastAsia" w:ascii="宋体" w:hAnsi="宋体" w:eastAsia="宋体" w:cs="宋体"/>
          <w:sz w:val="20"/>
          <w:szCs w:val="20"/>
          <w:highlight w:val="none"/>
        </w:rPr>
      </w:pPr>
    </w:p>
    <w:p w14:paraId="3BA6F2E4">
      <w:pPr>
        <w:spacing w:line="440" w:lineRule="exact"/>
        <w:rPr>
          <w:rFonts w:hint="eastAsia" w:ascii="宋体" w:hAnsi="宋体" w:eastAsia="宋体" w:cs="宋体"/>
          <w:sz w:val="20"/>
          <w:szCs w:val="20"/>
          <w:highlight w:val="none"/>
        </w:rPr>
      </w:pPr>
    </w:p>
    <w:p w14:paraId="4E298E85">
      <w:pPr>
        <w:spacing w:line="440" w:lineRule="exact"/>
        <w:rPr>
          <w:rFonts w:hint="eastAsia" w:ascii="宋体" w:hAnsi="宋体" w:eastAsia="宋体" w:cs="宋体"/>
          <w:sz w:val="20"/>
          <w:szCs w:val="20"/>
          <w:highlight w:val="none"/>
        </w:rPr>
      </w:pPr>
    </w:p>
    <w:p w14:paraId="0CF86B1B">
      <w:pPr>
        <w:spacing w:line="440" w:lineRule="exact"/>
        <w:rPr>
          <w:rFonts w:hint="eastAsia" w:ascii="宋体" w:hAnsi="宋体" w:eastAsia="宋体" w:cs="宋体"/>
          <w:sz w:val="20"/>
          <w:szCs w:val="20"/>
          <w:highlight w:val="none"/>
        </w:rPr>
      </w:pPr>
    </w:p>
    <w:p w14:paraId="46C919B9">
      <w:pPr>
        <w:spacing w:line="440" w:lineRule="exact"/>
        <w:rPr>
          <w:rFonts w:hint="eastAsia" w:ascii="宋体" w:hAnsi="宋体" w:eastAsia="宋体" w:cs="宋体"/>
          <w:sz w:val="20"/>
          <w:szCs w:val="20"/>
          <w:highlight w:val="none"/>
        </w:rPr>
      </w:pPr>
    </w:p>
    <w:p w14:paraId="057B7FE8">
      <w:pPr>
        <w:spacing w:line="440" w:lineRule="exact"/>
        <w:rPr>
          <w:rFonts w:hint="eastAsia" w:ascii="宋体" w:hAnsi="宋体" w:eastAsia="宋体" w:cs="宋体"/>
          <w:sz w:val="20"/>
          <w:szCs w:val="20"/>
          <w:highlight w:val="none"/>
        </w:rPr>
      </w:pPr>
    </w:p>
    <w:p w14:paraId="09FA12CC">
      <w:pPr>
        <w:spacing w:line="440" w:lineRule="exact"/>
        <w:rPr>
          <w:rFonts w:hint="eastAsia" w:ascii="宋体" w:hAnsi="宋体" w:eastAsia="宋体" w:cs="宋体"/>
          <w:sz w:val="20"/>
          <w:szCs w:val="20"/>
          <w:highlight w:val="none"/>
        </w:rPr>
      </w:pPr>
    </w:p>
    <w:p w14:paraId="258D180C">
      <w:pPr>
        <w:spacing w:line="440" w:lineRule="exact"/>
        <w:rPr>
          <w:rFonts w:hint="eastAsia" w:ascii="宋体" w:hAnsi="宋体" w:eastAsia="宋体" w:cs="宋体"/>
          <w:sz w:val="20"/>
          <w:szCs w:val="20"/>
          <w:highlight w:val="none"/>
        </w:rPr>
      </w:pPr>
    </w:p>
    <w:p w14:paraId="3B9715F0">
      <w:pPr>
        <w:spacing w:line="440" w:lineRule="exact"/>
        <w:rPr>
          <w:rFonts w:hint="eastAsia" w:ascii="宋体" w:hAnsi="宋体" w:eastAsia="宋体" w:cs="宋体"/>
          <w:sz w:val="20"/>
          <w:szCs w:val="20"/>
          <w:highlight w:val="none"/>
        </w:rPr>
      </w:pPr>
    </w:p>
    <w:p w14:paraId="63F46D46">
      <w:pPr>
        <w:spacing w:line="440" w:lineRule="exact"/>
        <w:rPr>
          <w:rFonts w:hint="eastAsia" w:ascii="宋体" w:hAnsi="宋体" w:eastAsia="宋体" w:cs="宋体"/>
          <w:sz w:val="20"/>
          <w:szCs w:val="20"/>
          <w:highlight w:val="none"/>
        </w:rPr>
      </w:pPr>
    </w:p>
    <w:p w14:paraId="2F67AA1A">
      <w:pPr>
        <w:spacing w:line="440" w:lineRule="exact"/>
        <w:rPr>
          <w:rFonts w:hint="eastAsia" w:ascii="宋体" w:hAnsi="宋体" w:eastAsia="宋体" w:cs="宋体"/>
          <w:sz w:val="20"/>
          <w:szCs w:val="20"/>
          <w:highlight w:val="none"/>
        </w:rPr>
      </w:pPr>
    </w:p>
    <w:p w14:paraId="68815DE3">
      <w:pPr>
        <w:spacing w:line="440" w:lineRule="exact"/>
        <w:rPr>
          <w:rFonts w:hint="eastAsia" w:ascii="宋体" w:hAnsi="宋体" w:eastAsia="宋体" w:cs="宋体"/>
          <w:sz w:val="20"/>
          <w:szCs w:val="20"/>
          <w:highlight w:val="none"/>
        </w:rPr>
      </w:pPr>
    </w:p>
    <w:p w14:paraId="6D1B6833">
      <w:pPr>
        <w:spacing w:line="440" w:lineRule="exact"/>
        <w:rPr>
          <w:rFonts w:hint="eastAsia" w:ascii="宋体" w:hAnsi="宋体" w:eastAsia="宋体" w:cs="宋体"/>
          <w:sz w:val="20"/>
          <w:szCs w:val="20"/>
          <w:highlight w:val="none"/>
        </w:rPr>
      </w:pPr>
    </w:p>
    <w:p w14:paraId="5A2C543D">
      <w:pPr>
        <w:spacing w:line="440" w:lineRule="exact"/>
        <w:rPr>
          <w:rFonts w:hint="eastAsia" w:ascii="宋体" w:hAnsi="宋体" w:eastAsia="宋体" w:cs="宋体"/>
          <w:sz w:val="20"/>
          <w:szCs w:val="20"/>
          <w:highlight w:val="none"/>
        </w:rPr>
      </w:pPr>
    </w:p>
    <w:p w14:paraId="59737D37">
      <w:pPr>
        <w:spacing w:line="440" w:lineRule="exact"/>
        <w:rPr>
          <w:rFonts w:hint="eastAsia" w:ascii="宋体" w:hAnsi="宋体" w:eastAsia="宋体" w:cs="宋体"/>
          <w:sz w:val="20"/>
          <w:szCs w:val="20"/>
          <w:highlight w:val="none"/>
        </w:rPr>
      </w:pPr>
    </w:p>
    <w:p w14:paraId="1E6A8EC2">
      <w:pPr>
        <w:spacing w:line="440" w:lineRule="exact"/>
        <w:rPr>
          <w:rFonts w:hint="eastAsia" w:ascii="宋体" w:hAnsi="宋体" w:eastAsia="宋体" w:cs="宋体"/>
          <w:sz w:val="20"/>
          <w:szCs w:val="20"/>
          <w:highlight w:val="none"/>
        </w:rPr>
      </w:pPr>
    </w:p>
    <w:p w14:paraId="188348A3">
      <w:pPr>
        <w:spacing w:line="440" w:lineRule="exact"/>
        <w:rPr>
          <w:rFonts w:hint="eastAsia" w:ascii="宋体" w:hAnsi="宋体" w:eastAsia="宋体" w:cs="宋体"/>
          <w:sz w:val="20"/>
          <w:szCs w:val="20"/>
          <w:highlight w:val="none"/>
        </w:rPr>
      </w:pPr>
    </w:p>
    <w:p w14:paraId="6D496B93">
      <w:pPr>
        <w:spacing w:line="440" w:lineRule="exact"/>
        <w:rPr>
          <w:rFonts w:hint="eastAsia" w:ascii="宋体" w:hAnsi="宋体" w:eastAsia="宋体" w:cs="宋体"/>
          <w:sz w:val="20"/>
          <w:szCs w:val="20"/>
          <w:highlight w:val="none"/>
        </w:rPr>
      </w:pPr>
    </w:p>
    <w:p w14:paraId="317FAF53">
      <w:pPr>
        <w:spacing w:line="440" w:lineRule="exact"/>
        <w:rPr>
          <w:rFonts w:hint="eastAsia" w:ascii="宋体" w:hAnsi="宋体" w:eastAsia="宋体" w:cs="宋体"/>
          <w:highlight w:val="none"/>
        </w:rPr>
      </w:pPr>
      <w:bookmarkStart w:id="642" w:name="_Toc144974863"/>
      <w:bookmarkStart w:id="643" w:name="_Toc222029565"/>
      <w:bookmarkStart w:id="644" w:name="_Toc221952063"/>
      <w:bookmarkStart w:id="645" w:name="_Toc168476325"/>
      <w:bookmarkStart w:id="646" w:name="_Toc222031067"/>
      <w:bookmarkStart w:id="647" w:name="_Toc168475922"/>
    </w:p>
    <w:p w14:paraId="11E1A7F4">
      <w:pPr>
        <w:spacing w:line="440" w:lineRule="exact"/>
        <w:rPr>
          <w:rFonts w:hint="eastAsia" w:ascii="宋体" w:hAnsi="宋体" w:eastAsia="宋体" w:cs="宋体"/>
          <w:highlight w:val="none"/>
        </w:rPr>
      </w:pPr>
    </w:p>
    <w:p w14:paraId="5EAACE0D">
      <w:pPr>
        <w:spacing w:line="440" w:lineRule="exact"/>
        <w:rPr>
          <w:rFonts w:hint="eastAsia" w:ascii="宋体" w:hAnsi="宋体" w:eastAsia="宋体" w:cs="宋体"/>
          <w:highlight w:val="none"/>
        </w:rPr>
      </w:pPr>
    </w:p>
    <w:p w14:paraId="79704598">
      <w:pPr>
        <w:spacing w:line="440" w:lineRule="exact"/>
        <w:rPr>
          <w:rFonts w:hint="eastAsia" w:ascii="宋体" w:hAnsi="宋体" w:eastAsia="宋体" w:cs="宋体"/>
          <w:highlight w:val="none"/>
        </w:rPr>
      </w:pPr>
    </w:p>
    <w:p w14:paraId="519ACD4A">
      <w:pPr>
        <w:spacing w:line="440" w:lineRule="exact"/>
        <w:rPr>
          <w:rFonts w:hint="eastAsia" w:ascii="宋体" w:hAnsi="宋体" w:eastAsia="宋体" w:cs="宋体"/>
          <w:highlight w:val="none"/>
        </w:rPr>
      </w:pPr>
    </w:p>
    <w:p w14:paraId="0C081EDE">
      <w:pPr>
        <w:spacing w:line="440" w:lineRule="exact"/>
        <w:rPr>
          <w:rFonts w:hint="eastAsia" w:ascii="宋体" w:hAnsi="宋体" w:eastAsia="宋体" w:cs="宋体"/>
          <w:highlight w:val="none"/>
        </w:rPr>
      </w:pPr>
    </w:p>
    <w:p w14:paraId="43C78A96">
      <w:pPr>
        <w:spacing w:line="440" w:lineRule="exact"/>
        <w:rPr>
          <w:rFonts w:hint="eastAsia" w:ascii="宋体" w:hAnsi="宋体" w:eastAsia="宋体" w:cs="宋体"/>
          <w:highlight w:val="none"/>
        </w:rPr>
      </w:pPr>
    </w:p>
    <w:p w14:paraId="6FF75DCF">
      <w:pPr>
        <w:spacing w:line="440" w:lineRule="exact"/>
        <w:rPr>
          <w:rFonts w:hint="eastAsia" w:ascii="宋体" w:hAnsi="宋体" w:eastAsia="宋体" w:cs="宋体"/>
          <w:highlight w:val="none"/>
        </w:rPr>
      </w:pPr>
    </w:p>
    <w:p w14:paraId="649F7620">
      <w:pPr>
        <w:pStyle w:val="19"/>
        <w:rPr>
          <w:rFonts w:hint="eastAsia" w:ascii="宋体" w:hAnsi="宋体" w:eastAsia="宋体" w:cs="宋体"/>
          <w:highlight w:val="none"/>
        </w:rPr>
      </w:pPr>
    </w:p>
    <w:p w14:paraId="43ADB43C">
      <w:pPr>
        <w:pStyle w:val="19"/>
        <w:rPr>
          <w:rFonts w:hint="eastAsia" w:ascii="宋体" w:hAnsi="宋体" w:eastAsia="宋体" w:cs="宋体"/>
          <w:highlight w:val="none"/>
        </w:rPr>
      </w:pPr>
    </w:p>
    <w:bookmarkEnd w:id="642"/>
    <w:bookmarkEnd w:id="643"/>
    <w:bookmarkEnd w:id="644"/>
    <w:bookmarkEnd w:id="645"/>
    <w:bookmarkEnd w:id="646"/>
    <w:bookmarkEnd w:id="647"/>
    <w:p w14:paraId="449F9F96">
      <w:pPr>
        <w:pStyle w:val="32"/>
        <w:jc w:val="center"/>
        <w:rPr>
          <w:rFonts w:hint="eastAsia" w:ascii="宋体" w:hAnsi="宋体" w:eastAsia="宋体" w:cs="宋体"/>
          <w:b/>
          <w:bCs/>
          <w:sz w:val="32"/>
          <w:szCs w:val="21"/>
          <w:highlight w:val="none"/>
          <w:lang w:eastAsia="zh-CN"/>
        </w:rPr>
      </w:pPr>
    </w:p>
    <w:p w14:paraId="6660ED29">
      <w:pPr>
        <w:pStyle w:val="32"/>
        <w:numPr>
          <w:ilvl w:val="0"/>
          <w:numId w:val="19"/>
        </w:numPr>
        <w:jc w:val="center"/>
        <w:rPr>
          <w:rFonts w:hint="eastAsia" w:ascii="宋体" w:hAnsi="宋体" w:eastAsia="宋体" w:cs="宋体"/>
          <w:b/>
          <w:bCs/>
          <w:sz w:val="32"/>
          <w:szCs w:val="21"/>
          <w:highlight w:val="none"/>
          <w:lang w:eastAsia="zh-CN"/>
        </w:rPr>
      </w:pPr>
      <w:r>
        <w:rPr>
          <w:rFonts w:hint="eastAsia" w:ascii="宋体" w:hAnsi="宋体" w:eastAsia="宋体" w:cs="宋体"/>
          <w:b/>
          <w:bCs/>
          <w:sz w:val="32"/>
          <w:szCs w:val="21"/>
          <w:highlight w:val="none"/>
          <w:lang w:eastAsia="zh-CN"/>
        </w:rPr>
        <w:t>项目拟派人员情况表</w:t>
      </w:r>
    </w:p>
    <w:p w14:paraId="0AE84A75">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                      项目名称：</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89"/>
        <w:gridCol w:w="916"/>
        <w:gridCol w:w="873"/>
        <w:gridCol w:w="829"/>
        <w:gridCol w:w="917"/>
        <w:gridCol w:w="1222"/>
        <w:gridCol w:w="2187"/>
      </w:tblGrid>
      <w:tr w14:paraId="6ECF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vAlign w:val="center"/>
          </w:tcPr>
          <w:p w14:paraId="507FF2A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989" w:type="dxa"/>
            <w:vAlign w:val="center"/>
          </w:tcPr>
          <w:p w14:paraId="252E290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16" w:type="dxa"/>
            <w:vAlign w:val="center"/>
          </w:tcPr>
          <w:p w14:paraId="27F5B08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年龄</w:t>
            </w:r>
          </w:p>
        </w:tc>
        <w:tc>
          <w:tcPr>
            <w:tcW w:w="873" w:type="dxa"/>
            <w:vAlign w:val="center"/>
          </w:tcPr>
          <w:p w14:paraId="31350B7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829" w:type="dxa"/>
            <w:vAlign w:val="center"/>
          </w:tcPr>
          <w:p w14:paraId="56FBF64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学历</w:t>
            </w:r>
          </w:p>
        </w:tc>
        <w:tc>
          <w:tcPr>
            <w:tcW w:w="917" w:type="dxa"/>
            <w:vAlign w:val="center"/>
          </w:tcPr>
          <w:p w14:paraId="3A9E6DB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222" w:type="dxa"/>
            <w:vAlign w:val="center"/>
          </w:tcPr>
          <w:p w14:paraId="36FD573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2187" w:type="dxa"/>
            <w:vAlign w:val="center"/>
          </w:tcPr>
          <w:p w14:paraId="6D224BE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在本项目拟任职务</w:t>
            </w:r>
          </w:p>
        </w:tc>
      </w:tr>
      <w:tr w14:paraId="4A57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0A4DAD83">
            <w:pPr>
              <w:spacing w:line="360" w:lineRule="auto"/>
              <w:rPr>
                <w:rFonts w:hint="eastAsia" w:ascii="宋体" w:hAnsi="宋体" w:eastAsia="宋体" w:cs="宋体"/>
                <w:sz w:val="24"/>
                <w:szCs w:val="24"/>
                <w:highlight w:val="none"/>
              </w:rPr>
            </w:pPr>
          </w:p>
        </w:tc>
        <w:tc>
          <w:tcPr>
            <w:tcW w:w="989" w:type="dxa"/>
            <w:vAlign w:val="center"/>
          </w:tcPr>
          <w:p w14:paraId="671158FF">
            <w:pPr>
              <w:spacing w:line="360" w:lineRule="auto"/>
              <w:rPr>
                <w:rFonts w:hint="eastAsia" w:ascii="宋体" w:hAnsi="宋体" w:eastAsia="宋体" w:cs="宋体"/>
                <w:sz w:val="24"/>
                <w:szCs w:val="24"/>
                <w:highlight w:val="none"/>
              </w:rPr>
            </w:pPr>
          </w:p>
        </w:tc>
        <w:tc>
          <w:tcPr>
            <w:tcW w:w="916" w:type="dxa"/>
            <w:vAlign w:val="center"/>
          </w:tcPr>
          <w:p w14:paraId="001E43A7">
            <w:pPr>
              <w:spacing w:line="360" w:lineRule="auto"/>
              <w:rPr>
                <w:rFonts w:hint="eastAsia" w:ascii="宋体" w:hAnsi="宋体" w:eastAsia="宋体" w:cs="宋体"/>
                <w:sz w:val="24"/>
                <w:szCs w:val="24"/>
                <w:highlight w:val="none"/>
              </w:rPr>
            </w:pPr>
          </w:p>
        </w:tc>
        <w:tc>
          <w:tcPr>
            <w:tcW w:w="873" w:type="dxa"/>
            <w:vAlign w:val="center"/>
          </w:tcPr>
          <w:p w14:paraId="28332359">
            <w:pPr>
              <w:spacing w:line="360" w:lineRule="auto"/>
              <w:rPr>
                <w:rFonts w:hint="eastAsia" w:ascii="宋体" w:hAnsi="宋体" w:eastAsia="宋体" w:cs="宋体"/>
                <w:sz w:val="24"/>
                <w:szCs w:val="24"/>
                <w:highlight w:val="none"/>
              </w:rPr>
            </w:pPr>
          </w:p>
        </w:tc>
        <w:tc>
          <w:tcPr>
            <w:tcW w:w="829" w:type="dxa"/>
            <w:vAlign w:val="center"/>
          </w:tcPr>
          <w:p w14:paraId="21AB4CAF">
            <w:pPr>
              <w:spacing w:line="360" w:lineRule="auto"/>
              <w:rPr>
                <w:rFonts w:hint="eastAsia" w:ascii="宋体" w:hAnsi="宋体" w:eastAsia="宋体" w:cs="宋体"/>
                <w:sz w:val="24"/>
                <w:szCs w:val="24"/>
                <w:highlight w:val="none"/>
              </w:rPr>
            </w:pPr>
          </w:p>
        </w:tc>
        <w:tc>
          <w:tcPr>
            <w:tcW w:w="917" w:type="dxa"/>
            <w:vAlign w:val="center"/>
          </w:tcPr>
          <w:p w14:paraId="6DFDA4CB">
            <w:pPr>
              <w:spacing w:line="360" w:lineRule="auto"/>
              <w:rPr>
                <w:rFonts w:hint="eastAsia" w:ascii="宋体" w:hAnsi="宋体" w:eastAsia="宋体" w:cs="宋体"/>
                <w:sz w:val="24"/>
                <w:szCs w:val="24"/>
                <w:highlight w:val="none"/>
              </w:rPr>
            </w:pPr>
          </w:p>
        </w:tc>
        <w:tc>
          <w:tcPr>
            <w:tcW w:w="1222" w:type="dxa"/>
            <w:vAlign w:val="center"/>
          </w:tcPr>
          <w:p w14:paraId="2FA9289B">
            <w:pPr>
              <w:spacing w:line="360" w:lineRule="auto"/>
              <w:rPr>
                <w:rFonts w:hint="eastAsia" w:ascii="宋体" w:hAnsi="宋体" w:eastAsia="宋体" w:cs="宋体"/>
                <w:sz w:val="24"/>
                <w:szCs w:val="24"/>
                <w:highlight w:val="none"/>
              </w:rPr>
            </w:pPr>
          </w:p>
        </w:tc>
        <w:tc>
          <w:tcPr>
            <w:tcW w:w="2187" w:type="dxa"/>
            <w:vAlign w:val="center"/>
          </w:tcPr>
          <w:p w14:paraId="3E977536">
            <w:pPr>
              <w:spacing w:line="360" w:lineRule="auto"/>
              <w:rPr>
                <w:rFonts w:hint="eastAsia" w:ascii="宋体" w:hAnsi="宋体" w:eastAsia="宋体" w:cs="宋体"/>
                <w:sz w:val="24"/>
                <w:szCs w:val="24"/>
                <w:highlight w:val="none"/>
              </w:rPr>
            </w:pPr>
          </w:p>
        </w:tc>
      </w:tr>
      <w:tr w14:paraId="6A2E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1B4ADC59">
            <w:pPr>
              <w:spacing w:line="360" w:lineRule="auto"/>
              <w:rPr>
                <w:rFonts w:hint="eastAsia" w:ascii="宋体" w:hAnsi="宋体" w:eastAsia="宋体" w:cs="宋体"/>
                <w:sz w:val="24"/>
                <w:szCs w:val="24"/>
                <w:highlight w:val="none"/>
              </w:rPr>
            </w:pPr>
          </w:p>
        </w:tc>
        <w:tc>
          <w:tcPr>
            <w:tcW w:w="989" w:type="dxa"/>
            <w:vAlign w:val="center"/>
          </w:tcPr>
          <w:p w14:paraId="25378F30">
            <w:pPr>
              <w:spacing w:line="360" w:lineRule="auto"/>
              <w:rPr>
                <w:rFonts w:hint="eastAsia" w:ascii="宋体" w:hAnsi="宋体" w:eastAsia="宋体" w:cs="宋体"/>
                <w:sz w:val="24"/>
                <w:szCs w:val="24"/>
                <w:highlight w:val="none"/>
              </w:rPr>
            </w:pPr>
          </w:p>
        </w:tc>
        <w:tc>
          <w:tcPr>
            <w:tcW w:w="916" w:type="dxa"/>
            <w:vAlign w:val="center"/>
          </w:tcPr>
          <w:p w14:paraId="279DFB8C">
            <w:pPr>
              <w:spacing w:line="360" w:lineRule="auto"/>
              <w:rPr>
                <w:rFonts w:hint="eastAsia" w:ascii="宋体" w:hAnsi="宋体" w:eastAsia="宋体" w:cs="宋体"/>
                <w:sz w:val="24"/>
                <w:szCs w:val="24"/>
                <w:highlight w:val="none"/>
              </w:rPr>
            </w:pPr>
          </w:p>
        </w:tc>
        <w:tc>
          <w:tcPr>
            <w:tcW w:w="873" w:type="dxa"/>
            <w:vAlign w:val="center"/>
          </w:tcPr>
          <w:p w14:paraId="4C7FDF6B">
            <w:pPr>
              <w:spacing w:line="360" w:lineRule="auto"/>
              <w:rPr>
                <w:rFonts w:hint="eastAsia" w:ascii="宋体" w:hAnsi="宋体" w:eastAsia="宋体" w:cs="宋体"/>
                <w:sz w:val="24"/>
                <w:szCs w:val="24"/>
                <w:highlight w:val="none"/>
              </w:rPr>
            </w:pPr>
          </w:p>
        </w:tc>
        <w:tc>
          <w:tcPr>
            <w:tcW w:w="829" w:type="dxa"/>
            <w:vAlign w:val="center"/>
          </w:tcPr>
          <w:p w14:paraId="158B6AAC">
            <w:pPr>
              <w:spacing w:line="360" w:lineRule="auto"/>
              <w:rPr>
                <w:rFonts w:hint="eastAsia" w:ascii="宋体" w:hAnsi="宋体" w:eastAsia="宋体" w:cs="宋体"/>
                <w:sz w:val="24"/>
                <w:szCs w:val="24"/>
                <w:highlight w:val="none"/>
              </w:rPr>
            </w:pPr>
          </w:p>
        </w:tc>
        <w:tc>
          <w:tcPr>
            <w:tcW w:w="917" w:type="dxa"/>
            <w:vAlign w:val="center"/>
          </w:tcPr>
          <w:p w14:paraId="53034C82">
            <w:pPr>
              <w:spacing w:line="360" w:lineRule="auto"/>
              <w:rPr>
                <w:rFonts w:hint="eastAsia" w:ascii="宋体" w:hAnsi="宋体" w:eastAsia="宋体" w:cs="宋体"/>
                <w:sz w:val="24"/>
                <w:szCs w:val="24"/>
                <w:highlight w:val="none"/>
              </w:rPr>
            </w:pPr>
          </w:p>
        </w:tc>
        <w:tc>
          <w:tcPr>
            <w:tcW w:w="1222" w:type="dxa"/>
            <w:vAlign w:val="center"/>
          </w:tcPr>
          <w:p w14:paraId="3A7DD2D7">
            <w:pPr>
              <w:spacing w:line="360" w:lineRule="auto"/>
              <w:rPr>
                <w:rFonts w:hint="eastAsia" w:ascii="宋体" w:hAnsi="宋体" w:eastAsia="宋体" w:cs="宋体"/>
                <w:sz w:val="24"/>
                <w:szCs w:val="24"/>
                <w:highlight w:val="none"/>
              </w:rPr>
            </w:pPr>
          </w:p>
        </w:tc>
        <w:tc>
          <w:tcPr>
            <w:tcW w:w="2187" w:type="dxa"/>
            <w:vAlign w:val="center"/>
          </w:tcPr>
          <w:p w14:paraId="18BA59F0">
            <w:pPr>
              <w:spacing w:line="360" w:lineRule="auto"/>
              <w:rPr>
                <w:rFonts w:hint="eastAsia" w:ascii="宋体" w:hAnsi="宋体" w:eastAsia="宋体" w:cs="宋体"/>
                <w:sz w:val="24"/>
                <w:szCs w:val="24"/>
                <w:highlight w:val="none"/>
              </w:rPr>
            </w:pPr>
          </w:p>
        </w:tc>
      </w:tr>
      <w:tr w14:paraId="6F7F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7377CB40">
            <w:pPr>
              <w:spacing w:line="360" w:lineRule="auto"/>
              <w:rPr>
                <w:rFonts w:hint="eastAsia" w:ascii="宋体" w:hAnsi="宋体" w:eastAsia="宋体" w:cs="宋体"/>
                <w:sz w:val="24"/>
                <w:szCs w:val="24"/>
                <w:highlight w:val="none"/>
              </w:rPr>
            </w:pPr>
          </w:p>
        </w:tc>
        <w:tc>
          <w:tcPr>
            <w:tcW w:w="989" w:type="dxa"/>
            <w:vAlign w:val="center"/>
          </w:tcPr>
          <w:p w14:paraId="5EEDBCD7">
            <w:pPr>
              <w:spacing w:line="360" w:lineRule="auto"/>
              <w:rPr>
                <w:rFonts w:hint="eastAsia" w:ascii="宋体" w:hAnsi="宋体" w:eastAsia="宋体" w:cs="宋体"/>
                <w:sz w:val="24"/>
                <w:szCs w:val="24"/>
                <w:highlight w:val="none"/>
              </w:rPr>
            </w:pPr>
          </w:p>
        </w:tc>
        <w:tc>
          <w:tcPr>
            <w:tcW w:w="916" w:type="dxa"/>
            <w:vAlign w:val="center"/>
          </w:tcPr>
          <w:p w14:paraId="3F7499DA">
            <w:pPr>
              <w:spacing w:line="360" w:lineRule="auto"/>
              <w:rPr>
                <w:rFonts w:hint="eastAsia" w:ascii="宋体" w:hAnsi="宋体" w:eastAsia="宋体" w:cs="宋体"/>
                <w:sz w:val="24"/>
                <w:szCs w:val="24"/>
                <w:highlight w:val="none"/>
              </w:rPr>
            </w:pPr>
          </w:p>
        </w:tc>
        <w:tc>
          <w:tcPr>
            <w:tcW w:w="873" w:type="dxa"/>
            <w:vAlign w:val="center"/>
          </w:tcPr>
          <w:p w14:paraId="2F58A74E">
            <w:pPr>
              <w:spacing w:line="360" w:lineRule="auto"/>
              <w:rPr>
                <w:rFonts w:hint="eastAsia" w:ascii="宋体" w:hAnsi="宋体" w:eastAsia="宋体" w:cs="宋体"/>
                <w:sz w:val="24"/>
                <w:szCs w:val="24"/>
                <w:highlight w:val="none"/>
              </w:rPr>
            </w:pPr>
          </w:p>
        </w:tc>
        <w:tc>
          <w:tcPr>
            <w:tcW w:w="829" w:type="dxa"/>
            <w:vAlign w:val="center"/>
          </w:tcPr>
          <w:p w14:paraId="6EFF78F2">
            <w:pPr>
              <w:spacing w:line="360" w:lineRule="auto"/>
              <w:rPr>
                <w:rFonts w:hint="eastAsia" w:ascii="宋体" w:hAnsi="宋体" w:eastAsia="宋体" w:cs="宋体"/>
                <w:sz w:val="24"/>
                <w:szCs w:val="24"/>
                <w:highlight w:val="none"/>
              </w:rPr>
            </w:pPr>
          </w:p>
        </w:tc>
        <w:tc>
          <w:tcPr>
            <w:tcW w:w="917" w:type="dxa"/>
            <w:vAlign w:val="center"/>
          </w:tcPr>
          <w:p w14:paraId="3DABEC63">
            <w:pPr>
              <w:spacing w:line="360" w:lineRule="auto"/>
              <w:rPr>
                <w:rFonts w:hint="eastAsia" w:ascii="宋体" w:hAnsi="宋体" w:eastAsia="宋体" w:cs="宋体"/>
                <w:sz w:val="24"/>
                <w:szCs w:val="24"/>
                <w:highlight w:val="none"/>
              </w:rPr>
            </w:pPr>
          </w:p>
        </w:tc>
        <w:tc>
          <w:tcPr>
            <w:tcW w:w="1222" w:type="dxa"/>
            <w:vAlign w:val="center"/>
          </w:tcPr>
          <w:p w14:paraId="58439BCF">
            <w:pPr>
              <w:spacing w:line="360" w:lineRule="auto"/>
              <w:rPr>
                <w:rFonts w:hint="eastAsia" w:ascii="宋体" w:hAnsi="宋体" w:eastAsia="宋体" w:cs="宋体"/>
                <w:sz w:val="24"/>
                <w:szCs w:val="24"/>
                <w:highlight w:val="none"/>
              </w:rPr>
            </w:pPr>
          </w:p>
        </w:tc>
        <w:tc>
          <w:tcPr>
            <w:tcW w:w="2187" w:type="dxa"/>
            <w:vAlign w:val="center"/>
          </w:tcPr>
          <w:p w14:paraId="1162CC38">
            <w:pPr>
              <w:spacing w:line="360" w:lineRule="auto"/>
              <w:rPr>
                <w:rFonts w:hint="eastAsia" w:ascii="宋体" w:hAnsi="宋体" w:eastAsia="宋体" w:cs="宋体"/>
                <w:sz w:val="24"/>
                <w:szCs w:val="24"/>
                <w:highlight w:val="none"/>
              </w:rPr>
            </w:pPr>
          </w:p>
        </w:tc>
      </w:tr>
      <w:tr w14:paraId="4993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3606E512">
            <w:pPr>
              <w:spacing w:line="360" w:lineRule="auto"/>
              <w:rPr>
                <w:rFonts w:hint="eastAsia" w:ascii="宋体" w:hAnsi="宋体" w:eastAsia="宋体" w:cs="宋体"/>
                <w:sz w:val="24"/>
                <w:szCs w:val="24"/>
                <w:highlight w:val="none"/>
              </w:rPr>
            </w:pPr>
          </w:p>
        </w:tc>
        <w:tc>
          <w:tcPr>
            <w:tcW w:w="989" w:type="dxa"/>
            <w:vAlign w:val="center"/>
          </w:tcPr>
          <w:p w14:paraId="6F121E31">
            <w:pPr>
              <w:spacing w:line="360" w:lineRule="auto"/>
              <w:rPr>
                <w:rFonts w:hint="eastAsia" w:ascii="宋体" w:hAnsi="宋体" w:eastAsia="宋体" w:cs="宋体"/>
                <w:sz w:val="24"/>
                <w:szCs w:val="24"/>
                <w:highlight w:val="none"/>
              </w:rPr>
            </w:pPr>
          </w:p>
        </w:tc>
        <w:tc>
          <w:tcPr>
            <w:tcW w:w="916" w:type="dxa"/>
            <w:vAlign w:val="center"/>
          </w:tcPr>
          <w:p w14:paraId="58C1DA6F">
            <w:pPr>
              <w:spacing w:line="360" w:lineRule="auto"/>
              <w:rPr>
                <w:rFonts w:hint="eastAsia" w:ascii="宋体" w:hAnsi="宋体" w:eastAsia="宋体" w:cs="宋体"/>
                <w:sz w:val="24"/>
                <w:szCs w:val="24"/>
                <w:highlight w:val="none"/>
              </w:rPr>
            </w:pPr>
          </w:p>
        </w:tc>
        <w:tc>
          <w:tcPr>
            <w:tcW w:w="873" w:type="dxa"/>
            <w:vAlign w:val="center"/>
          </w:tcPr>
          <w:p w14:paraId="09A9C605">
            <w:pPr>
              <w:spacing w:line="360" w:lineRule="auto"/>
              <w:rPr>
                <w:rFonts w:hint="eastAsia" w:ascii="宋体" w:hAnsi="宋体" w:eastAsia="宋体" w:cs="宋体"/>
                <w:sz w:val="24"/>
                <w:szCs w:val="24"/>
                <w:highlight w:val="none"/>
              </w:rPr>
            </w:pPr>
          </w:p>
        </w:tc>
        <w:tc>
          <w:tcPr>
            <w:tcW w:w="829" w:type="dxa"/>
            <w:vAlign w:val="center"/>
          </w:tcPr>
          <w:p w14:paraId="40AA98E8">
            <w:pPr>
              <w:spacing w:line="360" w:lineRule="auto"/>
              <w:rPr>
                <w:rFonts w:hint="eastAsia" w:ascii="宋体" w:hAnsi="宋体" w:eastAsia="宋体" w:cs="宋体"/>
                <w:sz w:val="24"/>
                <w:szCs w:val="24"/>
                <w:highlight w:val="none"/>
              </w:rPr>
            </w:pPr>
          </w:p>
        </w:tc>
        <w:tc>
          <w:tcPr>
            <w:tcW w:w="917" w:type="dxa"/>
            <w:vAlign w:val="center"/>
          </w:tcPr>
          <w:p w14:paraId="24E7D3D8">
            <w:pPr>
              <w:spacing w:line="360" w:lineRule="auto"/>
              <w:rPr>
                <w:rFonts w:hint="eastAsia" w:ascii="宋体" w:hAnsi="宋体" w:eastAsia="宋体" w:cs="宋体"/>
                <w:sz w:val="24"/>
                <w:szCs w:val="24"/>
                <w:highlight w:val="none"/>
              </w:rPr>
            </w:pPr>
          </w:p>
        </w:tc>
        <w:tc>
          <w:tcPr>
            <w:tcW w:w="1222" w:type="dxa"/>
            <w:vAlign w:val="center"/>
          </w:tcPr>
          <w:p w14:paraId="25721BF9">
            <w:pPr>
              <w:spacing w:line="360" w:lineRule="auto"/>
              <w:rPr>
                <w:rFonts w:hint="eastAsia" w:ascii="宋体" w:hAnsi="宋体" w:eastAsia="宋体" w:cs="宋体"/>
                <w:sz w:val="24"/>
                <w:szCs w:val="24"/>
                <w:highlight w:val="none"/>
              </w:rPr>
            </w:pPr>
          </w:p>
        </w:tc>
        <w:tc>
          <w:tcPr>
            <w:tcW w:w="2187" w:type="dxa"/>
            <w:vAlign w:val="center"/>
          </w:tcPr>
          <w:p w14:paraId="6E922DF2">
            <w:pPr>
              <w:spacing w:line="360" w:lineRule="auto"/>
              <w:rPr>
                <w:rFonts w:hint="eastAsia" w:ascii="宋体" w:hAnsi="宋体" w:eastAsia="宋体" w:cs="宋体"/>
                <w:sz w:val="24"/>
                <w:szCs w:val="24"/>
                <w:highlight w:val="none"/>
              </w:rPr>
            </w:pPr>
          </w:p>
        </w:tc>
      </w:tr>
      <w:tr w14:paraId="2FD8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071E5442">
            <w:pPr>
              <w:spacing w:line="360" w:lineRule="auto"/>
              <w:rPr>
                <w:rFonts w:hint="eastAsia" w:ascii="宋体" w:hAnsi="宋体" w:eastAsia="宋体" w:cs="宋体"/>
                <w:sz w:val="24"/>
                <w:szCs w:val="24"/>
                <w:highlight w:val="none"/>
              </w:rPr>
            </w:pPr>
          </w:p>
        </w:tc>
        <w:tc>
          <w:tcPr>
            <w:tcW w:w="989" w:type="dxa"/>
            <w:vAlign w:val="center"/>
          </w:tcPr>
          <w:p w14:paraId="75353843">
            <w:pPr>
              <w:spacing w:line="360" w:lineRule="auto"/>
              <w:rPr>
                <w:rFonts w:hint="eastAsia" w:ascii="宋体" w:hAnsi="宋体" w:eastAsia="宋体" w:cs="宋体"/>
                <w:sz w:val="24"/>
                <w:szCs w:val="24"/>
                <w:highlight w:val="none"/>
              </w:rPr>
            </w:pPr>
          </w:p>
        </w:tc>
        <w:tc>
          <w:tcPr>
            <w:tcW w:w="916" w:type="dxa"/>
            <w:vAlign w:val="center"/>
          </w:tcPr>
          <w:p w14:paraId="7DB84779">
            <w:pPr>
              <w:spacing w:line="360" w:lineRule="auto"/>
              <w:rPr>
                <w:rFonts w:hint="eastAsia" w:ascii="宋体" w:hAnsi="宋体" w:eastAsia="宋体" w:cs="宋体"/>
                <w:sz w:val="24"/>
                <w:szCs w:val="24"/>
                <w:highlight w:val="none"/>
              </w:rPr>
            </w:pPr>
          </w:p>
        </w:tc>
        <w:tc>
          <w:tcPr>
            <w:tcW w:w="873" w:type="dxa"/>
            <w:vAlign w:val="center"/>
          </w:tcPr>
          <w:p w14:paraId="3FD0F643">
            <w:pPr>
              <w:spacing w:line="360" w:lineRule="auto"/>
              <w:rPr>
                <w:rFonts w:hint="eastAsia" w:ascii="宋体" w:hAnsi="宋体" w:eastAsia="宋体" w:cs="宋体"/>
                <w:sz w:val="24"/>
                <w:szCs w:val="24"/>
                <w:highlight w:val="none"/>
              </w:rPr>
            </w:pPr>
          </w:p>
        </w:tc>
        <w:tc>
          <w:tcPr>
            <w:tcW w:w="829" w:type="dxa"/>
            <w:vAlign w:val="center"/>
          </w:tcPr>
          <w:p w14:paraId="1AFDACC1">
            <w:pPr>
              <w:spacing w:line="360" w:lineRule="auto"/>
              <w:rPr>
                <w:rFonts w:hint="eastAsia" w:ascii="宋体" w:hAnsi="宋体" w:eastAsia="宋体" w:cs="宋体"/>
                <w:sz w:val="24"/>
                <w:szCs w:val="24"/>
                <w:highlight w:val="none"/>
              </w:rPr>
            </w:pPr>
          </w:p>
        </w:tc>
        <w:tc>
          <w:tcPr>
            <w:tcW w:w="917" w:type="dxa"/>
            <w:vAlign w:val="center"/>
          </w:tcPr>
          <w:p w14:paraId="52951AE3">
            <w:pPr>
              <w:spacing w:line="360" w:lineRule="auto"/>
              <w:rPr>
                <w:rFonts w:hint="eastAsia" w:ascii="宋体" w:hAnsi="宋体" w:eastAsia="宋体" w:cs="宋体"/>
                <w:sz w:val="24"/>
                <w:szCs w:val="24"/>
                <w:highlight w:val="none"/>
              </w:rPr>
            </w:pPr>
          </w:p>
        </w:tc>
        <w:tc>
          <w:tcPr>
            <w:tcW w:w="1222" w:type="dxa"/>
            <w:vAlign w:val="center"/>
          </w:tcPr>
          <w:p w14:paraId="34DB80CB">
            <w:pPr>
              <w:spacing w:line="360" w:lineRule="auto"/>
              <w:rPr>
                <w:rFonts w:hint="eastAsia" w:ascii="宋体" w:hAnsi="宋体" w:eastAsia="宋体" w:cs="宋体"/>
                <w:sz w:val="24"/>
                <w:szCs w:val="24"/>
                <w:highlight w:val="none"/>
              </w:rPr>
            </w:pPr>
          </w:p>
        </w:tc>
        <w:tc>
          <w:tcPr>
            <w:tcW w:w="2187" w:type="dxa"/>
            <w:vAlign w:val="center"/>
          </w:tcPr>
          <w:p w14:paraId="595FF0CD">
            <w:pPr>
              <w:spacing w:line="360" w:lineRule="auto"/>
              <w:rPr>
                <w:rFonts w:hint="eastAsia" w:ascii="宋体" w:hAnsi="宋体" w:eastAsia="宋体" w:cs="宋体"/>
                <w:sz w:val="24"/>
                <w:szCs w:val="24"/>
                <w:highlight w:val="none"/>
              </w:rPr>
            </w:pPr>
          </w:p>
        </w:tc>
      </w:tr>
      <w:tr w14:paraId="1CC7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6A082EEF">
            <w:pPr>
              <w:spacing w:line="360" w:lineRule="auto"/>
              <w:rPr>
                <w:rFonts w:hint="eastAsia" w:ascii="宋体" w:hAnsi="宋体" w:eastAsia="宋体" w:cs="宋体"/>
                <w:sz w:val="24"/>
                <w:szCs w:val="24"/>
                <w:highlight w:val="none"/>
              </w:rPr>
            </w:pPr>
          </w:p>
        </w:tc>
        <w:tc>
          <w:tcPr>
            <w:tcW w:w="989" w:type="dxa"/>
            <w:vAlign w:val="center"/>
          </w:tcPr>
          <w:p w14:paraId="769205C1">
            <w:pPr>
              <w:spacing w:line="360" w:lineRule="auto"/>
              <w:rPr>
                <w:rFonts w:hint="eastAsia" w:ascii="宋体" w:hAnsi="宋体" w:eastAsia="宋体" w:cs="宋体"/>
                <w:sz w:val="24"/>
                <w:szCs w:val="24"/>
                <w:highlight w:val="none"/>
              </w:rPr>
            </w:pPr>
          </w:p>
        </w:tc>
        <w:tc>
          <w:tcPr>
            <w:tcW w:w="916" w:type="dxa"/>
            <w:vAlign w:val="center"/>
          </w:tcPr>
          <w:p w14:paraId="7BE6455F">
            <w:pPr>
              <w:spacing w:line="360" w:lineRule="auto"/>
              <w:rPr>
                <w:rFonts w:hint="eastAsia" w:ascii="宋体" w:hAnsi="宋体" w:eastAsia="宋体" w:cs="宋体"/>
                <w:sz w:val="24"/>
                <w:szCs w:val="24"/>
                <w:highlight w:val="none"/>
              </w:rPr>
            </w:pPr>
          </w:p>
        </w:tc>
        <w:tc>
          <w:tcPr>
            <w:tcW w:w="873" w:type="dxa"/>
            <w:vAlign w:val="center"/>
          </w:tcPr>
          <w:p w14:paraId="100CA98A">
            <w:pPr>
              <w:spacing w:line="360" w:lineRule="auto"/>
              <w:rPr>
                <w:rFonts w:hint="eastAsia" w:ascii="宋体" w:hAnsi="宋体" w:eastAsia="宋体" w:cs="宋体"/>
                <w:sz w:val="24"/>
                <w:szCs w:val="24"/>
                <w:highlight w:val="none"/>
              </w:rPr>
            </w:pPr>
          </w:p>
        </w:tc>
        <w:tc>
          <w:tcPr>
            <w:tcW w:w="829" w:type="dxa"/>
            <w:vAlign w:val="center"/>
          </w:tcPr>
          <w:p w14:paraId="4FAD0AF3">
            <w:pPr>
              <w:spacing w:line="360" w:lineRule="auto"/>
              <w:rPr>
                <w:rFonts w:hint="eastAsia" w:ascii="宋体" w:hAnsi="宋体" w:eastAsia="宋体" w:cs="宋体"/>
                <w:sz w:val="24"/>
                <w:szCs w:val="24"/>
                <w:highlight w:val="none"/>
              </w:rPr>
            </w:pPr>
          </w:p>
        </w:tc>
        <w:tc>
          <w:tcPr>
            <w:tcW w:w="917" w:type="dxa"/>
            <w:vAlign w:val="center"/>
          </w:tcPr>
          <w:p w14:paraId="336C9CD8">
            <w:pPr>
              <w:spacing w:line="360" w:lineRule="auto"/>
              <w:rPr>
                <w:rFonts w:hint="eastAsia" w:ascii="宋体" w:hAnsi="宋体" w:eastAsia="宋体" w:cs="宋体"/>
                <w:sz w:val="24"/>
                <w:szCs w:val="24"/>
                <w:highlight w:val="none"/>
              </w:rPr>
            </w:pPr>
          </w:p>
        </w:tc>
        <w:tc>
          <w:tcPr>
            <w:tcW w:w="1222" w:type="dxa"/>
            <w:vAlign w:val="center"/>
          </w:tcPr>
          <w:p w14:paraId="1B79B9A5">
            <w:pPr>
              <w:spacing w:line="360" w:lineRule="auto"/>
              <w:rPr>
                <w:rFonts w:hint="eastAsia" w:ascii="宋体" w:hAnsi="宋体" w:eastAsia="宋体" w:cs="宋体"/>
                <w:sz w:val="24"/>
                <w:szCs w:val="24"/>
                <w:highlight w:val="none"/>
              </w:rPr>
            </w:pPr>
          </w:p>
        </w:tc>
        <w:tc>
          <w:tcPr>
            <w:tcW w:w="2187" w:type="dxa"/>
            <w:vAlign w:val="center"/>
          </w:tcPr>
          <w:p w14:paraId="047317AF">
            <w:pPr>
              <w:spacing w:line="360" w:lineRule="auto"/>
              <w:rPr>
                <w:rFonts w:hint="eastAsia" w:ascii="宋体" w:hAnsi="宋体" w:eastAsia="宋体" w:cs="宋体"/>
                <w:sz w:val="24"/>
                <w:szCs w:val="24"/>
                <w:highlight w:val="none"/>
              </w:rPr>
            </w:pPr>
          </w:p>
        </w:tc>
      </w:tr>
      <w:tr w14:paraId="397C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60BA1A7F">
            <w:pPr>
              <w:spacing w:line="360" w:lineRule="auto"/>
              <w:rPr>
                <w:rFonts w:hint="eastAsia" w:ascii="宋体" w:hAnsi="宋体" w:eastAsia="宋体" w:cs="宋体"/>
                <w:sz w:val="24"/>
                <w:szCs w:val="24"/>
                <w:highlight w:val="none"/>
              </w:rPr>
            </w:pPr>
          </w:p>
        </w:tc>
        <w:tc>
          <w:tcPr>
            <w:tcW w:w="989" w:type="dxa"/>
            <w:vAlign w:val="center"/>
          </w:tcPr>
          <w:p w14:paraId="166BC2CB">
            <w:pPr>
              <w:spacing w:line="360" w:lineRule="auto"/>
              <w:rPr>
                <w:rFonts w:hint="eastAsia" w:ascii="宋体" w:hAnsi="宋体" w:eastAsia="宋体" w:cs="宋体"/>
                <w:sz w:val="24"/>
                <w:szCs w:val="24"/>
                <w:highlight w:val="none"/>
              </w:rPr>
            </w:pPr>
          </w:p>
        </w:tc>
        <w:tc>
          <w:tcPr>
            <w:tcW w:w="916" w:type="dxa"/>
            <w:vAlign w:val="center"/>
          </w:tcPr>
          <w:p w14:paraId="1B7D749D">
            <w:pPr>
              <w:spacing w:line="360" w:lineRule="auto"/>
              <w:rPr>
                <w:rFonts w:hint="eastAsia" w:ascii="宋体" w:hAnsi="宋体" w:eastAsia="宋体" w:cs="宋体"/>
                <w:sz w:val="24"/>
                <w:szCs w:val="24"/>
                <w:highlight w:val="none"/>
              </w:rPr>
            </w:pPr>
          </w:p>
        </w:tc>
        <w:tc>
          <w:tcPr>
            <w:tcW w:w="873" w:type="dxa"/>
            <w:vAlign w:val="center"/>
          </w:tcPr>
          <w:p w14:paraId="769E5D21">
            <w:pPr>
              <w:spacing w:line="360" w:lineRule="auto"/>
              <w:rPr>
                <w:rFonts w:hint="eastAsia" w:ascii="宋体" w:hAnsi="宋体" w:eastAsia="宋体" w:cs="宋体"/>
                <w:sz w:val="24"/>
                <w:szCs w:val="24"/>
                <w:highlight w:val="none"/>
              </w:rPr>
            </w:pPr>
          </w:p>
        </w:tc>
        <w:tc>
          <w:tcPr>
            <w:tcW w:w="829" w:type="dxa"/>
            <w:vAlign w:val="center"/>
          </w:tcPr>
          <w:p w14:paraId="33254B6E">
            <w:pPr>
              <w:spacing w:line="360" w:lineRule="auto"/>
              <w:rPr>
                <w:rFonts w:hint="eastAsia" w:ascii="宋体" w:hAnsi="宋体" w:eastAsia="宋体" w:cs="宋体"/>
                <w:sz w:val="24"/>
                <w:szCs w:val="24"/>
                <w:highlight w:val="none"/>
              </w:rPr>
            </w:pPr>
          </w:p>
        </w:tc>
        <w:tc>
          <w:tcPr>
            <w:tcW w:w="917" w:type="dxa"/>
            <w:vAlign w:val="center"/>
          </w:tcPr>
          <w:p w14:paraId="15119423">
            <w:pPr>
              <w:spacing w:line="360" w:lineRule="auto"/>
              <w:rPr>
                <w:rFonts w:hint="eastAsia" w:ascii="宋体" w:hAnsi="宋体" w:eastAsia="宋体" w:cs="宋体"/>
                <w:sz w:val="24"/>
                <w:szCs w:val="24"/>
                <w:highlight w:val="none"/>
              </w:rPr>
            </w:pPr>
          </w:p>
        </w:tc>
        <w:tc>
          <w:tcPr>
            <w:tcW w:w="1222" w:type="dxa"/>
            <w:vAlign w:val="center"/>
          </w:tcPr>
          <w:p w14:paraId="03C9BF1A">
            <w:pPr>
              <w:spacing w:line="360" w:lineRule="auto"/>
              <w:rPr>
                <w:rFonts w:hint="eastAsia" w:ascii="宋体" w:hAnsi="宋体" w:eastAsia="宋体" w:cs="宋体"/>
                <w:sz w:val="24"/>
                <w:szCs w:val="24"/>
                <w:highlight w:val="none"/>
              </w:rPr>
            </w:pPr>
          </w:p>
        </w:tc>
        <w:tc>
          <w:tcPr>
            <w:tcW w:w="2187" w:type="dxa"/>
            <w:vAlign w:val="center"/>
          </w:tcPr>
          <w:p w14:paraId="4E95AE02">
            <w:pPr>
              <w:spacing w:line="360" w:lineRule="auto"/>
              <w:rPr>
                <w:rFonts w:hint="eastAsia" w:ascii="宋体" w:hAnsi="宋体" w:eastAsia="宋体" w:cs="宋体"/>
                <w:sz w:val="24"/>
                <w:szCs w:val="24"/>
                <w:highlight w:val="none"/>
              </w:rPr>
            </w:pPr>
          </w:p>
        </w:tc>
      </w:tr>
      <w:tr w14:paraId="0C51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46DB08B4">
            <w:pPr>
              <w:spacing w:line="360" w:lineRule="auto"/>
              <w:rPr>
                <w:rFonts w:hint="eastAsia" w:ascii="宋体" w:hAnsi="宋体" w:eastAsia="宋体" w:cs="宋体"/>
                <w:sz w:val="24"/>
                <w:szCs w:val="24"/>
                <w:highlight w:val="none"/>
              </w:rPr>
            </w:pPr>
          </w:p>
        </w:tc>
        <w:tc>
          <w:tcPr>
            <w:tcW w:w="989" w:type="dxa"/>
            <w:vAlign w:val="center"/>
          </w:tcPr>
          <w:p w14:paraId="79C59B75">
            <w:pPr>
              <w:spacing w:line="360" w:lineRule="auto"/>
              <w:rPr>
                <w:rFonts w:hint="eastAsia" w:ascii="宋体" w:hAnsi="宋体" w:eastAsia="宋体" w:cs="宋体"/>
                <w:sz w:val="24"/>
                <w:szCs w:val="24"/>
                <w:highlight w:val="none"/>
              </w:rPr>
            </w:pPr>
          </w:p>
        </w:tc>
        <w:tc>
          <w:tcPr>
            <w:tcW w:w="916" w:type="dxa"/>
            <w:vAlign w:val="center"/>
          </w:tcPr>
          <w:p w14:paraId="3B3EF6A5">
            <w:pPr>
              <w:spacing w:line="360" w:lineRule="auto"/>
              <w:rPr>
                <w:rFonts w:hint="eastAsia" w:ascii="宋体" w:hAnsi="宋体" w:eastAsia="宋体" w:cs="宋体"/>
                <w:sz w:val="24"/>
                <w:szCs w:val="24"/>
                <w:highlight w:val="none"/>
              </w:rPr>
            </w:pPr>
          </w:p>
        </w:tc>
        <w:tc>
          <w:tcPr>
            <w:tcW w:w="873" w:type="dxa"/>
            <w:vAlign w:val="center"/>
          </w:tcPr>
          <w:p w14:paraId="1C0648CC">
            <w:pPr>
              <w:spacing w:line="360" w:lineRule="auto"/>
              <w:rPr>
                <w:rFonts w:hint="eastAsia" w:ascii="宋体" w:hAnsi="宋体" w:eastAsia="宋体" w:cs="宋体"/>
                <w:sz w:val="24"/>
                <w:szCs w:val="24"/>
                <w:highlight w:val="none"/>
              </w:rPr>
            </w:pPr>
          </w:p>
        </w:tc>
        <w:tc>
          <w:tcPr>
            <w:tcW w:w="829" w:type="dxa"/>
            <w:vAlign w:val="center"/>
          </w:tcPr>
          <w:p w14:paraId="0DA1FBD1">
            <w:pPr>
              <w:spacing w:line="360" w:lineRule="auto"/>
              <w:rPr>
                <w:rFonts w:hint="eastAsia" w:ascii="宋体" w:hAnsi="宋体" w:eastAsia="宋体" w:cs="宋体"/>
                <w:sz w:val="24"/>
                <w:szCs w:val="24"/>
                <w:highlight w:val="none"/>
              </w:rPr>
            </w:pPr>
          </w:p>
        </w:tc>
        <w:tc>
          <w:tcPr>
            <w:tcW w:w="917" w:type="dxa"/>
            <w:vAlign w:val="center"/>
          </w:tcPr>
          <w:p w14:paraId="4EEC7A03">
            <w:pPr>
              <w:spacing w:line="360" w:lineRule="auto"/>
              <w:rPr>
                <w:rFonts w:hint="eastAsia" w:ascii="宋体" w:hAnsi="宋体" w:eastAsia="宋体" w:cs="宋体"/>
                <w:sz w:val="24"/>
                <w:szCs w:val="24"/>
                <w:highlight w:val="none"/>
              </w:rPr>
            </w:pPr>
          </w:p>
        </w:tc>
        <w:tc>
          <w:tcPr>
            <w:tcW w:w="1222" w:type="dxa"/>
            <w:vAlign w:val="center"/>
          </w:tcPr>
          <w:p w14:paraId="4FEB2CCC">
            <w:pPr>
              <w:spacing w:line="360" w:lineRule="auto"/>
              <w:rPr>
                <w:rFonts w:hint="eastAsia" w:ascii="宋体" w:hAnsi="宋体" w:eastAsia="宋体" w:cs="宋体"/>
                <w:sz w:val="24"/>
                <w:szCs w:val="24"/>
                <w:highlight w:val="none"/>
              </w:rPr>
            </w:pPr>
          </w:p>
        </w:tc>
        <w:tc>
          <w:tcPr>
            <w:tcW w:w="2187" w:type="dxa"/>
            <w:vAlign w:val="center"/>
          </w:tcPr>
          <w:p w14:paraId="0985F0C3">
            <w:pPr>
              <w:spacing w:line="360" w:lineRule="auto"/>
              <w:rPr>
                <w:rFonts w:hint="eastAsia" w:ascii="宋体" w:hAnsi="宋体" w:eastAsia="宋体" w:cs="宋体"/>
                <w:sz w:val="24"/>
                <w:szCs w:val="24"/>
                <w:highlight w:val="none"/>
              </w:rPr>
            </w:pPr>
          </w:p>
        </w:tc>
      </w:tr>
      <w:tr w14:paraId="4734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3417993A">
            <w:pPr>
              <w:spacing w:line="360" w:lineRule="auto"/>
              <w:rPr>
                <w:rFonts w:hint="eastAsia" w:ascii="宋体" w:hAnsi="宋体" w:eastAsia="宋体" w:cs="宋体"/>
                <w:sz w:val="24"/>
                <w:szCs w:val="24"/>
                <w:highlight w:val="none"/>
              </w:rPr>
            </w:pPr>
          </w:p>
        </w:tc>
        <w:tc>
          <w:tcPr>
            <w:tcW w:w="989" w:type="dxa"/>
            <w:vAlign w:val="center"/>
          </w:tcPr>
          <w:p w14:paraId="44A32222">
            <w:pPr>
              <w:spacing w:line="360" w:lineRule="auto"/>
              <w:rPr>
                <w:rFonts w:hint="eastAsia" w:ascii="宋体" w:hAnsi="宋体" w:eastAsia="宋体" w:cs="宋体"/>
                <w:sz w:val="24"/>
                <w:szCs w:val="24"/>
                <w:highlight w:val="none"/>
              </w:rPr>
            </w:pPr>
          </w:p>
        </w:tc>
        <w:tc>
          <w:tcPr>
            <w:tcW w:w="916" w:type="dxa"/>
            <w:vAlign w:val="center"/>
          </w:tcPr>
          <w:p w14:paraId="619F4AAA">
            <w:pPr>
              <w:spacing w:line="360" w:lineRule="auto"/>
              <w:rPr>
                <w:rFonts w:hint="eastAsia" w:ascii="宋体" w:hAnsi="宋体" w:eastAsia="宋体" w:cs="宋体"/>
                <w:sz w:val="24"/>
                <w:szCs w:val="24"/>
                <w:highlight w:val="none"/>
              </w:rPr>
            </w:pPr>
          </w:p>
        </w:tc>
        <w:tc>
          <w:tcPr>
            <w:tcW w:w="873" w:type="dxa"/>
            <w:vAlign w:val="center"/>
          </w:tcPr>
          <w:p w14:paraId="736BEFB4">
            <w:pPr>
              <w:spacing w:line="360" w:lineRule="auto"/>
              <w:rPr>
                <w:rFonts w:hint="eastAsia" w:ascii="宋体" w:hAnsi="宋体" w:eastAsia="宋体" w:cs="宋体"/>
                <w:sz w:val="24"/>
                <w:szCs w:val="24"/>
                <w:highlight w:val="none"/>
              </w:rPr>
            </w:pPr>
          </w:p>
        </w:tc>
        <w:tc>
          <w:tcPr>
            <w:tcW w:w="829" w:type="dxa"/>
            <w:vAlign w:val="center"/>
          </w:tcPr>
          <w:p w14:paraId="16B72AF7">
            <w:pPr>
              <w:spacing w:line="360" w:lineRule="auto"/>
              <w:rPr>
                <w:rFonts w:hint="eastAsia" w:ascii="宋体" w:hAnsi="宋体" w:eastAsia="宋体" w:cs="宋体"/>
                <w:sz w:val="24"/>
                <w:szCs w:val="24"/>
                <w:highlight w:val="none"/>
              </w:rPr>
            </w:pPr>
          </w:p>
        </w:tc>
        <w:tc>
          <w:tcPr>
            <w:tcW w:w="917" w:type="dxa"/>
            <w:vAlign w:val="center"/>
          </w:tcPr>
          <w:p w14:paraId="30F76991">
            <w:pPr>
              <w:spacing w:line="360" w:lineRule="auto"/>
              <w:rPr>
                <w:rFonts w:hint="eastAsia" w:ascii="宋体" w:hAnsi="宋体" w:eastAsia="宋体" w:cs="宋体"/>
                <w:sz w:val="24"/>
                <w:szCs w:val="24"/>
                <w:highlight w:val="none"/>
              </w:rPr>
            </w:pPr>
          </w:p>
        </w:tc>
        <w:tc>
          <w:tcPr>
            <w:tcW w:w="1222" w:type="dxa"/>
            <w:vAlign w:val="center"/>
          </w:tcPr>
          <w:p w14:paraId="146399E0">
            <w:pPr>
              <w:spacing w:line="360" w:lineRule="auto"/>
              <w:rPr>
                <w:rFonts w:hint="eastAsia" w:ascii="宋体" w:hAnsi="宋体" w:eastAsia="宋体" w:cs="宋体"/>
                <w:sz w:val="24"/>
                <w:szCs w:val="24"/>
                <w:highlight w:val="none"/>
              </w:rPr>
            </w:pPr>
          </w:p>
        </w:tc>
        <w:tc>
          <w:tcPr>
            <w:tcW w:w="2187" w:type="dxa"/>
            <w:vAlign w:val="center"/>
          </w:tcPr>
          <w:p w14:paraId="0C0B3AA5">
            <w:pPr>
              <w:spacing w:line="360" w:lineRule="auto"/>
              <w:rPr>
                <w:rFonts w:hint="eastAsia" w:ascii="宋体" w:hAnsi="宋体" w:eastAsia="宋体" w:cs="宋体"/>
                <w:sz w:val="24"/>
                <w:szCs w:val="24"/>
                <w:highlight w:val="none"/>
              </w:rPr>
            </w:pPr>
          </w:p>
        </w:tc>
      </w:tr>
      <w:tr w14:paraId="6A55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702D4AE5">
            <w:pPr>
              <w:spacing w:line="360" w:lineRule="auto"/>
              <w:rPr>
                <w:rFonts w:hint="eastAsia" w:ascii="宋体" w:hAnsi="宋体" w:eastAsia="宋体" w:cs="宋体"/>
                <w:sz w:val="24"/>
                <w:szCs w:val="24"/>
                <w:highlight w:val="none"/>
              </w:rPr>
            </w:pPr>
          </w:p>
        </w:tc>
        <w:tc>
          <w:tcPr>
            <w:tcW w:w="989" w:type="dxa"/>
            <w:vAlign w:val="center"/>
          </w:tcPr>
          <w:p w14:paraId="024E622C">
            <w:pPr>
              <w:spacing w:line="360" w:lineRule="auto"/>
              <w:rPr>
                <w:rFonts w:hint="eastAsia" w:ascii="宋体" w:hAnsi="宋体" w:eastAsia="宋体" w:cs="宋体"/>
                <w:sz w:val="24"/>
                <w:szCs w:val="24"/>
                <w:highlight w:val="none"/>
              </w:rPr>
            </w:pPr>
          </w:p>
        </w:tc>
        <w:tc>
          <w:tcPr>
            <w:tcW w:w="916" w:type="dxa"/>
            <w:vAlign w:val="center"/>
          </w:tcPr>
          <w:p w14:paraId="5AAE6B35">
            <w:pPr>
              <w:spacing w:line="360" w:lineRule="auto"/>
              <w:rPr>
                <w:rFonts w:hint="eastAsia" w:ascii="宋体" w:hAnsi="宋体" w:eastAsia="宋体" w:cs="宋体"/>
                <w:sz w:val="24"/>
                <w:szCs w:val="24"/>
                <w:highlight w:val="none"/>
              </w:rPr>
            </w:pPr>
          </w:p>
        </w:tc>
        <w:tc>
          <w:tcPr>
            <w:tcW w:w="873" w:type="dxa"/>
            <w:vAlign w:val="center"/>
          </w:tcPr>
          <w:p w14:paraId="5CA885CE">
            <w:pPr>
              <w:spacing w:line="360" w:lineRule="auto"/>
              <w:rPr>
                <w:rFonts w:hint="eastAsia" w:ascii="宋体" w:hAnsi="宋体" w:eastAsia="宋体" w:cs="宋体"/>
                <w:sz w:val="24"/>
                <w:szCs w:val="24"/>
                <w:highlight w:val="none"/>
              </w:rPr>
            </w:pPr>
          </w:p>
        </w:tc>
        <w:tc>
          <w:tcPr>
            <w:tcW w:w="829" w:type="dxa"/>
            <w:vAlign w:val="center"/>
          </w:tcPr>
          <w:p w14:paraId="5957EC27">
            <w:pPr>
              <w:spacing w:line="360" w:lineRule="auto"/>
              <w:rPr>
                <w:rFonts w:hint="eastAsia" w:ascii="宋体" w:hAnsi="宋体" w:eastAsia="宋体" w:cs="宋体"/>
                <w:sz w:val="24"/>
                <w:szCs w:val="24"/>
                <w:highlight w:val="none"/>
              </w:rPr>
            </w:pPr>
          </w:p>
        </w:tc>
        <w:tc>
          <w:tcPr>
            <w:tcW w:w="917" w:type="dxa"/>
            <w:vAlign w:val="center"/>
          </w:tcPr>
          <w:p w14:paraId="36192DE3">
            <w:pPr>
              <w:spacing w:line="360" w:lineRule="auto"/>
              <w:rPr>
                <w:rFonts w:hint="eastAsia" w:ascii="宋体" w:hAnsi="宋体" w:eastAsia="宋体" w:cs="宋体"/>
                <w:sz w:val="24"/>
                <w:szCs w:val="24"/>
                <w:highlight w:val="none"/>
              </w:rPr>
            </w:pPr>
          </w:p>
        </w:tc>
        <w:tc>
          <w:tcPr>
            <w:tcW w:w="1222" w:type="dxa"/>
            <w:vAlign w:val="center"/>
          </w:tcPr>
          <w:p w14:paraId="27AE861C">
            <w:pPr>
              <w:spacing w:line="360" w:lineRule="auto"/>
              <w:rPr>
                <w:rFonts w:hint="eastAsia" w:ascii="宋体" w:hAnsi="宋体" w:eastAsia="宋体" w:cs="宋体"/>
                <w:sz w:val="24"/>
                <w:szCs w:val="24"/>
                <w:highlight w:val="none"/>
              </w:rPr>
            </w:pPr>
          </w:p>
        </w:tc>
        <w:tc>
          <w:tcPr>
            <w:tcW w:w="2187" w:type="dxa"/>
            <w:vAlign w:val="center"/>
          </w:tcPr>
          <w:p w14:paraId="66642CD4">
            <w:pPr>
              <w:spacing w:line="360" w:lineRule="auto"/>
              <w:rPr>
                <w:rFonts w:hint="eastAsia" w:ascii="宋体" w:hAnsi="宋体" w:eastAsia="宋体" w:cs="宋体"/>
                <w:sz w:val="24"/>
                <w:szCs w:val="24"/>
                <w:highlight w:val="none"/>
              </w:rPr>
            </w:pPr>
          </w:p>
        </w:tc>
      </w:tr>
    </w:tbl>
    <w:p w14:paraId="13700D0B">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eastAsia="zh-CN"/>
        </w:rPr>
        <w:t>须附</w:t>
      </w:r>
      <w:r>
        <w:rPr>
          <w:rFonts w:hint="eastAsia" w:ascii="宋体" w:hAnsi="宋体" w:eastAsia="宋体" w:cs="宋体"/>
          <w:color w:val="auto"/>
          <w:kern w:val="2"/>
          <w:sz w:val="24"/>
          <w:szCs w:val="24"/>
          <w:highlight w:val="none"/>
          <w:lang w:val="en-US" w:eastAsia="zh-CN" w:bidi="ar-SA"/>
        </w:rPr>
        <w:t>相应证书及</w:t>
      </w:r>
      <w:r>
        <w:rPr>
          <w:rFonts w:hint="eastAsia" w:ascii="宋体" w:hAnsi="宋体" w:cs="宋体"/>
          <w:color w:val="auto"/>
          <w:kern w:val="2"/>
          <w:sz w:val="24"/>
          <w:szCs w:val="24"/>
          <w:highlight w:val="none"/>
          <w:lang w:val="en-US" w:eastAsia="zh-CN" w:bidi="ar-SA"/>
        </w:rPr>
        <w:t>2025年11月至今</w:t>
      </w:r>
      <w:r>
        <w:rPr>
          <w:rFonts w:hint="eastAsia" w:ascii="宋体" w:hAnsi="宋体" w:eastAsia="宋体" w:cs="宋体"/>
          <w:color w:val="auto"/>
          <w:kern w:val="2"/>
          <w:sz w:val="24"/>
          <w:szCs w:val="24"/>
          <w:highlight w:val="none"/>
          <w:lang w:val="en-US" w:eastAsia="zh-CN" w:bidi="ar-SA"/>
        </w:rPr>
        <w:t>任意</w:t>
      </w:r>
      <w:r>
        <w:rPr>
          <w:rFonts w:hint="eastAsia" w:ascii="宋体" w:hAnsi="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个月在投标单位依法缴纳社会保险的证明材料</w:t>
      </w:r>
      <w:r>
        <w:rPr>
          <w:rFonts w:hint="eastAsia" w:ascii="宋体" w:hAnsi="宋体" w:cs="宋体"/>
          <w:color w:val="auto"/>
          <w:kern w:val="2"/>
          <w:sz w:val="24"/>
          <w:szCs w:val="24"/>
          <w:highlight w:val="none"/>
          <w:lang w:val="en-US" w:eastAsia="zh-CN" w:bidi="ar-SA"/>
        </w:rPr>
        <w:t>（新入职员工提供劳动合同原件扫描件，退休返聘员工提供退休证明及劳务合同原件扫描件）</w:t>
      </w:r>
      <w:r>
        <w:rPr>
          <w:rFonts w:hint="eastAsia" w:ascii="宋体" w:hAnsi="宋体" w:eastAsia="宋体" w:cs="宋体"/>
          <w:color w:val="auto"/>
          <w:kern w:val="2"/>
          <w:sz w:val="24"/>
          <w:szCs w:val="24"/>
          <w:highlight w:val="none"/>
          <w:lang w:val="en-US" w:eastAsia="zh-CN" w:bidi="ar-SA"/>
        </w:rPr>
        <w:t>并加盖单位公章。</w:t>
      </w:r>
    </w:p>
    <w:p w14:paraId="186B3BE3">
      <w:pPr>
        <w:spacing w:line="360" w:lineRule="auto"/>
        <w:ind w:firstLine="1440" w:firstLineChars="600"/>
        <w:jc w:val="right"/>
        <w:rPr>
          <w:rFonts w:hint="eastAsia" w:ascii="宋体" w:hAnsi="宋体" w:eastAsia="宋体" w:cs="宋体"/>
          <w:sz w:val="24"/>
          <w:szCs w:val="24"/>
          <w:highlight w:val="none"/>
          <w:lang w:eastAsia="zh-CN"/>
        </w:rPr>
      </w:pPr>
    </w:p>
    <w:p w14:paraId="5DC33AA4">
      <w:pPr>
        <w:spacing w:line="360" w:lineRule="auto"/>
        <w:ind w:firstLine="1440" w:firstLineChars="60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（单位全称） </w:t>
      </w:r>
      <w:r>
        <w:rPr>
          <w:rFonts w:hint="eastAsia" w:ascii="宋体" w:hAnsi="宋体" w:cs="宋体"/>
          <w:kern w:val="0"/>
          <w:sz w:val="24"/>
          <w:szCs w:val="24"/>
          <w:highlight w:val="none"/>
          <w:u w:val="single"/>
          <w:lang w:eastAsia="zh-CN"/>
        </w:rPr>
        <w:t>（</w:t>
      </w:r>
      <w:r>
        <w:rPr>
          <w:rFonts w:hint="eastAsia" w:ascii="宋体" w:hAnsi="宋体" w:eastAsia="宋体" w:cs="宋体"/>
          <w:kern w:val="0"/>
          <w:sz w:val="24"/>
          <w:szCs w:val="24"/>
          <w:highlight w:val="none"/>
          <w:u w:val="single"/>
        </w:rPr>
        <w:t>盖章</w:t>
      </w:r>
      <w:r>
        <w:rPr>
          <w:rFonts w:hint="eastAsia" w:ascii="宋体" w:hAnsi="宋体" w:cs="宋体"/>
          <w:kern w:val="0"/>
          <w:sz w:val="24"/>
          <w:szCs w:val="24"/>
          <w:highlight w:val="none"/>
          <w:u w:val="single"/>
          <w:lang w:eastAsia="zh-CN"/>
        </w:rPr>
        <w:t>）</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14:paraId="2815A763">
      <w:pPr>
        <w:spacing w:line="360" w:lineRule="auto"/>
        <w:ind w:firstLine="2160" w:firstLineChars="900"/>
        <w:jc w:val="right"/>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法定代表人或授权代表</w:t>
      </w:r>
      <w:r>
        <w:rPr>
          <w:rFonts w:hint="eastAsia" w:ascii="宋体" w:hAnsi="宋体" w:eastAsia="宋体" w:cs="宋体"/>
          <w:kern w:val="0"/>
          <w:sz w:val="24"/>
          <w:szCs w:val="24"/>
          <w:highlight w:val="none"/>
          <w:u w:val="single"/>
        </w:rPr>
        <w:t xml:space="preserve">      </w:t>
      </w:r>
      <w:r>
        <w:rPr>
          <w:rFonts w:hint="eastAsia" w:ascii="宋体" w:hAnsi="宋体" w:cs="宋体"/>
          <w:kern w:val="0"/>
          <w:sz w:val="24"/>
          <w:szCs w:val="24"/>
          <w:highlight w:val="none"/>
          <w:u w:val="single"/>
          <w:lang w:eastAsia="zh-CN"/>
        </w:rPr>
        <w:t>（</w:t>
      </w:r>
      <w:r>
        <w:rPr>
          <w:rFonts w:hint="eastAsia" w:ascii="宋体" w:hAnsi="宋体" w:eastAsia="宋体" w:cs="宋体"/>
          <w:kern w:val="0"/>
          <w:sz w:val="24"/>
          <w:szCs w:val="24"/>
          <w:highlight w:val="none"/>
          <w:u w:val="single"/>
        </w:rPr>
        <w:t>签字或盖章</w:t>
      </w:r>
      <w:r>
        <w:rPr>
          <w:rFonts w:hint="eastAsia" w:ascii="宋体" w:hAnsi="宋体" w:cs="宋体"/>
          <w:kern w:val="0"/>
          <w:sz w:val="24"/>
          <w:szCs w:val="24"/>
          <w:highlight w:val="none"/>
          <w:u w:val="single"/>
          <w:lang w:eastAsia="zh-CN"/>
        </w:rPr>
        <w:t>）</w:t>
      </w:r>
      <w:r>
        <w:rPr>
          <w:rFonts w:hint="eastAsia" w:ascii="宋体" w:hAnsi="宋体" w:eastAsia="宋体" w:cs="宋体"/>
          <w:kern w:val="0"/>
          <w:sz w:val="24"/>
          <w:szCs w:val="24"/>
          <w:highlight w:val="none"/>
          <w:u w:val="single"/>
        </w:rPr>
        <w:t xml:space="preserve">     </w:t>
      </w:r>
    </w:p>
    <w:p w14:paraId="629A6542">
      <w:pPr>
        <w:spacing w:line="360" w:lineRule="auto"/>
        <w:ind w:firstLine="2160" w:firstLineChars="9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B82CB2C">
      <w:pPr>
        <w:pStyle w:val="32"/>
        <w:keepNext/>
        <w:keepLines/>
        <w:widowControl w:val="0"/>
        <w:numPr>
          <w:ilvl w:val="0"/>
          <w:numId w:val="0"/>
        </w:numPr>
        <w:adjustRightInd/>
        <w:spacing w:before="100" w:beforeLines="0" w:line="400" w:lineRule="exact"/>
        <w:jc w:val="center"/>
        <w:textAlignment w:val="auto"/>
        <w:outlineLvl w:val="1"/>
        <w:rPr>
          <w:rFonts w:hint="eastAsia" w:ascii="宋体" w:hAnsi="宋体" w:eastAsia="宋体" w:cs="宋体"/>
          <w:b/>
          <w:bCs/>
          <w:sz w:val="32"/>
          <w:szCs w:val="21"/>
          <w:highlight w:val="none"/>
          <w:lang w:eastAsia="zh-CN"/>
        </w:rPr>
      </w:pPr>
    </w:p>
    <w:p w14:paraId="213B4327">
      <w:pPr>
        <w:rPr>
          <w:rFonts w:hint="eastAsia" w:ascii="宋体" w:hAnsi="宋体" w:eastAsia="宋体" w:cs="宋体"/>
          <w:b/>
          <w:bCs/>
          <w:sz w:val="32"/>
          <w:szCs w:val="21"/>
          <w:highlight w:val="none"/>
          <w:lang w:eastAsia="zh-CN"/>
        </w:rPr>
      </w:pPr>
      <w:r>
        <w:rPr>
          <w:rFonts w:hint="eastAsia" w:ascii="宋体" w:hAnsi="宋体" w:eastAsia="宋体" w:cs="宋体"/>
          <w:b/>
          <w:bCs/>
          <w:sz w:val="32"/>
          <w:szCs w:val="21"/>
          <w:highlight w:val="none"/>
          <w:lang w:eastAsia="zh-CN"/>
        </w:rPr>
        <w:br w:type="page"/>
      </w:r>
    </w:p>
    <w:p w14:paraId="52CE6E13">
      <w:pPr>
        <w:pStyle w:val="32"/>
        <w:keepNext/>
        <w:keepLines/>
        <w:widowControl w:val="0"/>
        <w:numPr>
          <w:ilvl w:val="0"/>
          <w:numId w:val="0"/>
        </w:numPr>
        <w:adjustRightInd/>
        <w:spacing w:before="0" w:beforeLines="0" w:line="240" w:lineRule="auto"/>
        <w:jc w:val="both"/>
        <w:textAlignment w:val="auto"/>
        <w:outlineLvl w:val="1"/>
        <w:rPr>
          <w:rFonts w:hint="eastAsia" w:ascii="宋体" w:hAnsi="宋体" w:eastAsia="宋体" w:cs="宋体"/>
          <w:b/>
          <w:bCs/>
          <w:sz w:val="32"/>
          <w:szCs w:val="21"/>
          <w:highlight w:val="none"/>
          <w:lang w:eastAsia="zh-CN"/>
        </w:rPr>
      </w:pPr>
    </w:p>
    <w:p w14:paraId="004B4D3F">
      <w:pPr>
        <w:rPr>
          <w:rFonts w:hint="eastAsia" w:ascii="宋体" w:hAnsi="宋体" w:eastAsia="宋体" w:cs="宋体"/>
          <w:b/>
          <w:bCs/>
          <w:sz w:val="32"/>
          <w:szCs w:val="21"/>
          <w:highlight w:val="none"/>
        </w:rPr>
      </w:pPr>
      <w:bookmarkStart w:id="648" w:name="_Toc17496"/>
    </w:p>
    <w:p w14:paraId="585CA3D4">
      <w:pPr>
        <w:pStyle w:val="32"/>
        <w:numPr>
          <w:ilvl w:val="0"/>
          <w:numId w:val="19"/>
        </w:numPr>
        <w:jc w:val="center"/>
        <w:rPr>
          <w:rFonts w:hint="eastAsia" w:ascii="宋体" w:hAnsi="宋体" w:eastAsia="宋体" w:cs="宋体"/>
          <w:b/>
          <w:bCs/>
          <w:sz w:val="32"/>
          <w:szCs w:val="32"/>
          <w:highlight w:val="none"/>
        </w:rPr>
      </w:pPr>
      <w:r>
        <w:rPr>
          <w:rFonts w:hint="eastAsia" w:ascii="宋体" w:hAnsi="宋体" w:eastAsia="宋体" w:cs="宋体"/>
          <w:b/>
          <w:color w:val="auto"/>
          <w:sz w:val="32"/>
          <w:szCs w:val="32"/>
          <w:highlight w:val="none"/>
          <w:lang w:eastAsia="zh-CN"/>
        </w:rPr>
        <w:t>项目负责人信息表</w:t>
      </w:r>
      <w:bookmarkEnd w:id="648"/>
    </w:p>
    <w:p w14:paraId="6E246521">
      <w:pPr>
        <w:pStyle w:val="32"/>
        <w:numPr>
          <w:ilvl w:val="0"/>
          <w:numId w:val="0"/>
        </w:numPr>
        <w:jc w:val="both"/>
        <w:rPr>
          <w:rFonts w:hint="eastAsia" w:ascii="宋体" w:hAnsi="宋体" w:eastAsia="宋体" w:cs="宋体"/>
          <w:b/>
          <w:bCs/>
          <w:sz w:val="32"/>
          <w:szCs w:val="21"/>
          <w:highlight w:val="none"/>
        </w:rPr>
      </w:pPr>
    </w:p>
    <w:tbl>
      <w:tblPr>
        <w:tblStyle w:val="39"/>
        <w:tblW w:w="9256" w:type="dxa"/>
        <w:tblInd w:w="2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4"/>
        <w:gridCol w:w="1358"/>
        <w:gridCol w:w="1438"/>
        <w:gridCol w:w="1934"/>
        <w:gridCol w:w="1582"/>
        <w:gridCol w:w="1060"/>
      </w:tblGrid>
      <w:tr w14:paraId="085DC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884" w:type="dxa"/>
            <w:noWrap w:val="0"/>
            <w:vAlign w:val="top"/>
          </w:tcPr>
          <w:p w14:paraId="74841327">
            <w:pPr>
              <w:pStyle w:val="38"/>
              <w:spacing w:before="145" w:line="219" w:lineRule="auto"/>
              <w:jc w:val="center"/>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姓名</w:t>
            </w:r>
          </w:p>
        </w:tc>
        <w:tc>
          <w:tcPr>
            <w:tcW w:w="2796" w:type="dxa"/>
            <w:gridSpan w:val="2"/>
            <w:noWrap w:val="0"/>
            <w:vAlign w:val="top"/>
          </w:tcPr>
          <w:p w14:paraId="320E766D">
            <w:pPr>
              <w:jc w:val="center"/>
              <w:rPr>
                <w:rFonts w:hint="eastAsia" w:ascii="宋体" w:hAnsi="宋体" w:eastAsia="宋体" w:cs="宋体"/>
                <w:sz w:val="24"/>
                <w:szCs w:val="24"/>
                <w:highlight w:val="none"/>
              </w:rPr>
            </w:pPr>
          </w:p>
        </w:tc>
        <w:tc>
          <w:tcPr>
            <w:tcW w:w="1934" w:type="dxa"/>
            <w:noWrap w:val="0"/>
            <w:vAlign w:val="top"/>
          </w:tcPr>
          <w:p w14:paraId="614BE9A4">
            <w:pPr>
              <w:pStyle w:val="38"/>
              <w:spacing w:before="144" w:line="220" w:lineRule="auto"/>
              <w:jc w:val="center"/>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性别</w:t>
            </w:r>
          </w:p>
        </w:tc>
        <w:tc>
          <w:tcPr>
            <w:tcW w:w="2642" w:type="dxa"/>
            <w:gridSpan w:val="2"/>
            <w:noWrap w:val="0"/>
            <w:vAlign w:val="top"/>
          </w:tcPr>
          <w:p w14:paraId="709A511A">
            <w:pPr>
              <w:rPr>
                <w:rFonts w:hint="eastAsia" w:ascii="宋体" w:hAnsi="宋体" w:eastAsia="宋体" w:cs="宋体"/>
                <w:sz w:val="24"/>
                <w:szCs w:val="24"/>
                <w:highlight w:val="none"/>
              </w:rPr>
            </w:pPr>
          </w:p>
        </w:tc>
      </w:tr>
      <w:tr w14:paraId="2411A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84" w:type="dxa"/>
            <w:noWrap w:val="0"/>
            <w:vAlign w:val="top"/>
          </w:tcPr>
          <w:p w14:paraId="297B1BB5">
            <w:pPr>
              <w:pStyle w:val="38"/>
              <w:spacing w:before="142" w:line="221" w:lineRule="auto"/>
              <w:jc w:val="center"/>
              <w:rPr>
                <w:rFonts w:hint="eastAsia" w:ascii="宋体" w:hAnsi="宋体" w:eastAsia="宋体" w:cs="宋体"/>
                <w:sz w:val="24"/>
                <w:szCs w:val="24"/>
                <w:highlight w:val="none"/>
                <w:lang w:eastAsia="zh-CN"/>
              </w:rPr>
            </w:pPr>
            <w:r>
              <w:rPr>
                <w:rFonts w:hint="eastAsia" w:ascii="宋体" w:hAnsi="宋体" w:eastAsia="宋体" w:cs="宋体"/>
                <w:spacing w:val="-6"/>
                <w:sz w:val="24"/>
                <w:szCs w:val="24"/>
                <w:highlight w:val="none"/>
                <w:lang w:eastAsia="zh-CN"/>
              </w:rPr>
              <w:t>证书编号</w:t>
            </w:r>
          </w:p>
        </w:tc>
        <w:tc>
          <w:tcPr>
            <w:tcW w:w="2796" w:type="dxa"/>
            <w:gridSpan w:val="2"/>
            <w:noWrap w:val="0"/>
            <w:vAlign w:val="top"/>
          </w:tcPr>
          <w:p w14:paraId="1281D3AF">
            <w:pPr>
              <w:jc w:val="center"/>
              <w:rPr>
                <w:rFonts w:hint="eastAsia" w:ascii="宋体" w:hAnsi="宋体" w:eastAsia="宋体" w:cs="宋体"/>
                <w:sz w:val="24"/>
                <w:szCs w:val="24"/>
                <w:highlight w:val="none"/>
              </w:rPr>
            </w:pPr>
          </w:p>
        </w:tc>
        <w:tc>
          <w:tcPr>
            <w:tcW w:w="1934" w:type="dxa"/>
            <w:noWrap w:val="0"/>
            <w:vAlign w:val="top"/>
          </w:tcPr>
          <w:p w14:paraId="77D8D87A">
            <w:pPr>
              <w:pStyle w:val="38"/>
              <w:spacing w:before="141" w:line="221" w:lineRule="auto"/>
              <w:jc w:val="center"/>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学历</w:t>
            </w:r>
          </w:p>
        </w:tc>
        <w:tc>
          <w:tcPr>
            <w:tcW w:w="2642" w:type="dxa"/>
            <w:gridSpan w:val="2"/>
            <w:noWrap w:val="0"/>
            <w:vAlign w:val="top"/>
          </w:tcPr>
          <w:p w14:paraId="76262F84">
            <w:pPr>
              <w:rPr>
                <w:rFonts w:hint="eastAsia" w:ascii="宋体" w:hAnsi="宋体" w:eastAsia="宋体" w:cs="宋体"/>
                <w:sz w:val="24"/>
                <w:szCs w:val="24"/>
                <w:highlight w:val="none"/>
              </w:rPr>
            </w:pPr>
          </w:p>
        </w:tc>
      </w:tr>
      <w:tr w14:paraId="41170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84" w:type="dxa"/>
            <w:noWrap w:val="0"/>
            <w:vAlign w:val="top"/>
          </w:tcPr>
          <w:p w14:paraId="6FDD965D">
            <w:pPr>
              <w:pStyle w:val="38"/>
              <w:spacing w:before="141" w:line="22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职称</w:t>
            </w:r>
          </w:p>
        </w:tc>
        <w:tc>
          <w:tcPr>
            <w:tcW w:w="2796" w:type="dxa"/>
            <w:gridSpan w:val="2"/>
            <w:noWrap w:val="0"/>
            <w:vAlign w:val="top"/>
          </w:tcPr>
          <w:p w14:paraId="6E4A7341">
            <w:pPr>
              <w:jc w:val="center"/>
              <w:rPr>
                <w:rFonts w:hint="eastAsia" w:ascii="宋体" w:hAnsi="宋体" w:eastAsia="宋体" w:cs="宋体"/>
                <w:sz w:val="24"/>
                <w:szCs w:val="24"/>
                <w:highlight w:val="none"/>
              </w:rPr>
            </w:pPr>
          </w:p>
        </w:tc>
        <w:tc>
          <w:tcPr>
            <w:tcW w:w="1934" w:type="dxa"/>
            <w:noWrap w:val="0"/>
            <w:vAlign w:val="top"/>
          </w:tcPr>
          <w:p w14:paraId="74B12E2C">
            <w:pPr>
              <w:pStyle w:val="38"/>
              <w:spacing w:before="141" w:line="219" w:lineRule="auto"/>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在单位担任职务</w:t>
            </w:r>
          </w:p>
        </w:tc>
        <w:tc>
          <w:tcPr>
            <w:tcW w:w="2642" w:type="dxa"/>
            <w:gridSpan w:val="2"/>
            <w:noWrap w:val="0"/>
            <w:vAlign w:val="top"/>
          </w:tcPr>
          <w:p w14:paraId="27F37D53">
            <w:pPr>
              <w:rPr>
                <w:rFonts w:hint="eastAsia" w:ascii="宋体" w:hAnsi="宋体" w:eastAsia="宋体" w:cs="宋体"/>
                <w:sz w:val="24"/>
                <w:szCs w:val="24"/>
                <w:highlight w:val="none"/>
              </w:rPr>
            </w:pPr>
          </w:p>
        </w:tc>
      </w:tr>
      <w:tr w14:paraId="53A79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84" w:type="dxa"/>
            <w:noWrap w:val="0"/>
            <w:vAlign w:val="top"/>
          </w:tcPr>
          <w:p w14:paraId="405BA586">
            <w:pPr>
              <w:pStyle w:val="38"/>
              <w:spacing w:before="144" w:line="220" w:lineRule="auto"/>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从事本职业年限</w:t>
            </w:r>
          </w:p>
        </w:tc>
        <w:tc>
          <w:tcPr>
            <w:tcW w:w="2796" w:type="dxa"/>
            <w:gridSpan w:val="2"/>
            <w:noWrap w:val="0"/>
            <w:vAlign w:val="top"/>
          </w:tcPr>
          <w:p w14:paraId="1C8D09BB">
            <w:pPr>
              <w:jc w:val="center"/>
              <w:rPr>
                <w:rFonts w:hint="eastAsia" w:ascii="宋体" w:hAnsi="宋体" w:eastAsia="宋体" w:cs="宋体"/>
                <w:sz w:val="24"/>
                <w:szCs w:val="24"/>
                <w:highlight w:val="none"/>
              </w:rPr>
            </w:pPr>
          </w:p>
        </w:tc>
        <w:tc>
          <w:tcPr>
            <w:tcW w:w="1934" w:type="dxa"/>
            <w:noWrap w:val="0"/>
            <w:vAlign w:val="top"/>
          </w:tcPr>
          <w:p w14:paraId="2B1D243F">
            <w:pPr>
              <w:pStyle w:val="38"/>
              <w:spacing w:before="144" w:line="219" w:lineRule="auto"/>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身份证号码</w:t>
            </w:r>
          </w:p>
        </w:tc>
        <w:tc>
          <w:tcPr>
            <w:tcW w:w="2642" w:type="dxa"/>
            <w:gridSpan w:val="2"/>
            <w:noWrap w:val="0"/>
            <w:vAlign w:val="top"/>
          </w:tcPr>
          <w:p w14:paraId="0C1A51D2">
            <w:pPr>
              <w:rPr>
                <w:rFonts w:hint="eastAsia" w:ascii="宋体" w:hAnsi="宋体" w:eastAsia="宋体" w:cs="宋体"/>
                <w:sz w:val="24"/>
                <w:szCs w:val="24"/>
                <w:highlight w:val="none"/>
              </w:rPr>
            </w:pPr>
          </w:p>
        </w:tc>
      </w:tr>
      <w:tr w14:paraId="0AC46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noWrap w:val="0"/>
            <w:vAlign w:val="top"/>
          </w:tcPr>
          <w:p w14:paraId="3D09C452">
            <w:pPr>
              <w:pStyle w:val="38"/>
              <w:spacing w:before="144" w:line="219" w:lineRule="auto"/>
              <w:jc w:val="center"/>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专业</w:t>
            </w:r>
          </w:p>
        </w:tc>
        <w:tc>
          <w:tcPr>
            <w:tcW w:w="2796" w:type="dxa"/>
            <w:gridSpan w:val="2"/>
            <w:noWrap w:val="0"/>
            <w:vAlign w:val="top"/>
          </w:tcPr>
          <w:p w14:paraId="6EEA5516">
            <w:pPr>
              <w:jc w:val="center"/>
              <w:rPr>
                <w:rFonts w:hint="eastAsia" w:ascii="宋体" w:hAnsi="宋体" w:eastAsia="宋体" w:cs="宋体"/>
                <w:sz w:val="24"/>
                <w:szCs w:val="24"/>
                <w:highlight w:val="none"/>
              </w:rPr>
            </w:pPr>
          </w:p>
        </w:tc>
        <w:tc>
          <w:tcPr>
            <w:tcW w:w="1934" w:type="dxa"/>
            <w:noWrap w:val="0"/>
            <w:vAlign w:val="top"/>
          </w:tcPr>
          <w:p w14:paraId="091EE1F4">
            <w:pPr>
              <w:pStyle w:val="38"/>
              <w:spacing w:before="144" w:line="219" w:lineRule="auto"/>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毕业学校</w:t>
            </w:r>
          </w:p>
        </w:tc>
        <w:tc>
          <w:tcPr>
            <w:tcW w:w="2642" w:type="dxa"/>
            <w:gridSpan w:val="2"/>
            <w:noWrap w:val="0"/>
            <w:vAlign w:val="top"/>
          </w:tcPr>
          <w:p w14:paraId="41E69B5D">
            <w:pPr>
              <w:rPr>
                <w:rFonts w:hint="eastAsia" w:ascii="宋体" w:hAnsi="宋体" w:eastAsia="宋体" w:cs="宋体"/>
                <w:sz w:val="24"/>
                <w:szCs w:val="24"/>
                <w:highlight w:val="none"/>
              </w:rPr>
            </w:pPr>
          </w:p>
        </w:tc>
      </w:tr>
      <w:tr w14:paraId="3DAB7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vMerge w:val="restart"/>
            <w:tcBorders>
              <w:bottom w:val="nil"/>
            </w:tcBorders>
            <w:noWrap w:val="0"/>
            <w:vAlign w:val="top"/>
          </w:tcPr>
          <w:p w14:paraId="71215B4B">
            <w:pPr>
              <w:spacing w:line="254" w:lineRule="auto"/>
              <w:rPr>
                <w:rFonts w:hint="eastAsia" w:ascii="宋体" w:hAnsi="宋体" w:eastAsia="宋体" w:cs="宋体"/>
                <w:sz w:val="24"/>
                <w:szCs w:val="24"/>
                <w:highlight w:val="none"/>
              </w:rPr>
            </w:pPr>
          </w:p>
          <w:p w14:paraId="4557F1CC">
            <w:pPr>
              <w:spacing w:line="254" w:lineRule="auto"/>
              <w:rPr>
                <w:rFonts w:hint="eastAsia" w:ascii="宋体" w:hAnsi="宋体" w:eastAsia="宋体" w:cs="宋体"/>
                <w:sz w:val="24"/>
                <w:szCs w:val="24"/>
                <w:highlight w:val="none"/>
              </w:rPr>
            </w:pPr>
          </w:p>
          <w:p w14:paraId="12CA6430">
            <w:pPr>
              <w:spacing w:line="254" w:lineRule="auto"/>
              <w:rPr>
                <w:rFonts w:hint="eastAsia" w:ascii="宋体" w:hAnsi="宋体" w:eastAsia="宋体" w:cs="宋体"/>
                <w:sz w:val="24"/>
                <w:szCs w:val="24"/>
                <w:highlight w:val="none"/>
              </w:rPr>
            </w:pPr>
          </w:p>
          <w:p w14:paraId="7B26C9BD">
            <w:pPr>
              <w:spacing w:line="254" w:lineRule="auto"/>
              <w:rPr>
                <w:rFonts w:hint="eastAsia" w:ascii="宋体" w:hAnsi="宋体" w:eastAsia="宋体" w:cs="宋体"/>
                <w:sz w:val="24"/>
                <w:szCs w:val="24"/>
                <w:highlight w:val="none"/>
              </w:rPr>
            </w:pPr>
          </w:p>
          <w:p w14:paraId="67235744">
            <w:pPr>
              <w:spacing w:line="255" w:lineRule="auto"/>
              <w:rPr>
                <w:rFonts w:hint="eastAsia" w:ascii="宋体" w:hAnsi="宋体" w:eastAsia="宋体" w:cs="宋体"/>
                <w:sz w:val="24"/>
                <w:szCs w:val="24"/>
                <w:highlight w:val="none"/>
              </w:rPr>
            </w:pPr>
          </w:p>
          <w:p w14:paraId="48BEEE69">
            <w:pPr>
              <w:spacing w:line="255" w:lineRule="auto"/>
              <w:rPr>
                <w:rFonts w:hint="eastAsia" w:ascii="宋体" w:hAnsi="宋体" w:eastAsia="宋体" w:cs="宋体"/>
                <w:sz w:val="24"/>
                <w:szCs w:val="24"/>
                <w:highlight w:val="none"/>
              </w:rPr>
            </w:pPr>
          </w:p>
          <w:p w14:paraId="1C9F752A">
            <w:pPr>
              <w:spacing w:line="255" w:lineRule="auto"/>
              <w:rPr>
                <w:rFonts w:hint="eastAsia" w:ascii="宋体" w:hAnsi="宋体" w:eastAsia="宋体" w:cs="宋体"/>
                <w:sz w:val="24"/>
                <w:szCs w:val="24"/>
                <w:highlight w:val="none"/>
              </w:rPr>
            </w:pPr>
          </w:p>
          <w:p w14:paraId="18BFD548">
            <w:pPr>
              <w:pStyle w:val="38"/>
              <w:spacing w:before="78" w:line="219" w:lineRule="auto"/>
              <w:ind w:left="47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类似业绩</w:t>
            </w:r>
          </w:p>
        </w:tc>
        <w:tc>
          <w:tcPr>
            <w:tcW w:w="1358" w:type="dxa"/>
            <w:noWrap w:val="0"/>
            <w:vAlign w:val="top"/>
          </w:tcPr>
          <w:p w14:paraId="1C925712">
            <w:pPr>
              <w:pStyle w:val="38"/>
              <w:spacing w:before="144" w:line="219" w:lineRule="auto"/>
              <w:ind w:left="30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采购单位</w:t>
            </w:r>
          </w:p>
        </w:tc>
        <w:tc>
          <w:tcPr>
            <w:tcW w:w="1438" w:type="dxa"/>
            <w:noWrap w:val="0"/>
            <w:vAlign w:val="top"/>
          </w:tcPr>
          <w:p w14:paraId="04266827">
            <w:pPr>
              <w:pStyle w:val="38"/>
              <w:spacing w:before="144" w:line="220" w:lineRule="auto"/>
              <w:ind w:left="320"/>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项目名称</w:t>
            </w:r>
          </w:p>
        </w:tc>
        <w:tc>
          <w:tcPr>
            <w:tcW w:w="1934" w:type="dxa"/>
            <w:noWrap w:val="0"/>
            <w:vAlign w:val="top"/>
          </w:tcPr>
          <w:p w14:paraId="4D0F38A3">
            <w:pPr>
              <w:pStyle w:val="38"/>
              <w:spacing w:before="145" w:line="219" w:lineRule="auto"/>
              <w:ind w:left="31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服务内容</w:t>
            </w:r>
          </w:p>
        </w:tc>
        <w:tc>
          <w:tcPr>
            <w:tcW w:w="1582" w:type="dxa"/>
            <w:noWrap w:val="0"/>
            <w:vAlign w:val="top"/>
          </w:tcPr>
          <w:p w14:paraId="2068DAAF">
            <w:pPr>
              <w:pStyle w:val="38"/>
              <w:spacing w:before="144" w:line="220" w:lineRule="auto"/>
              <w:ind w:left="32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合同期限</w:t>
            </w:r>
          </w:p>
        </w:tc>
        <w:tc>
          <w:tcPr>
            <w:tcW w:w="1060" w:type="dxa"/>
            <w:noWrap w:val="0"/>
            <w:vAlign w:val="top"/>
          </w:tcPr>
          <w:p w14:paraId="6B1D4E8A">
            <w:pPr>
              <w:pStyle w:val="38"/>
              <w:spacing w:before="144" w:line="221" w:lineRule="auto"/>
              <w:ind w:left="30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备注</w:t>
            </w:r>
          </w:p>
        </w:tc>
      </w:tr>
      <w:tr w14:paraId="3D21D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vMerge w:val="continue"/>
            <w:tcBorders>
              <w:top w:val="nil"/>
              <w:bottom w:val="nil"/>
            </w:tcBorders>
            <w:noWrap w:val="0"/>
            <w:vAlign w:val="top"/>
          </w:tcPr>
          <w:p w14:paraId="4D2EB59B">
            <w:pPr>
              <w:rPr>
                <w:rFonts w:hint="eastAsia" w:ascii="宋体" w:hAnsi="宋体" w:eastAsia="宋体" w:cs="宋体"/>
                <w:sz w:val="24"/>
                <w:szCs w:val="24"/>
                <w:highlight w:val="none"/>
              </w:rPr>
            </w:pPr>
          </w:p>
        </w:tc>
        <w:tc>
          <w:tcPr>
            <w:tcW w:w="1358" w:type="dxa"/>
            <w:noWrap w:val="0"/>
            <w:vAlign w:val="top"/>
          </w:tcPr>
          <w:p w14:paraId="6022086F">
            <w:pPr>
              <w:rPr>
                <w:rFonts w:hint="eastAsia" w:ascii="宋体" w:hAnsi="宋体" w:eastAsia="宋体" w:cs="宋体"/>
                <w:sz w:val="24"/>
                <w:szCs w:val="24"/>
                <w:highlight w:val="none"/>
              </w:rPr>
            </w:pPr>
          </w:p>
        </w:tc>
        <w:tc>
          <w:tcPr>
            <w:tcW w:w="1438" w:type="dxa"/>
            <w:noWrap w:val="0"/>
            <w:vAlign w:val="top"/>
          </w:tcPr>
          <w:p w14:paraId="379AE7FB">
            <w:pPr>
              <w:rPr>
                <w:rFonts w:hint="eastAsia" w:ascii="宋体" w:hAnsi="宋体" w:eastAsia="宋体" w:cs="宋体"/>
                <w:sz w:val="24"/>
                <w:szCs w:val="24"/>
                <w:highlight w:val="none"/>
              </w:rPr>
            </w:pPr>
          </w:p>
        </w:tc>
        <w:tc>
          <w:tcPr>
            <w:tcW w:w="1934" w:type="dxa"/>
            <w:noWrap w:val="0"/>
            <w:vAlign w:val="top"/>
          </w:tcPr>
          <w:p w14:paraId="47A06659">
            <w:pPr>
              <w:rPr>
                <w:rFonts w:hint="eastAsia" w:ascii="宋体" w:hAnsi="宋体" w:eastAsia="宋体" w:cs="宋体"/>
                <w:sz w:val="24"/>
                <w:szCs w:val="24"/>
                <w:highlight w:val="none"/>
              </w:rPr>
            </w:pPr>
          </w:p>
        </w:tc>
        <w:tc>
          <w:tcPr>
            <w:tcW w:w="1582" w:type="dxa"/>
            <w:noWrap w:val="0"/>
            <w:vAlign w:val="top"/>
          </w:tcPr>
          <w:p w14:paraId="5E647C77">
            <w:pPr>
              <w:rPr>
                <w:rFonts w:hint="eastAsia" w:ascii="宋体" w:hAnsi="宋体" w:eastAsia="宋体" w:cs="宋体"/>
                <w:sz w:val="24"/>
                <w:szCs w:val="24"/>
                <w:highlight w:val="none"/>
              </w:rPr>
            </w:pPr>
          </w:p>
        </w:tc>
        <w:tc>
          <w:tcPr>
            <w:tcW w:w="1060" w:type="dxa"/>
            <w:noWrap w:val="0"/>
            <w:vAlign w:val="top"/>
          </w:tcPr>
          <w:p w14:paraId="6BA69ACD">
            <w:pPr>
              <w:rPr>
                <w:rFonts w:hint="eastAsia" w:ascii="宋体" w:hAnsi="宋体" w:eastAsia="宋体" w:cs="宋体"/>
                <w:sz w:val="24"/>
                <w:szCs w:val="24"/>
                <w:highlight w:val="none"/>
              </w:rPr>
            </w:pPr>
          </w:p>
        </w:tc>
      </w:tr>
      <w:tr w14:paraId="0E19F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vMerge w:val="continue"/>
            <w:tcBorders>
              <w:top w:val="nil"/>
              <w:bottom w:val="nil"/>
            </w:tcBorders>
            <w:noWrap w:val="0"/>
            <w:vAlign w:val="top"/>
          </w:tcPr>
          <w:p w14:paraId="0DE1960E">
            <w:pPr>
              <w:rPr>
                <w:rFonts w:hint="eastAsia" w:ascii="宋体" w:hAnsi="宋体" w:eastAsia="宋体" w:cs="宋体"/>
                <w:sz w:val="24"/>
                <w:szCs w:val="24"/>
                <w:highlight w:val="none"/>
              </w:rPr>
            </w:pPr>
          </w:p>
        </w:tc>
        <w:tc>
          <w:tcPr>
            <w:tcW w:w="1358" w:type="dxa"/>
            <w:noWrap w:val="0"/>
            <w:vAlign w:val="top"/>
          </w:tcPr>
          <w:p w14:paraId="28669379">
            <w:pPr>
              <w:rPr>
                <w:rFonts w:hint="eastAsia" w:ascii="宋体" w:hAnsi="宋体" w:eastAsia="宋体" w:cs="宋体"/>
                <w:sz w:val="24"/>
                <w:szCs w:val="24"/>
                <w:highlight w:val="none"/>
              </w:rPr>
            </w:pPr>
          </w:p>
        </w:tc>
        <w:tc>
          <w:tcPr>
            <w:tcW w:w="1438" w:type="dxa"/>
            <w:noWrap w:val="0"/>
            <w:vAlign w:val="top"/>
          </w:tcPr>
          <w:p w14:paraId="492582EB">
            <w:pPr>
              <w:rPr>
                <w:rFonts w:hint="eastAsia" w:ascii="宋体" w:hAnsi="宋体" w:eastAsia="宋体" w:cs="宋体"/>
                <w:sz w:val="24"/>
                <w:szCs w:val="24"/>
                <w:highlight w:val="none"/>
              </w:rPr>
            </w:pPr>
          </w:p>
        </w:tc>
        <w:tc>
          <w:tcPr>
            <w:tcW w:w="1934" w:type="dxa"/>
            <w:noWrap w:val="0"/>
            <w:vAlign w:val="top"/>
          </w:tcPr>
          <w:p w14:paraId="3E964268">
            <w:pPr>
              <w:rPr>
                <w:rFonts w:hint="eastAsia" w:ascii="宋体" w:hAnsi="宋体" w:eastAsia="宋体" w:cs="宋体"/>
                <w:sz w:val="24"/>
                <w:szCs w:val="24"/>
                <w:highlight w:val="none"/>
              </w:rPr>
            </w:pPr>
          </w:p>
        </w:tc>
        <w:tc>
          <w:tcPr>
            <w:tcW w:w="1582" w:type="dxa"/>
            <w:noWrap w:val="0"/>
            <w:vAlign w:val="top"/>
          </w:tcPr>
          <w:p w14:paraId="7515A66D">
            <w:pPr>
              <w:rPr>
                <w:rFonts w:hint="eastAsia" w:ascii="宋体" w:hAnsi="宋体" w:eastAsia="宋体" w:cs="宋体"/>
                <w:sz w:val="24"/>
                <w:szCs w:val="24"/>
                <w:highlight w:val="none"/>
              </w:rPr>
            </w:pPr>
          </w:p>
        </w:tc>
        <w:tc>
          <w:tcPr>
            <w:tcW w:w="1060" w:type="dxa"/>
            <w:noWrap w:val="0"/>
            <w:vAlign w:val="top"/>
          </w:tcPr>
          <w:p w14:paraId="5958E700">
            <w:pPr>
              <w:rPr>
                <w:rFonts w:hint="eastAsia" w:ascii="宋体" w:hAnsi="宋体" w:eastAsia="宋体" w:cs="宋体"/>
                <w:sz w:val="24"/>
                <w:szCs w:val="24"/>
                <w:highlight w:val="none"/>
              </w:rPr>
            </w:pPr>
          </w:p>
        </w:tc>
      </w:tr>
      <w:tr w14:paraId="04855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vMerge w:val="continue"/>
            <w:tcBorders>
              <w:top w:val="nil"/>
              <w:bottom w:val="nil"/>
            </w:tcBorders>
            <w:noWrap w:val="0"/>
            <w:vAlign w:val="top"/>
          </w:tcPr>
          <w:p w14:paraId="501DD46D">
            <w:pPr>
              <w:rPr>
                <w:rFonts w:hint="eastAsia" w:ascii="宋体" w:hAnsi="宋体" w:eastAsia="宋体" w:cs="宋体"/>
                <w:sz w:val="24"/>
                <w:szCs w:val="24"/>
                <w:highlight w:val="none"/>
              </w:rPr>
            </w:pPr>
          </w:p>
        </w:tc>
        <w:tc>
          <w:tcPr>
            <w:tcW w:w="1358" w:type="dxa"/>
            <w:noWrap w:val="0"/>
            <w:vAlign w:val="top"/>
          </w:tcPr>
          <w:p w14:paraId="66B61C5B">
            <w:pPr>
              <w:rPr>
                <w:rFonts w:hint="eastAsia" w:ascii="宋体" w:hAnsi="宋体" w:eastAsia="宋体" w:cs="宋体"/>
                <w:sz w:val="24"/>
                <w:szCs w:val="24"/>
                <w:highlight w:val="none"/>
              </w:rPr>
            </w:pPr>
          </w:p>
        </w:tc>
        <w:tc>
          <w:tcPr>
            <w:tcW w:w="1438" w:type="dxa"/>
            <w:noWrap w:val="0"/>
            <w:vAlign w:val="top"/>
          </w:tcPr>
          <w:p w14:paraId="040689EF">
            <w:pPr>
              <w:rPr>
                <w:rFonts w:hint="eastAsia" w:ascii="宋体" w:hAnsi="宋体" w:eastAsia="宋体" w:cs="宋体"/>
                <w:sz w:val="24"/>
                <w:szCs w:val="24"/>
                <w:highlight w:val="none"/>
              </w:rPr>
            </w:pPr>
          </w:p>
        </w:tc>
        <w:tc>
          <w:tcPr>
            <w:tcW w:w="1934" w:type="dxa"/>
            <w:noWrap w:val="0"/>
            <w:vAlign w:val="top"/>
          </w:tcPr>
          <w:p w14:paraId="64EE863D">
            <w:pPr>
              <w:rPr>
                <w:rFonts w:hint="eastAsia" w:ascii="宋体" w:hAnsi="宋体" w:eastAsia="宋体" w:cs="宋体"/>
                <w:sz w:val="24"/>
                <w:szCs w:val="24"/>
                <w:highlight w:val="none"/>
              </w:rPr>
            </w:pPr>
          </w:p>
        </w:tc>
        <w:tc>
          <w:tcPr>
            <w:tcW w:w="1582" w:type="dxa"/>
            <w:noWrap w:val="0"/>
            <w:vAlign w:val="top"/>
          </w:tcPr>
          <w:p w14:paraId="7D9B2F92">
            <w:pPr>
              <w:rPr>
                <w:rFonts w:hint="eastAsia" w:ascii="宋体" w:hAnsi="宋体" w:eastAsia="宋体" w:cs="宋体"/>
                <w:sz w:val="24"/>
                <w:szCs w:val="24"/>
                <w:highlight w:val="none"/>
              </w:rPr>
            </w:pPr>
          </w:p>
        </w:tc>
        <w:tc>
          <w:tcPr>
            <w:tcW w:w="1060" w:type="dxa"/>
            <w:noWrap w:val="0"/>
            <w:vAlign w:val="top"/>
          </w:tcPr>
          <w:p w14:paraId="599189DC">
            <w:pPr>
              <w:rPr>
                <w:rFonts w:hint="eastAsia" w:ascii="宋体" w:hAnsi="宋体" w:eastAsia="宋体" w:cs="宋体"/>
                <w:sz w:val="24"/>
                <w:szCs w:val="24"/>
                <w:highlight w:val="none"/>
              </w:rPr>
            </w:pPr>
          </w:p>
        </w:tc>
      </w:tr>
      <w:tr w14:paraId="711E3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884" w:type="dxa"/>
            <w:vMerge w:val="continue"/>
            <w:tcBorders>
              <w:top w:val="nil"/>
              <w:bottom w:val="nil"/>
            </w:tcBorders>
            <w:noWrap w:val="0"/>
            <w:vAlign w:val="top"/>
          </w:tcPr>
          <w:p w14:paraId="6971E404">
            <w:pPr>
              <w:rPr>
                <w:rFonts w:hint="eastAsia" w:ascii="宋体" w:hAnsi="宋体" w:eastAsia="宋体" w:cs="宋体"/>
                <w:sz w:val="24"/>
                <w:szCs w:val="24"/>
                <w:highlight w:val="none"/>
              </w:rPr>
            </w:pPr>
          </w:p>
        </w:tc>
        <w:tc>
          <w:tcPr>
            <w:tcW w:w="1358" w:type="dxa"/>
            <w:noWrap w:val="0"/>
            <w:vAlign w:val="top"/>
          </w:tcPr>
          <w:p w14:paraId="103ACE23">
            <w:pPr>
              <w:rPr>
                <w:rFonts w:hint="eastAsia" w:ascii="宋体" w:hAnsi="宋体" w:eastAsia="宋体" w:cs="宋体"/>
                <w:sz w:val="24"/>
                <w:szCs w:val="24"/>
                <w:highlight w:val="none"/>
              </w:rPr>
            </w:pPr>
          </w:p>
        </w:tc>
        <w:tc>
          <w:tcPr>
            <w:tcW w:w="1438" w:type="dxa"/>
            <w:noWrap w:val="0"/>
            <w:vAlign w:val="top"/>
          </w:tcPr>
          <w:p w14:paraId="33BA46E2">
            <w:pPr>
              <w:rPr>
                <w:rFonts w:hint="eastAsia" w:ascii="宋体" w:hAnsi="宋体" w:eastAsia="宋体" w:cs="宋体"/>
                <w:sz w:val="24"/>
                <w:szCs w:val="24"/>
                <w:highlight w:val="none"/>
              </w:rPr>
            </w:pPr>
          </w:p>
        </w:tc>
        <w:tc>
          <w:tcPr>
            <w:tcW w:w="1934" w:type="dxa"/>
            <w:noWrap w:val="0"/>
            <w:vAlign w:val="top"/>
          </w:tcPr>
          <w:p w14:paraId="7B9F5F4E">
            <w:pPr>
              <w:rPr>
                <w:rFonts w:hint="eastAsia" w:ascii="宋体" w:hAnsi="宋体" w:eastAsia="宋体" w:cs="宋体"/>
                <w:sz w:val="24"/>
                <w:szCs w:val="24"/>
                <w:highlight w:val="none"/>
              </w:rPr>
            </w:pPr>
          </w:p>
        </w:tc>
        <w:tc>
          <w:tcPr>
            <w:tcW w:w="1582" w:type="dxa"/>
            <w:noWrap w:val="0"/>
            <w:vAlign w:val="top"/>
          </w:tcPr>
          <w:p w14:paraId="3C548B96">
            <w:pPr>
              <w:rPr>
                <w:rFonts w:hint="eastAsia" w:ascii="宋体" w:hAnsi="宋体" w:eastAsia="宋体" w:cs="宋体"/>
                <w:sz w:val="24"/>
                <w:szCs w:val="24"/>
                <w:highlight w:val="none"/>
              </w:rPr>
            </w:pPr>
          </w:p>
        </w:tc>
        <w:tc>
          <w:tcPr>
            <w:tcW w:w="1060" w:type="dxa"/>
            <w:noWrap w:val="0"/>
            <w:vAlign w:val="top"/>
          </w:tcPr>
          <w:p w14:paraId="087A3625">
            <w:pPr>
              <w:rPr>
                <w:rFonts w:hint="eastAsia" w:ascii="宋体" w:hAnsi="宋体" w:eastAsia="宋体" w:cs="宋体"/>
                <w:sz w:val="24"/>
                <w:szCs w:val="24"/>
                <w:highlight w:val="none"/>
              </w:rPr>
            </w:pPr>
          </w:p>
        </w:tc>
      </w:tr>
      <w:tr w14:paraId="56597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884" w:type="dxa"/>
            <w:vMerge w:val="continue"/>
            <w:tcBorders>
              <w:top w:val="nil"/>
            </w:tcBorders>
            <w:noWrap w:val="0"/>
            <w:vAlign w:val="top"/>
          </w:tcPr>
          <w:p w14:paraId="087BB9D0">
            <w:pPr>
              <w:rPr>
                <w:rFonts w:hint="eastAsia" w:ascii="宋体" w:hAnsi="宋体" w:eastAsia="宋体" w:cs="宋体"/>
                <w:sz w:val="24"/>
                <w:szCs w:val="24"/>
                <w:highlight w:val="none"/>
              </w:rPr>
            </w:pPr>
          </w:p>
        </w:tc>
        <w:tc>
          <w:tcPr>
            <w:tcW w:w="1358" w:type="dxa"/>
            <w:noWrap w:val="0"/>
            <w:vAlign w:val="top"/>
          </w:tcPr>
          <w:p w14:paraId="39A48EE5">
            <w:pPr>
              <w:rPr>
                <w:rFonts w:hint="eastAsia" w:ascii="宋体" w:hAnsi="宋体" w:eastAsia="宋体" w:cs="宋体"/>
                <w:sz w:val="24"/>
                <w:szCs w:val="24"/>
                <w:highlight w:val="none"/>
              </w:rPr>
            </w:pPr>
          </w:p>
        </w:tc>
        <w:tc>
          <w:tcPr>
            <w:tcW w:w="1438" w:type="dxa"/>
            <w:noWrap w:val="0"/>
            <w:vAlign w:val="top"/>
          </w:tcPr>
          <w:p w14:paraId="0EBB87E5">
            <w:pPr>
              <w:rPr>
                <w:rFonts w:hint="eastAsia" w:ascii="宋体" w:hAnsi="宋体" w:eastAsia="宋体" w:cs="宋体"/>
                <w:sz w:val="24"/>
                <w:szCs w:val="24"/>
                <w:highlight w:val="none"/>
              </w:rPr>
            </w:pPr>
          </w:p>
        </w:tc>
        <w:tc>
          <w:tcPr>
            <w:tcW w:w="1934" w:type="dxa"/>
            <w:noWrap w:val="0"/>
            <w:vAlign w:val="top"/>
          </w:tcPr>
          <w:p w14:paraId="73667A61">
            <w:pPr>
              <w:rPr>
                <w:rFonts w:hint="eastAsia" w:ascii="宋体" w:hAnsi="宋体" w:eastAsia="宋体" w:cs="宋体"/>
                <w:sz w:val="24"/>
                <w:szCs w:val="24"/>
                <w:highlight w:val="none"/>
              </w:rPr>
            </w:pPr>
          </w:p>
        </w:tc>
        <w:tc>
          <w:tcPr>
            <w:tcW w:w="1582" w:type="dxa"/>
            <w:noWrap w:val="0"/>
            <w:vAlign w:val="top"/>
          </w:tcPr>
          <w:p w14:paraId="22055E24">
            <w:pPr>
              <w:rPr>
                <w:rFonts w:hint="eastAsia" w:ascii="宋体" w:hAnsi="宋体" w:eastAsia="宋体" w:cs="宋体"/>
                <w:sz w:val="24"/>
                <w:szCs w:val="24"/>
                <w:highlight w:val="none"/>
              </w:rPr>
            </w:pPr>
          </w:p>
        </w:tc>
        <w:tc>
          <w:tcPr>
            <w:tcW w:w="1060" w:type="dxa"/>
            <w:noWrap w:val="0"/>
            <w:vAlign w:val="top"/>
          </w:tcPr>
          <w:p w14:paraId="37B09A77">
            <w:pPr>
              <w:rPr>
                <w:rFonts w:hint="eastAsia" w:ascii="宋体" w:hAnsi="宋体" w:eastAsia="宋体" w:cs="宋体"/>
                <w:sz w:val="24"/>
                <w:szCs w:val="24"/>
                <w:highlight w:val="none"/>
              </w:rPr>
            </w:pPr>
          </w:p>
        </w:tc>
      </w:tr>
    </w:tbl>
    <w:p w14:paraId="04FB41C7">
      <w:pPr>
        <w:pStyle w:val="32"/>
        <w:keepNext/>
        <w:keepLines/>
        <w:widowControl w:val="0"/>
        <w:numPr>
          <w:ilvl w:val="0"/>
          <w:numId w:val="0"/>
        </w:numPr>
        <w:adjustRightInd/>
        <w:spacing w:before="100" w:beforeLines="0" w:line="400" w:lineRule="exact"/>
        <w:jc w:val="center"/>
        <w:textAlignment w:val="auto"/>
        <w:outlineLvl w:val="1"/>
        <w:rPr>
          <w:rFonts w:hint="eastAsia" w:ascii="宋体" w:hAnsi="宋体" w:eastAsia="宋体" w:cs="宋体"/>
          <w:b/>
          <w:bCs/>
          <w:sz w:val="24"/>
          <w:szCs w:val="24"/>
          <w:highlight w:val="none"/>
        </w:rPr>
      </w:pPr>
    </w:p>
    <w:p w14:paraId="48D665A1">
      <w:pPr>
        <w:spacing w:line="400" w:lineRule="exact"/>
        <w:jc w:val="left"/>
        <w:rPr>
          <w:rFonts w:hint="eastAsia" w:ascii="宋体" w:hAnsi="宋体" w:eastAsia="宋体" w:cs="宋体"/>
          <w:sz w:val="24"/>
          <w:highlight w:val="none"/>
        </w:rPr>
      </w:pPr>
      <w:r>
        <w:rPr>
          <w:rFonts w:hint="eastAsia" w:ascii="宋体" w:hAnsi="宋体" w:eastAsia="宋体" w:cs="宋体"/>
          <w:sz w:val="24"/>
          <w:szCs w:val="24"/>
          <w:highlight w:val="none"/>
          <w:lang w:eastAsia="zh-CN"/>
        </w:rPr>
        <w:t>注：须附①</w:t>
      </w:r>
      <w:r>
        <w:rPr>
          <w:rFonts w:hint="eastAsia" w:ascii="宋体" w:hAnsi="宋体" w:eastAsia="宋体" w:cs="宋体"/>
          <w:color w:val="auto"/>
          <w:kern w:val="2"/>
          <w:sz w:val="24"/>
          <w:szCs w:val="24"/>
          <w:highlight w:val="none"/>
          <w:lang w:val="en-US" w:eastAsia="zh-CN" w:bidi="ar-SA"/>
        </w:rPr>
        <w:t>相应证书及</w:t>
      </w:r>
      <w:r>
        <w:rPr>
          <w:rFonts w:hint="eastAsia" w:ascii="宋体" w:hAnsi="宋体" w:cs="宋体"/>
          <w:color w:val="auto"/>
          <w:kern w:val="2"/>
          <w:sz w:val="24"/>
          <w:szCs w:val="24"/>
          <w:highlight w:val="none"/>
          <w:lang w:val="en-US" w:eastAsia="zh-CN" w:bidi="ar-SA"/>
        </w:rPr>
        <w:t>2025年11月至今任意一个月在投标单位依法缴纳社会保险的证明材料（新入职员工提供劳动合同原件扫描件，退休返聘员工提供退休证明及劳务合同原件扫描件）</w:t>
      </w:r>
      <w:r>
        <w:rPr>
          <w:rFonts w:hint="eastAsia" w:ascii="宋体" w:hAnsi="宋体" w:eastAsia="宋体" w:cs="宋体"/>
          <w:color w:val="auto"/>
          <w:kern w:val="2"/>
          <w:sz w:val="24"/>
          <w:szCs w:val="24"/>
          <w:highlight w:val="none"/>
          <w:lang w:val="en-US" w:eastAsia="zh-CN" w:bidi="ar-SA"/>
        </w:rPr>
        <w:t>并加盖单位公章。②</w:t>
      </w:r>
      <w:r>
        <w:rPr>
          <w:rFonts w:hint="eastAsia" w:ascii="宋体" w:hAnsi="宋体" w:cs="宋体"/>
          <w:color w:val="auto"/>
          <w:kern w:val="2"/>
          <w:sz w:val="24"/>
          <w:szCs w:val="24"/>
          <w:highlight w:val="none"/>
          <w:lang w:val="en-US" w:eastAsia="zh-CN" w:bidi="ar-SA"/>
        </w:rPr>
        <w:t>2023年4月1日</w:t>
      </w:r>
      <w:r>
        <w:rPr>
          <w:rFonts w:hint="eastAsia" w:ascii="宋体" w:hAnsi="宋体" w:eastAsia="宋体" w:cs="宋体"/>
          <w:color w:val="auto"/>
          <w:kern w:val="2"/>
          <w:sz w:val="24"/>
          <w:szCs w:val="24"/>
          <w:highlight w:val="none"/>
          <w:lang w:val="en-US" w:eastAsia="zh-CN" w:bidi="ar-SA"/>
        </w:rPr>
        <w:t>以来</w:t>
      </w:r>
      <w:r>
        <w:rPr>
          <w:rFonts w:hint="eastAsia" w:ascii="宋体" w:hAnsi="宋体" w:eastAsia="宋体" w:cs="宋体"/>
          <w:sz w:val="24"/>
          <w:szCs w:val="24"/>
          <w:highlight w:val="none"/>
          <w:lang w:val="en-US" w:eastAsia="zh-CN"/>
        </w:rPr>
        <w:t>类似项目案例的</w:t>
      </w:r>
      <w:r>
        <w:rPr>
          <w:rFonts w:hint="eastAsia" w:ascii="宋体" w:hAnsi="宋体" w:cs="宋体"/>
          <w:sz w:val="24"/>
          <w:szCs w:val="24"/>
          <w:highlight w:val="none"/>
          <w:lang w:val="en-US" w:eastAsia="zh-CN"/>
        </w:rPr>
        <w:t>合同影印件</w:t>
      </w:r>
      <w:r>
        <w:rPr>
          <w:rFonts w:hint="eastAsia" w:ascii="宋体" w:hAnsi="宋体" w:eastAsia="宋体" w:cs="宋体"/>
          <w:sz w:val="24"/>
          <w:szCs w:val="24"/>
          <w:highlight w:val="none"/>
          <w:lang w:val="en-US" w:eastAsia="zh-CN"/>
        </w:rPr>
        <w:t>，并加盖公章</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鲜章</w:t>
      </w:r>
      <w:r>
        <w:rPr>
          <w:rFonts w:hint="eastAsia" w:ascii="宋体" w:hAnsi="宋体" w:cs="宋体"/>
          <w:sz w:val="24"/>
          <w:szCs w:val="24"/>
          <w:highlight w:val="none"/>
          <w:lang w:val="en-US" w:eastAsia="zh-CN"/>
        </w:rPr>
        <w:t>）。</w:t>
      </w:r>
      <w:r>
        <w:rPr>
          <w:rFonts w:hint="eastAsia" w:ascii="宋体" w:hAnsi="宋体" w:eastAsia="宋体" w:cs="宋体"/>
          <w:kern w:val="2"/>
          <w:sz w:val="24"/>
          <w:szCs w:val="24"/>
          <w:highlight w:val="none"/>
          <w:lang w:val="en-US" w:eastAsia="zh-CN" w:bidi="ar-SA"/>
        </w:rPr>
        <w:t>（合同中</w:t>
      </w:r>
      <w:r>
        <w:rPr>
          <w:rFonts w:hint="eastAsia" w:ascii="宋体" w:hAnsi="宋体" w:cs="宋体"/>
          <w:kern w:val="2"/>
          <w:sz w:val="24"/>
          <w:szCs w:val="24"/>
          <w:highlight w:val="none"/>
          <w:lang w:val="en-US" w:eastAsia="zh-CN" w:bidi="ar-SA"/>
        </w:rPr>
        <w:t>需</w:t>
      </w:r>
      <w:r>
        <w:rPr>
          <w:rFonts w:hint="eastAsia" w:ascii="宋体" w:hAnsi="宋体" w:eastAsia="宋体" w:cs="宋体"/>
          <w:kern w:val="2"/>
          <w:sz w:val="24"/>
          <w:szCs w:val="24"/>
          <w:highlight w:val="none"/>
          <w:lang w:val="en-US" w:eastAsia="zh-CN" w:bidi="ar-SA"/>
        </w:rPr>
        <w:t>体现项目负责人</w:t>
      </w:r>
      <w:r>
        <w:rPr>
          <w:rFonts w:hint="eastAsia" w:ascii="宋体" w:hAnsi="宋体" w:cs="宋体"/>
          <w:kern w:val="2"/>
          <w:sz w:val="24"/>
          <w:szCs w:val="24"/>
          <w:highlight w:val="none"/>
          <w:lang w:val="en-US" w:eastAsia="zh-CN" w:bidi="ar-SA"/>
        </w:rPr>
        <w:t>相关</w:t>
      </w:r>
      <w:r>
        <w:rPr>
          <w:rFonts w:hint="eastAsia" w:ascii="宋体" w:hAnsi="宋体" w:eastAsia="宋体" w:cs="宋体"/>
          <w:kern w:val="2"/>
          <w:sz w:val="24"/>
          <w:szCs w:val="24"/>
          <w:highlight w:val="none"/>
          <w:lang w:val="en-US" w:eastAsia="zh-CN" w:bidi="ar-SA"/>
        </w:rPr>
        <w:t>信息）</w:t>
      </w:r>
    </w:p>
    <w:p w14:paraId="61426D53">
      <w:pPr>
        <w:rPr>
          <w:rFonts w:hint="eastAsia" w:ascii="宋体" w:hAnsi="宋体" w:eastAsia="宋体" w:cs="宋体"/>
          <w:b/>
          <w:bCs/>
          <w:sz w:val="32"/>
          <w:szCs w:val="21"/>
          <w:highlight w:val="none"/>
        </w:rPr>
      </w:pPr>
    </w:p>
    <w:p w14:paraId="04F5A215">
      <w:pPr>
        <w:rPr>
          <w:rFonts w:hint="eastAsia" w:ascii="宋体" w:hAnsi="宋体" w:eastAsia="宋体" w:cs="宋体"/>
          <w:b/>
          <w:bCs/>
          <w:sz w:val="32"/>
          <w:szCs w:val="21"/>
          <w:highlight w:val="none"/>
        </w:rPr>
      </w:pPr>
      <w:r>
        <w:rPr>
          <w:rFonts w:hint="eastAsia" w:ascii="宋体" w:hAnsi="宋体" w:eastAsia="宋体" w:cs="宋体"/>
          <w:b/>
          <w:bCs/>
          <w:sz w:val="32"/>
          <w:szCs w:val="21"/>
          <w:highlight w:val="none"/>
          <w:lang w:eastAsia="zh-CN"/>
        </w:rPr>
        <w:br w:type="page"/>
      </w:r>
    </w:p>
    <w:p w14:paraId="73175C69">
      <w:pPr>
        <w:pStyle w:val="32"/>
        <w:numPr>
          <w:ilvl w:val="0"/>
          <w:numId w:val="19"/>
        </w:numPr>
        <w:jc w:val="center"/>
        <w:rPr>
          <w:rFonts w:hint="eastAsia" w:ascii="宋体" w:hAnsi="宋体" w:eastAsia="宋体" w:cs="宋体"/>
          <w:b/>
          <w:bCs/>
          <w:sz w:val="32"/>
          <w:szCs w:val="21"/>
          <w:highlight w:val="none"/>
        </w:rPr>
      </w:pPr>
      <w:r>
        <w:rPr>
          <w:rFonts w:hint="eastAsia" w:ascii="宋体" w:hAnsi="宋体" w:eastAsia="宋体" w:cs="宋体"/>
          <w:b/>
          <w:bCs/>
          <w:sz w:val="32"/>
          <w:szCs w:val="21"/>
          <w:highlight w:val="none"/>
          <w:lang w:eastAsia="zh-CN"/>
        </w:rPr>
        <w:t>企业类似业绩</w:t>
      </w:r>
      <w:r>
        <w:rPr>
          <w:rFonts w:hint="eastAsia" w:ascii="宋体" w:hAnsi="宋体" w:eastAsia="宋体" w:cs="宋体"/>
          <w:b/>
          <w:bCs/>
          <w:sz w:val="32"/>
          <w:szCs w:val="21"/>
          <w:highlight w:val="none"/>
        </w:rPr>
        <w:t>情况简介</w:t>
      </w:r>
    </w:p>
    <w:tbl>
      <w:tblPr>
        <w:tblStyle w:val="21"/>
        <w:tblW w:w="929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670"/>
        <w:gridCol w:w="1666"/>
        <w:gridCol w:w="1408"/>
        <w:gridCol w:w="1357"/>
        <w:gridCol w:w="1276"/>
        <w:gridCol w:w="1195"/>
      </w:tblGrid>
      <w:tr w14:paraId="5E6143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23" w:type="dxa"/>
            <w:shd w:val="clear" w:color="auto" w:fill="D9D9D9"/>
            <w:noWrap w:val="0"/>
            <w:vAlign w:val="center"/>
          </w:tcPr>
          <w:p w14:paraId="0CFEFBDE">
            <w:pPr>
              <w:jc w:val="center"/>
              <w:rPr>
                <w:rFonts w:ascii="宋体" w:hAnsi="宋体"/>
                <w:b/>
                <w:color w:val="auto"/>
                <w:sz w:val="24"/>
                <w:highlight w:val="none"/>
              </w:rPr>
            </w:pPr>
            <w:r>
              <w:rPr>
                <w:rFonts w:hint="eastAsia" w:ascii="宋体" w:hAnsi="宋体"/>
                <w:b/>
                <w:color w:val="auto"/>
                <w:sz w:val="24"/>
                <w:highlight w:val="none"/>
              </w:rPr>
              <w:t>序号</w:t>
            </w:r>
          </w:p>
        </w:tc>
        <w:tc>
          <w:tcPr>
            <w:tcW w:w="1670" w:type="dxa"/>
            <w:shd w:val="clear" w:color="auto" w:fill="D9D9D9"/>
            <w:noWrap w:val="0"/>
            <w:vAlign w:val="center"/>
          </w:tcPr>
          <w:p w14:paraId="5780247D">
            <w:pPr>
              <w:jc w:val="center"/>
              <w:rPr>
                <w:rFonts w:ascii="宋体" w:hAnsi="宋体"/>
                <w:b/>
                <w:color w:val="auto"/>
                <w:sz w:val="24"/>
                <w:highlight w:val="none"/>
              </w:rPr>
            </w:pPr>
            <w:r>
              <w:rPr>
                <w:rFonts w:hint="eastAsia" w:ascii="宋体" w:hAnsi="宋体"/>
                <w:b/>
                <w:color w:val="auto"/>
                <w:sz w:val="24"/>
                <w:highlight w:val="none"/>
              </w:rPr>
              <w:t>业主名称</w:t>
            </w:r>
          </w:p>
        </w:tc>
        <w:tc>
          <w:tcPr>
            <w:tcW w:w="1666" w:type="dxa"/>
            <w:shd w:val="clear" w:color="auto" w:fill="D9D9D9"/>
            <w:noWrap w:val="0"/>
            <w:vAlign w:val="center"/>
          </w:tcPr>
          <w:p w14:paraId="3241D8C7">
            <w:pPr>
              <w:jc w:val="center"/>
              <w:rPr>
                <w:rFonts w:ascii="宋体" w:hAnsi="宋体"/>
                <w:b/>
                <w:color w:val="auto"/>
                <w:sz w:val="24"/>
                <w:highlight w:val="none"/>
              </w:rPr>
            </w:pPr>
            <w:r>
              <w:rPr>
                <w:rFonts w:hint="eastAsia" w:ascii="宋体" w:hAnsi="宋体"/>
                <w:b/>
                <w:color w:val="auto"/>
                <w:sz w:val="24"/>
                <w:highlight w:val="none"/>
              </w:rPr>
              <w:t>项目名称</w:t>
            </w:r>
          </w:p>
        </w:tc>
        <w:tc>
          <w:tcPr>
            <w:tcW w:w="1408" w:type="dxa"/>
            <w:shd w:val="clear" w:color="auto" w:fill="D9D9D9"/>
            <w:noWrap w:val="0"/>
            <w:vAlign w:val="center"/>
          </w:tcPr>
          <w:p w14:paraId="1A37DB8C">
            <w:pPr>
              <w:jc w:val="center"/>
              <w:rPr>
                <w:rFonts w:ascii="宋体" w:hAnsi="宋体"/>
                <w:b/>
                <w:color w:val="auto"/>
                <w:sz w:val="24"/>
                <w:highlight w:val="none"/>
              </w:rPr>
            </w:pPr>
            <w:r>
              <w:rPr>
                <w:rFonts w:hint="eastAsia" w:ascii="宋体" w:hAnsi="宋体"/>
                <w:b/>
                <w:color w:val="auto"/>
                <w:sz w:val="24"/>
                <w:highlight w:val="none"/>
              </w:rPr>
              <w:t>项目内容</w:t>
            </w:r>
          </w:p>
        </w:tc>
        <w:tc>
          <w:tcPr>
            <w:tcW w:w="1357" w:type="dxa"/>
            <w:shd w:val="clear" w:color="auto" w:fill="D9D9D9"/>
            <w:noWrap w:val="0"/>
            <w:vAlign w:val="center"/>
          </w:tcPr>
          <w:p w14:paraId="3AF4BBD9">
            <w:pPr>
              <w:jc w:val="center"/>
              <w:rPr>
                <w:rFonts w:ascii="宋体" w:hAnsi="宋体"/>
                <w:b/>
                <w:color w:val="auto"/>
                <w:sz w:val="24"/>
                <w:highlight w:val="none"/>
              </w:rPr>
            </w:pPr>
            <w:r>
              <w:rPr>
                <w:rFonts w:hint="eastAsia" w:ascii="宋体" w:hAnsi="宋体"/>
                <w:b/>
                <w:color w:val="auto"/>
                <w:sz w:val="24"/>
                <w:highlight w:val="none"/>
              </w:rPr>
              <w:t>合同总价</w:t>
            </w:r>
          </w:p>
        </w:tc>
        <w:tc>
          <w:tcPr>
            <w:tcW w:w="1276" w:type="dxa"/>
            <w:shd w:val="clear" w:color="auto" w:fill="D9D9D9"/>
            <w:noWrap w:val="0"/>
            <w:vAlign w:val="center"/>
          </w:tcPr>
          <w:p w14:paraId="4AA03BFB">
            <w:pPr>
              <w:jc w:val="center"/>
              <w:rPr>
                <w:rFonts w:ascii="宋体" w:hAnsi="宋体"/>
                <w:b/>
                <w:color w:val="auto"/>
                <w:sz w:val="24"/>
                <w:highlight w:val="none"/>
              </w:rPr>
            </w:pPr>
            <w:r>
              <w:rPr>
                <w:rFonts w:hint="eastAsia" w:ascii="宋体" w:hAnsi="宋体"/>
                <w:b/>
                <w:color w:val="auto"/>
                <w:sz w:val="24"/>
                <w:highlight w:val="none"/>
              </w:rPr>
              <w:t>完成时间</w:t>
            </w:r>
          </w:p>
        </w:tc>
        <w:tc>
          <w:tcPr>
            <w:tcW w:w="1195" w:type="dxa"/>
            <w:shd w:val="clear" w:color="auto" w:fill="D9D9D9"/>
            <w:noWrap w:val="0"/>
            <w:vAlign w:val="center"/>
          </w:tcPr>
          <w:p w14:paraId="09DDB753">
            <w:pPr>
              <w:jc w:val="center"/>
              <w:rPr>
                <w:rFonts w:ascii="宋体" w:hAnsi="宋体"/>
                <w:b/>
                <w:color w:val="auto"/>
                <w:sz w:val="24"/>
                <w:highlight w:val="none"/>
              </w:rPr>
            </w:pPr>
            <w:r>
              <w:rPr>
                <w:rFonts w:hint="eastAsia" w:ascii="宋体" w:hAnsi="宋体"/>
                <w:b/>
                <w:color w:val="auto"/>
                <w:sz w:val="24"/>
                <w:highlight w:val="none"/>
              </w:rPr>
              <w:t>业主单位联系电话</w:t>
            </w:r>
          </w:p>
        </w:tc>
      </w:tr>
      <w:tr w14:paraId="7F933B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23" w:type="dxa"/>
            <w:noWrap w:val="0"/>
            <w:vAlign w:val="center"/>
          </w:tcPr>
          <w:p w14:paraId="2E8E65F2">
            <w:pPr>
              <w:jc w:val="center"/>
              <w:rPr>
                <w:rFonts w:ascii="宋体" w:hAnsi="宋体"/>
                <w:color w:val="auto"/>
                <w:sz w:val="24"/>
                <w:highlight w:val="none"/>
              </w:rPr>
            </w:pPr>
          </w:p>
        </w:tc>
        <w:tc>
          <w:tcPr>
            <w:tcW w:w="1670" w:type="dxa"/>
            <w:noWrap w:val="0"/>
            <w:vAlign w:val="center"/>
          </w:tcPr>
          <w:p w14:paraId="1F1E414B">
            <w:pPr>
              <w:pStyle w:val="11"/>
              <w:rPr>
                <w:rFonts w:ascii="宋体" w:hAnsi="宋体"/>
                <w:color w:val="auto"/>
                <w:highlight w:val="none"/>
              </w:rPr>
            </w:pPr>
          </w:p>
        </w:tc>
        <w:tc>
          <w:tcPr>
            <w:tcW w:w="1666" w:type="dxa"/>
            <w:noWrap w:val="0"/>
            <w:vAlign w:val="center"/>
          </w:tcPr>
          <w:p w14:paraId="21C8D518">
            <w:pPr>
              <w:rPr>
                <w:rFonts w:ascii="宋体" w:hAnsi="宋体"/>
                <w:color w:val="auto"/>
                <w:sz w:val="24"/>
                <w:highlight w:val="none"/>
              </w:rPr>
            </w:pPr>
          </w:p>
        </w:tc>
        <w:tc>
          <w:tcPr>
            <w:tcW w:w="1408" w:type="dxa"/>
            <w:noWrap w:val="0"/>
            <w:vAlign w:val="center"/>
          </w:tcPr>
          <w:p w14:paraId="0CB4CD22">
            <w:pPr>
              <w:rPr>
                <w:rFonts w:ascii="宋体" w:hAnsi="宋体"/>
                <w:color w:val="auto"/>
                <w:sz w:val="24"/>
                <w:highlight w:val="none"/>
              </w:rPr>
            </w:pPr>
          </w:p>
        </w:tc>
        <w:tc>
          <w:tcPr>
            <w:tcW w:w="1357" w:type="dxa"/>
            <w:noWrap w:val="0"/>
            <w:vAlign w:val="center"/>
          </w:tcPr>
          <w:p w14:paraId="49EDF270">
            <w:pPr>
              <w:rPr>
                <w:rFonts w:ascii="宋体" w:hAnsi="宋体"/>
                <w:color w:val="auto"/>
                <w:sz w:val="24"/>
                <w:highlight w:val="none"/>
              </w:rPr>
            </w:pPr>
          </w:p>
        </w:tc>
        <w:tc>
          <w:tcPr>
            <w:tcW w:w="1276" w:type="dxa"/>
            <w:noWrap w:val="0"/>
            <w:vAlign w:val="center"/>
          </w:tcPr>
          <w:p w14:paraId="74200A53">
            <w:pPr>
              <w:rPr>
                <w:rFonts w:ascii="宋体" w:hAnsi="宋体"/>
                <w:color w:val="auto"/>
                <w:sz w:val="24"/>
                <w:highlight w:val="none"/>
              </w:rPr>
            </w:pPr>
          </w:p>
        </w:tc>
        <w:tc>
          <w:tcPr>
            <w:tcW w:w="1195" w:type="dxa"/>
            <w:noWrap w:val="0"/>
            <w:vAlign w:val="center"/>
          </w:tcPr>
          <w:p w14:paraId="3049503A">
            <w:pPr>
              <w:rPr>
                <w:rFonts w:ascii="宋体" w:hAnsi="宋体"/>
                <w:color w:val="auto"/>
                <w:sz w:val="24"/>
                <w:highlight w:val="none"/>
              </w:rPr>
            </w:pPr>
          </w:p>
        </w:tc>
      </w:tr>
      <w:tr w14:paraId="66639D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3" w:type="dxa"/>
            <w:noWrap w:val="0"/>
            <w:vAlign w:val="center"/>
          </w:tcPr>
          <w:p w14:paraId="08FE6865">
            <w:pPr>
              <w:jc w:val="center"/>
              <w:rPr>
                <w:rFonts w:ascii="宋体" w:hAnsi="宋体"/>
                <w:color w:val="auto"/>
                <w:sz w:val="24"/>
                <w:highlight w:val="none"/>
              </w:rPr>
            </w:pPr>
          </w:p>
        </w:tc>
        <w:tc>
          <w:tcPr>
            <w:tcW w:w="1670" w:type="dxa"/>
            <w:noWrap w:val="0"/>
            <w:vAlign w:val="center"/>
          </w:tcPr>
          <w:p w14:paraId="634F0E5F">
            <w:pPr>
              <w:rPr>
                <w:rFonts w:ascii="宋体" w:hAnsi="宋体"/>
                <w:color w:val="auto"/>
                <w:sz w:val="24"/>
                <w:highlight w:val="none"/>
              </w:rPr>
            </w:pPr>
          </w:p>
        </w:tc>
        <w:tc>
          <w:tcPr>
            <w:tcW w:w="1666" w:type="dxa"/>
            <w:noWrap w:val="0"/>
            <w:vAlign w:val="center"/>
          </w:tcPr>
          <w:p w14:paraId="02798E0A">
            <w:pPr>
              <w:rPr>
                <w:rFonts w:ascii="宋体" w:hAnsi="宋体"/>
                <w:color w:val="auto"/>
                <w:sz w:val="24"/>
                <w:highlight w:val="none"/>
              </w:rPr>
            </w:pPr>
          </w:p>
        </w:tc>
        <w:tc>
          <w:tcPr>
            <w:tcW w:w="1408" w:type="dxa"/>
            <w:noWrap w:val="0"/>
            <w:vAlign w:val="center"/>
          </w:tcPr>
          <w:p w14:paraId="49DE2E00">
            <w:pPr>
              <w:rPr>
                <w:rFonts w:ascii="宋体" w:hAnsi="宋体"/>
                <w:color w:val="auto"/>
                <w:sz w:val="24"/>
                <w:highlight w:val="none"/>
              </w:rPr>
            </w:pPr>
          </w:p>
        </w:tc>
        <w:tc>
          <w:tcPr>
            <w:tcW w:w="1357" w:type="dxa"/>
            <w:noWrap w:val="0"/>
            <w:vAlign w:val="center"/>
          </w:tcPr>
          <w:p w14:paraId="1DCD79E5">
            <w:pPr>
              <w:rPr>
                <w:rFonts w:ascii="宋体" w:hAnsi="宋体"/>
                <w:color w:val="auto"/>
                <w:sz w:val="24"/>
                <w:highlight w:val="none"/>
              </w:rPr>
            </w:pPr>
          </w:p>
        </w:tc>
        <w:tc>
          <w:tcPr>
            <w:tcW w:w="1276" w:type="dxa"/>
            <w:noWrap w:val="0"/>
            <w:vAlign w:val="center"/>
          </w:tcPr>
          <w:p w14:paraId="0527A910">
            <w:pPr>
              <w:rPr>
                <w:rFonts w:ascii="宋体" w:hAnsi="宋体"/>
                <w:color w:val="auto"/>
                <w:sz w:val="24"/>
                <w:highlight w:val="none"/>
              </w:rPr>
            </w:pPr>
          </w:p>
        </w:tc>
        <w:tc>
          <w:tcPr>
            <w:tcW w:w="1195" w:type="dxa"/>
            <w:noWrap w:val="0"/>
            <w:vAlign w:val="center"/>
          </w:tcPr>
          <w:p w14:paraId="50273996">
            <w:pPr>
              <w:rPr>
                <w:rFonts w:ascii="宋体" w:hAnsi="宋体"/>
                <w:color w:val="auto"/>
                <w:sz w:val="24"/>
                <w:highlight w:val="none"/>
              </w:rPr>
            </w:pPr>
          </w:p>
        </w:tc>
      </w:tr>
      <w:tr w14:paraId="5B5D54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23" w:type="dxa"/>
            <w:noWrap w:val="0"/>
            <w:vAlign w:val="center"/>
          </w:tcPr>
          <w:p w14:paraId="10733871">
            <w:pPr>
              <w:jc w:val="center"/>
              <w:rPr>
                <w:rFonts w:ascii="宋体" w:hAnsi="宋体"/>
                <w:color w:val="auto"/>
                <w:sz w:val="24"/>
                <w:highlight w:val="none"/>
              </w:rPr>
            </w:pPr>
          </w:p>
        </w:tc>
        <w:tc>
          <w:tcPr>
            <w:tcW w:w="1670" w:type="dxa"/>
            <w:noWrap w:val="0"/>
            <w:vAlign w:val="center"/>
          </w:tcPr>
          <w:p w14:paraId="3BCDA487">
            <w:pPr>
              <w:rPr>
                <w:rFonts w:ascii="宋体" w:hAnsi="宋体"/>
                <w:color w:val="auto"/>
                <w:sz w:val="24"/>
                <w:highlight w:val="none"/>
              </w:rPr>
            </w:pPr>
          </w:p>
        </w:tc>
        <w:tc>
          <w:tcPr>
            <w:tcW w:w="1666" w:type="dxa"/>
            <w:noWrap w:val="0"/>
            <w:vAlign w:val="center"/>
          </w:tcPr>
          <w:p w14:paraId="3AAF3055">
            <w:pPr>
              <w:rPr>
                <w:rFonts w:ascii="宋体" w:hAnsi="宋体"/>
                <w:color w:val="auto"/>
                <w:sz w:val="24"/>
                <w:highlight w:val="none"/>
              </w:rPr>
            </w:pPr>
          </w:p>
        </w:tc>
        <w:tc>
          <w:tcPr>
            <w:tcW w:w="1408" w:type="dxa"/>
            <w:noWrap w:val="0"/>
            <w:vAlign w:val="center"/>
          </w:tcPr>
          <w:p w14:paraId="7B76A121">
            <w:pPr>
              <w:rPr>
                <w:rFonts w:ascii="宋体" w:hAnsi="宋体"/>
                <w:color w:val="auto"/>
                <w:sz w:val="24"/>
                <w:highlight w:val="none"/>
              </w:rPr>
            </w:pPr>
          </w:p>
        </w:tc>
        <w:tc>
          <w:tcPr>
            <w:tcW w:w="1357" w:type="dxa"/>
            <w:noWrap w:val="0"/>
            <w:vAlign w:val="center"/>
          </w:tcPr>
          <w:p w14:paraId="3B2765CA">
            <w:pPr>
              <w:rPr>
                <w:rFonts w:ascii="宋体" w:hAnsi="宋体"/>
                <w:color w:val="auto"/>
                <w:sz w:val="24"/>
                <w:highlight w:val="none"/>
              </w:rPr>
            </w:pPr>
          </w:p>
        </w:tc>
        <w:tc>
          <w:tcPr>
            <w:tcW w:w="1276" w:type="dxa"/>
            <w:noWrap w:val="0"/>
            <w:vAlign w:val="center"/>
          </w:tcPr>
          <w:p w14:paraId="7C23FB03">
            <w:pPr>
              <w:rPr>
                <w:rFonts w:ascii="宋体" w:hAnsi="宋体"/>
                <w:color w:val="auto"/>
                <w:sz w:val="24"/>
                <w:highlight w:val="none"/>
              </w:rPr>
            </w:pPr>
          </w:p>
        </w:tc>
        <w:tc>
          <w:tcPr>
            <w:tcW w:w="1195" w:type="dxa"/>
            <w:noWrap w:val="0"/>
            <w:vAlign w:val="center"/>
          </w:tcPr>
          <w:p w14:paraId="39DC6CD0">
            <w:pPr>
              <w:rPr>
                <w:rFonts w:ascii="宋体" w:hAnsi="宋体"/>
                <w:color w:val="auto"/>
                <w:sz w:val="24"/>
                <w:highlight w:val="none"/>
              </w:rPr>
            </w:pPr>
          </w:p>
        </w:tc>
      </w:tr>
      <w:tr w14:paraId="0182F5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23" w:type="dxa"/>
            <w:noWrap w:val="0"/>
            <w:vAlign w:val="center"/>
          </w:tcPr>
          <w:p w14:paraId="3D16BA9F">
            <w:pPr>
              <w:jc w:val="center"/>
              <w:rPr>
                <w:rFonts w:ascii="宋体" w:hAnsi="宋体"/>
                <w:color w:val="auto"/>
                <w:sz w:val="24"/>
                <w:highlight w:val="none"/>
              </w:rPr>
            </w:pPr>
            <w:r>
              <w:rPr>
                <w:rFonts w:hint="eastAsia" w:ascii="宋体" w:hAnsi="宋体"/>
                <w:color w:val="auto"/>
                <w:sz w:val="24"/>
                <w:highlight w:val="none"/>
              </w:rPr>
              <w:t>…</w:t>
            </w:r>
          </w:p>
        </w:tc>
        <w:tc>
          <w:tcPr>
            <w:tcW w:w="1670" w:type="dxa"/>
            <w:noWrap w:val="0"/>
            <w:vAlign w:val="center"/>
          </w:tcPr>
          <w:p w14:paraId="1A352361">
            <w:pPr>
              <w:rPr>
                <w:rFonts w:ascii="宋体" w:hAnsi="宋体"/>
                <w:color w:val="auto"/>
                <w:sz w:val="24"/>
                <w:highlight w:val="none"/>
              </w:rPr>
            </w:pPr>
          </w:p>
        </w:tc>
        <w:tc>
          <w:tcPr>
            <w:tcW w:w="1666" w:type="dxa"/>
            <w:noWrap w:val="0"/>
            <w:vAlign w:val="center"/>
          </w:tcPr>
          <w:p w14:paraId="04897369">
            <w:pPr>
              <w:rPr>
                <w:rFonts w:ascii="宋体" w:hAnsi="宋体"/>
                <w:color w:val="auto"/>
                <w:sz w:val="24"/>
                <w:highlight w:val="none"/>
              </w:rPr>
            </w:pPr>
          </w:p>
        </w:tc>
        <w:tc>
          <w:tcPr>
            <w:tcW w:w="1408" w:type="dxa"/>
            <w:noWrap w:val="0"/>
            <w:vAlign w:val="center"/>
          </w:tcPr>
          <w:p w14:paraId="01807FF2">
            <w:pPr>
              <w:rPr>
                <w:rFonts w:ascii="宋体" w:hAnsi="宋体"/>
                <w:color w:val="auto"/>
                <w:sz w:val="24"/>
                <w:highlight w:val="none"/>
              </w:rPr>
            </w:pPr>
          </w:p>
        </w:tc>
        <w:tc>
          <w:tcPr>
            <w:tcW w:w="1357" w:type="dxa"/>
            <w:noWrap w:val="0"/>
            <w:vAlign w:val="center"/>
          </w:tcPr>
          <w:p w14:paraId="3C9851A4">
            <w:pPr>
              <w:rPr>
                <w:rFonts w:ascii="宋体" w:hAnsi="宋体"/>
                <w:color w:val="auto"/>
                <w:sz w:val="24"/>
                <w:highlight w:val="none"/>
              </w:rPr>
            </w:pPr>
          </w:p>
        </w:tc>
        <w:tc>
          <w:tcPr>
            <w:tcW w:w="1276" w:type="dxa"/>
            <w:noWrap w:val="0"/>
            <w:vAlign w:val="center"/>
          </w:tcPr>
          <w:p w14:paraId="2E5A54A7">
            <w:pPr>
              <w:rPr>
                <w:rFonts w:ascii="宋体" w:hAnsi="宋体"/>
                <w:color w:val="auto"/>
                <w:sz w:val="24"/>
                <w:highlight w:val="none"/>
              </w:rPr>
            </w:pPr>
          </w:p>
        </w:tc>
        <w:tc>
          <w:tcPr>
            <w:tcW w:w="1195" w:type="dxa"/>
            <w:noWrap w:val="0"/>
            <w:vAlign w:val="center"/>
          </w:tcPr>
          <w:p w14:paraId="2C7A1B2D">
            <w:pPr>
              <w:rPr>
                <w:rFonts w:ascii="宋体" w:hAnsi="宋体"/>
                <w:color w:val="auto"/>
                <w:sz w:val="24"/>
                <w:highlight w:val="none"/>
              </w:rPr>
            </w:pPr>
          </w:p>
        </w:tc>
      </w:tr>
    </w:tbl>
    <w:p w14:paraId="002D3D25">
      <w:pPr>
        <w:spacing w:line="440" w:lineRule="exact"/>
        <w:ind w:firstLine="840" w:firstLineChars="350"/>
        <w:jc w:val="center"/>
        <w:rPr>
          <w:rFonts w:hint="eastAsia" w:ascii="宋体" w:hAnsi="宋体" w:eastAsia="宋体" w:cs="宋体"/>
          <w:sz w:val="24"/>
          <w:highlight w:val="none"/>
        </w:rPr>
      </w:pPr>
    </w:p>
    <w:p w14:paraId="6F2CA891">
      <w:pPr>
        <w:spacing w:line="400" w:lineRule="exact"/>
        <w:jc w:val="left"/>
        <w:rPr>
          <w:rFonts w:hint="eastAsia" w:ascii="宋体" w:hAnsi="宋体" w:eastAsia="宋体" w:cs="宋体"/>
          <w:sz w:val="24"/>
          <w:highlight w:val="none"/>
        </w:rPr>
      </w:pPr>
      <w:r>
        <w:rPr>
          <w:rFonts w:hint="eastAsia" w:ascii="宋体" w:hAnsi="宋体" w:eastAsia="宋体" w:cs="宋体"/>
          <w:sz w:val="24"/>
          <w:highlight w:val="none"/>
          <w:lang w:eastAsia="zh-CN"/>
        </w:rPr>
        <w:t>注：</w:t>
      </w:r>
      <w:r>
        <w:rPr>
          <w:rFonts w:hint="eastAsia" w:ascii="宋体" w:hAnsi="宋体" w:eastAsia="宋体" w:cs="宋体"/>
          <w:sz w:val="24"/>
          <w:highlight w:val="none"/>
        </w:rPr>
        <w:t>后附</w:t>
      </w:r>
      <w:r>
        <w:rPr>
          <w:rFonts w:hint="eastAsia" w:ascii="宋体" w:hAnsi="宋体" w:cs="宋体"/>
          <w:color w:val="auto"/>
          <w:kern w:val="2"/>
          <w:sz w:val="24"/>
          <w:szCs w:val="24"/>
          <w:highlight w:val="none"/>
          <w:lang w:val="en-US" w:eastAsia="zh-CN" w:bidi="ar-SA"/>
        </w:rPr>
        <w:t>2023年4月1日</w:t>
      </w:r>
      <w:r>
        <w:rPr>
          <w:rFonts w:hint="eastAsia" w:ascii="宋体" w:hAnsi="宋体" w:eastAsia="宋体" w:cs="宋体"/>
          <w:color w:val="auto"/>
          <w:kern w:val="2"/>
          <w:sz w:val="24"/>
          <w:szCs w:val="24"/>
          <w:highlight w:val="none"/>
          <w:lang w:val="en-US" w:eastAsia="zh-CN" w:bidi="ar-SA"/>
        </w:rPr>
        <w:t>以来</w:t>
      </w:r>
      <w:r>
        <w:rPr>
          <w:rFonts w:hint="eastAsia" w:ascii="宋体" w:hAnsi="宋体" w:eastAsia="宋体" w:cs="宋体"/>
          <w:sz w:val="24"/>
          <w:szCs w:val="24"/>
          <w:highlight w:val="none"/>
          <w:lang w:val="en-US" w:eastAsia="zh-CN"/>
        </w:rPr>
        <w:t>类似项目案例的</w:t>
      </w:r>
      <w:r>
        <w:rPr>
          <w:rFonts w:hint="eastAsia" w:ascii="宋体" w:hAnsi="宋体" w:cs="宋体"/>
          <w:sz w:val="24"/>
          <w:szCs w:val="24"/>
          <w:highlight w:val="none"/>
          <w:lang w:val="en-US" w:eastAsia="zh-CN"/>
        </w:rPr>
        <w:t>合同影印件或中标通知书复印件</w:t>
      </w:r>
      <w:r>
        <w:rPr>
          <w:rFonts w:hint="eastAsia" w:ascii="宋体" w:hAnsi="宋体" w:eastAsia="宋体" w:cs="宋体"/>
          <w:sz w:val="24"/>
          <w:szCs w:val="24"/>
          <w:highlight w:val="none"/>
          <w:lang w:val="en-US" w:eastAsia="zh-CN"/>
        </w:rPr>
        <w:t>，并加盖公章</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鲜章</w:t>
      </w:r>
      <w:r>
        <w:rPr>
          <w:rFonts w:hint="eastAsia" w:ascii="宋体" w:hAnsi="宋体" w:cs="宋体"/>
          <w:sz w:val="24"/>
          <w:szCs w:val="24"/>
          <w:highlight w:val="none"/>
          <w:lang w:val="en-US" w:eastAsia="zh-CN"/>
        </w:rPr>
        <w:t>）</w:t>
      </w:r>
    </w:p>
    <w:p w14:paraId="1B852579">
      <w:pPr>
        <w:pStyle w:val="32"/>
        <w:jc w:val="center"/>
        <w:rPr>
          <w:rFonts w:hint="eastAsia" w:ascii="宋体" w:hAnsi="宋体" w:eastAsia="宋体" w:cs="宋体"/>
          <w:b/>
          <w:bCs/>
          <w:sz w:val="32"/>
          <w:szCs w:val="21"/>
          <w:highlight w:val="none"/>
          <w:lang w:eastAsia="zh-CN"/>
        </w:rPr>
      </w:pPr>
    </w:p>
    <w:p w14:paraId="65568DB8">
      <w:pPr>
        <w:spacing w:line="440" w:lineRule="exact"/>
        <w:ind w:firstLine="840" w:firstLineChars="350"/>
        <w:jc w:val="center"/>
        <w:rPr>
          <w:rFonts w:hint="eastAsia" w:ascii="宋体" w:hAnsi="宋体" w:eastAsia="宋体" w:cs="宋体"/>
          <w:b/>
          <w:bCs/>
          <w:sz w:val="32"/>
          <w:szCs w:val="21"/>
          <w:highlight w:val="none"/>
        </w:rPr>
      </w:pPr>
      <w:r>
        <w:rPr>
          <w:rFonts w:hint="eastAsia" w:ascii="宋体" w:hAnsi="宋体" w:eastAsia="宋体" w:cs="宋体"/>
          <w:sz w:val="24"/>
          <w:highlight w:val="none"/>
        </w:rPr>
        <w:br w:type="page"/>
      </w:r>
      <w:r>
        <w:rPr>
          <w:rFonts w:hint="eastAsia" w:ascii="宋体" w:hAnsi="宋体" w:cs="宋体"/>
          <w:b/>
          <w:bCs/>
          <w:sz w:val="32"/>
          <w:szCs w:val="21"/>
          <w:highlight w:val="none"/>
          <w:lang w:eastAsia="zh-CN"/>
        </w:rPr>
        <w:t>七</w:t>
      </w:r>
      <w:r>
        <w:rPr>
          <w:rFonts w:hint="eastAsia" w:ascii="宋体" w:hAnsi="宋体" w:eastAsia="宋体" w:cs="宋体"/>
          <w:b/>
          <w:bCs/>
          <w:sz w:val="32"/>
          <w:szCs w:val="21"/>
          <w:highlight w:val="none"/>
        </w:rPr>
        <w:t>、投标技术文件</w:t>
      </w:r>
    </w:p>
    <w:p w14:paraId="49082768">
      <w:pPr>
        <w:adjustRightInd w:val="0"/>
        <w:snapToGrid w:val="0"/>
        <w:spacing w:line="560" w:lineRule="exact"/>
        <w:ind w:left="560"/>
        <w:rPr>
          <w:rFonts w:hint="eastAsia" w:ascii="宋体" w:hAnsi="宋体" w:eastAsia="宋体" w:cs="宋体"/>
          <w:sz w:val="24"/>
          <w:highlight w:val="none"/>
        </w:rPr>
      </w:pPr>
      <w:r>
        <w:rPr>
          <w:rFonts w:hint="eastAsia" w:ascii="宋体" w:hAnsi="宋体" w:eastAsia="宋体" w:cs="宋体"/>
          <w:sz w:val="24"/>
          <w:highlight w:val="none"/>
        </w:rPr>
        <w:t>技术标文件包括但不限于以下内容，格式自拟。</w:t>
      </w:r>
    </w:p>
    <w:p w14:paraId="38AB4147">
      <w:pPr>
        <w:widowControl/>
        <w:numPr>
          <w:ilvl w:val="0"/>
          <w:numId w:val="20"/>
        </w:numPr>
        <w:autoSpaceDE w:val="0"/>
        <w:autoSpaceDN w:val="0"/>
        <w:adjustRightInd w:val="0"/>
        <w:spacing w:line="440" w:lineRule="exact"/>
        <w:ind w:right="-482" w:firstLine="480"/>
        <w:jc w:val="left"/>
        <w:rPr>
          <w:rFonts w:hint="eastAsia" w:ascii="宋体" w:hAnsi="宋体" w:cs="宋体"/>
          <w:kern w:val="1"/>
          <w:sz w:val="24"/>
          <w:szCs w:val="24"/>
          <w:highlight w:val="none"/>
          <w:lang w:eastAsia="zh-CN"/>
        </w:rPr>
      </w:pPr>
      <w:r>
        <w:rPr>
          <w:rFonts w:hint="eastAsia" w:ascii="宋体" w:hAnsi="宋体" w:eastAsia="宋体" w:cs="宋体"/>
          <w:kern w:val="1"/>
          <w:sz w:val="24"/>
          <w:szCs w:val="24"/>
          <w:highlight w:val="none"/>
        </w:rPr>
        <w:t>产品配置及技术参数</w:t>
      </w:r>
      <w:r>
        <w:rPr>
          <w:rFonts w:hint="eastAsia" w:ascii="宋体" w:hAnsi="宋体" w:cs="宋体"/>
          <w:kern w:val="1"/>
          <w:sz w:val="24"/>
          <w:szCs w:val="24"/>
          <w:highlight w:val="none"/>
          <w:lang w:eastAsia="zh-CN"/>
        </w:rPr>
        <w:t>；</w:t>
      </w:r>
    </w:p>
    <w:p w14:paraId="42AA27BF">
      <w:pPr>
        <w:widowControl/>
        <w:numPr>
          <w:ilvl w:val="0"/>
          <w:numId w:val="20"/>
        </w:numPr>
        <w:autoSpaceDE w:val="0"/>
        <w:autoSpaceDN w:val="0"/>
        <w:adjustRightInd w:val="0"/>
        <w:spacing w:line="440" w:lineRule="exact"/>
        <w:ind w:right="-482" w:firstLine="480"/>
        <w:jc w:val="left"/>
        <w:rPr>
          <w:rFonts w:hint="eastAsia" w:ascii="宋体" w:hAnsi="宋体" w:eastAsia="宋体" w:cs="宋体"/>
          <w:kern w:val="1"/>
          <w:sz w:val="24"/>
          <w:szCs w:val="24"/>
          <w:highlight w:val="none"/>
          <w:lang w:eastAsia="zh-CN"/>
        </w:rPr>
      </w:pPr>
      <w:r>
        <w:rPr>
          <w:rFonts w:hint="eastAsia" w:ascii="宋体" w:hAnsi="宋体" w:eastAsia="宋体" w:cs="宋体"/>
          <w:kern w:val="1"/>
          <w:sz w:val="24"/>
          <w:szCs w:val="24"/>
          <w:highlight w:val="none"/>
        </w:rPr>
        <w:t>技术设计服务方案</w:t>
      </w:r>
      <w:r>
        <w:rPr>
          <w:rFonts w:hint="eastAsia" w:ascii="宋体" w:hAnsi="宋体" w:cs="宋体"/>
          <w:kern w:val="1"/>
          <w:sz w:val="24"/>
          <w:szCs w:val="24"/>
          <w:highlight w:val="none"/>
          <w:lang w:eastAsia="zh-CN"/>
        </w:rPr>
        <w:t>；</w:t>
      </w:r>
    </w:p>
    <w:p w14:paraId="39C8BD67">
      <w:pPr>
        <w:widowControl/>
        <w:numPr>
          <w:ilvl w:val="0"/>
          <w:numId w:val="20"/>
        </w:numPr>
        <w:autoSpaceDE w:val="0"/>
        <w:autoSpaceDN w:val="0"/>
        <w:adjustRightInd w:val="0"/>
        <w:spacing w:line="440" w:lineRule="exact"/>
        <w:ind w:right="-482" w:firstLine="480"/>
        <w:jc w:val="left"/>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t>功能演示</w:t>
      </w:r>
      <w:r>
        <w:rPr>
          <w:rFonts w:hint="eastAsia" w:ascii="宋体" w:hAnsi="宋体" w:cs="宋体"/>
          <w:kern w:val="1"/>
          <w:sz w:val="24"/>
          <w:szCs w:val="24"/>
          <w:highlight w:val="none"/>
          <w:lang w:eastAsia="zh-CN"/>
        </w:rPr>
        <w:t>；</w:t>
      </w:r>
    </w:p>
    <w:p w14:paraId="4BC1EA3F">
      <w:pPr>
        <w:widowControl/>
        <w:numPr>
          <w:ilvl w:val="0"/>
          <w:numId w:val="20"/>
        </w:numPr>
        <w:autoSpaceDE w:val="0"/>
        <w:autoSpaceDN w:val="0"/>
        <w:adjustRightInd w:val="0"/>
        <w:spacing w:line="440" w:lineRule="exact"/>
        <w:ind w:right="-482" w:firstLine="480"/>
        <w:jc w:val="left"/>
        <w:rPr>
          <w:rFonts w:hint="eastAsia" w:ascii="宋体" w:hAnsi="宋体" w:eastAsia="宋体" w:cs="宋体"/>
          <w:sz w:val="24"/>
          <w:highlight w:val="none"/>
        </w:rPr>
      </w:pPr>
      <w:r>
        <w:rPr>
          <w:rFonts w:hint="eastAsia" w:ascii="宋体" w:hAnsi="宋体" w:cs="宋体"/>
          <w:kern w:val="1"/>
          <w:sz w:val="24"/>
          <w:szCs w:val="24"/>
          <w:highlight w:val="none"/>
          <w:lang w:val="en-US" w:eastAsia="zh-CN"/>
        </w:rPr>
        <w:t>运维</w:t>
      </w:r>
      <w:r>
        <w:rPr>
          <w:rFonts w:hint="eastAsia" w:ascii="宋体" w:hAnsi="宋体" w:eastAsia="宋体" w:cs="宋体"/>
          <w:kern w:val="1"/>
          <w:sz w:val="24"/>
          <w:szCs w:val="24"/>
          <w:highlight w:val="none"/>
        </w:rPr>
        <w:t>服务</w:t>
      </w:r>
      <w:r>
        <w:rPr>
          <w:rFonts w:hint="eastAsia" w:ascii="宋体" w:hAnsi="宋体" w:cs="宋体"/>
          <w:kern w:val="1"/>
          <w:sz w:val="24"/>
          <w:szCs w:val="24"/>
          <w:highlight w:val="none"/>
          <w:lang w:eastAsia="zh-CN"/>
        </w:rPr>
        <w:t>；</w:t>
      </w:r>
    </w:p>
    <w:p w14:paraId="7F42CEC3">
      <w:pPr>
        <w:widowControl/>
        <w:numPr>
          <w:ilvl w:val="0"/>
          <w:numId w:val="20"/>
        </w:numPr>
        <w:autoSpaceDE w:val="0"/>
        <w:autoSpaceDN w:val="0"/>
        <w:adjustRightInd w:val="0"/>
        <w:spacing w:line="440" w:lineRule="exact"/>
        <w:ind w:right="-482" w:firstLine="480"/>
        <w:jc w:val="left"/>
        <w:rPr>
          <w:rFonts w:hint="eastAsia" w:ascii="宋体" w:hAnsi="宋体" w:eastAsia="宋体" w:cs="宋体"/>
          <w:sz w:val="24"/>
          <w:highlight w:val="none"/>
        </w:rPr>
      </w:pPr>
      <w:r>
        <w:rPr>
          <w:rFonts w:hint="eastAsia" w:ascii="宋体" w:hAnsi="宋体" w:eastAsia="宋体" w:cs="宋体"/>
          <w:kern w:val="1"/>
          <w:sz w:val="24"/>
          <w:szCs w:val="24"/>
          <w:highlight w:val="none"/>
        </w:rPr>
        <w:t>培训服务</w:t>
      </w:r>
      <w:r>
        <w:rPr>
          <w:rFonts w:hint="eastAsia" w:ascii="宋体" w:hAnsi="宋体" w:cs="宋体"/>
          <w:kern w:val="1"/>
          <w:sz w:val="24"/>
          <w:szCs w:val="24"/>
          <w:highlight w:val="none"/>
          <w:lang w:eastAsia="zh-CN"/>
        </w:rPr>
        <w:t>；</w:t>
      </w:r>
    </w:p>
    <w:p w14:paraId="2E0503C3">
      <w:pPr>
        <w:widowControl/>
        <w:autoSpaceDE w:val="0"/>
        <w:autoSpaceDN w:val="0"/>
        <w:adjustRightInd w:val="0"/>
        <w:spacing w:line="440" w:lineRule="exact"/>
        <w:ind w:right="-482" w:firstLine="480"/>
        <w:jc w:val="left"/>
        <w:rPr>
          <w:rFonts w:hint="eastAsia" w:ascii="宋体" w:hAnsi="宋体" w:cs="宋体"/>
          <w:kern w:val="1"/>
          <w:sz w:val="24"/>
          <w:szCs w:val="24"/>
          <w:highlight w:val="none"/>
          <w:lang w:eastAsia="zh-CN"/>
        </w:rPr>
      </w:pPr>
    </w:p>
    <w:p w14:paraId="2417C9F9">
      <w:pPr>
        <w:pStyle w:val="16"/>
        <w:rPr>
          <w:rFonts w:hint="eastAsia"/>
          <w:highlight w:val="none"/>
          <w:lang w:eastAsia="zh-CN"/>
        </w:rPr>
      </w:pPr>
    </w:p>
    <w:p w14:paraId="6D652B07">
      <w:pPr>
        <w:adjustRightInd w:val="0"/>
        <w:snapToGrid w:val="0"/>
        <w:spacing w:line="560" w:lineRule="exact"/>
        <w:rPr>
          <w:rFonts w:hint="eastAsia" w:ascii="宋体" w:hAnsi="宋体" w:eastAsia="宋体" w:cs="宋体"/>
          <w:sz w:val="24"/>
          <w:highlight w:val="none"/>
        </w:rPr>
      </w:pPr>
    </w:p>
    <w:p w14:paraId="7D9A5624">
      <w:pPr>
        <w:adjustRightInd w:val="0"/>
        <w:snapToGrid w:val="0"/>
        <w:spacing w:line="560" w:lineRule="exact"/>
        <w:rPr>
          <w:rFonts w:hint="eastAsia" w:ascii="宋体" w:hAnsi="宋体" w:eastAsia="宋体" w:cs="宋体"/>
          <w:sz w:val="24"/>
          <w:highlight w:val="none"/>
        </w:rPr>
      </w:pPr>
    </w:p>
    <w:p w14:paraId="19E9AA66">
      <w:pPr>
        <w:adjustRightInd w:val="0"/>
        <w:snapToGrid w:val="0"/>
        <w:spacing w:line="560" w:lineRule="exact"/>
        <w:rPr>
          <w:rFonts w:hint="eastAsia" w:ascii="宋体" w:hAnsi="宋体" w:eastAsia="宋体" w:cs="宋体"/>
          <w:sz w:val="24"/>
          <w:highlight w:val="none"/>
        </w:rPr>
      </w:pPr>
    </w:p>
    <w:p w14:paraId="7F602E48">
      <w:pPr>
        <w:adjustRightInd w:val="0"/>
        <w:snapToGrid w:val="0"/>
        <w:spacing w:line="560" w:lineRule="exact"/>
        <w:rPr>
          <w:rFonts w:hint="eastAsia" w:ascii="宋体" w:hAnsi="宋体" w:eastAsia="宋体" w:cs="宋体"/>
          <w:sz w:val="24"/>
          <w:highlight w:val="none"/>
        </w:rPr>
      </w:pPr>
    </w:p>
    <w:p w14:paraId="76C06A5D">
      <w:pPr>
        <w:adjustRightInd w:val="0"/>
        <w:snapToGrid w:val="0"/>
        <w:spacing w:line="560" w:lineRule="exact"/>
        <w:rPr>
          <w:rFonts w:hint="eastAsia" w:ascii="宋体" w:hAnsi="宋体" w:eastAsia="宋体" w:cs="宋体"/>
          <w:sz w:val="24"/>
          <w:highlight w:val="none"/>
        </w:rPr>
      </w:pPr>
    </w:p>
    <w:p w14:paraId="7664ABDE">
      <w:pPr>
        <w:adjustRightInd w:val="0"/>
        <w:snapToGrid w:val="0"/>
        <w:spacing w:line="560" w:lineRule="exact"/>
        <w:rPr>
          <w:rFonts w:hint="eastAsia" w:ascii="宋体" w:hAnsi="宋体" w:eastAsia="宋体" w:cs="宋体"/>
          <w:sz w:val="24"/>
          <w:highlight w:val="none"/>
        </w:rPr>
      </w:pPr>
    </w:p>
    <w:p w14:paraId="74AAEF44">
      <w:pPr>
        <w:adjustRightInd w:val="0"/>
        <w:snapToGrid w:val="0"/>
        <w:spacing w:line="560" w:lineRule="exact"/>
        <w:rPr>
          <w:rFonts w:hint="eastAsia" w:ascii="宋体" w:hAnsi="宋体" w:eastAsia="宋体" w:cs="宋体"/>
          <w:sz w:val="24"/>
          <w:highlight w:val="none"/>
        </w:rPr>
      </w:pPr>
    </w:p>
    <w:p w14:paraId="6BB740D6">
      <w:pPr>
        <w:adjustRightInd w:val="0"/>
        <w:snapToGrid w:val="0"/>
        <w:spacing w:line="560" w:lineRule="exact"/>
        <w:rPr>
          <w:rFonts w:hint="eastAsia" w:ascii="宋体" w:hAnsi="宋体" w:eastAsia="宋体" w:cs="宋体"/>
          <w:sz w:val="24"/>
          <w:highlight w:val="none"/>
        </w:rPr>
      </w:pPr>
    </w:p>
    <w:p w14:paraId="0B9A92E1">
      <w:pPr>
        <w:adjustRightInd w:val="0"/>
        <w:snapToGrid w:val="0"/>
        <w:spacing w:line="560" w:lineRule="exact"/>
        <w:rPr>
          <w:rFonts w:hint="eastAsia" w:ascii="宋体" w:hAnsi="宋体" w:eastAsia="宋体" w:cs="宋体"/>
          <w:sz w:val="24"/>
          <w:highlight w:val="none"/>
        </w:rPr>
      </w:pPr>
    </w:p>
    <w:p w14:paraId="2158FEEF">
      <w:pPr>
        <w:adjustRightInd w:val="0"/>
        <w:snapToGrid w:val="0"/>
        <w:spacing w:line="560" w:lineRule="exact"/>
        <w:rPr>
          <w:rFonts w:hint="eastAsia" w:ascii="宋体" w:hAnsi="宋体" w:eastAsia="宋体" w:cs="宋体"/>
          <w:sz w:val="24"/>
          <w:highlight w:val="none"/>
        </w:rPr>
      </w:pPr>
    </w:p>
    <w:p w14:paraId="71B1AA05">
      <w:pPr>
        <w:adjustRightInd w:val="0"/>
        <w:snapToGrid w:val="0"/>
        <w:spacing w:line="560" w:lineRule="exact"/>
        <w:rPr>
          <w:rFonts w:hint="eastAsia" w:ascii="宋体" w:hAnsi="宋体" w:eastAsia="宋体" w:cs="宋体"/>
          <w:sz w:val="24"/>
          <w:highlight w:val="none"/>
        </w:rPr>
      </w:pPr>
    </w:p>
    <w:p w14:paraId="617A60EB">
      <w:pPr>
        <w:adjustRightInd w:val="0"/>
        <w:snapToGrid w:val="0"/>
        <w:spacing w:line="560" w:lineRule="exact"/>
        <w:rPr>
          <w:rFonts w:hint="eastAsia" w:ascii="宋体" w:hAnsi="宋体" w:eastAsia="宋体" w:cs="宋体"/>
          <w:sz w:val="24"/>
          <w:highlight w:val="none"/>
        </w:rPr>
      </w:pPr>
    </w:p>
    <w:p w14:paraId="543BFF94">
      <w:pPr>
        <w:pStyle w:val="7"/>
        <w:rPr>
          <w:rFonts w:hint="eastAsia" w:ascii="宋体" w:hAnsi="宋体" w:eastAsia="宋体" w:cs="宋体"/>
          <w:highlight w:val="none"/>
        </w:rPr>
      </w:pPr>
    </w:p>
    <w:p w14:paraId="1F1DAAC5">
      <w:pPr>
        <w:pStyle w:val="7"/>
        <w:rPr>
          <w:rFonts w:hint="eastAsia" w:ascii="宋体" w:hAnsi="宋体" w:eastAsia="宋体" w:cs="宋体"/>
          <w:highlight w:val="none"/>
        </w:rPr>
      </w:pPr>
    </w:p>
    <w:p w14:paraId="1DA0EC61">
      <w:pPr>
        <w:pStyle w:val="7"/>
        <w:rPr>
          <w:rFonts w:hint="eastAsia" w:ascii="宋体" w:hAnsi="宋体" w:eastAsia="宋体" w:cs="宋体"/>
          <w:highlight w:val="none"/>
        </w:rPr>
      </w:pPr>
    </w:p>
    <w:p w14:paraId="0C95520B">
      <w:pPr>
        <w:pStyle w:val="7"/>
        <w:rPr>
          <w:rFonts w:hint="eastAsia" w:ascii="宋体" w:hAnsi="宋体" w:eastAsia="宋体" w:cs="宋体"/>
          <w:highlight w:val="none"/>
        </w:rPr>
      </w:pPr>
    </w:p>
    <w:p w14:paraId="1676B4C8">
      <w:pPr>
        <w:pStyle w:val="7"/>
        <w:rPr>
          <w:rFonts w:hint="eastAsia" w:ascii="宋体" w:hAnsi="宋体" w:eastAsia="宋体" w:cs="宋体"/>
          <w:highlight w:val="none"/>
        </w:rPr>
      </w:pPr>
    </w:p>
    <w:p w14:paraId="77D8D9C0">
      <w:pPr>
        <w:pStyle w:val="7"/>
        <w:rPr>
          <w:rFonts w:hint="eastAsia" w:ascii="宋体" w:hAnsi="宋体" w:eastAsia="宋体" w:cs="宋体"/>
          <w:highlight w:val="none"/>
        </w:rPr>
      </w:pPr>
    </w:p>
    <w:p w14:paraId="1C57FEAD">
      <w:pPr>
        <w:pStyle w:val="7"/>
        <w:rPr>
          <w:rFonts w:hint="eastAsia" w:ascii="宋体" w:hAnsi="宋体" w:eastAsia="宋体" w:cs="宋体"/>
          <w:highlight w:val="none"/>
        </w:rPr>
      </w:pPr>
    </w:p>
    <w:p w14:paraId="5663A1FB">
      <w:pPr>
        <w:pStyle w:val="7"/>
        <w:rPr>
          <w:rFonts w:hint="eastAsia" w:ascii="宋体" w:hAnsi="宋体" w:eastAsia="宋体" w:cs="宋体"/>
          <w:highlight w:val="none"/>
        </w:rPr>
      </w:pPr>
    </w:p>
    <w:p w14:paraId="25999BBC">
      <w:pPr>
        <w:pStyle w:val="7"/>
        <w:rPr>
          <w:rFonts w:hint="eastAsia" w:ascii="宋体" w:hAnsi="宋体" w:eastAsia="宋体" w:cs="宋体"/>
          <w:highlight w:val="none"/>
        </w:rPr>
      </w:pPr>
    </w:p>
    <w:p w14:paraId="77DDCA5B">
      <w:pPr>
        <w:pStyle w:val="7"/>
        <w:rPr>
          <w:rFonts w:hint="eastAsia" w:ascii="宋体" w:hAnsi="宋体" w:eastAsia="宋体" w:cs="宋体"/>
          <w:highlight w:val="none"/>
        </w:rPr>
      </w:pPr>
    </w:p>
    <w:p w14:paraId="02C5F4D4">
      <w:pPr>
        <w:pStyle w:val="7"/>
        <w:rPr>
          <w:rFonts w:hint="eastAsia" w:ascii="宋体" w:hAnsi="宋体" w:eastAsia="宋体" w:cs="宋体"/>
          <w:highlight w:val="none"/>
        </w:rPr>
      </w:pPr>
    </w:p>
    <w:p w14:paraId="51CF6104">
      <w:pPr>
        <w:pStyle w:val="32"/>
        <w:jc w:val="both"/>
        <w:rPr>
          <w:rFonts w:hint="eastAsia" w:ascii="宋体" w:hAnsi="宋体" w:eastAsia="宋体" w:cs="宋体"/>
          <w:b/>
          <w:bCs/>
          <w:sz w:val="32"/>
          <w:szCs w:val="21"/>
          <w:highlight w:val="none"/>
          <w:lang w:val="en-US" w:eastAsia="zh-CN"/>
        </w:rPr>
      </w:pPr>
    </w:p>
    <w:p w14:paraId="298272A8">
      <w:pPr>
        <w:spacing w:line="440" w:lineRule="exact"/>
        <w:ind w:firstLine="1124" w:firstLineChars="350"/>
        <w:jc w:val="center"/>
        <w:rPr>
          <w:rFonts w:hint="eastAsia" w:ascii="宋体" w:hAnsi="宋体" w:eastAsia="宋体" w:cs="宋体"/>
          <w:b/>
          <w:bCs/>
          <w:sz w:val="32"/>
          <w:szCs w:val="21"/>
          <w:highlight w:val="none"/>
          <w:lang w:val="en-US" w:eastAsia="zh-CN"/>
        </w:rPr>
      </w:pPr>
    </w:p>
    <w:p w14:paraId="14F8632A">
      <w:pPr>
        <w:jc w:val="center"/>
        <w:rPr>
          <w:rFonts w:hint="eastAsia" w:ascii="宋体" w:hAnsi="宋体" w:eastAsia="宋体" w:cs="宋体"/>
          <w:b/>
          <w:bCs/>
          <w:sz w:val="32"/>
          <w:szCs w:val="21"/>
          <w:highlight w:val="none"/>
          <w:lang w:eastAsia="zh-CN"/>
        </w:rPr>
      </w:pPr>
      <w:r>
        <w:rPr>
          <w:rFonts w:hint="eastAsia" w:ascii="宋体" w:hAnsi="宋体" w:cs="宋体"/>
          <w:b/>
          <w:bCs/>
          <w:sz w:val="32"/>
          <w:szCs w:val="21"/>
          <w:highlight w:val="none"/>
          <w:lang w:eastAsia="zh-CN"/>
        </w:rPr>
        <w:t>八</w:t>
      </w:r>
      <w:r>
        <w:rPr>
          <w:rFonts w:hint="eastAsia" w:ascii="宋体" w:hAnsi="宋体" w:eastAsia="宋体" w:cs="宋体"/>
          <w:b/>
          <w:bCs/>
          <w:sz w:val="32"/>
          <w:szCs w:val="21"/>
          <w:highlight w:val="none"/>
        </w:rPr>
        <w:t>、投标人认为应该提供的其他资料</w:t>
      </w:r>
      <w:r>
        <w:rPr>
          <w:rFonts w:hint="eastAsia" w:ascii="宋体" w:hAnsi="宋体" w:eastAsia="宋体" w:cs="宋体"/>
          <w:b/>
          <w:bCs/>
          <w:sz w:val="32"/>
          <w:szCs w:val="21"/>
          <w:highlight w:val="none"/>
          <w:lang w:eastAsia="zh-CN"/>
        </w:rPr>
        <w:t>（如有）</w:t>
      </w:r>
    </w:p>
    <w:p w14:paraId="71E9C0F0">
      <w:pPr>
        <w:spacing w:line="440" w:lineRule="exact"/>
        <w:ind w:firstLine="840" w:firstLineChars="350"/>
        <w:jc w:val="center"/>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格式自拟）</w:t>
      </w:r>
    </w:p>
    <w:p w14:paraId="0D8F9DC0">
      <w:pPr>
        <w:spacing w:line="360" w:lineRule="auto"/>
        <w:rPr>
          <w:rFonts w:hint="eastAsia" w:ascii="宋体" w:hAnsi="宋体" w:eastAsia="宋体" w:cs="宋体"/>
          <w:sz w:val="24"/>
          <w:highlight w:val="none"/>
        </w:rPr>
      </w:pPr>
    </w:p>
    <w:p w14:paraId="1BBA885D">
      <w:pPr>
        <w:rPr>
          <w:highlight w:val="none"/>
        </w:rPr>
      </w:pPr>
    </w:p>
    <w:sectPr>
      <w:footerReference r:id="rId12" w:type="first"/>
      <w:footerReference r:id="rId11" w:type="default"/>
      <w:pgSz w:w="11906" w:h="16838"/>
      <w:pgMar w:top="1440" w:right="1344" w:bottom="1440" w:left="1344" w:header="851" w:footer="992" w:gutter="0"/>
      <w:pgBorders w:offsetFrom="page">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mp;#23435;&amp;#20307;">
    <w:altName w:val="Courier New"/>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Hiragino Sans GB W3">
    <w:altName w:val="宋体"/>
    <w:panose1 w:val="00000000000000000000"/>
    <w:charset w:val="86"/>
    <w:family w:val="auto"/>
    <w:pitch w:val="default"/>
    <w:sig w:usb0="00000000" w:usb1="00000000" w:usb2="00000016" w:usb3="00000000" w:csb0="00060007"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4206F">
    <w:pPr>
      <w:pStyle w:val="34"/>
      <w:pBdr>
        <w:top w:val="none" w:color="auto" w:sz="0" w:space="0"/>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5E26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85E26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114E1">
    <w:pPr>
      <w:pStyle w:val="12"/>
      <w:ind w:right="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48D14">
                          <w:pPr>
                            <w:pStyle w:val="12"/>
                            <w:rPr>
                              <w:rStyle w:val="25"/>
                            </w:rPr>
                          </w:pPr>
                          <w:r>
                            <w:fldChar w:fldCharType="begin"/>
                          </w:r>
                          <w:r>
                            <w:rPr>
                              <w:rStyle w:val="25"/>
                            </w:rPr>
                            <w:instrText xml:space="preserve">PAGE  </w:instrText>
                          </w:r>
                          <w:r>
                            <w:fldChar w:fldCharType="separate"/>
                          </w:r>
                          <w:r>
                            <w:rPr>
                              <w:rStyle w:val="25"/>
                            </w:rPr>
                            <w:t>- 34 -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548D14">
                    <w:pPr>
                      <w:pStyle w:val="12"/>
                      <w:rPr>
                        <w:rStyle w:val="25"/>
                      </w:rPr>
                    </w:pPr>
                    <w:r>
                      <w:fldChar w:fldCharType="begin"/>
                    </w:r>
                    <w:r>
                      <w:rPr>
                        <w:rStyle w:val="25"/>
                      </w:rPr>
                      <w:instrText xml:space="preserve">PAGE  </w:instrText>
                    </w:r>
                    <w:r>
                      <w:fldChar w:fldCharType="separate"/>
                    </w:r>
                    <w:r>
                      <w:rPr>
                        <w:rStyle w:val="25"/>
                      </w:rPr>
                      <w:t>- 34 -</w:t>
                    </w:r>
                    <w: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32686">
    <w:pPr>
      <w:pStyle w:val="12"/>
      <w:ind w:right="36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67E2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7367E28">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5EF28">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FB2D3">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0CFB2D3">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77ED8">
    <w:pPr>
      <w:spacing w:before="1" w:line="176" w:lineRule="auto"/>
      <w:ind w:left="4186"/>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E6DAA">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CE6DAA">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14960">
    <w:pPr>
      <w:spacing w:before="1" w:line="176" w:lineRule="auto"/>
      <w:ind w:left="4186"/>
      <w:rPr>
        <w:rFonts w:ascii="宋体" w:hAnsi="宋体" w:eastAsia="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D7CC0">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E3D7CC0">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B9C6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676C4">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3B676C4">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A3C1C">
    <w:pPr>
      <w:pStyle w:val="12"/>
      <w:ind w:right="360"/>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D5198">
                          <w:pPr>
                            <w:pStyle w:val="12"/>
                            <w:rPr>
                              <w:rStyle w:val="25"/>
                            </w:rPr>
                          </w:pPr>
                          <w:r>
                            <w:fldChar w:fldCharType="begin"/>
                          </w:r>
                          <w:r>
                            <w:rPr>
                              <w:rStyle w:val="25"/>
                            </w:rPr>
                            <w:instrText xml:space="preserve">PAGE  </w:instrText>
                          </w:r>
                          <w:r>
                            <w:fldChar w:fldCharType="separate"/>
                          </w:r>
                          <w:r>
                            <w:rPr>
                              <w:rStyle w:val="25"/>
                            </w:rPr>
                            <w:t>- 34 -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7AD5198">
                    <w:pPr>
                      <w:pStyle w:val="12"/>
                      <w:rPr>
                        <w:rStyle w:val="25"/>
                      </w:rPr>
                    </w:pPr>
                    <w:r>
                      <w:fldChar w:fldCharType="begin"/>
                    </w:r>
                    <w:r>
                      <w:rPr>
                        <w:rStyle w:val="25"/>
                      </w:rPr>
                      <w:instrText xml:space="preserve">PAGE  </w:instrText>
                    </w:r>
                    <w:r>
                      <w:fldChar w:fldCharType="separate"/>
                    </w:r>
                    <w:r>
                      <w:rPr>
                        <w:rStyle w:val="25"/>
                      </w:rPr>
                      <w:t>- 34 -</w:t>
                    </w:r>
                    <w:r>
                      <w:fldChar w:fldCharType="end"/>
                    </w:r>
                  </w:p>
                </w:txbxContent>
              </v:textbox>
            </v:shape>
          </w:pict>
        </mc:Fallback>
      </mc:AlternateContent>
    </w:r>
    <w:r>
      <w:rPr>
        <w:rFonts w:hint="eastAsia"/>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1969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285EA">
    <w:pPr>
      <w:pStyle w:val="14"/>
      <w:pBdr>
        <w:bottom w:val="double" w:color="auto" w:sz="8" w:space="1"/>
      </w:pBdr>
      <w:spacing w:beforeAutospacing="0"/>
      <w:jc w:val="both"/>
      <w:rPr>
        <w:rFonts w:hint="eastAsia" w:ascii="宋体" w:hAnsi="宋体" w:cs="宋体"/>
        <w:b/>
        <w:bCs/>
        <w:caps/>
        <w:sz w:val="13"/>
        <w:szCs w:val="13"/>
        <w:lang w:val="en-US" w:eastAsia="zh-CN"/>
      </w:rPr>
    </w:pPr>
  </w:p>
  <w:p w14:paraId="358381F4">
    <w:pPr>
      <w:pStyle w:val="14"/>
      <w:pBdr>
        <w:bottom w:val="double" w:color="auto" w:sz="8" w:space="1"/>
      </w:pBdr>
      <w:spacing w:beforeAutospacing="0"/>
      <w:jc w:val="both"/>
      <w:rPr>
        <w:rFonts w:hint="eastAsia" w:ascii="宋体" w:hAnsi="宋体" w:cs="宋体"/>
        <w:b/>
        <w:bCs/>
        <w:caps/>
        <w:sz w:val="13"/>
        <w:szCs w:val="13"/>
        <w:highlight w:val="yellow"/>
        <w:lang w:val="en-US" w:eastAsia="zh-CN"/>
      </w:rPr>
    </w:pPr>
  </w:p>
  <w:p w14:paraId="1593E377">
    <w:pPr>
      <w:pStyle w:val="14"/>
      <w:pBdr>
        <w:bottom w:val="double" w:color="auto" w:sz="8" w:space="1"/>
      </w:pBdr>
      <w:spacing w:beforeAutospacing="0"/>
      <w:jc w:val="both"/>
      <w:rPr>
        <w:rFonts w:ascii="宋体" w:hAnsi="宋体"/>
        <w:color w:val="000000"/>
      </w:rPr>
    </w:pPr>
    <w:r>
      <w:rPr>
        <w:rFonts w:hint="eastAsia" w:ascii="宋体" w:hAnsi="宋体" w:cs="宋体"/>
        <w:b/>
        <w:bCs/>
        <w:szCs w:val="18"/>
        <w:highlight w:val="none"/>
        <w:lang w:val="en-US" w:eastAsia="zh-CN"/>
      </w:rPr>
      <w:t>新疆众想丰华工程造价咨询有限公司</w:t>
    </w:r>
    <w:r>
      <w:rPr>
        <w:rFonts w:hint="eastAsia" w:ascii="宋体" w:hAnsi="宋体" w:cs="宋体"/>
        <w:b/>
        <w:bCs/>
        <w:caps/>
        <w:sz w:val="13"/>
        <w:szCs w:val="13"/>
        <w:highlight w:val="none"/>
        <w:lang w:val="en-US" w:eastAsia="zh-CN"/>
      </w:rPr>
      <w:t xml:space="preserve">  </w:t>
    </w:r>
    <w:r>
      <w:rPr>
        <w:rFonts w:hint="eastAsia" w:ascii="宋体" w:hAnsi="宋体" w:cs="宋体"/>
        <w:b/>
        <w:bCs/>
        <w:caps/>
        <w:sz w:val="13"/>
        <w:szCs w:val="13"/>
        <w:lang w:val="en-US" w:eastAsia="zh-CN"/>
      </w:rPr>
      <w:t xml:space="preserve">                                             </w:t>
    </w:r>
    <w:r>
      <w:rPr>
        <w:rFonts w:hint="eastAsia" w:ascii="宋体" w:hAnsi="宋体" w:cs="宋体"/>
        <w:b/>
        <w:bCs/>
        <w:szCs w:val="18"/>
      </w:rPr>
      <w:t xml:space="preserve">  </w:t>
    </w:r>
    <w:r>
      <w:rPr>
        <w:rFonts w:hint="eastAsia" w:ascii="宋体" w:hAnsi="宋体" w:cs="宋体"/>
        <w:b/>
        <w:bCs/>
        <w:szCs w:val="18"/>
        <w:lang w:val="en-US" w:eastAsia="zh-CN"/>
      </w:rPr>
      <w:t xml:space="preserve">   </w:t>
    </w:r>
    <w:r>
      <w:rPr>
        <w:rFonts w:hint="eastAsia" w:ascii="宋体" w:hAnsi="宋体" w:cs="宋体"/>
        <w:b/>
        <w:bCs/>
        <w:szCs w:val="18"/>
      </w:rPr>
      <w:t>公开·公平·公正·诚信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4E5AD"/>
    <w:multiLevelType w:val="singleLevel"/>
    <w:tmpl w:val="8494E5AD"/>
    <w:lvl w:ilvl="0" w:tentative="0">
      <w:start w:val="1"/>
      <w:numFmt w:val="decimal"/>
      <w:lvlText w:val="(%1)"/>
      <w:lvlJc w:val="left"/>
      <w:pPr>
        <w:ind w:left="425" w:hanging="425"/>
      </w:pPr>
      <w:rPr>
        <w:rFonts w:hint="default"/>
      </w:rPr>
    </w:lvl>
  </w:abstractNum>
  <w:abstractNum w:abstractNumId="1">
    <w:nsid w:val="91DAA54E"/>
    <w:multiLevelType w:val="singleLevel"/>
    <w:tmpl w:val="91DAA54E"/>
    <w:lvl w:ilvl="0" w:tentative="0">
      <w:start w:val="1"/>
      <w:numFmt w:val="decimal"/>
      <w:lvlText w:val="(%1)"/>
      <w:lvlJc w:val="left"/>
      <w:pPr>
        <w:ind w:left="425" w:hanging="425"/>
      </w:pPr>
      <w:rPr>
        <w:rFonts w:hint="default"/>
      </w:rPr>
    </w:lvl>
  </w:abstractNum>
  <w:abstractNum w:abstractNumId="2">
    <w:nsid w:val="AB2260AA"/>
    <w:multiLevelType w:val="singleLevel"/>
    <w:tmpl w:val="AB2260AA"/>
    <w:lvl w:ilvl="0" w:tentative="0">
      <w:start w:val="1"/>
      <w:numFmt w:val="decimalEnclosedCircleChinese"/>
      <w:suff w:val="nothing"/>
      <w:lvlText w:val="%1　"/>
      <w:lvlJc w:val="left"/>
      <w:pPr>
        <w:ind w:left="0" w:firstLine="400"/>
      </w:pPr>
      <w:rPr>
        <w:rFonts w:hint="eastAsia"/>
      </w:rPr>
    </w:lvl>
  </w:abstractNum>
  <w:abstractNum w:abstractNumId="3">
    <w:nsid w:val="BB8B7A2B"/>
    <w:multiLevelType w:val="singleLevel"/>
    <w:tmpl w:val="BB8B7A2B"/>
    <w:lvl w:ilvl="0" w:tentative="0">
      <w:start w:val="1"/>
      <w:numFmt w:val="decimal"/>
      <w:lvlText w:val="%1."/>
      <w:lvlJc w:val="left"/>
      <w:pPr>
        <w:tabs>
          <w:tab w:val="left" w:pos="312"/>
        </w:tabs>
      </w:pPr>
    </w:lvl>
  </w:abstractNum>
  <w:abstractNum w:abstractNumId="4">
    <w:nsid w:val="FC31C313"/>
    <w:multiLevelType w:val="multilevel"/>
    <w:tmpl w:val="FC31C313"/>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5">
    <w:nsid w:val="FD7B9E46"/>
    <w:multiLevelType w:val="singleLevel"/>
    <w:tmpl w:val="FD7B9E46"/>
    <w:lvl w:ilvl="0" w:tentative="0">
      <w:start w:val="1"/>
      <w:numFmt w:val="decimal"/>
      <w:lvlText w:val="(%1)"/>
      <w:lvlJc w:val="left"/>
      <w:pPr>
        <w:ind w:left="425" w:hanging="425"/>
      </w:pPr>
      <w:rPr>
        <w:rFonts w:hint="default"/>
      </w:rPr>
    </w:lvl>
  </w:abstractNum>
  <w:abstractNum w:abstractNumId="6">
    <w:nsid w:val="0000000C"/>
    <w:multiLevelType w:val="multilevel"/>
    <w:tmpl w:val="0000000C"/>
    <w:lvl w:ilvl="0" w:tentative="0">
      <w:start w:val="1"/>
      <w:numFmt w:val="decimal"/>
      <w:lvlText w:val="（%1）"/>
      <w:lvlJc w:val="left"/>
      <w:pPr>
        <w:tabs>
          <w:tab w:val="left" w:pos="1080"/>
        </w:tabs>
        <w:ind w:left="1080" w:hanging="720"/>
      </w:pPr>
      <w:rPr>
        <w:rFonts w:hint="default"/>
        <w:b w:val="0"/>
      </w:rPr>
    </w:lvl>
    <w:lvl w:ilvl="1" w:tentative="0">
      <w:start w:val="1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0"/>
    <w:multiLevelType w:val="multilevel"/>
    <w:tmpl w:val="00000010"/>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8">
    <w:nsid w:val="0000001E"/>
    <w:multiLevelType w:val="multilevel"/>
    <w:tmpl w:val="0000001E"/>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10B216D"/>
    <w:multiLevelType w:val="multilevel"/>
    <w:tmpl w:val="010B216D"/>
    <w:lvl w:ilvl="0" w:tentative="0">
      <w:start w:val="1"/>
      <w:numFmt w:val="decimal"/>
      <w:lvlText w:val="%1."/>
      <w:lvlJc w:val="left"/>
      <w:pPr>
        <w:tabs>
          <w:tab w:val="left" w:pos="147"/>
        </w:tabs>
        <w:ind w:left="147" w:hanging="425"/>
      </w:pPr>
      <w:rPr>
        <w:rFonts w:hint="eastAsia"/>
        <w:b/>
        <w:i w:val="0"/>
        <w:sz w:val="28"/>
        <w:szCs w:val="28"/>
      </w:rPr>
    </w:lvl>
    <w:lvl w:ilvl="1" w:tentative="0">
      <w:start w:val="1"/>
      <w:numFmt w:val="decimal"/>
      <w:lvlText w:val="%1.%2."/>
      <w:lvlJc w:val="left"/>
      <w:pPr>
        <w:tabs>
          <w:tab w:val="left" w:pos="289"/>
        </w:tabs>
        <w:ind w:left="289" w:hanging="567"/>
      </w:pPr>
      <w:rPr>
        <w:rFonts w:hint="eastAsia" w:ascii="宋体" w:hAnsi="宋体" w:eastAsia="宋体"/>
        <w:b/>
        <w:i w:val="0"/>
        <w:sz w:val="24"/>
        <w:szCs w:val="24"/>
      </w:rPr>
    </w:lvl>
    <w:lvl w:ilvl="2" w:tentative="0">
      <w:start w:val="1"/>
      <w:numFmt w:val="decimal"/>
      <w:lvlText w:val="%1.%2.%3."/>
      <w:lvlJc w:val="left"/>
      <w:pPr>
        <w:tabs>
          <w:tab w:val="left" w:pos="1050"/>
        </w:tabs>
        <w:ind w:left="1050" w:hanging="624"/>
      </w:pPr>
      <w:rPr>
        <w:rFonts w:hint="eastAsia" w:ascii="宋体" w:eastAsia="宋体"/>
        <w:b w:val="0"/>
        <w:i w:val="0"/>
        <w:sz w:val="24"/>
        <w:szCs w:val="24"/>
      </w:rPr>
    </w:lvl>
    <w:lvl w:ilvl="3" w:tentative="0">
      <w:start w:val="1"/>
      <w:numFmt w:val="decimal"/>
      <w:lvlText w:val="%1.%2.%3.%4."/>
      <w:lvlJc w:val="left"/>
      <w:pPr>
        <w:tabs>
          <w:tab w:val="left" w:pos="573"/>
        </w:tabs>
        <w:ind w:left="573" w:hanging="851"/>
      </w:pPr>
      <w:rPr>
        <w:rFonts w:hint="eastAsia"/>
      </w:rPr>
    </w:lvl>
    <w:lvl w:ilvl="4" w:tentative="0">
      <w:start w:val="1"/>
      <w:numFmt w:val="decimal"/>
      <w:lvlText w:val="%1.%2.%3.%4.%5."/>
      <w:lvlJc w:val="left"/>
      <w:pPr>
        <w:tabs>
          <w:tab w:val="left" w:pos="714"/>
        </w:tabs>
        <w:ind w:left="714" w:hanging="992"/>
      </w:pPr>
      <w:rPr>
        <w:rFonts w:hint="eastAsia"/>
      </w:rPr>
    </w:lvl>
    <w:lvl w:ilvl="5" w:tentative="0">
      <w:start w:val="1"/>
      <w:numFmt w:val="decimal"/>
      <w:lvlText w:val="%1.%2.%3.%4.%5.%6."/>
      <w:lvlJc w:val="left"/>
      <w:pPr>
        <w:tabs>
          <w:tab w:val="left" w:pos="856"/>
        </w:tabs>
        <w:ind w:left="856" w:hanging="1134"/>
      </w:pPr>
      <w:rPr>
        <w:rFonts w:hint="eastAsia"/>
      </w:rPr>
    </w:lvl>
    <w:lvl w:ilvl="6" w:tentative="0">
      <w:start w:val="1"/>
      <w:numFmt w:val="decimal"/>
      <w:lvlText w:val="%1.%2.%3.%4.%5.%6.%7."/>
      <w:lvlJc w:val="left"/>
      <w:pPr>
        <w:tabs>
          <w:tab w:val="left" w:pos="998"/>
        </w:tabs>
        <w:ind w:left="998" w:hanging="1276"/>
      </w:pPr>
      <w:rPr>
        <w:rFonts w:hint="eastAsia"/>
      </w:rPr>
    </w:lvl>
    <w:lvl w:ilvl="7" w:tentative="0">
      <w:start w:val="1"/>
      <w:numFmt w:val="decimal"/>
      <w:lvlText w:val="%1.%2.%3.%4.%5.%6.%7.%8."/>
      <w:lvlJc w:val="left"/>
      <w:pPr>
        <w:tabs>
          <w:tab w:val="left" w:pos="1140"/>
        </w:tabs>
        <w:ind w:left="1140" w:hanging="1418"/>
      </w:pPr>
      <w:rPr>
        <w:rFonts w:hint="eastAsia"/>
      </w:rPr>
    </w:lvl>
    <w:lvl w:ilvl="8" w:tentative="0">
      <w:start w:val="1"/>
      <w:numFmt w:val="decimal"/>
      <w:lvlText w:val="%1.%2.%3.%4.%5.%6.%7.%8.%9."/>
      <w:lvlJc w:val="left"/>
      <w:pPr>
        <w:tabs>
          <w:tab w:val="left" w:pos="1281"/>
        </w:tabs>
        <w:ind w:left="1281" w:hanging="1559"/>
      </w:pPr>
      <w:rPr>
        <w:rFonts w:hint="eastAsia"/>
      </w:rPr>
    </w:lvl>
  </w:abstractNum>
  <w:abstractNum w:abstractNumId="10">
    <w:nsid w:val="15D0DCEC"/>
    <w:multiLevelType w:val="singleLevel"/>
    <w:tmpl w:val="15D0DCEC"/>
    <w:lvl w:ilvl="0" w:tentative="0">
      <w:start w:val="1"/>
      <w:numFmt w:val="decimal"/>
      <w:lvlText w:val="(%1)"/>
      <w:lvlJc w:val="left"/>
      <w:pPr>
        <w:ind w:left="425" w:hanging="425"/>
      </w:pPr>
      <w:rPr>
        <w:rFonts w:hint="default"/>
      </w:rPr>
    </w:lvl>
  </w:abstractNum>
  <w:abstractNum w:abstractNumId="11">
    <w:nsid w:val="24521C7D"/>
    <w:multiLevelType w:val="multilevel"/>
    <w:tmpl w:val="24521C7D"/>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12">
    <w:nsid w:val="35865E86"/>
    <w:multiLevelType w:val="singleLevel"/>
    <w:tmpl w:val="35865E86"/>
    <w:lvl w:ilvl="0" w:tentative="0">
      <w:start w:val="1"/>
      <w:numFmt w:val="decimal"/>
      <w:lvlText w:val="(%1)"/>
      <w:lvlJc w:val="left"/>
      <w:pPr>
        <w:ind w:left="425" w:hanging="425"/>
      </w:pPr>
      <w:rPr>
        <w:rFonts w:hint="default"/>
      </w:rPr>
    </w:lvl>
  </w:abstractNum>
  <w:abstractNum w:abstractNumId="13">
    <w:nsid w:val="40F85584"/>
    <w:multiLevelType w:val="singleLevel"/>
    <w:tmpl w:val="40F85584"/>
    <w:lvl w:ilvl="0" w:tentative="0">
      <w:start w:val="1"/>
      <w:numFmt w:val="decimalEnclosedCircleChinese"/>
      <w:suff w:val="nothing"/>
      <w:lvlText w:val="%1　"/>
      <w:lvlJc w:val="left"/>
      <w:pPr>
        <w:ind w:left="0" w:firstLine="400"/>
      </w:pPr>
      <w:rPr>
        <w:rFonts w:hint="eastAsia"/>
      </w:rPr>
    </w:lvl>
  </w:abstractNum>
  <w:abstractNum w:abstractNumId="14">
    <w:nsid w:val="4E93C052"/>
    <w:multiLevelType w:val="singleLevel"/>
    <w:tmpl w:val="4E93C052"/>
    <w:lvl w:ilvl="0" w:tentative="0">
      <w:start w:val="1"/>
      <w:numFmt w:val="decimal"/>
      <w:suff w:val="nothing"/>
      <w:lvlText w:val="%1、"/>
      <w:lvlJc w:val="left"/>
    </w:lvl>
  </w:abstractNum>
  <w:abstractNum w:abstractNumId="15">
    <w:nsid w:val="52733E1A"/>
    <w:multiLevelType w:val="singleLevel"/>
    <w:tmpl w:val="52733E1A"/>
    <w:lvl w:ilvl="0" w:tentative="0">
      <w:start w:val="1"/>
      <w:numFmt w:val="decimal"/>
      <w:lvlText w:val="(%1)"/>
      <w:lvlJc w:val="left"/>
      <w:pPr>
        <w:ind w:left="425" w:hanging="425"/>
      </w:pPr>
      <w:rPr>
        <w:rFonts w:hint="default"/>
      </w:rPr>
    </w:lvl>
  </w:abstractNum>
  <w:abstractNum w:abstractNumId="16">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3"/>
      <w:suff w:val="nothing"/>
      <w:lvlText w:val="%2. "/>
      <w:lvlJc w:val="left"/>
      <w:rPr>
        <w:rFonts w:hint="eastAsia"/>
        <w:b w:val="0"/>
        <w:i w:val="0"/>
        <w:sz w:val="24"/>
      </w:rPr>
    </w:lvl>
    <w:lvl w:ilvl="2" w:tentative="0">
      <w:start w:val="1"/>
      <w:numFmt w:val="none"/>
      <w:pStyle w:val="4"/>
      <w:suff w:val="nothing"/>
      <w:lvlText w:val=""/>
      <w:lvlJc w:val="left"/>
      <w:rPr>
        <w:rFonts w:hint="eastAsia"/>
      </w:rPr>
    </w:lvl>
    <w:lvl w:ilvl="3" w:tentative="0">
      <w:start w:val="1"/>
      <w:numFmt w:val="none"/>
      <w:pStyle w:val="5"/>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17">
    <w:nsid w:val="70D2C42C"/>
    <w:multiLevelType w:val="singleLevel"/>
    <w:tmpl w:val="70D2C42C"/>
    <w:lvl w:ilvl="0" w:tentative="0">
      <w:start w:val="4"/>
      <w:numFmt w:val="chineseCounting"/>
      <w:suff w:val="nothing"/>
      <w:lvlText w:val="%1、"/>
      <w:lvlJc w:val="left"/>
      <w:rPr>
        <w:rFonts w:hint="eastAsia"/>
      </w:rPr>
    </w:lvl>
  </w:abstractNum>
  <w:abstractNum w:abstractNumId="18">
    <w:nsid w:val="7673AF05"/>
    <w:multiLevelType w:val="singleLevel"/>
    <w:tmpl w:val="7673AF05"/>
    <w:lvl w:ilvl="0" w:tentative="0">
      <w:start w:val="1"/>
      <w:numFmt w:val="chineseCounting"/>
      <w:suff w:val="nothing"/>
      <w:lvlText w:val="%1、"/>
      <w:lvlJc w:val="left"/>
      <w:rPr>
        <w:rFonts w:hint="eastAsia"/>
      </w:rPr>
    </w:lvl>
  </w:abstractNum>
  <w:abstractNum w:abstractNumId="19">
    <w:nsid w:val="7D8CEF59"/>
    <w:multiLevelType w:val="singleLevel"/>
    <w:tmpl w:val="7D8CEF59"/>
    <w:lvl w:ilvl="0" w:tentative="0">
      <w:start w:val="1"/>
      <w:numFmt w:val="decimal"/>
      <w:lvlText w:val="(%1)"/>
      <w:lvlJc w:val="left"/>
      <w:pPr>
        <w:ind w:left="425" w:hanging="425"/>
      </w:pPr>
      <w:rPr>
        <w:rFonts w:hint="default"/>
      </w:rPr>
    </w:lvl>
  </w:abstractNum>
  <w:num w:numId="1">
    <w:abstractNumId w:val="16"/>
  </w:num>
  <w:num w:numId="2">
    <w:abstractNumId w:val="14"/>
  </w:num>
  <w:num w:numId="3">
    <w:abstractNumId w:val="9"/>
  </w:num>
  <w:num w:numId="4">
    <w:abstractNumId w:val="0"/>
  </w:num>
  <w:num w:numId="5">
    <w:abstractNumId w:val="6"/>
  </w:num>
  <w:num w:numId="6">
    <w:abstractNumId w:val="5"/>
  </w:num>
  <w:num w:numId="7">
    <w:abstractNumId w:val="1"/>
  </w:num>
  <w:num w:numId="8">
    <w:abstractNumId w:val="12"/>
  </w:num>
  <w:num w:numId="9">
    <w:abstractNumId w:val="10"/>
  </w:num>
  <w:num w:numId="10">
    <w:abstractNumId w:val="19"/>
  </w:num>
  <w:num w:numId="11">
    <w:abstractNumId w:val="15"/>
  </w:num>
  <w:num w:numId="12">
    <w:abstractNumId w:val="13"/>
  </w:num>
  <w:num w:numId="13">
    <w:abstractNumId w:val="2"/>
  </w:num>
  <w:num w:numId="14">
    <w:abstractNumId w:val="3"/>
  </w:num>
  <w:num w:numId="15">
    <w:abstractNumId w:val="8"/>
    <w:lvlOverride w:ilvl="1">
      <w:startOverride w:val="1"/>
    </w:lvlOverride>
  </w:num>
  <w:num w:numId="16">
    <w:abstractNumId w:val="7"/>
    <w:lvlOverride w:ilvl="1">
      <w:startOverride w:val="1"/>
    </w:lvlOverride>
  </w:num>
  <w:num w:numId="17">
    <w:abstractNumId w:val="11"/>
  </w:num>
  <w:num w:numId="18">
    <w:abstractNumId w:val="4"/>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YWU1YjhjZmRmZTcwZWNlNGQzOWM4MDE2YmRjNTcifQ=="/>
  </w:docVars>
  <w:rsids>
    <w:rsidRoot w:val="0E7E35E1"/>
    <w:rsid w:val="00362265"/>
    <w:rsid w:val="0055440F"/>
    <w:rsid w:val="00801B48"/>
    <w:rsid w:val="00BF36B1"/>
    <w:rsid w:val="00EB7E60"/>
    <w:rsid w:val="01103475"/>
    <w:rsid w:val="013C690E"/>
    <w:rsid w:val="015D22F0"/>
    <w:rsid w:val="021F0EF7"/>
    <w:rsid w:val="0236335D"/>
    <w:rsid w:val="027F3169"/>
    <w:rsid w:val="02C52212"/>
    <w:rsid w:val="02EB2B15"/>
    <w:rsid w:val="02F26A16"/>
    <w:rsid w:val="031B60D7"/>
    <w:rsid w:val="036F6B27"/>
    <w:rsid w:val="03716D43"/>
    <w:rsid w:val="039F3EC8"/>
    <w:rsid w:val="04051239"/>
    <w:rsid w:val="04510922"/>
    <w:rsid w:val="04732647"/>
    <w:rsid w:val="04FB7F0E"/>
    <w:rsid w:val="059B1A95"/>
    <w:rsid w:val="05F438D3"/>
    <w:rsid w:val="064372C6"/>
    <w:rsid w:val="06D6174D"/>
    <w:rsid w:val="06F04498"/>
    <w:rsid w:val="06F36120"/>
    <w:rsid w:val="07AE5E09"/>
    <w:rsid w:val="07FD2B84"/>
    <w:rsid w:val="082524A3"/>
    <w:rsid w:val="089C443E"/>
    <w:rsid w:val="09E544CB"/>
    <w:rsid w:val="0ACC2A7A"/>
    <w:rsid w:val="0AFA5870"/>
    <w:rsid w:val="0B304DED"/>
    <w:rsid w:val="0B721CF9"/>
    <w:rsid w:val="0B980BE5"/>
    <w:rsid w:val="0BB87D81"/>
    <w:rsid w:val="0BDC6D23"/>
    <w:rsid w:val="0C601C95"/>
    <w:rsid w:val="0C782EF0"/>
    <w:rsid w:val="0D200E92"/>
    <w:rsid w:val="0DBF68FD"/>
    <w:rsid w:val="0DCC5800"/>
    <w:rsid w:val="0E7E35E1"/>
    <w:rsid w:val="0EE23564"/>
    <w:rsid w:val="0FCB0BEE"/>
    <w:rsid w:val="0FD35DC5"/>
    <w:rsid w:val="10505FAA"/>
    <w:rsid w:val="11405FA6"/>
    <w:rsid w:val="121E0096"/>
    <w:rsid w:val="124F2363"/>
    <w:rsid w:val="12744159"/>
    <w:rsid w:val="12A4448D"/>
    <w:rsid w:val="12EF151A"/>
    <w:rsid w:val="135B0E75"/>
    <w:rsid w:val="136A10B9"/>
    <w:rsid w:val="13FC61B5"/>
    <w:rsid w:val="143811B7"/>
    <w:rsid w:val="14FB2910"/>
    <w:rsid w:val="154C4F1A"/>
    <w:rsid w:val="155C3380"/>
    <w:rsid w:val="169E79F7"/>
    <w:rsid w:val="16F43D6F"/>
    <w:rsid w:val="1745171A"/>
    <w:rsid w:val="17577E5E"/>
    <w:rsid w:val="1761438F"/>
    <w:rsid w:val="17C50FB3"/>
    <w:rsid w:val="17E96E45"/>
    <w:rsid w:val="188727A2"/>
    <w:rsid w:val="189A2796"/>
    <w:rsid w:val="19DA7968"/>
    <w:rsid w:val="1B124365"/>
    <w:rsid w:val="1B9B429F"/>
    <w:rsid w:val="1BD712B5"/>
    <w:rsid w:val="1D44297A"/>
    <w:rsid w:val="1D9C4564"/>
    <w:rsid w:val="1DC67833"/>
    <w:rsid w:val="1E340429"/>
    <w:rsid w:val="1E8B7D91"/>
    <w:rsid w:val="1EF108E0"/>
    <w:rsid w:val="1F136AA8"/>
    <w:rsid w:val="1F884DA0"/>
    <w:rsid w:val="20CC440C"/>
    <w:rsid w:val="20CD5003"/>
    <w:rsid w:val="215F4227"/>
    <w:rsid w:val="219A0DBB"/>
    <w:rsid w:val="21B75CE0"/>
    <w:rsid w:val="21F8273A"/>
    <w:rsid w:val="228316D4"/>
    <w:rsid w:val="22AD2D70"/>
    <w:rsid w:val="2351194D"/>
    <w:rsid w:val="237B7E87"/>
    <w:rsid w:val="23957830"/>
    <w:rsid w:val="239D34F6"/>
    <w:rsid w:val="23A83C63"/>
    <w:rsid w:val="23A91789"/>
    <w:rsid w:val="23AD706E"/>
    <w:rsid w:val="23D902C0"/>
    <w:rsid w:val="23E43E17"/>
    <w:rsid w:val="249F7E9E"/>
    <w:rsid w:val="250550E5"/>
    <w:rsid w:val="25B368EF"/>
    <w:rsid w:val="265029DA"/>
    <w:rsid w:val="2694606C"/>
    <w:rsid w:val="26FF1A4A"/>
    <w:rsid w:val="271B0BF0"/>
    <w:rsid w:val="27351CB2"/>
    <w:rsid w:val="27AA1570"/>
    <w:rsid w:val="284321AC"/>
    <w:rsid w:val="28612632"/>
    <w:rsid w:val="28C52BC1"/>
    <w:rsid w:val="295E29D7"/>
    <w:rsid w:val="2A877709"/>
    <w:rsid w:val="2AD01CF1"/>
    <w:rsid w:val="2AED5BE1"/>
    <w:rsid w:val="2B2F07C6"/>
    <w:rsid w:val="2B321298"/>
    <w:rsid w:val="2B795EE5"/>
    <w:rsid w:val="2BA47406"/>
    <w:rsid w:val="2BD66E93"/>
    <w:rsid w:val="2C572ADA"/>
    <w:rsid w:val="2CCF0ADD"/>
    <w:rsid w:val="2E514EF7"/>
    <w:rsid w:val="30CA1306"/>
    <w:rsid w:val="33294694"/>
    <w:rsid w:val="367D0F7F"/>
    <w:rsid w:val="36830534"/>
    <w:rsid w:val="36E46FCA"/>
    <w:rsid w:val="376C422B"/>
    <w:rsid w:val="37D04586"/>
    <w:rsid w:val="38044D88"/>
    <w:rsid w:val="381B0A50"/>
    <w:rsid w:val="38911C2B"/>
    <w:rsid w:val="3BD45CE4"/>
    <w:rsid w:val="3C035D55"/>
    <w:rsid w:val="3C82468D"/>
    <w:rsid w:val="3CF81785"/>
    <w:rsid w:val="3D0A4BEF"/>
    <w:rsid w:val="3D397725"/>
    <w:rsid w:val="3D864BBD"/>
    <w:rsid w:val="3E3068D7"/>
    <w:rsid w:val="3E985F25"/>
    <w:rsid w:val="3F476CB1"/>
    <w:rsid w:val="3F8073EA"/>
    <w:rsid w:val="401F4E55"/>
    <w:rsid w:val="40907B01"/>
    <w:rsid w:val="41167FE0"/>
    <w:rsid w:val="417B0D7A"/>
    <w:rsid w:val="4194717D"/>
    <w:rsid w:val="431D7F99"/>
    <w:rsid w:val="439461F2"/>
    <w:rsid w:val="43A062AD"/>
    <w:rsid w:val="440A7BCA"/>
    <w:rsid w:val="454A022A"/>
    <w:rsid w:val="45605209"/>
    <w:rsid w:val="466B0DF4"/>
    <w:rsid w:val="468034A6"/>
    <w:rsid w:val="48054931"/>
    <w:rsid w:val="481C0F36"/>
    <w:rsid w:val="48AE321A"/>
    <w:rsid w:val="493C0826"/>
    <w:rsid w:val="495A5150"/>
    <w:rsid w:val="49D767A1"/>
    <w:rsid w:val="4A5566CE"/>
    <w:rsid w:val="4A732A91"/>
    <w:rsid w:val="4ADB6FF5"/>
    <w:rsid w:val="4B7E2D1E"/>
    <w:rsid w:val="4B810BED"/>
    <w:rsid w:val="4B895879"/>
    <w:rsid w:val="4BDC67D7"/>
    <w:rsid w:val="4C5E6D05"/>
    <w:rsid w:val="4D986247"/>
    <w:rsid w:val="4DBC1F35"/>
    <w:rsid w:val="4DD30A3F"/>
    <w:rsid w:val="4E0F6D8F"/>
    <w:rsid w:val="4E54216E"/>
    <w:rsid w:val="4E810A89"/>
    <w:rsid w:val="4F300EE6"/>
    <w:rsid w:val="4F42646A"/>
    <w:rsid w:val="4FDD1AD8"/>
    <w:rsid w:val="50132D0E"/>
    <w:rsid w:val="508A2EE8"/>
    <w:rsid w:val="51371C2C"/>
    <w:rsid w:val="5175627D"/>
    <w:rsid w:val="51B22C2F"/>
    <w:rsid w:val="51BC1ACC"/>
    <w:rsid w:val="52A815AE"/>
    <w:rsid w:val="53753280"/>
    <w:rsid w:val="53CF7ACE"/>
    <w:rsid w:val="53D1613F"/>
    <w:rsid w:val="53D81A42"/>
    <w:rsid w:val="54BE2A37"/>
    <w:rsid w:val="54CC5154"/>
    <w:rsid w:val="54E64F30"/>
    <w:rsid w:val="552243CC"/>
    <w:rsid w:val="5540169E"/>
    <w:rsid w:val="557E3F74"/>
    <w:rsid w:val="56717635"/>
    <w:rsid w:val="56F00EA2"/>
    <w:rsid w:val="57445805"/>
    <w:rsid w:val="57824031"/>
    <w:rsid w:val="5850281F"/>
    <w:rsid w:val="592A069B"/>
    <w:rsid w:val="59384321"/>
    <w:rsid w:val="5A6E0A5B"/>
    <w:rsid w:val="5A7B1DBF"/>
    <w:rsid w:val="5AA1498D"/>
    <w:rsid w:val="5AD20FEA"/>
    <w:rsid w:val="5B8429CE"/>
    <w:rsid w:val="5B8F47E5"/>
    <w:rsid w:val="5BDD6607"/>
    <w:rsid w:val="5C387C3E"/>
    <w:rsid w:val="5D70218F"/>
    <w:rsid w:val="5E154198"/>
    <w:rsid w:val="5E7B72A3"/>
    <w:rsid w:val="5E8C7702"/>
    <w:rsid w:val="5E8D45EB"/>
    <w:rsid w:val="5EE412EC"/>
    <w:rsid w:val="601A23E6"/>
    <w:rsid w:val="602D281F"/>
    <w:rsid w:val="60C009FC"/>
    <w:rsid w:val="60F15F42"/>
    <w:rsid w:val="60F577E0"/>
    <w:rsid w:val="611A7247"/>
    <w:rsid w:val="618457BC"/>
    <w:rsid w:val="61FB0E26"/>
    <w:rsid w:val="62E21FE6"/>
    <w:rsid w:val="63EC24E8"/>
    <w:rsid w:val="63F56028"/>
    <w:rsid w:val="64A33EC8"/>
    <w:rsid w:val="64AC28AC"/>
    <w:rsid w:val="64B74DAD"/>
    <w:rsid w:val="64C76F36"/>
    <w:rsid w:val="650F6997"/>
    <w:rsid w:val="65273CE0"/>
    <w:rsid w:val="652F0DE7"/>
    <w:rsid w:val="658F1794"/>
    <w:rsid w:val="65B027E3"/>
    <w:rsid w:val="66061B48"/>
    <w:rsid w:val="660F3EE5"/>
    <w:rsid w:val="66A0319D"/>
    <w:rsid w:val="66AD290B"/>
    <w:rsid w:val="67973FBF"/>
    <w:rsid w:val="67BA631E"/>
    <w:rsid w:val="67F500C6"/>
    <w:rsid w:val="68120C78"/>
    <w:rsid w:val="681542C4"/>
    <w:rsid w:val="68404527"/>
    <w:rsid w:val="6865349E"/>
    <w:rsid w:val="68C301C4"/>
    <w:rsid w:val="68E60C69"/>
    <w:rsid w:val="693E431E"/>
    <w:rsid w:val="6A413A96"/>
    <w:rsid w:val="6B67752D"/>
    <w:rsid w:val="6C0A614D"/>
    <w:rsid w:val="6C117498"/>
    <w:rsid w:val="6CA03D40"/>
    <w:rsid w:val="6CB73B9C"/>
    <w:rsid w:val="6CD7665F"/>
    <w:rsid w:val="6E3D4575"/>
    <w:rsid w:val="6FFD43BC"/>
    <w:rsid w:val="70194B6E"/>
    <w:rsid w:val="705B5186"/>
    <w:rsid w:val="714B15C3"/>
    <w:rsid w:val="727B59A5"/>
    <w:rsid w:val="730653CE"/>
    <w:rsid w:val="73196BCD"/>
    <w:rsid w:val="732D2E0A"/>
    <w:rsid w:val="733E6DC5"/>
    <w:rsid w:val="73CC2930"/>
    <w:rsid w:val="73EB2356"/>
    <w:rsid w:val="73F60947"/>
    <w:rsid w:val="74322018"/>
    <w:rsid w:val="74E93B75"/>
    <w:rsid w:val="759C7DD3"/>
    <w:rsid w:val="75D17FFC"/>
    <w:rsid w:val="760A5684"/>
    <w:rsid w:val="76A643B1"/>
    <w:rsid w:val="771B6F24"/>
    <w:rsid w:val="774249AA"/>
    <w:rsid w:val="77A01A26"/>
    <w:rsid w:val="77CD4BBB"/>
    <w:rsid w:val="78393FFF"/>
    <w:rsid w:val="785548E4"/>
    <w:rsid w:val="78917997"/>
    <w:rsid w:val="789B6A68"/>
    <w:rsid w:val="79175730"/>
    <w:rsid w:val="799E6513"/>
    <w:rsid w:val="7A1D56F3"/>
    <w:rsid w:val="7A230AC3"/>
    <w:rsid w:val="7A652E89"/>
    <w:rsid w:val="7A8D2E7D"/>
    <w:rsid w:val="7BB32F07"/>
    <w:rsid w:val="7BD6459A"/>
    <w:rsid w:val="7C187D96"/>
    <w:rsid w:val="7C84232D"/>
    <w:rsid w:val="7CAC0A20"/>
    <w:rsid w:val="7D0A41BC"/>
    <w:rsid w:val="7D1961AD"/>
    <w:rsid w:val="7D425C58"/>
    <w:rsid w:val="7D8C697F"/>
    <w:rsid w:val="7F6F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before="240" w:beforeLines="0" w:line="360" w:lineRule="auto"/>
      <w:jc w:val="center"/>
      <w:textAlignment w:val="baseline"/>
      <w:outlineLvl w:val="1"/>
    </w:pPr>
    <w:rPr>
      <w:rFonts w:ascii="Arial" w:hAnsi="Arial" w:eastAsia="黑体"/>
      <w:b/>
      <w:kern w:val="0"/>
      <w:sz w:val="30"/>
      <w:szCs w:val="20"/>
    </w:rPr>
  </w:style>
  <w:style w:type="paragraph" w:styleId="4">
    <w:name w:val="heading 3"/>
    <w:basedOn w:val="1"/>
    <w:next w:val="1"/>
    <w:qFormat/>
    <w:uiPriority w:val="0"/>
    <w:pPr>
      <w:keepNext/>
      <w:keepLines/>
      <w:numPr>
        <w:ilvl w:val="2"/>
        <w:numId w:val="1"/>
      </w:numPr>
      <w:adjustRightInd w:val="0"/>
      <w:spacing w:before="240" w:beforeLines="0" w:after="120" w:afterLines="0" w:line="300" w:lineRule="auto"/>
      <w:jc w:val="left"/>
      <w:textAlignment w:val="baseline"/>
      <w:outlineLvl w:val="2"/>
    </w:pPr>
    <w:rPr>
      <w:b/>
      <w:kern w:val="0"/>
      <w:szCs w:val="20"/>
    </w:rPr>
  </w:style>
  <w:style w:type="paragraph" w:styleId="5">
    <w:name w:val="heading 4"/>
    <w:basedOn w:val="1"/>
    <w:next w:val="1"/>
    <w:qFormat/>
    <w:uiPriority w:val="0"/>
    <w:pPr>
      <w:keepNext/>
      <w:keepLines/>
      <w:numPr>
        <w:ilvl w:val="3"/>
        <w:numId w:val="1"/>
      </w:numPr>
      <w:spacing w:before="280" w:beforeLines="0" w:after="290" w:afterLines="0" w:line="376" w:lineRule="auto"/>
      <w:outlineLvl w:val="3"/>
    </w:pPr>
    <w:rPr>
      <w:rFonts w:ascii="Arial" w:hAnsi="Arial" w:eastAsia="黑体"/>
      <w:b/>
      <w:sz w:val="28"/>
      <w:szCs w:val="20"/>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spacing w:line="276" w:lineRule="auto"/>
      <w:jc w:val="left"/>
    </w:pPr>
    <w:rPr>
      <w:rFonts w:ascii="宋体" w:hAnsi="宋体"/>
      <w:color w:val="FF0000"/>
      <w:szCs w:val="21"/>
    </w:rPr>
  </w:style>
  <w:style w:type="paragraph" w:styleId="7">
    <w:name w:val="Normal Indent"/>
    <w:basedOn w:val="1"/>
    <w:next w:val="1"/>
    <w:qFormat/>
    <w:uiPriority w:val="0"/>
    <w:pPr>
      <w:ind w:firstLine="420" w:firstLineChars="200"/>
    </w:pPr>
  </w:style>
  <w:style w:type="paragraph" w:styleId="8">
    <w:name w:val="Body Text"/>
    <w:basedOn w:val="1"/>
    <w:next w:val="1"/>
    <w:qFormat/>
    <w:uiPriority w:val="0"/>
    <w:pPr>
      <w:spacing w:line="480" w:lineRule="auto"/>
    </w:pPr>
    <w:rPr>
      <w:color w:val="000000"/>
      <w:sz w:val="24"/>
    </w:rPr>
  </w:style>
  <w:style w:type="paragraph" w:styleId="9">
    <w:name w:val="Body Text Indent"/>
    <w:basedOn w:val="1"/>
    <w:qFormat/>
    <w:uiPriority w:val="0"/>
    <w:pPr>
      <w:spacing w:line="400" w:lineRule="exact"/>
      <w:ind w:left="360"/>
    </w:pPr>
    <w:rPr>
      <w:rFonts w:ascii="华文中宋" w:hAnsi="华文中宋" w:eastAsia="华文中宋"/>
      <w:color w:val="FF6600"/>
      <w:sz w:val="24"/>
    </w:rPr>
  </w:style>
  <w:style w:type="paragraph" w:styleId="10">
    <w:name w:val="Plain Text"/>
    <w:basedOn w:val="1"/>
    <w:qFormat/>
    <w:uiPriority w:val="0"/>
    <w:rPr>
      <w:rFonts w:ascii="宋体" w:hAnsi="Courier New"/>
      <w:szCs w:val="20"/>
    </w:rPr>
  </w:style>
  <w:style w:type="paragraph" w:styleId="11">
    <w:name w:val="Date"/>
    <w:basedOn w:val="1"/>
    <w:next w:val="1"/>
    <w:qFormat/>
    <w:uiPriority w:val="0"/>
    <w:rPr>
      <w:sz w:val="24"/>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99"/>
    <w:pPr>
      <w:snapToGrid w:val="0"/>
    </w:pPr>
    <w:rPr>
      <w:rFonts w:ascii="Arial" w:hAnsi="Arial" w:cs="Arial"/>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Subtitle"/>
    <w:basedOn w:val="1"/>
    <w:next w:val="1"/>
    <w:qFormat/>
    <w:uiPriority w:val="0"/>
    <w:pPr>
      <w:keepNext/>
      <w:adjustRightInd w:val="0"/>
      <w:spacing w:before="240" w:after="60" w:line="312" w:lineRule="atLeast"/>
      <w:jc w:val="center"/>
      <w:textAlignment w:val="baseline"/>
    </w:pPr>
    <w:rPr>
      <w:rFonts w:ascii="Arial" w:hAnsi="Arial"/>
      <w:b/>
      <w:kern w:val="0"/>
      <w:sz w:val="32"/>
      <w:szCs w:val="20"/>
    </w:rPr>
  </w:style>
  <w:style w:type="paragraph" w:styleId="17">
    <w:name w:val="Normal (Web)"/>
    <w:basedOn w:val="1"/>
    <w:next w:val="1"/>
    <w:qFormat/>
    <w:uiPriority w:val="0"/>
    <w:pPr>
      <w:widowControl/>
      <w:spacing w:before="100" w:beforeLines="0" w:beforeAutospacing="1" w:after="100" w:afterLines="0" w:afterAutospacing="1"/>
      <w:jc w:val="left"/>
    </w:pPr>
    <w:rPr>
      <w:rFonts w:ascii="&amp;#23435;&amp;#20307;" w:hAnsi="&amp;#23435;&amp;#20307;"/>
      <w:kern w:val="0"/>
      <w:sz w:val="18"/>
      <w:szCs w:val="18"/>
    </w:rPr>
  </w:style>
  <w:style w:type="paragraph" w:styleId="18">
    <w:name w:val="Title"/>
    <w:basedOn w:val="1"/>
    <w:next w:val="1"/>
    <w:qFormat/>
    <w:uiPriority w:val="0"/>
    <w:pPr>
      <w:spacing w:before="240" w:beforeLines="0" w:after="60" w:afterLines="0"/>
      <w:jc w:val="center"/>
      <w:outlineLvl w:val="0"/>
    </w:pPr>
    <w:rPr>
      <w:rFonts w:ascii="Cambria" w:hAnsi="Cambria"/>
      <w:b/>
      <w:bCs/>
      <w:kern w:val="2"/>
      <w:sz w:val="32"/>
      <w:szCs w:val="32"/>
    </w:rPr>
  </w:style>
  <w:style w:type="paragraph" w:styleId="19">
    <w:name w:val="Body Text First Indent"/>
    <w:basedOn w:val="8"/>
    <w:unhideWhenUsed/>
    <w:qFormat/>
    <w:uiPriority w:val="99"/>
    <w:pPr>
      <w:ind w:firstLine="420" w:firstLineChars="100"/>
    </w:pPr>
    <w:rPr>
      <w:rFonts w:ascii="Times New Roman" w:hAnsi="Times New Roman" w:cs="Times New Roman"/>
    </w:rPr>
  </w:style>
  <w:style w:type="paragraph" w:styleId="20">
    <w:name w:val="Body Text First Indent 2"/>
    <w:basedOn w:val="9"/>
    <w:qFormat/>
    <w:uiPriority w:val="0"/>
    <w:pPr>
      <w:spacing w:after="120" w:line="240" w:lineRule="auto"/>
      <w:ind w:left="420" w:firstLine="420"/>
    </w:pPr>
    <w:rPr>
      <w:rFonts w:ascii="Times New Roman" w:hAnsi="Times New Roman" w:eastAsia="宋体"/>
      <w:color w:val="auto"/>
      <w:sz w:val="21"/>
      <w:szCs w:val="20"/>
    </w:rPr>
  </w:style>
  <w:style w:type="table" w:styleId="22">
    <w:name w:val="Table Grid"/>
    <w:basedOn w:val="2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qFormat/>
    <w:uiPriority w:val="99"/>
    <w:rPr>
      <w:color w:val="0000FF"/>
      <w:u w:val="single"/>
    </w:rPr>
  </w:style>
  <w:style w:type="paragraph" w:customStyle="1" w:styleId="27">
    <w:name w:val="目录 53"/>
    <w:next w:val="1"/>
    <w:qFormat/>
    <w:uiPriority w:val="99"/>
    <w:pPr>
      <w:widowControl w:val="0"/>
      <w:ind w:left="840"/>
      <w:jc w:val="both"/>
    </w:pPr>
    <w:rPr>
      <w:rFonts w:ascii="Times New Roman" w:hAnsi="Times New Roman" w:eastAsia="宋体" w:cs="Times New Roman"/>
      <w:kern w:val="2"/>
      <w:sz w:val="18"/>
      <w:szCs w:val="24"/>
      <w:lang w:val="en-US" w:eastAsia="zh-CN" w:bidi="ar-SA"/>
    </w:rPr>
  </w:style>
  <w:style w:type="paragraph" w:customStyle="1" w:styleId="2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9">
    <w:name w:val="Default Text"/>
    <w:qFormat/>
    <w:uiPriority w:val="0"/>
    <w:pPr>
      <w:widowControl w:val="0"/>
      <w:autoSpaceDE w:val="0"/>
      <w:autoSpaceDN w:val="0"/>
      <w:adjustRightInd w:val="0"/>
    </w:pPr>
    <w:rPr>
      <w:rFonts w:ascii="Calibri" w:hAnsi="Calibri" w:eastAsia="宋体" w:cs="Times New Roman"/>
      <w:color w:val="000000"/>
      <w:kern w:val="2"/>
      <w:sz w:val="24"/>
      <w:szCs w:val="22"/>
      <w:lang w:val="en-US" w:eastAsia="zh-CN" w:bidi="ar-SA"/>
    </w:rPr>
  </w:style>
  <w:style w:type="paragraph" w:customStyle="1" w:styleId="30">
    <w:name w:val="正文1"/>
    <w:basedOn w:val="1"/>
    <w:qFormat/>
    <w:uiPriority w:val="0"/>
    <w:pPr>
      <w:spacing w:line="360" w:lineRule="auto"/>
    </w:pPr>
    <w:rPr>
      <w:rFonts w:ascii="宋体" w:hAnsi="宋体"/>
      <w:bCs/>
      <w:sz w:val="18"/>
      <w:szCs w:val="20"/>
    </w:rPr>
  </w:style>
  <w:style w:type="paragraph" w:styleId="31">
    <w:name w:val="List Paragraph"/>
    <w:basedOn w:val="1"/>
    <w:qFormat/>
    <w:uiPriority w:val="0"/>
    <w:pPr>
      <w:ind w:firstLine="420" w:firstLineChars="200"/>
    </w:pPr>
    <w:rPr>
      <w:rFonts w:ascii="Calibri" w:hAnsi="Calibri"/>
      <w:szCs w:val="22"/>
    </w:rPr>
  </w:style>
  <w:style w:type="paragraph" w:customStyle="1" w:styleId="32">
    <w:name w:val="样式 标题 2 + Times New Roman 四号 非加粗 段前: 5 磅 段后: 0 磅 行距: 固定值 20..."/>
    <w:basedOn w:val="3"/>
    <w:qFormat/>
    <w:uiPriority w:val="0"/>
    <w:pPr>
      <w:numPr>
        <w:ilvl w:val="0"/>
        <w:numId w:val="0"/>
      </w:numPr>
      <w:adjustRightInd/>
      <w:spacing w:before="100" w:line="400" w:lineRule="exact"/>
      <w:jc w:val="both"/>
      <w:textAlignment w:val="auto"/>
    </w:pPr>
    <w:rPr>
      <w:rFonts w:ascii="Times New Roman" w:hAnsi="Times New Roman" w:cs="宋体"/>
      <w:b w:val="0"/>
      <w:kern w:val="2"/>
      <w:sz w:val="28"/>
    </w:rPr>
  </w:style>
  <w:style w:type="character" w:customStyle="1" w:styleId="33">
    <w:name w:val="样式 仿宋"/>
    <w:qFormat/>
    <w:uiPriority w:val="0"/>
    <w:rPr>
      <w:rFonts w:ascii="仿宋" w:hAnsi="仿宋" w:eastAsia="仿宋"/>
      <w:kern w:val="1"/>
    </w:rPr>
  </w:style>
  <w:style w:type="paragraph" w:customStyle="1" w:styleId="34">
    <w:name w:val="页脚2"/>
    <w:basedOn w:val="1"/>
    <w:qFormat/>
    <w:uiPriority w:val="0"/>
    <w:pPr>
      <w:widowControl/>
      <w:pBdr>
        <w:top w:val="single" w:color="auto" w:sz="6" w:space="0"/>
      </w:pBdr>
      <w:jc w:val="right"/>
      <w:textAlignment w:val="center"/>
    </w:pPr>
    <w:rPr>
      <w:rFonts w:ascii="宋体" w:hAnsi="宋体"/>
      <w:kern w:val="0"/>
      <w:sz w:val="18"/>
      <w:szCs w:val="18"/>
    </w:rPr>
  </w:style>
  <w:style w:type="paragraph" w:customStyle="1" w:styleId="3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表格中文字小四"/>
    <w:qFormat/>
    <w:uiPriority w:val="0"/>
    <w:pPr>
      <w:snapToGrid w:val="0"/>
      <w:jc w:val="center"/>
    </w:pPr>
    <w:rPr>
      <w:rFonts w:ascii="仿宋_GB2312" w:hAnsi="Times New Roman" w:eastAsia="仿宋_GB2312" w:cs="Times New Roman"/>
      <w:kern w:val="2"/>
      <w:sz w:val="24"/>
      <w:szCs w:val="24"/>
      <w:lang w:val="en-US" w:eastAsia="zh-CN" w:bidi="ar-SA"/>
    </w:rPr>
  </w:style>
  <w:style w:type="paragraph" w:customStyle="1" w:styleId="37">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Table Text"/>
    <w:basedOn w:val="1"/>
    <w:semiHidden/>
    <w:qFormat/>
    <w:uiPriority w:val="0"/>
    <w:rPr>
      <w:rFonts w:ascii="仿宋" w:hAnsi="仿宋" w:eastAsia="仿宋" w:cs="仿宋"/>
      <w:sz w:val="24"/>
      <w:szCs w:val="24"/>
      <w:lang w:val="en-US" w:eastAsia="en-US" w:bidi="ar-SA"/>
    </w:rPr>
  </w:style>
  <w:style w:type="table" w:customStyle="1" w:styleId="39">
    <w:name w:val="Table Normal"/>
    <w:semiHidden/>
    <w:unhideWhenUsed/>
    <w:qFormat/>
    <w:uiPriority w:val="0"/>
    <w:tblPr>
      <w:tblCellMar>
        <w:top w:w="0" w:type="dxa"/>
        <w:left w:w="0" w:type="dxa"/>
        <w:bottom w:w="0" w:type="dxa"/>
        <w:right w:w="0" w:type="dxa"/>
      </w:tblCellMar>
    </w:tblPr>
  </w:style>
  <w:style w:type="paragraph" w:customStyle="1" w:styleId="40">
    <w:name w:val="null3"/>
    <w:hidden/>
    <w:qFormat/>
    <w:uiPriority w:val="0"/>
    <w:rPr>
      <w:rFonts w:hint="eastAsia" w:asciiTheme="minorHAnsi" w:hAnsiTheme="minorHAnsi" w:eastAsiaTheme="minorEastAsia" w:cstheme="minorBidi"/>
      <w:lang w:val="en-US" w:eastAsia="zh-Hans"/>
    </w:rPr>
  </w:style>
  <w:style w:type="paragraph" w:customStyle="1" w:styleId="41">
    <w:name w:val="Normal_14"/>
    <w:qFormat/>
    <w:uiPriority w:val="0"/>
    <w:rPr>
      <w:rFonts w:ascii="黑体" w:hAnsi="黑体" w:eastAsia="黑体" w:cs="Times New Roman"/>
      <w:b/>
      <w:sz w:val="32"/>
      <w:szCs w:val="24"/>
      <w:lang w:bidi="ar-SA"/>
    </w:rPr>
  </w:style>
  <w:style w:type="paragraph" w:customStyle="1" w:styleId="42">
    <w:name w:val="Default"/>
    <w:qFormat/>
    <w:uiPriority w:val="0"/>
    <w:pPr>
      <w:widowControl w:val="0"/>
    </w:pPr>
    <w:rPr>
      <w:rFonts w:ascii="Calibri" w:hAnsi="Calibri" w:eastAsia="Calibri" w:cs="Calibri"/>
      <w:color w:val="000000"/>
      <w:sz w:val="24"/>
      <w:szCs w:val="24"/>
      <w:lang w:val="en-US" w:eastAsia="zh-CN" w:bidi="ar-SA"/>
    </w:rPr>
  </w:style>
  <w:style w:type="paragraph" w:customStyle="1" w:styleId="43">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44">
    <w:name w:val="默认 A"/>
    <w:qFormat/>
    <w:uiPriority w:val="0"/>
    <w:pPr>
      <w:framePr w:wrap="around" w:vAnchor="margin" w:hAnchor="text" w:y="1"/>
    </w:pPr>
    <w:rPr>
      <w:rFonts w:ascii="Arial Unicode MS" w:hAnsi="Arial Unicode MS" w:eastAsia="Arial Unicode MS" w:cs="Arial Unicode MS"/>
      <w:color w:val="000000"/>
      <w:sz w:val="22"/>
      <w:szCs w:val="22"/>
      <w:lang w:val="zh-TW" w:eastAsia="zh-TW" w:bidi="ar-SA"/>
    </w:rPr>
  </w:style>
  <w:style w:type="paragraph" w:customStyle="1" w:styleId="45">
    <w:name w:val="列出段落1"/>
    <w:basedOn w:val="1"/>
    <w:qFormat/>
    <w:uiPriority w:val="99"/>
    <w:pPr>
      <w:ind w:firstLine="420" w:firstLineChars="200"/>
    </w:pPr>
  </w:style>
  <w:style w:type="paragraph" w:customStyle="1" w:styleId="46">
    <w:name w:val="DAS正文"/>
    <w:basedOn w:val="1"/>
    <w:qFormat/>
    <w:uiPriority w:val="0"/>
    <w:pPr>
      <w:ind w:right="181" w:firstLine="480" w:firstLineChars="200"/>
    </w:pPr>
    <w:rPr>
      <w:rFonts w:ascii="Verdana" w:hAnsi="Verdana"/>
    </w:rPr>
  </w:style>
  <w:style w:type="paragraph" w:customStyle="1" w:styleId="47">
    <w:name w:val="正文（培训）"/>
    <w:basedOn w:val="1"/>
    <w:qFormat/>
    <w:uiPriority w:val="0"/>
    <w:pPr>
      <w:snapToGrid w:val="0"/>
      <w:spacing w:line="360" w:lineRule="auto"/>
      <w:ind w:firstLine="440"/>
    </w:pPr>
    <w:rPr>
      <w:rFonts w:ascii="Hiragino Sans GB W3" w:hAnsi="Hiragino Sans GB W3" w:eastAsia="Hiragino Sans GB W3" w:cs="宋体"/>
      <w:sz w:val="21"/>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7b1e463b-9112-4975-94a0-e0a7fe5b7df3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62E04AE5</paraID>
      <start>19</start>
      <end>20</end>
      <status>ignored</status>
      <modifiedWord/>
      <trackRevisions>false</trackRevisions>
    </reviewItem>
    <reviewItem>
      <errorID>6f769f74-4eea-42cd-be40-4fc2e3108ed0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62E04AE5</paraID>
      <start>40</start>
      <end>41</end>
      <status>ignored</status>
      <modifiedWord/>
      <trackRevisions>false</trackRevisions>
    </reviewItem>
    <reviewItem>
      <errorID>21d52ef8-0443-4d09-a18b-ce29f555d113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45B17614</paraID>
      <start>40</start>
      <end>41</end>
      <status>ignored</status>
      <modifiedWord/>
      <trackRevisions>false</trackRevisions>
    </reviewItem>
    <reviewItem>
      <errorID>d0370453-afa3-4bfe-bf9b-bed48597d5a2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4CD4DC83</paraID>
      <start>49</start>
      <end>50</end>
      <status>unmodified</status>
      <modifiedWord/>
      <trackRevisions>false</trackRevisions>
    </reviewItem>
    <reviewItem>
      <errorID>f0dbc2d5-b051-4e25-85a7-2efda1164183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6E1D03B1</paraID>
      <start>49</start>
      <end>50</end>
      <status>unmodified</status>
      <modifiedWord/>
      <trackRevisions>false</trackRevisions>
    </reviewItem>
    <reviewItem>
      <errorID>e68d8438-0e57-4651-81a7-9aa23b0e5c77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7172F8D5</paraID>
      <start>34</start>
      <end>35</end>
      <status>unmodified</status>
      <modifiedWord/>
      <trackRevisions>false</trackRevisions>
    </reviewItem>
    <reviewItem>
      <errorID>7ae8a627-674d-4794-8605-6541bf1a49fd</errorID>
      <errorWord>（</errorWord>
      <group>L1_Punc</group>
      <groupName>标点问题</groupName>
      <ability>L2_Punc</ability>
      <abilityName>标点符号检查</abilityName>
      <candidateList/>
      <explain>同一形式括号套用。</explain>
      <paraID>35BA71F2</paraID>
      <start>43</start>
      <end>44</end>
      <status>ignored</status>
      <modifiedWord/>
      <trackRevisions>false</trackRevisions>
    </reviewItem>
    <reviewItem>
      <errorID>9d6fe838-185c-4005-97cf-92ba77b0b7ce</errorID>
      <errorWord>）</errorWord>
      <group>L1_Punc</group>
      <groupName>标点问题</groupName>
      <ability>L2_Punc</ability>
      <abilityName>标点符号检查</abilityName>
      <candidateList/>
      <explain>同一形式括号套用。</explain>
      <paraID>35BA71F2</paraID>
      <start>46</start>
      <end>47</end>
      <status>ignored</status>
      <modifiedWord/>
      <trackRevisions>false</trackRevisions>
    </reviewItem>
    <reviewItem>
      <errorID>bfb2c66c-ede9-4791-8439-ac063a7eb35d</errorID>
      <errorWord>方</errorWord>
      <group>L1_Word</group>
      <groupName>字词问题</groupName>
      <ability>L2_Typo</ability>
      <abilityName>字词错误</abilityName>
      <candidateList>
        <item>方在</item>
      </candidateList>
      <explain/>
      <paraID>46A95E6F</paraID>
      <start>10</start>
      <end>12</end>
      <status>modified</status>
      <modifiedWord>方在</modifiedWord>
      <trackRevisions>false</trackRevisions>
    </reviewItem>
    <reviewItem>
      <errorID>9983f38d-e316-4f7f-8f05-b00ae9bacc45</errorID>
      <errorWord>制订</errorWord>
      <group>L1_Word</group>
      <groupName>字词问题</groupName>
      <ability>L2_Typo</ability>
      <abilityName>字词错误</abilityName>
      <candidateList>
        <item>制定</item>
      </candidateList>
      <explain>〈动〉定出（法律、规程、政策等）：～宪法｜～学会章程。</explain>
      <paraID>633B36D3</paraID>
      <start>14</start>
      <end>16</end>
      <status>modified</status>
      <modifiedWord>制定</modifiedWord>
      <trackRevisions>false</trackRevisions>
    </reviewItem>
    <reviewItem>
      <errorID>715390c5-4464-4bfd-a9d4-2e23246b2f2a</errorID>
      <errorWord>，</errorWord>
      <group>L1_Word</group>
      <groupName>字词问题</groupName>
      <ability>L2_Typo</ability>
      <abilityName>字词错误</abilityName>
      <candidateList>
        <item>，在</item>
      </candidateList>
      <explain/>
      <paraID>731D340F</paraID>
      <start>26</start>
      <end>28</end>
      <status>modified</status>
      <modifiedWord>，在</modifiedWord>
      <trackRevisions>false</trackRevisions>
    </reviewItem>
    <reviewItem>
      <errorID>998c4a3e-d707-4bdc-8661-f730d5870ce7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3DBD3872</paraID>
      <start>352</start>
      <end>353</end>
      <status>modified</status>
      <modifiedWord>地</modifiedWord>
      <trackRevisions>false</trackRevisions>
    </reviewItem>
    <reviewItem>
      <errorID>bd6883c7-eb94-4424-a33f-d7eff6491017</errorID>
      <errorWord>针对此</errorWord>
      <group>L1_Word</group>
      <groupName>字词问题</groupName>
      <ability>L2_Typo</ability>
      <abilityName>字词错误</abilityName>
      <candidateList>
        <item>针对</item>
      </candidateList>
      <explain>〈动〉对准：～儿童的心理特点进行教育｜这些不都是～某个人的。</explain>
      <paraID>21A3FEFB</paraID>
      <start>15</start>
      <end>17</end>
      <status>modified</status>
      <modifiedWord>针对</modifiedWord>
      <trackRevisions>false</trackRevisions>
    </reviewItem>
    <reviewItem>
      <errorID>26574016-c63a-4788-bad5-69f0015487de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246F887C</paraID>
      <start>32</start>
      <end>33</end>
      <status>ignored</status>
      <modifiedWord/>
      <trackRevisions>false</trackRevisions>
    </reviewItem>
    <reviewItem>
      <errorID>f0b2a6d9-af3d-42ac-aef4-299f8eba1954</errorID>
      <errorWord>生新</errorWord>
      <group>L1_Word</group>
      <groupName>字词问题</groupName>
      <ability>L2_Typo</ability>
      <abilityName>字词错误</abilityName>
      <candidateList>
        <item>更新</item>
      </candidateList>
      <explain>〈动〉❶旧的去了，新的来到；除去旧的，换成新的：万象～｜～设备｜～武器。❷森林经过采伐、火灾或破坏后重新长起来。</explain>
      <paraID>671851B5</paraID>
      <start>39</start>
      <end>41</end>
      <status>modified</status>
      <modifiedWord>更新</modifiedWord>
      <trackRevisions>false</trackRevisions>
    </reviewItem>
    <reviewItem>
      <errorID>cffa8642-c2b8-4fb0-8091-22d1993a13f2</errorID>
      <errorWord>（</errorWord>
      <group>L1_Punc</group>
      <groupName>标点问题</groupName>
      <ability>L2_Punc</ability>
      <abilityName>标点符号检查</abilityName>
      <candidateList/>
      <explain>同一形式括号套用。</explain>
      <paraID>4BF15D8A</paraID>
      <start>44</start>
      <end>45</end>
      <status>ignored</status>
      <modifiedWord/>
      <trackRevisions>false</trackRevisions>
    </reviewItem>
    <reviewItem>
      <errorID>bd346435-ac97-4208-a614-568f5c6ec827</errorID>
      <errorWord>）</errorWord>
      <group>L1_Punc</group>
      <groupName>标点问题</groupName>
      <ability>L2_Punc</ability>
      <abilityName>标点符号检查</abilityName>
      <candidateList/>
      <explain>同一形式括号套用。</explain>
      <paraID>4BF15D8A</paraID>
      <start>72</start>
      <end>73</end>
      <status>ignored</status>
      <modifiedWord/>
      <trackRevisions>false</trackRevisions>
    </reviewItem>
    <reviewItem>
      <errorID>17045c90-0f1e-47b3-bf2d-6ebea1eabfe3</errorID>
      <errorWord>（</errorWord>
      <group>L1_Punc</group>
      <groupName>标点问题</groupName>
      <ability>L2_Punc</ability>
      <abilityName>标点符号检查</abilityName>
      <candidateList/>
      <explain>同一形式括号套用。</explain>
      <paraID>4BF15D8A</paraID>
      <start>108</start>
      <end>109</end>
      <status>ignored</status>
      <modifiedWord/>
      <trackRevisions>false</trackRevisions>
    </reviewItem>
    <reviewItem>
      <errorID>7de7fed3-4a28-4b15-9b6d-28b038235cfe</errorID>
      <errorWord>）</errorWord>
      <group>L1_Punc</group>
      <groupName>标点问题</groupName>
      <ability>L2_Punc</ability>
      <abilityName>标点符号检查</abilityName>
      <candidateList/>
      <explain>同一形式括号套用。</explain>
      <paraID>4BF15D8A</paraID>
      <start>118</start>
      <end>119</end>
      <status>ignored</status>
      <modifiedWord/>
      <trackRevisions>false</trackRevisions>
    </reviewItem>
    <reviewItem>
      <errorID>5677290e-bd43-432b-9a6b-306707317ed0</errorID>
      <errorWord>（</errorWord>
      <group>L1_Punc</group>
      <groupName>标点问题</groupName>
      <ability>L2_Punc</ability>
      <abilityName>标点符号检查</abilityName>
      <candidateList/>
      <explain>同一形式括号套用。</explain>
      <paraID>4BF15D8A</paraID>
      <start>145</start>
      <end>146</end>
      <status>ignored</status>
      <modifiedWord/>
      <trackRevisions>false</trackRevisions>
    </reviewItem>
    <reviewItem>
      <errorID>90d3c624-5248-4830-9264-c817325fc017</errorID>
      <errorWord>）</errorWord>
      <group>L1_Punc</group>
      <groupName>标点问题</groupName>
      <ability>L2_Punc</ability>
      <abilityName>标点符号检查</abilityName>
      <candidateList/>
      <explain>同一形式括号套用。</explain>
      <paraID>4BF15D8A</paraID>
      <start>149</start>
      <end>150</end>
      <status>ignored</status>
      <modifiedWord/>
      <trackRevisions>false</trackRevisions>
    </reviewItem>
    <reviewItem>
      <errorID>4c26cd4f-b419-46ad-b08c-fcc532379175</errorID>
      <errorWord>（</errorWord>
      <group>L1_Punc</group>
      <groupName>标点问题</groupName>
      <ability>L2_Punc</ability>
      <abilityName>标点符号检查</abilityName>
      <candidateList/>
      <explain>同一形式括号套用。</explain>
      <paraID>4BF15D8A</paraID>
      <start>187</start>
      <end>188</end>
      <status>ignored</status>
      <modifiedWord/>
      <trackRevisions>false</trackRevisions>
    </reviewItem>
    <reviewItem>
      <errorID>622d580b-03f7-47b3-a776-7994e80415a7</errorID>
      <errorWord>）</errorWord>
      <group>L1_Punc</group>
      <groupName>标点问题</groupName>
      <ability>L2_Punc</ability>
      <abilityName>标点符号检查</abilityName>
      <candidateList/>
      <explain>同一形式括号套用。</explain>
      <paraID>4BF15D8A</paraID>
      <start>191</start>
      <end>192</end>
      <status>ignored</status>
      <modifiedWord/>
      <trackRevisions>false</trackRevisions>
    </reviewItem>
    <reviewItem>
      <errorID>d458b12c-59b8-4bc2-86c4-8b3bef88e370</errorID>
      <errorWord>（</errorWord>
      <group>L1_Punc</group>
      <groupName>标点问题</groupName>
      <ability>L2_Punc</ability>
      <abilityName>标点符号检查</abilityName>
      <candidateList/>
      <explain>同一形式括号套用。</explain>
      <paraID>26DF106B</paraID>
      <start>28</start>
      <end>29</end>
      <status>ignored</status>
      <modifiedWord/>
      <trackRevisions>false</trackRevisions>
    </reviewItem>
    <reviewItem>
      <errorID>5be2eb39-506f-483a-8f3d-75de7695dddf</errorID>
      <errorWord>）</errorWord>
      <group>L1_Punc</group>
      <groupName>标点问题</groupName>
      <ability>L2_Punc</ability>
      <abilityName>标点符号检查</abilityName>
      <candidateList/>
      <explain>同一形式括号套用。</explain>
      <paraID>26DF106B</paraID>
      <start>33</start>
      <end>34</end>
      <status>ignored</status>
      <modifiedWord/>
      <trackRevisions>false</trackRevisions>
    </reviewItem>
    <reviewItem>
      <errorID>2b352045-2fb4-4360-b37a-8e61f4060103</errorID>
      <errorWord>（</errorWord>
      <group>L1_Punc</group>
      <groupName>标点问题</groupName>
      <ability>L2_Punc</ability>
      <abilityName>标点符号检查</abilityName>
      <candidateList/>
      <explain>同一形式括号套用。</explain>
      <paraID>26DF106B</paraID>
      <start>91</start>
      <end>92</end>
      <status>ignored</status>
      <modifiedWord/>
      <trackRevisions>false</trackRevisions>
    </reviewItem>
    <reviewItem>
      <errorID>023fb549-0d9d-4378-af82-d3c697d3f373</errorID>
      <errorWord>）</errorWord>
      <group>L1_Punc</group>
      <groupName>标点问题</groupName>
      <ability>L2_Punc</ability>
      <abilityName>标点符号检查</abilityName>
      <candidateList/>
      <explain>同一形式括号套用。</explain>
      <paraID>26DF106B</paraID>
      <start>96</start>
      <end>97</end>
      <status>ignored</status>
      <modifiedWord/>
      <trackRevisions>false</trackRevisions>
    </reviewItem>
    <reviewItem>
      <errorID>8400e71b-e3de-482b-8c47-e9ce68cf3509</errorID>
      <errorWord>（</errorWord>
      <group>L1_Punc</group>
      <groupName>标点问题</groupName>
      <ability>L2_Punc</ability>
      <abilityName>标点符号检查</abilityName>
      <candidateList/>
      <explain>同一形式括号套用。</explain>
      <paraID> FB31717</paraID>
      <start>94</start>
      <end>95</end>
      <status>ignored</status>
      <modifiedWord/>
      <trackRevisions>false</trackRevisions>
    </reviewItem>
    <reviewItem>
      <errorID>a9778d2e-060f-40fb-9594-8214d8b474cb</errorID>
      <errorWord>）</errorWord>
      <group>L1_Punc</group>
      <groupName>标点问题</groupName>
      <ability>L2_Punc</ability>
      <abilityName>标点符号检查</abilityName>
      <candidateList/>
      <explain>同一形式括号套用。</explain>
      <paraID> FB31717</paraID>
      <start>107</start>
      <end>108</end>
      <status>ignored</status>
      <modifiedWord/>
      <trackRevisions>false</trackRevisions>
    </reviewItem>
    <reviewItem>
      <errorID>3b207026-89ff-4e20-9f91-ddd5dfab74df</errorID>
      <errorWord>（</errorWord>
      <group>L1_Punc</group>
      <groupName>标点问题</groupName>
      <ability>L2_Punc</ability>
      <abilityName>标点符号检查</abilityName>
      <candidateList/>
      <explain>同一形式括号套用。</explain>
      <paraID> FB31717</paraID>
      <start>137</start>
      <end>138</end>
      <status>ignored</status>
      <modifiedWord/>
      <trackRevisions>false</trackRevisions>
    </reviewItem>
    <reviewItem>
      <errorID>75c36df5-1f95-4fb7-9624-bf2d07649f9b</errorID>
      <errorWord>）</errorWord>
      <group>L1_Punc</group>
      <groupName>标点问题</groupName>
      <ability>L2_Punc</ability>
      <abilityName>标点符号检查</abilityName>
      <candidateList/>
      <explain>同一形式括号套用。</explain>
      <paraID> FB31717</paraID>
      <start>161</start>
      <end>162</end>
      <status>ignored</status>
      <modifiedWord/>
      <trackRevisions>false</trackRevisions>
    </reviewItem>
    <reviewItem>
      <errorID>b6376a27-3ce1-4e0b-ac8c-44a67646f810</errorID>
      <errorWord>（</errorWord>
      <group>L1_Punc</group>
      <groupName>标点问题</groupName>
      <ability>L2_Punc</ability>
      <abilityName>标点符号检查</abilityName>
      <candidateList/>
      <explain>同一形式括号套用。</explain>
      <paraID> FB31717</paraID>
      <start>194</start>
      <end>195</end>
      <status>ignored</status>
      <modifiedWord/>
      <trackRevisions>false</trackRevisions>
    </reviewItem>
    <reviewItem>
      <errorID>59049c0f-6332-43e5-8de2-b4a8f49f75fe</errorID>
      <errorWord>）</errorWord>
      <group>L1_Punc</group>
      <groupName>标点问题</groupName>
      <ability>L2_Punc</ability>
      <abilityName>标点符号检查</abilityName>
      <candidateList/>
      <explain>同一形式括号套用。</explain>
      <paraID> FB31717</paraID>
      <start>228</start>
      <end>229</end>
      <status>ignored</status>
      <modifiedWord/>
      <trackRevisions>false</trackRevisions>
    </reviewItem>
    <reviewItem>
      <errorID>ba4a027b-9518-41fc-8880-ed0222f946c0</errorID>
      <errorWord>（</errorWord>
      <group>L1_Punc</group>
      <groupName>标点问题</groupName>
      <ability>L2_Punc</ability>
      <abilityName>标点符号检查</abilityName>
      <candidateList/>
      <explain>同一形式括号套用。</explain>
      <paraID> FB31717</paraID>
      <start>242</start>
      <end>243</end>
      <status>ignored</status>
      <modifiedWord/>
      <trackRevisions>false</trackRevisions>
    </reviewItem>
    <reviewItem>
      <errorID>dfb117b6-3964-4951-b7e5-fe6aa6a07bbb</errorID>
      <errorWord>）</errorWord>
      <group>L1_Punc</group>
      <groupName>标点问题</groupName>
      <ability>L2_Punc</ability>
      <abilityName>标点符号检查</abilityName>
      <candidateList/>
      <explain>同一形式括号套用。</explain>
      <paraID> FB31717</paraID>
      <start>250</start>
      <end>251</end>
      <status>ignored</status>
      <modifiedWord/>
      <trackRevisions>false</trackRevisions>
    </reviewItem>
    <reviewItem>
      <errorID>9586b4d6-de1a-4d97-9034-eec81aff79c0</errorID>
      <errorWord>（</errorWord>
      <group>L1_Punc</group>
      <groupName>标点问题</groupName>
      <ability>L2_Punc</ability>
      <abilityName>标点符号检查</abilityName>
      <candidateList/>
      <explain>同一形式括号套用。</explain>
      <paraID>352F63BC</paraID>
      <start>55</start>
      <end>56</end>
      <status>ignored</status>
      <modifiedWord/>
      <trackRevisions>false</trackRevisions>
    </reviewItem>
    <reviewItem>
      <errorID>7dd227c7-ac20-4a0b-88e8-b9f0fc424292</errorID>
      <errorWord>）</errorWord>
      <group>L1_Punc</group>
      <groupName>标点问题</groupName>
      <ability>L2_Punc</ability>
      <abilityName>标点符号检查</abilityName>
      <candidateList/>
      <explain>同一形式括号套用。</explain>
      <paraID>352F63BC</paraID>
      <start>69</start>
      <end>70</end>
      <status>ignored</status>
      <modifiedWord/>
      <trackRevisions>false</trackRevisions>
    </reviewItem>
    <reviewItem>
      <errorID>3f680ec4-00cc-45d5-befb-ebccdebfcfaa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51277F71</paraID>
      <start>19</start>
      <end>20</end>
      <status>ignored</status>
      <modifiedWord/>
      <trackRevisions>false</trackRevisions>
    </reviewItem>
    <reviewItem>
      <errorID>3df211e7-1525-4ae9-8084-1a62b7907def</errorID>
      <errorWord>(</errorWord>
      <group>L1_Format</group>
      <groupName>格式问题</groupName>
      <ability>L2_HalfPunc</ability>
      <abilityName>全半角检查</abilityName>
      <candidateList>
        <item>（</item>
      </candidateList>
      <explain>文本全半角错误。</explain>
      <paraID>2CD72A07</paraID>
      <start>128</start>
      <end>129</end>
      <status>modified</status>
      <modifiedWord>（</modifiedWord>
      <trackRevisions>false</trackRevisions>
    </reviewItem>
    <reviewItem>
      <errorID>c9371ad6-a87a-4fd2-a3f1-84d9bae4419e</errorID>
      <errorWord>(</errorWord>
      <group>L1_Format</group>
      <groupName>格式问题</groupName>
      <ability>L2_HalfPunc</ability>
      <abilityName>全半角检查</abilityName>
      <candidateList>
        <item>（</item>
      </candidateList>
      <explain>文本全半角错误。</explain>
      <paraID>708C80D9</paraID>
      <start>16</start>
      <end>17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2f78f0-ba0f-4616-b89b-4b2bcddb9bbf}">
  <ds:schemaRefs/>
</ds:datastoreItem>
</file>

<file path=docProps/app.xml><?xml version="1.0" encoding="utf-8"?>
<Properties xmlns="http://schemas.openxmlformats.org/officeDocument/2006/extended-properties" xmlns:vt="http://schemas.openxmlformats.org/officeDocument/2006/docPropsVTypes">
  <Template>Normal.dotm</Template>
  <Pages>99</Pages>
  <Words>1530</Words>
  <Characters>1652</Characters>
  <Lines>0</Lines>
  <Paragraphs>0</Paragraphs>
  <TotalTime>7</TotalTime>
  <ScaleCrop>false</ScaleCrop>
  <LinksUpToDate>false</LinksUpToDate>
  <CharactersWithSpaces>1692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2023-04-21T03:22:00Z</dcterms:created>
  <dc:creator>把玩无奈.</dc:creator>
  <cp:lastModifiedBy>Se7en</cp:lastModifiedBy>
  <dcterms:modified xsi:type="dcterms:W3CDTF">2026-04-17T03:30:51Z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B0ADC526460E49F082EA624A26AF3660_13</vt:lpwstr>
  </property>
  <property fmtid="{D5CDD505-2E9C-101B-9397-08002B2CF9AE}" pid="4" name="KSOTemplateDocerSaveRecord">
    <vt:lpwstr>eyJoZGlkIjoiYzU4N2FlZTI4YTdmY2U2ZmZlMGVkMDdiMDk5YTVmNzgiLCJ1c2VySWQiOiIzMjAzNjU3OTgifQ==</vt:lpwstr>
  </property>
</Properties>
</file>